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0EF" w14:textId="45DF1619" w:rsidR="00D22FB6" w:rsidRDefault="001723E6" w:rsidP="00CD3C9C">
      <w:pPr>
        <w:pBdr>
          <w:top w:val="single" w:sz="4" w:space="1" w:color="auto"/>
          <w:left w:val="single" w:sz="4" w:space="4" w:color="auto"/>
          <w:bottom w:val="single" w:sz="4" w:space="1" w:color="auto"/>
          <w:right w:val="single" w:sz="4" w:space="4" w:color="auto"/>
        </w:pBdr>
        <w:jc w:val="center"/>
        <w:rPr>
          <w:b/>
          <w:bCs/>
        </w:rPr>
      </w:pPr>
      <w:r>
        <w:rPr>
          <w:b/>
          <w:bCs/>
        </w:rPr>
        <w:t>N</w:t>
      </w:r>
      <w:r w:rsidR="00886EEF">
        <w:rPr>
          <w:b/>
          <w:bCs/>
        </w:rPr>
        <w:t>icola</w:t>
      </w:r>
      <w:r>
        <w:rPr>
          <w:b/>
          <w:bCs/>
        </w:rPr>
        <w:t xml:space="preserve"> </w:t>
      </w:r>
      <w:r w:rsidR="00D22FB6">
        <w:rPr>
          <w:b/>
          <w:bCs/>
        </w:rPr>
        <w:t>Durante</w:t>
      </w:r>
    </w:p>
    <w:p w14:paraId="5E337354" w14:textId="24BB3708" w:rsidR="00464DB4" w:rsidRDefault="00BF67C5" w:rsidP="00CD3C9C">
      <w:pPr>
        <w:pBdr>
          <w:top w:val="single" w:sz="4" w:space="1" w:color="auto"/>
          <w:left w:val="single" w:sz="4" w:space="4" w:color="auto"/>
          <w:bottom w:val="single" w:sz="4" w:space="1" w:color="auto"/>
          <w:right w:val="single" w:sz="4" w:space="4" w:color="auto"/>
        </w:pBdr>
        <w:jc w:val="center"/>
        <w:rPr>
          <w:b/>
          <w:bCs/>
        </w:rPr>
      </w:pPr>
      <w:r w:rsidRPr="00BF67C5">
        <w:rPr>
          <w:b/>
          <w:bCs/>
        </w:rPr>
        <w:t>Precedente, vincolo e motivazione nel giudizio amministrativo di primo grado</w:t>
      </w:r>
      <w:r w:rsidR="00421827">
        <w:rPr>
          <w:b/>
          <w:bCs/>
        </w:rPr>
        <w:t xml:space="preserve"> </w:t>
      </w:r>
      <w:r w:rsidR="00421827" w:rsidRPr="00421827">
        <w:rPr>
          <w:b/>
          <w:bCs/>
          <w:vertAlign w:val="superscript"/>
        </w:rPr>
        <w:t>(</w:t>
      </w:r>
      <w:r w:rsidR="00CB3789" w:rsidRPr="00421827">
        <w:rPr>
          <w:rStyle w:val="Rimandonotaapidipagina"/>
          <w:b/>
          <w:bCs/>
        </w:rPr>
        <w:footnoteReference w:customMarkFollows="1" w:id="1"/>
        <w:sym w:font="Symbol" w:char="F02A"/>
      </w:r>
      <w:r w:rsidR="00421827" w:rsidRPr="00421827">
        <w:rPr>
          <w:rStyle w:val="Rimandonotaapidipagina"/>
          <w:b/>
          <w:bCs/>
        </w:rPr>
        <w:t>)</w:t>
      </w:r>
    </w:p>
    <w:p w14:paraId="4300C8AA" w14:textId="77777777" w:rsidR="00D22FB6" w:rsidRDefault="00D22FB6" w:rsidP="00CD3C9C">
      <w:pPr>
        <w:ind w:firstLine="993"/>
        <w:jc w:val="center"/>
        <w:rPr>
          <w:b/>
          <w:bCs/>
        </w:rPr>
      </w:pPr>
    </w:p>
    <w:p w14:paraId="1959DE66" w14:textId="3B8684BA" w:rsidR="00544452" w:rsidRPr="00544452" w:rsidRDefault="00544452" w:rsidP="00CD3C9C">
      <w:pPr>
        <w:pStyle w:val="Paragrafoelenco"/>
        <w:numPr>
          <w:ilvl w:val="0"/>
          <w:numId w:val="1"/>
        </w:numPr>
        <w:ind w:left="0" w:firstLine="993"/>
        <w:rPr>
          <w:b/>
          <w:bCs/>
        </w:rPr>
      </w:pPr>
      <w:r w:rsidRPr="00544452">
        <w:rPr>
          <w:b/>
          <w:bCs/>
        </w:rPr>
        <w:t>Precedente vincolante e precedente autorevole.</w:t>
      </w:r>
    </w:p>
    <w:p w14:paraId="47E88FE8" w14:textId="687B948C" w:rsidR="003B3D2C" w:rsidRDefault="003B3D2C" w:rsidP="00CD3C9C">
      <w:pPr>
        <w:ind w:firstLine="993"/>
      </w:pPr>
      <w:r>
        <w:t>Per</w:t>
      </w:r>
      <w:r w:rsidRPr="003B3D2C">
        <w:t xml:space="preserve"> </w:t>
      </w:r>
      <w:r w:rsidRPr="00544452">
        <w:rPr>
          <w:i/>
          <w:iCs/>
        </w:rPr>
        <w:t>precedente</w:t>
      </w:r>
      <w:r w:rsidRPr="003B3D2C">
        <w:t xml:space="preserve"> </w:t>
      </w:r>
      <w:r>
        <w:t>s’intende</w:t>
      </w:r>
      <w:r w:rsidRPr="003B3D2C">
        <w:t xml:space="preserve"> il principio di diritto applicato da un giudice per decidere un caso</w:t>
      </w:r>
      <w:r>
        <w:t>, idoneo a produrre</w:t>
      </w:r>
      <w:r w:rsidRPr="003B3D2C">
        <w:t xml:space="preserve"> </w:t>
      </w:r>
      <w:r>
        <w:t>u</w:t>
      </w:r>
      <w:r w:rsidRPr="003B3D2C">
        <w:t xml:space="preserve">n vincolo, più o meno intenso a seconda delle circostanze, </w:t>
      </w:r>
      <w:r>
        <w:t>a</w:t>
      </w:r>
      <w:r w:rsidR="00A84946">
        <w:t>i fini</w:t>
      </w:r>
      <w:r>
        <w:t xml:space="preserve"> </w:t>
      </w:r>
      <w:r w:rsidR="00A84946">
        <w:t>del</w:t>
      </w:r>
      <w:r>
        <w:t>la sua</w:t>
      </w:r>
      <w:r w:rsidRPr="003B3D2C">
        <w:t xml:space="preserve"> applica</w:t>
      </w:r>
      <w:r>
        <w:t>zione</w:t>
      </w:r>
      <w:r w:rsidRPr="003B3D2C">
        <w:t xml:space="preserve"> </w:t>
      </w:r>
      <w:r>
        <w:t xml:space="preserve">a successivi casi </w:t>
      </w:r>
      <w:r w:rsidR="00EE672C">
        <w:t>simil</w:t>
      </w:r>
      <w:r>
        <w:t>i</w:t>
      </w:r>
      <w:r>
        <w:rPr>
          <w:rStyle w:val="Rimandonotaapidipagina"/>
        </w:rPr>
        <w:footnoteReference w:id="2"/>
      </w:r>
      <w:r w:rsidRPr="003B3D2C">
        <w:t>.</w:t>
      </w:r>
    </w:p>
    <w:p w14:paraId="2F41DA2B" w14:textId="30585DC2" w:rsidR="00BF67C5" w:rsidRDefault="00E771E2" w:rsidP="00CD3C9C">
      <w:pPr>
        <w:ind w:firstLine="993"/>
      </w:pPr>
      <w:r>
        <w:t>Al netto</w:t>
      </w:r>
      <w:r w:rsidR="00201FEF" w:rsidRPr="00201FEF">
        <w:t xml:space="preserve"> </w:t>
      </w:r>
      <w:r>
        <w:t>del</w:t>
      </w:r>
      <w:r w:rsidR="00201FEF" w:rsidRPr="00201FEF">
        <w:t>le sentenze che i</w:t>
      </w:r>
      <w:r w:rsidR="00C10CB8">
        <w:t>mpatta</w:t>
      </w:r>
      <w:r w:rsidR="00201FEF">
        <w:t xml:space="preserve">no </w:t>
      </w:r>
      <w:r w:rsidR="00201FEF" w:rsidRPr="00201FEF">
        <w:t>direttamente sull</w:t>
      </w:r>
      <w:r w:rsidR="00201FEF">
        <w:t xml:space="preserve">’impianto </w:t>
      </w:r>
      <w:r w:rsidR="00201FEF" w:rsidRPr="00201FEF">
        <w:t>legislativ</w:t>
      </w:r>
      <w:r w:rsidR="00201FEF">
        <w:t>o</w:t>
      </w:r>
      <w:r w:rsidR="003B3D2C">
        <w:t>,</w:t>
      </w:r>
      <w:r w:rsidR="00201FEF" w:rsidRPr="00201FEF">
        <w:t xml:space="preserve"> </w:t>
      </w:r>
      <w:r w:rsidR="00C5744F">
        <w:t xml:space="preserve">modificandolo, </w:t>
      </w:r>
      <w:r w:rsidR="006E1558">
        <w:t xml:space="preserve">quali </w:t>
      </w:r>
      <w:r w:rsidR="007B6E49">
        <w:t xml:space="preserve">sono </w:t>
      </w:r>
      <w:r w:rsidR="00201FEF" w:rsidRPr="00201FEF">
        <w:t xml:space="preserve">quelle della </w:t>
      </w:r>
      <w:r w:rsidR="004C5004">
        <w:t>c</w:t>
      </w:r>
      <w:r w:rsidR="00201FEF" w:rsidRPr="00201FEF">
        <w:t xml:space="preserve">orte costituzionale </w:t>
      </w:r>
      <w:r w:rsidR="006E1558">
        <w:t>e</w:t>
      </w:r>
      <w:r w:rsidR="00201FEF" w:rsidRPr="00201FEF">
        <w:t xml:space="preserve"> della </w:t>
      </w:r>
      <w:r w:rsidR="004C5004">
        <w:t>c</w:t>
      </w:r>
      <w:r w:rsidR="00201FEF" w:rsidRPr="00201FEF">
        <w:t>orte di giustizia dell’Unione europea</w:t>
      </w:r>
      <w:r w:rsidR="007A48D3">
        <w:rPr>
          <w:rStyle w:val="Rimandonotaapidipagina"/>
        </w:rPr>
        <w:footnoteReference w:id="3"/>
      </w:r>
      <w:r w:rsidR="00201FEF" w:rsidRPr="00201FEF">
        <w:t>,</w:t>
      </w:r>
      <w:r w:rsidR="00201FEF">
        <w:t xml:space="preserve"> n</w:t>
      </w:r>
      <w:r w:rsidR="00BF67C5">
        <w:t xml:space="preserve">el </w:t>
      </w:r>
      <w:r w:rsidR="00EE672C">
        <w:t>process</w:t>
      </w:r>
      <w:r w:rsidR="00BF67C5">
        <w:t xml:space="preserve">o amministrativo </w:t>
      </w:r>
      <w:r w:rsidR="006E1558">
        <w:t xml:space="preserve">di primo grado </w:t>
      </w:r>
      <w:r w:rsidR="003B3D2C">
        <w:t>tr</w:t>
      </w:r>
      <w:r w:rsidR="00BF67C5">
        <w:t xml:space="preserve">e sono le ipotesi in cui </w:t>
      </w:r>
      <w:r w:rsidR="00BF67C5" w:rsidRPr="00BF67C5">
        <w:t xml:space="preserve">il giudice è </w:t>
      </w:r>
      <w:r w:rsidR="007B4ADD">
        <w:t>vincolato</w:t>
      </w:r>
      <w:r w:rsidR="00BF67C5" w:rsidRPr="00BF67C5">
        <w:t xml:space="preserve"> </w:t>
      </w:r>
      <w:r w:rsidR="007B4ADD">
        <w:t>d</w:t>
      </w:r>
      <w:r w:rsidR="00BF67C5" w:rsidRPr="00BF67C5">
        <w:t>a</w:t>
      </w:r>
      <w:r w:rsidR="00C10CB8">
        <w:t xml:space="preserve"> un</w:t>
      </w:r>
      <w:r w:rsidR="00BF67C5" w:rsidRPr="00BF67C5">
        <w:t xml:space="preserve"> precedente</w:t>
      </w:r>
      <w:r w:rsidR="006E1558">
        <w:t>.</w:t>
      </w:r>
    </w:p>
    <w:p w14:paraId="2E5A5A8E" w14:textId="40A1C3C2" w:rsidR="00BF67C5" w:rsidRDefault="00BF67C5" w:rsidP="00CD3C9C">
      <w:pPr>
        <w:ind w:firstLine="993"/>
      </w:pPr>
      <w:r>
        <w:t xml:space="preserve">La prima riguarda il precedente </w:t>
      </w:r>
      <w:r w:rsidRPr="00EB55DC">
        <w:rPr>
          <w:i/>
          <w:iCs/>
        </w:rPr>
        <w:t>interno</w:t>
      </w:r>
      <w:r>
        <w:t xml:space="preserve"> e si ricava dall’art. 105</w:t>
      </w:r>
      <w:r w:rsidR="00FA249C">
        <w:t>, comma 1,</w:t>
      </w:r>
      <w:r>
        <w:t xml:space="preserve"> c.p.a., secondo cui “</w:t>
      </w:r>
      <w:r w:rsidR="00F74871">
        <w:rPr>
          <w:rFonts w:cs="Times New Roman"/>
        </w:rPr>
        <w:t>i</w:t>
      </w:r>
      <w:r w:rsidRPr="00715C75">
        <w:rPr>
          <w:rFonts w:cs="Times New Roman"/>
        </w:rPr>
        <w:t xml:space="preserve">l </w:t>
      </w:r>
      <w:r w:rsidR="004C5004">
        <w:rPr>
          <w:rFonts w:cs="Times New Roman"/>
        </w:rPr>
        <w:t>c</w:t>
      </w:r>
      <w:r w:rsidRPr="00715C75">
        <w:rPr>
          <w:rFonts w:cs="Times New Roman"/>
        </w:rPr>
        <w:t xml:space="preserve">onsiglio di </w:t>
      </w:r>
      <w:r w:rsidR="00F74871">
        <w:rPr>
          <w:rFonts w:cs="Times New Roman"/>
        </w:rPr>
        <w:t>s</w:t>
      </w:r>
      <w:r w:rsidRPr="00715C75">
        <w:rPr>
          <w:rFonts w:cs="Times New Roman"/>
        </w:rPr>
        <w:t>tato rimette la causa al giudice di primo grado soltanto se è mancato il contraddittorio, oppure è stato leso il diritto di difesa di una delle parti, ovvero dichiara la nullità della sentenza, o riforma la sentenza o l’ordinanza che ha declinato la giurisdizione o ha pronunciato sulla competenza o ha dichiarato l’estinzione o la perenzione del giudizio</w:t>
      </w:r>
      <w:r>
        <w:t>”.</w:t>
      </w:r>
    </w:p>
    <w:p w14:paraId="0F781757" w14:textId="57727820" w:rsidR="00BF67C5" w:rsidRDefault="00BF67C5" w:rsidP="00CD3C9C">
      <w:pPr>
        <w:ind w:firstLine="993"/>
        <w:rPr>
          <w:rFonts w:cs="Times New Roman"/>
        </w:rPr>
      </w:pPr>
      <w:r>
        <w:rPr>
          <w:rFonts w:cs="Times New Roman"/>
        </w:rPr>
        <w:t>È evidente c</w:t>
      </w:r>
      <w:r w:rsidR="004B556A">
        <w:rPr>
          <w:rFonts w:cs="Times New Roman"/>
        </w:rPr>
        <w:t>h</w:t>
      </w:r>
      <w:r>
        <w:rPr>
          <w:rFonts w:cs="Times New Roman"/>
        </w:rPr>
        <w:t xml:space="preserve">e, nel rinnovare il giudizio, </w:t>
      </w:r>
      <w:r w:rsidR="006E1558">
        <w:rPr>
          <w:rFonts w:cs="Times New Roman"/>
        </w:rPr>
        <w:t>sia</w:t>
      </w:r>
      <w:r>
        <w:rPr>
          <w:rFonts w:cs="Times New Roman"/>
        </w:rPr>
        <w:t xml:space="preserve"> fatto divieto al giudice </w:t>
      </w:r>
      <w:r w:rsidR="00C10CB8" w:rsidRPr="00C10CB8">
        <w:rPr>
          <w:rFonts w:cs="Times New Roman"/>
          <w:i/>
          <w:iCs/>
        </w:rPr>
        <w:t>ad quem</w:t>
      </w:r>
      <w:r w:rsidR="00C10CB8">
        <w:rPr>
          <w:rFonts w:cs="Times New Roman"/>
        </w:rPr>
        <w:t xml:space="preserve"> </w:t>
      </w:r>
      <w:r>
        <w:rPr>
          <w:rFonts w:cs="Times New Roman"/>
        </w:rPr>
        <w:t>di replicare la causa che ha dato luogo all’annullamento con rinvio.</w:t>
      </w:r>
    </w:p>
    <w:p w14:paraId="682556B7" w14:textId="66848E3A" w:rsidR="00BF67C5" w:rsidRDefault="00BF67C5" w:rsidP="00CD3C9C">
      <w:pPr>
        <w:ind w:firstLine="993"/>
        <w:rPr>
          <w:rFonts w:cs="Times New Roman"/>
        </w:rPr>
      </w:pPr>
      <w:r>
        <w:rPr>
          <w:rFonts w:cs="Times New Roman"/>
        </w:rPr>
        <w:t xml:space="preserve">La seconda ipotesi riguarda il precedente </w:t>
      </w:r>
      <w:r w:rsidRPr="00EB55DC">
        <w:rPr>
          <w:rFonts w:cs="Times New Roman"/>
          <w:i/>
          <w:iCs/>
        </w:rPr>
        <w:t xml:space="preserve">esterno </w:t>
      </w:r>
      <w:r w:rsidR="00EE672C">
        <w:rPr>
          <w:rFonts w:cs="Times New Roman"/>
        </w:rPr>
        <w:t>fatto valere n</w:t>
      </w:r>
      <w:r w:rsidR="003B3D2C" w:rsidRPr="003B3D2C">
        <w:rPr>
          <w:rFonts w:cs="Times New Roman"/>
        </w:rPr>
        <w:t>el</w:t>
      </w:r>
      <w:r w:rsidR="00C10CB8">
        <w:rPr>
          <w:rFonts w:cs="Times New Roman"/>
        </w:rPr>
        <w:t xml:space="preserve"> </w:t>
      </w:r>
      <w:r w:rsidR="003B3D2C" w:rsidRPr="003B3D2C">
        <w:rPr>
          <w:rFonts w:cs="Times New Roman"/>
        </w:rPr>
        <w:t xml:space="preserve">giudizio </w:t>
      </w:r>
      <w:r w:rsidR="00EE672C">
        <w:rPr>
          <w:rFonts w:cs="Times New Roman"/>
        </w:rPr>
        <w:t xml:space="preserve">d’ottemperanza </w:t>
      </w:r>
      <w:r>
        <w:rPr>
          <w:rFonts w:cs="Times New Roman"/>
        </w:rPr>
        <w:t xml:space="preserve">e si ricava dall’art. </w:t>
      </w:r>
      <w:r w:rsidR="00FA249C">
        <w:rPr>
          <w:rFonts w:cs="Times New Roman"/>
        </w:rPr>
        <w:t>3</w:t>
      </w:r>
      <w:r>
        <w:rPr>
          <w:rFonts w:cs="Times New Roman"/>
        </w:rPr>
        <w:t>4</w:t>
      </w:r>
      <w:r w:rsidR="00FA249C">
        <w:rPr>
          <w:rFonts w:cs="Times New Roman"/>
        </w:rPr>
        <w:t>, comma 1,</w:t>
      </w:r>
      <w:r>
        <w:rPr>
          <w:rFonts w:cs="Times New Roman"/>
        </w:rPr>
        <w:t xml:space="preserve"> c.p.a., </w:t>
      </w:r>
      <w:r w:rsidR="00FA249C">
        <w:rPr>
          <w:rFonts w:cs="Times New Roman"/>
        </w:rPr>
        <w:t>secondo cui “</w:t>
      </w:r>
      <w:r w:rsidR="00F74871">
        <w:rPr>
          <w:rFonts w:cs="Times New Roman"/>
        </w:rPr>
        <w:t>i</w:t>
      </w:r>
      <w:r w:rsidR="00FA249C" w:rsidRPr="00715C75">
        <w:rPr>
          <w:rFonts w:cs="Times New Roman"/>
        </w:rPr>
        <w:t>n caso di accoglimento del ricorso il giudice, nei limiti della domanda:</w:t>
      </w:r>
      <w:r w:rsidR="00FA249C">
        <w:rPr>
          <w:rFonts w:cs="Times New Roman"/>
        </w:rPr>
        <w:t xml:space="preserve"> </w:t>
      </w:r>
      <w:r w:rsidR="008F596A">
        <w:rPr>
          <w:rFonts w:cs="Times New Roman"/>
        </w:rPr>
        <w:t xml:space="preserve">… </w:t>
      </w:r>
      <w:r w:rsidR="00FA249C" w:rsidRPr="006E1558">
        <w:rPr>
          <w:rFonts w:cs="Times New Roman"/>
          <w:i/>
          <w:iCs/>
        </w:rPr>
        <w:t>e)</w:t>
      </w:r>
      <w:r w:rsidR="00FA249C" w:rsidRPr="00715C75">
        <w:rPr>
          <w:rFonts w:cs="Times New Roman"/>
        </w:rPr>
        <w:t xml:space="preserve"> dispone le misure idonee ad assicurare l’attuazione del giudicato e delle pronunce non sospese</w:t>
      </w:r>
      <w:r w:rsidR="008F596A">
        <w:rPr>
          <w:rFonts w:cs="Times New Roman"/>
        </w:rPr>
        <w:t xml:space="preserve"> …</w:t>
      </w:r>
      <w:r w:rsidR="00FA249C">
        <w:rPr>
          <w:rFonts w:cs="Times New Roman"/>
        </w:rPr>
        <w:t>”.</w:t>
      </w:r>
    </w:p>
    <w:p w14:paraId="2F698D48" w14:textId="16CE8279" w:rsidR="00FA249C" w:rsidRDefault="00FA249C" w:rsidP="00CD3C9C">
      <w:pPr>
        <w:ind w:firstLine="993"/>
        <w:rPr>
          <w:rFonts w:cs="Times New Roman"/>
        </w:rPr>
      </w:pPr>
      <w:r>
        <w:rPr>
          <w:rFonts w:cs="Times New Roman"/>
        </w:rPr>
        <w:lastRenderedPageBreak/>
        <w:t xml:space="preserve">Ciò significa che il giudice non può </w:t>
      </w:r>
      <w:r w:rsidR="008F596A">
        <w:rPr>
          <w:rFonts w:cs="Times New Roman"/>
        </w:rPr>
        <w:t>esime</w:t>
      </w:r>
      <w:r>
        <w:rPr>
          <w:rFonts w:cs="Times New Roman"/>
        </w:rPr>
        <w:t xml:space="preserve">rsi </w:t>
      </w:r>
      <w:r w:rsidR="008F596A">
        <w:rPr>
          <w:rFonts w:cs="Times New Roman"/>
        </w:rPr>
        <w:t xml:space="preserve">dal dare </w:t>
      </w:r>
      <w:r w:rsidR="00EE672C">
        <w:rPr>
          <w:rFonts w:cs="Times New Roman"/>
        </w:rPr>
        <w:t>esecu</w:t>
      </w:r>
      <w:r w:rsidR="008F596A">
        <w:rPr>
          <w:rFonts w:cs="Times New Roman"/>
        </w:rPr>
        <w:t xml:space="preserve">zione </w:t>
      </w:r>
      <w:r>
        <w:rPr>
          <w:rFonts w:cs="Times New Roman"/>
        </w:rPr>
        <w:t xml:space="preserve">alla </w:t>
      </w:r>
      <w:r w:rsidR="008F596A">
        <w:rPr>
          <w:rFonts w:cs="Times New Roman"/>
        </w:rPr>
        <w:t>decisione</w:t>
      </w:r>
      <w:r>
        <w:rPr>
          <w:rFonts w:cs="Times New Roman"/>
        </w:rPr>
        <w:t xml:space="preserve"> </w:t>
      </w:r>
      <w:r w:rsidR="008F596A">
        <w:rPr>
          <w:rFonts w:cs="Times New Roman"/>
        </w:rPr>
        <w:t>presupposta</w:t>
      </w:r>
      <w:r w:rsidR="00C10CB8">
        <w:rPr>
          <w:rFonts w:cs="Times New Roman"/>
        </w:rPr>
        <w:t>,</w:t>
      </w:r>
      <w:r>
        <w:rPr>
          <w:rFonts w:cs="Times New Roman"/>
        </w:rPr>
        <w:t xml:space="preserve"> anche </w:t>
      </w:r>
      <w:r w:rsidR="004B556A">
        <w:rPr>
          <w:rFonts w:cs="Times New Roman"/>
        </w:rPr>
        <w:t>ove</w:t>
      </w:r>
      <w:r w:rsidR="003B3D2C">
        <w:rPr>
          <w:rFonts w:cs="Times New Roman"/>
        </w:rPr>
        <w:t xml:space="preserve"> </w:t>
      </w:r>
      <w:r>
        <w:rPr>
          <w:rFonts w:cs="Times New Roman"/>
        </w:rPr>
        <w:t>non la condivid</w:t>
      </w:r>
      <w:r w:rsidR="00EE672C">
        <w:rPr>
          <w:rFonts w:cs="Times New Roman"/>
        </w:rPr>
        <w:t>a</w:t>
      </w:r>
      <w:r>
        <w:rPr>
          <w:rFonts w:cs="Times New Roman"/>
        </w:rPr>
        <w:t xml:space="preserve">, con la precisazione che, in genere, </w:t>
      </w:r>
      <w:r w:rsidR="008F596A" w:rsidRPr="00FA249C">
        <w:rPr>
          <w:rFonts w:cs="Times New Roman"/>
        </w:rPr>
        <w:t xml:space="preserve">l’ottemperanza </w:t>
      </w:r>
      <w:r w:rsidR="008F596A">
        <w:rPr>
          <w:rFonts w:cs="Times New Roman"/>
        </w:rPr>
        <w:t>d</w:t>
      </w:r>
      <w:r w:rsidRPr="00FA249C">
        <w:rPr>
          <w:rFonts w:cs="Times New Roman"/>
        </w:rPr>
        <w:t xml:space="preserve">elle </w:t>
      </w:r>
      <w:r w:rsidR="008F596A">
        <w:rPr>
          <w:rFonts w:cs="Times New Roman"/>
        </w:rPr>
        <w:t>statuiz</w:t>
      </w:r>
      <w:r w:rsidR="007B4ADD">
        <w:rPr>
          <w:rFonts w:cs="Times New Roman"/>
        </w:rPr>
        <w:t xml:space="preserve">ioni </w:t>
      </w:r>
      <w:r w:rsidRPr="00FA249C">
        <w:rPr>
          <w:rFonts w:cs="Times New Roman"/>
        </w:rPr>
        <w:t xml:space="preserve">del </w:t>
      </w:r>
      <w:r w:rsidR="001723E6" w:rsidRPr="00FA249C">
        <w:rPr>
          <w:rFonts w:cs="Times New Roman"/>
        </w:rPr>
        <w:t>g.o</w:t>
      </w:r>
      <w:r w:rsidRPr="00FA249C">
        <w:rPr>
          <w:rFonts w:cs="Times New Roman"/>
        </w:rPr>
        <w:t xml:space="preserve">. </w:t>
      </w:r>
      <w:r>
        <w:rPr>
          <w:rFonts w:cs="Times New Roman"/>
        </w:rPr>
        <w:t>assume un</w:t>
      </w:r>
      <w:r w:rsidRPr="00FA249C">
        <w:rPr>
          <w:rFonts w:cs="Times New Roman"/>
        </w:rPr>
        <w:t xml:space="preserve">a valenza </w:t>
      </w:r>
      <w:r>
        <w:rPr>
          <w:rFonts w:cs="Times New Roman"/>
        </w:rPr>
        <w:t>più strettamente</w:t>
      </w:r>
      <w:r w:rsidRPr="00FA249C">
        <w:rPr>
          <w:rFonts w:cs="Times New Roman"/>
        </w:rPr>
        <w:t xml:space="preserve"> esecutiva</w:t>
      </w:r>
      <w:r>
        <w:rPr>
          <w:rFonts w:cs="Times New Roman"/>
        </w:rPr>
        <w:t>,</w:t>
      </w:r>
      <w:r w:rsidRPr="00FA249C">
        <w:rPr>
          <w:rFonts w:cs="Times New Roman"/>
        </w:rPr>
        <w:t xml:space="preserve"> </w:t>
      </w:r>
      <w:r w:rsidR="003B3D2C" w:rsidRPr="00FA249C">
        <w:rPr>
          <w:rFonts w:cs="Times New Roman"/>
        </w:rPr>
        <w:t>quanto all’interpretazione del comando, all’accertamento della sua violazione e</w:t>
      </w:r>
      <w:r w:rsidR="003B3D2C">
        <w:rPr>
          <w:rFonts w:cs="Times New Roman"/>
        </w:rPr>
        <w:t>d</w:t>
      </w:r>
      <w:r w:rsidR="003B3D2C" w:rsidRPr="00FA249C">
        <w:rPr>
          <w:rFonts w:cs="Times New Roman"/>
        </w:rPr>
        <w:t xml:space="preserve"> alla determinazione dell’attività da porre in essere al fine di </w:t>
      </w:r>
      <w:r w:rsidR="003B3D2C">
        <w:rPr>
          <w:rFonts w:cs="Times New Roman"/>
        </w:rPr>
        <w:t>e</w:t>
      </w:r>
      <w:r w:rsidR="003B3D2C" w:rsidRPr="00FA249C">
        <w:rPr>
          <w:rFonts w:cs="Times New Roman"/>
        </w:rPr>
        <w:t xml:space="preserve">seguire la pronuncia di merito, </w:t>
      </w:r>
      <w:r w:rsidRPr="00FA249C">
        <w:rPr>
          <w:rFonts w:cs="Times New Roman"/>
        </w:rPr>
        <w:t>mentre quell</w:t>
      </w:r>
      <w:r w:rsidR="007B4ADD">
        <w:rPr>
          <w:rFonts w:cs="Times New Roman"/>
        </w:rPr>
        <w:t>a dell</w:t>
      </w:r>
      <w:r w:rsidRPr="00FA249C">
        <w:rPr>
          <w:rFonts w:cs="Times New Roman"/>
        </w:rPr>
        <w:t xml:space="preserve">e </w:t>
      </w:r>
      <w:r w:rsidR="008F596A">
        <w:rPr>
          <w:rFonts w:cs="Times New Roman"/>
        </w:rPr>
        <w:t>statuizi</w:t>
      </w:r>
      <w:r w:rsidR="007B4ADD">
        <w:rPr>
          <w:rFonts w:cs="Times New Roman"/>
        </w:rPr>
        <w:t xml:space="preserve">oni </w:t>
      </w:r>
      <w:r w:rsidRPr="00FA249C">
        <w:rPr>
          <w:rFonts w:cs="Times New Roman"/>
        </w:rPr>
        <w:t xml:space="preserve">del </w:t>
      </w:r>
      <w:r w:rsidR="001723E6" w:rsidRPr="00FA249C">
        <w:rPr>
          <w:rFonts w:cs="Times New Roman"/>
        </w:rPr>
        <w:t>g.a</w:t>
      </w:r>
      <w:r w:rsidRPr="00FA249C">
        <w:rPr>
          <w:rFonts w:cs="Times New Roman"/>
        </w:rPr>
        <w:t>. s</w:t>
      </w:r>
      <w:r>
        <w:rPr>
          <w:rFonts w:cs="Times New Roman"/>
        </w:rPr>
        <w:t>i</w:t>
      </w:r>
      <w:r w:rsidRPr="00FA249C">
        <w:rPr>
          <w:rFonts w:cs="Times New Roman"/>
        </w:rPr>
        <w:t xml:space="preserve"> connota da un maggior</w:t>
      </w:r>
      <w:r w:rsidR="007B4ADD">
        <w:rPr>
          <w:rFonts w:cs="Times New Roman"/>
        </w:rPr>
        <w:t>e</w:t>
      </w:r>
      <w:r w:rsidRPr="00FA249C">
        <w:rPr>
          <w:rFonts w:cs="Times New Roman"/>
        </w:rPr>
        <w:t xml:space="preserve"> contenuto cognitivo</w:t>
      </w:r>
      <w:r w:rsidR="00201FEF">
        <w:rPr>
          <w:rStyle w:val="Rimandonotaapidipagina"/>
          <w:rFonts w:cs="Times New Roman"/>
        </w:rPr>
        <w:footnoteReference w:id="4"/>
      </w:r>
      <w:r>
        <w:rPr>
          <w:rFonts w:cs="Times New Roman"/>
        </w:rPr>
        <w:t>.</w:t>
      </w:r>
    </w:p>
    <w:p w14:paraId="5D198DB9" w14:textId="6FFE4FD7" w:rsidR="00DA6A4A" w:rsidRDefault="003B3D2C" w:rsidP="00CD3C9C">
      <w:pPr>
        <w:ind w:firstLine="993"/>
        <w:rPr>
          <w:rFonts w:cs="Times New Roman"/>
        </w:rPr>
      </w:pPr>
      <w:r>
        <w:rPr>
          <w:rFonts w:cs="Times New Roman"/>
        </w:rPr>
        <w:t>La terza ipotesi riguarda il giudicato</w:t>
      </w:r>
      <w:r w:rsidR="00C10CB8">
        <w:rPr>
          <w:rFonts w:cs="Times New Roman"/>
        </w:rPr>
        <w:t>,</w:t>
      </w:r>
      <w:r>
        <w:rPr>
          <w:rFonts w:cs="Times New Roman"/>
        </w:rPr>
        <w:t xml:space="preserve"> </w:t>
      </w:r>
      <w:r w:rsidRPr="004216A2">
        <w:rPr>
          <w:rFonts w:cs="Times New Roman"/>
          <w:i/>
          <w:iCs/>
        </w:rPr>
        <w:t>interno</w:t>
      </w:r>
      <w:r>
        <w:rPr>
          <w:rFonts w:cs="Times New Roman"/>
        </w:rPr>
        <w:t xml:space="preserve"> od </w:t>
      </w:r>
      <w:r w:rsidRPr="004216A2">
        <w:rPr>
          <w:rFonts w:cs="Times New Roman"/>
          <w:i/>
          <w:iCs/>
        </w:rPr>
        <w:t>esterno</w:t>
      </w:r>
      <w:r w:rsidR="00C10CB8">
        <w:rPr>
          <w:rFonts w:cs="Times New Roman"/>
        </w:rPr>
        <w:t>,</w:t>
      </w:r>
      <w:r>
        <w:rPr>
          <w:rFonts w:cs="Times New Roman"/>
        </w:rPr>
        <w:t xml:space="preserve"> formatosi su una parte della controversia</w:t>
      </w:r>
      <w:r w:rsidRPr="00DA6A4A">
        <w:rPr>
          <w:rFonts w:cs="Times New Roman"/>
        </w:rPr>
        <w:t xml:space="preserve"> </w:t>
      </w:r>
      <w:r w:rsidR="00C5744F">
        <w:rPr>
          <w:rFonts w:cs="Times New Roman"/>
        </w:rPr>
        <w:t xml:space="preserve">o su un </w:t>
      </w:r>
      <w:r w:rsidR="00EE672C">
        <w:rPr>
          <w:rFonts w:cs="Times New Roman"/>
        </w:rPr>
        <w:t xml:space="preserve">suo </w:t>
      </w:r>
      <w:r w:rsidR="00C5744F">
        <w:rPr>
          <w:rFonts w:cs="Times New Roman"/>
        </w:rPr>
        <w:t>antecedente logico-giuridico, il qual</w:t>
      </w:r>
      <w:r w:rsidRPr="003B3D2C">
        <w:rPr>
          <w:rFonts w:cs="Times New Roman"/>
        </w:rPr>
        <w:t>e</w:t>
      </w:r>
      <w:r>
        <w:rPr>
          <w:rFonts w:cs="Times New Roman"/>
        </w:rPr>
        <w:t>, ai sensi de</w:t>
      </w:r>
      <w:r w:rsidR="00DA6A4A">
        <w:rPr>
          <w:rFonts w:cs="Times New Roman"/>
        </w:rPr>
        <w:t>ll’</w:t>
      </w:r>
      <w:r w:rsidRPr="003B3D2C">
        <w:rPr>
          <w:rFonts w:cs="Times New Roman"/>
        </w:rPr>
        <w:t xml:space="preserve">art. 2909 c.c., </w:t>
      </w:r>
      <w:r w:rsidR="00DA6A4A">
        <w:rPr>
          <w:rFonts w:cs="Times New Roman"/>
        </w:rPr>
        <w:t>“</w:t>
      </w:r>
      <w:r w:rsidR="00DA6A4A" w:rsidRPr="00DA6A4A">
        <w:rPr>
          <w:rFonts w:cs="Times New Roman"/>
        </w:rPr>
        <w:t>fa stato a ogni effetto tra le parti, i loro </w:t>
      </w:r>
      <w:hyperlink r:id="rId8" w:tooltip="Dizionario Giuridico: Eredità" w:history="1">
        <w:r w:rsidR="00DA6A4A" w:rsidRPr="00DA6A4A">
          <w:t>eredi</w:t>
        </w:r>
      </w:hyperlink>
      <w:r w:rsidR="00DA6A4A" w:rsidRPr="00DA6A4A">
        <w:rPr>
          <w:rFonts w:cs="Times New Roman"/>
        </w:rPr>
        <w:t> o </w:t>
      </w:r>
      <w:hyperlink r:id="rId9" w:tooltip="Dizionario Giuridico: Avente causa" w:history="1">
        <w:r w:rsidR="00DA6A4A" w:rsidRPr="00DA6A4A">
          <w:t>aventi causa</w:t>
        </w:r>
      </w:hyperlink>
      <w:r w:rsidR="00DA6A4A">
        <w:rPr>
          <w:rFonts w:cs="Times New Roman"/>
        </w:rPr>
        <w:t>”</w:t>
      </w:r>
      <w:r w:rsidR="00C5744F">
        <w:rPr>
          <w:rFonts w:cs="Times New Roman"/>
        </w:rPr>
        <w:t xml:space="preserve">, </w:t>
      </w:r>
      <w:r w:rsidR="00DA6A4A">
        <w:rPr>
          <w:rFonts w:cs="Times New Roman"/>
        </w:rPr>
        <w:t>determina</w:t>
      </w:r>
      <w:r w:rsidR="00C5744F">
        <w:rPr>
          <w:rFonts w:cs="Times New Roman"/>
        </w:rPr>
        <w:t>ndo</w:t>
      </w:r>
      <w:r w:rsidR="00DA6A4A">
        <w:rPr>
          <w:rFonts w:cs="Times New Roman"/>
        </w:rPr>
        <w:t xml:space="preserve"> u</w:t>
      </w:r>
      <w:r w:rsidR="00DA6A4A" w:rsidRPr="00DA6A4A">
        <w:rPr>
          <w:rFonts w:cs="Times New Roman"/>
        </w:rPr>
        <w:t>n effetto preclusivo</w:t>
      </w:r>
      <w:r w:rsidR="00DA6A4A">
        <w:rPr>
          <w:rFonts w:cs="Times New Roman"/>
        </w:rPr>
        <w:t xml:space="preserve"> </w:t>
      </w:r>
      <w:r w:rsidR="00C5744F">
        <w:rPr>
          <w:rFonts w:cs="Times New Roman"/>
        </w:rPr>
        <w:t>su</w:t>
      </w:r>
      <w:r w:rsidR="00DA6A4A">
        <w:rPr>
          <w:rFonts w:cs="Times New Roman"/>
        </w:rPr>
        <w:t>l giudice</w:t>
      </w:r>
      <w:r w:rsidR="00C10CB8">
        <w:rPr>
          <w:rFonts w:cs="Times New Roman"/>
        </w:rPr>
        <w:t xml:space="preserve">, cui è impedito </w:t>
      </w:r>
      <w:r w:rsidR="006E1558">
        <w:rPr>
          <w:rFonts w:cs="Times New Roman"/>
        </w:rPr>
        <w:t>ripronunciarsi</w:t>
      </w:r>
      <w:r w:rsidR="00DA6A4A" w:rsidRPr="00DA6A4A">
        <w:rPr>
          <w:rFonts w:cs="Times New Roman"/>
        </w:rPr>
        <w:t xml:space="preserve"> </w:t>
      </w:r>
      <w:r w:rsidR="006E1558">
        <w:rPr>
          <w:rFonts w:cs="Times New Roman"/>
        </w:rPr>
        <w:t>su</w:t>
      </w:r>
      <w:r w:rsidR="00DA6A4A" w:rsidRPr="00DA6A4A">
        <w:rPr>
          <w:rFonts w:cs="Times New Roman"/>
        </w:rPr>
        <w:t>lla questione</w:t>
      </w:r>
      <w:r w:rsidR="001F5E3B">
        <w:rPr>
          <w:rFonts w:cs="Times New Roman"/>
        </w:rPr>
        <w:t xml:space="preserve"> risolta</w:t>
      </w:r>
      <w:r w:rsidR="00DA6A4A" w:rsidRPr="00DA6A4A">
        <w:rPr>
          <w:rFonts w:cs="Times New Roman"/>
        </w:rPr>
        <w:t xml:space="preserve"> </w:t>
      </w:r>
      <w:r w:rsidR="00C5744F">
        <w:rPr>
          <w:rFonts w:cs="Times New Roman"/>
        </w:rPr>
        <w:t>con la</w:t>
      </w:r>
      <w:r w:rsidR="001F5E3B">
        <w:rPr>
          <w:rFonts w:cs="Times New Roman"/>
        </w:rPr>
        <w:t xml:space="preserve"> </w:t>
      </w:r>
      <w:r w:rsidR="00DA6A4A" w:rsidRPr="00DA6A4A">
        <w:rPr>
          <w:rFonts w:cs="Times New Roman"/>
        </w:rPr>
        <w:t>statuizione non impugnata.</w:t>
      </w:r>
    </w:p>
    <w:p w14:paraId="170DB2C3" w14:textId="7D80E134" w:rsidR="00C85D19" w:rsidRDefault="00C5744F" w:rsidP="00CD3C9C">
      <w:pPr>
        <w:ind w:firstLine="993"/>
        <w:rPr>
          <w:rFonts w:cs="Times New Roman"/>
        </w:rPr>
      </w:pPr>
      <w:r>
        <w:rPr>
          <w:rFonts w:cs="Times New Roman"/>
        </w:rPr>
        <w:t>Si pensi alle decisioni su</w:t>
      </w:r>
      <w:r w:rsidR="008E2D4C">
        <w:rPr>
          <w:rFonts w:cs="Times New Roman"/>
        </w:rPr>
        <w:t>lle</w:t>
      </w:r>
      <w:r>
        <w:rPr>
          <w:rFonts w:cs="Times New Roman"/>
        </w:rPr>
        <w:t xml:space="preserve"> questioni </w:t>
      </w:r>
      <w:r w:rsidRPr="00715C75">
        <w:rPr>
          <w:rFonts w:cs="Times New Roman"/>
        </w:rPr>
        <w:t xml:space="preserve">pregiudiziali </w:t>
      </w:r>
      <w:r>
        <w:rPr>
          <w:rFonts w:cs="Times New Roman"/>
        </w:rPr>
        <w:t xml:space="preserve">di cui all’art. 7 c.p.a., </w:t>
      </w:r>
      <w:r w:rsidR="00EE672C">
        <w:rPr>
          <w:rFonts w:cs="Times New Roman"/>
        </w:rPr>
        <w:t>(</w:t>
      </w:r>
      <w:r w:rsidRPr="00715C75">
        <w:rPr>
          <w:rFonts w:cs="Times New Roman"/>
        </w:rPr>
        <w:t>stato</w:t>
      </w:r>
      <w:r>
        <w:rPr>
          <w:rFonts w:cs="Times New Roman"/>
        </w:rPr>
        <w:t xml:space="preserve"> e</w:t>
      </w:r>
      <w:r w:rsidRPr="00715C75">
        <w:rPr>
          <w:rFonts w:cs="Times New Roman"/>
        </w:rPr>
        <w:t xml:space="preserve"> capacità delle persone</w:t>
      </w:r>
      <w:r w:rsidR="006E1558">
        <w:rPr>
          <w:rFonts w:cs="Times New Roman"/>
        </w:rPr>
        <w:t xml:space="preserve">, </w:t>
      </w:r>
      <w:r w:rsidRPr="00715C75">
        <w:rPr>
          <w:rFonts w:cs="Times New Roman"/>
        </w:rPr>
        <w:t>incidente di falso</w:t>
      </w:r>
      <w:r w:rsidR="00EE672C">
        <w:rPr>
          <w:rFonts w:cs="Times New Roman"/>
        </w:rPr>
        <w:t>)</w:t>
      </w:r>
      <w:r>
        <w:rPr>
          <w:rFonts w:cs="Times New Roman"/>
        </w:rPr>
        <w:t xml:space="preserve">, al regolamento preventivo di giurisdizione ed al regolamento di competenza, alle sentenze non definitive ed a quelle che coprono </w:t>
      </w:r>
      <w:r w:rsidR="00623D04">
        <w:rPr>
          <w:rFonts w:cs="Times New Roman"/>
        </w:rPr>
        <w:t xml:space="preserve">una </w:t>
      </w:r>
      <w:r>
        <w:rPr>
          <w:rFonts w:cs="Times New Roman"/>
        </w:rPr>
        <w:t xml:space="preserve">parte del dedotto o </w:t>
      </w:r>
      <w:r w:rsidR="00623D04">
        <w:rPr>
          <w:rFonts w:cs="Times New Roman"/>
        </w:rPr>
        <w:t xml:space="preserve">del </w:t>
      </w:r>
      <w:r>
        <w:rPr>
          <w:rFonts w:cs="Times New Roman"/>
        </w:rPr>
        <w:t>deducibile.</w:t>
      </w:r>
    </w:p>
    <w:p w14:paraId="2638C60D" w14:textId="2C93DEC3" w:rsidR="00201FEF" w:rsidRDefault="007B4ADD" w:rsidP="00CD3C9C">
      <w:pPr>
        <w:ind w:firstLine="993"/>
      </w:pPr>
      <w:r>
        <w:t>U</w:t>
      </w:r>
      <w:r w:rsidR="003B3E6B" w:rsidRPr="00201FEF">
        <w:t>n’innegabile influenza</w:t>
      </w:r>
      <w:r w:rsidR="003B3E6B">
        <w:t xml:space="preserve"> </w:t>
      </w:r>
      <w:r w:rsidR="0025184A">
        <w:t>sul</w:t>
      </w:r>
      <w:r w:rsidR="006E1558">
        <w:t>la</w:t>
      </w:r>
      <w:r w:rsidR="001F5E3B">
        <w:t xml:space="preserve"> futur</w:t>
      </w:r>
      <w:r w:rsidR="006E1558">
        <w:t>a decisi</w:t>
      </w:r>
      <w:r w:rsidR="001F5E3B">
        <w:t>o</w:t>
      </w:r>
      <w:r w:rsidR="006E1558">
        <w:t>ne</w:t>
      </w:r>
      <w:r w:rsidR="0025184A">
        <w:t xml:space="preserve"> </w:t>
      </w:r>
      <w:r w:rsidR="004216A2">
        <w:t xml:space="preserve">può </w:t>
      </w:r>
      <w:r w:rsidR="006E1558">
        <w:t>deriva</w:t>
      </w:r>
      <w:r w:rsidR="004216A2">
        <w:t xml:space="preserve">re </w:t>
      </w:r>
      <w:r>
        <w:t>–</w:t>
      </w:r>
      <w:r w:rsidR="00A62CB7">
        <w:t xml:space="preserve"> </w:t>
      </w:r>
      <w:r>
        <w:t xml:space="preserve">mai </w:t>
      </w:r>
      <w:r w:rsidR="003B3D2C">
        <w:t>i</w:t>
      </w:r>
      <w:r>
        <w:t>n</w:t>
      </w:r>
      <w:r w:rsidR="003B3D2C">
        <w:t xml:space="preserve"> termini di</w:t>
      </w:r>
      <w:r>
        <w:t xml:space="preserve"> vincolo –</w:t>
      </w:r>
      <w:r w:rsidR="006E1558">
        <w:t xml:space="preserve"> </w:t>
      </w:r>
      <w:r w:rsidR="007D52A5">
        <w:t>dal</w:t>
      </w:r>
      <w:r w:rsidR="00201FEF">
        <w:t>l</w:t>
      </w:r>
      <w:r w:rsidR="00EA7B68">
        <w:t>’</w:t>
      </w:r>
      <w:r w:rsidR="00201FEF" w:rsidRPr="00201FEF">
        <w:t>autorevole</w:t>
      </w:r>
      <w:r w:rsidR="00201FEF">
        <w:t>zza de</w:t>
      </w:r>
      <w:r w:rsidR="00201FEF" w:rsidRPr="00201FEF">
        <w:t>l precedente</w:t>
      </w:r>
      <w:r w:rsidR="003B3E6B">
        <w:t>,</w:t>
      </w:r>
      <w:r w:rsidR="00201FEF" w:rsidRPr="00201FEF">
        <w:t xml:space="preserve"> </w:t>
      </w:r>
      <w:r w:rsidR="00EA7B68">
        <w:t>dovuta al</w:t>
      </w:r>
      <w:r w:rsidR="00201FEF" w:rsidRPr="00201FEF">
        <w:t>l</w:t>
      </w:r>
      <w:r w:rsidR="00201FEF">
        <w:t>a collocazione ordinamentale del</w:t>
      </w:r>
      <w:r w:rsidR="00201FEF" w:rsidRPr="00201FEF">
        <w:t xml:space="preserve"> giudice che lo ha emesso</w:t>
      </w:r>
      <w:r w:rsidR="00201FEF">
        <w:t xml:space="preserve"> e</w:t>
      </w:r>
      <w:r w:rsidR="003B3E6B">
        <w:t>/o</w:t>
      </w:r>
      <w:r w:rsidR="00201FEF">
        <w:t xml:space="preserve"> </w:t>
      </w:r>
      <w:r w:rsidR="00EA7B68">
        <w:t>al</w:t>
      </w:r>
      <w:r w:rsidR="003B3D2C">
        <w:t>la dovizia ed</w:t>
      </w:r>
      <w:r w:rsidR="007D52A5">
        <w:t xml:space="preserve"> </w:t>
      </w:r>
      <w:r w:rsidR="00EA7B68">
        <w:t>a</w:t>
      </w:r>
      <w:r w:rsidR="003B3D2C">
        <w:t>l</w:t>
      </w:r>
      <w:r w:rsidR="00201FEF" w:rsidRPr="00201FEF">
        <w:t xml:space="preserve"> grado di persuasività degli argomenti</w:t>
      </w:r>
      <w:r w:rsidR="00201FEF">
        <w:t xml:space="preserve"> utilizzati</w:t>
      </w:r>
      <w:r w:rsidR="00201FEF">
        <w:rPr>
          <w:rStyle w:val="Rimandonotaapidipagina"/>
        </w:rPr>
        <w:footnoteReference w:id="5"/>
      </w:r>
      <w:r w:rsidR="00201FEF" w:rsidRPr="00201FEF">
        <w:t>.</w:t>
      </w:r>
    </w:p>
    <w:p w14:paraId="6470D2E5" w14:textId="24011BD2" w:rsidR="00E875C7" w:rsidRDefault="003A5574" w:rsidP="00CD3C9C">
      <w:pPr>
        <w:ind w:firstLine="993"/>
      </w:pPr>
      <w:r>
        <w:t xml:space="preserve">Tale situazione </w:t>
      </w:r>
      <w:r w:rsidR="004F3E2B">
        <w:t>si trova</w:t>
      </w:r>
      <w:r>
        <w:t xml:space="preserve"> </w:t>
      </w:r>
      <w:r w:rsidR="00A24E3D">
        <w:t>disciplinata</w:t>
      </w:r>
      <w:r>
        <w:t xml:space="preserve"> </w:t>
      </w:r>
      <w:r w:rsidR="004F3E2B">
        <w:t>in</w:t>
      </w:r>
      <w:r>
        <w:t xml:space="preserve"> precise</w:t>
      </w:r>
      <w:r w:rsidR="00E875C7">
        <w:t xml:space="preserve"> norme processuali</w:t>
      </w:r>
      <w:r w:rsidRPr="00E875C7">
        <w:t xml:space="preserve">, </w:t>
      </w:r>
      <w:r>
        <w:t>come</w:t>
      </w:r>
      <w:r w:rsidRPr="00E875C7">
        <w:t xml:space="preserve"> l’art.</w:t>
      </w:r>
      <w:r>
        <w:t xml:space="preserve"> 74 c.p.a. e l’art.</w:t>
      </w:r>
      <w:r w:rsidRPr="00E875C7">
        <w:t xml:space="preserve"> 118, co</w:t>
      </w:r>
      <w:r>
        <w:t>mma</w:t>
      </w:r>
      <w:r w:rsidRPr="00E875C7">
        <w:t xml:space="preserve"> 1, d</w:t>
      </w:r>
      <w:r>
        <w:t>isp</w:t>
      </w:r>
      <w:r w:rsidRPr="00E875C7">
        <w:t>.</w:t>
      </w:r>
      <w:r>
        <w:t xml:space="preserve"> </w:t>
      </w:r>
      <w:r w:rsidRPr="00E875C7">
        <w:t>a</w:t>
      </w:r>
      <w:r>
        <w:t>tt</w:t>
      </w:r>
      <w:r w:rsidRPr="00E875C7">
        <w:t>.</w:t>
      </w:r>
      <w:r>
        <w:t xml:space="preserve"> </w:t>
      </w:r>
      <w:r w:rsidRPr="00E875C7">
        <w:t>c.p.c</w:t>
      </w:r>
      <w:r>
        <w:t>.,</w:t>
      </w:r>
      <w:r w:rsidR="00E875C7">
        <w:t xml:space="preserve"> che </w:t>
      </w:r>
      <w:r w:rsidR="00A24E3D">
        <w:t>consentono</w:t>
      </w:r>
      <w:r>
        <w:t xml:space="preserve"> la</w:t>
      </w:r>
      <w:r w:rsidR="00E875C7" w:rsidRPr="00E875C7">
        <w:t xml:space="preserve"> motiva</w:t>
      </w:r>
      <w:r>
        <w:t>zion</w:t>
      </w:r>
      <w:r w:rsidR="00E875C7" w:rsidRPr="00E875C7">
        <w:t>e</w:t>
      </w:r>
      <w:r w:rsidR="00E875C7">
        <w:t xml:space="preserve"> succinta</w:t>
      </w:r>
      <w:r w:rsidR="00E875C7" w:rsidRPr="00E875C7">
        <w:t xml:space="preserve"> </w:t>
      </w:r>
      <w:r>
        <w:t>del</w:t>
      </w:r>
      <w:r w:rsidR="00E875C7">
        <w:t>la decisione attraverso il</w:t>
      </w:r>
      <w:r w:rsidR="00E875C7" w:rsidRPr="00E875C7">
        <w:t xml:space="preserve"> richiamo a</w:t>
      </w:r>
      <w:r w:rsidR="00E875C7">
        <w:t>l</w:t>
      </w:r>
      <w:r w:rsidR="00E875C7" w:rsidRPr="00E875C7">
        <w:t xml:space="preserve"> precedent</w:t>
      </w:r>
      <w:r w:rsidR="00E875C7">
        <w:t>e</w:t>
      </w:r>
      <w:r w:rsidR="00EE6474">
        <w:t xml:space="preserve">, </w:t>
      </w:r>
      <w:r w:rsidR="003549F6">
        <w:t>“</w:t>
      </w:r>
      <w:r w:rsidR="00EE6474" w:rsidRPr="00EE6474">
        <w:t>in una prospettiva di riduzione dei tempi di definizione delle controversie</w:t>
      </w:r>
      <w:r w:rsidR="003549F6">
        <w:t>”</w:t>
      </w:r>
      <w:r w:rsidR="00EE6474">
        <w:rPr>
          <w:rStyle w:val="Rimandonotaapidipagina"/>
        </w:rPr>
        <w:footnoteReference w:id="6"/>
      </w:r>
      <w:r>
        <w:t>.</w:t>
      </w:r>
    </w:p>
    <w:p w14:paraId="288C8C5C" w14:textId="62662F30" w:rsidR="003B3E6B" w:rsidRDefault="00EE672C" w:rsidP="00CD3C9C">
      <w:pPr>
        <w:ind w:firstLine="993"/>
      </w:pPr>
      <w:r>
        <w:rPr>
          <w:rFonts w:cs="Times New Roman"/>
        </w:rPr>
        <w:t>È</w:t>
      </w:r>
      <w:r>
        <w:t xml:space="preserve"> l</w:t>
      </w:r>
      <w:r w:rsidR="00544452">
        <w:t>a regola del</w:t>
      </w:r>
      <w:r>
        <w:t xml:space="preserve"> c.d. </w:t>
      </w:r>
      <w:r w:rsidR="003B3D2C" w:rsidRPr="003B3D2C">
        <w:rPr>
          <w:i/>
          <w:iCs/>
        </w:rPr>
        <w:t>stare decisis</w:t>
      </w:r>
      <w:r w:rsidR="008B4459">
        <w:rPr>
          <w:rStyle w:val="Rimandonotaapidipagina"/>
        </w:rPr>
        <w:footnoteReference w:id="7"/>
      </w:r>
      <w:r w:rsidR="008B4459">
        <w:t>,</w:t>
      </w:r>
      <w:r>
        <w:t xml:space="preserve"> </w:t>
      </w:r>
      <w:r w:rsidR="007D52A5">
        <w:t>verso</w:t>
      </w:r>
      <w:r>
        <w:t xml:space="preserve"> cui </w:t>
      </w:r>
      <w:r w:rsidR="007B4ADD">
        <w:t xml:space="preserve">militano </w:t>
      </w:r>
      <w:r w:rsidR="001F5E3B">
        <w:t>i princ</w:t>
      </w:r>
      <w:r w:rsidR="00C10CB8">
        <w:t>ì</w:t>
      </w:r>
      <w:r w:rsidR="001F5E3B">
        <w:t xml:space="preserve">pi di certezza del diritto (cui si correla </w:t>
      </w:r>
      <w:r w:rsidR="003B3E6B">
        <w:t>l’esigenza di t</w:t>
      </w:r>
      <w:r w:rsidR="003B3E6B" w:rsidRPr="003B3E6B">
        <w:t>utela</w:t>
      </w:r>
      <w:r w:rsidR="003B3E6B">
        <w:t>r</w:t>
      </w:r>
      <w:r w:rsidR="003B3E6B" w:rsidRPr="003B3E6B">
        <w:t>e</w:t>
      </w:r>
      <w:r w:rsidR="003B3E6B">
        <w:t xml:space="preserve"> </w:t>
      </w:r>
      <w:r w:rsidR="003B3E6B" w:rsidRPr="003B3E6B">
        <w:t>l’affidamento</w:t>
      </w:r>
      <w:r w:rsidR="003B3E6B">
        <w:t xml:space="preserve"> della collettività alla stabilità degli </w:t>
      </w:r>
      <w:r w:rsidR="003B3E6B">
        <w:lastRenderedPageBreak/>
        <w:t>orientamenti</w:t>
      </w:r>
      <w:r w:rsidR="00C10CB8">
        <w:rPr>
          <w:rStyle w:val="Rimandonotaapidipagina"/>
        </w:rPr>
        <w:footnoteReference w:id="8"/>
      </w:r>
      <w:r w:rsidR="001F5E3B">
        <w:t>)</w:t>
      </w:r>
      <w:r w:rsidR="00ED3BC1">
        <w:t xml:space="preserve"> e</w:t>
      </w:r>
      <w:r w:rsidR="003B3E6B">
        <w:t xml:space="preserve"> d</w:t>
      </w:r>
      <w:r w:rsidR="00C10CB8">
        <w:rPr>
          <w:rFonts w:ascii="Georgia" w:hAnsi="Georgia"/>
          <w:color w:val="003366"/>
          <w:shd w:val="clear" w:color="auto" w:fill="FFFFFF"/>
        </w:rPr>
        <w:t xml:space="preserve">i </w:t>
      </w:r>
      <w:r w:rsidR="003B3E6B">
        <w:rPr>
          <w:rFonts w:ascii="Georgia" w:hAnsi="Georgia"/>
          <w:color w:val="003366"/>
          <w:shd w:val="clear" w:color="auto" w:fill="FFFFFF"/>
        </w:rPr>
        <w:t>u</w:t>
      </w:r>
      <w:r w:rsidR="003B3E6B" w:rsidRPr="003B3E6B">
        <w:t>guaglianza dinanzi alla legge</w:t>
      </w:r>
      <w:r w:rsidR="003B3E6B">
        <w:t>, intes</w:t>
      </w:r>
      <w:r w:rsidR="004216A2">
        <w:t>a</w:t>
      </w:r>
      <w:r w:rsidR="003B3E6B">
        <w:t xml:space="preserve"> come parità </w:t>
      </w:r>
      <w:r w:rsidR="003B3E6B" w:rsidRPr="003B3E6B">
        <w:t xml:space="preserve">di trattamento giurisdizionale </w:t>
      </w:r>
      <w:r w:rsidR="003B3E6B">
        <w:t>ne</w:t>
      </w:r>
      <w:r w:rsidR="003B3E6B" w:rsidRPr="003B3E6B">
        <w:t>i casi simili</w:t>
      </w:r>
      <w:r w:rsidR="003B3E6B">
        <w:rPr>
          <w:rStyle w:val="Rimandonotaapidipagina"/>
        </w:rPr>
        <w:footnoteReference w:id="9"/>
      </w:r>
      <w:r w:rsidR="003B3E6B">
        <w:t>.</w:t>
      </w:r>
    </w:p>
    <w:p w14:paraId="116FCCA6" w14:textId="3157F27C" w:rsidR="004216A2" w:rsidRDefault="001F5E3B" w:rsidP="00CD3C9C">
      <w:pPr>
        <w:ind w:firstLine="993"/>
        <w:rPr>
          <w:szCs w:val="24"/>
        </w:rPr>
      </w:pPr>
      <w:r>
        <w:t>Si pa</w:t>
      </w:r>
      <w:r w:rsidR="007A59DA">
        <w:t>r</w:t>
      </w:r>
      <w:r>
        <w:t xml:space="preserve">la in proposito di </w:t>
      </w:r>
      <w:r w:rsidR="0041184F">
        <w:t xml:space="preserve">nomofilachia, o </w:t>
      </w:r>
      <w:r w:rsidR="00EE672C">
        <w:t xml:space="preserve">di </w:t>
      </w:r>
      <w:r w:rsidRPr="001F5E3B">
        <w:t xml:space="preserve">diritto </w:t>
      </w:r>
      <w:r w:rsidR="00C66146" w:rsidRPr="00B93554">
        <w:rPr>
          <w:i/>
          <w:iCs/>
        </w:rPr>
        <w:t>vivente</w:t>
      </w:r>
      <w:r w:rsidR="00C66146">
        <w:t>,</w:t>
      </w:r>
      <w:r w:rsidRPr="00C66146">
        <w:t xml:space="preserve"> che </w:t>
      </w:r>
      <w:r w:rsidR="004C41CF" w:rsidRPr="00C66146">
        <w:t>inevitabilmente</w:t>
      </w:r>
      <w:r w:rsidR="004C41CF" w:rsidRPr="001F5E3B">
        <w:t xml:space="preserve"> </w:t>
      </w:r>
      <w:r w:rsidRPr="00C66146">
        <w:t>concorre a</w:t>
      </w:r>
      <w:r w:rsidR="004C41CF">
        <w:t>d</w:t>
      </w:r>
      <w:r w:rsidRPr="00C66146">
        <w:t xml:space="preserve"> </w:t>
      </w:r>
      <w:r w:rsidR="00C10CB8">
        <w:t>integr</w:t>
      </w:r>
      <w:r w:rsidRPr="00C66146">
        <w:t xml:space="preserve">are </w:t>
      </w:r>
      <w:r w:rsidR="00C02E6C">
        <w:t>(se</w:t>
      </w:r>
      <w:r w:rsidR="00C02E6C" w:rsidRPr="00C02E6C">
        <w:t> </w:t>
      </w:r>
      <w:r w:rsidR="00C02E6C">
        <w:t>n</w:t>
      </w:r>
      <w:r w:rsidR="00C02E6C" w:rsidRPr="00C02E6C">
        <w:t>o</w:t>
      </w:r>
      <w:r w:rsidR="00C02E6C">
        <w:t>n</w:t>
      </w:r>
      <w:r w:rsidR="00C02E6C" w:rsidRPr="00C02E6C">
        <w:t xml:space="preserve"> </w:t>
      </w:r>
      <w:r w:rsidR="004216A2">
        <w:t>a</w:t>
      </w:r>
      <w:r w:rsidR="004216A2" w:rsidRPr="00C02E6C">
        <w:t xml:space="preserve"> </w:t>
      </w:r>
      <w:r w:rsidR="00C02E6C" w:rsidRPr="00C02E6C">
        <w:t>parzialmente</w:t>
      </w:r>
      <w:r w:rsidR="007D52A5" w:rsidRPr="007D52A5">
        <w:t xml:space="preserve"> </w:t>
      </w:r>
      <w:r w:rsidR="007D52A5" w:rsidRPr="00C02E6C">
        <w:t>crea</w:t>
      </w:r>
      <w:r w:rsidR="007D52A5">
        <w:t>re</w:t>
      </w:r>
      <w:r w:rsidR="00C02E6C">
        <w:t xml:space="preserve">) </w:t>
      </w:r>
      <w:r w:rsidR="00C66146">
        <w:t xml:space="preserve">il </w:t>
      </w:r>
      <w:r w:rsidRPr="00C66146">
        <w:t>diritto</w:t>
      </w:r>
      <w:r w:rsidR="00C10CB8">
        <w:t xml:space="preserve"> </w:t>
      </w:r>
      <w:r w:rsidR="004407D3">
        <w:t>posi</w:t>
      </w:r>
      <w:r w:rsidR="00C10CB8">
        <w:t>tivo</w:t>
      </w:r>
      <w:r w:rsidR="004744AB">
        <w:t>,</w:t>
      </w:r>
      <w:r w:rsidR="00C02E6C">
        <w:t xml:space="preserve"> </w:t>
      </w:r>
      <w:r w:rsidR="004744AB">
        <w:t>individuando</w:t>
      </w:r>
      <w:r w:rsidR="004216A2">
        <w:t>lo per</w:t>
      </w:r>
      <w:r w:rsidR="004C41CF">
        <w:t xml:space="preserve"> </w:t>
      </w:r>
      <w:r w:rsidR="00770682" w:rsidRPr="00770682">
        <w:t>come esso vive nell’esperienza giurisprudenziale</w:t>
      </w:r>
      <w:r w:rsidR="00770682">
        <w:rPr>
          <w:rStyle w:val="Rimandonotaapidipagina"/>
        </w:rPr>
        <w:footnoteReference w:id="10"/>
      </w:r>
      <w:r w:rsidR="00C66146" w:rsidRPr="00C66146">
        <w:rPr>
          <w:szCs w:val="24"/>
        </w:rPr>
        <w:t>.</w:t>
      </w:r>
    </w:p>
    <w:p w14:paraId="63F03EA8" w14:textId="05BB55C5" w:rsidR="00743F8F" w:rsidRPr="00C66146" w:rsidRDefault="00743F8F" w:rsidP="00CD3C9C">
      <w:pPr>
        <w:ind w:firstLine="993"/>
        <w:rPr>
          <w:szCs w:val="24"/>
        </w:rPr>
      </w:pPr>
      <w:r>
        <w:rPr>
          <w:szCs w:val="24"/>
        </w:rPr>
        <w:t>In tal modo</w:t>
      </w:r>
      <w:r w:rsidR="00DF1E78">
        <w:rPr>
          <w:szCs w:val="24"/>
        </w:rPr>
        <w:t>,</w:t>
      </w:r>
      <w:r>
        <w:rPr>
          <w:szCs w:val="24"/>
        </w:rPr>
        <w:t xml:space="preserve"> si realizza quel</w:t>
      </w:r>
      <w:r w:rsidRPr="00743F8F">
        <w:rPr>
          <w:color w:val="000000"/>
        </w:rPr>
        <w:t xml:space="preserve"> </w:t>
      </w:r>
      <w:r w:rsidRPr="00726DC1">
        <w:rPr>
          <w:color w:val="000000"/>
        </w:rPr>
        <w:t xml:space="preserve">che </w:t>
      </w:r>
      <w:r w:rsidRPr="00500D97">
        <w:rPr>
          <w:color w:val="000000"/>
        </w:rPr>
        <w:t>l</w:t>
      </w:r>
      <w:r w:rsidRPr="00500D97">
        <w:rPr>
          <w:color w:val="000000"/>
          <w:spacing w:val="-4"/>
        </w:rPr>
        <w:t xml:space="preserve">’art. 65 </w:t>
      </w:r>
      <w:r>
        <w:rPr>
          <w:color w:val="000000"/>
          <w:spacing w:val="-4"/>
        </w:rPr>
        <w:t>dell’</w:t>
      </w:r>
      <w:r w:rsidRPr="00500D97">
        <w:rPr>
          <w:color w:val="000000"/>
          <w:spacing w:val="-4"/>
        </w:rPr>
        <w:t>o</w:t>
      </w:r>
      <w:r>
        <w:rPr>
          <w:color w:val="000000"/>
          <w:spacing w:val="-4"/>
        </w:rPr>
        <w:t>rdinamento giudiziario (r.d. 30 gennaio 1941,</w:t>
      </w:r>
      <w:r w:rsidRPr="00500D97">
        <w:rPr>
          <w:color w:val="000000"/>
          <w:spacing w:val="-4"/>
        </w:rPr>
        <w:t xml:space="preserve"> n. 12) definisce come “uniforme interpretazione della legge” </w:t>
      </w:r>
      <w:r>
        <w:rPr>
          <w:color w:val="000000"/>
          <w:spacing w:val="-4"/>
        </w:rPr>
        <w:t>o</w:t>
      </w:r>
      <w:r w:rsidRPr="00500D97">
        <w:rPr>
          <w:color w:val="000000"/>
          <w:spacing w:val="-4"/>
        </w:rPr>
        <w:t xml:space="preserve"> “unità del diritto oggettivo nazionale”</w:t>
      </w:r>
      <w:r w:rsidR="0006774E">
        <w:rPr>
          <w:color w:val="000000"/>
          <w:spacing w:val="-4"/>
        </w:rPr>
        <w:t xml:space="preserve">, alla cui attuazione </w:t>
      </w:r>
      <w:r w:rsidR="00DF1E78">
        <w:rPr>
          <w:color w:val="000000"/>
          <w:spacing w:val="-4"/>
        </w:rPr>
        <w:t>sono</w:t>
      </w:r>
      <w:r w:rsidR="0006774E">
        <w:rPr>
          <w:color w:val="000000"/>
          <w:spacing w:val="-4"/>
        </w:rPr>
        <w:t xml:space="preserve"> </w:t>
      </w:r>
      <w:r w:rsidR="00DF1E78" w:rsidRPr="00726DC1">
        <w:rPr>
          <w:color w:val="000000"/>
        </w:rPr>
        <w:t xml:space="preserve">specificamente </w:t>
      </w:r>
      <w:r w:rsidR="0006774E">
        <w:rPr>
          <w:color w:val="000000"/>
          <w:spacing w:val="-4"/>
        </w:rPr>
        <w:t>prepost</w:t>
      </w:r>
      <w:r w:rsidR="00DF1E78">
        <w:rPr>
          <w:color w:val="000000"/>
          <w:spacing w:val="-4"/>
        </w:rPr>
        <w:t>i</w:t>
      </w:r>
      <w:r w:rsidR="0006774E">
        <w:rPr>
          <w:color w:val="000000"/>
          <w:spacing w:val="-4"/>
        </w:rPr>
        <w:t xml:space="preserve"> </w:t>
      </w:r>
      <w:r w:rsidR="0006774E" w:rsidRPr="00726DC1">
        <w:rPr>
          <w:color w:val="000000"/>
        </w:rPr>
        <w:t xml:space="preserve">la </w:t>
      </w:r>
      <w:r w:rsidR="004C5004">
        <w:rPr>
          <w:color w:val="000000"/>
        </w:rPr>
        <w:t>c</w:t>
      </w:r>
      <w:r w:rsidR="0006774E">
        <w:rPr>
          <w:color w:val="000000"/>
        </w:rPr>
        <w:t xml:space="preserve">orte di cassazione, nonché il </w:t>
      </w:r>
      <w:r w:rsidR="004C5004">
        <w:rPr>
          <w:color w:val="000000"/>
        </w:rPr>
        <w:t>c</w:t>
      </w:r>
      <w:r w:rsidR="0006774E">
        <w:rPr>
          <w:color w:val="000000"/>
        </w:rPr>
        <w:t xml:space="preserve">onsiglio di </w:t>
      </w:r>
      <w:r w:rsidR="004216A2">
        <w:rPr>
          <w:color w:val="000000"/>
        </w:rPr>
        <w:t>s</w:t>
      </w:r>
      <w:r w:rsidR="0006774E">
        <w:rPr>
          <w:color w:val="000000"/>
        </w:rPr>
        <w:t xml:space="preserve">tato e la </w:t>
      </w:r>
      <w:r w:rsidR="004C5004">
        <w:rPr>
          <w:color w:val="000000"/>
        </w:rPr>
        <w:t>c</w:t>
      </w:r>
      <w:r w:rsidR="0006774E">
        <w:rPr>
          <w:color w:val="000000"/>
        </w:rPr>
        <w:t>orte dei conti nei rispettivi ambiti di giurisdizione.</w:t>
      </w:r>
    </w:p>
    <w:p w14:paraId="113B3399" w14:textId="1338AA2F" w:rsidR="003B3E6B" w:rsidRDefault="003B3E6B" w:rsidP="00CD3C9C">
      <w:pPr>
        <w:ind w:firstLine="993"/>
      </w:pPr>
      <w:r>
        <w:t>Nondimeno,</w:t>
      </w:r>
      <w:r w:rsidRPr="00ED3BC1">
        <w:t xml:space="preserve"> </w:t>
      </w:r>
      <w:r w:rsidR="007B4ADD" w:rsidRPr="00ED3BC1">
        <w:t xml:space="preserve">proprio </w:t>
      </w:r>
      <w:r>
        <w:t xml:space="preserve">l’assenza di un vincolo </w:t>
      </w:r>
      <w:r w:rsidR="007B4ADD">
        <w:t xml:space="preserve">consente e favorisce </w:t>
      </w:r>
      <w:r w:rsidR="0025184A">
        <w:t>il</w:t>
      </w:r>
      <w:r w:rsidR="007B4ADD">
        <w:t xml:space="preserve"> </w:t>
      </w:r>
      <w:r w:rsidRPr="003B3E6B">
        <w:t xml:space="preserve">cambiamento </w:t>
      </w:r>
      <w:r>
        <w:t>d’opinione</w:t>
      </w:r>
      <w:r w:rsidR="00EE672C">
        <w:t xml:space="preserve"> basato</w:t>
      </w:r>
      <w:r>
        <w:t xml:space="preserve"> </w:t>
      </w:r>
      <w:r w:rsidR="00EE672C">
        <w:t>sul</w:t>
      </w:r>
      <w:r w:rsidR="007B4ADD">
        <w:t xml:space="preserve"> maggiore approfondimento della questione</w:t>
      </w:r>
      <w:r w:rsidR="006E1558">
        <w:t xml:space="preserve"> oggetto del precedente</w:t>
      </w:r>
      <w:r w:rsidR="00ED3BC1">
        <w:t xml:space="preserve">, </w:t>
      </w:r>
      <w:r w:rsidR="00EE672C">
        <w:t>su</w:t>
      </w:r>
      <w:r w:rsidR="0025184A">
        <w:t>l</w:t>
      </w:r>
      <w:r w:rsidR="00ED3BC1">
        <w:t xml:space="preserve"> diverso approccio alla stessa o </w:t>
      </w:r>
      <w:r w:rsidR="00EE672C">
        <w:t>su</w:t>
      </w:r>
      <w:r w:rsidR="007F2FA0">
        <w:t xml:space="preserve">l mutamento </w:t>
      </w:r>
      <w:r w:rsidR="007B4ADD">
        <w:t>del quadro culturale, sociale e</w:t>
      </w:r>
      <w:r w:rsidR="007F2FA0">
        <w:t>/o</w:t>
      </w:r>
      <w:r w:rsidR="007B4ADD">
        <w:t xml:space="preserve"> giuridico</w:t>
      </w:r>
      <w:r w:rsidR="00ED3BC1">
        <w:t xml:space="preserve"> di riferimento</w:t>
      </w:r>
      <w:r w:rsidR="00C10CB8">
        <w:rPr>
          <w:rStyle w:val="Rimandonotaapidipagina"/>
        </w:rPr>
        <w:footnoteReference w:id="11"/>
      </w:r>
      <w:r w:rsidR="007B4ADD">
        <w:t>.</w:t>
      </w:r>
    </w:p>
    <w:p w14:paraId="0D2FFE28" w14:textId="677CFDE3" w:rsidR="00544452" w:rsidRPr="00544452" w:rsidRDefault="00960F3E" w:rsidP="00CD3C9C">
      <w:pPr>
        <w:pStyle w:val="Paragrafoelenco"/>
        <w:numPr>
          <w:ilvl w:val="0"/>
          <w:numId w:val="1"/>
        </w:numPr>
        <w:ind w:left="0" w:firstLine="993"/>
        <w:rPr>
          <w:b/>
          <w:bCs/>
        </w:rPr>
      </w:pPr>
      <w:r>
        <w:rPr>
          <w:b/>
          <w:bCs/>
        </w:rPr>
        <w:t>P</w:t>
      </w:r>
      <w:r w:rsidR="00544452" w:rsidRPr="00544452">
        <w:rPr>
          <w:b/>
          <w:bCs/>
        </w:rPr>
        <w:t>recedente dell’adunanza plenaria</w:t>
      </w:r>
      <w:r w:rsidR="00544452">
        <w:rPr>
          <w:b/>
          <w:bCs/>
        </w:rPr>
        <w:t xml:space="preserve"> </w:t>
      </w:r>
      <w:r>
        <w:rPr>
          <w:b/>
          <w:bCs/>
        </w:rPr>
        <w:t>e</w:t>
      </w:r>
      <w:r w:rsidR="00544452">
        <w:rPr>
          <w:b/>
          <w:bCs/>
        </w:rPr>
        <w:t xml:space="preserve"> decisione di primo grado</w:t>
      </w:r>
      <w:r w:rsidR="00544452" w:rsidRPr="00544452">
        <w:rPr>
          <w:b/>
          <w:bCs/>
        </w:rPr>
        <w:t>.</w:t>
      </w:r>
    </w:p>
    <w:p w14:paraId="30E90B35" w14:textId="77777777" w:rsidR="00F444D8" w:rsidRDefault="00F444D8" w:rsidP="00CD3C9C">
      <w:pPr>
        <w:ind w:firstLine="993"/>
      </w:pPr>
      <w:r>
        <w:t>Q</w:t>
      </w:r>
      <w:r w:rsidR="008211A7">
        <w:t xml:space="preserve">uanto </w:t>
      </w:r>
      <w:r w:rsidR="00544452">
        <w:t xml:space="preserve">sinora </w:t>
      </w:r>
      <w:r w:rsidR="008211A7">
        <w:t>detto vale</w:t>
      </w:r>
      <w:r w:rsidR="008211A7" w:rsidRPr="008211A7">
        <w:t xml:space="preserve"> </w:t>
      </w:r>
      <w:r w:rsidR="008211A7">
        <w:t>per il primo grado del giudizio amministrativo</w:t>
      </w:r>
      <w:r>
        <w:t>.</w:t>
      </w:r>
    </w:p>
    <w:p w14:paraId="0022A94B" w14:textId="18E3ECFA" w:rsidR="008211A7" w:rsidRDefault="00F444D8" w:rsidP="00CD3C9C">
      <w:pPr>
        <w:ind w:firstLine="993"/>
      </w:pPr>
      <w:r>
        <w:t>N</w:t>
      </w:r>
      <w:r w:rsidR="008211A7">
        <w:t>el</w:t>
      </w:r>
      <w:r>
        <w:t xml:space="preserve"> grado d</w:t>
      </w:r>
      <w:r w:rsidR="008211A7">
        <w:t>’appello esiste un</w:t>
      </w:r>
      <w:r w:rsidR="007164AE">
        <w:t>’</w:t>
      </w:r>
      <w:r w:rsidR="008211A7">
        <w:t xml:space="preserve">ulteriore ipotesi di vincolo da precedente, </w:t>
      </w:r>
      <w:r w:rsidR="007D52A5">
        <w:t>contenu</w:t>
      </w:r>
      <w:r w:rsidR="008211A7">
        <w:t>t</w:t>
      </w:r>
      <w:r w:rsidR="007164AE">
        <w:t>a</w:t>
      </w:r>
      <w:r w:rsidR="008211A7">
        <w:t xml:space="preserve"> </w:t>
      </w:r>
      <w:r w:rsidR="007D52A5">
        <w:t>ne</w:t>
      </w:r>
      <w:r w:rsidR="008211A7">
        <w:t>ll’art. 99, comma 3, c.p.a.</w:t>
      </w:r>
      <w:r w:rsidR="00C10CB8">
        <w:t>,</w:t>
      </w:r>
      <w:r w:rsidR="008211A7">
        <w:t xml:space="preserve"> in base al quale “</w:t>
      </w:r>
      <w:r w:rsidR="004216A2">
        <w:t>s</w:t>
      </w:r>
      <w:r w:rsidR="008211A7" w:rsidRPr="008211A7">
        <w:t>e la sezione cui è assegnato il ricorso ritiene di non condividere un principio di diritto enunciato dall’adunanza plenaria, rimette a quest’ultima, con ordinanza motivata, la decisione del ricorso</w:t>
      </w:r>
      <w:r w:rsidR="008211A7">
        <w:t>”</w:t>
      </w:r>
      <w:r w:rsidR="00F95046">
        <w:rPr>
          <w:rStyle w:val="Rimandonotaapidipagina"/>
        </w:rPr>
        <w:footnoteReference w:id="12"/>
      </w:r>
      <w:r w:rsidR="008211A7">
        <w:t>.</w:t>
      </w:r>
    </w:p>
    <w:p w14:paraId="0837DA33" w14:textId="59950315" w:rsidR="007B4ADD" w:rsidRDefault="00A62CB7" w:rsidP="00CD3C9C">
      <w:pPr>
        <w:ind w:firstLine="993"/>
      </w:pPr>
      <w:r>
        <w:t>D</w:t>
      </w:r>
      <w:r w:rsidR="008211A7">
        <w:t>estinatari</w:t>
      </w:r>
      <w:r w:rsidR="007D52A5">
        <w:t>e</w:t>
      </w:r>
      <w:r w:rsidR="008211A7">
        <w:t xml:space="preserve"> del</w:t>
      </w:r>
      <w:r w:rsidR="009E5DF9">
        <w:t xml:space="preserve">l’obbligo </w:t>
      </w:r>
      <w:r w:rsidR="007D52A5">
        <w:t>sono</w:t>
      </w:r>
      <w:r w:rsidR="008211A7">
        <w:t xml:space="preserve"> </w:t>
      </w:r>
      <w:r w:rsidR="00EE672C">
        <w:t>l</w:t>
      </w:r>
      <w:r w:rsidR="007D52A5">
        <w:t>e</w:t>
      </w:r>
      <w:r w:rsidR="008211A7">
        <w:t xml:space="preserve"> sezion</w:t>
      </w:r>
      <w:r w:rsidR="007D52A5">
        <w:t>i</w:t>
      </w:r>
      <w:r w:rsidR="008211A7">
        <w:t xml:space="preserve"> </w:t>
      </w:r>
      <w:r w:rsidR="00EE672C">
        <w:t>semplic</w:t>
      </w:r>
      <w:r w:rsidR="007D52A5">
        <w:t>i</w:t>
      </w:r>
      <w:r w:rsidR="00EE672C">
        <w:t xml:space="preserve"> </w:t>
      </w:r>
      <w:r w:rsidR="008211A7">
        <w:t xml:space="preserve">del </w:t>
      </w:r>
      <w:r w:rsidR="004C5004">
        <w:t>c</w:t>
      </w:r>
      <w:r w:rsidR="008211A7">
        <w:t xml:space="preserve">onsiglio di </w:t>
      </w:r>
      <w:r w:rsidR="004216A2">
        <w:t>s</w:t>
      </w:r>
      <w:r w:rsidR="008211A7">
        <w:t>tato</w:t>
      </w:r>
      <w:r w:rsidR="00FB0725">
        <w:t>, le quali</w:t>
      </w:r>
      <w:r w:rsidR="00FB0725" w:rsidRPr="00FB0725">
        <w:t xml:space="preserve"> </w:t>
      </w:r>
      <w:r w:rsidR="00FB0725">
        <w:t>hanno un unico modo</w:t>
      </w:r>
      <w:r w:rsidR="008211A7">
        <w:t xml:space="preserve"> </w:t>
      </w:r>
      <w:r w:rsidR="00FB0725">
        <w:t>per sottrarsi alla forza del precedente, e cioè</w:t>
      </w:r>
      <w:r w:rsidR="008211A7">
        <w:t xml:space="preserve"> in</w:t>
      </w:r>
      <w:r w:rsidR="005D1E4D">
        <w:t>vesti</w:t>
      </w:r>
      <w:r w:rsidR="008211A7">
        <w:t>re nuovamente l’adunanza plenaria</w:t>
      </w:r>
      <w:r w:rsidR="007164AE">
        <w:t>.</w:t>
      </w:r>
    </w:p>
    <w:p w14:paraId="1BD32BD0" w14:textId="08FDF525" w:rsidR="00F444D8" w:rsidRDefault="000669D7" w:rsidP="00CD3C9C">
      <w:pPr>
        <w:ind w:firstLine="993"/>
      </w:pPr>
      <w:r>
        <w:lastRenderedPageBreak/>
        <w:t>Quest</w:t>
      </w:r>
      <w:r w:rsidR="00E322AB">
        <w:t>o</w:t>
      </w:r>
      <w:r>
        <w:t xml:space="preserve"> </w:t>
      </w:r>
      <w:r w:rsidR="00E322AB">
        <w:t xml:space="preserve">meccanismo </w:t>
      </w:r>
      <w:r w:rsidRPr="009E5DF9">
        <w:t>potenzia</w:t>
      </w:r>
      <w:r>
        <w:t xml:space="preserve"> i</w:t>
      </w:r>
      <w:r w:rsidRPr="009E5DF9">
        <w:t>l ruolo di</w:t>
      </w:r>
      <w:r>
        <w:t xml:space="preserve"> </w:t>
      </w:r>
      <w:r w:rsidRPr="009E5DF9">
        <w:t>nomofilachia</w:t>
      </w:r>
      <w:r>
        <w:t xml:space="preserve"> proprio della plenaria,</w:t>
      </w:r>
      <w:r w:rsidRPr="009E5DF9">
        <w:t xml:space="preserve"> </w:t>
      </w:r>
      <w:r w:rsidR="007D52A5">
        <w:t>escludendo</w:t>
      </w:r>
      <w:r>
        <w:t xml:space="preserve"> </w:t>
      </w:r>
      <w:r w:rsidR="004216A2">
        <w:t xml:space="preserve">la formazione di </w:t>
      </w:r>
      <w:r w:rsidR="009A013B">
        <w:t xml:space="preserve">un </w:t>
      </w:r>
      <w:r w:rsidR="009A013B" w:rsidRPr="009E5DF9">
        <w:t>vincol</w:t>
      </w:r>
      <w:r w:rsidR="009A013B">
        <w:t>o stringente</w:t>
      </w:r>
      <w:r w:rsidRPr="009E5DF9">
        <w:t xml:space="preserve">, </w:t>
      </w:r>
      <w:r>
        <w:t>difficilmente conciliabile con il principio di soggezione del giudice solo alla legge sancit</w:t>
      </w:r>
      <w:r w:rsidR="009A013B">
        <w:t>o</w:t>
      </w:r>
      <w:r>
        <w:t xml:space="preserve"> dall’art. 101 cost.</w:t>
      </w:r>
      <w:r>
        <w:rPr>
          <w:rStyle w:val="Rimandonotaapidipagina"/>
        </w:rPr>
        <w:footnoteReference w:id="13"/>
      </w:r>
      <w:r w:rsidR="007D52A5">
        <w:t xml:space="preserve">, </w:t>
      </w:r>
      <w:r w:rsidR="008E2D4C">
        <w:t>ma garantendo</w:t>
      </w:r>
      <w:r w:rsidR="00896560">
        <w:t xml:space="preserve"> </w:t>
      </w:r>
      <w:r w:rsidR="004F3E2B">
        <w:t xml:space="preserve">nel tempo stesso </w:t>
      </w:r>
      <w:r w:rsidR="00896560">
        <w:t xml:space="preserve">la </w:t>
      </w:r>
      <w:r w:rsidR="009E5DF9">
        <w:t>cur</w:t>
      </w:r>
      <w:r w:rsidR="009A013B">
        <w:t>a d</w:t>
      </w:r>
      <w:r w:rsidR="009E5DF9">
        <w:t>i</w:t>
      </w:r>
      <w:r w:rsidR="00F444D8">
        <w:t xml:space="preserve"> </w:t>
      </w:r>
      <w:r w:rsidR="00A62CB7">
        <w:t>quell’</w:t>
      </w:r>
      <w:r w:rsidR="00F444D8" w:rsidRPr="00F444D8">
        <w:t>interesse</w:t>
      </w:r>
      <w:r w:rsidR="009A013B">
        <w:t xml:space="preserve"> processuale</w:t>
      </w:r>
      <w:r w:rsidR="00FB0725">
        <w:t>,</w:t>
      </w:r>
      <w:r w:rsidR="00F444D8" w:rsidRPr="00F444D8">
        <w:t xml:space="preserve"> </w:t>
      </w:r>
      <w:r w:rsidR="00F444D8" w:rsidRPr="006E1558">
        <w:rPr>
          <w:i/>
          <w:iCs/>
        </w:rPr>
        <w:t>ultroneo</w:t>
      </w:r>
      <w:r w:rsidR="00F444D8" w:rsidRPr="00F444D8">
        <w:t xml:space="preserve"> </w:t>
      </w:r>
      <w:r w:rsidR="009A013B">
        <w:t xml:space="preserve">rispetto </w:t>
      </w:r>
      <w:r w:rsidR="00F444D8" w:rsidRPr="00F444D8">
        <w:t xml:space="preserve">a quello </w:t>
      </w:r>
      <w:r w:rsidR="009A013B">
        <w:t xml:space="preserve">tipico </w:t>
      </w:r>
      <w:r w:rsidR="00F444D8" w:rsidRPr="00F444D8">
        <w:t>delle parti</w:t>
      </w:r>
      <w:r w:rsidR="004313C9">
        <w:t xml:space="preserve"> in causa</w:t>
      </w:r>
      <w:r w:rsidR="00347829">
        <w:rPr>
          <w:rStyle w:val="Rimandonotaapidipagina"/>
        </w:rPr>
        <w:footnoteReference w:id="14"/>
      </w:r>
      <w:r w:rsidR="00D1226E">
        <w:t>,</w:t>
      </w:r>
      <w:r w:rsidR="00F444D8" w:rsidRPr="00F444D8">
        <w:t xml:space="preserve"> </w:t>
      </w:r>
      <w:r w:rsidR="00A62CB7">
        <w:t>consiste</w:t>
      </w:r>
      <w:r w:rsidR="004313C9">
        <w:t>nte</w:t>
      </w:r>
      <w:r w:rsidR="00F444D8" w:rsidRPr="00F444D8">
        <w:t xml:space="preserve"> </w:t>
      </w:r>
      <w:r w:rsidR="00A62CB7">
        <w:t>n</w:t>
      </w:r>
      <w:r w:rsidR="007D52A5">
        <w:t>e</w:t>
      </w:r>
      <w:r w:rsidR="00F444D8" w:rsidRPr="00F444D8">
        <w:t>lla stabil</w:t>
      </w:r>
      <w:r w:rsidR="009A013B">
        <w:t xml:space="preserve">e </w:t>
      </w:r>
      <w:r w:rsidR="00F444D8" w:rsidRPr="00F444D8">
        <w:t>applicazione d</w:t>
      </w:r>
      <w:r>
        <w:t>elle</w:t>
      </w:r>
      <w:r w:rsidR="00F444D8" w:rsidRPr="00F444D8">
        <w:t xml:space="preserve"> norme giuridiche e quindi </w:t>
      </w:r>
      <w:r w:rsidR="00A62CB7">
        <w:t>n</w:t>
      </w:r>
      <w:r w:rsidR="007D52A5">
        <w:t>e</w:t>
      </w:r>
      <w:r w:rsidR="00F444D8" w:rsidRPr="00F444D8">
        <w:t xml:space="preserve">lla </w:t>
      </w:r>
      <w:r w:rsidR="004216A2">
        <w:t xml:space="preserve">ragionevole </w:t>
      </w:r>
      <w:r w:rsidR="00F444D8" w:rsidRPr="00F444D8">
        <w:t>prevedibilit</w:t>
      </w:r>
      <w:r w:rsidR="00F444D8" w:rsidRPr="00F444D8">
        <w:rPr>
          <w:rFonts w:hint="eastAsia"/>
        </w:rPr>
        <w:t>à</w:t>
      </w:r>
      <w:r w:rsidR="00F444D8" w:rsidRPr="00F444D8">
        <w:t xml:space="preserve"> delle </w:t>
      </w:r>
      <w:r w:rsidR="007D52A5" w:rsidRPr="00F444D8">
        <w:t xml:space="preserve">decisioni </w:t>
      </w:r>
      <w:r w:rsidR="00F444D8" w:rsidRPr="00F444D8">
        <w:t>future</w:t>
      </w:r>
      <w:r w:rsidR="00F444D8">
        <w:rPr>
          <w:rStyle w:val="Rimandonotaapidipagina"/>
        </w:rPr>
        <w:footnoteReference w:id="15"/>
      </w:r>
      <w:r w:rsidR="00F444D8">
        <w:t>.</w:t>
      </w:r>
    </w:p>
    <w:p w14:paraId="7834E51E" w14:textId="4EFB61CA" w:rsidR="002068BA" w:rsidRDefault="00FB0725" w:rsidP="00CD3C9C">
      <w:pPr>
        <w:ind w:firstLine="993"/>
      </w:pPr>
      <w:r>
        <w:t>L’obbligo</w:t>
      </w:r>
      <w:r w:rsidR="002068BA" w:rsidRPr="002068BA">
        <w:t xml:space="preserve"> conformativo</w:t>
      </w:r>
      <w:r w:rsidR="009A013B">
        <w:t xml:space="preserve">, se </w:t>
      </w:r>
      <w:r w:rsidR="007D52A5">
        <w:t>v</w:t>
      </w:r>
      <w:r w:rsidR="009A013B">
        <w:t>a</w:t>
      </w:r>
      <w:r w:rsidR="007D52A5">
        <w:t>le</w:t>
      </w:r>
      <w:r w:rsidR="002068BA" w:rsidRPr="002068BA">
        <w:t xml:space="preserve"> </w:t>
      </w:r>
      <w:r w:rsidR="009A013B">
        <w:t xml:space="preserve">per </w:t>
      </w:r>
      <w:r w:rsidR="002068BA" w:rsidRPr="002068BA">
        <w:t xml:space="preserve">le sezioni </w:t>
      </w:r>
      <w:r w:rsidR="009A013B">
        <w:t xml:space="preserve">del consiglio di </w:t>
      </w:r>
      <w:r w:rsidR="004216A2">
        <w:t>s</w:t>
      </w:r>
      <w:r w:rsidR="009A013B">
        <w:t>tato,</w:t>
      </w:r>
      <w:r w:rsidR="00D53A66">
        <w:t xml:space="preserve"> non </w:t>
      </w:r>
      <w:r w:rsidR="009A013B">
        <w:t xml:space="preserve">opera per i </w:t>
      </w:r>
      <w:r w:rsidR="00D53A66">
        <w:t xml:space="preserve">tribunali amministrativi, nei cui confronti </w:t>
      </w:r>
      <w:r w:rsidR="009A013B">
        <w:t>si realizza</w:t>
      </w:r>
      <w:r w:rsidR="00D53A66">
        <w:t xml:space="preserve"> </w:t>
      </w:r>
      <w:r>
        <w:t xml:space="preserve">semmai </w:t>
      </w:r>
      <w:r w:rsidR="00D53A66">
        <w:t>un</w:t>
      </w:r>
      <w:r w:rsidR="00D53A66" w:rsidRPr="002068BA">
        <w:t xml:space="preserve"> condizionamento di sistema</w:t>
      </w:r>
      <w:r w:rsidR="00347829">
        <w:rPr>
          <w:rStyle w:val="Rimandonotaapidipagina"/>
        </w:rPr>
        <w:footnoteReference w:id="16"/>
      </w:r>
      <w:r w:rsidR="00347829">
        <w:t>, in ragione della prevedibile appellabilità di una decisione che si dis</w:t>
      </w:r>
      <w:r w:rsidR="00FD2E28">
        <w:t>tacch</w:t>
      </w:r>
      <w:r w:rsidR="007D52A5">
        <w:t>i</w:t>
      </w:r>
      <w:r w:rsidR="00347829">
        <w:t xml:space="preserve"> da</w:t>
      </w:r>
      <w:r w:rsidR="006E1558">
        <w:t xml:space="preserve"> un</w:t>
      </w:r>
      <w:r w:rsidR="00347829">
        <w:t xml:space="preserve"> principio d</w:t>
      </w:r>
      <w:r w:rsidR="007D52A5">
        <w:t>e</w:t>
      </w:r>
      <w:r w:rsidR="00347829">
        <w:t>lla plenaria</w:t>
      </w:r>
      <w:r w:rsidR="002068BA">
        <w:t>.</w:t>
      </w:r>
    </w:p>
    <w:p w14:paraId="4CA79923" w14:textId="43121696" w:rsidR="007D5CF3" w:rsidRDefault="00EA7B68" w:rsidP="00CD3C9C">
      <w:pPr>
        <w:ind w:firstLine="993"/>
      </w:pPr>
      <w:r>
        <w:t>L</w:t>
      </w:r>
      <w:r w:rsidR="00232A87" w:rsidRPr="00232A87">
        <w:t>a facoltà</w:t>
      </w:r>
      <w:r w:rsidR="007D52A5">
        <w:t xml:space="preserve"> </w:t>
      </w:r>
      <w:r w:rsidR="004216A2">
        <w:t xml:space="preserve">di discostarsi </w:t>
      </w:r>
      <w:r>
        <w:t xml:space="preserve">dalla plenaria </w:t>
      </w:r>
      <w:r w:rsidR="00232A87">
        <w:t>–</w:t>
      </w:r>
      <w:r w:rsidR="007D5CF3" w:rsidRPr="007D5CF3">
        <w:t xml:space="preserve"> </w:t>
      </w:r>
      <w:r w:rsidR="001522CD">
        <w:t xml:space="preserve">certamente </w:t>
      </w:r>
      <w:r w:rsidR="007D5CF3">
        <w:t>d</w:t>
      </w:r>
      <w:r w:rsidR="007D5CF3" w:rsidRPr="00232A87">
        <w:t>a utilizza</w:t>
      </w:r>
      <w:r w:rsidR="007D5CF3">
        <w:t xml:space="preserve">re </w:t>
      </w:r>
      <w:r w:rsidR="00232A87" w:rsidRPr="00232A87">
        <w:rPr>
          <w:i/>
          <w:iCs/>
        </w:rPr>
        <w:t>cum grano salis</w:t>
      </w:r>
      <w:r w:rsidR="00232A87" w:rsidRPr="00232A87">
        <w:t xml:space="preserve"> e secondo correttezza, ten</w:t>
      </w:r>
      <w:r w:rsidR="00445EAE">
        <w:t>ut</w:t>
      </w:r>
      <w:r w:rsidR="00232A87" w:rsidRPr="00232A87">
        <w:t>o conto che l’uniformità dell’interpretazione costituisce, in sé, un valore sociale</w:t>
      </w:r>
      <w:r w:rsidR="00232A87">
        <w:t xml:space="preserve"> – </w:t>
      </w:r>
      <w:r w:rsidR="00D447AD">
        <w:t>rappresenta</w:t>
      </w:r>
      <w:r w:rsidR="00232A87">
        <w:t xml:space="preserve"> </w:t>
      </w:r>
      <w:r w:rsidR="00255721">
        <w:t>l’</w:t>
      </w:r>
      <w:r w:rsidR="00445EAE">
        <w:t xml:space="preserve">indubbio </w:t>
      </w:r>
      <w:r w:rsidR="00232A87">
        <w:t>riconoscimento</w:t>
      </w:r>
      <w:r w:rsidR="00255721">
        <w:t>,</w:t>
      </w:r>
      <w:r w:rsidR="00232A87">
        <w:t xml:space="preserve"> da parte del legislatore</w:t>
      </w:r>
      <w:r w:rsidR="00255721">
        <w:t>,</w:t>
      </w:r>
      <w:r w:rsidR="00232A87">
        <w:t xml:space="preserve"> della </w:t>
      </w:r>
      <w:r w:rsidR="007D5CF3">
        <w:t xml:space="preserve">specificità della </w:t>
      </w:r>
      <w:r w:rsidR="00232A87">
        <w:t xml:space="preserve">funzione </w:t>
      </w:r>
      <w:r w:rsidR="00255721">
        <w:t>del</w:t>
      </w:r>
      <w:r w:rsidR="007D5CF3">
        <w:t xml:space="preserve"> </w:t>
      </w:r>
      <w:r w:rsidR="00232A87">
        <w:t xml:space="preserve">giudice </w:t>
      </w:r>
      <w:r w:rsidR="00A75782">
        <w:t xml:space="preserve">territoriale </w:t>
      </w:r>
      <w:r w:rsidR="00232A87" w:rsidRPr="00A75782">
        <w:rPr>
          <w:i/>
          <w:iCs/>
        </w:rPr>
        <w:t>d</w:t>
      </w:r>
      <w:r w:rsidR="00A75782" w:rsidRPr="00A75782">
        <w:rPr>
          <w:i/>
          <w:iCs/>
        </w:rPr>
        <w:t>i</w:t>
      </w:r>
      <w:r w:rsidR="00232A87">
        <w:t xml:space="preserve"> </w:t>
      </w:r>
      <w:r w:rsidR="00232A87" w:rsidRPr="00A75782">
        <w:rPr>
          <w:i/>
          <w:iCs/>
        </w:rPr>
        <w:t>prima linea</w:t>
      </w:r>
      <w:r w:rsidR="00232A87">
        <w:t>,</w:t>
      </w:r>
      <w:r w:rsidR="00445EAE">
        <w:t xml:space="preserve"> </w:t>
      </w:r>
      <w:r w:rsidR="00255721">
        <w:t>cui spetta</w:t>
      </w:r>
      <w:r w:rsidR="007D5CF3">
        <w:t xml:space="preserve"> </w:t>
      </w:r>
      <w:r w:rsidR="00A75782">
        <w:t xml:space="preserve">il compito di </w:t>
      </w:r>
      <w:r w:rsidR="00D53A66">
        <w:t xml:space="preserve">istruire e definire </w:t>
      </w:r>
      <w:r w:rsidR="007D5CF3">
        <w:t>la controversia nel momento cronologicamente più prossimo alla sua insorgenza.</w:t>
      </w:r>
    </w:p>
    <w:p w14:paraId="1B80F4D0" w14:textId="50F983ED" w:rsidR="00232A87" w:rsidRDefault="007D5CF3" w:rsidP="00CD3C9C">
      <w:pPr>
        <w:ind w:firstLine="993"/>
      </w:pPr>
      <w:r>
        <w:t xml:space="preserve">Tale </w:t>
      </w:r>
      <w:r w:rsidR="00537D15">
        <w:t>specificità</w:t>
      </w:r>
      <w:r>
        <w:t xml:space="preserve"> permea la struttura </w:t>
      </w:r>
      <w:r w:rsidR="001522CD">
        <w:t>e l</w:t>
      </w:r>
      <w:r w:rsidR="00FB1B2E">
        <w:t xml:space="preserve">o scopo </w:t>
      </w:r>
      <w:r>
        <w:t xml:space="preserve">del giudizio </w:t>
      </w:r>
      <w:r w:rsidR="00FB1B2E">
        <w:t xml:space="preserve">che, </w:t>
      </w:r>
      <w:r w:rsidR="0091678C">
        <w:t>muovendo d</w:t>
      </w:r>
      <w:r w:rsidR="00FB1B2E">
        <w:t>alla ricostruzione istruttoria del fatto,</w:t>
      </w:r>
      <w:r>
        <w:t xml:space="preserve"> </w:t>
      </w:r>
      <w:r w:rsidR="00FB1B2E">
        <w:t xml:space="preserve">deve dare </w:t>
      </w:r>
      <w:r w:rsidR="00C40C3B">
        <w:t xml:space="preserve">una </w:t>
      </w:r>
      <w:r w:rsidR="004216A2">
        <w:t xml:space="preserve">risposta </w:t>
      </w:r>
      <w:r w:rsidR="00B93554">
        <w:t>immediata all</w:t>
      </w:r>
      <w:r w:rsidR="00FB1B2E">
        <w:t>’esigenza di giustizia, senza</w:t>
      </w:r>
      <w:r w:rsidR="00692CB3">
        <w:t xml:space="preserve"> la</w:t>
      </w:r>
      <w:r w:rsidR="00FB1B2E">
        <w:t xml:space="preserve"> pretesa di </w:t>
      </w:r>
      <w:r w:rsidR="00232A87">
        <w:t>stabilire un principio</w:t>
      </w:r>
      <w:r w:rsidR="00445EAE">
        <w:t xml:space="preserve"> </w:t>
      </w:r>
      <w:r>
        <w:t>nomofilattico</w:t>
      </w:r>
      <w:r w:rsidR="00A350B6">
        <w:t xml:space="preserve"> e</w:t>
      </w:r>
      <w:r w:rsidR="0091678C">
        <w:t xml:space="preserve"> nell’auspicio che </w:t>
      </w:r>
      <w:r w:rsidR="00B93554">
        <w:t>l</w:t>
      </w:r>
      <w:r w:rsidR="00F3606F">
        <w:t>a</w:t>
      </w:r>
      <w:r w:rsidR="0091678C">
        <w:t xml:space="preserve"> decisione </w:t>
      </w:r>
      <w:r w:rsidR="00C97439">
        <w:t>chiud</w:t>
      </w:r>
      <w:r w:rsidR="00B93554">
        <w:t>a</w:t>
      </w:r>
      <w:r w:rsidR="00C97439">
        <w:t xml:space="preserve"> </w:t>
      </w:r>
      <w:r w:rsidR="00B93554">
        <w:t xml:space="preserve">una volta per tutte </w:t>
      </w:r>
      <w:r w:rsidR="004313C9">
        <w:t xml:space="preserve">la vertenza </w:t>
      </w:r>
      <w:r w:rsidR="0091678C">
        <w:t xml:space="preserve">(si stima che </w:t>
      </w:r>
      <w:r w:rsidR="006E1558">
        <w:t>meno</w:t>
      </w:r>
      <w:r w:rsidR="0091678C">
        <w:t xml:space="preserve"> </w:t>
      </w:r>
      <w:r w:rsidR="006E1558">
        <w:t>de</w:t>
      </w:r>
      <w:r w:rsidR="0091678C">
        <w:t xml:space="preserve">l 20% delle sentenze di primo grado siano impugnate e </w:t>
      </w:r>
      <w:r w:rsidR="00A350B6">
        <w:t xml:space="preserve">che </w:t>
      </w:r>
      <w:r w:rsidR="0091678C">
        <w:t xml:space="preserve">circa la metà di esse sia </w:t>
      </w:r>
      <w:r w:rsidR="00A62CB7">
        <w:t xml:space="preserve">poi </w:t>
      </w:r>
      <w:r w:rsidR="00A350B6">
        <w:t>rifo</w:t>
      </w:r>
      <w:r w:rsidR="0091678C">
        <w:t>rmat</w:t>
      </w:r>
      <w:r w:rsidR="00A350B6">
        <w:t>a</w:t>
      </w:r>
      <w:r w:rsidR="0091678C">
        <w:t>)</w:t>
      </w:r>
      <w:r w:rsidR="00232A87">
        <w:t>.</w:t>
      </w:r>
    </w:p>
    <w:p w14:paraId="7CFACD76" w14:textId="3EEA3F88" w:rsidR="00FB1B2E" w:rsidRDefault="00B93554" w:rsidP="00CD3C9C">
      <w:pPr>
        <w:ind w:firstLine="993"/>
      </w:pPr>
      <w:r>
        <w:t>A</w:t>
      </w:r>
      <w:r w:rsidR="00FB1B2E">
        <w:t>l</w:t>
      </w:r>
      <w:r w:rsidR="004313C9">
        <w:t xml:space="preserve"> giudice </w:t>
      </w:r>
      <w:r w:rsidR="00FB1B2E">
        <w:t xml:space="preserve">di primo grado </w:t>
      </w:r>
      <w:r w:rsidR="007F2FA0">
        <w:t>è</w:t>
      </w:r>
      <w:r w:rsidR="00E76BB3">
        <w:t xml:space="preserve"> </w:t>
      </w:r>
      <w:r>
        <w:t xml:space="preserve">così </w:t>
      </w:r>
      <w:r w:rsidR="00FB1B2E">
        <w:t>attribuit</w:t>
      </w:r>
      <w:r w:rsidR="00A75782">
        <w:t>a</w:t>
      </w:r>
      <w:r w:rsidR="00FB1B2E">
        <w:t xml:space="preserve"> </w:t>
      </w:r>
      <w:r w:rsidR="00A75782">
        <w:t>la funzione</w:t>
      </w:r>
      <w:r w:rsidR="00FB1B2E">
        <w:t xml:space="preserve"> di sostenere</w:t>
      </w:r>
      <w:r w:rsidR="007D52A5" w:rsidRPr="007D52A5">
        <w:t xml:space="preserve"> </w:t>
      </w:r>
      <w:r w:rsidR="007D52A5">
        <w:t xml:space="preserve">l’evoluzione del diritto </w:t>
      </w:r>
      <w:r w:rsidR="007D52A5" w:rsidRPr="00A62CB7">
        <w:rPr>
          <w:i/>
          <w:iCs/>
        </w:rPr>
        <w:t>vivente</w:t>
      </w:r>
      <w:r>
        <w:t xml:space="preserve"> </w:t>
      </w:r>
      <w:r w:rsidR="00A75782">
        <w:t>direttamente e senza l’intermediazione</w:t>
      </w:r>
      <w:r w:rsidR="00A75782" w:rsidRPr="00A75782">
        <w:rPr>
          <w:i/>
          <w:iCs/>
        </w:rPr>
        <w:t xml:space="preserve"> </w:t>
      </w:r>
      <w:r w:rsidR="00A75782">
        <w:t>d</w:t>
      </w:r>
      <w:r w:rsidR="00FB0725">
        <w:t>e</w:t>
      </w:r>
      <w:r w:rsidR="00A75782">
        <w:t>ll’art. 99 c.p.a.</w:t>
      </w:r>
      <w:r w:rsidR="00FB0725">
        <w:t>,</w:t>
      </w:r>
      <w:r w:rsidR="00A75782">
        <w:t xml:space="preserve"> </w:t>
      </w:r>
      <w:r>
        <w:t>in attuazione de</w:t>
      </w:r>
      <w:r w:rsidR="004313C9">
        <w:t>i</w:t>
      </w:r>
      <w:r>
        <w:t xml:space="preserve"> princ</w:t>
      </w:r>
      <w:r w:rsidR="004313C9">
        <w:t>ì</w:t>
      </w:r>
      <w:r>
        <w:t xml:space="preserve">pi d’indipendenza </w:t>
      </w:r>
      <w:r w:rsidR="004313C9">
        <w:t>e di</w:t>
      </w:r>
      <w:r>
        <w:t xml:space="preserve"> sogge</w:t>
      </w:r>
      <w:r w:rsidR="004313C9">
        <w:t>zi</w:t>
      </w:r>
      <w:r>
        <w:t>o</w:t>
      </w:r>
      <w:r w:rsidR="004313C9">
        <w:t>ne</w:t>
      </w:r>
      <w:r>
        <w:t xml:space="preserve"> unicamente alla legge,</w:t>
      </w:r>
      <w:r w:rsidR="00692CB3">
        <w:t xml:space="preserve"> ponendosi</w:t>
      </w:r>
      <w:r w:rsidR="00EE672C">
        <w:t xml:space="preserve"> </w:t>
      </w:r>
      <w:r w:rsidR="003D54AD">
        <w:t>qual</w:t>
      </w:r>
      <w:r w:rsidR="007F2FA0">
        <w:t>e</w:t>
      </w:r>
      <w:r w:rsidR="00E76BB3">
        <w:t xml:space="preserve"> c</w:t>
      </w:r>
      <w:r w:rsidR="000C3B96">
        <w:t>inghi</w:t>
      </w:r>
      <w:r w:rsidR="00E76BB3">
        <w:t>a</w:t>
      </w:r>
      <w:r w:rsidR="000C3B96">
        <w:t xml:space="preserve"> </w:t>
      </w:r>
      <w:r w:rsidR="00E76BB3">
        <w:t xml:space="preserve">di trasmissione </w:t>
      </w:r>
      <w:r w:rsidR="000C3B96">
        <w:t>tra</w:t>
      </w:r>
      <w:r w:rsidR="00E76BB3">
        <w:t xml:space="preserve"> la giurisprudenza </w:t>
      </w:r>
      <w:r w:rsidR="000C3B96">
        <w:t xml:space="preserve">e </w:t>
      </w:r>
      <w:r w:rsidR="00C02E6C">
        <w:t xml:space="preserve">le trasformazioni </w:t>
      </w:r>
      <w:r w:rsidR="00C02E6C" w:rsidRPr="00FB1B2E">
        <w:t xml:space="preserve">del tessuto </w:t>
      </w:r>
      <w:r w:rsidR="000C3B96">
        <w:t>storico-</w:t>
      </w:r>
      <w:r w:rsidR="00C02E6C">
        <w:t>social</w:t>
      </w:r>
      <w:r w:rsidR="000C3B96">
        <w:t>e</w:t>
      </w:r>
      <w:r w:rsidR="00FB1B2E" w:rsidRPr="00E76BB3">
        <w:t xml:space="preserve"> </w:t>
      </w:r>
      <w:r w:rsidR="00E76BB3" w:rsidRPr="00E76BB3">
        <w:t xml:space="preserve">di cui </w:t>
      </w:r>
      <w:r w:rsidR="00E76BB3">
        <w:t>è chiamato a</w:t>
      </w:r>
      <w:r w:rsidR="00692CB3">
        <w:t>d</w:t>
      </w:r>
      <w:r w:rsidR="00E76BB3" w:rsidRPr="00E76BB3">
        <w:t xml:space="preserve"> </w:t>
      </w:r>
      <w:r w:rsidR="00E76BB3">
        <w:t>interpretare</w:t>
      </w:r>
      <w:r w:rsidR="00FB1B2E" w:rsidRPr="00FB1B2E">
        <w:t xml:space="preserve"> </w:t>
      </w:r>
      <w:r w:rsidR="00E76BB3" w:rsidRPr="00FB1B2E">
        <w:t xml:space="preserve">il dinamismo </w:t>
      </w:r>
      <w:r w:rsidR="00E76BB3">
        <w:t xml:space="preserve">e </w:t>
      </w:r>
      <w:r w:rsidR="00FB1B2E" w:rsidRPr="00FB1B2E">
        <w:t>la fluidità</w:t>
      </w:r>
      <w:r w:rsidR="00E76BB3">
        <w:t>.</w:t>
      </w:r>
    </w:p>
    <w:p w14:paraId="16294CC1" w14:textId="24F7AD0B" w:rsidR="00692CB3" w:rsidRDefault="003D54AD" w:rsidP="00CD3C9C">
      <w:pPr>
        <w:ind w:firstLine="993"/>
      </w:pPr>
      <w:r>
        <w:rPr>
          <w:rFonts w:cs="Times New Roman"/>
        </w:rPr>
        <w:lastRenderedPageBreak/>
        <w:t>P</w:t>
      </w:r>
      <w:r w:rsidR="000C3B96">
        <w:t xml:space="preserve">er tale </w:t>
      </w:r>
      <w:r w:rsidR="00FD2E28">
        <w:t>motivo</w:t>
      </w:r>
      <w:r w:rsidR="00A62CB7">
        <w:t>,</w:t>
      </w:r>
      <w:r w:rsidR="007D52A5">
        <w:t xml:space="preserve"> </w:t>
      </w:r>
      <w:r w:rsidR="00692CB3">
        <w:t xml:space="preserve">il legislatore ha </w:t>
      </w:r>
      <w:r w:rsidR="003638DB">
        <w:t>previs</w:t>
      </w:r>
      <w:r w:rsidR="00692CB3">
        <w:t xml:space="preserve">to che </w:t>
      </w:r>
      <w:r w:rsidR="004313C9">
        <w:t xml:space="preserve">per </w:t>
      </w:r>
      <w:r w:rsidR="00896840">
        <w:t xml:space="preserve">esso </w:t>
      </w:r>
      <w:r w:rsidR="00692CB3">
        <w:t xml:space="preserve">la regola </w:t>
      </w:r>
      <w:r w:rsidR="000C3B96">
        <w:t xml:space="preserve">enunciata </w:t>
      </w:r>
      <w:r w:rsidR="00692CB3">
        <w:t>d</w:t>
      </w:r>
      <w:r w:rsidR="000C3B96">
        <w:t>a</w:t>
      </w:r>
      <w:r w:rsidR="00692CB3">
        <w:t>lla plenaria, lungi dal costituire un vincolo, assuma la forza di un precedente</w:t>
      </w:r>
      <w:r w:rsidR="00692CB3" w:rsidRPr="003839D7">
        <w:t xml:space="preserve"> </w:t>
      </w:r>
      <w:r w:rsidR="00692CB3">
        <w:t>autorevole.</w:t>
      </w:r>
    </w:p>
    <w:p w14:paraId="2F687E6A" w14:textId="0D728D4A" w:rsidR="00E76BB3" w:rsidRDefault="00310ECC" w:rsidP="00CD3C9C">
      <w:pPr>
        <w:ind w:firstLine="993"/>
      </w:pPr>
      <w:r>
        <w:t xml:space="preserve">La dimostrazione plastica </w:t>
      </w:r>
      <w:r w:rsidR="007A7FF9">
        <w:t xml:space="preserve">dell’opportunità di </w:t>
      </w:r>
      <w:r w:rsidR="000C3B96">
        <w:t xml:space="preserve">assicurare </w:t>
      </w:r>
      <w:r w:rsidR="0032532C">
        <w:t xml:space="preserve">un’evoluzione </w:t>
      </w:r>
      <w:r w:rsidR="00C40C3B" w:rsidRPr="003D54AD">
        <w:rPr>
          <w:i/>
          <w:iCs/>
        </w:rPr>
        <w:t>dalla base</w:t>
      </w:r>
      <w:r w:rsidR="00C40C3B">
        <w:t xml:space="preserve"> </w:t>
      </w:r>
      <w:r w:rsidR="007A7FF9">
        <w:t>della giurisprudenza</w:t>
      </w:r>
      <w:r w:rsidR="0032532C">
        <w:t>,</w:t>
      </w:r>
      <w:r w:rsidR="003D54AD">
        <w:t xml:space="preserve"> </w:t>
      </w:r>
      <w:r w:rsidR="004313C9">
        <w:t xml:space="preserve">che vada </w:t>
      </w:r>
      <w:r w:rsidR="007A7FF9">
        <w:t>oltre i princ</w:t>
      </w:r>
      <w:r w:rsidR="0091678C">
        <w:t>ì</w:t>
      </w:r>
      <w:r w:rsidR="007A7FF9">
        <w:t>pi</w:t>
      </w:r>
      <w:r w:rsidR="0091678C">
        <w:t xml:space="preserve"> </w:t>
      </w:r>
      <w:r w:rsidR="000C3B96">
        <w:t>st</w:t>
      </w:r>
      <w:r w:rsidR="0091678C">
        <w:t>a</w:t>
      </w:r>
      <w:r w:rsidR="000C3B96">
        <w:t>bili</w:t>
      </w:r>
      <w:r w:rsidR="0091678C">
        <w:t>ti</w:t>
      </w:r>
      <w:r w:rsidR="007A7FF9">
        <w:t xml:space="preserve"> d</w:t>
      </w:r>
      <w:r w:rsidR="0091678C">
        <w:t>a</w:t>
      </w:r>
      <w:r w:rsidR="007A7FF9">
        <w:t>lla plenaria</w:t>
      </w:r>
      <w:r w:rsidR="0032532C">
        <w:t>,</w:t>
      </w:r>
      <w:r w:rsidR="007A7FF9">
        <w:t xml:space="preserve"> </w:t>
      </w:r>
      <w:r>
        <w:t xml:space="preserve">si coglie </w:t>
      </w:r>
      <w:r w:rsidR="007A7FF9">
        <w:t xml:space="preserve">a piene mani </w:t>
      </w:r>
      <w:r w:rsidR="00A62CB7">
        <w:t>ne</w:t>
      </w:r>
      <w:r w:rsidR="0091678C">
        <w:t>l quotidiano giudiziario</w:t>
      </w:r>
      <w:r>
        <w:t>.</w:t>
      </w:r>
    </w:p>
    <w:p w14:paraId="76A83F7E" w14:textId="63E638C9" w:rsidR="00D94807" w:rsidRDefault="002B3B11" w:rsidP="00CD3C9C">
      <w:pPr>
        <w:ind w:firstLine="993"/>
      </w:pPr>
      <w:r>
        <w:t>Non poche volte</w:t>
      </w:r>
      <w:r w:rsidR="00D94807">
        <w:t xml:space="preserve"> il primo giudice ha ritenuto di sottrarsi all’autorevolezza del precedente per ragioni di </w:t>
      </w:r>
      <w:r w:rsidR="007C3B63">
        <w:t xml:space="preserve">giustizia sostanziale, di </w:t>
      </w:r>
      <w:r w:rsidR="00D94807">
        <w:t xml:space="preserve">economia e speditezza processuale, ovvero per la difficoltà </w:t>
      </w:r>
      <w:r w:rsidR="00EA7B68">
        <w:t>a</w:t>
      </w:r>
      <w:r w:rsidR="00D94807">
        <w:t>d applicare il principio al caso concreto.</w:t>
      </w:r>
    </w:p>
    <w:p w14:paraId="41AF71F9" w14:textId="70A2C716" w:rsidR="007C3B63" w:rsidRDefault="007C3B63" w:rsidP="00CD3C9C">
      <w:pPr>
        <w:ind w:firstLine="993"/>
      </w:pPr>
      <w:r>
        <w:t xml:space="preserve">Per il primo </w:t>
      </w:r>
      <w:r w:rsidR="002B3B11">
        <w:t>profilo</w:t>
      </w:r>
      <w:r>
        <w:t xml:space="preserve"> (ragioni di giustizia sostanziale),</w:t>
      </w:r>
      <w:r w:rsidRPr="007C3B63">
        <w:t xml:space="preserve"> </w:t>
      </w:r>
      <w:r>
        <w:t xml:space="preserve">si </w:t>
      </w:r>
      <w:r w:rsidR="002B3B11">
        <w:t>rinvia</w:t>
      </w:r>
      <w:r>
        <w:t xml:space="preserve"> al principio, affermato dall’adunanza plenaria con decisione 12 dicembre 1992, </w:t>
      </w:r>
      <w:r w:rsidRPr="007D3367">
        <w:t>n. 20</w:t>
      </w:r>
      <w:r>
        <w:t>, secondo cui i</w:t>
      </w:r>
      <w:r w:rsidRPr="002A08DD">
        <w:t>l provvedimento di recupero d</w:t>
      </w:r>
      <w:r>
        <w:t>elle</w:t>
      </w:r>
      <w:r w:rsidRPr="002A08DD">
        <w:t xml:space="preserve"> somme </w:t>
      </w:r>
      <w:r>
        <w:t>indebita</w:t>
      </w:r>
      <w:r w:rsidRPr="002A08DD">
        <w:t>mente corrisposte</w:t>
      </w:r>
      <w:r>
        <w:t xml:space="preserve"> al</w:t>
      </w:r>
      <w:r w:rsidRPr="002A08DD">
        <w:t xml:space="preserve"> </w:t>
      </w:r>
      <w:r>
        <w:t>pubblico impiegato</w:t>
      </w:r>
      <w:r w:rsidRPr="002A08DD">
        <w:t xml:space="preserve"> </w:t>
      </w:r>
      <w:r>
        <w:t>non ha carattere vincolato e dev’essere motivato</w:t>
      </w:r>
      <w:r w:rsidRPr="002A08DD">
        <w:t xml:space="preserve"> </w:t>
      </w:r>
      <w:r>
        <w:t>anche sulla base del</w:t>
      </w:r>
      <w:r w:rsidRPr="002A08DD">
        <w:t>l</w:t>
      </w:r>
      <w:r>
        <w:t xml:space="preserve">a buona fede del percipiente, precisando come </w:t>
      </w:r>
      <w:r w:rsidRPr="002A08DD">
        <w:t>“l’elemento dell’affidamento, particolarmente allorch</w:t>
      </w:r>
      <w:r>
        <w:t>é</w:t>
      </w:r>
      <w:r w:rsidRPr="002A08DD">
        <w:t xml:space="preserve"> sia decorso un periodo non breve, durante il quale la buona fede abbia avuto plurime e costanti occasioni di iterazione, debba ricevere la dovuta attenzione da parte dell’amministrazione. In questi casi, nulla è imputabile al dipendente, e, come si è accennato, l’improvvisa decurtazione della sua retribuzione, se pur conforme a determinate norme, può risultare sostanzialmente iniqua, anche in relazione alla sua entità”</w:t>
      </w:r>
      <w:r w:rsidRPr="007D3367">
        <w:t>.</w:t>
      </w:r>
    </w:p>
    <w:p w14:paraId="02B438F3" w14:textId="56CAE572" w:rsidR="007C3B63" w:rsidRDefault="007C3B63" w:rsidP="00CD3C9C">
      <w:pPr>
        <w:ind w:firstLine="993"/>
      </w:pPr>
      <w:r>
        <w:t>Tale pr</w:t>
      </w:r>
      <w:r w:rsidR="002B3B11">
        <w:t>ecedente</w:t>
      </w:r>
      <w:r>
        <w:t xml:space="preserve"> è stato ben presto oggetto di un’applicazione, per così dire, </w:t>
      </w:r>
      <w:r w:rsidRPr="007A7FF9">
        <w:rPr>
          <w:i/>
          <w:iCs/>
        </w:rPr>
        <w:t>abro</w:t>
      </w:r>
      <w:r>
        <w:rPr>
          <w:i/>
          <w:iCs/>
        </w:rPr>
        <w:t>gans</w:t>
      </w:r>
      <w:r>
        <w:t xml:space="preserve"> da parte di alcuni tribunali amministrativi e delle stesse sezioni semplici del consiglio di stato (il c.p.a. non era ancora in vigore), che hanno ben saputo cogliere la contrapposta necessità di salvaguardare le finanze pubbliche dalle frequenti condotte dissipative di tal genere, affermando che</w:t>
      </w:r>
      <w:r w:rsidRPr="00C35905">
        <w:rPr>
          <w:rFonts w:cs="Arial"/>
        </w:rPr>
        <w:t xml:space="preserve"> </w:t>
      </w:r>
      <w:r>
        <w:rPr>
          <w:rFonts w:cs="Arial"/>
        </w:rPr>
        <w:t xml:space="preserve">la motivazione dell’interesse pubblico alla ripetizione è </w:t>
      </w:r>
      <w:r>
        <w:rPr>
          <w:rFonts w:cs="Arial"/>
          <w:i/>
          <w:iCs/>
        </w:rPr>
        <w:t>in re ipsa</w:t>
      </w:r>
      <w:r>
        <w:rPr>
          <w:rStyle w:val="Rimandonotaapidipagina"/>
        </w:rPr>
        <w:footnoteReference w:id="17"/>
      </w:r>
      <w:r>
        <w:t>.</w:t>
      </w:r>
    </w:p>
    <w:p w14:paraId="35B80CD2" w14:textId="2D882432" w:rsidR="007C3B63" w:rsidRDefault="007C3B63" w:rsidP="00CD3C9C">
      <w:pPr>
        <w:ind w:firstLine="993"/>
      </w:pPr>
      <w:r>
        <w:t>Si è così giunti a configurare</w:t>
      </w:r>
      <w:r w:rsidRPr="00E77C8E">
        <w:t xml:space="preserve"> </w:t>
      </w:r>
      <w:r>
        <w:t xml:space="preserve">il recupero come un atto sostanzialmente </w:t>
      </w:r>
      <w:r w:rsidRPr="00E77C8E">
        <w:t>doveros</w:t>
      </w:r>
      <w:r>
        <w:t xml:space="preserve">o, secondo </w:t>
      </w:r>
      <w:r w:rsidRPr="00E77C8E">
        <w:t>la regola generale dell’</w:t>
      </w:r>
      <w:r>
        <w:t>art.</w:t>
      </w:r>
      <w:r w:rsidRPr="00E77C8E">
        <w:t> 2033 c.c</w:t>
      </w:r>
      <w:r>
        <w:t>.</w:t>
      </w:r>
      <w:r w:rsidRPr="00E77C8E">
        <w:t xml:space="preserve">, </w:t>
      </w:r>
      <w:r>
        <w:t>n</w:t>
      </w:r>
      <w:r w:rsidRPr="00E77C8E">
        <w:t>e</w:t>
      </w:r>
      <w:r>
        <w:t>ga</w:t>
      </w:r>
      <w:r w:rsidRPr="00E77C8E">
        <w:t>ndo</w:t>
      </w:r>
      <w:r>
        <w:t>si</w:t>
      </w:r>
      <w:r w:rsidRPr="00E77C8E">
        <w:t xml:space="preserve"> che la semplice buona fede del beneficiario </w:t>
      </w:r>
      <w:r>
        <w:t xml:space="preserve">possa </w:t>
      </w:r>
      <w:r w:rsidRPr="00E77C8E">
        <w:t>legittim</w:t>
      </w:r>
      <w:r>
        <w:t>are</w:t>
      </w:r>
      <w:r w:rsidRPr="00E77C8E">
        <w:t xml:space="preserve"> </w:t>
      </w:r>
      <w:r>
        <w:t>l</w:t>
      </w:r>
      <w:r w:rsidRPr="00E77C8E">
        <w:t>a </w:t>
      </w:r>
      <w:r w:rsidRPr="00E77C8E">
        <w:rPr>
          <w:i/>
          <w:iCs/>
        </w:rPr>
        <w:t>soluti retentio</w:t>
      </w:r>
      <w:r w:rsidRPr="00E77C8E">
        <w:t xml:space="preserve">, </w:t>
      </w:r>
      <w:r>
        <w:t>ril</w:t>
      </w:r>
      <w:r w:rsidRPr="00E77C8E">
        <w:t>e</w:t>
      </w:r>
      <w:r>
        <w:t>vando</w:t>
      </w:r>
      <w:r w:rsidRPr="00E77C8E">
        <w:t xml:space="preserve"> piuttosto ai fini del temperamento dell</w:t>
      </w:r>
      <w:r>
        <w:t>e modalità del prelievo, cosa che ha poi trovato definitivo avallo nella giurisprudenza della corte costituzionale</w:t>
      </w:r>
      <w:r>
        <w:rPr>
          <w:rStyle w:val="Rimandonotaapidipagina"/>
        </w:rPr>
        <w:footnoteReference w:id="18"/>
      </w:r>
      <w:r>
        <w:t>.</w:t>
      </w:r>
    </w:p>
    <w:p w14:paraId="2F98B34B" w14:textId="570AE949" w:rsidR="00D94807" w:rsidRDefault="007C3B63" w:rsidP="00CD3C9C">
      <w:pPr>
        <w:ind w:firstLine="993"/>
      </w:pPr>
      <w:r>
        <w:lastRenderedPageBreak/>
        <w:t>Per</w:t>
      </w:r>
      <w:r w:rsidR="00D94807">
        <w:t xml:space="preserve"> il </w:t>
      </w:r>
      <w:r>
        <w:t>second</w:t>
      </w:r>
      <w:r w:rsidR="00D94807">
        <w:t>o profilo</w:t>
      </w:r>
      <w:r>
        <w:t xml:space="preserve"> (ragioni di economia e speditezza processuale)</w:t>
      </w:r>
      <w:r w:rsidR="00D94807">
        <w:t>, pensiamo alla sentenza dell’adunanza plenaria 27 aprile 2015, n. 5, secondo cui,</w:t>
      </w:r>
      <w:r w:rsidR="00D94807" w:rsidRPr="00090FAC">
        <w:t xml:space="preserve"> in ca</w:t>
      </w:r>
      <w:r w:rsidR="00D94807">
        <w:t>re</w:t>
      </w:r>
      <w:r w:rsidR="00D94807" w:rsidRPr="00090FAC">
        <w:t xml:space="preserve">nza di </w:t>
      </w:r>
      <w:r w:rsidR="00D94807">
        <w:t>una</w:t>
      </w:r>
      <w:r w:rsidR="00D94807" w:rsidRPr="00090FAC">
        <w:t xml:space="preserve"> </w:t>
      </w:r>
      <w:r w:rsidR="00D94807">
        <w:t xml:space="preserve">formale </w:t>
      </w:r>
      <w:r w:rsidR="00D94807" w:rsidRPr="00090FAC">
        <w:t xml:space="preserve">graduazione dei motivi </w:t>
      </w:r>
      <w:r w:rsidR="00D94807">
        <w:t>di ricorso</w:t>
      </w:r>
      <w:r w:rsidR="00D94807" w:rsidRPr="00090FAC">
        <w:t>, il giudice amministrativo, in base al principio dispositivo e di corrispondenza fra chiesto e pronunziato, è obbligato ad esaminarli tutti, salvo non ricorrano i presupposti per l’assorbimento</w:t>
      </w:r>
      <w:r w:rsidR="00D94807">
        <w:t xml:space="preserve"> obbligatorio</w:t>
      </w:r>
      <w:r w:rsidR="00D94807">
        <w:rPr>
          <w:rStyle w:val="Rimandonotaapidipagina"/>
        </w:rPr>
        <w:footnoteReference w:id="19"/>
      </w:r>
      <w:r w:rsidR="00D94807">
        <w:t xml:space="preserve">; quest’ultimo, in particolare, </w:t>
      </w:r>
      <w:r w:rsidR="00D94807" w:rsidRPr="00C43A98">
        <w:t xml:space="preserve">in </w:t>
      </w:r>
      <w:r w:rsidR="00D94807">
        <w:t>presenza</w:t>
      </w:r>
      <w:r w:rsidR="00D94807" w:rsidRPr="00C43A98">
        <w:t xml:space="preserve"> d</w:t>
      </w:r>
      <w:r w:rsidR="00D94807">
        <w:t>i un</w:t>
      </w:r>
      <w:r w:rsidR="00D94807" w:rsidRPr="00C43A98">
        <w:t xml:space="preserve">a ragione </w:t>
      </w:r>
      <w:r w:rsidR="00D94807" w:rsidRPr="002721A4">
        <w:rPr>
          <w:i/>
          <w:iCs/>
        </w:rPr>
        <w:t>più liquida</w:t>
      </w:r>
      <w:r w:rsidR="00D94807">
        <w:t xml:space="preserve">, è </w:t>
      </w:r>
      <w:r w:rsidR="002B3B11">
        <w:t>configura</w:t>
      </w:r>
      <w:r w:rsidR="00D94807">
        <w:t>bile solo s</w:t>
      </w:r>
      <w:r w:rsidR="00D94807" w:rsidRPr="00C43A98">
        <w:t>e</w:t>
      </w:r>
      <w:r w:rsidR="00D94807">
        <w:t xml:space="preserve"> i</w:t>
      </w:r>
      <w:r w:rsidR="00D94807" w:rsidRPr="00C43A98">
        <w:t>l</w:t>
      </w:r>
      <w:r w:rsidR="00D94807">
        <w:t xml:space="preserve"> ricorso è respinto </w:t>
      </w:r>
      <w:r w:rsidR="00D94807" w:rsidRPr="00B85955">
        <w:t>per motivi di rito</w:t>
      </w:r>
      <w:r w:rsidR="00D94807">
        <w:t>,</w:t>
      </w:r>
      <w:r w:rsidR="00D94807" w:rsidRPr="00B85955">
        <w:t xml:space="preserve"> </w:t>
      </w:r>
      <w:r w:rsidR="00D94807">
        <w:t>stante la conseguente</w:t>
      </w:r>
      <w:r w:rsidR="00D94807" w:rsidRPr="00B85955">
        <w:t xml:space="preserve"> </w:t>
      </w:r>
      <w:r w:rsidR="00D94807">
        <w:t>irrilevanza</w:t>
      </w:r>
      <w:r w:rsidR="00D94807" w:rsidRPr="00B85955">
        <w:t xml:space="preserve"> delle questioni di merito</w:t>
      </w:r>
      <w:r w:rsidR="00D94807">
        <w:t>.</w:t>
      </w:r>
    </w:p>
    <w:p w14:paraId="10231B17" w14:textId="097AF674" w:rsidR="00D94807" w:rsidRDefault="006A223E" w:rsidP="00CD3C9C">
      <w:pPr>
        <w:ind w:firstLine="993"/>
      </w:pPr>
      <w:r w:rsidRPr="006A223E">
        <w:t>Anche tale precedente è stato disatteso dalla prevalente giurisprudenza di primo grado, dov’è invalsa la tesi per cui l</w:t>
      </w:r>
      <w:r>
        <w:t>’</w:t>
      </w:r>
      <w:r w:rsidRPr="006A223E">
        <w:t xml:space="preserve">assorbimento è </w:t>
      </w:r>
      <w:r>
        <w:t xml:space="preserve">ugualmente </w:t>
      </w:r>
      <w:r w:rsidRPr="006A223E">
        <w:t xml:space="preserve">possibile sia in caso di rigetto del ricorso </w:t>
      </w:r>
      <w:r w:rsidR="005C4D13">
        <w:rPr>
          <w:rFonts w:cs="Times New Roman"/>
          <w:szCs w:val="24"/>
        </w:rPr>
        <w:t>quando è</w:t>
      </w:r>
      <w:r w:rsidR="005C4D13" w:rsidRPr="0098564C">
        <w:rPr>
          <w:rFonts w:cs="Times New Roman"/>
          <w:szCs w:val="24"/>
        </w:rPr>
        <w:t xml:space="preserve"> palese che il contenuto dispositivo </w:t>
      </w:r>
      <w:r w:rsidR="005C4D13">
        <w:rPr>
          <w:rFonts w:cs="Times New Roman"/>
          <w:szCs w:val="24"/>
        </w:rPr>
        <w:t xml:space="preserve">dell’atto </w:t>
      </w:r>
      <w:r w:rsidR="005C4D13" w:rsidRPr="0098564C">
        <w:rPr>
          <w:rFonts w:cs="Times New Roman"/>
          <w:szCs w:val="24"/>
        </w:rPr>
        <w:t>non avrebbe potuto essere diverso da quello in concreto adottato</w:t>
      </w:r>
      <w:r w:rsidR="005C4D13" w:rsidRPr="006A223E">
        <w:t xml:space="preserve"> </w:t>
      </w:r>
      <w:r w:rsidRPr="006A223E">
        <w:t xml:space="preserve">(con assorbimento delle censure riguardanti i vizi formali dello stesso), sia in caso di accoglimento per una questione preliminare di merito (es. prescrizione </w:t>
      </w:r>
      <w:r>
        <w:t>della pretesa</w:t>
      </w:r>
      <w:r w:rsidR="00013CDA" w:rsidRPr="006A223E">
        <w:t>,</w:t>
      </w:r>
      <w:r>
        <w:t xml:space="preserve"> </w:t>
      </w:r>
      <w:r w:rsidRPr="006A223E">
        <w:t>decadenza del</w:t>
      </w:r>
      <w:r>
        <w:t xml:space="preserve"> potere esercitato</w:t>
      </w:r>
      <w:r w:rsidR="00013CDA">
        <w:t>,</w:t>
      </w:r>
      <w:r w:rsidR="00013CDA" w:rsidRPr="006A223E">
        <w:t xml:space="preserve"> </w:t>
      </w:r>
      <w:r w:rsidRPr="006A223E">
        <w:t>nullità dell</w:t>
      </w:r>
      <w:r w:rsidR="00013CDA">
        <w:t>’</w:t>
      </w:r>
      <w:r w:rsidRPr="006A223E">
        <w:t>atto) o per un motivo che comporti la ri</w:t>
      </w:r>
      <w:r w:rsidR="00FF33E4">
        <w:t>nnova</w:t>
      </w:r>
      <w:r w:rsidRPr="006A223E">
        <w:t>zione del procedimento amministrativo (con riferimento ai motivi riguardanti aspetti che l’amministrazione può emendare in fase di rie</w:t>
      </w:r>
      <w:r w:rsidR="00013CDA">
        <w:t>dizione</w:t>
      </w:r>
      <w:r w:rsidRPr="006A223E">
        <w:t xml:space="preserve"> del potere</w:t>
      </w:r>
      <w:r w:rsidR="00D94807">
        <w:rPr>
          <w:rStyle w:val="Rimandonotaapidipagina"/>
        </w:rPr>
        <w:footnoteReference w:id="20"/>
      </w:r>
      <w:r>
        <w:t>)</w:t>
      </w:r>
      <w:r w:rsidR="00D94807">
        <w:rPr>
          <w:rFonts w:cs="Times New Roman"/>
        </w:rPr>
        <w:t>.</w:t>
      </w:r>
    </w:p>
    <w:p w14:paraId="2DD308D7" w14:textId="3BB6C757" w:rsidR="00D94807" w:rsidRDefault="00D94807" w:rsidP="00CD3C9C">
      <w:pPr>
        <w:ind w:firstLine="993"/>
      </w:pPr>
      <w:r>
        <w:t xml:space="preserve">Per il </w:t>
      </w:r>
      <w:r w:rsidR="007C3B63">
        <w:t>terz</w:t>
      </w:r>
      <w:r>
        <w:t>o profilo</w:t>
      </w:r>
      <w:r w:rsidR="007C3B63">
        <w:t xml:space="preserve"> (difficoltà </w:t>
      </w:r>
      <w:r w:rsidR="00EA7B68">
        <w:t>a</w:t>
      </w:r>
      <w:r w:rsidR="007C3B63">
        <w:t>d applicare il principio al caso concreto)</w:t>
      </w:r>
      <w:r>
        <w:t xml:space="preserve">, si può fare </w:t>
      </w:r>
      <w:r w:rsidR="00435BA6">
        <w:t>cenno</w:t>
      </w:r>
      <w:r>
        <w:t xml:space="preserve"> alla sentenza 11 ottobre 2023, n. 16, nella parte in cui l’adunanza plenaria ha affermato che l’acquisizione gratuita al patrimonio comunale a seguito dell’inottemperanza all’ordinanza di demolizione si verifica</w:t>
      </w:r>
      <w:r w:rsidRPr="00442945">
        <w:t xml:space="preserve"> </w:t>
      </w:r>
      <w:r w:rsidRPr="00442945">
        <w:rPr>
          <w:i/>
          <w:iCs/>
        </w:rPr>
        <w:t>ipso iure</w:t>
      </w:r>
      <w:r w:rsidRPr="00442945">
        <w:t xml:space="preserve"> alla scadenza del termine</w:t>
      </w:r>
      <w:r>
        <w:t xml:space="preserve"> per demolire, a prescindere dall’adozione di un atto formale di accertamento, avente valenza tendenzialmente dichiarativa.</w:t>
      </w:r>
    </w:p>
    <w:p w14:paraId="1406DE86" w14:textId="77777777" w:rsidR="00D94807" w:rsidRDefault="00D94807" w:rsidP="00CD3C9C">
      <w:pPr>
        <w:ind w:firstLine="993"/>
      </w:pPr>
      <w:r>
        <w:t xml:space="preserve">Ne deriva che l’avere demolito l’abuso in epoca successiva </w:t>
      </w:r>
      <w:r w:rsidRPr="00442945">
        <w:t>alla scadenza del termine</w:t>
      </w:r>
      <w:r>
        <w:t xml:space="preserve"> non scongiura l’effetto acquisitivo ormai maturato.</w:t>
      </w:r>
    </w:p>
    <w:p w14:paraId="669379EB" w14:textId="14333A37" w:rsidR="00D94807" w:rsidRDefault="00223E5E" w:rsidP="00223E5E">
      <w:pPr>
        <w:ind w:firstLine="993"/>
      </w:pPr>
      <w:r>
        <w:t>L’indubbi</w:t>
      </w:r>
      <w:r w:rsidR="00D94807">
        <w:t>a rigidità d</w:t>
      </w:r>
      <w:r w:rsidR="00036FAE">
        <w:t>el</w:t>
      </w:r>
      <w:r w:rsidR="00D94807">
        <w:t xml:space="preserve"> principio </w:t>
      </w:r>
      <w:r w:rsidR="00DB373B">
        <w:t>dà</w:t>
      </w:r>
      <w:r w:rsidR="00D94807">
        <w:t xml:space="preserve"> </w:t>
      </w:r>
      <w:r w:rsidR="00816F60">
        <w:t xml:space="preserve">qualche </w:t>
      </w:r>
      <w:r w:rsidR="00D94807">
        <w:t>problem</w:t>
      </w:r>
      <w:r w:rsidR="00816F60">
        <w:t>a</w:t>
      </w:r>
      <w:r w:rsidR="00D94807">
        <w:t xml:space="preserve"> </w:t>
      </w:r>
      <w:r>
        <w:t>pratic</w:t>
      </w:r>
      <w:r w:rsidR="00816F60">
        <w:t>o</w:t>
      </w:r>
      <w:r w:rsidR="00D94807">
        <w:t xml:space="preserve"> </w:t>
      </w:r>
      <w:r w:rsidR="00816F60">
        <w:t>in relazione a</w:t>
      </w:r>
      <w:r w:rsidR="00DB373B">
        <w:t>gl</w:t>
      </w:r>
      <w:r w:rsidR="00D94807">
        <w:t>i abusi parziali</w:t>
      </w:r>
      <w:r w:rsidR="00A656F2">
        <w:t xml:space="preserve"> non manifesti o</w:t>
      </w:r>
      <w:r w:rsidR="00435BA6">
        <w:t>d</w:t>
      </w:r>
      <w:r w:rsidR="00A656F2">
        <w:t xml:space="preserve"> oggetto di demolizione tardiva</w:t>
      </w:r>
      <w:r w:rsidR="00D94807">
        <w:t>,</w:t>
      </w:r>
      <w:r w:rsidR="00D94807" w:rsidRPr="00C272D4">
        <w:t xml:space="preserve"> </w:t>
      </w:r>
      <w:r w:rsidR="00D94807">
        <w:t>non esistendo, nel nostro ordinamento, la possibilità di trascrivere l’ordinanza di demolizione</w:t>
      </w:r>
      <w:r w:rsidR="00816F60">
        <w:t xml:space="preserve"> e</w:t>
      </w:r>
      <w:r w:rsidR="00D94807">
        <w:t xml:space="preserve"> </w:t>
      </w:r>
      <w:r>
        <w:t>prevedendo</w:t>
      </w:r>
      <w:r w:rsidR="00A656F2">
        <w:t xml:space="preserve"> l’art. 31, comma 4, del D.P.R. n. 380 del 2001</w:t>
      </w:r>
      <w:r>
        <w:t xml:space="preserve"> che sia</w:t>
      </w:r>
      <w:r w:rsidR="00A656F2">
        <w:t xml:space="preserve"> l’</w:t>
      </w:r>
      <w:r w:rsidR="001336E2">
        <w:t xml:space="preserve">atto di </w:t>
      </w:r>
      <w:r w:rsidR="00A656F2" w:rsidRPr="00A656F2">
        <w:t>accertamento dell</w:t>
      </w:r>
      <w:r w:rsidR="00A656F2">
        <w:t>’</w:t>
      </w:r>
      <w:r w:rsidR="00A656F2" w:rsidRPr="00A656F2">
        <w:t xml:space="preserve">inottemperanza </w:t>
      </w:r>
      <w:r>
        <w:t xml:space="preserve">a </w:t>
      </w:r>
      <w:r w:rsidRPr="00A656F2">
        <w:t>costitui</w:t>
      </w:r>
      <w:r>
        <w:t>r</w:t>
      </w:r>
      <w:r w:rsidRPr="00A656F2">
        <w:t>e</w:t>
      </w:r>
      <w:r w:rsidR="00A656F2" w:rsidRPr="00A656F2">
        <w:t>, previa notifica all</w:t>
      </w:r>
      <w:r w:rsidR="00435BA6">
        <w:t>’</w:t>
      </w:r>
      <w:r w:rsidR="00A656F2" w:rsidRPr="00A656F2">
        <w:t xml:space="preserve">interessato, </w:t>
      </w:r>
      <w:r>
        <w:t>“</w:t>
      </w:r>
      <w:r w:rsidR="00A656F2" w:rsidRPr="00A656F2">
        <w:t>titolo per l</w:t>
      </w:r>
      <w:r w:rsidR="00A656F2">
        <w:t>’</w:t>
      </w:r>
      <w:r w:rsidR="00A656F2" w:rsidRPr="00A656F2">
        <w:t>immissione nel possesso e per la trascrizione nei registri immobiliari, che deve essere eseguita gratuitamente</w:t>
      </w:r>
      <w:r w:rsidR="00A656F2">
        <w:t>”</w:t>
      </w:r>
      <w:r w:rsidR="00D94807">
        <w:t>.</w:t>
      </w:r>
    </w:p>
    <w:p w14:paraId="02703D16" w14:textId="0C4D19A3" w:rsidR="00E21298" w:rsidRDefault="00DB373B" w:rsidP="00CD3C9C">
      <w:pPr>
        <w:ind w:firstLine="993"/>
      </w:pPr>
      <w:r>
        <w:lastRenderedPageBreak/>
        <w:t>P</w:t>
      </w:r>
      <w:r w:rsidR="00435BA6">
        <w:t xml:space="preserve">uò </w:t>
      </w:r>
      <w:r>
        <w:t xml:space="preserve">infatti accadere </w:t>
      </w:r>
      <w:r w:rsidR="00435BA6">
        <w:t>che, tra l</w:t>
      </w:r>
      <w:r>
        <w:t>a</w:t>
      </w:r>
      <w:r w:rsidR="00435BA6">
        <w:t xml:space="preserve"> scadenza del termine per demolire e la trascrizione dell’acquisto</w:t>
      </w:r>
      <w:r>
        <w:t xml:space="preserve"> gratuito</w:t>
      </w:r>
      <w:r w:rsidR="00435BA6">
        <w:t xml:space="preserve"> da parte dell’ente pubblico, </w:t>
      </w:r>
      <w:r>
        <w:t>tras</w:t>
      </w:r>
      <w:r w:rsidR="00435BA6">
        <w:t>corra</w:t>
      </w:r>
      <w:r w:rsidR="00435BA6" w:rsidRPr="00435BA6">
        <w:t xml:space="preserve"> </w:t>
      </w:r>
      <w:r w:rsidR="001336E2">
        <w:t>un</w:t>
      </w:r>
      <w:r w:rsidR="00435BA6">
        <w:t xml:space="preserve"> tempo </w:t>
      </w:r>
      <w:r w:rsidR="001336E2">
        <w:t xml:space="preserve">considerevole </w:t>
      </w:r>
      <w:r w:rsidR="00435BA6">
        <w:t>e che, nelle more, il bene sia oggetto di atti di trasmissione a terzi</w:t>
      </w:r>
      <w:r w:rsidR="001336E2">
        <w:t>,</w:t>
      </w:r>
      <w:r w:rsidR="00435BA6">
        <w:t xml:space="preserve"> trascritti in forza </w:t>
      </w:r>
      <w:r w:rsidR="00435BA6" w:rsidRPr="00435BA6">
        <w:t>dall’art. 2644 c.c.</w:t>
      </w:r>
    </w:p>
    <w:p w14:paraId="35FB51A1" w14:textId="03FA9A11" w:rsidR="00435BA6" w:rsidRDefault="00E21298" w:rsidP="00CD3C9C">
      <w:pPr>
        <w:ind w:firstLine="993"/>
      </w:pPr>
      <w:r>
        <w:t xml:space="preserve">E poiché </w:t>
      </w:r>
      <w:r w:rsidR="00036FAE">
        <w:t xml:space="preserve">la </w:t>
      </w:r>
      <w:r>
        <w:t xml:space="preserve">detta norma stabilisce </w:t>
      </w:r>
      <w:r w:rsidR="00435BA6" w:rsidRPr="00435BA6">
        <w:t xml:space="preserve">che gli atti soggetti a trascrizione non </w:t>
      </w:r>
      <w:r w:rsidR="00223E5E">
        <w:t>han</w:t>
      </w:r>
      <w:r w:rsidR="00435BA6" w:rsidRPr="00435BA6">
        <w:t xml:space="preserve">no effetto </w:t>
      </w:r>
      <w:r w:rsidR="00107FFA">
        <w:t>su</w:t>
      </w:r>
      <w:r w:rsidR="00435BA6" w:rsidRPr="00435BA6">
        <w:t>i terzi acqui</w:t>
      </w:r>
      <w:r w:rsidR="00223E5E">
        <w:t>renti di</w:t>
      </w:r>
      <w:r w:rsidR="00435BA6" w:rsidRPr="00435BA6">
        <w:t xml:space="preserve"> diritti su</w:t>
      </w:r>
      <w:r w:rsidR="00223E5E">
        <w:t>ll’</w:t>
      </w:r>
      <w:r w:rsidR="00435BA6" w:rsidRPr="00435BA6">
        <w:t>immobile in base a</w:t>
      </w:r>
      <w:r w:rsidR="00435BA6">
        <w:t>d</w:t>
      </w:r>
      <w:r w:rsidR="00435BA6" w:rsidRPr="00435BA6">
        <w:t xml:space="preserve"> un atto </w:t>
      </w:r>
      <w:r w:rsidR="00DB373B">
        <w:t xml:space="preserve">pubblico </w:t>
      </w:r>
      <w:r w:rsidR="00435BA6" w:rsidRPr="00435BA6">
        <w:t>trascritto anteriormente</w:t>
      </w:r>
      <w:r>
        <w:t>, s</w:t>
      </w:r>
      <w:r w:rsidR="00435BA6">
        <w:t xml:space="preserve">orge </w:t>
      </w:r>
      <w:r w:rsidR="00223E5E">
        <w:t>il</w:t>
      </w:r>
      <w:r w:rsidR="00435BA6">
        <w:t xml:space="preserve"> problema d</w:t>
      </w:r>
      <w:r w:rsidR="00223E5E">
        <w:t>ell’</w:t>
      </w:r>
      <w:r w:rsidR="00435BA6">
        <w:t>opponibilità dell’acquis</w:t>
      </w:r>
      <w:r w:rsidR="00DB373B">
        <w:t xml:space="preserve">izione gratuita </w:t>
      </w:r>
      <w:r w:rsidR="00223E5E">
        <w:t>nei confronti</w:t>
      </w:r>
      <w:r w:rsidR="00435BA6">
        <w:t xml:space="preserve"> </w:t>
      </w:r>
      <w:r w:rsidR="00223E5E">
        <w:t>de</w:t>
      </w:r>
      <w:r>
        <w:t>l</w:t>
      </w:r>
      <w:r w:rsidR="00435BA6">
        <w:t xml:space="preserve"> terz</w:t>
      </w:r>
      <w:r>
        <w:t>o</w:t>
      </w:r>
      <w:r w:rsidR="00435BA6">
        <w:t xml:space="preserve"> che </w:t>
      </w:r>
      <w:r w:rsidR="00223E5E">
        <w:t>abbi</w:t>
      </w:r>
      <w:r w:rsidR="00435BA6">
        <w:t>a</w:t>
      </w:r>
      <w:r>
        <w:t xml:space="preserve"> </w:t>
      </w:r>
      <w:r w:rsidR="00DB373B">
        <w:t xml:space="preserve">in precedenza trascritto </w:t>
      </w:r>
      <w:r>
        <w:t>i</w:t>
      </w:r>
      <w:r w:rsidR="00435BA6">
        <w:t>l</w:t>
      </w:r>
      <w:r>
        <w:t xml:space="preserve"> proprio </w:t>
      </w:r>
      <w:r w:rsidR="00435BA6">
        <w:t xml:space="preserve">atto </w:t>
      </w:r>
      <w:r>
        <w:t>di</w:t>
      </w:r>
      <w:r w:rsidR="00435BA6">
        <w:t xml:space="preserve"> acquisto</w:t>
      </w:r>
      <w:r w:rsidR="00223E5E">
        <w:t>: controversia, questa, spettante</w:t>
      </w:r>
      <w:r w:rsidR="00107FFA">
        <w:t xml:space="preserve"> sì</w:t>
      </w:r>
      <w:r w:rsidR="00223E5E">
        <w:t xml:space="preserve"> alla giurisdizione ordinaria, ma conoscibile in via incidentale dal giudice amministrativo</w:t>
      </w:r>
      <w:r w:rsidR="00435BA6">
        <w:t>.</w:t>
      </w:r>
    </w:p>
    <w:p w14:paraId="0BB91F5A" w14:textId="4A4DA67A" w:rsidR="00D901CC" w:rsidRPr="00D901CC" w:rsidRDefault="00D81348" w:rsidP="00D901CC">
      <w:pPr>
        <w:ind w:firstLine="993"/>
      </w:pPr>
      <w:r>
        <w:t xml:space="preserve">A tal riguardo, </w:t>
      </w:r>
      <w:r w:rsidR="00D654C8">
        <w:t xml:space="preserve">si </w:t>
      </w:r>
      <w:r w:rsidR="00377C0D">
        <w:t xml:space="preserve">è </w:t>
      </w:r>
      <w:r w:rsidR="00E81652" w:rsidRPr="00E81652">
        <w:t>colto il tentativo</w:t>
      </w:r>
      <w:r w:rsidR="003D4AE2">
        <w:t>,</w:t>
      </w:r>
      <w:r w:rsidR="00E81652" w:rsidRPr="00E81652">
        <w:t xml:space="preserve"> </w:t>
      </w:r>
      <w:r w:rsidR="003D4AE2" w:rsidRPr="00E81652">
        <w:t>operato da taluna giurisprudenza</w:t>
      </w:r>
      <w:r w:rsidR="003D4AE2">
        <w:t xml:space="preserve">, </w:t>
      </w:r>
      <w:r w:rsidR="00E81652" w:rsidRPr="00E81652">
        <w:t xml:space="preserve">di superare </w:t>
      </w:r>
      <w:r w:rsidR="00B243A0">
        <w:t>la</w:t>
      </w:r>
      <w:r w:rsidR="00B243A0" w:rsidRPr="00E81652">
        <w:t xml:space="preserve"> “ghigliottina”</w:t>
      </w:r>
      <w:r w:rsidR="00B243A0">
        <w:t xml:space="preserve"> del</w:t>
      </w:r>
      <w:r w:rsidR="00E81652" w:rsidRPr="00E81652">
        <w:t>l</w:t>
      </w:r>
      <w:r w:rsidR="00E81652">
        <w:t>’</w:t>
      </w:r>
      <w:r w:rsidR="00E81652" w:rsidRPr="00E81652">
        <w:t>automatismo dell</w:t>
      </w:r>
      <w:r w:rsidR="00B243A0">
        <w:t>’</w:t>
      </w:r>
      <w:r w:rsidR="00E81652" w:rsidRPr="00E81652">
        <w:t>effetto acquisitivo</w:t>
      </w:r>
      <w:r w:rsidR="00B243A0">
        <w:rPr>
          <w:rStyle w:val="Rimandonotaapidipagina"/>
        </w:rPr>
        <w:footnoteReference w:id="21"/>
      </w:r>
      <w:r w:rsidR="00E81652" w:rsidRPr="00E81652">
        <w:t xml:space="preserve">, </w:t>
      </w:r>
      <w:r w:rsidR="003D4AE2">
        <w:t>permet</w:t>
      </w:r>
      <w:r w:rsidR="00D901CC" w:rsidRPr="00D901CC">
        <w:t>te</w:t>
      </w:r>
      <w:r w:rsidR="003D4AE2">
        <w:t>ndo</w:t>
      </w:r>
      <w:r w:rsidR="00172406">
        <w:t xml:space="preserve"> </w:t>
      </w:r>
      <w:r w:rsidR="00D901CC" w:rsidRPr="00D901CC">
        <w:t>all</w:t>
      </w:r>
      <w:r w:rsidR="00D901CC">
        <w:t>’</w:t>
      </w:r>
      <w:r w:rsidR="00D901CC" w:rsidRPr="00D901CC">
        <w:t>interessato una difesa, anche in termini di presentazione di istanza di sanatoria, fino a quando non si sia concluso, con l</w:t>
      </w:r>
      <w:r w:rsidR="00D901CC">
        <w:t>’</w:t>
      </w:r>
      <w:r w:rsidR="00D901CC" w:rsidRPr="00D901CC">
        <w:t>irrogazione della sanzione pecuniaria, il complesso procedimento sanzionatorio in tema di abusi edilizi.</w:t>
      </w:r>
    </w:p>
    <w:p w14:paraId="1BB1DA08" w14:textId="78011E94" w:rsidR="00084186" w:rsidRDefault="00DD7AE5" w:rsidP="00D901CC">
      <w:pPr>
        <w:ind w:firstLine="993"/>
      </w:pPr>
      <w:r>
        <w:t>Sul punto specifico, i</w:t>
      </w:r>
      <w:r w:rsidR="00D901CC">
        <w:t xml:space="preserve">n particolare, forzando la lettera della plenaria, </w:t>
      </w:r>
      <w:r w:rsidR="003D4AE2">
        <w:t xml:space="preserve">si è sostenuto </w:t>
      </w:r>
      <w:r w:rsidR="00D901CC">
        <w:t>che</w:t>
      </w:r>
      <w:r w:rsidR="00E81652">
        <w:t xml:space="preserve"> </w:t>
      </w:r>
      <w:r w:rsidR="00DA70A1">
        <w:t>“</w:t>
      </w:r>
      <w:r w:rsidR="00DA70A1" w:rsidRPr="00DA70A1">
        <w:t>l’effetto acquisitivo, seppure immediato, sia da considerare sottoposto ad una sorta di ineludibile condizione sospensiva, da ravvisare nel formale accertamento dell’inottemperanza, notificato all’interessato</w:t>
      </w:r>
      <w:r w:rsidR="00DA70A1">
        <w:t>”</w:t>
      </w:r>
      <w:r w:rsidR="004B3817">
        <w:t>:</w:t>
      </w:r>
      <w:r w:rsidR="001336E2">
        <w:t xml:space="preserve"> </w:t>
      </w:r>
      <w:r w:rsidR="00DA70A1" w:rsidRPr="00DA70A1">
        <w:t xml:space="preserve">il proprietario </w:t>
      </w:r>
      <w:r w:rsidR="003D4AE2">
        <w:t>si trova quindi</w:t>
      </w:r>
      <w:r w:rsidR="001336E2" w:rsidRPr="00DA70A1">
        <w:t xml:space="preserve"> </w:t>
      </w:r>
      <w:r w:rsidR="00DA70A1" w:rsidRPr="00DA70A1">
        <w:t xml:space="preserve">in una </w:t>
      </w:r>
      <w:r w:rsidR="001336E2">
        <w:t>condi</w:t>
      </w:r>
      <w:r w:rsidR="00DA70A1" w:rsidRPr="00DA70A1">
        <w:t xml:space="preserve">zione di </w:t>
      </w:r>
      <w:r w:rsidR="00DB28FA">
        <w:t>“</w:t>
      </w:r>
      <w:r w:rsidR="00DB373B">
        <w:t xml:space="preserve">mera </w:t>
      </w:r>
      <w:r w:rsidR="00DA70A1" w:rsidRPr="00DA70A1">
        <w:t xml:space="preserve">soggezione rispetto alle scelte del </w:t>
      </w:r>
      <w:r w:rsidR="0058781A">
        <w:t>comune</w:t>
      </w:r>
      <w:r w:rsidR="00DB28FA">
        <w:t>”</w:t>
      </w:r>
      <w:r w:rsidR="00DA70A1" w:rsidRPr="00DA70A1">
        <w:t xml:space="preserve">, </w:t>
      </w:r>
      <w:r w:rsidR="00DB373B">
        <w:t>il qual</w:t>
      </w:r>
      <w:r w:rsidR="0058781A">
        <w:t>e</w:t>
      </w:r>
      <w:r w:rsidR="0058781A" w:rsidRPr="0058781A">
        <w:t xml:space="preserve"> </w:t>
      </w:r>
      <w:r w:rsidR="001336E2">
        <w:t xml:space="preserve">può </w:t>
      </w:r>
      <w:r w:rsidR="0058781A" w:rsidRPr="00DA70A1">
        <w:t>consent</w:t>
      </w:r>
      <w:r w:rsidR="0058781A">
        <w:t>ir</w:t>
      </w:r>
      <w:r w:rsidR="001336E2">
        <w:t>gli</w:t>
      </w:r>
      <w:r w:rsidR="00DB28FA" w:rsidRPr="00DB28FA">
        <w:t xml:space="preserve"> </w:t>
      </w:r>
      <w:r w:rsidR="00DB28FA">
        <w:t>la</w:t>
      </w:r>
      <w:r w:rsidR="00DB28FA" w:rsidRPr="00DA70A1">
        <w:t xml:space="preserve"> demoli</w:t>
      </w:r>
      <w:r w:rsidR="00DB28FA">
        <w:t>zione</w:t>
      </w:r>
      <w:r w:rsidR="00DB28FA" w:rsidRPr="00DA70A1">
        <w:t xml:space="preserve"> </w:t>
      </w:r>
      <w:r w:rsidR="00DB28FA">
        <w:t>tardiva</w:t>
      </w:r>
      <w:r w:rsidR="001336E2">
        <w:t xml:space="preserve"> </w:t>
      </w:r>
      <w:r w:rsidR="00DB28FA">
        <w:t>“</w:t>
      </w:r>
      <w:r w:rsidR="00DB373B">
        <w:t xml:space="preserve">espressamente o </w:t>
      </w:r>
      <w:r w:rsidR="00D81348" w:rsidRPr="00DA70A1">
        <w:t>tacitamente</w:t>
      </w:r>
      <w:r w:rsidR="00D81348">
        <w:t>,</w:t>
      </w:r>
      <w:r w:rsidR="00DA70A1" w:rsidRPr="00DA70A1">
        <w:t xml:space="preserve"> non addivenendo alla formazione del titolo sempre necessario per dare luogo ad un cambio di proprietà</w:t>
      </w:r>
      <w:r w:rsidR="00DA70A1">
        <w:t>”</w:t>
      </w:r>
      <w:r w:rsidR="0058781A">
        <w:rPr>
          <w:rStyle w:val="Rimandonotaapidipagina"/>
        </w:rPr>
        <w:footnoteReference w:id="22"/>
      </w:r>
      <w:r w:rsidR="0058781A">
        <w:t>.</w:t>
      </w:r>
    </w:p>
    <w:p w14:paraId="50F0831D" w14:textId="343D731C" w:rsidR="00D94807" w:rsidRDefault="001D06DF" w:rsidP="00CD3C9C">
      <w:pPr>
        <w:ind w:firstLine="993"/>
      </w:pPr>
      <w:r>
        <w:t xml:space="preserve">A </w:t>
      </w:r>
      <w:r w:rsidR="00816F60">
        <w:t>tanto,</w:t>
      </w:r>
      <w:r>
        <w:t xml:space="preserve"> si aggiunga che</w:t>
      </w:r>
      <w:r w:rsidR="00D94807">
        <w:t xml:space="preserve"> la regola dell’acquisizione automatica finisce per sterilizzare gli istituti di sanatoria introdotti dal d.l. n. </w:t>
      </w:r>
      <w:hyperlink r:id="rId10" w:tgtFrame="_blank" w:history="1">
        <w:r w:rsidR="00D94807" w:rsidRPr="006561C1">
          <w:t> 69</w:t>
        </w:r>
        <w:r w:rsidR="00D94807">
          <w:t xml:space="preserve"> del </w:t>
        </w:r>
        <w:r w:rsidR="00D94807" w:rsidRPr="006561C1">
          <w:t>2024 (c.d. “salva casa”), convertito in legge n. 105</w:t>
        </w:r>
        <w:r w:rsidR="00D94807">
          <w:t xml:space="preserve"> del </w:t>
        </w:r>
        <w:r w:rsidR="00D94807" w:rsidRPr="006561C1">
          <w:t>2024</w:t>
        </w:r>
      </w:hyperlink>
      <w:r w:rsidR="00D94807">
        <w:t>,</w:t>
      </w:r>
      <w:r w:rsidR="00D94807" w:rsidRPr="006561C1">
        <w:t> </w:t>
      </w:r>
      <w:r w:rsidR="00D94807">
        <w:t>perché, seguendo l’impostazione della plenaria, d</w:t>
      </w:r>
      <w:r w:rsidR="00FD2E28">
        <w:t>ev</w:t>
      </w:r>
      <w:r w:rsidR="00D94807">
        <w:t xml:space="preserve">e </w:t>
      </w:r>
      <w:r>
        <w:t>inferi</w:t>
      </w:r>
      <w:r w:rsidR="00D94807">
        <w:t>rsi che</w:t>
      </w:r>
      <w:r>
        <w:t>,</w:t>
      </w:r>
      <w:r w:rsidR="00D94807">
        <w:t xml:space="preserve"> per la gran parte degli abusi già colpiti da un ordine di demolizione, </w:t>
      </w:r>
      <w:r w:rsidR="00D94807" w:rsidRPr="00D070B5">
        <w:t>scad</w:t>
      </w:r>
      <w:r w:rsidR="00D94807">
        <w:t>uto i</w:t>
      </w:r>
      <w:r w:rsidR="00D94807" w:rsidRPr="00D070B5">
        <w:t>l termine</w:t>
      </w:r>
      <w:r w:rsidR="00D94807">
        <w:t xml:space="preserve"> per ottemperare,</w:t>
      </w:r>
      <w:r w:rsidR="00D94807" w:rsidRPr="00D070B5">
        <w:t xml:space="preserve"> </w:t>
      </w:r>
      <w:r w:rsidR="00D94807">
        <w:t xml:space="preserve">l’interessato ha perduto la proprietà dell’immobile e </w:t>
      </w:r>
      <w:r w:rsidR="00D94807" w:rsidRPr="00D070B5">
        <w:t>non è più legittimato a proporre l’istanza</w:t>
      </w:r>
      <w:r w:rsidR="00D94807">
        <w:t>.</w:t>
      </w:r>
    </w:p>
    <w:p w14:paraId="35E2D237" w14:textId="247E58FF" w:rsidR="00D94807" w:rsidRDefault="00DD7AE5" w:rsidP="00084186">
      <w:pPr>
        <w:ind w:firstLine="993"/>
      </w:pPr>
      <w:r>
        <w:t>Tutto q</w:t>
      </w:r>
      <w:r w:rsidR="00D94807">
        <w:t xml:space="preserve">uesto, </w:t>
      </w:r>
      <w:r w:rsidR="00816F60">
        <w:t xml:space="preserve">infine, </w:t>
      </w:r>
      <w:r w:rsidR="00D94807">
        <w:t>senza tacere che la necessità dei ricorrenti di scongiurare che l’effetto acquisitivo</w:t>
      </w:r>
      <w:r w:rsidR="00D94807" w:rsidRPr="00934628">
        <w:t xml:space="preserve"> </w:t>
      </w:r>
      <w:r w:rsidR="00D94807">
        <w:t xml:space="preserve">si verifichi nel corso del giudizio </w:t>
      </w:r>
      <w:r w:rsidR="009F5063">
        <w:t>contr</w:t>
      </w:r>
      <w:r w:rsidR="00D94807">
        <w:t xml:space="preserve">o le ordinanze demolitorie – ed in </w:t>
      </w:r>
      <w:r w:rsidR="00D94807">
        <w:lastRenderedPageBreak/>
        <w:t>presenza, pertanto, di evidenti ragioni d’irreparabilità del danno – ha aumentato in modo esponenziale le domande cautelari non soltanto collegiali, ma anche</w:t>
      </w:r>
      <w:r w:rsidR="00D94807" w:rsidRPr="00934628">
        <w:t xml:space="preserve"> </w:t>
      </w:r>
      <w:r w:rsidR="00D94807">
        <w:t>monocratiche, ingolfando i ruoli, camerali e di merito, già sovraccarichi dei tribunali amministrativi</w:t>
      </w:r>
      <w:r w:rsidR="00084186">
        <w:t xml:space="preserve"> e – a quanto pare – anche del consiglio di stato, se è vero che un orientamento ancora non consolidato è giunto ad affermare che “</w:t>
      </w:r>
      <w:r w:rsidR="00084186" w:rsidRPr="00084186">
        <w:t>la pendenza di un ricorso avverso l’ingiunzione a demolire, seppure non infici la legittimità dell’acquisizione, ne congela in via temporanea l’efficacia</w:t>
      </w:r>
      <w:r w:rsidR="00084186">
        <w:t>”</w:t>
      </w:r>
      <w:r w:rsidR="00084186">
        <w:rPr>
          <w:rStyle w:val="Rimandonotaapidipagina"/>
        </w:rPr>
        <w:footnoteReference w:id="23"/>
      </w:r>
      <w:r w:rsidR="00D94807">
        <w:t>.</w:t>
      </w:r>
    </w:p>
    <w:p w14:paraId="4C4BE23C" w14:textId="556AFE7C" w:rsidR="007C3B63" w:rsidRDefault="007C3B63" w:rsidP="00CD3C9C">
      <w:pPr>
        <w:ind w:firstLine="993"/>
      </w:pPr>
      <w:r>
        <w:t>Un</w:t>
      </w:r>
      <w:r w:rsidR="002B3B11">
        <w:t>’ulteriore</w:t>
      </w:r>
      <w:r>
        <w:t xml:space="preserve"> situazione critica che il giudice di primo grado si trova non raramente a fronteggiare </w:t>
      </w:r>
      <w:r w:rsidR="002B3B11">
        <w:t>concerne</w:t>
      </w:r>
      <w:r>
        <w:t xml:space="preserve"> il disallineamento</w:t>
      </w:r>
      <w:r w:rsidR="007F067E">
        <w:t>, se non proprio il conflitto,</w:t>
      </w:r>
      <w:r>
        <w:t xml:space="preserve"> tra i princìpi affermati dalla plenaria e quelli affermati dalle sezioni unite.</w:t>
      </w:r>
    </w:p>
    <w:p w14:paraId="1632F9BB" w14:textId="750F4E37" w:rsidR="007C3B63" w:rsidRDefault="007C3B63" w:rsidP="00CD3C9C">
      <w:pPr>
        <w:ind w:firstLine="993"/>
      </w:pPr>
      <w:r>
        <w:t xml:space="preserve">Ciò è </w:t>
      </w:r>
      <w:r w:rsidR="007F067E">
        <w:t>accadu</w:t>
      </w:r>
      <w:r>
        <w:t xml:space="preserve">to </w:t>
      </w:r>
      <w:r w:rsidR="00220A75">
        <w:t>(</w:t>
      </w:r>
      <w:r w:rsidR="00CD3C9C">
        <w:t>e può accadere</w:t>
      </w:r>
      <w:r w:rsidR="00220A75">
        <w:t>)</w:t>
      </w:r>
      <w:r w:rsidR="00CD3C9C">
        <w:t xml:space="preserve"> </w:t>
      </w:r>
      <w:r w:rsidR="007F067E">
        <w:t>per</w:t>
      </w:r>
      <w:r>
        <w:t xml:space="preserve"> questioni processuali particolarmente controverse, quali la c.d. pregiudizialità amministrativa, la giurisdizione sui pubblici servizi e quella sul risarcimento del danno da lesione dell’affidamento, laddove l’adunanza plenaria si è pronunciata in aperto contrasto con quanto ritenuto</w:t>
      </w:r>
      <w:r w:rsidRPr="00661E97">
        <w:t xml:space="preserve"> </w:t>
      </w:r>
      <w:r>
        <w:t>dalla cassazione, la quale, a sua volta, è intervenuta anche annullando alcune decisioni della plenaria stessa.</w:t>
      </w:r>
    </w:p>
    <w:p w14:paraId="3CA33DEC" w14:textId="34B25ACD" w:rsidR="007C3B63" w:rsidRDefault="007C3B63" w:rsidP="00CD3C9C">
      <w:pPr>
        <w:ind w:firstLine="993"/>
      </w:pPr>
      <w:r>
        <w:t>Orbene, in tali circostanze solo al giudice di primo grado è consentito decidere la lite andando</w:t>
      </w:r>
      <w:r w:rsidRPr="0085669D">
        <w:t xml:space="preserve"> </w:t>
      </w:r>
      <w:r>
        <w:t>di contrario avviso rispetto all’adunanza plenaria</w:t>
      </w:r>
      <w:r w:rsidR="007F067E">
        <w:t xml:space="preserve"> e</w:t>
      </w:r>
      <w:r>
        <w:t xml:space="preserve"> sulla scorta del principio delle sezioni unite: ciò nella chiara consapevolezza che, diversamente, potrebbe prospettarsi una violazione della regola costituzionale della ragionevole durata dei processi, essendo prevedibile che l’eventuale ricorso per cassazione rimetterebbe l’affare al giudice ordinario.</w:t>
      </w:r>
    </w:p>
    <w:p w14:paraId="5D8B490B" w14:textId="673888CB" w:rsidR="007C3B63" w:rsidRDefault="007C3B63" w:rsidP="00CD3C9C">
      <w:pPr>
        <w:ind w:firstLine="993"/>
      </w:pPr>
      <w:r>
        <w:t>Per altro, com’è stato recentemente affermato</w:t>
      </w:r>
      <w:r>
        <w:rPr>
          <w:rStyle w:val="Rimandonotaapidipagina"/>
        </w:rPr>
        <w:footnoteReference w:id="24"/>
      </w:r>
      <w:r>
        <w:t>, ai fini della corretta individuazione del giudice munito del potere il tribunale amministrativo può valutare se esperire</w:t>
      </w:r>
      <w:r w:rsidRPr="00136805">
        <w:t xml:space="preserve"> </w:t>
      </w:r>
      <w:r>
        <w:t>i</w:t>
      </w:r>
      <w:r w:rsidRPr="00136805">
        <w:t>l</w:t>
      </w:r>
      <w:r w:rsidRPr="00325F16">
        <w:t xml:space="preserve"> rinvio pregiudiziale </w:t>
      </w:r>
      <w:r>
        <w:t>in</w:t>
      </w:r>
      <w:r w:rsidRPr="00325F16">
        <w:t xml:space="preserve"> </w:t>
      </w:r>
      <w:r>
        <w:t>c</w:t>
      </w:r>
      <w:r w:rsidRPr="00325F16">
        <w:t>assazione</w:t>
      </w:r>
      <w:r w:rsidRPr="00A62CB7">
        <w:t xml:space="preserve"> </w:t>
      </w:r>
      <w:r w:rsidRPr="00325F16">
        <w:t>d</w:t>
      </w:r>
      <w:r>
        <w:t>i cui a</w:t>
      </w:r>
      <w:r w:rsidRPr="00325F16">
        <w:t>ll</w:t>
      </w:r>
      <w:r>
        <w:t>’</w:t>
      </w:r>
      <w:r w:rsidRPr="00325F16">
        <w:t>art. 363-</w:t>
      </w:r>
      <w:r w:rsidRPr="00ED017D">
        <w:rPr>
          <w:i/>
          <w:iCs/>
        </w:rPr>
        <w:t>bis</w:t>
      </w:r>
      <w:r w:rsidRPr="00325F16">
        <w:t> c.p.c</w:t>
      </w:r>
      <w:r>
        <w:t>., ricorrendone i presupposti.</w:t>
      </w:r>
    </w:p>
    <w:p w14:paraId="437E21AF" w14:textId="77777777" w:rsidR="007C3B63" w:rsidRDefault="007C3B63" w:rsidP="00CD3C9C">
      <w:pPr>
        <w:ind w:firstLine="993"/>
      </w:pPr>
      <w:r>
        <w:t>Talora, il contrasto tra plenaria e cassazione ha toccato aspetti del diritto sostanziale.</w:t>
      </w:r>
    </w:p>
    <w:p w14:paraId="58DF059F" w14:textId="34C2A5B2" w:rsidR="007C3B63" w:rsidRDefault="007F067E" w:rsidP="00CD3C9C">
      <w:pPr>
        <w:ind w:firstLine="993"/>
      </w:pPr>
      <w:r>
        <w:t xml:space="preserve">Questo si </w:t>
      </w:r>
      <w:r w:rsidR="007C3B63">
        <w:t xml:space="preserve">è </w:t>
      </w:r>
      <w:r>
        <w:t>verifica</w:t>
      </w:r>
      <w:r w:rsidR="007C3B63">
        <w:t xml:space="preserve">to </w:t>
      </w:r>
      <w:r>
        <w:t xml:space="preserve">con </w:t>
      </w:r>
      <w:r w:rsidR="007C3B63">
        <w:t>la</w:t>
      </w:r>
      <w:r w:rsidR="007C3B63" w:rsidRPr="008271E9">
        <w:t xml:space="preserve"> sentenza 20</w:t>
      </w:r>
      <w:r w:rsidR="007C3B63">
        <w:t xml:space="preserve"> gennaio </w:t>
      </w:r>
      <w:r w:rsidR="007C3B63" w:rsidRPr="008271E9">
        <w:t>2020</w:t>
      </w:r>
      <w:r w:rsidR="007C3B63">
        <w:t>,</w:t>
      </w:r>
      <w:r w:rsidR="007C3B63" w:rsidRPr="008271E9">
        <w:t> n. 2</w:t>
      </w:r>
      <w:r w:rsidR="007C3B63">
        <w:t>, in cui</w:t>
      </w:r>
      <w:r w:rsidR="007C3B63" w:rsidRPr="008271E9">
        <w:t xml:space="preserve"> </w:t>
      </w:r>
      <w:r w:rsidR="007C3B63">
        <w:t xml:space="preserve">l’adunanza plenaria ha escluso la </w:t>
      </w:r>
      <w:r w:rsidR="007C3B63" w:rsidRPr="008271E9">
        <w:t>configura</w:t>
      </w:r>
      <w:r w:rsidR="007C3B63">
        <w:t>bilità</w:t>
      </w:r>
      <w:r w:rsidR="007C3B63" w:rsidRPr="008271E9">
        <w:t xml:space="preserve"> </w:t>
      </w:r>
      <w:r w:rsidR="007C3B63">
        <w:t>del</w:t>
      </w:r>
      <w:r w:rsidR="007C3B63" w:rsidRPr="008271E9">
        <w:t xml:space="preserve">la </w:t>
      </w:r>
      <w:r w:rsidR="007C3B63">
        <w:t xml:space="preserve">c.d. </w:t>
      </w:r>
      <w:r w:rsidR="007C3B63" w:rsidRPr="008271E9">
        <w:t xml:space="preserve">rinuncia abdicativa </w:t>
      </w:r>
      <w:r w:rsidR="007C3B63">
        <w:t>n</w:t>
      </w:r>
      <w:r w:rsidR="007C3B63" w:rsidRPr="008271E9">
        <w:t>ella materia delle espropriazioni per p</w:t>
      </w:r>
      <w:r w:rsidR="007C3B63">
        <w:t xml:space="preserve">ubblica </w:t>
      </w:r>
      <w:r w:rsidR="007C3B63" w:rsidRPr="008271E9">
        <w:t>u</w:t>
      </w:r>
      <w:r w:rsidR="007C3B63">
        <w:t>tilità</w:t>
      </w:r>
      <w:r w:rsidR="007C3B63" w:rsidRPr="008271E9">
        <w:t xml:space="preserve">, </w:t>
      </w:r>
      <w:r w:rsidR="007C3B63">
        <w:t xml:space="preserve">perché priva di </w:t>
      </w:r>
      <w:r w:rsidR="007C3B63" w:rsidRPr="008271E9">
        <w:t>uno specifico fondamento normativo</w:t>
      </w:r>
      <w:r w:rsidR="007C3B63">
        <w:rPr>
          <w:rStyle w:val="Rimandonotaapidipagina"/>
        </w:rPr>
        <w:footnoteReference w:id="25"/>
      </w:r>
      <w:r w:rsidR="007C3B63">
        <w:t>.</w:t>
      </w:r>
    </w:p>
    <w:p w14:paraId="7EE796CD" w14:textId="395248CF" w:rsidR="007C3B63" w:rsidRPr="008271E9" w:rsidRDefault="007F067E" w:rsidP="00CD3C9C">
      <w:pPr>
        <w:ind w:firstLine="993"/>
      </w:pPr>
      <w:r>
        <w:lastRenderedPageBreak/>
        <w:t>Tuttavia, d</w:t>
      </w:r>
      <w:r w:rsidR="007C3B63">
        <w:t>etto principio</w:t>
      </w:r>
      <w:r w:rsidR="007C3B63" w:rsidRPr="00962C38">
        <w:t xml:space="preserve"> </w:t>
      </w:r>
      <w:r w:rsidR="007C3B63">
        <w:t xml:space="preserve">si pone in collisione con la </w:t>
      </w:r>
      <w:r w:rsidR="007C3B63" w:rsidRPr="008271E9">
        <w:t xml:space="preserve">giurisprudenza </w:t>
      </w:r>
      <w:r w:rsidR="007C3B63">
        <w:t>anche successiva</w:t>
      </w:r>
      <w:r w:rsidR="007C3B63" w:rsidRPr="008271E9">
        <w:t xml:space="preserve"> della </w:t>
      </w:r>
      <w:r w:rsidR="007C3B63">
        <w:t>corte di c</w:t>
      </w:r>
      <w:r w:rsidR="007C3B63" w:rsidRPr="008271E9">
        <w:t>assazione</w:t>
      </w:r>
      <w:r w:rsidR="007C3B63">
        <w:rPr>
          <w:rStyle w:val="Rimandonotaapidipagina"/>
        </w:rPr>
        <w:footnoteReference w:id="26"/>
      </w:r>
      <w:r w:rsidR="007C3B63" w:rsidRPr="008271E9">
        <w:t xml:space="preserve"> che</w:t>
      </w:r>
      <w:r w:rsidR="007C3B63">
        <w:t>, applicando le identiche norme</w:t>
      </w:r>
      <w:r w:rsidR="007C3B63" w:rsidRPr="000C3B96">
        <w:t xml:space="preserve"> </w:t>
      </w:r>
      <w:r w:rsidR="007C3B63">
        <w:t>ne</w:t>
      </w:r>
      <w:r w:rsidR="007C3B63" w:rsidRPr="008271E9">
        <w:t>i casi devoluti alla giurisdizione civile</w:t>
      </w:r>
      <w:r w:rsidR="007C3B63">
        <w:t>,</w:t>
      </w:r>
      <w:r w:rsidR="007C3B63" w:rsidRPr="007640B6">
        <w:t xml:space="preserve"> </w:t>
      </w:r>
      <w:r w:rsidR="007C3B63">
        <w:t>ammette</w:t>
      </w:r>
      <w:r w:rsidR="007C3B63" w:rsidRPr="008271E9">
        <w:t xml:space="preserve"> </w:t>
      </w:r>
      <w:r w:rsidR="007C3B63">
        <w:t>l’istituto</w:t>
      </w:r>
      <w:r w:rsidR="007C3B63">
        <w:rPr>
          <w:rStyle w:val="Rimandonotaapidipagina"/>
        </w:rPr>
        <w:footnoteReference w:id="27"/>
      </w:r>
      <w:r w:rsidR="007C3B63">
        <w:t>.</w:t>
      </w:r>
    </w:p>
    <w:p w14:paraId="68E3FF73" w14:textId="79E48591" w:rsidR="007C3B63" w:rsidRDefault="00220A75" w:rsidP="00CD3C9C">
      <w:pPr>
        <w:ind w:firstLine="993"/>
      </w:pPr>
      <w:r>
        <w:t>Dunque, a</w:t>
      </w:r>
      <w:r w:rsidR="007C3B63">
        <w:t>nche in tale circostanza il giudice di primo grado chiamato a decidere sulla questione può farlo scevro da obblighi conformativi.</w:t>
      </w:r>
    </w:p>
    <w:p w14:paraId="0934F311" w14:textId="5673A052" w:rsidR="007C3B63" w:rsidRDefault="007C3B63" w:rsidP="00CD3C9C">
      <w:pPr>
        <w:ind w:firstLine="993"/>
      </w:pPr>
      <w:r>
        <w:t xml:space="preserve">Infine, </w:t>
      </w:r>
      <w:r w:rsidR="007F067E">
        <w:t xml:space="preserve">si </w:t>
      </w:r>
      <w:r>
        <w:t xml:space="preserve">possono </w:t>
      </w:r>
      <w:r w:rsidR="007F067E">
        <w:t>riscontrare</w:t>
      </w:r>
      <w:r>
        <w:t xml:space="preserve"> casi nei quali, dopo una determinata pronuncia della plenaria, siano sorte sopravvenienze in diritto, tali da rendere incerta la perdurante validità del principio affermato.</w:t>
      </w:r>
    </w:p>
    <w:p w14:paraId="06A5585A" w14:textId="6250A586" w:rsidR="00D94807" w:rsidRDefault="00D94807" w:rsidP="00CD3C9C">
      <w:pPr>
        <w:ind w:firstLine="993"/>
      </w:pPr>
      <w:r>
        <w:t>Per fare un esempio</w:t>
      </w:r>
      <w:r w:rsidR="00220A75">
        <w:t xml:space="preserve"> attuale</w:t>
      </w:r>
      <w:r>
        <w:t>, successivamente alle sentenze</w:t>
      </w:r>
      <w:r w:rsidRPr="0059732A">
        <w:t xml:space="preserve"> 9 novembre 2021, n. 17</w:t>
      </w:r>
      <w:r>
        <w:t xml:space="preserve"> e n. 18 – che hanno ritenuto l’inefficacia</w:t>
      </w:r>
      <w:r w:rsidRPr="000C3B96">
        <w:t xml:space="preserve"> </w:t>
      </w:r>
      <w:r>
        <w:t>degli atti di</w:t>
      </w:r>
      <w:r w:rsidRPr="0059732A">
        <w:t xml:space="preserve"> proroga automatica delle concessioni demaniali marittime </w:t>
      </w:r>
      <w:r>
        <w:t>con</w:t>
      </w:r>
      <w:r w:rsidRPr="0059732A">
        <w:t xml:space="preserve"> finalità turistico-ricreative</w:t>
      </w:r>
      <w:r>
        <w:t xml:space="preserve"> per violazione del diritto europeo –</w:t>
      </w:r>
      <w:r w:rsidRPr="00D22FB6">
        <w:t xml:space="preserve"> </w:t>
      </w:r>
      <w:r w:rsidRPr="0059732A">
        <w:t>l’art</w:t>
      </w:r>
      <w:r>
        <w:t>.</w:t>
      </w:r>
      <w:r w:rsidRPr="0059732A">
        <w:t xml:space="preserve"> 1, comma 1, lett. a), n. 1.1, del </w:t>
      </w:r>
      <w:r>
        <w:t>d.l.</w:t>
      </w:r>
      <w:r w:rsidRPr="0059732A">
        <w:t xml:space="preserve"> n. 131</w:t>
      </w:r>
      <w:r>
        <w:t xml:space="preserve"> del 2024</w:t>
      </w:r>
      <w:r w:rsidRPr="0059732A">
        <w:t>, convertito con modificazioni dalla legge n. 166</w:t>
      </w:r>
      <w:r>
        <w:t xml:space="preserve"> del </w:t>
      </w:r>
      <w:r w:rsidRPr="0059732A">
        <w:t>2024</w:t>
      </w:r>
      <w:r>
        <w:t>, muovendo da un accordo raggiunto tra il governo italiano e la commissione europea</w:t>
      </w:r>
      <w:r w:rsidRPr="0059732A">
        <w:t xml:space="preserve">, </w:t>
      </w:r>
      <w:r>
        <w:t xml:space="preserve">ha </w:t>
      </w:r>
      <w:r w:rsidRPr="0059732A">
        <w:t>introdotto un nuovo regime di proroga</w:t>
      </w:r>
      <w:r>
        <w:t>, operante</w:t>
      </w:r>
      <w:r w:rsidRPr="0059732A">
        <w:t xml:space="preserve"> fino al 30 settembre 2027</w:t>
      </w:r>
      <w:r>
        <w:t>.</w:t>
      </w:r>
    </w:p>
    <w:p w14:paraId="103B2268" w14:textId="4B7361FD" w:rsidR="00D94807" w:rsidRDefault="00FD2E28" w:rsidP="00CD3C9C">
      <w:pPr>
        <w:ind w:firstLine="993"/>
      </w:pPr>
      <w:r>
        <w:t>Certament</w:t>
      </w:r>
      <w:r w:rsidR="00D94807">
        <w:t>e, per verificare l’impatto della predetta normativa su</w:t>
      </w:r>
      <w:r w:rsidR="00220A75">
        <w:t>l</w:t>
      </w:r>
      <w:r w:rsidR="00D94807">
        <w:t xml:space="preserve"> pr</w:t>
      </w:r>
      <w:r w:rsidR="00220A75">
        <w:t>incipio</w:t>
      </w:r>
      <w:r w:rsidR="00D94807">
        <w:t xml:space="preserve"> </w:t>
      </w:r>
      <w:r w:rsidR="00220A75">
        <w:t>sancito n</w:t>
      </w:r>
      <w:r w:rsidR="00D94807">
        <w:t xml:space="preserve">el 2021, sarebbe stata senz’altro </w:t>
      </w:r>
      <w:r w:rsidR="0085305F">
        <w:t>utile</w:t>
      </w:r>
      <w:r w:rsidR="00D94807">
        <w:t xml:space="preserve"> una nuova rimessione alla plenaria, ma così non è stato.</w:t>
      </w:r>
    </w:p>
    <w:p w14:paraId="0A4FA506" w14:textId="41C6F64A" w:rsidR="00D94807" w:rsidRDefault="00220A75" w:rsidP="00CD3C9C">
      <w:pPr>
        <w:ind w:firstLine="993"/>
      </w:pPr>
      <w:r>
        <w:t>Purtuttavia</w:t>
      </w:r>
      <w:r w:rsidR="00D94807">
        <w:t>, anche nell’occasione i tribunali amministrativi si sono potuti pronunciare senza vincoli di conformazione rispetto ai due precedenti ed hanno in prevalenza confermato l’inefficacia delle proroghe dopo l</w:t>
      </w:r>
      <w:r w:rsidR="007E5693">
        <w:t>’entrat</w:t>
      </w:r>
      <w:r w:rsidR="00D94807">
        <w:t>a</w:t>
      </w:r>
      <w:r w:rsidR="007E5693">
        <w:t xml:space="preserve"> in vigore</w:t>
      </w:r>
      <w:r w:rsidR="00D94807">
        <w:t xml:space="preserve"> </w:t>
      </w:r>
      <w:r w:rsidR="007E5693">
        <w:t xml:space="preserve">della </w:t>
      </w:r>
      <w:r w:rsidR="00D94807">
        <w:t>novella</w:t>
      </w:r>
      <w:r w:rsidR="00D94807">
        <w:rPr>
          <w:rStyle w:val="Rimandonotaapidipagina"/>
        </w:rPr>
        <w:footnoteReference w:id="28"/>
      </w:r>
      <w:r w:rsidR="00D94807">
        <w:t>.</w:t>
      </w:r>
    </w:p>
    <w:sectPr w:rsidR="00D94807" w:rsidSect="00C37AD6">
      <w:footerReference w:type="default" r:id="rId11"/>
      <w:pgSz w:w="11906" w:h="16838"/>
      <w:pgMar w:top="1417" w:right="1416"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8BFD" w14:textId="77777777" w:rsidR="008C6AC3" w:rsidRDefault="008C6AC3" w:rsidP="00201FEF">
      <w:pPr>
        <w:spacing w:after="0" w:line="240" w:lineRule="auto"/>
      </w:pPr>
      <w:r>
        <w:separator/>
      </w:r>
    </w:p>
  </w:endnote>
  <w:endnote w:type="continuationSeparator" w:id="0">
    <w:p w14:paraId="397A8B3E" w14:textId="77777777" w:rsidR="008C6AC3" w:rsidRDefault="008C6AC3" w:rsidP="0020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Noto Serif">
    <w:charset w:val="00"/>
    <w:family w:val="roman"/>
    <w:pitch w:val="variable"/>
    <w:sig w:usb0="E00002FF" w:usb1="500078FF" w:usb2="0000002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2437"/>
      <w:docPartObj>
        <w:docPartGallery w:val="Page Numbers (Bottom of Page)"/>
        <w:docPartUnique/>
      </w:docPartObj>
    </w:sdtPr>
    <w:sdtEndPr>
      <w:rPr>
        <w:sz w:val="16"/>
        <w:szCs w:val="16"/>
      </w:rPr>
    </w:sdtEndPr>
    <w:sdtContent>
      <w:p w14:paraId="6F53BFEA" w14:textId="5A737D32" w:rsidR="002D3FA1" w:rsidRPr="002D3FA1" w:rsidRDefault="002D3FA1">
        <w:pPr>
          <w:pStyle w:val="Pidipagina"/>
          <w:jc w:val="center"/>
          <w:rPr>
            <w:sz w:val="16"/>
            <w:szCs w:val="16"/>
          </w:rPr>
        </w:pPr>
        <w:r w:rsidRPr="002D3FA1">
          <w:rPr>
            <w:sz w:val="16"/>
            <w:szCs w:val="16"/>
          </w:rPr>
          <w:fldChar w:fldCharType="begin"/>
        </w:r>
        <w:r w:rsidRPr="002D3FA1">
          <w:rPr>
            <w:sz w:val="16"/>
            <w:szCs w:val="16"/>
          </w:rPr>
          <w:instrText>PAGE   \* MERGEFORMAT</w:instrText>
        </w:r>
        <w:r w:rsidRPr="002D3FA1">
          <w:rPr>
            <w:sz w:val="16"/>
            <w:szCs w:val="16"/>
          </w:rPr>
          <w:fldChar w:fldCharType="separate"/>
        </w:r>
        <w:r w:rsidRPr="002D3FA1">
          <w:rPr>
            <w:sz w:val="16"/>
            <w:szCs w:val="16"/>
          </w:rPr>
          <w:t>2</w:t>
        </w:r>
        <w:r w:rsidRPr="002D3FA1">
          <w:rPr>
            <w:sz w:val="16"/>
            <w:szCs w:val="16"/>
          </w:rPr>
          <w:fldChar w:fldCharType="end"/>
        </w:r>
      </w:p>
    </w:sdtContent>
  </w:sdt>
  <w:p w14:paraId="3C756184" w14:textId="77777777" w:rsidR="002D3FA1" w:rsidRDefault="002D3F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BE07" w14:textId="77777777" w:rsidR="008C6AC3" w:rsidRDefault="008C6AC3" w:rsidP="00201FEF">
      <w:pPr>
        <w:spacing w:after="0" w:line="240" w:lineRule="auto"/>
      </w:pPr>
      <w:r>
        <w:separator/>
      </w:r>
    </w:p>
  </w:footnote>
  <w:footnote w:type="continuationSeparator" w:id="0">
    <w:p w14:paraId="6359A107" w14:textId="77777777" w:rsidR="008C6AC3" w:rsidRDefault="008C6AC3" w:rsidP="00201FEF">
      <w:pPr>
        <w:spacing w:after="0" w:line="240" w:lineRule="auto"/>
      </w:pPr>
      <w:r>
        <w:continuationSeparator/>
      </w:r>
    </w:p>
  </w:footnote>
  <w:footnote w:id="1">
    <w:p w14:paraId="0C4B618E" w14:textId="6D94E687" w:rsidR="00CB3789" w:rsidRDefault="00421827">
      <w:pPr>
        <w:pStyle w:val="Testonotaapidipagina"/>
      </w:pPr>
      <w:r>
        <w:rPr>
          <w:rStyle w:val="Rimandonotaapidipagina"/>
        </w:rPr>
        <w:t>(</w:t>
      </w:r>
      <w:r w:rsidR="00CB3789" w:rsidRPr="00421827">
        <w:rPr>
          <w:rStyle w:val="Rimandonotaapidipagina"/>
        </w:rPr>
        <w:sym w:font="Symbol" w:char="F02A"/>
      </w:r>
      <w:r w:rsidRPr="00421827">
        <w:rPr>
          <w:vertAlign w:val="superscript"/>
        </w:rPr>
        <w:t>)</w:t>
      </w:r>
      <w:r w:rsidR="00CB3789" w:rsidRPr="00421827">
        <w:rPr>
          <w:vertAlign w:val="superscript"/>
        </w:rPr>
        <w:t xml:space="preserve"> </w:t>
      </w:r>
      <w:r w:rsidR="00CB3789">
        <w:t xml:space="preserve">Relazione svolta al </w:t>
      </w:r>
      <w:r w:rsidR="00CB3789" w:rsidRPr="00CB3789">
        <w:t xml:space="preserve">corso di formazione </w:t>
      </w:r>
      <w:r w:rsidR="00CB3789">
        <w:t xml:space="preserve">per magistrati amministrativi sul tema </w:t>
      </w:r>
      <w:r w:rsidR="00CB3789" w:rsidRPr="00CB3789">
        <w:t>“</w:t>
      </w:r>
      <w:r w:rsidR="00CB3789" w:rsidRPr="00CA70B4">
        <w:rPr>
          <w:i/>
          <w:iCs/>
        </w:rPr>
        <w:t>Precedente giurisprudenziale amministrativo. La giurisprudenza amministrativa</w:t>
      </w:r>
      <w:r w:rsidR="00CB3789" w:rsidRPr="00CB3789">
        <w:t xml:space="preserve">”, </w:t>
      </w:r>
      <w:r w:rsidR="00CB3789">
        <w:t xml:space="preserve">organizzato a </w:t>
      </w:r>
      <w:r w:rsidR="00CB3789" w:rsidRPr="00CB3789">
        <w:t xml:space="preserve">Catania </w:t>
      </w:r>
      <w:r w:rsidR="00CB3789">
        <w:t xml:space="preserve">dall’ufficio studi e formazione della giustizia amministrativa, dall’ufficio del massimario della giustizia amministrativa e dall’università degli studi di Catania, il </w:t>
      </w:r>
      <w:r w:rsidR="00CB3789" w:rsidRPr="00CB3789">
        <w:t>27 e 28 marzo 2026</w:t>
      </w:r>
      <w:r w:rsidR="00CB3789">
        <w:t>.</w:t>
      </w:r>
    </w:p>
  </w:footnote>
  <w:footnote w:id="2">
    <w:p w14:paraId="7006AC4E" w14:textId="6EA52408" w:rsidR="003B3D2C" w:rsidRDefault="003B3D2C">
      <w:pPr>
        <w:pStyle w:val="Testonotaapidipagina"/>
      </w:pPr>
      <w:r>
        <w:rPr>
          <w:rStyle w:val="Rimandonotaapidipagina"/>
        </w:rPr>
        <w:footnoteRef/>
      </w:r>
      <w:r>
        <w:t xml:space="preserve"> </w:t>
      </w:r>
      <w:r w:rsidRPr="003B3D2C">
        <w:t>A. PIZZORUSSO, </w:t>
      </w:r>
      <w:r w:rsidRPr="003B3D2C">
        <w:rPr>
          <w:i/>
          <w:iCs/>
        </w:rPr>
        <w:t>Delle fonti del diritto</w:t>
      </w:r>
      <w:r w:rsidRPr="003B3D2C">
        <w:t>, in Scialoja-Branca (a cura di), </w:t>
      </w:r>
      <w:r w:rsidRPr="003B3D2C">
        <w:rPr>
          <w:i/>
          <w:iCs/>
        </w:rPr>
        <w:t xml:space="preserve">Commentario del </w:t>
      </w:r>
      <w:r w:rsidR="00F444D8">
        <w:rPr>
          <w:i/>
          <w:iCs/>
        </w:rPr>
        <w:t>c</w:t>
      </w:r>
      <w:r w:rsidRPr="003B3D2C">
        <w:rPr>
          <w:i/>
          <w:iCs/>
        </w:rPr>
        <w:t xml:space="preserve">odice </w:t>
      </w:r>
      <w:r w:rsidR="00F444D8">
        <w:rPr>
          <w:i/>
          <w:iCs/>
        </w:rPr>
        <w:t>c</w:t>
      </w:r>
      <w:r w:rsidRPr="003B3D2C">
        <w:rPr>
          <w:i/>
          <w:iCs/>
        </w:rPr>
        <w:t>ivile</w:t>
      </w:r>
      <w:r w:rsidRPr="003B3D2C">
        <w:t>, Bologna 1977, 525</w:t>
      </w:r>
      <w:r>
        <w:t>.</w:t>
      </w:r>
    </w:p>
  </w:footnote>
  <w:footnote w:id="3">
    <w:p w14:paraId="6978DBFB" w14:textId="133D647F" w:rsidR="007A48D3" w:rsidRDefault="007A48D3">
      <w:pPr>
        <w:pStyle w:val="Testonotaapidipagina"/>
      </w:pPr>
      <w:r>
        <w:rPr>
          <w:rStyle w:val="Rimandonotaapidipagina"/>
        </w:rPr>
        <w:footnoteRef/>
      </w:r>
      <w:r>
        <w:t xml:space="preserve"> </w:t>
      </w:r>
      <w:r w:rsidRPr="007A48D3">
        <w:t>A</w:t>
      </w:r>
      <w:r>
        <w:t>.</w:t>
      </w:r>
      <w:r w:rsidRPr="007A48D3">
        <w:t xml:space="preserve"> RUGGERI</w:t>
      </w:r>
      <w:r>
        <w:t>,</w:t>
      </w:r>
      <w:r w:rsidRPr="007A48D3">
        <w:t xml:space="preserve"> </w:t>
      </w:r>
      <w:r w:rsidRPr="007A48D3">
        <w:rPr>
          <w:i/>
          <w:iCs/>
        </w:rPr>
        <w:t xml:space="preserve">L’intensità del vincolo espresso dai precedenti giurisprudenziali, con specifico riguardo al piano dei rapporti tra CEDU e diritto interno e in vista dell’affermazione della </w:t>
      </w:r>
      <w:r w:rsidR="00042A1A">
        <w:rPr>
          <w:i/>
          <w:iCs/>
        </w:rPr>
        <w:t>c</w:t>
      </w:r>
      <w:r w:rsidRPr="007A48D3">
        <w:rPr>
          <w:i/>
          <w:iCs/>
        </w:rPr>
        <w:t>ostituzione come sistema</w:t>
      </w:r>
      <w:r>
        <w:t xml:space="preserve">, in AA.VV., </w:t>
      </w:r>
      <w:r w:rsidRPr="007A48D3">
        <w:rPr>
          <w:i/>
          <w:iCs/>
        </w:rPr>
        <w:t>Scritti in onore di G. de Vergottini</w:t>
      </w:r>
      <w:r>
        <w:t>, Padova, 2015, 539 ss.</w:t>
      </w:r>
    </w:p>
  </w:footnote>
  <w:footnote w:id="4">
    <w:p w14:paraId="5CAA1B5C" w14:textId="223A6A96" w:rsidR="00201FEF" w:rsidRDefault="00201FEF">
      <w:pPr>
        <w:pStyle w:val="Testonotaapidipagina"/>
      </w:pPr>
      <w:r>
        <w:rPr>
          <w:rStyle w:val="Rimandonotaapidipagina"/>
        </w:rPr>
        <w:footnoteRef/>
      </w:r>
      <w:r>
        <w:t xml:space="preserve"> Sulla natura del giudizio d’ottemperanza</w:t>
      </w:r>
      <w:r w:rsidR="007B4ADD">
        <w:t>:</w:t>
      </w:r>
      <w:r>
        <w:t xml:space="preserve"> </w:t>
      </w:r>
      <w:r w:rsidRPr="00201FEF">
        <w:t>C</w:t>
      </w:r>
      <w:r w:rsidR="00F444D8">
        <w:t>.</w:t>
      </w:r>
      <w:r w:rsidRPr="00201FEF">
        <w:t xml:space="preserve"> </w:t>
      </w:r>
      <w:r w:rsidR="00F444D8">
        <w:t>c</w:t>
      </w:r>
      <w:r w:rsidRPr="00201FEF">
        <w:t>ost., 12 dicembre 1998, n. 406</w:t>
      </w:r>
      <w:r>
        <w:t>.</w:t>
      </w:r>
    </w:p>
  </w:footnote>
  <w:footnote w:id="5">
    <w:p w14:paraId="5DAB59DA" w14:textId="62A6EE54" w:rsidR="00201FEF" w:rsidRDefault="00201FEF" w:rsidP="00201FEF">
      <w:pPr>
        <w:pStyle w:val="Testonotaapidipagina"/>
      </w:pPr>
      <w:r>
        <w:rPr>
          <w:rStyle w:val="Rimandonotaapidipagina"/>
        </w:rPr>
        <w:footnoteRef/>
      </w:r>
      <w:r>
        <w:t xml:space="preserve"> P. CURZIO, </w:t>
      </w:r>
      <w:r w:rsidRPr="00201FEF">
        <w:rPr>
          <w:i/>
          <w:iCs/>
        </w:rPr>
        <w:t>Il giudice ed il precedente</w:t>
      </w:r>
      <w:r>
        <w:t xml:space="preserve">, in </w:t>
      </w:r>
      <w:r w:rsidRPr="00201FEF">
        <w:rPr>
          <w:i/>
          <w:iCs/>
        </w:rPr>
        <w:t xml:space="preserve">Questione </w:t>
      </w:r>
      <w:r w:rsidR="00D65EBF">
        <w:rPr>
          <w:i/>
          <w:iCs/>
        </w:rPr>
        <w:t>g</w:t>
      </w:r>
      <w:r w:rsidRPr="00201FEF">
        <w:rPr>
          <w:i/>
          <w:iCs/>
        </w:rPr>
        <w:t>iustizia</w:t>
      </w:r>
      <w:r>
        <w:t>, 2018, 4</w:t>
      </w:r>
      <w:r w:rsidR="00200D90">
        <w:t>,</w:t>
      </w:r>
      <w:r w:rsidR="00200D90" w:rsidRPr="00200D90">
        <w:rPr>
          <w:rFonts w:ascii="Noto Serif" w:hAnsi="Noto Serif" w:cs="Noto Serif"/>
          <w:color w:val="1F2937"/>
          <w:sz w:val="24"/>
          <w:szCs w:val="22"/>
          <w:shd w:val="clear" w:color="auto" w:fill="FFFFFF"/>
        </w:rPr>
        <w:t xml:space="preserve"> </w:t>
      </w:r>
      <w:r w:rsidR="00200D90" w:rsidRPr="00200D90">
        <w:t>578 ss</w:t>
      </w:r>
      <w:r>
        <w:t>.</w:t>
      </w:r>
      <w:r w:rsidR="006A33FD">
        <w:t xml:space="preserve">; </w:t>
      </w:r>
      <w:r w:rsidR="006A33FD" w:rsidRPr="008B4459">
        <w:t xml:space="preserve">G. PASQUINI, A. SANDULLI (a cura di), </w:t>
      </w:r>
      <w:r w:rsidR="006A33FD" w:rsidRPr="008B4459">
        <w:rPr>
          <w:i/>
          <w:iCs/>
        </w:rPr>
        <w:t xml:space="preserve">Le grandi decisioni del </w:t>
      </w:r>
      <w:r w:rsidR="00D65EBF">
        <w:rPr>
          <w:i/>
          <w:iCs/>
        </w:rPr>
        <w:t>c</w:t>
      </w:r>
      <w:r w:rsidR="006A33FD" w:rsidRPr="008B4459">
        <w:rPr>
          <w:i/>
          <w:iCs/>
        </w:rPr>
        <w:t>onsiglio di Stato</w:t>
      </w:r>
      <w:r w:rsidR="006A33FD" w:rsidRPr="008B4459">
        <w:t>,</w:t>
      </w:r>
      <w:r w:rsidR="006A33FD">
        <w:t xml:space="preserve"> </w:t>
      </w:r>
      <w:r w:rsidR="006A33FD" w:rsidRPr="008B4459">
        <w:t>Milano, 2001</w:t>
      </w:r>
      <w:r w:rsidR="006A33FD">
        <w:t>.</w:t>
      </w:r>
    </w:p>
  </w:footnote>
  <w:footnote w:id="6">
    <w:p w14:paraId="1ED4F316" w14:textId="7E88A268" w:rsidR="00EE6474" w:rsidRDefault="00EE6474">
      <w:pPr>
        <w:pStyle w:val="Testonotaapidipagina"/>
      </w:pPr>
      <w:r>
        <w:rPr>
          <w:rStyle w:val="Rimandonotaapidipagina"/>
        </w:rPr>
        <w:footnoteRef/>
      </w:r>
      <w:r>
        <w:t xml:space="preserve"> </w:t>
      </w:r>
      <w:r w:rsidRPr="00EE6474">
        <w:t xml:space="preserve">Cass. </w:t>
      </w:r>
      <w:r>
        <w:t xml:space="preserve">civ. , sez. trib., </w:t>
      </w:r>
      <w:r w:rsidRPr="00EE6474">
        <w:t>31 gennaio 2019, n. 2861</w:t>
      </w:r>
      <w:r w:rsidR="003549F6">
        <w:t xml:space="preserve"> e </w:t>
      </w:r>
      <w:r w:rsidR="003549F6" w:rsidRPr="003549F6">
        <w:t>sez. </w:t>
      </w:r>
      <w:r w:rsidR="003549F6">
        <w:t>lav.</w:t>
      </w:r>
      <w:r w:rsidR="003549F6" w:rsidRPr="003549F6">
        <w:t>,  6</w:t>
      </w:r>
      <w:r w:rsidR="003549F6">
        <w:t xml:space="preserve"> settembre </w:t>
      </w:r>
      <w:r w:rsidR="003549F6" w:rsidRPr="003549F6">
        <w:t>2016</w:t>
      </w:r>
      <w:r w:rsidR="003549F6">
        <w:t>,</w:t>
      </w:r>
      <w:r w:rsidR="003549F6" w:rsidRPr="003549F6">
        <w:t xml:space="preserve"> n. </w:t>
      </w:r>
      <w:hyperlink r:id="rId1" w:tgtFrame="_blank" w:history="1">
        <w:r w:rsidR="003549F6" w:rsidRPr="003549F6">
          <w:t>17640</w:t>
        </w:r>
      </w:hyperlink>
      <w:r>
        <w:t>.</w:t>
      </w:r>
    </w:p>
  </w:footnote>
  <w:footnote w:id="7">
    <w:p w14:paraId="4555D415" w14:textId="744225BB" w:rsidR="008B4459" w:rsidRDefault="008B4459" w:rsidP="008B4459">
      <w:pPr>
        <w:pStyle w:val="Testonotaapidipagina"/>
      </w:pPr>
      <w:r>
        <w:rPr>
          <w:rStyle w:val="Rimandonotaapidipagina"/>
        </w:rPr>
        <w:footnoteRef/>
      </w:r>
      <w:r>
        <w:t xml:space="preserve"> </w:t>
      </w:r>
      <w:r w:rsidRPr="008B4459">
        <w:t xml:space="preserve">E. FOLLIERI, </w:t>
      </w:r>
      <w:r w:rsidRPr="008B4459">
        <w:rPr>
          <w:i/>
          <w:iCs/>
        </w:rPr>
        <w:t xml:space="preserve">L’introduzione del principio dello </w:t>
      </w:r>
      <w:r w:rsidRPr="008B4459">
        <w:t xml:space="preserve">stare decisis </w:t>
      </w:r>
      <w:r w:rsidRPr="008B4459">
        <w:rPr>
          <w:i/>
          <w:iCs/>
        </w:rPr>
        <w:t>nell’ordinamento italiano,</w:t>
      </w:r>
      <w:r>
        <w:rPr>
          <w:i/>
          <w:iCs/>
        </w:rPr>
        <w:t xml:space="preserve"> </w:t>
      </w:r>
      <w:r w:rsidRPr="008B4459">
        <w:rPr>
          <w:i/>
          <w:iCs/>
        </w:rPr>
        <w:t xml:space="preserve">con particolare riferimento alle sentenze dell’adunanza plenaria del </w:t>
      </w:r>
      <w:r>
        <w:rPr>
          <w:i/>
          <w:iCs/>
        </w:rPr>
        <w:t>c</w:t>
      </w:r>
      <w:r w:rsidRPr="008B4459">
        <w:rPr>
          <w:i/>
          <w:iCs/>
        </w:rPr>
        <w:t>onsiglio di</w:t>
      </w:r>
      <w:r>
        <w:rPr>
          <w:i/>
          <w:iCs/>
        </w:rPr>
        <w:t xml:space="preserve"> </w:t>
      </w:r>
      <w:r w:rsidR="004216A2">
        <w:rPr>
          <w:i/>
          <w:iCs/>
        </w:rPr>
        <w:t>s</w:t>
      </w:r>
      <w:r w:rsidRPr="008B4459">
        <w:rPr>
          <w:i/>
          <w:iCs/>
        </w:rPr>
        <w:t>tato</w:t>
      </w:r>
      <w:r w:rsidRPr="008B4459">
        <w:t xml:space="preserve">, in </w:t>
      </w:r>
      <w:r w:rsidRPr="008B4459">
        <w:rPr>
          <w:i/>
          <w:iCs/>
        </w:rPr>
        <w:t>Dir. proc. amm.</w:t>
      </w:r>
      <w:r w:rsidRPr="008B4459">
        <w:t>, 2012</w:t>
      </w:r>
      <w:r>
        <w:t>.</w:t>
      </w:r>
    </w:p>
  </w:footnote>
  <w:footnote w:id="8">
    <w:p w14:paraId="19A7A29D" w14:textId="21096B29" w:rsidR="00C10CB8" w:rsidRDefault="00C10CB8" w:rsidP="00C10CB8">
      <w:pPr>
        <w:pStyle w:val="Testonotaapidipagina"/>
      </w:pPr>
      <w:r>
        <w:rPr>
          <w:rStyle w:val="Rimandonotaapidipagina"/>
        </w:rPr>
        <w:footnoteRef/>
      </w:r>
      <w:r>
        <w:t xml:space="preserve"> Sottolinea F. PATRONI GRIFFI,</w:t>
      </w:r>
      <w:r>
        <w:rPr>
          <w:b/>
          <w:sz w:val="44"/>
          <w:szCs w:val="44"/>
        </w:rPr>
        <w:t xml:space="preserve"> </w:t>
      </w:r>
      <w:r w:rsidRPr="007A59DA">
        <w:rPr>
          <w:i/>
          <w:iCs/>
        </w:rPr>
        <w:t>Valore del precedente e nomofilachia</w:t>
      </w:r>
      <w:r w:rsidRPr="007A59DA">
        <w:t xml:space="preserve">, in </w:t>
      </w:r>
      <w:r w:rsidR="00042A1A">
        <w:rPr>
          <w:i/>
          <w:iCs/>
        </w:rPr>
        <w:t>s</w:t>
      </w:r>
      <w:r w:rsidRPr="007A59DA">
        <w:rPr>
          <w:i/>
          <w:iCs/>
        </w:rPr>
        <w:t xml:space="preserve">ito istituzionale della </w:t>
      </w:r>
      <w:r w:rsidR="00D65EBF">
        <w:rPr>
          <w:i/>
          <w:iCs/>
        </w:rPr>
        <w:t>g</w:t>
      </w:r>
      <w:r w:rsidRPr="007A59DA">
        <w:rPr>
          <w:i/>
          <w:iCs/>
        </w:rPr>
        <w:t>iustizia amministrativa</w:t>
      </w:r>
      <w:r w:rsidRPr="007A59DA">
        <w:t xml:space="preserve">, </w:t>
      </w:r>
      <w:r w:rsidR="00042A1A">
        <w:rPr>
          <w:i/>
          <w:iCs/>
        </w:rPr>
        <w:t>d</w:t>
      </w:r>
      <w:r w:rsidRPr="007A59DA">
        <w:rPr>
          <w:i/>
          <w:iCs/>
        </w:rPr>
        <w:t>ottrina</w:t>
      </w:r>
      <w:r w:rsidRPr="007A59DA">
        <w:t>, 2017</w:t>
      </w:r>
      <w:r>
        <w:t>, che “q</w:t>
      </w:r>
      <w:r w:rsidRPr="007A59DA">
        <w:t>uello che per il giudice è autonomia di giudizio, per il cittadino può diventare un caso clinico di schizofrenia (se non un, infondato, sintomo di parzialità)</w:t>
      </w:r>
      <w:r>
        <w:t>”</w:t>
      </w:r>
      <w:r w:rsidRPr="007A59DA">
        <w:t>.</w:t>
      </w:r>
    </w:p>
  </w:footnote>
  <w:footnote w:id="9">
    <w:p w14:paraId="726D4F34" w14:textId="0CA11605" w:rsidR="003B3E6B" w:rsidRDefault="003B3E6B">
      <w:pPr>
        <w:pStyle w:val="Testonotaapidipagina"/>
      </w:pPr>
      <w:r>
        <w:rPr>
          <w:rStyle w:val="Rimandonotaapidipagina"/>
        </w:rPr>
        <w:footnoteRef/>
      </w:r>
      <w:r>
        <w:t xml:space="preserve"> </w:t>
      </w:r>
      <w:r w:rsidRPr="003B3E6B">
        <w:t xml:space="preserve">G. GORLA, </w:t>
      </w:r>
      <w:r w:rsidRPr="003B3E6B">
        <w:rPr>
          <w:i/>
          <w:iCs/>
        </w:rPr>
        <w:t>Precedente giudiziale</w:t>
      </w:r>
      <w:r w:rsidRPr="003B3E6B">
        <w:t>, in </w:t>
      </w:r>
      <w:r w:rsidRPr="003B3E6B">
        <w:rPr>
          <w:i/>
          <w:iCs/>
        </w:rPr>
        <w:t xml:space="preserve">Enc. </w:t>
      </w:r>
      <w:r w:rsidR="00D65EBF">
        <w:rPr>
          <w:i/>
          <w:iCs/>
        </w:rPr>
        <w:t>g</w:t>
      </w:r>
      <w:r w:rsidRPr="003B3E6B">
        <w:rPr>
          <w:i/>
          <w:iCs/>
        </w:rPr>
        <w:t>iur. Treccani</w:t>
      </w:r>
      <w:r w:rsidRPr="003B3E6B">
        <w:t>, XXIII, Roma, 1990</w:t>
      </w:r>
      <w:r>
        <w:t>, 6</w:t>
      </w:r>
      <w:r w:rsidR="006E1558">
        <w:t xml:space="preserve"> ss</w:t>
      </w:r>
      <w:r>
        <w:t>.</w:t>
      </w:r>
    </w:p>
  </w:footnote>
  <w:footnote w:id="10">
    <w:p w14:paraId="1C330EC9" w14:textId="61385455" w:rsidR="00770682" w:rsidRDefault="00770682">
      <w:pPr>
        <w:pStyle w:val="Testonotaapidipagina"/>
      </w:pPr>
      <w:r>
        <w:rPr>
          <w:rStyle w:val="Rimandonotaapidipagina"/>
        </w:rPr>
        <w:footnoteRef/>
      </w:r>
      <w:r>
        <w:t xml:space="preserve"> </w:t>
      </w:r>
      <w:r w:rsidRPr="00770682">
        <w:t xml:space="preserve"> V. CRISAFULLI, </w:t>
      </w:r>
      <w:r w:rsidRPr="00770682">
        <w:rPr>
          <w:i/>
          <w:iCs/>
        </w:rPr>
        <w:t>Disposizione (e norma)</w:t>
      </w:r>
      <w:r w:rsidRPr="00770682">
        <w:t>, in </w:t>
      </w:r>
      <w:r w:rsidRPr="00770682">
        <w:rPr>
          <w:i/>
          <w:iCs/>
        </w:rPr>
        <w:t xml:space="preserve">Enc. </w:t>
      </w:r>
      <w:r w:rsidR="00D65EBF">
        <w:rPr>
          <w:i/>
          <w:iCs/>
        </w:rPr>
        <w:t>d</w:t>
      </w:r>
      <w:r w:rsidRPr="00770682">
        <w:rPr>
          <w:i/>
          <w:iCs/>
        </w:rPr>
        <w:t>ir.</w:t>
      </w:r>
      <w:r w:rsidRPr="00770682">
        <w:t>, XIII, 1964, Milano, 195 ss.</w:t>
      </w:r>
      <w:r>
        <w:t xml:space="preserve">; </w:t>
      </w:r>
      <w:r w:rsidRPr="00770682">
        <w:t>T. ASCARELLI, </w:t>
      </w:r>
      <w:r w:rsidRPr="00770682">
        <w:rPr>
          <w:i/>
          <w:iCs/>
        </w:rPr>
        <w:t>Giurisprudenza costituzionale e teoria dell’interpretazione</w:t>
      </w:r>
      <w:r w:rsidRPr="00770682">
        <w:t xml:space="preserve">, </w:t>
      </w:r>
      <w:r>
        <w:t>Padova</w:t>
      </w:r>
      <w:r w:rsidRPr="00770682">
        <w:t>, 1957</w:t>
      </w:r>
      <w:r w:rsidR="006E1558">
        <w:t xml:space="preserve">, </w:t>
      </w:r>
      <w:r w:rsidR="006E1558" w:rsidRPr="006E1558">
        <w:rPr>
          <w:i/>
          <w:iCs/>
        </w:rPr>
        <w:t>passim</w:t>
      </w:r>
      <w:r>
        <w:t>.</w:t>
      </w:r>
    </w:p>
  </w:footnote>
  <w:footnote w:id="11">
    <w:p w14:paraId="7677A0A2" w14:textId="5A677D96" w:rsidR="00C10CB8" w:rsidRPr="00D92047" w:rsidRDefault="00C10CB8" w:rsidP="00C10CB8">
      <w:pPr>
        <w:pStyle w:val="Testonotaapidipagina"/>
      </w:pPr>
      <w:r w:rsidRPr="00D92047">
        <w:rPr>
          <w:rStyle w:val="Rimandonotaapidipagina"/>
        </w:rPr>
        <w:footnoteRef/>
      </w:r>
      <w:r w:rsidRPr="00D92047">
        <w:t xml:space="preserve"> </w:t>
      </w:r>
      <w:r>
        <w:t xml:space="preserve">Secondo </w:t>
      </w:r>
      <w:r w:rsidRPr="00D92047">
        <w:t>Cass</w:t>
      </w:r>
      <w:r>
        <w:t xml:space="preserve">. civ., </w:t>
      </w:r>
      <w:r w:rsidR="00D65EBF">
        <w:t>s</w:t>
      </w:r>
      <w:r>
        <w:t xml:space="preserve">ez. un., </w:t>
      </w:r>
      <w:r w:rsidRPr="00D92047">
        <w:t>6 novembre 2014</w:t>
      </w:r>
      <w:r>
        <w:t>,</w:t>
      </w:r>
      <w:r w:rsidRPr="00D92047">
        <w:t xml:space="preserve"> n. 23675, </w:t>
      </w:r>
      <w:r>
        <w:t xml:space="preserve">occorrono </w:t>
      </w:r>
      <w:r w:rsidRPr="00D92047">
        <w:t>“buone ragioni” per mutare un indirizzo giurisprudenziale acquisito ed “ottime ragioni” per giustificare l’</w:t>
      </w:r>
      <w:r w:rsidRPr="00D92047">
        <w:rPr>
          <w:i/>
        </w:rPr>
        <w:t>overruling</w:t>
      </w:r>
      <w:r w:rsidRPr="00D92047">
        <w:t xml:space="preserve"> nel settore processuale, che incide sull’affidamento dei cittadini in ordine alla portata delle regole del gioco.</w:t>
      </w:r>
    </w:p>
  </w:footnote>
  <w:footnote w:id="12">
    <w:p w14:paraId="7B070490" w14:textId="201BA0C3" w:rsidR="00F95046" w:rsidRDefault="00F95046">
      <w:pPr>
        <w:pStyle w:val="Testonotaapidipagina"/>
      </w:pPr>
      <w:r>
        <w:rPr>
          <w:rStyle w:val="Rimandonotaapidipagina"/>
        </w:rPr>
        <w:footnoteRef/>
      </w:r>
      <w:r>
        <w:t xml:space="preserve"> Allo stesso modo, l’art. 374, comma 3, c.p.c.</w:t>
      </w:r>
      <w:r w:rsidR="00F94721">
        <w:t>,</w:t>
      </w:r>
      <w:r w:rsidR="00F94721" w:rsidRPr="00F94721">
        <w:t xml:space="preserve"> introdotto </w:t>
      </w:r>
      <w:r w:rsidR="00F27646">
        <w:t>con</w:t>
      </w:r>
      <w:r w:rsidR="00F94721" w:rsidRPr="00F94721">
        <w:t xml:space="preserve"> </w:t>
      </w:r>
      <w:r w:rsidR="00F94721">
        <w:t>d</w:t>
      </w:r>
      <w:r w:rsidR="00F94721" w:rsidRPr="00F94721">
        <w:t>.lgs. n. 40</w:t>
      </w:r>
      <w:r w:rsidR="00F94721">
        <w:t xml:space="preserve"> del </w:t>
      </w:r>
      <w:r w:rsidR="00F94721" w:rsidRPr="00F94721">
        <w:t>2006,</w:t>
      </w:r>
      <w:r>
        <w:t xml:space="preserve"> prevede che “s</w:t>
      </w:r>
      <w:r w:rsidRPr="00F95046">
        <w:t>e la sezione semplice ritiene di non condividere il principio di diritto enunciato dalle sezioni unite, rimette a queste ultime, con ordinanza motivata, la decisione del ricorso</w:t>
      </w:r>
      <w:r>
        <w:t>”.</w:t>
      </w:r>
    </w:p>
  </w:footnote>
  <w:footnote w:id="13">
    <w:p w14:paraId="6CA10D68" w14:textId="73622583" w:rsidR="000669D7" w:rsidRDefault="000669D7" w:rsidP="000669D7">
      <w:pPr>
        <w:pStyle w:val="Testonotaapidipagina"/>
      </w:pPr>
      <w:r>
        <w:rPr>
          <w:rStyle w:val="Rimandonotaapidipagina"/>
        </w:rPr>
        <w:footnoteRef/>
      </w:r>
      <w:r>
        <w:t xml:space="preserve"> </w:t>
      </w:r>
      <w:r w:rsidRPr="009E5DF9">
        <w:t xml:space="preserve">A. MALTONI, </w:t>
      </w:r>
      <w:r w:rsidRPr="009E5DF9">
        <w:rPr>
          <w:i/>
          <w:iCs/>
        </w:rPr>
        <w:t>Il “vincolo” al precedente dell’</w:t>
      </w:r>
      <w:r>
        <w:rPr>
          <w:i/>
          <w:iCs/>
        </w:rPr>
        <w:t>a</w:t>
      </w:r>
      <w:r w:rsidRPr="009E5DF9">
        <w:rPr>
          <w:i/>
          <w:iCs/>
        </w:rPr>
        <w:t>dunanza plenaria</w:t>
      </w:r>
      <w:r>
        <w:rPr>
          <w:i/>
          <w:iCs/>
        </w:rPr>
        <w:t xml:space="preserve"> </w:t>
      </w:r>
      <w:r w:rsidRPr="009E5DF9">
        <w:t>ex</w:t>
      </w:r>
      <w:r w:rsidRPr="009E5DF9">
        <w:rPr>
          <w:i/>
          <w:iCs/>
        </w:rPr>
        <w:t xml:space="preserve"> art. 99, comma 3, c.p.a. e il rispetto dei principi costituzionali</w:t>
      </w:r>
      <w:r w:rsidRPr="009E5DF9">
        <w:t xml:space="preserve">, in </w:t>
      </w:r>
      <w:r w:rsidRPr="009E5DF9">
        <w:rPr>
          <w:i/>
          <w:iCs/>
        </w:rPr>
        <w:t>Foro amm.</w:t>
      </w:r>
      <w:r w:rsidRPr="009E5DF9">
        <w:t>,</w:t>
      </w:r>
      <w:r>
        <w:t xml:space="preserve"> </w:t>
      </w:r>
      <w:r w:rsidRPr="009E5DF9">
        <w:t>2015, I, 137 ss.</w:t>
      </w:r>
    </w:p>
  </w:footnote>
  <w:footnote w:id="14">
    <w:p w14:paraId="53443411" w14:textId="6A51836C" w:rsidR="00347829" w:rsidRDefault="00347829" w:rsidP="00347829">
      <w:pPr>
        <w:pStyle w:val="Testonotaapidipagina"/>
      </w:pPr>
      <w:r>
        <w:rPr>
          <w:rStyle w:val="Rimandonotaapidipagina"/>
        </w:rPr>
        <w:footnoteRef/>
      </w:r>
      <w:r>
        <w:t xml:space="preserve"> </w:t>
      </w:r>
      <w:r w:rsidRPr="00347829">
        <w:t xml:space="preserve">A. PAJNO, </w:t>
      </w:r>
      <w:r w:rsidRPr="00347829">
        <w:rPr>
          <w:i/>
          <w:iCs/>
        </w:rPr>
        <w:t>Il precedente nel giudizio amministrativo. Nomofilachia e</w:t>
      </w:r>
      <w:r>
        <w:rPr>
          <w:i/>
          <w:iCs/>
        </w:rPr>
        <w:t xml:space="preserve"> </w:t>
      </w:r>
      <w:r w:rsidRPr="00347829">
        <w:rPr>
          <w:i/>
          <w:iCs/>
        </w:rPr>
        <w:t>giustizia amministrativa</w:t>
      </w:r>
      <w:r>
        <w:rPr>
          <w:rFonts w:cs="Times New Roman"/>
          <w:kern w:val="0"/>
          <w:sz w:val="19"/>
          <w:szCs w:val="19"/>
        </w:rPr>
        <w:t xml:space="preserve">, </w:t>
      </w:r>
      <w:r w:rsidRPr="00347829">
        <w:rPr>
          <w:i/>
          <w:iCs/>
        </w:rPr>
        <w:t>in Riv. it. dir. pubbl.</w:t>
      </w:r>
      <w:r>
        <w:rPr>
          <w:i/>
          <w:iCs/>
        </w:rPr>
        <w:t xml:space="preserve"> </w:t>
      </w:r>
      <w:r w:rsidRPr="00347829">
        <w:rPr>
          <w:i/>
          <w:iCs/>
        </w:rPr>
        <w:t>com.</w:t>
      </w:r>
      <w:r w:rsidRPr="00347829">
        <w:t>, 2015,</w:t>
      </w:r>
      <w:r>
        <w:t xml:space="preserve"> 4 ss.</w:t>
      </w:r>
    </w:p>
  </w:footnote>
  <w:footnote w:id="15">
    <w:p w14:paraId="2A1BB6AA" w14:textId="0F22C278" w:rsidR="00F444D8" w:rsidRDefault="00F444D8" w:rsidP="00F444D8">
      <w:pPr>
        <w:pStyle w:val="Testonotaapidipagina"/>
      </w:pPr>
      <w:r>
        <w:rPr>
          <w:rStyle w:val="Rimandonotaapidipagina"/>
        </w:rPr>
        <w:footnoteRef/>
      </w:r>
      <w:r>
        <w:t xml:space="preserve"> </w:t>
      </w:r>
      <w:r w:rsidRPr="00F444D8">
        <w:t xml:space="preserve">E. FOLLIERI, </w:t>
      </w:r>
      <w:r w:rsidRPr="00F444D8">
        <w:rPr>
          <w:i/>
          <w:iCs/>
        </w:rPr>
        <w:t xml:space="preserve">Lo </w:t>
      </w:r>
      <w:r w:rsidRPr="00A75782">
        <w:t>stare decisis</w:t>
      </w:r>
      <w:r w:rsidRPr="00F444D8">
        <w:rPr>
          <w:i/>
          <w:iCs/>
        </w:rPr>
        <w:t xml:space="preserve"> nel processo amministrativo</w:t>
      </w:r>
      <w:r w:rsidRPr="00F444D8">
        <w:t xml:space="preserve">, </w:t>
      </w:r>
      <w:r w:rsidRPr="00F444D8">
        <w:rPr>
          <w:i/>
          <w:iCs/>
        </w:rPr>
        <w:t>cit.</w:t>
      </w:r>
      <w:r w:rsidRPr="00F444D8">
        <w:t>, 17 ss.</w:t>
      </w:r>
      <w:r>
        <w:t xml:space="preserve">; G.F. LICATA, </w:t>
      </w:r>
      <w:r w:rsidRPr="00F444D8">
        <w:rPr>
          <w:i/>
          <w:iCs/>
        </w:rPr>
        <w:t>Trasformazioni della giustizia amministrativa</w:t>
      </w:r>
      <w:r w:rsidRPr="00D65EBF">
        <w:t>,</w:t>
      </w:r>
      <w:r w:rsidR="00D65EBF" w:rsidRPr="00D65EBF">
        <w:t xml:space="preserve"> </w:t>
      </w:r>
      <w:r w:rsidR="00D65EBF">
        <w:t xml:space="preserve">Torino, 2023, </w:t>
      </w:r>
      <w:r w:rsidR="00D65EBF" w:rsidRPr="00D65EBF">
        <w:t>86 ss.</w:t>
      </w:r>
    </w:p>
  </w:footnote>
  <w:footnote w:id="16">
    <w:p w14:paraId="749D2C32" w14:textId="77777777" w:rsidR="00347829" w:rsidRDefault="00347829" w:rsidP="00347829">
      <w:pPr>
        <w:pStyle w:val="Testonotaapidipagina"/>
      </w:pPr>
      <w:r>
        <w:rPr>
          <w:rStyle w:val="Rimandonotaapidipagina"/>
        </w:rPr>
        <w:footnoteRef/>
      </w:r>
      <w:r>
        <w:t xml:space="preserve"> A. STORTO, </w:t>
      </w:r>
      <w:r w:rsidRPr="00232A87">
        <w:rPr>
          <w:i/>
          <w:iCs/>
        </w:rPr>
        <w:t>Decisioni della plenaria e vincolo di conformazione</w:t>
      </w:r>
      <w:r>
        <w:t xml:space="preserve">, in </w:t>
      </w:r>
      <w:r>
        <w:rPr>
          <w:i/>
          <w:iCs/>
        </w:rPr>
        <w:t>s</w:t>
      </w:r>
      <w:r w:rsidRPr="007A59DA">
        <w:rPr>
          <w:i/>
          <w:iCs/>
        </w:rPr>
        <w:t xml:space="preserve">ito istituzionale della </w:t>
      </w:r>
      <w:r>
        <w:rPr>
          <w:i/>
          <w:iCs/>
        </w:rPr>
        <w:t>g</w:t>
      </w:r>
      <w:r w:rsidRPr="007A59DA">
        <w:rPr>
          <w:i/>
          <w:iCs/>
        </w:rPr>
        <w:t>iustizia amministrativa</w:t>
      </w:r>
      <w:r w:rsidRPr="007A59DA">
        <w:t xml:space="preserve">, </w:t>
      </w:r>
      <w:r>
        <w:rPr>
          <w:i/>
          <w:iCs/>
        </w:rPr>
        <w:t>d</w:t>
      </w:r>
      <w:r w:rsidRPr="007A59DA">
        <w:rPr>
          <w:i/>
          <w:iCs/>
        </w:rPr>
        <w:t>ottrina</w:t>
      </w:r>
      <w:r w:rsidRPr="007A59DA">
        <w:t>, 201</w:t>
      </w:r>
      <w:r>
        <w:t>2.</w:t>
      </w:r>
    </w:p>
  </w:footnote>
  <w:footnote w:id="17">
    <w:p w14:paraId="1B18AB8D" w14:textId="77777777" w:rsidR="007C3B63" w:rsidRDefault="007C3B63" w:rsidP="007C3B63">
      <w:pPr>
        <w:pStyle w:val="Testonotaapidipagina"/>
      </w:pPr>
      <w:r>
        <w:rPr>
          <w:rStyle w:val="Rimandonotaapidipagina"/>
        </w:rPr>
        <w:footnoteRef/>
      </w:r>
      <w:r>
        <w:t xml:space="preserve"> Si vedano, ad esempio: T.A.R. Friuli V.G. </w:t>
      </w:r>
      <w:r w:rsidRPr="00C35905">
        <w:t xml:space="preserve">7 maggio 1996, n. 431; </w:t>
      </w:r>
      <w:r>
        <w:t>T.r.g.a. 16 febbraio 1999, n. 58;</w:t>
      </w:r>
      <w:r w:rsidRPr="007A7FF9">
        <w:t xml:space="preserve"> </w:t>
      </w:r>
      <w:r w:rsidRPr="002201A0">
        <w:t>Cons. St</w:t>
      </w:r>
      <w:r>
        <w:t>ato</w:t>
      </w:r>
      <w:r w:rsidRPr="002201A0">
        <w:t xml:space="preserve">, </w:t>
      </w:r>
      <w:r>
        <w:t>sez. VI, 25 febbraio 1998, n. 216.</w:t>
      </w:r>
    </w:p>
  </w:footnote>
  <w:footnote w:id="18">
    <w:p w14:paraId="1C7A0229" w14:textId="77777777" w:rsidR="007C3B63" w:rsidRPr="002201A0" w:rsidRDefault="007C3B63" w:rsidP="007C3B63">
      <w:pPr>
        <w:pStyle w:val="Testonotaapidipagina"/>
      </w:pPr>
      <w:r w:rsidRPr="002201A0">
        <w:rPr>
          <w:rStyle w:val="Rimandonotaapidipagina"/>
        </w:rPr>
        <w:footnoteRef/>
      </w:r>
      <w:r w:rsidRPr="002201A0">
        <w:t xml:space="preserve"> C. cost. 27 gennaio 2023, n. 8.</w:t>
      </w:r>
    </w:p>
  </w:footnote>
  <w:footnote w:id="19">
    <w:p w14:paraId="6A95B9D6" w14:textId="6D9BAFC0" w:rsidR="00D94807" w:rsidRDefault="00D94807" w:rsidP="00D94807">
      <w:pPr>
        <w:pStyle w:val="Testonotaapidipagina"/>
      </w:pPr>
      <w:r>
        <w:rPr>
          <w:rStyle w:val="Rimandonotaapidipagina"/>
        </w:rPr>
        <w:footnoteRef/>
      </w:r>
      <w:r>
        <w:t xml:space="preserve"> Di segno </w:t>
      </w:r>
      <w:r w:rsidR="009F5063">
        <w:t xml:space="preserve">parzialmente </w:t>
      </w:r>
      <w:r>
        <w:t xml:space="preserve">critico: E. FOLLIERI, </w:t>
      </w:r>
      <w:r w:rsidRPr="00090FAC">
        <w:rPr>
          <w:i/>
          <w:iCs/>
        </w:rPr>
        <w:t>Due passi avanti e uno indietro nell’affermazione della giurisdizione soggettiva del processo amministrativo di annullamento</w:t>
      </w:r>
      <w:r>
        <w:t>, in</w:t>
      </w:r>
      <w:r w:rsidRPr="00090FAC">
        <w:t xml:space="preserve"> </w:t>
      </w:r>
      <w:r w:rsidRPr="00090FAC">
        <w:rPr>
          <w:i/>
          <w:iCs/>
        </w:rPr>
        <w:t>Giur. it.</w:t>
      </w:r>
      <w:r w:rsidRPr="00090FAC">
        <w:t>, 2015, 10, 2192</w:t>
      </w:r>
      <w:r>
        <w:t xml:space="preserve"> ss.</w:t>
      </w:r>
    </w:p>
  </w:footnote>
  <w:footnote w:id="20">
    <w:p w14:paraId="0D0744DA" w14:textId="3C114590" w:rsidR="00D94807" w:rsidRDefault="00D94807" w:rsidP="00D94807">
      <w:pPr>
        <w:pStyle w:val="Testonotaapidipagina"/>
      </w:pPr>
      <w:r>
        <w:rPr>
          <w:rStyle w:val="Rimandonotaapidipagina"/>
        </w:rPr>
        <w:footnoteRef/>
      </w:r>
      <w:r>
        <w:t xml:space="preserve"> Da ultimo, nello stesso senso e senza previa rimessione alla plenaria: Cons. Stato, sez. IV, 11 marzo 2026, n. 1970.</w:t>
      </w:r>
    </w:p>
  </w:footnote>
  <w:footnote w:id="21">
    <w:p w14:paraId="5D87FD15" w14:textId="49C1E498" w:rsidR="00B243A0" w:rsidRPr="00377C0D" w:rsidRDefault="00B243A0" w:rsidP="00B243A0">
      <w:pPr>
        <w:pStyle w:val="Testonotaapidipagina"/>
      </w:pPr>
      <w:r w:rsidRPr="00377C0D">
        <w:rPr>
          <w:rStyle w:val="Rimandonotaapidipagina"/>
        </w:rPr>
        <w:footnoteRef/>
      </w:r>
      <w:r w:rsidRPr="00377C0D">
        <w:t xml:space="preserve"> S. MONZANI,</w:t>
      </w:r>
      <w:r w:rsidRPr="00377C0D">
        <w:rPr>
          <w:rFonts w:ascii="inherit" w:eastAsia="Times New Roman" w:hAnsi="inherit" w:cs="Open Sans"/>
          <w:kern w:val="0"/>
          <w:sz w:val="36"/>
          <w:szCs w:val="36"/>
          <w:shd w:val="clear" w:color="auto" w:fill="FFFFFF"/>
          <w:lang w:eastAsia="it-IT"/>
          <w14:ligatures w14:val="none"/>
        </w:rPr>
        <w:t xml:space="preserve"> </w:t>
      </w:r>
      <w:r w:rsidRPr="00377C0D">
        <w:rPr>
          <w:i/>
          <w:iCs/>
        </w:rPr>
        <w:t>Il procedimento sanzionatorio di abusi edilizi: inottemperanza all</w:t>
      </w:r>
      <w:r w:rsidR="00D901CC">
        <w:rPr>
          <w:i/>
          <w:iCs/>
        </w:rPr>
        <w:t>’</w:t>
      </w:r>
      <w:r w:rsidRPr="00377C0D">
        <w:rPr>
          <w:i/>
          <w:iCs/>
        </w:rPr>
        <w:t>ingiunzione di demolizione e istanza di accertamento di conformità</w:t>
      </w:r>
      <w:r w:rsidRPr="00377C0D">
        <w:t xml:space="preserve">, in </w:t>
      </w:r>
      <w:r w:rsidRPr="00377C0D">
        <w:rPr>
          <w:i/>
          <w:iCs/>
        </w:rPr>
        <w:t>Riv. giur. ed.</w:t>
      </w:r>
      <w:r w:rsidRPr="00377C0D">
        <w:t>, 2024, 1, 57 ss.</w:t>
      </w:r>
    </w:p>
  </w:footnote>
  <w:footnote w:id="22">
    <w:p w14:paraId="40FD7D6F" w14:textId="44610F5B" w:rsidR="0058781A" w:rsidRDefault="0058781A" w:rsidP="00DB28FA">
      <w:pPr>
        <w:pStyle w:val="Testonotaapidipagina"/>
      </w:pPr>
      <w:r>
        <w:rPr>
          <w:rStyle w:val="Rimandonotaapidipagina"/>
        </w:rPr>
        <w:footnoteRef/>
      </w:r>
      <w:r>
        <w:t xml:space="preserve"> </w:t>
      </w:r>
      <w:r w:rsidRPr="00084186">
        <w:t xml:space="preserve">Cons. </w:t>
      </w:r>
      <w:r>
        <w:t>s</w:t>
      </w:r>
      <w:r w:rsidRPr="00084186">
        <w:t>tato</w:t>
      </w:r>
      <w:r>
        <w:t>, sez. II, 25 gennaio 2024,</w:t>
      </w:r>
      <w:r w:rsidRPr="00084186">
        <w:t xml:space="preserve"> n. </w:t>
      </w:r>
      <w:r>
        <w:t>806</w:t>
      </w:r>
      <w:r w:rsidR="007E282A">
        <w:t xml:space="preserve">; </w:t>
      </w:r>
      <w:r w:rsidR="007E282A" w:rsidRPr="00DB28FA">
        <w:rPr>
          <w:i/>
          <w:iCs/>
        </w:rPr>
        <w:t>contra</w:t>
      </w:r>
      <w:r w:rsidR="007E282A">
        <w:t xml:space="preserve">: </w:t>
      </w:r>
      <w:r w:rsidR="007E282A" w:rsidRPr="00084186">
        <w:t xml:space="preserve">Cons. </w:t>
      </w:r>
      <w:r w:rsidR="007E282A">
        <w:t>s</w:t>
      </w:r>
      <w:r w:rsidR="007E282A" w:rsidRPr="00084186">
        <w:t>tato</w:t>
      </w:r>
      <w:r w:rsidR="007E282A">
        <w:t>, sez. VII, 18 luglio 2025,</w:t>
      </w:r>
      <w:r w:rsidR="007E282A" w:rsidRPr="00084186">
        <w:t xml:space="preserve"> n. </w:t>
      </w:r>
      <w:r w:rsidR="007E282A">
        <w:t>6368</w:t>
      </w:r>
      <w:r w:rsidR="00DB28FA">
        <w:t>, a mente del quale “il comprovato vano decorso del termine di 90 giorni entro il quale l’autore dell’abuso può ottemperare all’ordine di demolizione … non può che comportare la perdita del diritto dominicale del privato sul bene abusivo”</w:t>
      </w:r>
      <w:r>
        <w:t>.</w:t>
      </w:r>
    </w:p>
  </w:footnote>
  <w:footnote w:id="23">
    <w:p w14:paraId="3496FA1B" w14:textId="452193AF" w:rsidR="00084186" w:rsidRDefault="00084186">
      <w:pPr>
        <w:pStyle w:val="Testonotaapidipagina"/>
      </w:pPr>
      <w:r>
        <w:rPr>
          <w:rStyle w:val="Rimandonotaapidipagina"/>
        </w:rPr>
        <w:footnoteRef/>
      </w:r>
      <w:r>
        <w:t xml:space="preserve"> </w:t>
      </w:r>
      <w:r w:rsidRPr="00084186">
        <w:t xml:space="preserve">Cons. </w:t>
      </w:r>
      <w:r>
        <w:t>s</w:t>
      </w:r>
      <w:r w:rsidRPr="00084186">
        <w:t>tato</w:t>
      </w:r>
      <w:r>
        <w:t>, sez. II, 27 novembre 2025,</w:t>
      </w:r>
      <w:r w:rsidRPr="00084186">
        <w:t xml:space="preserve"> n. 9340</w:t>
      </w:r>
      <w:r>
        <w:t>.</w:t>
      </w:r>
    </w:p>
  </w:footnote>
  <w:footnote w:id="24">
    <w:p w14:paraId="7BCC408B" w14:textId="77777777" w:rsidR="007C3B63" w:rsidRDefault="007C3B63" w:rsidP="007C3B63">
      <w:pPr>
        <w:pStyle w:val="Testonotaapidipagina"/>
      </w:pPr>
      <w:r>
        <w:rPr>
          <w:rStyle w:val="Rimandonotaapidipagina"/>
        </w:rPr>
        <w:footnoteRef/>
      </w:r>
      <w:r>
        <w:t xml:space="preserve"> </w:t>
      </w:r>
      <w:r w:rsidRPr="00136805">
        <w:t xml:space="preserve">Cass. civ., </w:t>
      </w:r>
      <w:r>
        <w:t>s</w:t>
      </w:r>
      <w:r w:rsidRPr="00136805">
        <w:t>ez. un., 20 febbraio 2026, n. 3868.</w:t>
      </w:r>
    </w:p>
  </w:footnote>
  <w:footnote w:id="25">
    <w:p w14:paraId="65D515F8" w14:textId="7DB50752" w:rsidR="007C3B63" w:rsidRDefault="007C3B63" w:rsidP="007C3B63">
      <w:pPr>
        <w:pStyle w:val="Testonotaapidipagina"/>
      </w:pPr>
      <w:r>
        <w:rPr>
          <w:rStyle w:val="Rimandonotaapidipagina"/>
        </w:rPr>
        <w:footnoteRef/>
      </w:r>
      <w:r>
        <w:t xml:space="preserve"> Questo, sebbene con s</w:t>
      </w:r>
      <w:r w:rsidRPr="004C5004">
        <w:t>entenza 9 febbraio 2016</w:t>
      </w:r>
      <w:r>
        <w:t>,</w:t>
      </w:r>
      <w:r w:rsidRPr="004C5004">
        <w:t xml:space="preserve"> n. 2, l</w:t>
      </w:r>
      <w:r>
        <w:t>a stessa a</w:t>
      </w:r>
      <w:r w:rsidRPr="004C5004">
        <w:t xml:space="preserve">dunanza </w:t>
      </w:r>
      <w:r>
        <w:t>p</w:t>
      </w:r>
      <w:r w:rsidRPr="004C5004">
        <w:t>lenaria </w:t>
      </w:r>
      <w:r w:rsidR="00894D9B">
        <w:t>abbia</w:t>
      </w:r>
      <w:r>
        <w:t xml:space="preserve"> affermato, </w:t>
      </w:r>
      <w:r w:rsidRPr="004C5004">
        <w:t>in via incidentale</w:t>
      </w:r>
      <w:r>
        <w:t>,</w:t>
      </w:r>
      <w:r w:rsidRPr="000112C1">
        <w:t xml:space="preserve"> </w:t>
      </w:r>
      <w:r>
        <w:t>il principio opposto.</w:t>
      </w:r>
    </w:p>
  </w:footnote>
  <w:footnote w:id="26">
    <w:p w14:paraId="3AB8C680" w14:textId="77777777" w:rsidR="007C3B63" w:rsidRDefault="007C3B63" w:rsidP="007C3B63">
      <w:pPr>
        <w:pStyle w:val="Testonotaapidipagina"/>
      </w:pPr>
      <w:r>
        <w:rPr>
          <w:rStyle w:val="Rimandonotaapidipagina"/>
        </w:rPr>
        <w:footnoteRef/>
      </w:r>
      <w:r>
        <w:t xml:space="preserve"> </w:t>
      </w:r>
      <w:r w:rsidRPr="008271E9">
        <w:t xml:space="preserve">Cass. </w:t>
      </w:r>
      <w:r>
        <w:t>c</w:t>
      </w:r>
      <w:r w:rsidRPr="008271E9">
        <w:t xml:space="preserve">iv., </w:t>
      </w:r>
      <w:r>
        <w:t>s</w:t>
      </w:r>
      <w:r w:rsidRPr="008271E9">
        <w:t xml:space="preserve">ez. I, 6 giugno 2022, n. 18142, </w:t>
      </w:r>
      <w:r>
        <w:t xml:space="preserve">n. </w:t>
      </w:r>
      <w:r w:rsidRPr="008271E9">
        <w:t xml:space="preserve">18143, </w:t>
      </w:r>
      <w:r>
        <w:t xml:space="preserve">n. </w:t>
      </w:r>
      <w:r w:rsidRPr="008271E9">
        <w:t>18167</w:t>
      </w:r>
      <w:r>
        <w:t xml:space="preserve"> e n.</w:t>
      </w:r>
      <w:r w:rsidRPr="008271E9">
        <w:t xml:space="preserve"> 18168</w:t>
      </w:r>
      <w:r>
        <w:t>.</w:t>
      </w:r>
    </w:p>
  </w:footnote>
  <w:footnote w:id="27">
    <w:p w14:paraId="5DA3FC8E" w14:textId="77777777" w:rsidR="007C3B63" w:rsidRDefault="007C3B63" w:rsidP="007C3B63">
      <w:pPr>
        <w:pStyle w:val="Testonotaapidipagina"/>
      </w:pPr>
      <w:r>
        <w:rPr>
          <w:rStyle w:val="Rimandonotaapidipagina"/>
        </w:rPr>
        <w:footnoteRef/>
      </w:r>
      <w:r>
        <w:t xml:space="preserve"> </w:t>
      </w:r>
      <w:hyperlink r:id="rId2" w:history="1">
        <w:r w:rsidRPr="008271E9">
          <w:t>F</w:t>
        </w:r>
        <w:r>
          <w:t xml:space="preserve">. </w:t>
        </w:r>
        <w:r w:rsidRPr="008271E9">
          <w:t>MARTINES</w:t>
        </w:r>
      </w:hyperlink>
      <w:r>
        <w:t xml:space="preserve">, </w:t>
      </w:r>
      <w:r w:rsidRPr="008271E9">
        <w:rPr>
          <w:i/>
          <w:iCs/>
        </w:rPr>
        <w:t>Acquisizione sanante e ammissibilità della rinuncia abdicativa: diversità di vedute fra giudice amministrativo e ordinario</w:t>
      </w:r>
      <w:r>
        <w:t xml:space="preserve">, in </w:t>
      </w:r>
      <w:r w:rsidRPr="008271E9">
        <w:rPr>
          <w:i/>
          <w:iCs/>
        </w:rPr>
        <w:t>Giustizia insieme</w:t>
      </w:r>
      <w:r>
        <w:t>, 2022.</w:t>
      </w:r>
    </w:p>
  </w:footnote>
  <w:footnote w:id="28">
    <w:p w14:paraId="6AE90734" w14:textId="77777777" w:rsidR="00D94807" w:rsidRDefault="00D94807" w:rsidP="00D94807">
      <w:pPr>
        <w:pStyle w:val="Testonotaapidipagina"/>
      </w:pPr>
      <w:r>
        <w:rPr>
          <w:rStyle w:val="Rimandonotaapidipagina"/>
        </w:rPr>
        <w:footnoteRef/>
      </w:r>
      <w:r>
        <w:t xml:space="preserve"> Si segnala, in particolare: T.A.R. Liguria, sez. I, 19 febbraio 2025, n. 183, secondo cui l’eventuale </w:t>
      </w:r>
      <w:r w:rsidRPr="0059732A">
        <w:t>accordo</w:t>
      </w:r>
      <w:r w:rsidRPr="007704EB">
        <w:t xml:space="preserve"> </w:t>
      </w:r>
      <w:r>
        <w:t>tra il governo italiano e la commissione europea</w:t>
      </w:r>
      <w:r w:rsidRPr="0059732A">
        <w:t xml:space="preserve"> non </w:t>
      </w:r>
      <w:r>
        <w:t xml:space="preserve">può </w:t>
      </w:r>
      <w:r w:rsidRPr="0059732A">
        <w:t>prevalere sul</w:t>
      </w:r>
      <w:r>
        <w:t>le sentenze</w:t>
      </w:r>
      <w:r w:rsidRPr="0059732A">
        <w:t xml:space="preserve"> della </w:t>
      </w:r>
      <w:r>
        <w:t>CGUE che h</w:t>
      </w:r>
      <w:r w:rsidRPr="0059732A">
        <w:t>a</w:t>
      </w:r>
      <w:r>
        <w:t xml:space="preserve">nno sancito </w:t>
      </w:r>
      <w:r w:rsidRPr="0059732A">
        <w:t>l’incompatibilità unionale del rinnovo automatico delle concessioni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6FFD"/>
    <w:multiLevelType w:val="hybridMultilevel"/>
    <w:tmpl w:val="B09256D8"/>
    <w:lvl w:ilvl="0" w:tplc="420885FC">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164038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C5"/>
    <w:rsid w:val="000049C3"/>
    <w:rsid w:val="00004FB6"/>
    <w:rsid w:val="00007711"/>
    <w:rsid w:val="000112C1"/>
    <w:rsid w:val="00013CDA"/>
    <w:rsid w:val="00021E4D"/>
    <w:rsid w:val="00022B5D"/>
    <w:rsid w:val="000252A5"/>
    <w:rsid w:val="00036FAE"/>
    <w:rsid w:val="00042A1A"/>
    <w:rsid w:val="000669D7"/>
    <w:rsid w:val="0006774E"/>
    <w:rsid w:val="00072DCC"/>
    <w:rsid w:val="00083320"/>
    <w:rsid w:val="00084186"/>
    <w:rsid w:val="00090FAC"/>
    <w:rsid w:val="0009664C"/>
    <w:rsid w:val="000B2245"/>
    <w:rsid w:val="000B4E8B"/>
    <w:rsid w:val="000C3B96"/>
    <w:rsid w:val="000E6004"/>
    <w:rsid w:val="000E7AB3"/>
    <w:rsid w:val="00107FFA"/>
    <w:rsid w:val="001321D8"/>
    <w:rsid w:val="001336E2"/>
    <w:rsid w:val="0013634B"/>
    <w:rsid w:val="00136805"/>
    <w:rsid w:val="00142543"/>
    <w:rsid w:val="001522CD"/>
    <w:rsid w:val="001642A1"/>
    <w:rsid w:val="001723E6"/>
    <w:rsid w:val="00172406"/>
    <w:rsid w:val="001D06DF"/>
    <w:rsid w:val="001D6673"/>
    <w:rsid w:val="001E0690"/>
    <w:rsid w:val="001E075E"/>
    <w:rsid w:val="001E75A5"/>
    <w:rsid w:val="001F5E3B"/>
    <w:rsid w:val="00200D90"/>
    <w:rsid w:val="00201FEF"/>
    <w:rsid w:val="002068BA"/>
    <w:rsid w:val="002201A0"/>
    <w:rsid w:val="00220A75"/>
    <w:rsid w:val="00223E5E"/>
    <w:rsid w:val="00232A87"/>
    <w:rsid w:val="0025184A"/>
    <w:rsid w:val="002525B3"/>
    <w:rsid w:val="00255721"/>
    <w:rsid w:val="0026072C"/>
    <w:rsid w:val="002721A4"/>
    <w:rsid w:val="002923FD"/>
    <w:rsid w:val="002A08DD"/>
    <w:rsid w:val="002A568E"/>
    <w:rsid w:val="002B3B11"/>
    <w:rsid w:val="002C6E83"/>
    <w:rsid w:val="002D0654"/>
    <w:rsid w:val="002D3FA1"/>
    <w:rsid w:val="002E0C1E"/>
    <w:rsid w:val="002E0D39"/>
    <w:rsid w:val="002E65A6"/>
    <w:rsid w:val="003034AE"/>
    <w:rsid w:val="00310ECC"/>
    <w:rsid w:val="00323D70"/>
    <w:rsid w:val="0032532C"/>
    <w:rsid w:val="00325F16"/>
    <w:rsid w:val="00347829"/>
    <w:rsid w:val="003549F6"/>
    <w:rsid w:val="003638DB"/>
    <w:rsid w:val="0037178C"/>
    <w:rsid w:val="00376D8C"/>
    <w:rsid w:val="00377C0D"/>
    <w:rsid w:val="003839D7"/>
    <w:rsid w:val="003A5574"/>
    <w:rsid w:val="003A5A4E"/>
    <w:rsid w:val="003B3D2C"/>
    <w:rsid w:val="003B3E6B"/>
    <w:rsid w:val="003D4AE2"/>
    <w:rsid w:val="003D54AD"/>
    <w:rsid w:val="003E16B6"/>
    <w:rsid w:val="0041184F"/>
    <w:rsid w:val="004216A2"/>
    <w:rsid w:val="00421827"/>
    <w:rsid w:val="004313C9"/>
    <w:rsid w:val="00435BA6"/>
    <w:rsid w:val="004407D3"/>
    <w:rsid w:val="00442945"/>
    <w:rsid w:val="00445EAE"/>
    <w:rsid w:val="00464DB4"/>
    <w:rsid w:val="00465F2D"/>
    <w:rsid w:val="0047027D"/>
    <w:rsid w:val="004744AB"/>
    <w:rsid w:val="00475BB9"/>
    <w:rsid w:val="0048794A"/>
    <w:rsid w:val="00494DB7"/>
    <w:rsid w:val="00496DE7"/>
    <w:rsid w:val="004B3817"/>
    <w:rsid w:val="004B556A"/>
    <w:rsid w:val="004C41CF"/>
    <w:rsid w:val="004C5004"/>
    <w:rsid w:val="004D4CE7"/>
    <w:rsid w:val="004F3E2B"/>
    <w:rsid w:val="00521245"/>
    <w:rsid w:val="00533C55"/>
    <w:rsid w:val="005345E4"/>
    <w:rsid w:val="00537D15"/>
    <w:rsid w:val="00544452"/>
    <w:rsid w:val="00560E4C"/>
    <w:rsid w:val="0058781A"/>
    <w:rsid w:val="00587939"/>
    <w:rsid w:val="0059724B"/>
    <w:rsid w:val="0059732A"/>
    <w:rsid w:val="005A49FC"/>
    <w:rsid w:val="005B1636"/>
    <w:rsid w:val="005C4D13"/>
    <w:rsid w:val="005C7DE0"/>
    <w:rsid w:val="005D1E4D"/>
    <w:rsid w:val="005F59C1"/>
    <w:rsid w:val="005F662F"/>
    <w:rsid w:val="0061384B"/>
    <w:rsid w:val="00622A5C"/>
    <w:rsid w:val="00623D04"/>
    <w:rsid w:val="0062499C"/>
    <w:rsid w:val="006401EE"/>
    <w:rsid w:val="006561C1"/>
    <w:rsid w:val="00661E97"/>
    <w:rsid w:val="00692CB3"/>
    <w:rsid w:val="006931F4"/>
    <w:rsid w:val="006A223E"/>
    <w:rsid w:val="006A33FD"/>
    <w:rsid w:val="006C182F"/>
    <w:rsid w:val="006C511D"/>
    <w:rsid w:val="006E0FA4"/>
    <w:rsid w:val="006E1558"/>
    <w:rsid w:val="006E5A56"/>
    <w:rsid w:val="006F63D1"/>
    <w:rsid w:val="007164AE"/>
    <w:rsid w:val="00730823"/>
    <w:rsid w:val="007371C3"/>
    <w:rsid w:val="00743F8F"/>
    <w:rsid w:val="00750E01"/>
    <w:rsid w:val="007550AE"/>
    <w:rsid w:val="007608EE"/>
    <w:rsid w:val="007640B6"/>
    <w:rsid w:val="007704EB"/>
    <w:rsid w:val="00770682"/>
    <w:rsid w:val="00790570"/>
    <w:rsid w:val="007A48D3"/>
    <w:rsid w:val="007A59DA"/>
    <w:rsid w:val="007A7FF9"/>
    <w:rsid w:val="007B4ADD"/>
    <w:rsid w:val="007B4B55"/>
    <w:rsid w:val="007B6E49"/>
    <w:rsid w:val="007C3B63"/>
    <w:rsid w:val="007D3367"/>
    <w:rsid w:val="007D52A5"/>
    <w:rsid w:val="007D5CF3"/>
    <w:rsid w:val="007E282A"/>
    <w:rsid w:val="007E5693"/>
    <w:rsid w:val="007F067E"/>
    <w:rsid w:val="007F2FA0"/>
    <w:rsid w:val="00816F60"/>
    <w:rsid w:val="008211A7"/>
    <w:rsid w:val="008271E9"/>
    <w:rsid w:val="00835357"/>
    <w:rsid w:val="0085305F"/>
    <w:rsid w:val="0085669D"/>
    <w:rsid w:val="008633D7"/>
    <w:rsid w:val="0086740D"/>
    <w:rsid w:val="00874B14"/>
    <w:rsid w:val="0088239D"/>
    <w:rsid w:val="00886EEF"/>
    <w:rsid w:val="00894D9B"/>
    <w:rsid w:val="00896560"/>
    <w:rsid w:val="00896840"/>
    <w:rsid w:val="00896B49"/>
    <w:rsid w:val="008B3CF1"/>
    <w:rsid w:val="008B4459"/>
    <w:rsid w:val="008C4D19"/>
    <w:rsid w:val="008C56C6"/>
    <w:rsid w:val="008C6AC3"/>
    <w:rsid w:val="008D0C6F"/>
    <w:rsid w:val="008E2D4C"/>
    <w:rsid w:val="008E6733"/>
    <w:rsid w:val="008F596A"/>
    <w:rsid w:val="009165CF"/>
    <w:rsid w:val="0091678C"/>
    <w:rsid w:val="0092323C"/>
    <w:rsid w:val="009274D6"/>
    <w:rsid w:val="00934628"/>
    <w:rsid w:val="0093551E"/>
    <w:rsid w:val="00936C79"/>
    <w:rsid w:val="00944D4D"/>
    <w:rsid w:val="00960F3E"/>
    <w:rsid w:val="00962C38"/>
    <w:rsid w:val="009A013B"/>
    <w:rsid w:val="009C7522"/>
    <w:rsid w:val="009E5DF9"/>
    <w:rsid w:val="009F5063"/>
    <w:rsid w:val="00A11F87"/>
    <w:rsid w:val="00A127C7"/>
    <w:rsid w:val="00A12D05"/>
    <w:rsid w:val="00A24E3D"/>
    <w:rsid w:val="00A27620"/>
    <w:rsid w:val="00A350B6"/>
    <w:rsid w:val="00A44506"/>
    <w:rsid w:val="00A61BF7"/>
    <w:rsid w:val="00A62CB7"/>
    <w:rsid w:val="00A656F2"/>
    <w:rsid w:val="00A70894"/>
    <w:rsid w:val="00A73A05"/>
    <w:rsid w:val="00A75782"/>
    <w:rsid w:val="00A84946"/>
    <w:rsid w:val="00AA6D50"/>
    <w:rsid w:val="00AC1E5B"/>
    <w:rsid w:val="00B059CD"/>
    <w:rsid w:val="00B243A0"/>
    <w:rsid w:val="00B46F4D"/>
    <w:rsid w:val="00B733FB"/>
    <w:rsid w:val="00B85955"/>
    <w:rsid w:val="00B90341"/>
    <w:rsid w:val="00B93554"/>
    <w:rsid w:val="00B94727"/>
    <w:rsid w:val="00BA3F0C"/>
    <w:rsid w:val="00BB3B63"/>
    <w:rsid w:val="00BC28B9"/>
    <w:rsid w:val="00BF67C5"/>
    <w:rsid w:val="00C02E6C"/>
    <w:rsid w:val="00C07ACF"/>
    <w:rsid w:val="00C10CB8"/>
    <w:rsid w:val="00C272D4"/>
    <w:rsid w:val="00C35905"/>
    <w:rsid w:val="00C37AD6"/>
    <w:rsid w:val="00C40C3B"/>
    <w:rsid w:val="00C41D5D"/>
    <w:rsid w:val="00C43A98"/>
    <w:rsid w:val="00C4450D"/>
    <w:rsid w:val="00C4652C"/>
    <w:rsid w:val="00C5744F"/>
    <w:rsid w:val="00C57F8E"/>
    <w:rsid w:val="00C60527"/>
    <w:rsid w:val="00C66146"/>
    <w:rsid w:val="00C85D19"/>
    <w:rsid w:val="00C86B9D"/>
    <w:rsid w:val="00C97439"/>
    <w:rsid w:val="00CA70B4"/>
    <w:rsid w:val="00CB3789"/>
    <w:rsid w:val="00CC6011"/>
    <w:rsid w:val="00CC63D8"/>
    <w:rsid w:val="00CD3C9C"/>
    <w:rsid w:val="00CD6DD7"/>
    <w:rsid w:val="00CE35BA"/>
    <w:rsid w:val="00CF1E3E"/>
    <w:rsid w:val="00D070B5"/>
    <w:rsid w:val="00D1226E"/>
    <w:rsid w:val="00D22FB6"/>
    <w:rsid w:val="00D24D37"/>
    <w:rsid w:val="00D27A2A"/>
    <w:rsid w:val="00D41712"/>
    <w:rsid w:val="00D447AD"/>
    <w:rsid w:val="00D5376D"/>
    <w:rsid w:val="00D53A66"/>
    <w:rsid w:val="00D57860"/>
    <w:rsid w:val="00D64643"/>
    <w:rsid w:val="00D654C8"/>
    <w:rsid w:val="00D65CAE"/>
    <w:rsid w:val="00D65EBF"/>
    <w:rsid w:val="00D72E50"/>
    <w:rsid w:val="00D81348"/>
    <w:rsid w:val="00D901CC"/>
    <w:rsid w:val="00D92047"/>
    <w:rsid w:val="00D92453"/>
    <w:rsid w:val="00D94807"/>
    <w:rsid w:val="00DA6A4A"/>
    <w:rsid w:val="00DA70A1"/>
    <w:rsid w:val="00DB01B0"/>
    <w:rsid w:val="00DB28FA"/>
    <w:rsid w:val="00DB373B"/>
    <w:rsid w:val="00DD047B"/>
    <w:rsid w:val="00DD7AE5"/>
    <w:rsid w:val="00DF1E78"/>
    <w:rsid w:val="00E07A2B"/>
    <w:rsid w:val="00E21298"/>
    <w:rsid w:val="00E322AB"/>
    <w:rsid w:val="00E509CA"/>
    <w:rsid w:val="00E76BB3"/>
    <w:rsid w:val="00E771E2"/>
    <w:rsid w:val="00E77C8E"/>
    <w:rsid w:val="00E81652"/>
    <w:rsid w:val="00E875C7"/>
    <w:rsid w:val="00E94379"/>
    <w:rsid w:val="00EA7B68"/>
    <w:rsid w:val="00EB3B24"/>
    <w:rsid w:val="00EB55DC"/>
    <w:rsid w:val="00ED017D"/>
    <w:rsid w:val="00ED3BC1"/>
    <w:rsid w:val="00ED56A8"/>
    <w:rsid w:val="00EE4A09"/>
    <w:rsid w:val="00EE4D52"/>
    <w:rsid w:val="00EE6474"/>
    <w:rsid w:val="00EE672C"/>
    <w:rsid w:val="00F07038"/>
    <w:rsid w:val="00F21902"/>
    <w:rsid w:val="00F27646"/>
    <w:rsid w:val="00F3606F"/>
    <w:rsid w:val="00F444D8"/>
    <w:rsid w:val="00F46768"/>
    <w:rsid w:val="00F46DEF"/>
    <w:rsid w:val="00F474E4"/>
    <w:rsid w:val="00F5210C"/>
    <w:rsid w:val="00F55DC1"/>
    <w:rsid w:val="00F74871"/>
    <w:rsid w:val="00F829EE"/>
    <w:rsid w:val="00F946AD"/>
    <w:rsid w:val="00F94721"/>
    <w:rsid w:val="00F95046"/>
    <w:rsid w:val="00FA249C"/>
    <w:rsid w:val="00FB0725"/>
    <w:rsid w:val="00FB1B2E"/>
    <w:rsid w:val="00FC17E1"/>
    <w:rsid w:val="00FD2E28"/>
    <w:rsid w:val="00FE02F2"/>
    <w:rsid w:val="00FE562F"/>
    <w:rsid w:val="00FF33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5D65"/>
  <w15:chartTrackingRefBased/>
  <w15:docId w15:val="{F9DF83AD-E1EB-4CB7-9BC0-81F2B945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08EE"/>
    <w:pPr>
      <w:spacing w:line="360" w:lineRule="auto"/>
      <w:jc w:val="both"/>
    </w:pPr>
    <w:rPr>
      <w:rFonts w:ascii="Times New Roman" w:hAnsi="Times New Roman"/>
      <w:sz w:val="24"/>
    </w:rPr>
  </w:style>
  <w:style w:type="paragraph" w:styleId="Titolo1">
    <w:name w:val="heading 1"/>
    <w:basedOn w:val="Normale"/>
    <w:next w:val="Normale"/>
    <w:link w:val="Titolo1Carattere"/>
    <w:uiPriority w:val="9"/>
    <w:qFormat/>
    <w:rsid w:val="00BF67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F67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F67C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F67C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F67C5"/>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F67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67C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F67C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67C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67C5"/>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F67C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F67C5"/>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F67C5"/>
    <w:rPr>
      <w:rFonts w:eastAsiaTheme="majorEastAsia" w:cstheme="majorBidi"/>
      <w:i/>
      <w:iCs/>
      <w:color w:val="2E74B5" w:themeColor="accent1" w:themeShade="BF"/>
      <w:sz w:val="24"/>
    </w:rPr>
  </w:style>
  <w:style w:type="character" w:customStyle="1" w:styleId="Titolo5Carattere">
    <w:name w:val="Titolo 5 Carattere"/>
    <w:basedOn w:val="Carpredefinitoparagrafo"/>
    <w:link w:val="Titolo5"/>
    <w:uiPriority w:val="9"/>
    <w:semiHidden/>
    <w:rsid w:val="00BF67C5"/>
    <w:rPr>
      <w:rFonts w:eastAsiaTheme="majorEastAsia" w:cstheme="majorBidi"/>
      <w:color w:val="2E74B5" w:themeColor="accent1" w:themeShade="BF"/>
      <w:sz w:val="24"/>
    </w:rPr>
  </w:style>
  <w:style w:type="character" w:customStyle="1" w:styleId="Titolo6Carattere">
    <w:name w:val="Titolo 6 Carattere"/>
    <w:basedOn w:val="Carpredefinitoparagrafo"/>
    <w:link w:val="Titolo6"/>
    <w:uiPriority w:val="9"/>
    <w:semiHidden/>
    <w:rsid w:val="00BF67C5"/>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BF67C5"/>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BF67C5"/>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BF67C5"/>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BF6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67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67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67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67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67C5"/>
    <w:rPr>
      <w:rFonts w:ascii="Times New Roman" w:hAnsi="Times New Roman"/>
      <w:i/>
      <w:iCs/>
      <w:color w:val="404040" w:themeColor="text1" w:themeTint="BF"/>
      <w:sz w:val="24"/>
    </w:rPr>
  </w:style>
  <w:style w:type="paragraph" w:styleId="Paragrafoelenco">
    <w:name w:val="List Paragraph"/>
    <w:basedOn w:val="Normale"/>
    <w:uiPriority w:val="34"/>
    <w:qFormat/>
    <w:rsid w:val="00BF67C5"/>
    <w:pPr>
      <w:ind w:left="720"/>
      <w:contextualSpacing/>
    </w:pPr>
  </w:style>
  <w:style w:type="character" w:styleId="Enfasiintensa">
    <w:name w:val="Intense Emphasis"/>
    <w:basedOn w:val="Carpredefinitoparagrafo"/>
    <w:uiPriority w:val="21"/>
    <w:qFormat/>
    <w:rsid w:val="00BF67C5"/>
    <w:rPr>
      <w:i/>
      <w:iCs/>
      <w:color w:val="2E74B5" w:themeColor="accent1" w:themeShade="BF"/>
    </w:rPr>
  </w:style>
  <w:style w:type="paragraph" w:styleId="Citazioneintensa">
    <w:name w:val="Intense Quote"/>
    <w:basedOn w:val="Normale"/>
    <w:next w:val="Normale"/>
    <w:link w:val="CitazioneintensaCarattere"/>
    <w:uiPriority w:val="30"/>
    <w:qFormat/>
    <w:rsid w:val="00BF67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F67C5"/>
    <w:rPr>
      <w:rFonts w:ascii="Times New Roman" w:hAnsi="Times New Roman"/>
      <w:i/>
      <w:iCs/>
      <w:color w:val="2E74B5" w:themeColor="accent1" w:themeShade="BF"/>
      <w:sz w:val="24"/>
    </w:rPr>
  </w:style>
  <w:style w:type="character" w:styleId="Riferimentointenso">
    <w:name w:val="Intense Reference"/>
    <w:basedOn w:val="Carpredefinitoparagrafo"/>
    <w:uiPriority w:val="32"/>
    <w:qFormat/>
    <w:rsid w:val="00BF67C5"/>
    <w:rPr>
      <w:b/>
      <w:bCs/>
      <w:smallCaps/>
      <w:color w:val="2E74B5" w:themeColor="accent1" w:themeShade="BF"/>
      <w:spacing w:val="5"/>
    </w:rPr>
  </w:style>
  <w:style w:type="paragraph" w:styleId="Nessunaspaziatura">
    <w:name w:val="No Spacing"/>
    <w:uiPriority w:val="1"/>
    <w:qFormat/>
    <w:rsid w:val="00FA249C"/>
    <w:pPr>
      <w:spacing w:after="0" w:line="240" w:lineRule="auto"/>
    </w:pPr>
    <w:rPr>
      <w:kern w:val="0"/>
      <w14:ligatures w14:val="none"/>
    </w:rPr>
  </w:style>
  <w:style w:type="character" w:styleId="Collegamentoipertestuale">
    <w:name w:val="Hyperlink"/>
    <w:basedOn w:val="Carpredefinitoparagrafo"/>
    <w:uiPriority w:val="99"/>
    <w:unhideWhenUsed/>
    <w:rsid w:val="00FA249C"/>
    <w:rPr>
      <w:color w:val="0000FF"/>
      <w:u w:val="single"/>
    </w:rPr>
  </w:style>
  <w:style w:type="paragraph" w:styleId="Testonotaapidipagina">
    <w:name w:val="footnote text"/>
    <w:basedOn w:val="Normale"/>
    <w:link w:val="TestonotaapidipaginaCarattere"/>
    <w:uiPriority w:val="99"/>
    <w:unhideWhenUsed/>
    <w:rsid w:val="00201F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01FEF"/>
    <w:rPr>
      <w:rFonts w:ascii="Times New Roman" w:hAnsi="Times New Roman"/>
      <w:sz w:val="20"/>
      <w:szCs w:val="20"/>
    </w:rPr>
  </w:style>
  <w:style w:type="character" w:styleId="Rimandonotaapidipagina">
    <w:name w:val="footnote reference"/>
    <w:basedOn w:val="Carpredefinitoparagrafo"/>
    <w:uiPriority w:val="99"/>
    <w:semiHidden/>
    <w:unhideWhenUsed/>
    <w:rsid w:val="00201FEF"/>
    <w:rPr>
      <w:vertAlign w:val="superscript"/>
    </w:rPr>
  </w:style>
  <w:style w:type="character" w:styleId="Menzionenonrisolta">
    <w:name w:val="Unresolved Mention"/>
    <w:basedOn w:val="Carpredefinitoparagrafo"/>
    <w:uiPriority w:val="99"/>
    <w:semiHidden/>
    <w:unhideWhenUsed/>
    <w:rsid w:val="00201FEF"/>
    <w:rPr>
      <w:color w:val="605E5C"/>
      <w:shd w:val="clear" w:color="auto" w:fill="E1DFDD"/>
    </w:rPr>
  </w:style>
  <w:style w:type="paragraph" w:styleId="Intestazione">
    <w:name w:val="header"/>
    <w:basedOn w:val="Normale"/>
    <w:link w:val="IntestazioneCarattere"/>
    <w:uiPriority w:val="99"/>
    <w:unhideWhenUsed/>
    <w:rsid w:val="002D3F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3FA1"/>
    <w:rPr>
      <w:rFonts w:ascii="Times New Roman" w:hAnsi="Times New Roman"/>
      <w:sz w:val="24"/>
    </w:rPr>
  </w:style>
  <w:style w:type="paragraph" w:styleId="Pidipagina">
    <w:name w:val="footer"/>
    <w:basedOn w:val="Normale"/>
    <w:link w:val="PidipaginaCarattere"/>
    <w:uiPriority w:val="99"/>
    <w:unhideWhenUsed/>
    <w:rsid w:val="002D3F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3FA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9069">
      <w:bodyDiv w:val="1"/>
      <w:marLeft w:val="0"/>
      <w:marRight w:val="0"/>
      <w:marTop w:val="0"/>
      <w:marBottom w:val="0"/>
      <w:divBdr>
        <w:top w:val="none" w:sz="0" w:space="0" w:color="auto"/>
        <w:left w:val="none" w:sz="0" w:space="0" w:color="auto"/>
        <w:bottom w:val="none" w:sz="0" w:space="0" w:color="auto"/>
        <w:right w:val="none" w:sz="0" w:space="0" w:color="auto"/>
      </w:divBdr>
    </w:div>
    <w:div w:id="423763623">
      <w:bodyDiv w:val="1"/>
      <w:marLeft w:val="0"/>
      <w:marRight w:val="0"/>
      <w:marTop w:val="0"/>
      <w:marBottom w:val="0"/>
      <w:divBdr>
        <w:top w:val="none" w:sz="0" w:space="0" w:color="auto"/>
        <w:left w:val="none" w:sz="0" w:space="0" w:color="auto"/>
        <w:bottom w:val="none" w:sz="0" w:space="0" w:color="auto"/>
        <w:right w:val="none" w:sz="0" w:space="0" w:color="auto"/>
      </w:divBdr>
    </w:div>
    <w:div w:id="660625661">
      <w:bodyDiv w:val="1"/>
      <w:marLeft w:val="0"/>
      <w:marRight w:val="0"/>
      <w:marTop w:val="0"/>
      <w:marBottom w:val="0"/>
      <w:divBdr>
        <w:top w:val="none" w:sz="0" w:space="0" w:color="auto"/>
        <w:left w:val="none" w:sz="0" w:space="0" w:color="auto"/>
        <w:bottom w:val="none" w:sz="0" w:space="0" w:color="auto"/>
        <w:right w:val="none" w:sz="0" w:space="0" w:color="auto"/>
      </w:divBdr>
      <w:divsChild>
        <w:div w:id="2049404119">
          <w:marLeft w:val="0"/>
          <w:marRight w:val="0"/>
          <w:marTop w:val="0"/>
          <w:marBottom w:val="0"/>
          <w:divBdr>
            <w:top w:val="none" w:sz="0" w:space="0" w:color="auto"/>
            <w:left w:val="none" w:sz="0" w:space="0" w:color="auto"/>
            <w:bottom w:val="none" w:sz="0" w:space="0" w:color="auto"/>
            <w:right w:val="none" w:sz="0" w:space="0" w:color="auto"/>
          </w:divBdr>
          <w:divsChild>
            <w:div w:id="8262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55634">
      <w:bodyDiv w:val="1"/>
      <w:marLeft w:val="0"/>
      <w:marRight w:val="0"/>
      <w:marTop w:val="0"/>
      <w:marBottom w:val="0"/>
      <w:divBdr>
        <w:top w:val="none" w:sz="0" w:space="0" w:color="auto"/>
        <w:left w:val="none" w:sz="0" w:space="0" w:color="auto"/>
        <w:bottom w:val="none" w:sz="0" w:space="0" w:color="auto"/>
        <w:right w:val="none" w:sz="0" w:space="0" w:color="auto"/>
      </w:divBdr>
    </w:div>
    <w:div w:id="727455973">
      <w:bodyDiv w:val="1"/>
      <w:marLeft w:val="0"/>
      <w:marRight w:val="0"/>
      <w:marTop w:val="0"/>
      <w:marBottom w:val="0"/>
      <w:divBdr>
        <w:top w:val="none" w:sz="0" w:space="0" w:color="auto"/>
        <w:left w:val="none" w:sz="0" w:space="0" w:color="auto"/>
        <w:bottom w:val="none" w:sz="0" w:space="0" w:color="auto"/>
        <w:right w:val="none" w:sz="0" w:space="0" w:color="auto"/>
      </w:divBdr>
    </w:div>
    <w:div w:id="922035346">
      <w:bodyDiv w:val="1"/>
      <w:marLeft w:val="0"/>
      <w:marRight w:val="0"/>
      <w:marTop w:val="0"/>
      <w:marBottom w:val="0"/>
      <w:divBdr>
        <w:top w:val="none" w:sz="0" w:space="0" w:color="auto"/>
        <w:left w:val="none" w:sz="0" w:space="0" w:color="auto"/>
        <w:bottom w:val="none" w:sz="0" w:space="0" w:color="auto"/>
        <w:right w:val="none" w:sz="0" w:space="0" w:color="auto"/>
      </w:divBdr>
    </w:div>
    <w:div w:id="974991245">
      <w:bodyDiv w:val="1"/>
      <w:marLeft w:val="0"/>
      <w:marRight w:val="0"/>
      <w:marTop w:val="0"/>
      <w:marBottom w:val="0"/>
      <w:divBdr>
        <w:top w:val="none" w:sz="0" w:space="0" w:color="auto"/>
        <w:left w:val="none" w:sz="0" w:space="0" w:color="auto"/>
        <w:bottom w:val="none" w:sz="0" w:space="0" w:color="auto"/>
        <w:right w:val="none" w:sz="0" w:space="0" w:color="auto"/>
      </w:divBdr>
    </w:div>
    <w:div w:id="998194700">
      <w:bodyDiv w:val="1"/>
      <w:marLeft w:val="0"/>
      <w:marRight w:val="0"/>
      <w:marTop w:val="0"/>
      <w:marBottom w:val="0"/>
      <w:divBdr>
        <w:top w:val="none" w:sz="0" w:space="0" w:color="auto"/>
        <w:left w:val="none" w:sz="0" w:space="0" w:color="auto"/>
        <w:bottom w:val="none" w:sz="0" w:space="0" w:color="auto"/>
        <w:right w:val="none" w:sz="0" w:space="0" w:color="auto"/>
      </w:divBdr>
    </w:div>
    <w:div w:id="1065109609">
      <w:bodyDiv w:val="1"/>
      <w:marLeft w:val="0"/>
      <w:marRight w:val="0"/>
      <w:marTop w:val="0"/>
      <w:marBottom w:val="0"/>
      <w:divBdr>
        <w:top w:val="none" w:sz="0" w:space="0" w:color="auto"/>
        <w:left w:val="none" w:sz="0" w:space="0" w:color="auto"/>
        <w:bottom w:val="none" w:sz="0" w:space="0" w:color="auto"/>
        <w:right w:val="none" w:sz="0" w:space="0" w:color="auto"/>
      </w:divBdr>
      <w:divsChild>
        <w:div w:id="236019603">
          <w:marLeft w:val="0"/>
          <w:marRight w:val="0"/>
          <w:marTop w:val="0"/>
          <w:marBottom w:val="0"/>
          <w:divBdr>
            <w:top w:val="none" w:sz="0" w:space="0" w:color="auto"/>
            <w:left w:val="none" w:sz="0" w:space="0" w:color="auto"/>
            <w:bottom w:val="none" w:sz="0" w:space="0" w:color="auto"/>
            <w:right w:val="none" w:sz="0" w:space="0" w:color="auto"/>
          </w:divBdr>
          <w:divsChild>
            <w:div w:id="14153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7805">
      <w:bodyDiv w:val="1"/>
      <w:marLeft w:val="0"/>
      <w:marRight w:val="0"/>
      <w:marTop w:val="0"/>
      <w:marBottom w:val="0"/>
      <w:divBdr>
        <w:top w:val="none" w:sz="0" w:space="0" w:color="auto"/>
        <w:left w:val="none" w:sz="0" w:space="0" w:color="auto"/>
        <w:bottom w:val="none" w:sz="0" w:space="0" w:color="auto"/>
        <w:right w:val="none" w:sz="0" w:space="0" w:color="auto"/>
      </w:divBdr>
    </w:div>
    <w:div w:id="1186556053">
      <w:bodyDiv w:val="1"/>
      <w:marLeft w:val="0"/>
      <w:marRight w:val="0"/>
      <w:marTop w:val="0"/>
      <w:marBottom w:val="0"/>
      <w:divBdr>
        <w:top w:val="none" w:sz="0" w:space="0" w:color="auto"/>
        <w:left w:val="none" w:sz="0" w:space="0" w:color="auto"/>
        <w:bottom w:val="none" w:sz="0" w:space="0" w:color="auto"/>
        <w:right w:val="none" w:sz="0" w:space="0" w:color="auto"/>
      </w:divBdr>
      <w:divsChild>
        <w:div w:id="2081320653">
          <w:marLeft w:val="0"/>
          <w:marRight w:val="0"/>
          <w:marTop w:val="0"/>
          <w:marBottom w:val="0"/>
          <w:divBdr>
            <w:top w:val="none" w:sz="0" w:space="0" w:color="auto"/>
            <w:left w:val="none" w:sz="0" w:space="0" w:color="auto"/>
            <w:bottom w:val="none" w:sz="0" w:space="0" w:color="auto"/>
            <w:right w:val="none" w:sz="0" w:space="0" w:color="auto"/>
          </w:divBdr>
          <w:divsChild>
            <w:div w:id="7184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7143">
      <w:bodyDiv w:val="1"/>
      <w:marLeft w:val="0"/>
      <w:marRight w:val="0"/>
      <w:marTop w:val="0"/>
      <w:marBottom w:val="0"/>
      <w:divBdr>
        <w:top w:val="none" w:sz="0" w:space="0" w:color="auto"/>
        <w:left w:val="none" w:sz="0" w:space="0" w:color="auto"/>
        <w:bottom w:val="none" w:sz="0" w:space="0" w:color="auto"/>
        <w:right w:val="none" w:sz="0" w:space="0" w:color="auto"/>
      </w:divBdr>
    </w:div>
    <w:div w:id="1216354978">
      <w:bodyDiv w:val="1"/>
      <w:marLeft w:val="0"/>
      <w:marRight w:val="0"/>
      <w:marTop w:val="0"/>
      <w:marBottom w:val="0"/>
      <w:divBdr>
        <w:top w:val="none" w:sz="0" w:space="0" w:color="auto"/>
        <w:left w:val="none" w:sz="0" w:space="0" w:color="auto"/>
        <w:bottom w:val="none" w:sz="0" w:space="0" w:color="auto"/>
        <w:right w:val="none" w:sz="0" w:space="0" w:color="auto"/>
      </w:divBdr>
    </w:div>
    <w:div w:id="1344896742">
      <w:bodyDiv w:val="1"/>
      <w:marLeft w:val="0"/>
      <w:marRight w:val="0"/>
      <w:marTop w:val="0"/>
      <w:marBottom w:val="0"/>
      <w:divBdr>
        <w:top w:val="none" w:sz="0" w:space="0" w:color="auto"/>
        <w:left w:val="none" w:sz="0" w:space="0" w:color="auto"/>
        <w:bottom w:val="none" w:sz="0" w:space="0" w:color="auto"/>
        <w:right w:val="none" w:sz="0" w:space="0" w:color="auto"/>
      </w:divBdr>
    </w:div>
    <w:div w:id="1478916566">
      <w:bodyDiv w:val="1"/>
      <w:marLeft w:val="0"/>
      <w:marRight w:val="0"/>
      <w:marTop w:val="0"/>
      <w:marBottom w:val="0"/>
      <w:divBdr>
        <w:top w:val="none" w:sz="0" w:space="0" w:color="auto"/>
        <w:left w:val="none" w:sz="0" w:space="0" w:color="auto"/>
        <w:bottom w:val="none" w:sz="0" w:space="0" w:color="auto"/>
        <w:right w:val="none" w:sz="0" w:space="0" w:color="auto"/>
      </w:divBdr>
      <w:divsChild>
        <w:div w:id="1962111330">
          <w:marLeft w:val="0"/>
          <w:marRight w:val="0"/>
          <w:marTop w:val="0"/>
          <w:marBottom w:val="0"/>
          <w:divBdr>
            <w:top w:val="none" w:sz="0" w:space="0" w:color="auto"/>
            <w:left w:val="none" w:sz="0" w:space="0" w:color="auto"/>
            <w:bottom w:val="none" w:sz="0" w:space="0" w:color="auto"/>
            <w:right w:val="none" w:sz="0" w:space="0" w:color="auto"/>
          </w:divBdr>
          <w:divsChild>
            <w:div w:id="839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9522">
      <w:bodyDiv w:val="1"/>
      <w:marLeft w:val="0"/>
      <w:marRight w:val="0"/>
      <w:marTop w:val="0"/>
      <w:marBottom w:val="0"/>
      <w:divBdr>
        <w:top w:val="none" w:sz="0" w:space="0" w:color="auto"/>
        <w:left w:val="none" w:sz="0" w:space="0" w:color="auto"/>
        <w:bottom w:val="none" w:sz="0" w:space="0" w:color="auto"/>
        <w:right w:val="none" w:sz="0" w:space="0" w:color="auto"/>
      </w:divBdr>
    </w:div>
    <w:div w:id="1768112579">
      <w:bodyDiv w:val="1"/>
      <w:marLeft w:val="0"/>
      <w:marRight w:val="0"/>
      <w:marTop w:val="0"/>
      <w:marBottom w:val="0"/>
      <w:divBdr>
        <w:top w:val="none" w:sz="0" w:space="0" w:color="auto"/>
        <w:left w:val="none" w:sz="0" w:space="0" w:color="auto"/>
        <w:bottom w:val="none" w:sz="0" w:space="0" w:color="auto"/>
        <w:right w:val="none" w:sz="0" w:space="0" w:color="auto"/>
      </w:divBdr>
    </w:div>
    <w:div w:id="1828208969">
      <w:bodyDiv w:val="1"/>
      <w:marLeft w:val="0"/>
      <w:marRight w:val="0"/>
      <w:marTop w:val="0"/>
      <w:marBottom w:val="0"/>
      <w:divBdr>
        <w:top w:val="none" w:sz="0" w:space="0" w:color="auto"/>
        <w:left w:val="none" w:sz="0" w:space="0" w:color="auto"/>
        <w:bottom w:val="none" w:sz="0" w:space="0" w:color="auto"/>
        <w:right w:val="none" w:sz="0" w:space="0" w:color="auto"/>
      </w:divBdr>
    </w:div>
    <w:div w:id="1881017384">
      <w:bodyDiv w:val="1"/>
      <w:marLeft w:val="0"/>
      <w:marRight w:val="0"/>
      <w:marTop w:val="0"/>
      <w:marBottom w:val="0"/>
      <w:divBdr>
        <w:top w:val="none" w:sz="0" w:space="0" w:color="auto"/>
        <w:left w:val="none" w:sz="0" w:space="0" w:color="auto"/>
        <w:bottom w:val="none" w:sz="0" w:space="0" w:color="auto"/>
        <w:right w:val="none" w:sz="0" w:space="0" w:color="auto"/>
      </w:divBdr>
    </w:div>
    <w:div w:id="1885830378">
      <w:bodyDiv w:val="1"/>
      <w:marLeft w:val="0"/>
      <w:marRight w:val="0"/>
      <w:marTop w:val="0"/>
      <w:marBottom w:val="0"/>
      <w:divBdr>
        <w:top w:val="none" w:sz="0" w:space="0" w:color="auto"/>
        <w:left w:val="none" w:sz="0" w:space="0" w:color="auto"/>
        <w:bottom w:val="none" w:sz="0" w:space="0" w:color="auto"/>
        <w:right w:val="none" w:sz="0" w:space="0" w:color="auto"/>
      </w:divBdr>
    </w:div>
    <w:div w:id="1891575381">
      <w:bodyDiv w:val="1"/>
      <w:marLeft w:val="0"/>
      <w:marRight w:val="0"/>
      <w:marTop w:val="0"/>
      <w:marBottom w:val="0"/>
      <w:divBdr>
        <w:top w:val="none" w:sz="0" w:space="0" w:color="auto"/>
        <w:left w:val="none" w:sz="0" w:space="0" w:color="auto"/>
        <w:bottom w:val="none" w:sz="0" w:space="0" w:color="auto"/>
        <w:right w:val="none" w:sz="0" w:space="0" w:color="auto"/>
      </w:divBdr>
    </w:div>
    <w:div w:id="19587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dizionario/83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fobuild.it/approfondimenti/decreto-salva-casa-guida-semplificazioni-edilizie-sanatorie/" TargetMode="External"/><Relationship Id="rId4" Type="http://schemas.openxmlformats.org/officeDocument/2006/relationships/settings" Target="settings.xml"/><Relationship Id="rId9" Type="http://schemas.openxmlformats.org/officeDocument/2006/relationships/hyperlink" Target="https://www.brocardi.it/dizionario/3067.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iustiziainsieme.it/autori/francesco-martines" TargetMode="External"/><Relationship Id="rId1" Type="http://schemas.openxmlformats.org/officeDocument/2006/relationships/hyperlink" Target="https://www.italgiure.giustizia.it/xway/application/nif/isapi/hc.dll?host=&amp;port=-1&amp;_sid=%7b30840B9B%7d&amp;db=snciv&amp;verbo=query&amp;xverb=tit&amp;query=%5bnumero%20decisione%5d=17640%20AND%20%5banno%20decisione%5d=2016%20AND%20%5bsezione%5d=L&amp;user=&amp;uri=/xway/application/nif/isapi/hc.dll&amp;pwd=&amp;_hcf=&amp;_hca=&amp;cId=&amp;cIsPublic=&amp;cName=&amp;cquery=67166&amp;sele=&amp;selid=&amp;pos=&amp;l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1882-033E-4260-A548-1915D00D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4962</TotalTime>
  <Pages>9</Pages>
  <Words>2786</Words>
  <Characters>15883</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229</cp:revision>
  <dcterms:created xsi:type="dcterms:W3CDTF">2026-03-07T11:33:00Z</dcterms:created>
  <dcterms:modified xsi:type="dcterms:W3CDTF">2026-03-17T07:43:00Z</dcterms:modified>
</cp:coreProperties>
</file>