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810648" w14:textId="77777777" w:rsidR="0008730C" w:rsidRPr="002E1DA3" w:rsidRDefault="0008730C" w:rsidP="00866E4D">
      <w:pPr>
        <w:spacing w:line="240" w:lineRule="auto"/>
        <w:jc w:val="center"/>
        <w:rPr>
          <w:rFonts w:ascii="Garamond" w:hAnsi="Garamond"/>
          <w:b/>
          <w:sz w:val="32"/>
          <w:szCs w:val="32"/>
        </w:rPr>
      </w:pPr>
      <w:r w:rsidRPr="002E1DA3">
        <w:rPr>
          <w:rFonts w:ascii="Garamond" w:hAnsi="Garamond"/>
          <w:b/>
          <w:sz w:val="32"/>
          <w:szCs w:val="32"/>
        </w:rPr>
        <w:t>La giurisprudenza amministrativa 15 anni dopo il codice: tendenze e controtendenze</w:t>
      </w:r>
      <w:r w:rsidR="00FA29E3" w:rsidRPr="002E1DA3">
        <w:rPr>
          <w:rStyle w:val="Rimandonotaapidipagina"/>
          <w:rFonts w:ascii="Garamond" w:hAnsi="Garamond"/>
          <w:b/>
          <w:sz w:val="32"/>
          <w:szCs w:val="32"/>
        </w:rPr>
        <w:footnoteReference w:id="1"/>
      </w:r>
    </w:p>
    <w:p w14:paraId="7CDAF79B" w14:textId="77777777" w:rsidR="00122EF8" w:rsidRPr="002E1DA3" w:rsidRDefault="00122EF8" w:rsidP="00866E4D">
      <w:pPr>
        <w:spacing w:line="240" w:lineRule="auto"/>
        <w:jc w:val="both"/>
        <w:rPr>
          <w:rFonts w:ascii="Garamond" w:hAnsi="Garamond"/>
          <w:sz w:val="32"/>
          <w:szCs w:val="32"/>
        </w:rPr>
      </w:pPr>
      <w:r w:rsidRPr="002E1DA3">
        <w:rPr>
          <w:rFonts w:ascii="Garamond" w:hAnsi="Garamond"/>
          <w:sz w:val="32"/>
          <w:szCs w:val="32"/>
        </w:rPr>
        <w:t xml:space="preserve">L’Associazione nazionale magistrati amministrativi ha organizzato questo convegno per fare un bilancio dell’attività degli organi giurisdizionali amministrativi di cui </w:t>
      </w:r>
      <w:r w:rsidR="0018210D" w:rsidRPr="002E1DA3">
        <w:rPr>
          <w:rFonts w:ascii="Garamond" w:hAnsi="Garamond"/>
          <w:sz w:val="32"/>
          <w:szCs w:val="32"/>
        </w:rPr>
        <w:t>siamo</w:t>
      </w:r>
      <w:r w:rsidRPr="002E1DA3">
        <w:rPr>
          <w:rFonts w:ascii="Garamond" w:hAnsi="Garamond"/>
          <w:sz w:val="32"/>
          <w:szCs w:val="32"/>
        </w:rPr>
        <w:t xml:space="preserve"> parte e lanciare uno sguardo prospettico al futuro.</w:t>
      </w:r>
    </w:p>
    <w:p w14:paraId="7759F475" w14:textId="77777777" w:rsidR="00122EF8" w:rsidRPr="002E1DA3" w:rsidRDefault="00122EF8" w:rsidP="00866E4D">
      <w:pPr>
        <w:spacing w:line="240" w:lineRule="auto"/>
        <w:jc w:val="both"/>
        <w:rPr>
          <w:rFonts w:ascii="Garamond" w:hAnsi="Garamond"/>
          <w:sz w:val="32"/>
          <w:szCs w:val="32"/>
        </w:rPr>
      </w:pPr>
      <w:r w:rsidRPr="002E1DA3">
        <w:rPr>
          <w:rFonts w:ascii="Garamond" w:hAnsi="Garamond"/>
          <w:sz w:val="32"/>
          <w:szCs w:val="32"/>
        </w:rPr>
        <w:t>Il bilancio è sicuramente positivo, anzi ci rende giustamente orgogliosi.</w:t>
      </w:r>
    </w:p>
    <w:p w14:paraId="51043625" w14:textId="77777777" w:rsidR="0008730C" w:rsidRPr="002E1DA3" w:rsidRDefault="0008730C" w:rsidP="00866E4D">
      <w:pPr>
        <w:spacing w:line="240" w:lineRule="auto"/>
        <w:jc w:val="both"/>
        <w:rPr>
          <w:rFonts w:ascii="Garamond" w:hAnsi="Garamond"/>
          <w:sz w:val="32"/>
          <w:szCs w:val="32"/>
        </w:rPr>
      </w:pPr>
      <w:r w:rsidRPr="002E1DA3">
        <w:rPr>
          <w:rFonts w:ascii="Garamond" w:hAnsi="Garamond"/>
          <w:sz w:val="32"/>
          <w:szCs w:val="32"/>
        </w:rPr>
        <w:t xml:space="preserve">La nostra è una giurisdizione che, dopo l’istituzione dei tribunali amministrativi regionali, ha saputo raccogliere le molteplici rivendicazioni immediatamente scaturenti dal territorio </w:t>
      </w:r>
      <w:r w:rsidR="00122EF8" w:rsidRPr="002E1DA3">
        <w:rPr>
          <w:rFonts w:ascii="Garamond" w:hAnsi="Garamond"/>
          <w:sz w:val="32"/>
          <w:szCs w:val="32"/>
        </w:rPr>
        <w:t>(</w:t>
      </w:r>
      <w:r w:rsidRPr="002E1DA3">
        <w:rPr>
          <w:rFonts w:ascii="Garamond" w:hAnsi="Garamond"/>
          <w:sz w:val="32"/>
          <w:szCs w:val="32"/>
        </w:rPr>
        <w:t>e già di per sé quindi diversificate</w:t>
      </w:r>
      <w:r w:rsidR="00122EF8" w:rsidRPr="002E1DA3">
        <w:rPr>
          <w:rFonts w:ascii="Garamond" w:hAnsi="Garamond"/>
          <w:sz w:val="32"/>
          <w:szCs w:val="32"/>
        </w:rPr>
        <w:t>)</w:t>
      </w:r>
      <w:r w:rsidRPr="002E1DA3">
        <w:rPr>
          <w:rFonts w:ascii="Garamond" w:hAnsi="Garamond"/>
          <w:sz w:val="32"/>
          <w:szCs w:val="32"/>
        </w:rPr>
        <w:t xml:space="preserve"> e provenienti da una più ampia platea di operatori (giudici, avvocati, studiosi). </w:t>
      </w:r>
    </w:p>
    <w:p w14:paraId="299E1D35" w14:textId="6C449376" w:rsidR="0008730C" w:rsidRPr="002E1DA3" w:rsidRDefault="0008730C" w:rsidP="00866E4D">
      <w:pPr>
        <w:spacing w:line="240" w:lineRule="auto"/>
        <w:jc w:val="both"/>
        <w:rPr>
          <w:rFonts w:ascii="Garamond" w:hAnsi="Garamond"/>
          <w:sz w:val="32"/>
          <w:szCs w:val="32"/>
        </w:rPr>
      </w:pPr>
      <w:r w:rsidRPr="002E1DA3">
        <w:rPr>
          <w:rFonts w:ascii="Garamond" w:hAnsi="Garamond"/>
          <w:sz w:val="32"/>
          <w:szCs w:val="32"/>
        </w:rPr>
        <w:t xml:space="preserve">È riuscita a trovare soluzioni innovative, seppur sempre nel quadro del diritto vigente, capaci di rafforzare le tutele anche delle fasce più deboli, pur non compromettendo la certezza del diritto. Con ciò ha svolto quindi quella funzione che </w:t>
      </w:r>
      <w:r w:rsidR="002E1DA3" w:rsidRPr="00517C5E">
        <w:rPr>
          <w:rFonts w:ascii="Garamond" w:hAnsi="Garamond"/>
          <w:sz w:val="32"/>
          <w:szCs w:val="32"/>
        </w:rPr>
        <w:t>le</w:t>
      </w:r>
      <w:r w:rsidR="002E1DA3">
        <w:rPr>
          <w:rFonts w:ascii="Garamond" w:hAnsi="Garamond"/>
          <w:sz w:val="32"/>
          <w:szCs w:val="32"/>
        </w:rPr>
        <w:t xml:space="preserve"> </w:t>
      </w:r>
      <w:r w:rsidRPr="002E1DA3">
        <w:rPr>
          <w:rFonts w:ascii="Garamond" w:hAnsi="Garamond"/>
          <w:sz w:val="32"/>
          <w:szCs w:val="32"/>
        </w:rPr>
        <w:t>era stata affidata in sede costituente, cioè quella di farsi strumento propulsivo della democrazia nel nostro Paese grazie anche alla capacità di intercettare</w:t>
      </w:r>
      <w:r w:rsidRPr="002E1DA3">
        <w:rPr>
          <w:sz w:val="32"/>
          <w:szCs w:val="32"/>
        </w:rPr>
        <w:t xml:space="preserve"> </w:t>
      </w:r>
      <w:r w:rsidRPr="002E1DA3">
        <w:rPr>
          <w:rFonts w:ascii="Garamond" w:hAnsi="Garamond"/>
          <w:sz w:val="32"/>
          <w:szCs w:val="32"/>
        </w:rPr>
        <w:t>le nuove esigenze e i nuovi bisogni e a dar loro risposte di giustizia.</w:t>
      </w:r>
    </w:p>
    <w:p w14:paraId="31D34615" w14:textId="77777777" w:rsidR="0008730C" w:rsidRPr="002E1DA3" w:rsidRDefault="0008730C" w:rsidP="00866E4D">
      <w:pPr>
        <w:spacing w:line="240" w:lineRule="auto"/>
        <w:jc w:val="both"/>
        <w:rPr>
          <w:rFonts w:ascii="Garamond" w:hAnsi="Garamond"/>
          <w:sz w:val="32"/>
          <w:szCs w:val="32"/>
        </w:rPr>
      </w:pPr>
      <w:r w:rsidRPr="002E1DA3">
        <w:rPr>
          <w:rFonts w:ascii="Garamond" w:hAnsi="Garamond"/>
          <w:sz w:val="32"/>
          <w:szCs w:val="32"/>
        </w:rPr>
        <w:t xml:space="preserve">Non che mancassero, pure prima del 1974, occasioni in cui il Consiglio di Stato si </w:t>
      </w:r>
      <w:r w:rsidR="0018210D" w:rsidRPr="002E1DA3">
        <w:rPr>
          <w:rFonts w:ascii="Garamond" w:hAnsi="Garamond"/>
          <w:sz w:val="32"/>
          <w:szCs w:val="32"/>
        </w:rPr>
        <w:t>fosse</w:t>
      </w:r>
      <w:r w:rsidRPr="002E1DA3">
        <w:rPr>
          <w:rFonts w:ascii="Garamond" w:hAnsi="Garamond"/>
          <w:sz w:val="32"/>
          <w:szCs w:val="32"/>
        </w:rPr>
        <w:t xml:space="preserve"> distinto nella difesa dello Stato di diritto, dell’indipendenza del giudice e della non discriminazione tra cittadini. Basti pensare al suo ruolo garantista durante il periodo fascista</w:t>
      </w:r>
      <w:r w:rsidRPr="002E1DA3">
        <w:rPr>
          <w:rStyle w:val="Rimandonotaapidipagina"/>
          <w:rFonts w:ascii="Garamond" w:hAnsi="Garamond"/>
          <w:sz w:val="32"/>
          <w:szCs w:val="32"/>
        </w:rPr>
        <w:footnoteReference w:id="2"/>
      </w:r>
      <w:r w:rsidR="005576C9" w:rsidRPr="002E1DA3">
        <w:rPr>
          <w:rFonts w:ascii="Garamond" w:hAnsi="Garamond"/>
          <w:sz w:val="32"/>
          <w:szCs w:val="32"/>
        </w:rPr>
        <w:t xml:space="preserve"> o</w:t>
      </w:r>
      <w:r w:rsidRPr="002E1DA3">
        <w:rPr>
          <w:rFonts w:ascii="Garamond" w:hAnsi="Garamond"/>
          <w:sz w:val="32"/>
          <w:szCs w:val="32"/>
        </w:rPr>
        <w:t xml:space="preserve">ppure </w:t>
      </w:r>
      <w:r w:rsidR="005576C9" w:rsidRPr="002E1DA3">
        <w:rPr>
          <w:rFonts w:ascii="Garamond" w:hAnsi="Garamond"/>
          <w:sz w:val="32"/>
          <w:szCs w:val="32"/>
        </w:rPr>
        <w:t>al</w:t>
      </w:r>
      <w:r w:rsidRPr="002E1DA3">
        <w:rPr>
          <w:rFonts w:ascii="Garamond" w:hAnsi="Garamond"/>
          <w:sz w:val="32"/>
          <w:szCs w:val="32"/>
        </w:rPr>
        <w:t xml:space="preserve">la resistenza alla tentata nomina del governo Andreotti di </w:t>
      </w:r>
      <w:r w:rsidR="00122EF8" w:rsidRPr="002E1DA3">
        <w:rPr>
          <w:rFonts w:ascii="Garamond" w:hAnsi="Garamond"/>
          <w:sz w:val="32"/>
          <w:szCs w:val="32"/>
        </w:rPr>
        <w:t>un</w:t>
      </w:r>
      <w:r w:rsidRPr="002E1DA3">
        <w:rPr>
          <w:rFonts w:ascii="Garamond" w:hAnsi="Garamond"/>
          <w:sz w:val="32"/>
          <w:szCs w:val="32"/>
        </w:rPr>
        <w:t xml:space="preserve"> gruppo di consiglieri di Stato non ritenuti adeguati al ruolo.</w:t>
      </w:r>
    </w:p>
    <w:p w14:paraId="11346694" w14:textId="3B1B919B" w:rsidR="0008730C" w:rsidRPr="002E1DA3" w:rsidRDefault="0008730C" w:rsidP="00866E4D">
      <w:pPr>
        <w:spacing w:line="240" w:lineRule="auto"/>
        <w:jc w:val="both"/>
        <w:rPr>
          <w:rFonts w:ascii="Garamond" w:hAnsi="Garamond"/>
          <w:sz w:val="32"/>
          <w:szCs w:val="32"/>
        </w:rPr>
      </w:pPr>
      <w:r w:rsidRPr="002E1DA3">
        <w:rPr>
          <w:rFonts w:ascii="Garamond" w:hAnsi="Garamond"/>
          <w:sz w:val="32"/>
          <w:szCs w:val="32"/>
        </w:rPr>
        <w:t xml:space="preserve">D’altronde, anche la mia presenza qui si deve in definitiva alla giurisprudenza coraggiosa il cui esito ultimo è rappresentato dalla legge n. 66 del 1963 che viene spesso ricordata per aver consentito alle donne di accedere alla magistratura. In realtà, essa permise di ambire a tutte le carriere, anche </w:t>
      </w:r>
      <w:r w:rsidR="000619FC" w:rsidRPr="002E1DA3">
        <w:rPr>
          <w:rFonts w:ascii="Garamond" w:hAnsi="Garamond"/>
          <w:sz w:val="32"/>
          <w:szCs w:val="32"/>
        </w:rPr>
        <w:t>al</w:t>
      </w:r>
      <w:r w:rsidRPr="002E1DA3">
        <w:rPr>
          <w:rFonts w:ascii="Garamond" w:hAnsi="Garamond"/>
          <w:sz w:val="32"/>
          <w:szCs w:val="32"/>
        </w:rPr>
        <w:t>le più prestigiose, comprese quella prefettizia e quella diplomatica ed esclusa solo quella militare.</w:t>
      </w:r>
    </w:p>
    <w:p w14:paraId="224FF22A" w14:textId="77777777" w:rsidR="0008730C" w:rsidRPr="002E1DA3" w:rsidRDefault="0008730C" w:rsidP="00866E4D">
      <w:pPr>
        <w:spacing w:line="240" w:lineRule="auto"/>
        <w:jc w:val="both"/>
        <w:rPr>
          <w:rFonts w:ascii="Garamond" w:hAnsi="Garamond"/>
          <w:sz w:val="32"/>
          <w:szCs w:val="32"/>
        </w:rPr>
      </w:pPr>
      <w:r w:rsidRPr="002E1DA3">
        <w:rPr>
          <w:rFonts w:ascii="Garamond" w:hAnsi="Garamond"/>
          <w:sz w:val="32"/>
          <w:szCs w:val="32"/>
        </w:rPr>
        <w:lastRenderedPageBreak/>
        <w:t xml:space="preserve">Mi riferisco ovviamente al caso della dottoressa Rosa Oliva, esclusa dal concorso di accesso alla carriera prefettizia. </w:t>
      </w:r>
      <w:r w:rsidR="005576C9" w:rsidRPr="002E1DA3">
        <w:rPr>
          <w:rFonts w:ascii="Garamond" w:hAnsi="Garamond"/>
          <w:sz w:val="32"/>
          <w:szCs w:val="32"/>
        </w:rPr>
        <w:t>Nel 1959 la</w:t>
      </w:r>
      <w:r w:rsidRPr="002E1DA3">
        <w:rPr>
          <w:rFonts w:ascii="Garamond" w:hAnsi="Garamond"/>
          <w:sz w:val="32"/>
          <w:szCs w:val="32"/>
        </w:rPr>
        <w:t xml:space="preserve"> quarta Sezione (presidente Carlo Bozzi ed estensore Giuseppe Potenza) sollevò la questione di costituzionalità (per contrasto con l’articolo 51 della Carta) dell’articolo 7 della legge n. 1176/1919 che poi fu dichiarata fondata dalla Corte costituzionale con sentenza n. 33 del 1960, imponendo così l’intervento legislativo. </w:t>
      </w:r>
    </w:p>
    <w:p w14:paraId="700A0A26" w14:textId="77777777" w:rsidR="0008730C" w:rsidRPr="002E1DA3" w:rsidRDefault="005576C9" w:rsidP="00866E4D">
      <w:pPr>
        <w:spacing w:line="240" w:lineRule="auto"/>
        <w:jc w:val="both"/>
        <w:rPr>
          <w:rFonts w:ascii="Garamond" w:hAnsi="Garamond"/>
          <w:sz w:val="32"/>
          <w:szCs w:val="32"/>
        </w:rPr>
      </w:pPr>
      <w:r w:rsidRPr="002E1DA3">
        <w:rPr>
          <w:rFonts w:ascii="Garamond" w:hAnsi="Garamond"/>
          <w:sz w:val="32"/>
          <w:szCs w:val="32"/>
        </w:rPr>
        <w:t>Questo impegno ermeneutico si è riv</w:t>
      </w:r>
      <w:r w:rsidR="00E71457" w:rsidRPr="002E1DA3">
        <w:rPr>
          <w:rFonts w:ascii="Garamond" w:hAnsi="Garamond"/>
          <w:sz w:val="32"/>
          <w:szCs w:val="32"/>
        </w:rPr>
        <w:t>e</w:t>
      </w:r>
      <w:r w:rsidRPr="002E1DA3">
        <w:rPr>
          <w:rFonts w:ascii="Garamond" w:hAnsi="Garamond"/>
          <w:sz w:val="32"/>
          <w:szCs w:val="32"/>
        </w:rPr>
        <w:t xml:space="preserve">lato </w:t>
      </w:r>
      <w:r w:rsidR="00E71457" w:rsidRPr="002E1DA3">
        <w:rPr>
          <w:rFonts w:ascii="Garamond" w:hAnsi="Garamond"/>
          <w:sz w:val="32"/>
          <w:szCs w:val="32"/>
        </w:rPr>
        <w:t xml:space="preserve">dotato </w:t>
      </w:r>
      <w:r w:rsidR="0008730C" w:rsidRPr="002E1DA3">
        <w:rPr>
          <w:rFonts w:ascii="Garamond" w:hAnsi="Garamond"/>
          <w:sz w:val="32"/>
          <w:szCs w:val="32"/>
        </w:rPr>
        <w:t>di una capacità nomopoietica e autopoietica della giustizia amministrativa che naturalmente si è espressa soprattutto nelle norme processuali.</w:t>
      </w:r>
    </w:p>
    <w:p w14:paraId="4C344C4A" w14:textId="77777777" w:rsidR="0008730C" w:rsidRPr="002E1DA3" w:rsidRDefault="0008730C" w:rsidP="00866E4D">
      <w:pPr>
        <w:spacing w:line="240" w:lineRule="auto"/>
        <w:jc w:val="both"/>
        <w:rPr>
          <w:rFonts w:ascii="Garamond" w:hAnsi="Garamond"/>
          <w:sz w:val="32"/>
          <w:szCs w:val="32"/>
        </w:rPr>
      </w:pPr>
      <w:r w:rsidRPr="002E1DA3">
        <w:rPr>
          <w:rFonts w:ascii="Garamond" w:hAnsi="Garamond"/>
          <w:sz w:val="32"/>
          <w:szCs w:val="32"/>
        </w:rPr>
        <w:t xml:space="preserve">È proprio a questo che si deve la funzionalità e il successo della giustizia amministrativa: perché il nostro processo non nasce dall’ordinata ma astratta attività di dotti studiosi riuniti intorno a un tavolo per redigere un codice, bensì da meccanismi processuali che sono stati via via escogitati e messi alla prova sul campo, in modo da poter, sempre sulla base dell’esperienza diretta, scartare quelli inadeguati e conservare invece quelli efficaci (per eventualmente migliorarli e infine dare loro una dignità e stabilità legislativa). </w:t>
      </w:r>
    </w:p>
    <w:p w14:paraId="0D5F8FB9" w14:textId="77777777" w:rsidR="0008730C" w:rsidRPr="002E1DA3" w:rsidRDefault="0008730C" w:rsidP="00866E4D">
      <w:pPr>
        <w:spacing w:line="240" w:lineRule="auto"/>
        <w:jc w:val="both"/>
        <w:rPr>
          <w:rFonts w:ascii="Garamond" w:hAnsi="Garamond"/>
          <w:sz w:val="32"/>
          <w:szCs w:val="32"/>
        </w:rPr>
      </w:pPr>
      <w:r w:rsidRPr="002E1DA3">
        <w:rPr>
          <w:rFonts w:ascii="Garamond" w:hAnsi="Garamond"/>
          <w:sz w:val="32"/>
          <w:szCs w:val="32"/>
        </w:rPr>
        <w:t xml:space="preserve">Anche i contributi che inizialmente sono sembrati originali e stravaganti (tanto da essere tacciati a volte di abnormità) hanno poi trovato collocazione nel codice del processo amministrativo. Gli esempi sono molteplici: menziono solo le misure cautelari richieste da titolari di interessi pretesivi, l’ottemperanza delle sentenze di primo grado, la sentenza semplificata fino alla nota vicenda del decreto presidenziale </w:t>
      </w:r>
      <w:r w:rsidRPr="002E1DA3">
        <w:rPr>
          <w:rFonts w:ascii="Garamond" w:hAnsi="Garamond"/>
          <w:i/>
          <w:sz w:val="32"/>
          <w:szCs w:val="32"/>
        </w:rPr>
        <w:t>ante causam</w:t>
      </w:r>
      <w:r w:rsidRPr="002E1DA3">
        <w:rPr>
          <w:rFonts w:ascii="Garamond" w:hAnsi="Garamond"/>
          <w:sz w:val="32"/>
          <w:szCs w:val="32"/>
        </w:rPr>
        <w:t>.</w:t>
      </w:r>
    </w:p>
    <w:p w14:paraId="261961B5" w14:textId="77777777" w:rsidR="00E71457" w:rsidRPr="002E1DA3" w:rsidRDefault="00E71457" w:rsidP="00866E4D">
      <w:pPr>
        <w:spacing w:line="240" w:lineRule="auto"/>
        <w:jc w:val="both"/>
        <w:rPr>
          <w:rFonts w:ascii="Garamond" w:hAnsi="Garamond"/>
          <w:sz w:val="32"/>
          <w:szCs w:val="32"/>
        </w:rPr>
      </w:pPr>
      <w:r w:rsidRPr="002E1DA3">
        <w:rPr>
          <w:rFonts w:ascii="Garamond" w:hAnsi="Garamond"/>
          <w:sz w:val="32"/>
          <w:szCs w:val="32"/>
        </w:rPr>
        <w:t>Questa autonoma capacità di trovare soluzioni ai problemi d</w:t>
      </w:r>
      <w:r w:rsidR="00C14D5E" w:rsidRPr="002E1DA3">
        <w:rPr>
          <w:rFonts w:ascii="Garamond" w:hAnsi="Garamond"/>
          <w:sz w:val="32"/>
          <w:szCs w:val="32"/>
        </w:rPr>
        <w:t>i cui dobbiamo essere orgogliosi</w:t>
      </w:r>
      <w:r w:rsidRPr="002E1DA3">
        <w:rPr>
          <w:rFonts w:ascii="Garamond" w:hAnsi="Garamond"/>
          <w:sz w:val="32"/>
          <w:szCs w:val="32"/>
        </w:rPr>
        <w:t xml:space="preserve"> si è manifestata anche su altri fronti.</w:t>
      </w:r>
      <w:r w:rsidR="0008730C" w:rsidRPr="002E1DA3">
        <w:rPr>
          <w:rFonts w:ascii="Garamond" w:hAnsi="Garamond"/>
          <w:sz w:val="32"/>
          <w:szCs w:val="32"/>
        </w:rPr>
        <w:t xml:space="preserve"> </w:t>
      </w:r>
    </w:p>
    <w:p w14:paraId="36C62AC1" w14:textId="77777777" w:rsidR="0008730C" w:rsidRPr="002E1DA3" w:rsidRDefault="0008730C" w:rsidP="00866E4D">
      <w:pPr>
        <w:spacing w:line="240" w:lineRule="auto"/>
        <w:jc w:val="both"/>
        <w:rPr>
          <w:rFonts w:ascii="Garamond" w:hAnsi="Garamond"/>
          <w:sz w:val="32"/>
          <w:szCs w:val="32"/>
        </w:rPr>
      </w:pPr>
      <w:r w:rsidRPr="002E1DA3">
        <w:rPr>
          <w:rFonts w:ascii="Garamond" w:hAnsi="Garamond"/>
          <w:sz w:val="32"/>
          <w:szCs w:val="32"/>
        </w:rPr>
        <w:t xml:space="preserve">Siamo stati i primi nel 2017 a varare la digitalizzazione del processo che sin da subito ha riguardato tutti i riti, i gradi e le fasi. È un’operazione in piena evoluzione che necessiterebbe </w:t>
      </w:r>
      <w:r w:rsidR="00E71457" w:rsidRPr="002E1DA3">
        <w:rPr>
          <w:rFonts w:ascii="Garamond" w:hAnsi="Garamond"/>
          <w:sz w:val="32"/>
          <w:szCs w:val="32"/>
        </w:rPr>
        <w:t>dell’</w:t>
      </w:r>
      <w:r w:rsidRPr="002E1DA3">
        <w:rPr>
          <w:rFonts w:ascii="Garamond" w:hAnsi="Garamond"/>
          <w:sz w:val="32"/>
          <w:szCs w:val="32"/>
        </w:rPr>
        <w:t>innesto di ulteriore personale specializzato, visto che la Giustizia amministrativa,</w:t>
      </w:r>
      <w:r w:rsidR="00E71457" w:rsidRPr="002E1DA3">
        <w:rPr>
          <w:rFonts w:ascii="Garamond" w:hAnsi="Garamond"/>
          <w:sz w:val="32"/>
          <w:szCs w:val="32"/>
        </w:rPr>
        <w:t xml:space="preserve"> diversamente da </w:t>
      </w:r>
      <w:r w:rsidRPr="002E1DA3">
        <w:rPr>
          <w:rFonts w:ascii="Garamond" w:hAnsi="Garamond"/>
          <w:sz w:val="32"/>
          <w:szCs w:val="32"/>
        </w:rPr>
        <w:t xml:space="preserve">altre giurisdizioni, </w:t>
      </w:r>
      <w:r w:rsidR="00E71457" w:rsidRPr="002E1DA3">
        <w:rPr>
          <w:rFonts w:ascii="Garamond" w:hAnsi="Garamond"/>
          <w:sz w:val="32"/>
          <w:szCs w:val="32"/>
        </w:rPr>
        <w:t xml:space="preserve">ha solo marginalmente </w:t>
      </w:r>
      <w:r w:rsidRPr="002E1DA3">
        <w:rPr>
          <w:rFonts w:ascii="Garamond" w:hAnsi="Garamond"/>
          <w:sz w:val="32"/>
          <w:szCs w:val="32"/>
        </w:rPr>
        <w:t xml:space="preserve">appaltato all’esterno il sistema informatico, </w:t>
      </w:r>
      <w:r w:rsidR="007F7BF4" w:rsidRPr="002E1DA3">
        <w:rPr>
          <w:rFonts w:ascii="Garamond" w:hAnsi="Garamond"/>
          <w:sz w:val="32"/>
          <w:szCs w:val="32"/>
        </w:rPr>
        <w:t xml:space="preserve">elaborando </w:t>
      </w:r>
      <w:r w:rsidRPr="002E1DA3">
        <w:rPr>
          <w:rFonts w:ascii="Garamond" w:hAnsi="Garamond"/>
          <w:sz w:val="32"/>
          <w:szCs w:val="32"/>
        </w:rPr>
        <w:t>in proprio programmi progettati e sperimentati insieme con il personale magistratuale e amministrativo che è destinato ad usarlo.</w:t>
      </w:r>
    </w:p>
    <w:p w14:paraId="6B630B52" w14:textId="77777777" w:rsidR="0008730C" w:rsidRPr="002E1DA3" w:rsidRDefault="0008730C" w:rsidP="00866E4D">
      <w:pPr>
        <w:spacing w:line="240" w:lineRule="auto"/>
        <w:jc w:val="both"/>
        <w:rPr>
          <w:rFonts w:ascii="Garamond" w:hAnsi="Garamond"/>
          <w:sz w:val="32"/>
          <w:szCs w:val="32"/>
        </w:rPr>
      </w:pPr>
      <w:r w:rsidRPr="002E1DA3">
        <w:rPr>
          <w:rFonts w:ascii="Garamond" w:hAnsi="Garamond"/>
          <w:sz w:val="32"/>
          <w:szCs w:val="32"/>
        </w:rPr>
        <w:t xml:space="preserve">Di questo immane sforzo dobbiamo ringraziare tante persone che definirei “visionarie” a partire da Pio Guerrieri e Mario Torsello per arrivare agli attuali addetti all’ufficio per l’informatica </w:t>
      </w:r>
      <w:r w:rsidRPr="002E1DA3">
        <w:rPr>
          <w:rFonts w:ascii="Garamond" w:hAnsi="Garamond"/>
          <w:i/>
          <w:sz w:val="32"/>
          <w:szCs w:val="32"/>
        </w:rPr>
        <w:t>in primis</w:t>
      </w:r>
      <w:r w:rsidRPr="002E1DA3">
        <w:rPr>
          <w:rFonts w:ascii="Garamond" w:hAnsi="Garamond"/>
          <w:sz w:val="32"/>
          <w:szCs w:val="32"/>
        </w:rPr>
        <w:t xml:space="preserve"> a Brunella Bruno e a Nicola Bardino, il cui indefesso impegno è sotto gli occhi di tutti noi.</w:t>
      </w:r>
    </w:p>
    <w:p w14:paraId="51B6477E" w14:textId="2B9D84B2" w:rsidR="0008730C" w:rsidRPr="002E1DA3" w:rsidRDefault="0008730C" w:rsidP="00866E4D">
      <w:pPr>
        <w:spacing w:line="240" w:lineRule="auto"/>
        <w:jc w:val="both"/>
        <w:rPr>
          <w:rFonts w:ascii="Garamond" w:hAnsi="Garamond"/>
          <w:sz w:val="32"/>
          <w:szCs w:val="32"/>
        </w:rPr>
      </w:pPr>
      <w:r w:rsidRPr="002E1DA3">
        <w:rPr>
          <w:rFonts w:ascii="Garamond" w:hAnsi="Garamond"/>
          <w:sz w:val="32"/>
          <w:szCs w:val="32"/>
        </w:rPr>
        <w:t>Neppure</w:t>
      </w:r>
      <w:r w:rsidR="007F7BF4" w:rsidRPr="002E1DA3">
        <w:rPr>
          <w:rFonts w:ascii="Garamond" w:hAnsi="Garamond"/>
          <w:sz w:val="32"/>
          <w:szCs w:val="32"/>
        </w:rPr>
        <w:t xml:space="preserve"> si può </w:t>
      </w:r>
      <w:r w:rsidRPr="002E1DA3">
        <w:rPr>
          <w:rFonts w:ascii="Garamond" w:hAnsi="Garamond"/>
          <w:sz w:val="32"/>
          <w:szCs w:val="32"/>
        </w:rPr>
        <w:t>sottacere l’esito positivo dell’attività volta alla riduzione dell’arretrato (il cui massimo storico, registrato all’inizio del millennio, superava i 500.000 fascicoli) che ci ha permesso (credo caso unico) di raggiungere gli obiettivi finali del PNRR in anticipo, tanto da aver aderito all’invito della Commissione europea di fissare per il 2026 traguardi ancor più ambiziosi. Vorrei sottolineare che questi successi sono stati ottenuti soprattutto attraverso meccanismi ideati all’interno della Giustizia amministrativa, come le udienze straordinarie, che altre giurisdizioni hanno potuto solo a posteriori tardivamente imitare</w:t>
      </w:r>
      <w:r w:rsidR="002F4DCF">
        <w:rPr>
          <w:rFonts w:ascii="Garamond" w:hAnsi="Garamond"/>
          <w:sz w:val="32"/>
          <w:szCs w:val="32"/>
        </w:rPr>
        <w:t xml:space="preserve"> con risultati incerti</w:t>
      </w:r>
      <w:r w:rsidRPr="002E1DA3">
        <w:rPr>
          <w:rStyle w:val="Rimandonotaapidipagina"/>
          <w:rFonts w:ascii="Garamond" w:hAnsi="Garamond"/>
          <w:sz w:val="32"/>
          <w:szCs w:val="32"/>
        </w:rPr>
        <w:footnoteReference w:id="3"/>
      </w:r>
      <w:r w:rsidRPr="002E1DA3">
        <w:rPr>
          <w:rFonts w:ascii="Garamond" w:hAnsi="Garamond"/>
          <w:sz w:val="32"/>
          <w:szCs w:val="32"/>
        </w:rPr>
        <w:t>.</w:t>
      </w:r>
    </w:p>
    <w:p w14:paraId="58E18C9B" w14:textId="77777777" w:rsidR="0008730C" w:rsidRPr="002E1DA3" w:rsidRDefault="0008730C" w:rsidP="00866E4D">
      <w:pPr>
        <w:spacing w:line="240" w:lineRule="auto"/>
        <w:jc w:val="both"/>
        <w:rPr>
          <w:rFonts w:ascii="Garamond" w:hAnsi="Garamond"/>
          <w:sz w:val="32"/>
          <w:szCs w:val="32"/>
        </w:rPr>
      </w:pPr>
      <w:r w:rsidRPr="002E1DA3">
        <w:rPr>
          <w:rFonts w:ascii="Garamond" w:hAnsi="Garamond"/>
          <w:sz w:val="32"/>
          <w:szCs w:val="32"/>
        </w:rPr>
        <w:t>Non possiamo però nasconderci i rischi che tale situazione comporta: il fatto di aver dovuto e voluto affrontare il problema di un arretrato così pesante ha innescato</w:t>
      </w:r>
      <w:r w:rsidRPr="002E1DA3">
        <w:rPr>
          <w:sz w:val="32"/>
          <w:szCs w:val="32"/>
        </w:rPr>
        <w:t xml:space="preserve"> </w:t>
      </w:r>
      <w:r w:rsidRPr="002E1DA3">
        <w:rPr>
          <w:rFonts w:ascii="Garamond" w:hAnsi="Garamond"/>
          <w:sz w:val="32"/>
          <w:szCs w:val="32"/>
        </w:rPr>
        <w:t>un atteggiamento produttivistico, una spinta a ottenere il massimo risultato in termini di quantità del “prodotto” giurisdizionale, che espone al pericolo di un appiattimento e di un certo conformismo della giurisprudenza.</w:t>
      </w:r>
    </w:p>
    <w:p w14:paraId="5FDBFC5C" w14:textId="77777777" w:rsidR="0008730C" w:rsidRPr="002E1DA3" w:rsidRDefault="0008730C" w:rsidP="00866E4D">
      <w:pPr>
        <w:spacing w:line="240" w:lineRule="auto"/>
        <w:jc w:val="both"/>
        <w:rPr>
          <w:rFonts w:ascii="Garamond" w:hAnsi="Garamond"/>
          <w:sz w:val="32"/>
          <w:szCs w:val="32"/>
        </w:rPr>
      </w:pPr>
      <w:r w:rsidRPr="002E1DA3">
        <w:rPr>
          <w:rFonts w:ascii="Garamond" w:hAnsi="Garamond"/>
          <w:sz w:val="32"/>
          <w:szCs w:val="32"/>
        </w:rPr>
        <w:t>Da questo punto di vista,</w:t>
      </w:r>
      <w:r w:rsidR="007F7BF4" w:rsidRPr="002E1DA3">
        <w:rPr>
          <w:rFonts w:ascii="Garamond" w:hAnsi="Garamond"/>
          <w:sz w:val="32"/>
          <w:szCs w:val="32"/>
        </w:rPr>
        <w:t xml:space="preserve"> si deve </w:t>
      </w:r>
      <w:r w:rsidRPr="002E1DA3">
        <w:rPr>
          <w:rFonts w:ascii="Garamond" w:hAnsi="Garamond"/>
          <w:sz w:val="32"/>
          <w:szCs w:val="32"/>
        </w:rPr>
        <w:t xml:space="preserve">riconoscere che l’entusiastico slancio tutto teso ad ampliare gli ambiti di tutela, che aveva caratterizzato la giustizia amministrativa in </w:t>
      </w:r>
      <w:r w:rsidR="007F7BF4" w:rsidRPr="002E1DA3">
        <w:rPr>
          <w:rFonts w:ascii="Garamond" w:hAnsi="Garamond"/>
          <w:sz w:val="32"/>
          <w:szCs w:val="32"/>
        </w:rPr>
        <w:t xml:space="preserve">primo </w:t>
      </w:r>
      <w:r w:rsidRPr="002E1DA3">
        <w:rPr>
          <w:rFonts w:ascii="Garamond" w:hAnsi="Garamond"/>
          <w:sz w:val="32"/>
          <w:szCs w:val="32"/>
        </w:rPr>
        <w:t xml:space="preserve">grado e in parte anche il Consiglio di Stato negli anni </w:t>
      </w:r>
      <w:r w:rsidR="007F7BF4" w:rsidRPr="002E1DA3">
        <w:rPr>
          <w:rFonts w:ascii="Garamond" w:hAnsi="Garamond"/>
          <w:sz w:val="32"/>
          <w:szCs w:val="32"/>
        </w:rPr>
        <w:t>‘</w:t>
      </w:r>
      <w:r w:rsidRPr="002E1DA3">
        <w:rPr>
          <w:rFonts w:ascii="Garamond" w:hAnsi="Garamond"/>
          <w:sz w:val="32"/>
          <w:szCs w:val="32"/>
        </w:rPr>
        <w:t xml:space="preserve">70, </w:t>
      </w:r>
      <w:r w:rsidR="007F7BF4" w:rsidRPr="002E1DA3">
        <w:rPr>
          <w:rFonts w:ascii="Garamond" w:hAnsi="Garamond"/>
          <w:sz w:val="32"/>
          <w:szCs w:val="32"/>
        </w:rPr>
        <w:t>‘80 e ‘</w:t>
      </w:r>
      <w:r w:rsidRPr="002E1DA3">
        <w:rPr>
          <w:rFonts w:ascii="Garamond" w:hAnsi="Garamond"/>
          <w:sz w:val="32"/>
          <w:szCs w:val="32"/>
        </w:rPr>
        <w:t xml:space="preserve">90, abbia subito un forte rallentamento. </w:t>
      </w:r>
    </w:p>
    <w:p w14:paraId="156D3E66" w14:textId="77777777" w:rsidR="0008730C" w:rsidRPr="002E1DA3" w:rsidRDefault="0008730C" w:rsidP="00866E4D">
      <w:pPr>
        <w:spacing w:line="240" w:lineRule="auto"/>
        <w:jc w:val="both"/>
        <w:rPr>
          <w:rFonts w:ascii="Garamond" w:hAnsi="Garamond"/>
          <w:sz w:val="32"/>
          <w:szCs w:val="32"/>
        </w:rPr>
      </w:pPr>
      <w:r w:rsidRPr="002E1DA3">
        <w:rPr>
          <w:rFonts w:ascii="Garamond" w:hAnsi="Garamond"/>
          <w:sz w:val="32"/>
          <w:szCs w:val="32"/>
        </w:rPr>
        <w:t>In questa occasione</w:t>
      </w:r>
      <w:r w:rsidR="007F7BF4" w:rsidRPr="002E1DA3">
        <w:rPr>
          <w:rFonts w:ascii="Garamond" w:hAnsi="Garamond"/>
          <w:sz w:val="32"/>
          <w:szCs w:val="32"/>
        </w:rPr>
        <w:t xml:space="preserve"> non è possibile </w:t>
      </w:r>
      <w:r w:rsidRPr="002E1DA3">
        <w:rPr>
          <w:rFonts w:ascii="Garamond" w:hAnsi="Garamond"/>
          <w:sz w:val="32"/>
          <w:szCs w:val="32"/>
        </w:rPr>
        <w:t xml:space="preserve">analizzare la questione. </w:t>
      </w:r>
    </w:p>
    <w:p w14:paraId="1AFF94E4" w14:textId="77777777" w:rsidR="0008730C" w:rsidRPr="002E1DA3" w:rsidRDefault="0008730C" w:rsidP="00866E4D">
      <w:pPr>
        <w:spacing w:line="240" w:lineRule="auto"/>
        <w:rPr>
          <w:rFonts w:ascii="Garamond" w:hAnsi="Garamond"/>
          <w:sz w:val="32"/>
          <w:szCs w:val="32"/>
        </w:rPr>
      </w:pPr>
      <w:r w:rsidRPr="002E1DA3">
        <w:rPr>
          <w:rFonts w:ascii="Garamond" w:hAnsi="Garamond"/>
          <w:sz w:val="32"/>
          <w:szCs w:val="32"/>
        </w:rPr>
        <w:t>Mi limiterò a qualche esempio che più mi colpisce e che reputo emblematico.</w:t>
      </w:r>
    </w:p>
    <w:p w14:paraId="59FFAD64" w14:textId="77777777" w:rsidR="0008730C" w:rsidRPr="002E1DA3" w:rsidRDefault="0008730C" w:rsidP="00866E4D">
      <w:pPr>
        <w:spacing w:line="240" w:lineRule="auto"/>
        <w:jc w:val="both"/>
        <w:rPr>
          <w:rFonts w:ascii="Garamond" w:hAnsi="Garamond"/>
          <w:sz w:val="32"/>
          <w:szCs w:val="32"/>
        </w:rPr>
      </w:pPr>
      <w:r w:rsidRPr="002E1DA3">
        <w:rPr>
          <w:rFonts w:ascii="Garamond" w:hAnsi="Garamond"/>
          <w:sz w:val="32"/>
          <w:szCs w:val="32"/>
        </w:rPr>
        <w:t>Premetto un dato che è abbastanza scontato: le decisioni più coraggiose del precedente millennio sono state prese spesso in controversie che riguardavano le vicende umane anche drammatiche dei soggetti coinvolti, casi frequenti nell’ambito del pubblico impiego; insomma in quelli che Dworkin definisce "hard cases".</w:t>
      </w:r>
      <w:r w:rsidR="007F7BF4" w:rsidRPr="002E1DA3">
        <w:rPr>
          <w:rFonts w:ascii="Garamond" w:hAnsi="Garamond"/>
          <w:sz w:val="32"/>
          <w:szCs w:val="32"/>
        </w:rPr>
        <w:t xml:space="preserve"> D’altra parte,</w:t>
      </w:r>
      <w:r w:rsidRPr="002E1DA3">
        <w:rPr>
          <w:rFonts w:ascii="Garamond" w:hAnsi="Garamond"/>
          <w:sz w:val="32"/>
          <w:szCs w:val="32"/>
        </w:rPr>
        <w:t xml:space="preserve"> in ambiti anche di grande interesse economico</w:t>
      </w:r>
      <w:r w:rsidR="007F7BF4" w:rsidRPr="002E1DA3">
        <w:rPr>
          <w:rFonts w:ascii="Garamond" w:hAnsi="Garamond"/>
          <w:sz w:val="32"/>
          <w:szCs w:val="32"/>
        </w:rPr>
        <w:t xml:space="preserve"> è difficile che siano sottoposte all’attenzione del giudice vicende</w:t>
      </w:r>
      <w:r w:rsidR="00D7291E" w:rsidRPr="002E1DA3">
        <w:rPr>
          <w:rFonts w:ascii="Garamond" w:hAnsi="Garamond"/>
          <w:sz w:val="32"/>
          <w:szCs w:val="32"/>
        </w:rPr>
        <w:t>, per esempio, riguardanti l’anomalia dell’offerta,</w:t>
      </w:r>
      <w:r w:rsidR="007F7BF4" w:rsidRPr="002E1DA3">
        <w:rPr>
          <w:rFonts w:ascii="Garamond" w:hAnsi="Garamond"/>
          <w:sz w:val="32"/>
          <w:szCs w:val="32"/>
        </w:rPr>
        <w:t xml:space="preserve"> in grado di </w:t>
      </w:r>
      <w:r w:rsidRPr="002E1DA3">
        <w:rPr>
          <w:rFonts w:ascii="Garamond" w:hAnsi="Garamond"/>
          <w:sz w:val="32"/>
          <w:szCs w:val="32"/>
        </w:rPr>
        <w:t>attivare l’intelligenza emotiva.</w:t>
      </w:r>
    </w:p>
    <w:p w14:paraId="40ABC8DE" w14:textId="77777777" w:rsidR="0008730C" w:rsidRPr="002E1DA3" w:rsidRDefault="0008730C" w:rsidP="00866E4D">
      <w:pPr>
        <w:spacing w:line="240" w:lineRule="auto"/>
        <w:jc w:val="both"/>
        <w:rPr>
          <w:rFonts w:ascii="Garamond" w:hAnsi="Garamond"/>
          <w:sz w:val="32"/>
          <w:szCs w:val="32"/>
        </w:rPr>
      </w:pPr>
      <w:r w:rsidRPr="002E1DA3">
        <w:rPr>
          <w:rFonts w:ascii="Garamond" w:hAnsi="Garamond"/>
          <w:sz w:val="32"/>
          <w:szCs w:val="32"/>
        </w:rPr>
        <w:t xml:space="preserve">In questa materia si può registrare un </w:t>
      </w:r>
      <w:r w:rsidR="00D7291E" w:rsidRPr="002E1DA3">
        <w:rPr>
          <w:rFonts w:ascii="Garamond" w:hAnsi="Garamond"/>
          <w:sz w:val="32"/>
          <w:szCs w:val="32"/>
        </w:rPr>
        <w:t>atteggiamento più prudente e meno propenso ad ampliare e a rafforzare la tutela dei dipendenti</w:t>
      </w:r>
      <w:r w:rsidR="00D7291E" w:rsidRPr="002E1DA3">
        <w:rPr>
          <w:rStyle w:val="Rimandonotaapidipagina"/>
          <w:rFonts w:ascii="Garamond" w:hAnsi="Garamond"/>
          <w:sz w:val="32"/>
          <w:szCs w:val="32"/>
        </w:rPr>
        <w:footnoteReference w:id="4"/>
      </w:r>
      <w:r w:rsidRPr="002E1DA3">
        <w:rPr>
          <w:rFonts w:ascii="Garamond" w:hAnsi="Garamond"/>
          <w:sz w:val="32"/>
          <w:szCs w:val="32"/>
        </w:rPr>
        <w:t>.</w:t>
      </w:r>
    </w:p>
    <w:p w14:paraId="1945C9F0" w14:textId="77777777" w:rsidR="0008730C" w:rsidRPr="002E1DA3" w:rsidRDefault="002A5A58" w:rsidP="00866E4D">
      <w:pPr>
        <w:spacing w:line="240" w:lineRule="auto"/>
        <w:jc w:val="both"/>
        <w:rPr>
          <w:rFonts w:ascii="Garamond" w:hAnsi="Garamond"/>
          <w:sz w:val="32"/>
          <w:szCs w:val="32"/>
        </w:rPr>
      </w:pPr>
      <w:r w:rsidRPr="002E1DA3">
        <w:rPr>
          <w:rFonts w:ascii="Garamond" w:hAnsi="Garamond"/>
          <w:sz w:val="32"/>
          <w:szCs w:val="32"/>
        </w:rPr>
        <w:t xml:space="preserve">Assistiamo poi </w:t>
      </w:r>
      <w:r w:rsidR="0008730C" w:rsidRPr="002E1DA3">
        <w:rPr>
          <w:rFonts w:ascii="Garamond" w:hAnsi="Garamond"/>
          <w:sz w:val="32"/>
          <w:szCs w:val="32"/>
        </w:rPr>
        <w:t>a fenomeni più ampi</w:t>
      </w:r>
      <w:r w:rsidRPr="002E1DA3">
        <w:rPr>
          <w:rFonts w:ascii="Garamond" w:hAnsi="Garamond"/>
          <w:sz w:val="32"/>
          <w:szCs w:val="32"/>
        </w:rPr>
        <w:t xml:space="preserve"> e ancor più preoccupanti.</w:t>
      </w:r>
    </w:p>
    <w:p w14:paraId="2560B523" w14:textId="77777777" w:rsidR="0008730C" w:rsidRPr="002E1DA3" w:rsidRDefault="002A5A58" w:rsidP="00866E4D">
      <w:pPr>
        <w:spacing w:line="240" w:lineRule="auto"/>
        <w:jc w:val="both"/>
        <w:rPr>
          <w:rFonts w:ascii="Garamond" w:hAnsi="Garamond"/>
          <w:sz w:val="32"/>
          <w:szCs w:val="32"/>
        </w:rPr>
      </w:pPr>
      <w:r w:rsidRPr="002E1DA3">
        <w:rPr>
          <w:rFonts w:ascii="Garamond" w:hAnsi="Garamond"/>
          <w:sz w:val="32"/>
          <w:szCs w:val="32"/>
        </w:rPr>
        <w:t xml:space="preserve">In primo luogo, </w:t>
      </w:r>
      <w:r w:rsidR="0008730C" w:rsidRPr="002E1DA3">
        <w:rPr>
          <w:rFonts w:ascii="Garamond" w:hAnsi="Garamond"/>
          <w:sz w:val="32"/>
          <w:szCs w:val="32"/>
        </w:rPr>
        <w:t xml:space="preserve">la convinta autolimitazione del sindacato sugli atti dell’amministrazione. Si pensi alla discrezionalità tecnica sulla quale la giurisprudenza si è allontanata dalla storica sentenza della </w:t>
      </w:r>
      <w:r w:rsidRPr="002E1DA3">
        <w:rPr>
          <w:rFonts w:ascii="Garamond" w:hAnsi="Garamond"/>
          <w:sz w:val="32"/>
          <w:szCs w:val="32"/>
        </w:rPr>
        <w:t>quarta</w:t>
      </w:r>
      <w:r w:rsidR="0008730C" w:rsidRPr="002E1DA3">
        <w:rPr>
          <w:rFonts w:ascii="Garamond" w:hAnsi="Garamond"/>
          <w:sz w:val="32"/>
          <w:szCs w:val="32"/>
        </w:rPr>
        <w:t xml:space="preserve"> </w:t>
      </w:r>
      <w:r w:rsidR="0008730C" w:rsidRPr="002E1DA3">
        <w:rPr>
          <w:rFonts w:ascii="Garamond" w:hAnsi="Garamond" w:cs="Calibri"/>
          <w:sz w:val="32"/>
          <w:szCs w:val="32"/>
        </w:rPr>
        <w:t>sezione, 9</w:t>
      </w:r>
      <w:r w:rsidR="0008730C" w:rsidRPr="002E1DA3">
        <w:rPr>
          <w:rFonts w:ascii="Garamond" w:hAnsi="Garamond"/>
          <w:sz w:val="32"/>
          <w:szCs w:val="32"/>
        </w:rPr>
        <w:t xml:space="preserve"> aprile 1999, n. 601 (estensore Stefano Baccarini). Vorrei ricordare che la stessa posizione era stata espressa </w:t>
      </w:r>
      <w:r w:rsidRPr="002E1DA3">
        <w:rPr>
          <w:rFonts w:ascii="Garamond" w:hAnsi="Garamond"/>
          <w:sz w:val="32"/>
          <w:szCs w:val="32"/>
        </w:rPr>
        <w:t>dieci</w:t>
      </w:r>
      <w:r w:rsidR="0008730C" w:rsidRPr="002E1DA3">
        <w:rPr>
          <w:rFonts w:ascii="Garamond" w:hAnsi="Garamond"/>
          <w:sz w:val="32"/>
          <w:szCs w:val="32"/>
        </w:rPr>
        <w:t xml:space="preserve"> anni prima, sempre dal presidente Baccarini, nella decisione dell’Adunanza plenaria, 24 novembre 1989, n. 16 (quella sul silenzio sul ricorso gerarchico), al paragrafo 9</w:t>
      </w:r>
      <w:r w:rsidR="00721332" w:rsidRPr="002E1DA3">
        <w:rPr>
          <w:rFonts w:ascii="Garamond" w:hAnsi="Garamond"/>
          <w:sz w:val="32"/>
          <w:szCs w:val="32"/>
        </w:rPr>
        <w:t>)</w:t>
      </w:r>
      <w:r w:rsidR="0008730C" w:rsidRPr="002E1DA3">
        <w:rPr>
          <w:rStyle w:val="Rimandonotaapidipagina"/>
          <w:rFonts w:ascii="Garamond" w:hAnsi="Garamond"/>
          <w:sz w:val="32"/>
          <w:szCs w:val="32"/>
        </w:rPr>
        <w:footnoteReference w:id="5"/>
      </w:r>
      <w:r w:rsidR="0008730C" w:rsidRPr="002E1DA3">
        <w:rPr>
          <w:rFonts w:ascii="Garamond" w:hAnsi="Garamond"/>
          <w:sz w:val="32"/>
          <w:szCs w:val="32"/>
        </w:rPr>
        <w:t>.</w:t>
      </w:r>
    </w:p>
    <w:p w14:paraId="0A11B4FE" w14:textId="77777777" w:rsidR="0008730C" w:rsidRPr="002E1DA3" w:rsidRDefault="002A5A58" w:rsidP="00866E4D">
      <w:pPr>
        <w:spacing w:line="240" w:lineRule="auto"/>
        <w:jc w:val="both"/>
        <w:rPr>
          <w:rFonts w:ascii="Garamond" w:hAnsi="Garamond"/>
          <w:sz w:val="32"/>
          <w:szCs w:val="32"/>
        </w:rPr>
      </w:pPr>
      <w:r w:rsidRPr="002E1DA3">
        <w:rPr>
          <w:rFonts w:ascii="Garamond" w:hAnsi="Garamond"/>
          <w:sz w:val="32"/>
          <w:szCs w:val="32"/>
        </w:rPr>
        <w:t xml:space="preserve">In secondo luogo, </w:t>
      </w:r>
      <w:r w:rsidR="0008730C" w:rsidRPr="002E1DA3">
        <w:rPr>
          <w:rFonts w:ascii="Garamond" w:hAnsi="Garamond"/>
          <w:sz w:val="32"/>
          <w:szCs w:val="32"/>
        </w:rPr>
        <w:t xml:space="preserve">una certa rassegnata accettazione della sottrazione di ambiti di giurisdizione, pur dopo la sentenza della Corte costituzionale n. 6 del 2018 e il fallito tentativo del rinvio pregiudiziale della causa </w:t>
      </w:r>
      <w:r w:rsidR="0008730C" w:rsidRPr="002E1DA3">
        <w:rPr>
          <w:rFonts w:ascii="Garamond" w:hAnsi="Garamond"/>
          <w:i/>
          <w:sz w:val="32"/>
          <w:szCs w:val="32"/>
        </w:rPr>
        <w:t>Randstad Italia</w:t>
      </w:r>
      <w:r w:rsidR="0008730C" w:rsidRPr="002E1DA3">
        <w:rPr>
          <w:rFonts w:ascii="Garamond" w:hAnsi="Garamond"/>
          <w:sz w:val="32"/>
          <w:szCs w:val="32"/>
        </w:rPr>
        <w:t xml:space="preserve"> sfociata nella sentenza della Grande sezione della Corte di giustizia dell’Unione europea 21 dicembre 2021, C-497/20, che si accompagna ad un’opera di etero-interpretazione soprattutto da parte delle Sezioni unite</w:t>
      </w:r>
      <w:r w:rsidRPr="002E1DA3">
        <w:rPr>
          <w:rFonts w:ascii="Garamond" w:hAnsi="Garamond"/>
          <w:sz w:val="32"/>
          <w:szCs w:val="32"/>
        </w:rPr>
        <w:t>. Sono queste ultime che alla fine definiscono</w:t>
      </w:r>
      <w:r w:rsidR="0008730C" w:rsidRPr="002E1DA3">
        <w:rPr>
          <w:rFonts w:ascii="Garamond" w:hAnsi="Garamond"/>
          <w:sz w:val="32"/>
          <w:szCs w:val="32"/>
        </w:rPr>
        <w:t xml:space="preserve">, per quanto riguarda il diritto sostanziale, cos’è un provvedimento discrezionale/vincolato; qual è l’ambito della concessione e quindi dove si arresta la relativa giurisdizione esclusiva (come avvenuto per l’assegnazione </w:t>
      </w:r>
      <w:r w:rsidR="004B504A" w:rsidRPr="002E1DA3">
        <w:rPr>
          <w:rFonts w:ascii="Garamond" w:hAnsi="Garamond"/>
          <w:sz w:val="32"/>
          <w:szCs w:val="32"/>
        </w:rPr>
        <w:t xml:space="preserve">degli </w:t>
      </w:r>
      <w:r w:rsidR="0008730C" w:rsidRPr="002E1DA3">
        <w:rPr>
          <w:rFonts w:ascii="Garamond" w:hAnsi="Garamond"/>
          <w:sz w:val="32"/>
          <w:szCs w:val="32"/>
        </w:rPr>
        <w:t>alloggi popolari</w:t>
      </w:r>
      <w:r w:rsidR="004B504A" w:rsidRPr="002E1DA3">
        <w:rPr>
          <w:rFonts w:ascii="Garamond" w:hAnsi="Garamond"/>
          <w:sz w:val="32"/>
          <w:szCs w:val="32"/>
        </w:rPr>
        <w:t xml:space="preserve"> o</w:t>
      </w:r>
      <w:r w:rsidR="0008730C" w:rsidRPr="002E1DA3">
        <w:rPr>
          <w:rFonts w:ascii="Garamond" w:hAnsi="Garamond"/>
          <w:sz w:val="32"/>
          <w:szCs w:val="32"/>
        </w:rPr>
        <w:t xml:space="preserve"> </w:t>
      </w:r>
      <w:r w:rsidRPr="002E1DA3">
        <w:rPr>
          <w:rFonts w:ascii="Garamond" w:hAnsi="Garamond"/>
          <w:sz w:val="32"/>
          <w:szCs w:val="32"/>
        </w:rPr>
        <w:t xml:space="preserve">per i </w:t>
      </w:r>
      <w:r w:rsidR="004B504A" w:rsidRPr="002E1DA3">
        <w:rPr>
          <w:rFonts w:ascii="Garamond" w:hAnsi="Garamond"/>
          <w:sz w:val="32"/>
          <w:szCs w:val="32"/>
        </w:rPr>
        <w:t xml:space="preserve">contributi e finanziamenti); quando </w:t>
      </w:r>
      <w:r w:rsidRPr="002E1DA3">
        <w:rPr>
          <w:rFonts w:ascii="Garamond" w:hAnsi="Garamond"/>
          <w:sz w:val="32"/>
          <w:szCs w:val="32"/>
        </w:rPr>
        <w:t xml:space="preserve">il </w:t>
      </w:r>
      <w:r w:rsidR="0008730C" w:rsidRPr="002E1DA3">
        <w:rPr>
          <w:rFonts w:ascii="Garamond" w:hAnsi="Garamond"/>
          <w:sz w:val="32"/>
          <w:szCs w:val="32"/>
        </w:rPr>
        <w:t>concor</w:t>
      </w:r>
      <w:r w:rsidR="00721332" w:rsidRPr="002E1DA3">
        <w:rPr>
          <w:rFonts w:ascii="Garamond" w:hAnsi="Garamond"/>
          <w:sz w:val="32"/>
          <w:szCs w:val="32"/>
        </w:rPr>
        <w:t>so</w:t>
      </w:r>
      <w:r w:rsidR="004B504A" w:rsidRPr="002E1DA3">
        <w:rPr>
          <w:rFonts w:ascii="Garamond" w:hAnsi="Garamond"/>
          <w:sz w:val="32"/>
          <w:szCs w:val="32"/>
        </w:rPr>
        <w:t xml:space="preserve"> è</w:t>
      </w:r>
      <w:r w:rsidR="00721332" w:rsidRPr="002E1DA3">
        <w:rPr>
          <w:rFonts w:ascii="Garamond" w:hAnsi="Garamond"/>
          <w:sz w:val="32"/>
          <w:szCs w:val="32"/>
        </w:rPr>
        <w:t xml:space="preserve"> pubblico</w:t>
      </w:r>
      <w:r w:rsidR="004B504A" w:rsidRPr="002E1DA3">
        <w:rPr>
          <w:rFonts w:ascii="Garamond" w:hAnsi="Garamond"/>
          <w:sz w:val="32"/>
          <w:szCs w:val="32"/>
        </w:rPr>
        <w:t xml:space="preserve"> e quando no</w:t>
      </w:r>
      <w:r w:rsidR="0008730C" w:rsidRPr="002E1DA3">
        <w:rPr>
          <w:rFonts w:ascii="Garamond" w:hAnsi="Garamond"/>
          <w:sz w:val="32"/>
          <w:szCs w:val="32"/>
        </w:rPr>
        <w:t xml:space="preserve">. Ridefinizioni che </w:t>
      </w:r>
      <w:r w:rsidRPr="002E1DA3">
        <w:rPr>
          <w:rFonts w:ascii="Garamond" w:hAnsi="Garamond"/>
          <w:sz w:val="32"/>
          <w:szCs w:val="32"/>
        </w:rPr>
        <w:t xml:space="preserve">in </w:t>
      </w:r>
      <w:r w:rsidR="0008730C" w:rsidRPr="002E1DA3">
        <w:rPr>
          <w:rFonts w:ascii="Garamond" w:hAnsi="Garamond"/>
          <w:sz w:val="32"/>
          <w:szCs w:val="32"/>
        </w:rPr>
        <w:t xml:space="preserve">realtà non hanno trovato molta resistenza nel Consiglio di Stato. </w:t>
      </w:r>
      <w:r w:rsidRPr="002E1DA3">
        <w:rPr>
          <w:rFonts w:ascii="Garamond" w:hAnsi="Garamond"/>
          <w:sz w:val="32"/>
          <w:szCs w:val="32"/>
        </w:rPr>
        <w:t xml:space="preserve">Questi </w:t>
      </w:r>
      <w:r w:rsidR="0008730C" w:rsidRPr="002E1DA3">
        <w:rPr>
          <w:rFonts w:ascii="Garamond" w:hAnsi="Garamond"/>
          <w:sz w:val="32"/>
          <w:szCs w:val="32"/>
        </w:rPr>
        <w:t>interventi si sono verificati</w:t>
      </w:r>
      <w:r w:rsidRPr="002E1DA3">
        <w:rPr>
          <w:rFonts w:ascii="Garamond" w:hAnsi="Garamond"/>
          <w:sz w:val="32"/>
          <w:szCs w:val="32"/>
        </w:rPr>
        <w:t xml:space="preserve"> poi</w:t>
      </w:r>
      <w:r w:rsidR="0008730C" w:rsidRPr="002E1DA3">
        <w:rPr>
          <w:rFonts w:ascii="Garamond" w:hAnsi="Garamond"/>
          <w:sz w:val="32"/>
          <w:szCs w:val="32"/>
        </w:rPr>
        <w:t xml:space="preserve"> anche nel diritto processuale amministrativo, recentemente sul ruolo dell’interventore</w:t>
      </w:r>
      <w:r w:rsidR="003D6280" w:rsidRPr="002E1DA3">
        <w:rPr>
          <w:rStyle w:val="Rimandonotaapidipagina"/>
          <w:rFonts w:ascii="Garamond" w:hAnsi="Garamond"/>
          <w:sz w:val="32"/>
          <w:szCs w:val="32"/>
        </w:rPr>
        <w:footnoteReference w:id="6"/>
      </w:r>
      <w:r w:rsidR="0008730C" w:rsidRPr="002E1DA3">
        <w:rPr>
          <w:rFonts w:ascii="Garamond" w:hAnsi="Garamond"/>
          <w:sz w:val="32"/>
          <w:szCs w:val="32"/>
        </w:rPr>
        <w:t xml:space="preserve">. </w:t>
      </w:r>
    </w:p>
    <w:p w14:paraId="64592D5E" w14:textId="77777777" w:rsidR="0008730C" w:rsidRPr="002E1DA3" w:rsidRDefault="003D6280" w:rsidP="00866E4D">
      <w:pPr>
        <w:spacing w:line="240" w:lineRule="auto"/>
        <w:jc w:val="both"/>
        <w:rPr>
          <w:rFonts w:ascii="Garamond" w:hAnsi="Garamond"/>
          <w:sz w:val="32"/>
          <w:szCs w:val="32"/>
        </w:rPr>
      </w:pPr>
      <w:r w:rsidRPr="002E1DA3">
        <w:rPr>
          <w:rFonts w:ascii="Garamond" w:hAnsi="Garamond"/>
          <w:sz w:val="32"/>
          <w:szCs w:val="32"/>
        </w:rPr>
        <w:t xml:space="preserve">Infine, </w:t>
      </w:r>
      <w:r w:rsidR="0008730C" w:rsidRPr="002E1DA3">
        <w:rPr>
          <w:rFonts w:ascii="Garamond" w:hAnsi="Garamond"/>
          <w:sz w:val="32"/>
          <w:szCs w:val="32"/>
        </w:rPr>
        <w:t xml:space="preserve">una </w:t>
      </w:r>
      <w:r w:rsidRPr="002E1DA3">
        <w:rPr>
          <w:rFonts w:ascii="Garamond" w:hAnsi="Garamond"/>
          <w:sz w:val="32"/>
          <w:szCs w:val="32"/>
        </w:rPr>
        <w:t xml:space="preserve">certa </w:t>
      </w:r>
      <w:r w:rsidR="0008730C" w:rsidRPr="002E1DA3">
        <w:rPr>
          <w:rFonts w:ascii="Garamond" w:hAnsi="Garamond"/>
          <w:sz w:val="32"/>
          <w:szCs w:val="32"/>
        </w:rPr>
        <w:t>tendenza a valutare restrittivamente le condizioni dell’azione riducendo così le occasioni in cui poter sindacare l’azione amministrativa</w:t>
      </w:r>
      <w:r w:rsidR="00005368" w:rsidRPr="002E1DA3">
        <w:rPr>
          <w:rStyle w:val="Rimandonotaapidipagina"/>
          <w:rFonts w:ascii="Garamond" w:hAnsi="Garamond"/>
          <w:sz w:val="32"/>
          <w:szCs w:val="32"/>
        </w:rPr>
        <w:footnoteReference w:id="7"/>
      </w:r>
      <w:r w:rsidR="0008730C" w:rsidRPr="002E1DA3">
        <w:rPr>
          <w:rFonts w:ascii="Garamond" w:hAnsi="Garamond"/>
          <w:sz w:val="32"/>
          <w:szCs w:val="32"/>
        </w:rPr>
        <w:t>.</w:t>
      </w:r>
    </w:p>
    <w:p w14:paraId="4C2E58B9" w14:textId="77777777" w:rsidR="0008730C" w:rsidRPr="002E1DA3" w:rsidRDefault="0008730C" w:rsidP="00866E4D">
      <w:pPr>
        <w:spacing w:line="240" w:lineRule="auto"/>
        <w:jc w:val="both"/>
        <w:rPr>
          <w:rFonts w:ascii="Garamond" w:hAnsi="Garamond"/>
          <w:sz w:val="32"/>
          <w:szCs w:val="32"/>
        </w:rPr>
      </w:pPr>
      <w:r w:rsidRPr="002E1DA3">
        <w:rPr>
          <w:rFonts w:ascii="Garamond" w:hAnsi="Garamond"/>
          <w:sz w:val="32"/>
          <w:szCs w:val="32"/>
        </w:rPr>
        <w:t>Un problema analogo di etero-interpretazione si presenta con la Corte di giustizia dell’Unione Europea, ma in questo ultimo caso si riscontra qualche difficoltà culturale da parte i</w:t>
      </w:r>
      <w:r w:rsidR="00FA29E3" w:rsidRPr="002E1DA3">
        <w:rPr>
          <w:rFonts w:ascii="Garamond" w:hAnsi="Garamond"/>
          <w:sz w:val="32"/>
          <w:szCs w:val="32"/>
        </w:rPr>
        <w:t>taliana nel suo rapporto con l’O</w:t>
      </w:r>
      <w:r w:rsidRPr="002E1DA3">
        <w:rPr>
          <w:rFonts w:ascii="Garamond" w:hAnsi="Garamond"/>
          <w:sz w:val="32"/>
          <w:szCs w:val="32"/>
        </w:rPr>
        <w:t>rganizzazione sovranazionale</w:t>
      </w:r>
      <w:r w:rsidRPr="002E1DA3">
        <w:rPr>
          <w:rStyle w:val="Rimandonotaapidipagina"/>
          <w:rFonts w:ascii="Garamond" w:hAnsi="Garamond"/>
          <w:sz w:val="32"/>
          <w:szCs w:val="32"/>
        </w:rPr>
        <w:footnoteReference w:id="8"/>
      </w:r>
      <w:r w:rsidRPr="002E1DA3">
        <w:rPr>
          <w:rFonts w:ascii="Garamond" w:hAnsi="Garamond"/>
          <w:sz w:val="32"/>
          <w:szCs w:val="32"/>
        </w:rPr>
        <w:t>.</w:t>
      </w:r>
    </w:p>
    <w:p w14:paraId="290E886D" w14:textId="77777777" w:rsidR="0008730C" w:rsidRPr="002E1DA3" w:rsidRDefault="0008730C" w:rsidP="00866E4D">
      <w:pPr>
        <w:spacing w:line="240" w:lineRule="auto"/>
        <w:jc w:val="both"/>
        <w:rPr>
          <w:rFonts w:ascii="Garamond" w:hAnsi="Garamond"/>
          <w:sz w:val="32"/>
          <w:szCs w:val="32"/>
        </w:rPr>
      </w:pPr>
      <w:r w:rsidRPr="002E1DA3">
        <w:rPr>
          <w:rFonts w:ascii="Garamond" w:hAnsi="Garamond"/>
          <w:sz w:val="32"/>
          <w:szCs w:val="32"/>
        </w:rPr>
        <w:t>Esiste poi una serie di sentenze che sembra</w:t>
      </w:r>
      <w:r w:rsidR="00754444" w:rsidRPr="002E1DA3">
        <w:rPr>
          <w:rFonts w:ascii="Garamond" w:hAnsi="Garamond"/>
          <w:sz w:val="32"/>
          <w:szCs w:val="32"/>
        </w:rPr>
        <w:t xml:space="preserve"> andare in controtendenza rispetto a </w:t>
      </w:r>
      <w:r w:rsidRPr="002E1DA3">
        <w:rPr>
          <w:rFonts w:ascii="Garamond" w:hAnsi="Garamond"/>
          <w:sz w:val="32"/>
          <w:szCs w:val="32"/>
        </w:rPr>
        <w:t>quest</w:t>
      </w:r>
      <w:r w:rsidR="00934B5A" w:rsidRPr="002E1DA3">
        <w:rPr>
          <w:rFonts w:ascii="Garamond" w:hAnsi="Garamond"/>
          <w:sz w:val="32"/>
          <w:szCs w:val="32"/>
        </w:rPr>
        <w:t>’</w:t>
      </w:r>
      <w:r w:rsidRPr="002E1DA3">
        <w:rPr>
          <w:rFonts w:ascii="Garamond" w:hAnsi="Garamond"/>
          <w:sz w:val="32"/>
          <w:szCs w:val="32"/>
        </w:rPr>
        <w:t xml:space="preserve">aspirazione produttivistica e che si connota per il fatto di smentire la storia degli istituti di cui si occupa e la giurisprudenza che sugli stessi si è formata. </w:t>
      </w:r>
    </w:p>
    <w:p w14:paraId="2D94818F" w14:textId="77777777" w:rsidR="00C07FBC" w:rsidRPr="002E1DA3" w:rsidRDefault="0008730C" w:rsidP="00866E4D">
      <w:pPr>
        <w:spacing w:line="240" w:lineRule="auto"/>
        <w:jc w:val="both"/>
        <w:rPr>
          <w:sz w:val="32"/>
          <w:szCs w:val="32"/>
        </w:rPr>
      </w:pPr>
      <w:r w:rsidRPr="002E1DA3">
        <w:rPr>
          <w:rFonts w:ascii="Garamond" w:hAnsi="Garamond"/>
          <w:sz w:val="32"/>
          <w:szCs w:val="32"/>
        </w:rPr>
        <w:t>Accenno solo brevemente, perché oggetto probabilmente della tavola rotonda, ad alcune di esse.</w:t>
      </w:r>
      <w:r w:rsidR="00934B5A" w:rsidRPr="002E1DA3">
        <w:rPr>
          <w:sz w:val="32"/>
          <w:szCs w:val="32"/>
        </w:rPr>
        <w:t xml:space="preserve"> </w:t>
      </w:r>
    </w:p>
    <w:p w14:paraId="353B1B20" w14:textId="77777777" w:rsidR="0008730C" w:rsidRPr="002E1DA3" w:rsidRDefault="00934B5A" w:rsidP="00866E4D">
      <w:pPr>
        <w:spacing w:line="240" w:lineRule="auto"/>
        <w:jc w:val="both"/>
        <w:rPr>
          <w:rFonts w:ascii="Garamond" w:hAnsi="Garamond"/>
          <w:sz w:val="32"/>
          <w:szCs w:val="32"/>
        </w:rPr>
      </w:pPr>
      <w:r w:rsidRPr="002E1DA3">
        <w:rPr>
          <w:rFonts w:ascii="Garamond" w:hAnsi="Garamond"/>
          <w:sz w:val="32"/>
          <w:szCs w:val="32"/>
        </w:rPr>
        <w:t xml:space="preserve">Un primo gruppo è costituito dalle note decisioni dell’Adunanza plenaria </w:t>
      </w:r>
      <w:r w:rsidR="0008730C" w:rsidRPr="002E1DA3">
        <w:rPr>
          <w:rFonts w:ascii="Garamond" w:hAnsi="Garamond"/>
          <w:sz w:val="32"/>
          <w:szCs w:val="32"/>
        </w:rPr>
        <w:t>sull’articolo 105 del codice del processo amministrativo</w:t>
      </w:r>
      <w:r w:rsidRPr="002E1DA3">
        <w:rPr>
          <w:rFonts w:ascii="Garamond" w:hAnsi="Garamond"/>
          <w:sz w:val="32"/>
          <w:szCs w:val="32"/>
        </w:rPr>
        <w:t>:</w:t>
      </w:r>
      <w:r w:rsidR="00D73FBF" w:rsidRPr="002E1DA3">
        <w:rPr>
          <w:rFonts w:ascii="Garamond" w:hAnsi="Garamond"/>
          <w:sz w:val="32"/>
          <w:szCs w:val="32"/>
        </w:rPr>
        <w:t xml:space="preserve"> la</w:t>
      </w:r>
      <w:r w:rsidR="0008730C" w:rsidRPr="002E1DA3">
        <w:rPr>
          <w:rFonts w:ascii="Garamond" w:hAnsi="Garamond"/>
          <w:sz w:val="32"/>
          <w:szCs w:val="32"/>
        </w:rPr>
        <w:t xml:space="preserve"> </w:t>
      </w:r>
      <w:r w:rsidR="00D73FBF" w:rsidRPr="002E1DA3">
        <w:rPr>
          <w:rFonts w:ascii="Garamond" w:hAnsi="Garamond"/>
          <w:sz w:val="32"/>
          <w:szCs w:val="32"/>
        </w:rPr>
        <w:t xml:space="preserve">n. 16 del </w:t>
      </w:r>
      <w:r w:rsidR="0008730C" w:rsidRPr="002E1DA3">
        <w:rPr>
          <w:rFonts w:ascii="Garamond" w:hAnsi="Garamond"/>
          <w:sz w:val="32"/>
          <w:szCs w:val="32"/>
        </w:rPr>
        <w:t>20 novembre 2024</w:t>
      </w:r>
      <w:r w:rsidR="00D73FBF" w:rsidRPr="002E1DA3">
        <w:rPr>
          <w:rFonts w:ascii="Garamond" w:hAnsi="Garamond"/>
          <w:sz w:val="32"/>
          <w:szCs w:val="32"/>
        </w:rPr>
        <w:t xml:space="preserve"> e la</w:t>
      </w:r>
      <w:r w:rsidR="00D73FBF" w:rsidRPr="002E1DA3">
        <w:rPr>
          <w:sz w:val="32"/>
          <w:szCs w:val="32"/>
        </w:rPr>
        <w:t xml:space="preserve"> </w:t>
      </w:r>
      <w:r w:rsidR="00D73FBF" w:rsidRPr="002E1DA3">
        <w:rPr>
          <w:rFonts w:ascii="Garamond" w:hAnsi="Garamond"/>
          <w:sz w:val="32"/>
          <w:szCs w:val="32"/>
        </w:rPr>
        <w:t>n. 10 del</w:t>
      </w:r>
      <w:r w:rsidR="0008730C" w:rsidRPr="002E1DA3">
        <w:rPr>
          <w:rFonts w:ascii="Garamond" w:hAnsi="Garamond"/>
          <w:sz w:val="32"/>
          <w:szCs w:val="32"/>
        </w:rPr>
        <w:t xml:space="preserve"> 15 luglio 2025</w:t>
      </w:r>
      <w:r w:rsidR="0008730C" w:rsidRPr="002E1DA3">
        <w:rPr>
          <w:rStyle w:val="Rimandonotaapidipagina"/>
          <w:rFonts w:ascii="Garamond" w:hAnsi="Garamond"/>
          <w:sz w:val="32"/>
          <w:szCs w:val="32"/>
        </w:rPr>
        <w:footnoteReference w:id="9"/>
      </w:r>
      <w:r w:rsidR="0008730C" w:rsidRPr="002E1DA3">
        <w:rPr>
          <w:rFonts w:ascii="Garamond" w:hAnsi="Garamond"/>
          <w:sz w:val="32"/>
          <w:szCs w:val="32"/>
        </w:rPr>
        <w:t>.</w:t>
      </w:r>
    </w:p>
    <w:p w14:paraId="378C5BBD" w14:textId="77777777" w:rsidR="0008730C" w:rsidRPr="002E1DA3" w:rsidRDefault="0008730C" w:rsidP="00866E4D">
      <w:pPr>
        <w:spacing w:line="240" w:lineRule="auto"/>
        <w:jc w:val="both"/>
        <w:rPr>
          <w:rFonts w:ascii="Garamond" w:hAnsi="Garamond"/>
          <w:sz w:val="32"/>
          <w:szCs w:val="32"/>
        </w:rPr>
      </w:pPr>
      <w:r w:rsidRPr="002E1DA3">
        <w:rPr>
          <w:rFonts w:ascii="Garamond" w:hAnsi="Garamond"/>
          <w:sz w:val="32"/>
          <w:szCs w:val="32"/>
        </w:rPr>
        <w:t>Non voglio dilungarmi sull’argomento perché ne</w:t>
      </w:r>
      <w:r w:rsidR="00303E9C" w:rsidRPr="002E1DA3">
        <w:rPr>
          <w:rFonts w:ascii="Garamond" w:hAnsi="Garamond"/>
          <w:sz w:val="32"/>
          <w:szCs w:val="32"/>
        </w:rPr>
        <w:t xml:space="preserve"> parleranno </w:t>
      </w:r>
      <w:r w:rsidRPr="002E1DA3">
        <w:rPr>
          <w:rFonts w:ascii="Garamond" w:hAnsi="Garamond"/>
          <w:sz w:val="32"/>
          <w:szCs w:val="32"/>
        </w:rPr>
        <w:t>sicuramente</w:t>
      </w:r>
      <w:r w:rsidR="00303E9C" w:rsidRPr="002E1DA3">
        <w:rPr>
          <w:rFonts w:ascii="Garamond" w:hAnsi="Garamond"/>
          <w:sz w:val="32"/>
          <w:szCs w:val="32"/>
        </w:rPr>
        <w:t xml:space="preserve"> i partecipanti alla </w:t>
      </w:r>
      <w:r w:rsidRPr="002E1DA3">
        <w:rPr>
          <w:rFonts w:ascii="Garamond" w:hAnsi="Garamond"/>
          <w:sz w:val="32"/>
          <w:szCs w:val="32"/>
        </w:rPr>
        <w:t xml:space="preserve">tavola rotonda ma non posso non osservare che queste pronunce ignorano il percorso giurisprudenziale dell'Adunanza plenaria volto a tipizzare le ipotesi di rinvio al </w:t>
      </w:r>
      <w:r w:rsidR="00303E9C" w:rsidRPr="002E1DA3">
        <w:rPr>
          <w:rFonts w:ascii="Garamond" w:hAnsi="Garamond"/>
          <w:sz w:val="32"/>
          <w:szCs w:val="32"/>
        </w:rPr>
        <w:t>primo</w:t>
      </w:r>
      <w:r w:rsidRPr="002E1DA3">
        <w:rPr>
          <w:rFonts w:ascii="Garamond" w:hAnsi="Garamond"/>
          <w:sz w:val="32"/>
          <w:szCs w:val="32"/>
        </w:rPr>
        <w:t xml:space="preserve"> grado, in presenza di una formulazione assai generica dell'articolo 35 della legge T</w:t>
      </w:r>
      <w:r w:rsidR="00E65BD3" w:rsidRPr="002E1DA3">
        <w:rPr>
          <w:rFonts w:ascii="Garamond" w:hAnsi="Garamond"/>
          <w:sz w:val="32"/>
          <w:szCs w:val="32"/>
        </w:rPr>
        <w:t>.</w:t>
      </w:r>
      <w:r w:rsidRPr="002E1DA3">
        <w:rPr>
          <w:rFonts w:ascii="Garamond" w:hAnsi="Garamond"/>
          <w:sz w:val="32"/>
          <w:szCs w:val="32"/>
        </w:rPr>
        <w:t>a</w:t>
      </w:r>
      <w:r w:rsidR="00E65BD3" w:rsidRPr="002E1DA3">
        <w:rPr>
          <w:rFonts w:ascii="Garamond" w:hAnsi="Garamond"/>
          <w:sz w:val="32"/>
          <w:szCs w:val="32"/>
        </w:rPr>
        <w:t>.</w:t>
      </w:r>
      <w:r w:rsidRPr="002E1DA3">
        <w:rPr>
          <w:rFonts w:ascii="Garamond" w:hAnsi="Garamond"/>
          <w:sz w:val="32"/>
          <w:szCs w:val="32"/>
        </w:rPr>
        <w:t>r</w:t>
      </w:r>
      <w:r w:rsidR="00E65BD3" w:rsidRPr="002E1DA3">
        <w:rPr>
          <w:rFonts w:ascii="Garamond" w:hAnsi="Garamond"/>
          <w:sz w:val="32"/>
          <w:szCs w:val="32"/>
        </w:rPr>
        <w:t>.</w:t>
      </w:r>
      <w:r w:rsidR="000C77EA" w:rsidRPr="002E1DA3">
        <w:rPr>
          <w:rFonts w:ascii="Garamond" w:hAnsi="Garamond"/>
          <w:sz w:val="32"/>
          <w:szCs w:val="32"/>
        </w:rPr>
        <w:t>,</w:t>
      </w:r>
      <w:r w:rsidRPr="002E1DA3">
        <w:rPr>
          <w:rFonts w:ascii="Garamond" w:hAnsi="Garamond"/>
          <w:sz w:val="32"/>
          <w:szCs w:val="32"/>
        </w:rPr>
        <w:t xml:space="preserve"> e l’esplicita intenzione del codice di rendere queste ipotesi casi tassativi</w:t>
      </w:r>
      <w:r w:rsidR="00BC585E" w:rsidRPr="002E1DA3">
        <w:rPr>
          <w:rStyle w:val="Rimandonotaapidipagina"/>
          <w:rFonts w:ascii="Garamond" w:hAnsi="Garamond"/>
          <w:sz w:val="32"/>
          <w:szCs w:val="32"/>
        </w:rPr>
        <w:footnoteReference w:id="10"/>
      </w:r>
      <w:r w:rsidRPr="002E1DA3">
        <w:rPr>
          <w:rFonts w:ascii="Garamond" w:hAnsi="Garamond"/>
          <w:sz w:val="32"/>
          <w:szCs w:val="32"/>
        </w:rPr>
        <w:t>. Vorrei solo ricordare</w:t>
      </w:r>
      <w:r w:rsidRPr="002E1DA3">
        <w:rPr>
          <w:sz w:val="32"/>
          <w:szCs w:val="32"/>
        </w:rPr>
        <w:t xml:space="preserve"> </w:t>
      </w:r>
      <w:r w:rsidRPr="002E1DA3">
        <w:rPr>
          <w:rFonts w:ascii="Garamond" w:hAnsi="Garamond"/>
          <w:sz w:val="32"/>
          <w:szCs w:val="32"/>
        </w:rPr>
        <w:t>che</w:t>
      </w:r>
      <w:r w:rsidRPr="002E1DA3">
        <w:rPr>
          <w:sz w:val="32"/>
          <w:szCs w:val="32"/>
        </w:rPr>
        <w:t xml:space="preserve"> </w:t>
      </w:r>
      <w:r w:rsidRPr="002E1DA3">
        <w:rPr>
          <w:rFonts w:ascii="Garamond" w:hAnsi="Garamond"/>
          <w:sz w:val="32"/>
          <w:szCs w:val="32"/>
        </w:rPr>
        <w:t>l’</w:t>
      </w:r>
      <w:r w:rsidR="000C77EA" w:rsidRPr="002E1DA3">
        <w:rPr>
          <w:rFonts w:ascii="Garamond" w:hAnsi="Garamond"/>
          <w:sz w:val="32"/>
          <w:szCs w:val="32"/>
        </w:rPr>
        <w:t>A</w:t>
      </w:r>
      <w:r w:rsidRPr="002E1DA3">
        <w:rPr>
          <w:rFonts w:ascii="Garamond" w:hAnsi="Garamond"/>
          <w:sz w:val="32"/>
          <w:szCs w:val="32"/>
        </w:rPr>
        <w:t>dunanza generale del Consiglio di Stato, nel parere n. 236/94 del 6 ottobre 1994 sullo schema di disegno di legge per la riforma del processo amministrativo, suggerì l’abrogazione dell’art. 35 della legge n. 1034/1971, con l’obbligo, una volta riformata la sentenza impugnata, di decidere «semp</w:t>
      </w:r>
      <w:r w:rsidR="00BC585E" w:rsidRPr="002E1DA3">
        <w:rPr>
          <w:rFonts w:ascii="Garamond" w:hAnsi="Garamond"/>
          <w:sz w:val="32"/>
          <w:szCs w:val="32"/>
        </w:rPr>
        <w:t>re senza rinvio», in modo da «</w:t>
      </w:r>
      <w:r w:rsidRPr="002E1DA3">
        <w:rPr>
          <w:rFonts w:ascii="Garamond" w:hAnsi="Garamond"/>
          <w:sz w:val="32"/>
          <w:szCs w:val="32"/>
        </w:rPr>
        <w:t>evitare che il Consiglio di Stato annulli con rinvio, prolungando così il giudizio di altri due possibili gradi»</w:t>
      </w:r>
      <w:r w:rsidR="00BC585E" w:rsidRPr="002E1DA3">
        <w:rPr>
          <w:rFonts w:ascii="Garamond" w:hAnsi="Garamond"/>
          <w:sz w:val="32"/>
          <w:szCs w:val="32"/>
        </w:rPr>
        <w:t>.</w:t>
      </w:r>
    </w:p>
    <w:p w14:paraId="1EA83595" w14:textId="77777777" w:rsidR="0008730C" w:rsidRPr="002E1DA3" w:rsidRDefault="000C44C0" w:rsidP="00866E4D">
      <w:pPr>
        <w:spacing w:line="240" w:lineRule="auto"/>
        <w:jc w:val="both"/>
        <w:rPr>
          <w:rFonts w:ascii="Garamond" w:hAnsi="Garamond"/>
          <w:sz w:val="32"/>
          <w:szCs w:val="32"/>
        </w:rPr>
      </w:pPr>
      <w:r w:rsidRPr="002E1DA3">
        <w:rPr>
          <w:rFonts w:ascii="Garamond" w:hAnsi="Garamond"/>
          <w:sz w:val="32"/>
          <w:szCs w:val="32"/>
        </w:rPr>
        <w:t>Le sentenze da ultime menzionate s</w:t>
      </w:r>
      <w:r w:rsidR="00754444" w:rsidRPr="002E1DA3">
        <w:rPr>
          <w:rFonts w:ascii="Garamond" w:hAnsi="Garamond"/>
          <w:sz w:val="32"/>
          <w:szCs w:val="32"/>
        </w:rPr>
        <w:t>’</w:t>
      </w:r>
      <w:r w:rsidRPr="002E1DA3">
        <w:rPr>
          <w:rFonts w:ascii="Garamond" w:hAnsi="Garamond"/>
          <w:sz w:val="32"/>
          <w:szCs w:val="32"/>
        </w:rPr>
        <w:t xml:space="preserve">inseriscono invero nella </w:t>
      </w:r>
      <w:r w:rsidR="0008730C" w:rsidRPr="002E1DA3">
        <w:rPr>
          <w:rFonts w:ascii="Garamond" w:hAnsi="Garamond"/>
          <w:sz w:val="32"/>
          <w:szCs w:val="32"/>
        </w:rPr>
        <w:t xml:space="preserve">scia di quelle pronunce che insistono su un esame minuto delle censure e degli argomenti e su un ordine “vincolante” nell’esame dei motivi, tendenzialmente contrario all’assorbimento, salvo poi invocare la “ragione più liquida”. Sono sentenze, come pure quelle che offrono </w:t>
      </w:r>
      <w:r w:rsidRPr="002E1DA3">
        <w:rPr>
          <w:rFonts w:ascii="Garamond" w:hAnsi="Garamond"/>
          <w:sz w:val="32"/>
          <w:szCs w:val="32"/>
        </w:rPr>
        <w:t>un’</w:t>
      </w:r>
      <w:r w:rsidR="0008730C" w:rsidRPr="002E1DA3">
        <w:rPr>
          <w:rFonts w:ascii="Garamond" w:hAnsi="Garamond"/>
          <w:sz w:val="32"/>
          <w:szCs w:val="32"/>
        </w:rPr>
        <w:t>interpretazione restrittiva</w:t>
      </w:r>
      <w:r w:rsidR="0008730C" w:rsidRPr="002E1DA3">
        <w:rPr>
          <w:sz w:val="32"/>
          <w:szCs w:val="32"/>
        </w:rPr>
        <w:t xml:space="preserve"> </w:t>
      </w:r>
      <w:r w:rsidR="0008730C" w:rsidRPr="002E1DA3">
        <w:rPr>
          <w:rFonts w:ascii="Garamond" w:hAnsi="Garamond"/>
          <w:sz w:val="32"/>
          <w:szCs w:val="32"/>
        </w:rPr>
        <w:t xml:space="preserve">in tema di sopravvenuto difetto d’interesse, </w:t>
      </w:r>
      <w:r w:rsidRPr="002E1DA3">
        <w:rPr>
          <w:rFonts w:ascii="Garamond" w:hAnsi="Garamond"/>
          <w:sz w:val="32"/>
          <w:szCs w:val="32"/>
        </w:rPr>
        <w:t xml:space="preserve">che </w:t>
      </w:r>
      <w:r w:rsidR="0008730C" w:rsidRPr="002E1DA3">
        <w:rPr>
          <w:rFonts w:ascii="Garamond" w:hAnsi="Garamond"/>
          <w:sz w:val="32"/>
          <w:szCs w:val="32"/>
        </w:rPr>
        <w:t>considerano le norme processuali come un impedimento alla giustizia</w:t>
      </w:r>
      <w:r w:rsidR="00DC1FB4" w:rsidRPr="002E1DA3">
        <w:rPr>
          <w:rStyle w:val="Rimandonotaapidipagina"/>
          <w:rFonts w:ascii="Garamond" w:hAnsi="Garamond"/>
          <w:sz w:val="32"/>
          <w:szCs w:val="32"/>
        </w:rPr>
        <w:footnoteReference w:id="11"/>
      </w:r>
      <w:r w:rsidR="0008730C" w:rsidRPr="002E1DA3">
        <w:rPr>
          <w:rFonts w:ascii="Garamond" w:hAnsi="Garamond"/>
          <w:sz w:val="32"/>
          <w:szCs w:val="32"/>
        </w:rPr>
        <w:t xml:space="preserve"> e non una fondamentale garanzia del diritto di difesa e della parità delle parti, come </w:t>
      </w:r>
      <w:r w:rsidR="00D974E9" w:rsidRPr="002E1DA3">
        <w:rPr>
          <w:rFonts w:ascii="Garamond" w:hAnsi="Garamond"/>
          <w:sz w:val="32"/>
          <w:szCs w:val="32"/>
        </w:rPr>
        <w:t xml:space="preserve">ha </w:t>
      </w:r>
      <w:r w:rsidR="0008730C" w:rsidRPr="002E1DA3">
        <w:rPr>
          <w:rFonts w:ascii="Garamond" w:hAnsi="Garamond"/>
          <w:sz w:val="32"/>
          <w:szCs w:val="32"/>
        </w:rPr>
        <w:t>ricordato il professor Luciani</w:t>
      </w:r>
      <w:r w:rsidR="0015740A" w:rsidRPr="002E1DA3">
        <w:rPr>
          <w:rFonts w:ascii="Garamond" w:hAnsi="Garamond"/>
          <w:sz w:val="32"/>
          <w:szCs w:val="32"/>
        </w:rPr>
        <w:t xml:space="preserve"> nella sua relazione al corso organizzato da</w:t>
      </w:r>
      <w:r w:rsidR="0008730C" w:rsidRPr="002E1DA3">
        <w:rPr>
          <w:rFonts w:ascii="Garamond" w:hAnsi="Garamond"/>
          <w:sz w:val="32"/>
          <w:szCs w:val="32"/>
        </w:rPr>
        <w:t>ll’Ufficio studi</w:t>
      </w:r>
      <w:r w:rsidR="0015740A" w:rsidRPr="002E1DA3">
        <w:rPr>
          <w:rFonts w:ascii="Garamond" w:hAnsi="Garamond"/>
          <w:sz w:val="32"/>
          <w:szCs w:val="32"/>
        </w:rPr>
        <w:t>, dedicato</w:t>
      </w:r>
      <w:r w:rsidR="00A01718" w:rsidRPr="002E1DA3">
        <w:rPr>
          <w:rFonts w:ascii="Garamond" w:hAnsi="Garamond"/>
          <w:sz w:val="32"/>
          <w:szCs w:val="32"/>
        </w:rPr>
        <w:t xml:space="preserve"> </w:t>
      </w:r>
      <w:r w:rsidR="00D974E9" w:rsidRPr="002E1DA3">
        <w:rPr>
          <w:rFonts w:ascii="Garamond" w:hAnsi="Garamond"/>
          <w:sz w:val="32"/>
          <w:szCs w:val="32"/>
        </w:rPr>
        <w:t>al tema “Poteri pubblici ed effettività della tutela”</w:t>
      </w:r>
      <w:r w:rsidR="00D974E9" w:rsidRPr="002E1DA3">
        <w:rPr>
          <w:rStyle w:val="Rimandonotaapidipagina"/>
          <w:rFonts w:ascii="Garamond" w:hAnsi="Garamond"/>
          <w:sz w:val="32"/>
          <w:szCs w:val="32"/>
        </w:rPr>
        <w:footnoteReference w:id="12"/>
      </w:r>
      <w:r w:rsidR="00D974E9" w:rsidRPr="002E1DA3">
        <w:rPr>
          <w:rFonts w:ascii="Garamond" w:hAnsi="Garamond"/>
          <w:sz w:val="32"/>
          <w:szCs w:val="32"/>
        </w:rPr>
        <w:t xml:space="preserve"> e comunque, ancor prima, autorevolmente affermato dall’Adunanza plenaria</w:t>
      </w:r>
      <w:r w:rsidR="00D974E9" w:rsidRPr="002E1DA3">
        <w:rPr>
          <w:rStyle w:val="Rimandonotaapidipagina"/>
          <w:rFonts w:ascii="Garamond" w:hAnsi="Garamond"/>
          <w:sz w:val="32"/>
          <w:szCs w:val="32"/>
        </w:rPr>
        <w:footnoteReference w:id="13"/>
      </w:r>
      <w:r w:rsidR="0008730C" w:rsidRPr="002E1DA3">
        <w:rPr>
          <w:rFonts w:ascii="Garamond" w:hAnsi="Garamond"/>
          <w:sz w:val="32"/>
          <w:szCs w:val="32"/>
        </w:rPr>
        <w:t>.</w:t>
      </w:r>
    </w:p>
    <w:p w14:paraId="361C5964" w14:textId="77777777" w:rsidR="0008730C" w:rsidRPr="002E1DA3" w:rsidRDefault="008E294A" w:rsidP="00866E4D">
      <w:pPr>
        <w:spacing w:line="240" w:lineRule="auto"/>
        <w:jc w:val="both"/>
        <w:rPr>
          <w:rFonts w:ascii="Garamond" w:hAnsi="Garamond"/>
          <w:sz w:val="32"/>
          <w:szCs w:val="32"/>
        </w:rPr>
      </w:pPr>
      <w:r w:rsidRPr="002E1DA3">
        <w:rPr>
          <w:rFonts w:ascii="Garamond" w:hAnsi="Garamond"/>
          <w:sz w:val="32"/>
          <w:szCs w:val="32"/>
        </w:rPr>
        <w:t>Un’altra serie di pronunce significative riguarda le cosiddette sentenze brevi. D</w:t>
      </w:r>
      <w:r w:rsidR="0008730C" w:rsidRPr="002E1DA3">
        <w:rPr>
          <w:rFonts w:ascii="Garamond" w:hAnsi="Garamond"/>
          <w:sz w:val="32"/>
          <w:szCs w:val="32"/>
        </w:rPr>
        <w:t>opo aver</w:t>
      </w:r>
      <w:r w:rsidRPr="002E1DA3">
        <w:rPr>
          <w:rFonts w:ascii="Garamond" w:hAnsi="Garamond"/>
          <w:sz w:val="32"/>
          <w:szCs w:val="32"/>
        </w:rPr>
        <w:t xml:space="preserve"> richiamato gli </w:t>
      </w:r>
      <w:r w:rsidR="0008730C" w:rsidRPr="002E1DA3">
        <w:rPr>
          <w:rFonts w:ascii="Garamond" w:hAnsi="Garamond"/>
          <w:sz w:val="32"/>
          <w:szCs w:val="32"/>
        </w:rPr>
        <w:t>avvocati</w:t>
      </w:r>
      <w:r w:rsidRPr="002E1DA3">
        <w:rPr>
          <w:rFonts w:ascii="Garamond" w:hAnsi="Garamond"/>
          <w:sz w:val="32"/>
          <w:szCs w:val="32"/>
        </w:rPr>
        <w:t xml:space="preserve"> (e anche i giudici</w:t>
      </w:r>
      <w:r w:rsidR="004F4CD6" w:rsidRPr="002E1DA3">
        <w:rPr>
          <w:rStyle w:val="Rimandonotaapidipagina"/>
          <w:rFonts w:ascii="Garamond" w:hAnsi="Garamond"/>
          <w:sz w:val="32"/>
          <w:szCs w:val="32"/>
        </w:rPr>
        <w:footnoteReference w:id="14"/>
      </w:r>
      <w:r w:rsidRPr="002E1DA3">
        <w:rPr>
          <w:rFonts w:ascii="Garamond" w:hAnsi="Garamond"/>
          <w:sz w:val="32"/>
          <w:szCs w:val="32"/>
        </w:rPr>
        <w:t xml:space="preserve">) al rispetto del principio </w:t>
      </w:r>
      <w:r w:rsidR="0008730C" w:rsidRPr="002E1DA3">
        <w:rPr>
          <w:rFonts w:ascii="Garamond" w:hAnsi="Garamond"/>
          <w:sz w:val="32"/>
          <w:szCs w:val="32"/>
        </w:rPr>
        <w:t>della “chiarezza e sinteticità”</w:t>
      </w:r>
      <w:r w:rsidR="004F4CD6" w:rsidRPr="002E1DA3">
        <w:rPr>
          <w:rStyle w:val="Rimandonotaapidipagina"/>
          <w:rFonts w:ascii="Garamond" w:hAnsi="Garamond"/>
          <w:sz w:val="32"/>
          <w:szCs w:val="32"/>
        </w:rPr>
        <w:footnoteReference w:id="15"/>
      </w:r>
      <w:r w:rsidR="0008730C" w:rsidRPr="002E1DA3">
        <w:rPr>
          <w:rFonts w:ascii="Garamond" w:hAnsi="Garamond"/>
          <w:sz w:val="32"/>
          <w:szCs w:val="32"/>
        </w:rPr>
        <w:t>, non sono infrequenti quelle sentenze che, pronunciandosi in appello su una sentenza in forma semplificata, la criticano perché “troppo semplificata”</w:t>
      </w:r>
      <w:r w:rsidR="004F4CD6" w:rsidRPr="002E1DA3">
        <w:rPr>
          <w:rStyle w:val="Rimandonotaapidipagina"/>
          <w:rFonts w:ascii="Garamond" w:hAnsi="Garamond"/>
          <w:sz w:val="32"/>
          <w:szCs w:val="32"/>
        </w:rPr>
        <w:footnoteReference w:id="16"/>
      </w:r>
      <w:r w:rsidR="004F4CD6" w:rsidRPr="002E1DA3">
        <w:rPr>
          <w:rFonts w:ascii="Garamond" w:hAnsi="Garamond"/>
          <w:sz w:val="32"/>
          <w:szCs w:val="32"/>
        </w:rPr>
        <w:t>.</w:t>
      </w:r>
    </w:p>
    <w:p w14:paraId="789E1702" w14:textId="77777777" w:rsidR="00457463" w:rsidRPr="002E1DA3" w:rsidRDefault="00457463" w:rsidP="00866E4D">
      <w:pPr>
        <w:spacing w:line="240" w:lineRule="auto"/>
        <w:jc w:val="both"/>
        <w:rPr>
          <w:rFonts w:ascii="Garamond" w:hAnsi="Garamond"/>
          <w:sz w:val="32"/>
          <w:szCs w:val="32"/>
        </w:rPr>
      </w:pPr>
      <w:r w:rsidRPr="002E1DA3">
        <w:rPr>
          <w:rFonts w:ascii="Garamond" w:hAnsi="Garamond"/>
          <w:sz w:val="32"/>
          <w:szCs w:val="32"/>
        </w:rPr>
        <w:t>Fenomeni analoghi d’interpretazione</w:t>
      </w:r>
      <w:r w:rsidR="00C07FBC" w:rsidRPr="002E1DA3">
        <w:rPr>
          <w:rFonts w:ascii="Garamond" w:hAnsi="Garamond"/>
          <w:sz w:val="32"/>
          <w:szCs w:val="32"/>
        </w:rPr>
        <w:t xml:space="preserve"> distante d</w:t>
      </w:r>
      <w:r w:rsidRPr="002E1DA3">
        <w:rPr>
          <w:rFonts w:ascii="Garamond" w:hAnsi="Garamond"/>
          <w:sz w:val="32"/>
          <w:szCs w:val="32"/>
        </w:rPr>
        <w:t xml:space="preserve">al dato normativo </w:t>
      </w:r>
      <w:r w:rsidR="00620739" w:rsidRPr="002E1DA3">
        <w:rPr>
          <w:rFonts w:ascii="Garamond" w:hAnsi="Garamond"/>
          <w:sz w:val="32"/>
          <w:szCs w:val="32"/>
        </w:rPr>
        <w:t xml:space="preserve">e </w:t>
      </w:r>
      <w:r w:rsidR="00C07FBC" w:rsidRPr="002E1DA3">
        <w:rPr>
          <w:rFonts w:ascii="Garamond" w:hAnsi="Garamond"/>
          <w:sz w:val="32"/>
          <w:szCs w:val="32"/>
        </w:rPr>
        <w:t>d</w:t>
      </w:r>
      <w:r w:rsidRPr="002E1DA3">
        <w:rPr>
          <w:rFonts w:ascii="Garamond" w:hAnsi="Garamond"/>
          <w:sz w:val="32"/>
          <w:szCs w:val="32"/>
        </w:rPr>
        <w:t>a</w:t>
      </w:r>
      <w:r w:rsidR="00620739" w:rsidRPr="002E1DA3">
        <w:rPr>
          <w:rFonts w:ascii="Garamond" w:hAnsi="Garamond"/>
          <w:sz w:val="32"/>
          <w:szCs w:val="32"/>
        </w:rPr>
        <w:t>i</w:t>
      </w:r>
      <w:r w:rsidRPr="002E1DA3">
        <w:rPr>
          <w:rFonts w:ascii="Garamond" w:hAnsi="Garamond"/>
          <w:sz w:val="32"/>
          <w:szCs w:val="32"/>
        </w:rPr>
        <w:t xml:space="preserve"> precedenti giurisprudenziali</w:t>
      </w:r>
      <w:r w:rsidR="00C07FBC" w:rsidRPr="002E1DA3">
        <w:rPr>
          <w:rFonts w:ascii="Garamond" w:hAnsi="Garamond"/>
          <w:sz w:val="32"/>
          <w:szCs w:val="32"/>
        </w:rPr>
        <w:t>,</w:t>
      </w:r>
      <w:r w:rsidRPr="002E1DA3">
        <w:rPr>
          <w:rFonts w:ascii="Garamond" w:hAnsi="Garamond"/>
          <w:sz w:val="32"/>
          <w:szCs w:val="32"/>
        </w:rPr>
        <w:t xml:space="preserve"> </w:t>
      </w:r>
      <w:r w:rsidR="0047752E" w:rsidRPr="002E1DA3">
        <w:rPr>
          <w:rFonts w:ascii="Garamond" w:hAnsi="Garamond"/>
          <w:sz w:val="32"/>
          <w:szCs w:val="32"/>
        </w:rPr>
        <w:t>che non agevolano la pronta definizione della complessiva vicenda contenziosa</w:t>
      </w:r>
      <w:r w:rsidR="00C07FBC" w:rsidRPr="002E1DA3">
        <w:rPr>
          <w:rFonts w:ascii="Garamond" w:hAnsi="Garamond"/>
          <w:sz w:val="32"/>
          <w:szCs w:val="32"/>
        </w:rPr>
        <w:t>,</w:t>
      </w:r>
      <w:r w:rsidR="0047752E" w:rsidRPr="002E1DA3">
        <w:rPr>
          <w:rFonts w:ascii="Garamond" w:hAnsi="Garamond"/>
          <w:sz w:val="32"/>
          <w:szCs w:val="32"/>
        </w:rPr>
        <w:t xml:space="preserve"> </w:t>
      </w:r>
      <w:r w:rsidRPr="002E1DA3">
        <w:rPr>
          <w:rFonts w:ascii="Garamond" w:hAnsi="Garamond"/>
          <w:sz w:val="32"/>
          <w:szCs w:val="32"/>
        </w:rPr>
        <w:t xml:space="preserve">si registrano anche per la </w:t>
      </w:r>
      <w:r w:rsidR="0008730C" w:rsidRPr="002E1DA3">
        <w:rPr>
          <w:rFonts w:ascii="Garamond" w:hAnsi="Garamond"/>
          <w:sz w:val="32"/>
          <w:szCs w:val="32"/>
        </w:rPr>
        <w:t>fase</w:t>
      </w:r>
      <w:r w:rsidRPr="002E1DA3">
        <w:rPr>
          <w:rFonts w:ascii="Garamond" w:hAnsi="Garamond"/>
          <w:sz w:val="32"/>
          <w:szCs w:val="32"/>
        </w:rPr>
        <w:t xml:space="preserve"> cautelare. </w:t>
      </w:r>
    </w:p>
    <w:p w14:paraId="63E5A514" w14:textId="77777777" w:rsidR="0008730C" w:rsidRPr="002E1DA3" w:rsidRDefault="00457463" w:rsidP="00866E4D">
      <w:pPr>
        <w:spacing w:line="240" w:lineRule="auto"/>
        <w:jc w:val="both"/>
        <w:rPr>
          <w:rFonts w:ascii="Garamond" w:hAnsi="Garamond"/>
          <w:sz w:val="32"/>
          <w:szCs w:val="32"/>
        </w:rPr>
      </w:pPr>
      <w:r w:rsidRPr="002E1DA3">
        <w:rPr>
          <w:rFonts w:ascii="Garamond" w:hAnsi="Garamond"/>
          <w:sz w:val="32"/>
          <w:szCs w:val="32"/>
        </w:rPr>
        <w:t xml:space="preserve">Al proposito </w:t>
      </w:r>
      <w:r w:rsidR="0018210D" w:rsidRPr="002E1DA3">
        <w:rPr>
          <w:rFonts w:ascii="Garamond" w:hAnsi="Garamond"/>
          <w:sz w:val="32"/>
          <w:szCs w:val="32"/>
        </w:rPr>
        <w:t xml:space="preserve">non </w:t>
      </w:r>
      <w:r w:rsidR="0008730C" w:rsidRPr="002E1DA3">
        <w:rPr>
          <w:rFonts w:ascii="Garamond" w:hAnsi="Garamond"/>
          <w:sz w:val="32"/>
          <w:szCs w:val="32"/>
        </w:rPr>
        <w:t>si può non citare l’appello del decreto cautelare perlomeno fino alla presa di posizione del Consiglio di giustizia amministrativa della regione siciliana (dec</w:t>
      </w:r>
      <w:r w:rsidR="005F55AB" w:rsidRPr="002E1DA3">
        <w:rPr>
          <w:rFonts w:ascii="Garamond" w:hAnsi="Garamond"/>
          <w:sz w:val="32"/>
          <w:szCs w:val="32"/>
        </w:rPr>
        <w:t>reto 18 dicembre 2023, n. 414).</w:t>
      </w:r>
    </w:p>
    <w:p w14:paraId="7BFAEC1E" w14:textId="713B433D" w:rsidR="0008730C" w:rsidRPr="002E1DA3" w:rsidRDefault="00457463" w:rsidP="00866E4D">
      <w:pPr>
        <w:spacing w:line="240" w:lineRule="auto"/>
        <w:jc w:val="both"/>
        <w:rPr>
          <w:rFonts w:ascii="Garamond" w:hAnsi="Garamond"/>
          <w:sz w:val="32"/>
          <w:szCs w:val="32"/>
        </w:rPr>
      </w:pPr>
      <w:r w:rsidRPr="002E1DA3">
        <w:rPr>
          <w:rFonts w:ascii="Garamond" w:hAnsi="Garamond"/>
          <w:sz w:val="32"/>
          <w:szCs w:val="32"/>
        </w:rPr>
        <w:t xml:space="preserve">Analogamente </w:t>
      </w:r>
      <w:r w:rsidR="0008730C" w:rsidRPr="002E1DA3">
        <w:rPr>
          <w:rFonts w:ascii="Garamond" w:hAnsi="Garamond"/>
          <w:sz w:val="32"/>
          <w:szCs w:val="32"/>
        </w:rPr>
        <w:t xml:space="preserve">la diffusa applicazione dell’articolo 55, comma 10, del codice del processo amministrativo (richiamato dall’articolo 62, comma 2) porta </w:t>
      </w:r>
      <w:r w:rsidRPr="002E1DA3">
        <w:rPr>
          <w:rFonts w:ascii="Garamond" w:hAnsi="Garamond"/>
          <w:sz w:val="32"/>
          <w:szCs w:val="32"/>
        </w:rPr>
        <w:t xml:space="preserve">a </w:t>
      </w:r>
      <w:r w:rsidR="0008730C" w:rsidRPr="002E1DA3">
        <w:rPr>
          <w:rFonts w:ascii="Garamond" w:hAnsi="Garamond"/>
          <w:sz w:val="32"/>
          <w:szCs w:val="32"/>
        </w:rPr>
        <w:t xml:space="preserve">una moltiplicazione degli appelli cautelari perché non risponde più alla ragione sua propria, bensì serve </w:t>
      </w:r>
      <w:r w:rsidR="00840CFE" w:rsidRPr="002E1DA3">
        <w:rPr>
          <w:rFonts w:ascii="Garamond" w:hAnsi="Garamond"/>
          <w:sz w:val="32"/>
          <w:szCs w:val="32"/>
        </w:rPr>
        <w:t>a</w:t>
      </w:r>
      <w:r w:rsidR="0008730C" w:rsidRPr="002E1DA3">
        <w:rPr>
          <w:rFonts w:ascii="Garamond" w:hAnsi="Garamond"/>
          <w:sz w:val="32"/>
          <w:szCs w:val="32"/>
        </w:rPr>
        <w:t xml:space="preserve"> scavalcare l’ordine cronologico di fissazione del merito in </w:t>
      </w:r>
      <w:r w:rsidR="00E65BD3" w:rsidRPr="002E1DA3">
        <w:rPr>
          <w:rFonts w:ascii="Garamond" w:hAnsi="Garamond"/>
          <w:sz w:val="32"/>
          <w:szCs w:val="32"/>
        </w:rPr>
        <w:t>primo</w:t>
      </w:r>
      <w:r w:rsidR="0008730C" w:rsidRPr="002E1DA3">
        <w:rPr>
          <w:rFonts w:ascii="Garamond" w:hAnsi="Garamond"/>
          <w:sz w:val="32"/>
          <w:szCs w:val="32"/>
        </w:rPr>
        <w:t xml:space="preserve"> grado.</w:t>
      </w:r>
    </w:p>
    <w:p w14:paraId="644144C4" w14:textId="77777777" w:rsidR="00620739" w:rsidRPr="002E1DA3" w:rsidRDefault="00352C20" w:rsidP="00866E4D">
      <w:pPr>
        <w:spacing w:line="240" w:lineRule="auto"/>
        <w:jc w:val="both"/>
        <w:rPr>
          <w:rFonts w:ascii="Garamond" w:hAnsi="Garamond"/>
          <w:sz w:val="32"/>
          <w:szCs w:val="32"/>
        </w:rPr>
      </w:pPr>
      <w:r w:rsidRPr="002E1DA3">
        <w:rPr>
          <w:rFonts w:ascii="Garamond" w:hAnsi="Garamond"/>
          <w:sz w:val="32"/>
          <w:szCs w:val="32"/>
        </w:rPr>
        <w:t xml:space="preserve">Fonte di dubbi e complicazioni è pure </w:t>
      </w:r>
      <w:r w:rsidR="0008730C" w:rsidRPr="002E1DA3">
        <w:rPr>
          <w:rFonts w:ascii="Garamond" w:hAnsi="Garamond"/>
          <w:sz w:val="32"/>
          <w:szCs w:val="32"/>
        </w:rPr>
        <w:t xml:space="preserve">la dichiarazione d’incompetenza del Consiglio di Stato sull’esecuzione della misura cautelare riformata in appello (pronunciata, per la prima volta, dalla </w:t>
      </w:r>
      <w:r w:rsidRPr="002E1DA3">
        <w:rPr>
          <w:rFonts w:ascii="Garamond" w:hAnsi="Garamond"/>
          <w:sz w:val="32"/>
          <w:szCs w:val="32"/>
        </w:rPr>
        <w:t>terza</w:t>
      </w:r>
      <w:r w:rsidR="0008730C" w:rsidRPr="002E1DA3">
        <w:rPr>
          <w:rFonts w:ascii="Garamond" w:hAnsi="Garamond"/>
          <w:sz w:val="32"/>
          <w:szCs w:val="32"/>
        </w:rPr>
        <w:t xml:space="preserve"> sezione del Consiglio di Stato con l’ordinanza 29 novembre 2024, n. 4559</w:t>
      </w:r>
      <w:r w:rsidRPr="002E1DA3">
        <w:rPr>
          <w:rFonts w:ascii="Garamond" w:hAnsi="Garamond"/>
          <w:sz w:val="32"/>
          <w:szCs w:val="32"/>
        </w:rPr>
        <w:t>). Essa sembra trascurare un dato oggettivo fondamentale: la possibilità di eseguire coattivamente l’ordinanza è stata riconosciuta proprio in relazione alla mancata ottemperanza</w:t>
      </w:r>
      <w:r w:rsidR="00620739" w:rsidRPr="002E1DA3">
        <w:rPr>
          <w:rFonts w:ascii="Garamond" w:hAnsi="Garamond"/>
          <w:sz w:val="32"/>
          <w:szCs w:val="32"/>
        </w:rPr>
        <w:t xml:space="preserve"> a misure cautelari negate in primo grado e concesse dal Consiglio di Stato</w:t>
      </w:r>
      <w:r w:rsidR="00620739" w:rsidRPr="002E1DA3">
        <w:rPr>
          <w:rStyle w:val="Rimandonotaapidipagina"/>
          <w:rFonts w:ascii="Garamond" w:hAnsi="Garamond"/>
          <w:sz w:val="32"/>
          <w:szCs w:val="32"/>
        </w:rPr>
        <w:footnoteReference w:id="17"/>
      </w:r>
      <w:r w:rsidR="00620739" w:rsidRPr="002E1DA3">
        <w:rPr>
          <w:rFonts w:ascii="Garamond" w:hAnsi="Garamond"/>
          <w:sz w:val="32"/>
          <w:szCs w:val="32"/>
        </w:rPr>
        <w:t>.</w:t>
      </w:r>
    </w:p>
    <w:p w14:paraId="36F7F56F" w14:textId="77777777" w:rsidR="0008730C" w:rsidRPr="002E1DA3" w:rsidRDefault="00847346" w:rsidP="00866E4D">
      <w:pPr>
        <w:spacing w:line="240" w:lineRule="auto"/>
        <w:jc w:val="both"/>
        <w:rPr>
          <w:rFonts w:ascii="Garamond" w:hAnsi="Garamond"/>
          <w:sz w:val="32"/>
          <w:szCs w:val="32"/>
        </w:rPr>
      </w:pPr>
      <w:r w:rsidRPr="002E1DA3">
        <w:rPr>
          <w:rFonts w:ascii="Garamond" w:hAnsi="Garamond"/>
          <w:sz w:val="32"/>
          <w:szCs w:val="32"/>
        </w:rPr>
        <w:t xml:space="preserve">In definitiva sono questi </w:t>
      </w:r>
      <w:r w:rsidR="0008730C" w:rsidRPr="002E1DA3">
        <w:rPr>
          <w:rFonts w:ascii="Garamond" w:hAnsi="Garamond"/>
          <w:sz w:val="32"/>
          <w:szCs w:val="32"/>
        </w:rPr>
        <w:t>orientamenti tendenzialmente forieri di ritardi e comunque d</w:t>
      </w:r>
      <w:r w:rsidRPr="002E1DA3">
        <w:rPr>
          <w:rFonts w:ascii="Garamond" w:hAnsi="Garamond"/>
          <w:sz w:val="32"/>
          <w:szCs w:val="32"/>
        </w:rPr>
        <w:t>’</w:t>
      </w:r>
      <w:r w:rsidR="0008730C" w:rsidRPr="002E1DA3">
        <w:rPr>
          <w:rFonts w:ascii="Garamond" w:hAnsi="Garamond"/>
          <w:sz w:val="32"/>
          <w:szCs w:val="32"/>
        </w:rPr>
        <w:t xml:space="preserve">incertezza, considerato che appaiono dissonanti rispetto alla </w:t>
      </w:r>
      <w:r w:rsidR="0008730C" w:rsidRPr="002E1DA3">
        <w:rPr>
          <w:rFonts w:ascii="Garamond" w:hAnsi="Garamond"/>
          <w:i/>
          <w:sz w:val="32"/>
          <w:szCs w:val="32"/>
        </w:rPr>
        <w:t>ratio</w:t>
      </w:r>
      <w:r w:rsidR="0008730C" w:rsidRPr="002E1DA3">
        <w:rPr>
          <w:rFonts w:ascii="Garamond" w:hAnsi="Garamond"/>
          <w:sz w:val="32"/>
          <w:szCs w:val="32"/>
        </w:rPr>
        <w:t xml:space="preserve"> e alla storia degli istituti</w:t>
      </w:r>
      <w:r w:rsidR="001A4037" w:rsidRPr="002E1DA3">
        <w:rPr>
          <w:rFonts w:ascii="Garamond" w:hAnsi="Garamond"/>
          <w:sz w:val="32"/>
          <w:szCs w:val="32"/>
        </w:rPr>
        <w:t xml:space="preserve"> di cui si occupano</w:t>
      </w:r>
      <w:r w:rsidR="0008730C" w:rsidRPr="002E1DA3">
        <w:rPr>
          <w:rFonts w:ascii="Garamond" w:hAnsi="Garamond"/>
          <w:sz w:val="32"/>
          <w:szCs w:val="32"/>
        </w:rPr>
        <w:t>.</w:t>
      </w:r>
    </w:p>
    <w:p w14:paraId="618F822F" w14:textId="77777777" w:rsidR="0008730C" w:rsidRPr="002E1DA3" w:rsidRDefault="00E65BD3" w:rsidP="00866E4D">
      <w:pPr>
        <w:spacing w:line="240" w:lineRule="auto"/>
        <w:jc w:val="both"/>
        <w:rPr>
          <w:rFonts w:ascii="Garamond" w:hAnsi="Garamond"/>
          <w:sz w:val="32"/>
          <w:szCs w:val="32"/>
        </w:rPr>
      </w:pPr>
      <w:r w:rsidRPr="002E1DA3">
        <w:rPr>
          <w:rFonts w:ascii="Garamond" w:hAnsi="Garamond"/>
          <w:sz w:val="32"/>
          <w:szCs w:val="32"/>
        </w:rPr>
        <w:t xml:space="preserve">Si </w:t>
      </w:r>
      <w:r w:rsidR="0008730C" w:rsidRPr="002E1DA3">
        <w:rPr>
          <w:rFonts w:ascii="Garamond" w:hAnsi="Garamond"/>
          <w:sz w:val="32"/>
          <w:szCs w:val="32"/>
        </w:rPr>
        <w:t xml:space="preserve">potrebbe immaginare </w:t>
      </w:r>
      <w:r w:rsidRPr="002E1DA3">
        <w:rPr>
          <w:rFonts w:ascii="Garamond" w:hAnsi="Garamond"/>
          <w:sz w:val="32"/>
          <w:szCs w:val="32"/>
        </w:rPr>
        <w:t xml:space="preserve">che essi rappresentino </w:t>
      </w:r>
      <w:r w:rsidR="0008730C" w:rsidRPr="002E1DA3">
        <w:rPr>
          <w:rFonts w:ascii="Garamond" w:hAnsi="Garamond"/>
          <w:sz w:val="32"/>
          <w:szCs w:val="32"/>
        </w:rPr>
        <w:t>esiti casuali</w:t>
      </w:r>
      <w:r w:rsidRPr="002E1DA3">
        <w:rPr>
          <w:rFonts w:ascii="Garamond" w:hAnsi="Garamond"/>
          <w:sz w:val="32"/>
          <w:szCs w:val="32"/>
        </w:rPr>
        <w:t>; sono invece il frutto</w:t>
      </w:r>
      <w:r w:rsidR="0008730C" w:rsidRPr="002E1DA3">
        <w:rPr>
          <w:rFonts w:ascii="Garamond" w:hAnsi="Garamond"/>
          <w:sz w:val="32"/>
          <w:szCs w:val="32"/>
        </w:rPr>
        <w:t xml:space="preserve"> di un approccio ormai radicato nella nostra </w:t>
      </w:r>
      <w:r w:rsidRPr="002E1DA3">
        <w:rPr>
          <w:rFonts w:ascii="Garamond" w:hAnsi="Garamond"/>
          <w:sz w:val="32"/>
          <w:szCs w:val="32"/>
        </w:rPr>
        <w:t xml:space="preserve">Giurisdizione </w:t>
      </w:r>
      <w:r w:rsidR="0008730C" w:rsidRPr="002E1DA3">
        <w:rPr>
          <w:rFonts w:ascii="Garamond" w:hAnsi="Garamond"/>
          <w:sz w:val="32"/>
          <w:szCs w:val="32"/>
        </w:rPr>
        <w:t>che</w:t>
      </w:r>
      <w:r w:rsidRPr="002E1DA3">
        <w:rPr>
          <w:rFonts w:ascii="Garamond" w:hAnsi="Garamond"/>
          <w:sz w:val="32"/>
          <w:szCs w:val="32"/>
        </w:rPr>
        <w:t xml:space="preserve"> induce </w:t>
      </w:r>
      <w:r w:rsidR="0008730C" w:rsidRPr="002E1DA3">
        <w:rPr>
          <w:rFonts w:ascii="Garamond" w:hAnsi="Garamond"/>
          <w:sz w:val="32"/>
          <w:szCs w:val="32"/>
        </w:rPr>
        <w:t xml:space="preserve">ad affrontare problemi non come se fossero comuni all’unico Plesso ma separati per il </w:t>
      </w:r>
      <w:r w:rsidR="00847346" w:rsidRPr="002E1DA3">
        <w:rPr>
          <w:rFonts w:ascii="Garamond" w:hAnsi="Garamond"/>
          <w:sz w:val="32"/>
          <w:szCs w:val="32"/>
        </w:rPr>
        <w:t>primo</w:t>
      </w:r>
      <w:r w:rsidR="0008730C" w:rsidRPr="002E1DA3">
        <w:rPr>
          <w:rFonts w:ascii="Garamond" w:hAnsi="Garamond"/>
          <w:sz w:val="32"/>
          <w:szCs w:val="32"/>
        </w:rPr>
        <w:t xml:space="preserve"> e per il </w:t>
      </w:r>
      <w:r w:rsidR="00847346" w:rsidRPr="002E1DA3">
        <w:rPr>
          <w:rFonts w:ascii="Garamond" w:hAnsi="Garamond"/>
          <w:sz w:val="32"/>
          <w:szCs w:val="32"/>
        </w:rPr>
        <w:t>secondo</w:t>
      </w:r>
      <w:r w:rsidR="0008730C" w:rsidRPr="002E1DA3">
        <w:rPr>
          <w:rFonts w:ascii="Garamond" w:hAnsi="Garamond"/>
          <w:sz w:val="32"/>
          <w:szCs w:val="32"/>
        </w:rPr>
        <w:t xml:space="preserve"> grado. Si tratta di operazioni che un</w:t>
      </w:r>
      <w:r w:rsidR="0047752E" w:rsidRPr="002E1DA3">
        <w:rPr>
          <w:rFonts w:ascii="Garamond" w:hAnsi="Garamond"/>
          <w:sz w:val="32"/>
          <w:szCs w:val="32"/>
        </w:rPr>
        <w:t>a tarantina</w:t>
      </w:r>
      <w:r w:rsidR="0008730C" w:rsidRPr="002E1DA3">
        <w:rPr>
          <w:rFonts w:ascii="Garamond" w:hAnsi="Garamond"/>
          <w:sz w:val="32"/>
          <w:szCs w:val="32"/>
        </w:rPr>
        <w:t xml:space="preserve"> come me </w:t>
      </w:r>
      <w:r w:rsidR="000C77EA" w:rsidRPr="002E1DA3">
        <w:rPr>
          <w:rFonts w:ascii="Garamond" w:hAnsi="Garamond"/>
          <w:sz w:val="32"/>
          <w:szCs w:val="32"/>
        </w:rPr>
        <w:t>etichetterebbe</w:t>
      </w:r>
      <w:r w:rsidR="0008730C" w:rsidRPr="002E1DA3">
        <w:rPr>
          <w:rFonts w:ascii="Garamond" w:hAnsi="Garamond"/>
          <w:sz w:val="32"/>
          <w:szCs w:val="32"/>
        </w:rPr>
        <w:t xml:space="preserve"> con la frase “prendi l’acqua da Mar piccolo e la butti in Mar grande”.</w:t>
      </w:r>
      <w:r w:rsidRPr="002E1DA3">
        <w:rPr>
          <w:rFonts w:ascii="Garamond" w:hAnsi="Garamond"/>
          <w:sz w:val="32"/>
          <w:szCs w:val="32"/>
        </w:rPr>
        <w:t xml:space="preserve"> Esse manifestano </w:t>
      </w:r>
      <w:r w:rsidR="0008730C" w:rsidRPr="002E1DA3">
        <w:rPr>
          <w:rFonts w:ascii="Garamond" w:hAnsi="Garamond"/>
          <w:sz w:val="32"/>
          <w:szCs w:val="32"/>
        </w:rPr>
        <w:t>pur sempre la mancata accettazione di quel non riuscito “matrimonio combinato” in modo forzato da Lucifredi nel 1971 che purtroppo rischia di condurre all’avvizzimento delle capacità d</w:t>
      </w:r>
      <w:r w:rsidRPr="002E1DA3">
        <w:rPr>
          <w:rFonts w:ascii="Garamond" w:hAnsi="Garamond"/>
          <w:sz w:val="32"/>
          <w:szCs w:val="32"/>
        </w:rPr>
        <w:t>’</w:t>
      </w:r>
      <w:r w:rsidR="0008730C" w:rsidRPr="002E1DA3">
        <w:rPr>
          <w:rFonts w:ascii="Garamond" w:hAnsi="Garamond"/>
          <w:sz w:val="32"/>
          <w:szCs w:val="32"/>
        </w:rPr>
        <w:t>innovazione sia giurisprudenziale sia organizzativa, alla mancata valorizzazione delle grandi potenzialità dell’Istituzione complessivamente intesa, dei suoi uomini, dei suoi mezzi, del suo ingegno.</w:t>
      </w:r>
    </w:p>
    <w:p w14:paraId="59821D43" w14:textId="77777777" w:rsidR="0008730C" w:rsidRPr="002E1DA3" w:rsidRDefault="0008730C" w:rsidP="00866E4D">
      <w:pPr>
        <w:spacing w:line="240" w:lineRule="auto"/>
        <w:jc w:val="both"/>
        <w:rPr>
          <w:rFonts w:ascii="Garamond" w:hAnsi="Garamond"/>
          <w:sz w:val="32"/>
          <w:szCs w:val="32"/>
        </w:rPr>
      </w:pPr>
      <w:r w:rsidRPr="002E1DA3">
        <w:rPr>
          <w:rFonts w:ascii="Garamond" w:hAnsi="Garamond"/>
          <w:sz w:val="32"/>
          <w:szCs w:val="32"/>
        </w:rPr>
        <w:t>Tanti di noi però non sono affatto rassegnati ad accettare questo stato di stagnazione, convinti che la Giustizia amministrativa possa ancora plasmare in senso evolutivo il diritto amministrativo come ha sempre fatto nella sua storia. Ed è in questo entusiasmo che risiede la ragione non solo di questo convegno ma anche del premio alle tesi di laurea che l’ANMA ha voluto istituire.</w:t>
      </w:r>
    </w:p>
    <w:p w14:paraId="6FA98B86" w14:textId="77777777" w:rsidR="00847346" w:rsidRPr="002E1DA3" w:rsidRDefault="0008730C" w:rsidP="00866E4D">
      <w:pPr>
        <w:spacing w:line="240" w:lineRule="auto"/>
        <w:jc w:val="both"/>
        <w:rPr>
          <w:rFonts w:ascii="Garamond" w:hAnsi="Garamond"/>
          <w:sz w:val="32"/>
          <w:szCs w:val="32"/>
        </w:rPr>
      </w:pPr>
      <w:r w:rsidRPr="002E1DA3">
        <w:rPr>
          <w:rFonts w:ascii="Garamond" w:hAnsi="Garamond"/>
          <w:sz w:val="32"/>
          <w:szCs w:val="32"/>
        </w:rPr>
        <w:t>Queste iniziative</w:t>
      </w:r>
      <w:r w:rsidR="00E65BD3" w:rsidRPr="002E1DA3">
        <w:rPr>
          <w:rFonts w:ascii="Garamond" w:hAnsi="Garamond"/>
          <w:sz w:val="32"/>
          <w:szCs w:val="32"/>
        </w:rPr>
        <w:t xml:space="preserve"> danno </w:t>
      </w:r>
      <w:r w:rsidRPr="002E1DA3">
        <w:rPr>
          <w:rFonts w:ascii="Garamond" w:hAnsi="Garamond"/>
          <w:sz w:val="32"/>
          <w:szCs w:val="32"/>
        </w:rPr>
        <w:t>i</w:t>
      </w:r>
      <w:r w:rsidR="00E65BD3" w:rsidRPr="002E1DA3">
        <w:rPr>
          <w:rFonts w:ascii="Garamond" w:hAnsi="Garamond"/>
          <w:sz w:val="32"/>
          <w:szCs w:val="32"/>
        </w:rPr>
        <w:t>l segno di un caparbio impegno n</w:t>
      </w:r>
      <w:r w:rsidRPr="002E1DA3">
        <w:rPr>
          <w:rFonts w:ascii="Garamond" w:hAnsi="Garamond"/>
          <w:sz w:val="32"/>
          <w:szCs w:val="32"/>
        </w:rPr>
        <w:t xml:space="preserve">ell’attuazione del testo costituzionale e nel miglioramento del servizio di giustizia per il bene del Paese. Perché, usando un linguaggio weberiano, quello del giudice amministrativo non è solo un lavoro, una professione: è un </w:t>
      </w:r>
      <w:r w:rsidRPr="002E1DA3">
        <w:rPr>
          <w:rFonts w:ascii="Garamond" w:hAnsi="Garamond"/>
          <w:i/>
          <w:sz w:val="32"/>
          <w:szCs w:val="32"/>
        </w:rPr>
        <w:t>Beruf</w:t>
      </w:r>
      <w:r w:rsidRPr="002E1DA3">
        <w:rPr>
          <w:rFonts w:ascii="Garamond" w:hAnsi="Garamond"/>
          <w:sz w:val="32"/>
          <w:szCs w:val="32"/>
        </w:rPr>
        <w:t>, che in tedesco significa mestiere e però indica pure una vocazione e una chiamata.</w:t>
      </w:r>
    </w:p>
    <w:p w14:paraId="565A7B01" w14:textId="77777777" w:rsidR="00847346" w:rsidRPr="002E1DA3" w:rsidRDefault="00847346" w:rsidP="00866E4D">
      <w:pPr>
        <w:spacing w:line="240" w:lineRule="auto"/>
        <w:jc w:val="right"/>
        <w:rPr>
          <w:rFonts w:ascii="Garamond" w:hAnsi="Garamond"/>
          <w:sz w:val="32"/>
          <w:szCs w:val="32"/>
        </w:rPr>
      </w:pPr>
      <w:r w:rsidRPr="002E1DA3">
        <w:rPr>
          <w:rFonts w:ascii="Garamond" w:hAnsi="Garamond"/>
          <w:sz w:val="32"/>
          <w:szCs w:val="32"/>
        </w:rPr>
        <w:t>Giuseppina Adamo</w:t>
      </w:r>
    </w:p>
    <w:p w14:paraId="682DC1C8" w14:textId="459E6547" w:rsidR="00847346" w:rsidRDefault="001A4037" w:rsidP="00866E4D">
      <w:pPr>
        <w:spacing w:line="240" w:lineRule="auto"/>
        <w:jc w:val="right"/>
        <w:rPr>
          <w:rFonts w:ascii="Garamond" w:hAnsi="Garamond"/>
          <w:sz w:val="32"/>
          <w:szCs w:val="32"/>
        </w:rPr>
      </w:pPr>
      <w:r w:rsidRPr="002E1DA3">
        <w:rPr>
          <w:rFonts w:ascii="Garamond" w:hAnsi="Garamond"/>
          <w:sz w:val="32"/>
          <w:szCs w:val="32"/>
        </w:rPr>
        <w:t>Presidente del T.a.r. p</w:t>
      </w:r>
      <w:r w:rsidR="00847346" w:rsidRPr="002E1DA3">
        <w:rPr>
          <w:rFonts w:ascii="Garamond" w:hAnsi="Garamond"/>
          <w:sz w:val="32"/>
          <w:szCs w:val="32"/>
        </w:rPr>
        <w:t>er la Valle d’Aosta</w:t>
      </w:r>
    </w:p>
    <w:p w14:paraId="68A01E85" w14:textId="3298C96E" w:rsidR="00517C5E" w:rsidRDefault="00517C5E" w:rsidP="00866E4D">
      <w:pPr>
        <w:spacing w:line="240" w:lineRule="auto"/>
        <w:jc w:val="right"/>
        <w:rPr>
          <w:rFonts w:ascii="Garamond" w:hAnsi="Garamond"/>
          <w:sz w:val="32"/>
          <w:szCs w:val="32"/>
        </w:rPr>
      </w:pPr>
    </w:p>
    <w:p w14:paraId="36BBE8B0" w14:textId="062928F4" w:rsidR="00517C5E" w:rsidRPr="00517C5E" w:rsidRDefault="00517C5E" w:rsidP="00517C5E">
      <w:pPr>
        <w:spacing w:line="240" w:lineRule="auto"/>
        <w:jc w:val="both"/>
        <w:rPr>
          <w:rFonts w:ascii="Garamond" w:hAnsi="Garamond"/>
          <w:bCs/>
          <w:i/>
          <w:iCs/>
          <w:sz w:val="32"/>
          <w:szCs w:val="32"/>
        </w:rPr>
      </w:pPr>
      <w:r w:rsidRPr="00517C5E">
        <w:rPr>
          <w:rFonts w:ascii="Garamond" w:hAnsi="Garamond"/>
          <w:bCs/>
          <w:i/>
          <w:iCs/>
          <w:sz w:val="32"/>
          <w:szCs w:val="32"/>
        </w:rPr>
        <w:t>Le opinioni di cui al presente contributo sono espresse dall’Autrice a titolo personale</w:t>
      </w:r>
      <w:r w:rsidRPr="00517C5E">
        <w:rPr>
          <w:rFonts w:ascii="Garamond" w:hAnsi="Garamond"/>
          <w:bCs/>
          <w:i/>
          <w:iCs/>
          <w:sz w:val="32"/>
          <w:szCs w:val="32"/>
        </w:rPr>
        <w:t>; esse</w:t>
      </w:r>
      <w:r w:rsidRPr="00517C5E">
        <w:rPr>
          <w:rFonts w:ascii="Garamond" w:hAnsi="Garamond"/>
          <w:bCs/>
          <w:i/>
          <w:iCs/>
          <w:sz w:val="32"/>
          <w:szCs w:val="32"/>
        </w:rPr>
        <w:t xml:space="preserve"> non impegnano l'Ufficio </w:t>
      </w:r>
      <w:r w:rsidRPr="00517C5E">
        <w:rPr>
          <w:rFonts w:ascii="Garamond" w:hAnsi="Garamond"/>
          <w:bCs/>
          <w:i/>
          <w:iCs/>
          <w:sz w:val="32"/>
          <w:szCs w:val="32"/>
        </w:rPr>
        <w:t>s</w:t>
      </w:r>
      <w:r w:rsidRPr="00517C5E">
        <w:rPr>
          <w:rFonts w:ascii="Garamond" w:hAnsi="Garamond"/>
          <w:bCs/>
          <w:i/>
          <w:iCs/>
          <w:sz w:val="32"/>
          <w:szCs w:val="32"/>
        </w:rPr>
        <w:t>tudi della G</w:t>
      </w:r>
      <w:r w:rsidRPr="00517C5E">
        <w:rPr>
          <w:rFonts w:ascii="Garamond" w:hAnsi="Garamond"/>
          <w:bCs/>
          <w:i/>
          <w:iCs/>
          <w:sz w:val="32"/>
          <w:szCs w:val="32"/>
        </w:rPr>
        <w:t>iustizia amministrativa</w:t>
      </w:r>
      <w:r w:rsidRPr="00517C5E">
        <w:rPr>
          <w:rFonts w:ascii="Garamond" w:hAnsi="Garamond"/>
          <w:bCs/>
          <w:i/>
          <w:iCs/>
          <w:sz w:val="32"/>
          <w:szCs w:val="32"/>
        </w:rPr>
        <w:t xml:space="preserve">, né quest'ultima </w:t>
      </w:r>
      <w:r w:rsidR="00544D5D">
        <w:rPr>
          <w:rFonts w:ascii="Garamond" w:hAnsi="Garamond"/>
          <w:bCs/>
          <w:i/>
          <w:iCs/>
          <w:sz w:val="32"/>
          <w:szCs w:val="32"/>
        </w:rPr>
        <w:t>quale istituzione</w:t>
      </w:r>
      <w:bookmarkStart w:id="0" w:name="_GoBack"/>
      <w:bookmarkEnd w:id="0"/>
    </w:p>
    <w:p w14:paraId="2A744752" w14:textId="77777777" w:rsidR="00517C5E" w:rsidRPr="00517C5E" w:rsidRDefault="00517C5E" w:rsidP="00517C5E">
      <w:pPr>
        <w:spacing w:line="240" w:lineRule="auto"/>
        <w:jc w:val="both"/>
        <w:rPr>
          <w:rFonts w:ascii="Garamond" w:hAnsi="Garamond"/>
          <w:i/>
          <w:sz w:val="32"/>
          <w:szCs w:val="32"/>
        </w:rPr>
      </w:pPr>
    </w:p>
    <w:p w14:paraId="3E700F7D" w14:textId="77777777" w:rsidR="00847346" w:rsidRPr="00866E4D" w:rsidRDefault="00847346" w:rsidP="00866E4D">
      <w:pPr>
        <w:spacing w:line="240" w:lineRule="auto"/>
        <w:jc w:val="right"/>
        <w:rPr>
          <w:rFonts w:ascii="Garamond" w:hAnsi="Garamond"/>
          <w:sz w:val="32"/>
          <w:szCs w:val="32"/>
        </w:rPr>
      </w:pPr>
    </w:p>
    <w:p w14:paraId="6C0F1596" w14:textId="77777777" w:rsidR="005276EE" w:rsidRPr="00866E4D" w:rsidRDefault="005276EE" w:rsidP="00866E4D">
      <w:pPr>
        <w:spacing w:line="240" w:lineRule="auto"/>
        <w:rPr>
          <w:sz w:val="32"/>
          <w:szCs w:val="32"/>
        </w:rPr>
      </w:pPr>
    </w:p>
    <w:sectPr w:rsidR="005276EE" w:rsidRPr="00866E4D" w:rsidSect="0045601A">
      <w:footerReference w:type="default" r:id="rId7"/>
      <w:pgSz w:w="11906" w:h="16838"/>
      <w:pgMar w:top="1417" w:right="1134"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984CA9" w14:textId="77777777" w:rsidR="003066AF" w:rsidRDefault="003066AF" w:rsidP="0008730C">
      <w:pPr>
        <w:spacing w:after="0" w:line="240" w:lineRule="auto"/>
      </w:pPr>
      <w:r>
        <w:separator/>
      </w:r>
    </w:p>
  </w:endnote>
  <w:endnote w:type="continuationSeparator" w:id="0">
    <w:p w14:paraId="322EA80F" w14:textId="77777777" w:rsidR="003066AF" w:rsidRDefault="003066AF" w:rsidP="000873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79607207"/>
      <w:docPartObj>
        <w:docPartGallery w:val="Page Numbers (Bottom of Page)"/>
        <w:docPartUnique/>
      </w:docPartObj>
    </w:sdtPr>
    <w:sdtEndPr/>
    <w:sdtContent>
      <w:p w14:paraId="5B59300D" w14:textId="4126280B" w:rsidR="0045601A" w:rsidRDefault="0045601A">
        <w:pPr>
          <w:pStyle w:val="Pidipagina"/>
          <w:jc w:val="center"/>
        </w:pPr>
        <w:r>
          <w:fldChar w:fldCharType="begin"/>
        </w:r>
        <w:r>
          <w:instrText>PAGE   \* MERGEFORMAT</w:instrText>
        </w:r>
        <w:r>
          <w:fldChar w:fldCharType="separate"/>
        </w:r>
        <w:r w:rsidR="00544D5D">
          <w:rPr>
            <w:noProof/>
          </w:rPr>
          <w:t>9</w:t>
        </w:r>
        <w:r>
          <w:fldChar w:fldCharType="end"/>
        </w:r>
      </w:p>
    </w:sdtContent>
  </w:sdt>
  <w:p w14:paraId="079538F8" w14:textId="77777777" w:rsidR="0045601A" w:rsidRDefault="0045601A">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CC5F7A" w14:textId="77777777" w:rsidR="003066AF" w:rsidRDefault="003066AF" w:rsidP="0008730C">
      <w:pPr>
        <w:spacing w:after="0" w:line="240" w:lineRule="auto"/>
      </w:pPr>
      <w:r>
        <w:separator/>
      </w:r>
    </w:p>
  </w:footnote>
  <w:footnote w:type="continuationSeparator" w:id="0">
    <w:p w14:paraId="5EC9AF78" w14:textId="77777777" w:rsidR="003066AF" w:rsidRDefault="003066AF" w:rsidP="0008730C">
      <w:pPr>
        <w:spacing w:after="0" w:line="240" w:lineRule="auto"/>
      </w:pPr>
      <w:r>
        <w:continuationSeparator/>
      </w:r>
    </w:p>
  </w:footnote>
  <w:footnote w:id="1">
    <w:p w14:paraId="1FC8E0AF" w14:textId="77777777" w:rsidR="00FA29E3" w:rsidRPr="000619FC" w:rsidRDefault="00FA29E3" w:rsidP="000619FC">
      <w:pPr>
        <w:pStyle w:val="Testonotaapidipagina"/>
        <w:jc w:val="both"/>
        <w:rPr>
          <w:rFonts w:ascii="Garamond" w:hAnsi="Garamond"/>
          <w:sz w:val="28"/>
          <w:szCs w:val="28"/>
        </w:rPr>
      </w:pPr>
      <w:r w:rsidRPr="000619FC">
        <w:rPr>
          <w:rStyle w:val="Rimandonotaapidipagina"/>
          <w:rFonts w:ascii="Garamond" w:hAnsi="Garamond"/>
          <w:sz w:val="28"/>
          <w:szCs w:val="28"/>
        </w:rPr>
        <w:footnoteRef/>
      </w:r>
      <w:r w:rsidRPr="000619FC">
        <w:rPr>
          <w:rFonts w:ascii="Garamond" w:hAnsi="Garamond"/>
          <w:sz w:val="28"/>
          <w:szCs w:val="28"/>
        </w:rPr>
        <w:t xml:space="preserve"> </w:t>
      </w:r>
      <w:r w:rsidR="000619FC" w:rsidRPr="000619FC">
        <w:rPr>
          <w:rFonts w:ascii="Garamond" w:hAnsi="Garamond"/>
          <w:sz w:val="28"/>
          <w:szCs w:val="28"/>
        </w:rPr>
        <w:t>Il testo riproduce con alcune</w:t>
      </w:r>
      <w:r w:rsidR="003229F0">
        <w:rPr>
          <w:rFonts w:ascii="Garamond" w:hAnsi="Garamond"/>
          <w:sz w:val="28"/>
          <w:szCs w:val="28"/>
        </w:rPr>
        <w:t xml:space="preserve"> integrazioni la presentazione de</w:t>
      </w:r>
      <w:r w:rsidR="000619FC" w:rsidRPr="000619FC">
        <w:rPr>
          <w:rFonts w:ascii="Garamond" w:hAnsi="Garamond"/>
          <w:sz w:val="28"/>
          <w:szCs w:val="28"/>
        </w:rPr>
        <w:t>l convegno "La giurisprudenza amministrativa 15 anni dopo il codice: tendenze e controtendenze", tenutosi a Roma, presso il T.a.r. del Lazio, il 28 novembre 2025.</w:t>
      </w:r>
    </w:p>
  </w:footnote>
  <w:footnote w:id="2">
    <w:p w14:paraId="7860658C" w14:textId="40F72374" w:rsidR="0008730C" w:rsidRDefault="0008730C" w:rsidP="005576C9">
      <w:pPr>
        <w:pStyle w:val="Testonotaapidipagina"/>
        <w:jc w:val="both"/>
      </w:pPr>
      <w:r>
        <w:rPr>
          <w:rStyle w:val="Rimandonotaapidipagina"/>
          <w:rFonts w:ascii="Garamond" w:hAnsi="Garamond"/>
          <w:sz w:val="28"/>
          <w:szCs w:val="28"/>
        </w:rPr>
        <w:footnoteRef/>
      </w:r>
      <w:r>
        <w:rPr>
          <w:rFonts w:ascii="Garamond" w:hAnsi="Garamond"/>
          <w:sz w:val="28"/>
          <w:szCs w:val="28"/>
        </w:rPr>
        <w:t xml:space="preserve"> Temi che sembrano antichi, ma ancora sulle leggi razziali il Consiglio di Stato si è di recente pronunciato nel 2020 e nel 2021: </w:t>
      </w:r>
      <w:r w:rsidR="00C14D5E">
        <w:rPr>
          <w:rFonts w:ascii="Garamond" w:hAnsi="Garamond"/>
          <w:sz w:val="28"/>
          <w:szCs w:val="28"/>
        </w:rPr>
        <w:t>s</w:t>
      </w:r>
      <w:r>
        <w:rPr>
          <w:rFonts w:ascii="Garamond" w:hAnsi="Garamond"/>
          <w:sz w:val="28"/>
          <w:szCs w:val="28"/>
        </w:rPr>
        <w:t xml:space="preserve">ezione </w:t>
      </w:r>
      <w:r w:rsidR="00C14D5E">
        <w:rPr>
          <w:rFonts w:ascii="Garamond" w:hAnsi="Garamond"/>
          <w:sz w:val="28"/>
          <w:szCs w:val="28"/>
        </w:rPr>
        <w:t>quarta</w:t>
      </w:r>
      <w:r>
        <w:rPr>
          <w:rFonts w:ascii="Garamond" w:hAnsi="Garamond"/>
          <w:sz w:val="28"/>
          <w:szCs w:val="28"/>
        </w:rPr>
        <w:t>, 24 dicembre 2020, n. 8312; 27 gennaio 2021, n. 811 (</w:t>
      </w:r>
      <w:r w:rsidR="003229F0">
        <w:rPr>
          <w:rFonts w:ascii="Garamond" w:hAnsi="Garamond"/>
          <w:sz w:val="28"/>
          <w:szCs w:val="28"/>
        </w:rPr>
        <w:t xml:space="preserve">presidente </w:t>
      </w:r>
      <w:r w:rsidR="00D03905">
        <w:rPr>
          <w:rFonts w:ascii="Garamond" w:hAnsi="Garamond"/>
          <w:sz w:val="28"/>
          <w:szCs w:val="28"/>
        </w:rPr>
        <w:t xml:space="preserve">Luigi </w:t>
      </w:r>
      <w:r w:rsidR="003229F0">
        <w:rPr>
          <w:rFonts w:ascii="Garamond" w:hAnsi="Garamond"/>
          <w:sz w:val="28"/>
          <w:szCs w:val="28"/>
        </w:rPr>
        <w:t>Maru</w:t>
      </w:r>
      <w:r w:rsidR="00C14D5E">
        <w:rPr>
          <w:rFonts w:ascii="Garamond" w:hAnsi="Garamond"/>
          <w:sz w:val="28"/>
          <w:szCs w:val="28"/>
        </w:rPr>
        <w:t xml:space="preserve">otti, estensore </w:t>
      </w:r>
      <w:r>
        <w:rPr>
          <w:rFonts w:ascii="Garamond" w:hAnsi="Garamond"/>
          <w:sz w:val="28"/>
          <w:szCs w:val="28"/>
        </w:rPr>
        <w:t>Daniela Di Carlo)</w:t>
      </w:r>
      <w:r>
        <w:t>.</w:t>
      </w:r>
    </w:p>
  </w:footnote>
  <w:footnote w:id="3">
    <w:p w14:paraId="2524B31B" w14:textId="77777777" w:rsidR="0008730C" w:rsidRDefault="0008730C" w:rsidP="0008730C">
      <w:pPr>
        <w:pStyle w:val="Testonotaapidipagina"/>
        <w:jc w:val="both"/>
        <w:rPr>
          <w:rFonts w:ascii="Garamond" w:hAnsi="Garamond"/>
          <w:sz w:val="28"/>
          <w:szCs w:val="28"/>
        </w:rPr>
      </w:pPr>
      <w:r>
        <w:rPr>
          <w:rStyle w:val="Rimandonotaapidipagina"/>
          <w:rFonts w:ascii="Garamond" w:hAnsi="Garamond"/>
          <w:sz w:val="28"/>
          <w:szCs w:val="28"/>
        </w:rPr>
        <w:footnoteRef/>
      </w:r>
      <w:r>
        <w:rPr>
          <w:rFonts w:ascii="Garamond" w:hAnsi="Garamond"/>
          <w:sz w:val="28"/>
          <w:szCs w:val="28"/>
        </w:rPr>
        <w:t xml:space="preserve"> La Giustizia amministrativa si è impegnata a ridurre dell’80% le cause pendenti al 30 giugno 2023 presso i TAR, complessivamente considerati e senza distinzioni tra sedi PNRR e non PNRR, alle quali ultime è stata estesa la possibilità di tenere udienze straordinarie di smaltimento (seduta del CPGA 22 maggio 2024, punto 5).</w:t>
      </w:r>
    </w:p>
  </w:footnote>
  <w:footnote w:id="4">
    <w:p w14:paraId="0BF7E768" w14:textId="77777777" w:rsidR="00D7291E" w:rsidRPr="0045601A" w:rsidRDefault="00D7291E" w:rsidP="0045601A">
      <w:pPr>
        <w:pStyle w:val="Testonotaapidipagina"/>
        <w:jc w:val="both"/>
        <w:rPr>
          <w:rFonts w:ascii="Garamond" w:hAnsi="Garamond"/>
          <w:sz w:val="28"/>
          <w:szCs w:val="28"/>
        </w:rPr>
      </w:pPr>
      <w:r w:rsidRPr="0045601A">
        <w:rPr>
          <w:rStyle w:val="Rimandonotaapidipagina"/>
          <w:rFonts w:ascii="Garamond" w:hAnsi="Garamond"/>
          <w:sz w:val="28"/>
          <w:szCs w:val="28"/>
        </w:rPr>
        <w:footnoteRef/>
      </w:r>
      <w:r w:rsidRPr="0045601A">
        <w:rPr>
          <w:rFonts w:ascii="Garamond" w:hAnsi="Garamond"/>
          <w:sz w:val="28"/>
          <w:szCs w:val="28"/>
        </w:rPr>
        <w:t xml:space="preserve"> </w:t>
      </w:r>
      <w:r w:rsidR="0045601A" w:rsidRPr="0045601A">
        <w:rPr>
          <w:rFonts w:ascii="Garamond" w:hAnsi="Garamond"/>
          <w:sz w:val="28"/>
          <w:szCs w:val="28"/>
        </w:rPr>
        <w:t xml:space="preserve">Atteggiamento </w:t>
      </w:r>
      <w:r w:rsidRPr="0045601A">
        <w:rPr>
          <w:rFonts w:ascii="Garamond" w:hAnsi="Garamond"/>
          <w:sz w:val="28"/>
          <w:szCs w:val="28"/>
        </w:rPr>
        <w:t>che mi sembra d</w:t>
      </w:r>
      <w:r w:rsidR="002A5A58">
        <w:rPr>
          <w:rFonts w:ascii="Garamond" w:hAnsi="Garamond"/>
          <w:sz w:val="28"/>
          <w:szCs w:val="28"/>
        </w:rPr>
        <w:t>i scorgere nella sentenza dell'A</w:t>
      </w:r>
      <w:r w:rsidRPr="0045601A">
        <w:rPr>
          <w:rFonts w:ascii="Garamond" w:hAnsi="Garamond"/>
          <w:sz w:val="28"/>
          <w:szCs w:val="28"/>
        </w:rPr>
        <w:t xml:space="preserve">dunanza plenaria </w:t>
      </w:r>
      <w:r w:rsidR="0045601A" w:rsidRPr="0045601A">
        <w:rPr>
          <w:rFonts w:ascii="Garamond" w:hAnsi="Garamond"/>
          <w:sz w:val="28"/>
          <w:szCs w:val="28"/>
        </w:rPr>
        <w:t>13 settembre 2022, n. 14.</w:t>
      </w:r>
    </w:p>
  </w:footnote>
  <w:footnote w:id="5">
    <w:p w14:paraId="40753708" w14:textId="77777777" w:rsidR="0008730C" w:rsidRDefault="0008730C" w:rsidP="0008730C">
      <w:pPr>
        <w:pStyle w:val="Testonotaapidipagina"/>
        <w:jc w:val="both"/>
        <w:rPr>
          <w:rFonts w:ascii="Garamond" w:hAnsi="Garamond"/>
          <w:sz w:val="28"/>
          <w:szCs w:val="28"/>
        </w:rPr>
      </w:pPr>
      <w:r>
        <w:rPr>
          <w:rStyle w:val="Rimandonotaapidipagina"/>
        </w:rPr>
        <w:footnoteRef/>
      </w:r>
      <w:r>
        <w:t xml:space="preserve"> </w:t>
      </w:r>
      <w:r>
        <w:rPr>
          <w:rFonts w:ascii="Garamond" w:hAnsi="Garamond"/>
          <w:sz w:val="28"/>
          <w:szCs w:val="28"/>
        </w:rPr>
        <w:t>Nei termini seguenti: “La discrezionalità tecnica, come rilevato da autorevole dottrina, non differisce da quella amministrativa se non per ragioni quantitative, giacché si impernia su una "guida speciale” che il legislatore dà all’amministrazione per accertare i fatti che la norma presuppone.</w:t>
      </w:r>
    </w:p>
    <w:p w14:paraId="6BCCF4DC" w14:textId="77777777" w:rsidR="0008730C" w:rsidRDefault="0008730C" w:rsidP="0008730C">
      <w:pPr>
        <w:pStyle w:val="Testonotaapidipagina"/>
        <w:jc w:val="both"/>
        <w:rPr>
          <w:rFonts w:ascii="Garamond" w:hAnsi="Garamond"/>
          <w:sz w:val="28"/>
          <w:szCs w:val="28"/>
        </w:rPr>
      </w:pPr>
      <w:r>
        <w:rPr>
          <w:rFonts w:ascii="Garamond" w:hAnsi="Garamond"/>
          <w:sz w:val="28"/>
          <w:szCs w:val="28"/>
        </w:rPr>
        <w:t>Il suo esercizio, quindi, è sindacabile dal giudice amministrativo sotto il profilo dell'eccesso di potere, anzi, per le ragioni suddette, lo è in maniera più penetrante di quanto lo sia quello della discrezionalità amministrativa”.</w:t>
      </w:r>
    </w:p>
  </w:footnote>
  <w:footnote w:id="6">
    <w:p w14:paraId="30DA9CA6" w14:textId="77777777" w:rsidR="003D6280" w:rsidRPr="003D6280" w:rsidRDefault="003D6280" w:rsidP="003D6280">
      <w:pPr>
        <w:pStyle w:val="Testonotaapidipagina"/>
        <w:jc w:val="both"/>
        <w:rPr>
          <w:rFonts w:ascii="Garamond" w:hAnsi="Garamond"/>
          <w:sz w:val="28"/>
          <w:szCs w:val="28"/>
        </w:rPr>
      </w:pPr>
      <w:r w:rsidRPr="003D6280">
        <w:rPr>
          <w:rStyle w:val="Rimandonotaapidipagina"/>
          <w:rFonts w:ascii="Garamond" w:hAnsi="Garamond"/>
          <w:sz w:val="28"/>
          <w:szCs w:val="28"/>
        </w:rPr>
        <w:footnoteRef/>
      </w:r>
      <w:r w:rsidRPr="003D6280">
        <w:rPr>
          <w:rFonts w:ascii="Garamond" w:hAnsi="Garamond"/>
          <w:sz w:val="28"/>
          <w:szCs w:val="28"/>
        </w:rPr>
        <w:t xml:space="preserve"> Come nella pronuncia 23 novembre 2023, n. 32559, che ha annullato per diniego di giurisdizione la sentenza dell’Adunanza plenaria del 9 novembre 2021, n. 18</w:t>
      </w:r>
      <w:r>
        <w:rPr>
          <w:rFonts w:ascii="Garamond" w:hAnsi="Garamond"/>
          <w:sz w:val="28"/>
          <w:szCs w:val="28"/>
        </w:rPr>
        <w:t>,</w:t>
      </w:r>
      <w:r w:rsidRPr="003D6280">
        <w:rPr>
          <w:rFonts w:ascii="Garamond" w:hAnsi="Garamond"/>
          <w:sz w:val="28"/>
          <w:szCs w:val="28"/>
        </w:rPr>
        <w:t xml:space="preserve"> in tema di proroghe delle concessioni demaniali marittime.</w:t>
      </w:r>
    </w:p>
  </w:footnote>
  <w:footnote w:id="7">
    <w:p w14:paraId="4DB8688A" w14:textId="77777777" w:rsidR="00005368" w:rsidRPr="00005368" w:rsidRDefault="00005368" w:rsidP="00005368">
      <w:pPr>
        <w:pStyle w:val="Testonotaapidipagina"/>
        <w:jc w:val="both"/>
        <w:rPr>
          <w:rFonts w:ascii="Garamond" w:hAnsi="Garamond"/>
          <w:sz w:val="28"/>
          <w:szCs w:val="28"/>
        </w:rPr>
      </w:pPr>
      <w:r w:rsidRPr="00005368">
        <w:rPr>
          <w:rStyle w:val="Rimandonotaapidipagina"/>
          <w:rFonts w:ascii="Garamond" w:hAnsi="Garamond"/>
          <w:sz w:val="28"/>
          <w:szCs w:val="28"/>
        </w:rPr>
        <w:footnoteRef/>
      </w:r>
      <w:r w:rsidRPr="00005368">
        <w:rPr>
          <w:rFonts w:ascii="Garamond" w:hAnsi="Garamond"/>
          <w:sz w:val="28"/>
          <w:szCs w:val="28"/>
        </w:rPr>
        <w:t xml:space="preserve"> Per tutte, si</w:t>
      </w:r>
      <w:r>
        <w:rPr>
          <w:rFonts w:ascii="Garamond" w:hAnsi="Garamond"/>
          <w:sz w:val="28"/>
          <w:szCs w:val="28"/>
        </w:rPr>
        <w:t xml:space="preserve"> richiama </w:t>
      </w:r>
      <w:r w:rsidRPr="00005368">
        <w:rPr>
          <w:rFonts w:ascii="Garamond" w:hAnsi="Garamond"/>
          <w:sz w:val="28"/>
          <w:szCs w:val="28"/>
        </w:rPr>
        <w:t>la decisione dell’Adunanza plenaria del 9 dicembre 2021, n. 22.</w:t>
      </w:r>
    </w:p>
  </w:footnote>
  <w:footnote w:id="8">
    <w:p w14:paraId="368F66FA" w14:textId="77777777" w:rsidR="0008730C" w:rsidRDefault="0008730C" w:rsidP="0008730C">
      <w:pPr>
        <w:pStyle w:val="Testonotaapidipagina"/>
        <w:jc w:val="both"/>
        <w:rPr>
          <w:rFonts w:ascii="Garamond" w:hAnsi="Garamond"/>
          <w:sz w:val="28"/>
          <w:szCs w:val="28"/>
        </w:rPr>
      </w:pPr>
      <w:r>
        <w:rPr>
          <w:rStyle w:val="Rimandonotaapidipagina"/>
          <w:rFonts w:ascii="Garamond" w:hAnsi="Garamond"/>
          <w:sz w:val="28"/>
          <w:szCs w:val="28"/>
        </w:rPr>
        <w:footnoteRef/>
      </w:r>
      <w:r>
        <w:rPr>
          <w:rFonts w:ascii="Garamond" w:hAnsi="Garamond"/>
          <w:sz w:val="28"/>
          <w:szCs w:val="28"/>
        </w:rPr>
        <w:t xml:space="preserve"> </w:t>
      </w:r>
      <w:r w:rsidR="00005368">
        <w:rPr>
          <w:rFonts w:ascii="Garamond" w:hAnsi="Garamond"/>
          <w:sz w:val="28"/>
          <w:szCs w:val="28"/>
        </w:rPr>
        <w:t>Fornendo un esempio minimale, s</w:t>
      </w:r>
      <w:r>
        <w:rPr>
          <w:rFonts w:ascii="Garamond" w:hAnsi="Garamond"/>
          <w:sz w:val="28"/>
          <w:szCs w:val="28"/>
        </w:rPr>
        <w:t>i pensi alla tecnica di redazione delle ordinanze di rinvio pregiudiziale che ignora i limiti quantitativi (12-13 pagine) suggeriti dalle apposite istruzioni impartite dalla Corte di giustizia ai giudici nazionali, con la conseguenza che le stesse ordinanze non sono mai sottoposte all'esame della Corte nel loro testo integrale tradotto, bensì nella versione sintetizzata d</w:t>
      </w:r>
      <w:r w:rsidR="00C07FBC">
        <w:rPr>
          <w:rFonts w:ascii="Garamond" w:hAnsi="Garamond"/>
          <w:sz w:val="28"/>
          <w:szCs w:val="28"/>
        </w:rPr>
        <w:t>a</w:t>
      </w:r>
      <w:r>
        <w:rPr>
          <w:rFonts w:ascii="Garamond" w:hAnsi="Garamond"/>
          <w:sz w:val="28"/>
          <w:szCs w:val="28"/>
        </w:rPr>
        <w:t>l Servizio documentazione.</w:t>
      </w:r>
    </w:p>
  </w:footnote>
  <w:footnote w:id="9">
    <w:p w14:paraId="366E4D6D" w14:textId="77777777" w:rsidR="0008730C" w:rsidRDefault="0008730C" w:rsidP="00D73FBF">
      <w:pPr>
        <w:pStyle w:val="Testonotaapidipagina"/>
        <w:jc w:val="both"/>
        <w:rPr>
          <w:rFonts w:ascii="Garamond" w:hAnsi="Garamond"/>
          <w:sz w:val="28"/>
          <w:szCs w:val="28"/>
        </w:rPr>
      </w:pPr>
      <w:r>
        <w:rPr>
          <w:rStyle w:val="Rimandonotaapidipagina"/>
          <w:rFonts w:ascii="Garamond" w:hAnsi="Garamond"/>
          <w:sz w:val="28"/>
          <w:szCs w:val="28"/>
        </w:rPr>
        <w:footnoteRef/>
      </w:r>
      <w:r>
        <w:rPr>
          <w:rFonts w:ascii="Garamond" w:hAnsi="Garamond"/>
          <w:sz w:val="28"/>
          <w:szCs w:val="28"/>
        </w:rPr>
        <w:t xml:space="preserve"> Sono pronunce che segnano una possibile trasfigurazione dell’appello devolutivo, </w:t>
      </w:r>
      <w:r>
        <w:rPr>
          <w:rFonts w:ascii="Garamond" w:hAnsi="Garamond"/>
          <w:i/>
          <w:sz w:val="28"/>
          <w:szCs w:val="28"/>
        </w:rPr>
        <w:t>novum iudicium</w:t>
      </w:r>
      <w:r>
        <w:rPr>
          <w:rFonts w:ascii="Garamond" w:hAnsi="Garamond"/>
          <w:sz w:val="28"/>
          <w:szCs w:val="28"/>
        </w:rPr>
        <w:t xml:space="preserve"> pur nell’ambito dei motivi dedotti, in</w:t>
      </w:r>
      <w:r w:rsidR="00BC585E">
        <w:rPr>
          <w:rFonts w:ascii="Garamond" w:hAnsi="Garamond"/>
          <w:sz w:val="28"/>
          <w:szCs w:val="28"/>
        </w:rPr>
        <w:t xml:space="preserve"> mera</w:t>
      </w:r>
      <w:r>
        <w:rPr>
          <w:rFonts w:ascii="Garamond" w:hAnsi="Garamond"/>
          <w:sz w:val="28"/>
          <w:szCs w:val="28"/>
        </w:rPr>
        <w:t xml:space="preserve"> </w:t>
      </w:r>
      <w:r>
        <w:rPr>
          <w:rFonts w:ascii="Garamond" w:hAnsi="Garamond"/>
          <w:i/>
          <w:sz w:val="28"/>
          <w:szCs w:val="28"/>
        </w:rPr>
        <w:t>revisio prioris istantiae</w:t>
      </w:r>
      <w:r w:rsidR="00D73FBF">
        <w:rPr>
          <w:rFonts w:ascii="Garamond" w:hAnsi="Garamond"/>
          <w:sz w:val="28"/>
          <w:szCs w:val="28"/>
        </w:rPr>
        <w:t>, come sembra desumersi alcuni passi della sentenza</w:t>
      </w:r>
      <w:r w:rsidR="00D73FBF" w:rsidRPr="00D73FBF">
        <w:t xml:space="preserve"> </w:t>
      </w:r>
      <w:r w:rsidR="00D73FBF" w:rsidRPr="00D73FBF">
        <w:rPr>
          <w:rFonts w:ascii="Garamond" w:hAnsi="Garamond"/>
          <w:sz w:val="28"/>
          <w:szCs w:val="28"/>
        </w:rPr>
        <w:t>n. 10</w:t>
      </w:r>
      <w:r w:rsidR="00D73FBF">
        <w:rPr>
          <w:rFonts w:ascii="Garamond" w:hAnsi="Garamond"/>
          <w:sz w:val="28"/>
          <w:szCs w:val="28"/>
        </w:rPr>
        <w:t xml:space="preserve"> del 2025:</w:t>
      </w:r>
    </w:p>
    <w:p w14:paraId="409D28D0" w14:textId="77777777" w:rsidR="0008730C" w:rsidRDefault="0008730C" w:rsidP="00D73FBF">
      <w:pPr>
        <w:pStyle w:val="Testonotaapidipagina"/>
        <w:jc w:val="both"/>
        <w:rPr>
          <w:rFonts w:ascii="Garamond" w:hAnsi="Garamond"/>
          <w:sz w:val="28"/>
          <w:szCs w:val="28"/>
        </w:rPr>
      </w:pPr>
      <w:r>
        <w:rPr>
          <w:rFonts w:ascii="Garamond" w:hAnsi="Garamond"/>
          <w:sz w:val="28"/>
          <w:szCs w:val="28"/>
        </w:rPr>
        <w:t>"14.1. […] La nullità della sentenza può ravvisarsi, inoltre, quando la statuizione di improcedibilità non tenga conto, nel senso che neppure ne manifesti la conoscenza, tanto da risultarne inconsapevole, di un principio di diritto enunciato dall’Adunanza Plenaria o di un orientamento consolidato del Consiglio di Stato, così basandosi su una motivazione palesemente tautologica e superficiale.</w:t>
      </w:r>
    </w:p>
    <w:p w14:paraId="683381B6" w14:textId="77777777" w:rsidR="0008730C" w:rsidRDefault="0008730C" w:rsidP="00D73FBF">
      <w:pPr>
        <w:pStyle w:val="Testonotaapidipagina"/>
        <w:jc w:val="both"/>
        <w:rPr>
          <w:rFonts w:ascii="Garamond" w:hAnsi="Garamond"/>
          <w:sz w:val="28"/>
          <w:szCs w:val="28"/>
        </w:rPr>
      </w:pPr>
      <w:r>
        <w:rPr>
          <w:rFonts w:ascii="Garamond" w:hAnsi="Garamond"/>
          <w:sz w:val="28"/>
          <w:szCs w:val="28"/>
        </w:rPr>
        <w:t xml:space="preserve">14.2. Non va disposto l’annullamento con rinvio, qualora l’errore non possa essere qualificato come palese, così da rendere nulla la sentenza, come avviene quando siano stati analiticamente esaminati tutti gli elementi fattuali della vicenda e vi sia stata la consapevole valutazione del quadro </w:t>
      </w:r>
      <w:r w:rsidR="00D73FBF">
        <w:rPr>
          <w:rFonts w:ascii="Garamond" w:hAnsi="Garamond"/>
          <w:sz w:val="28"/>
          <w:szCs w:val="28"/>
        </w:rPr>
        <w:t>normativo e giurisprudenziale"</w:t>
      </w:r>
      <w:r>
        <w:rPr>
          <w:rFonts w:ascii="Garamond" w:hAnsi="Garamond"/>
          <w:sz w:val="28"/>
          <w:szCs w:val="28"/>
        </w:rPr>
        <w:t>.</w:t>
      </w:r>
      <w:r w:rsidR="00A90A05">
        <w:rPr>
          <w:rFonts w:ascii="Garamond" w:hAnsi="Garamond"/>
          <w:sz w:val="28"/>
          <w:szCs w:val="28"/>
        </w:rPr>
        <w:t xml:space="preserve"> I paragrafi citati</w:t>
      </w:r>
      <w:r w:rsidR="00303E9C">
        <w:rPr>
          <w:rFonts w:ascii="Garamond" w:hAnsi="Garamond"/>
          <w:sz w:val="28"/>
          <w:szCs w:val="28"/>
        </w:rPr>
        <w:t xml:space="preserve"> dovrebbero </w:t>
      </w:r>
      <w:r w:rsidR="00A90A05">
        <w:rPr>
          <w:rFonts w:ascii="Garamond" w:hAnsi="Garamond"/>
          <w:sz w:val="28"/>
          <w:szCs w:val="28"/>
        </w:rPr>
        <w:t xml:space="preserve">occuparsi di </w:t>
      </w:r>
      <w:r>
        <w:rPr>
          <w:rFonts w:ascii="Garamond" w:hAnsi="Garamond"/>
          <w:sz w:val="28"/>
          <w:szCs w:val="28"/>
        </w:rPr>
        <w:t xml:space="preserve">una motivazione </w:t>
      </w:r>
      <w:r w:rsidR="00A90A05">
        <w:rPr>
          <w:rFonts w:ascii="Garamond" w:hAnsi="Garamond"/>
          <w:sz w:val="28"/>
          <w:szCs w:val="28"/>
        </w:rPr>
        <w:t>in</w:t>
      </w:r>
      <w:r>
        <w:rPr>
          <w:rFonts w:ascii="Garamond" w:hAnsi="Garamond"/>
          <w:sz w:val="28"/>
          <w:szCs w:val="28"/>
        </w:rPr>
        <w:t xml:space="preserve">congrua sulla questione di rito, </w:t>
      </w:r>
      <w:r w:rsidR="00FA29E3">
        <w:rPr>
          <w:rFonts w:ascii="Garamond" w:hAnsi="Garamond"/>
          <w:sz w:val="28"/>
          <w:szCs w:val="28"/>
        </w:rPr>
        <w:t xml:space="preserve">quest'ultima </w:t>
      </w:r>
      <w:r w:rsidR="00303E9C">
        <w:rPr>
          <w:rFonts w:ascii="Garamond" w:hAnsi="Garamond"/>
          <w:sz w:val="28"/>
          <w:szCs w:val="28"/>
        </w:rPr>
        <w:t xml:space="preserve">potenzialmente </w:t>
      </w:r>
      <w:r>
        <w:rPr>
          <w:rFonts w:ascii="Garamond" w:hAnsi="Garamond"/>
          <w:sz w:val="28"/>
          <w:szCs w:val="28"/>
        </w:rPr>
        <w:t>preclusiva all'esame del merito</w:t>
      </w:r>
      <w:r w:rsidR="00303E9C">
        <w:rPr>
          <w:rFonts w:ascii="Garamond" w:hAnsi="Garamond"/>
          <w:sz w:val="28"/>
          <w:szCs w:val="28"/>
        </w:rPr>
        <w:t>. In realtà</w:t>
      </w:r>
      <w:r>
        <w:rPr>
          <w:rFonts w:ascii="Garamond" w:hAnsi="Garamond"/>
          <w:sz w:val="28"/>
          <w:szCs w:val="28"/>
        </w:rPr>
        <w:t>,</w:t>
      </w:r>
      <w:r w:rsidR="00A90A05">
        <w:rPr>
          <w:rFonts w:ascii="Garamond" w:hAnsi="Garamond"/>
          <w:sz w:val="28"/>
          <w:szCs w:val="28"/>
        </w:rPr>
        <w:t xml:space="preserve"> </w:t>
      </w:r>
      <w:r w:rsidR="00FA29E3">
        <w:rPr>
          <w:rFonts w:ascii="Garamond" w:hAnsi="Garamond"/>
          <w:sz w:val="28"/>
          <w:szCs w:val="28"/>
        </w:rPr>
        <w:t xml:space="preserve">essi ricordano </w:t>
      </w:r>
      <w:r w:rsidR="00303E9C">
        <w:rPr>
          <w:rFonts w:ascii="Garamond" w:hAnsi="Garamond"/>
          <w:sz w:val="28"/>
          <w:szCs w:val="28"/>
        </w:rPr>
        <w:t xml:space="preserve">molto </w:t>
      </w:r>
      <w:r w:rsidR="00FA29E3">
        <w:rPr>
          <w:rFonts w:ascii="Garamond" w:hAnsi="Garamond"/>
          <w:sz w:val="28"/>
          <w:szCs w:val="28"/>
        </w:rPr>
        <w:t>una possibile</w:t>
      </w:r>
      <w:r w:rsidR="00303E9C">
        <w:rPr>
          <w:rFonts w:ascii="Garamond" w:hAnsi="Garamond"/>
          <w:sz w:val="28"/>
          <w:szCs w:val="28"/>
        </w:rPr>
        <w:t xml:space="preserve"> predisposizione </w:t>
      </w:r>
      <w:r w:rsidR="00A90A05">
        <w:rPr>
          <w:rFonts w:ascii="Garamond" w:hAnsi="Garamond"/>
          <w:sz w:val="28"/>
          <w:szCs w:val="28"/>
        </w:rPr>
        <w:t xml:space="preserve">dei criteri di valutazione </w:t>
      </w:r>
      <w:r>
        <w:rPr>
          <w:rFonts w:ascii="Garamond" w:hAnsi="Garamond"/>
          <w:sz w:val="28"/>
          <w:szCs w:val="28"/>
        </w:rPr>
        <w:t xml:space="preserve">della prova pratica nel concorso </w:t>
      </w:r>
      <w:r w:rsidR="00A90A05">
        <w:rPr>
          <w:rFonts w:ascii="Garamond" w:hAnsi="Garamond"/>
          <w:sz w:val="28"/>
          <w:szCs w:val="28"/>
        </w:rPr>
        <w:t>di accesso al tribunale amministrativo regionale o al Consiglio di Stato</w:t>
      </w:r>
      <w:r>
        <w:rPr>
          <w:rFonts w:ascii="Garamond" w:hAnsi="Garamond"/>
          <w:sz w:val="28"/>
          <w:szCs w:val="28"/>
        </w:rPr>
        <w:t>.</w:t>
      </w:r>
    </w:p>
  </w:footnote>
  <w:footnote w:id="10">
    <w:p w14:paraId="1B040E44" w14:textId="77777777" w:rsidR="00BC585E" w:rsidRPr="00BC585E" w:rsidRDefault="00BC585E" w:rsidP="00BC585E">
      <w:pPr>
        <w:pStyle w:val="Testonotaapidipagina"/>
        <w:jc w:val="both"/>
        <w:rPr>
          <w:rFonts w:ascii="Garamond" w:hAnsi="Garamond"/>
          <w:sz w:val="28"/>
          <w:szCs w:val="28"/>
        </w:rPr>
      </w:pPr>
      <w:r w:rsidRPr="00BC585E">
        <w:rPr>
          <w:rStyle w:val="Rimandonotaapidipagina"/>
          <w:rFonts w:ascii="Garamond" w:hAnsi="Garamond"/>
          <w:sz w:val="28"/>
          <w:szCs w:val="28"/>
        </w:rPr>
        <w:footnoteRef/>
      </w:r>
      <w:r w:rsidRPr="00BC585E">
        <w:rPr>
          <w:rFonts w:ascii="Garamond" w:hAnsi="Garamond"/>
          <w:sz w:val="28"/>
          <w:szCs w:val="28"/>
        </w:rPr>
        <w:t xml:space="preserve"> Si riportano i passi salienti tratti dalla relazione di accompagnamento al codice: "Si prevede che di regola la controversia è definita in grado di appello, tranne casi tassativi in cui va disposta la rimessione al primo giudice. Per consentire il rispetto del principio del doppio grado del giudizio, la rimessione ha luogo tassativamente nei casi in cui la sentenza è stata resa a contraddittorio non integro o con violazione del diritto alla difesa e quando la domanda non è stata esaminata per l’errata declaratoria di difetto di giurisdizione, di competenza o di perenzione o estinzione del giudizio".  </w:t>
      </w:r>
    </w:p>
  </w:footnote>
  <w:footnote w:id="11">
    <w:p w14:paraId="05A416CE" w14:textId="77777777" w:rsidR="007A6299" w:rsidRPr="007A6299" w:rsidRDefault="00DC1FB4" w:rsidP="007A6299">
      <w:pPr>
        <w:pStyle w:val="Testonotaapidipagina"/>
        <w:jc w:val="both"/>
        <w:rPr>
          <w:rFonts w:ascii="Garamond" w:hAnsi="Garamond"/>
          <w:sz w:val="28"/>
          <w:szCs w:val="28"/>
        </w:rPr>
      </w:pPr>
      <w:r w:rsidRPr="00DC1FB4">
        <w:rPr>
          <w:rStyle w:val="Rimandonotaapidipagina"/>
          <w:rFonts w:ascii="Garamond" w:hAnsi="Garamond"/>
          <w:sz w:val="28"/>
          <w:szCs w:val="28"/>
        </w:rPr>
        <w:footnoteRef/>
      </w:r>
      <w:r w:rsidRPr="00DC1FB4">
        <w:rPr>
          <w:rFonts w:ascii="Garamond" w:hAnsi="Garamond"/>
          <w:sz w:val="28"/>
          <w:szCs w:val="28"/>
        </w:rPr>
        <w:t xml:space="preserve"> </w:t>
      </w:r>
      <w:r w:rsidR="007E52F6">
        <w:rPr>
          <w:rFonts w:ascii="Garamond" w:hAnsi="Garamond"/>
          <w:sz w:val="28"/>
          <w:szCs w:val="28"/>
        </w:rPr>
        <w:t>"Impedimento alla giustizia" che dovrebbe essere valutato oltretutto tenendo presente</w:t>
      </w:r>
      <w:r w:rsidRPr="00DC1FB4">
        <w:rPr>
          <w:rFonts w:ascii="Garamond" w:hAnsi="Garamond"/>
          <w:sz w:val="28"/>
          <w:szCs w:val="28"/>
        </w:rPr>
        <w:t xml:space="preserve"> la specialità del giudizio amministrativo</w:t>
      </w:r>
      <w:r w:rsidR="00DF6E34">
        <w:rPr>
          <w:rFonts w:ascii="Garamond" w:hAnsi="Garamond"/>
          <w:sz w:val="28"/>
          <w:szCs w:val="28"/>
        </w:rPr>
        <w:t xml:space="preserve"> che</w:t>
      </w:r>
      <w:r w:rsidR="00420C6B">
        <w:rPr>
          <w:rFonts w:ascii="Garamond" w:hAnsi="Garamond"/>
          <w:sz w:val="28"/>
          <w:szCs w:val="28"/>
        </w:rPr>
        <w:t>, nel suo complesso,</w:t>
      </w:r>
      <w:r w:rsidR="00DF6E34">
        <w:rPr>
          <w:rFonts w:ascii="Garamond" w:hAnsi="Garamond"/>
          <w:sz w:val="28"/>
          <w:szCs w:val="28"/>
        </w:rPr>
        <w:t xml:space="preserve"> tende a contemperare la possibilità di agire a tutela dei propri diritti e interessi e l'esigenza </w:t>
      </w:r>
      <w:r w:rsidR="007E52F6" w:rsidRPr="007E52F6">
        <w:rPr>
          <w:rFonts w:ascii="Garamond" w:hAnsi="Garamond"/>
          <w:sz w:val="28"/>
          <w:szCs w:val="28"/>
        </w:rPr>
        <w:t xml:space="preserve">sostanziale </w:t>
      </w:r>
      <w:r w:rsidRPr="00DC1FB4">
        <w:rPr>
          <w:rFonts w:ascii="Garamond" w:hAnsi="Garamond"/>
          <w:sz w:val="28"/>
          <w:szCs w:val="28"/>
        </w:rPr>
        <w:t xml:space="preserve">di giungere alla stabilità e alla certezza dell'assetto giuridico </w:t>
      </w:r>
      <w:r w:rsidR="007E52F6">
        <w:rPr>
          <w:rFonts w:ascii="Garamond" w:hAnsi="Garamond"/>
          <w:sz w:val="28"/>
          <w:szCs w:val="28"/>
        </w:rPr>
        <w:t xml:space="preserve">anche </w:t>
      </w:r>
      <w:r w:rsidRPr="00DC1FB4">
        <w:rPr>
          <w:rFonts w:ascii="Garamond" w:hAnsi="Garamond"/>
          <w:sz w:val="28"/>
          <w:szCs w:val="28"/>
        </w:rPr>
        <w:t xml:space="preserve">attraverso </w:t>
      </w:r>
      <w:r w:rsidR="007E52F6" w:rsidRPr="007E52F6">
        <w:rPr>
          <w:rFonts w:ascii="Garamond" w:hAnsi="Garamond"/>
          <w:sz w:val="28"/>
          <w:szCs w:val="28"/>
        </w:rPr>
        <w:t>termini perentori e preclusioni</w:t>
      </w:r>
      <w:r w:rsidR="007E52F6">
        <w:rPr>
          <w:rFonts w:ascii="Garamond" w:hAnsi="Garamond"/>
          <w:sz w:val="28"/>
          <w:szCs w:val="28"/>
        </w:rPr>
        <w:t xml:space="preserve"> che consentano</w:t>
      </w:r>
      <w:r w:rsidR="007E52F6" w:rsidRPr="007E52F6">
        <w:rPr>
          <w:rFonts w:ascii="Garamond" w:hAnsi="Garamond"/>
          <w:sz w:val="28"/>
          <w:szCs w:val="28"/>
        </w:rPr>
        <w:t xml:space="preserve"> </w:t>
      </w:r>
      <w:r w:rsidRPr="00DC1FB4">
        <w:rPr>
          <w:rFonts w:ascii="Garamond" w:hAnsi="Garamond"/>
          <w:sz w:val="28"/>
          <w:szCs w:val="28"/>
        </w:rPr>
        <w:t>un pronto consolidamento dell'atto amministrativo.</w:t>
      </w:r>
      <w:r w:rsidR="007A6299">
        <w:rPr>
          <w:rFonts w:ascii="Garamond" w:hAnsi="Garamond"/>
          <w:sz w:val="28"/>
          <w:szCs w:val="28"/>
        </w:rPr>
        <w:t xml:space="preserve"> </w:t>
      </w:r>
      <w:r w:rsidR="0079788B">
        <w:rPr>
          <w:rFonts w:ascii="Garamond" w:hAnsi="Garamond"/>
          <w:sz w:val="28"/>
          <w:szCs w:val="28"/>
        </w:rPr>
        <w:t xml:space="preserve">La </w:t>
      </w:r>
      <w:r w:rsidR="0079788B" w:rsidRPr="0079788B">
        <w:rPr>
          <w:rFonts w:ascii="Garamond" w:hAnsi="Garamond"/>
          <w:sz w:val="28"/>
          <w:szCs w:val="28"/>
        </w:rPr>
        <w:t>Corte costituzionale</w:t>
      </w:r>
      <w:r w:rsidR="0079788B">
        <w:rPr>
          <w:rFonts w:ascii="Garamond" w:hAnsi="Garamond"/>
          <w:sz w:val="28"/>
          <w:szCs w:val="28"/>
        </w:rPr>
        <w:t xml:space="preserve">, che ha sempre negato l'esistenza di </w:t>
      </w:r>
      <w:r w:rsidR="0079788B" w:rsidRPr="0079788B">
        <w:rPr>
          <w:rFonts w:ascii="Garamond" w:hAnsi="Garamond"/>
          <w:sz w:val="28"/>
          <w:szCs w:val="28"/>
        </w:rPr>
        <w:t>un principio costituzionale di necessaria uniformità tra i diversi tipi di processo</w:t>
      </w:r>
      <w:r w:rsidR="0079788B">
        <w:rPr>
          <w:rFonts w:ascii="Garamond" w:hAnsi="Garamond"/>
          <w:sz w:val="28"/>
          <w:szCs w:val="28"/>
        </w:rPr>
        <w:t xml:space="preserve">, </w:t>
      </w:r>
      <w:r w:rsidR="00982C85">
        <w:rPr>
          <w:rFonts w:ascii="Garamond" w:hAnsi="Garamond"/>
          <w:sz w:val="28"/>
          <w:szCs w:val="28"/>
        </w:rPr>
        <w:t>h</w:t>
      </w:r>
      <w:r w:rsidR="0079788B">
        <w:rPr>
          <w:rFonts w:ascii="Garamond" w:hAnsi="Garamond"/>
          <w:sz w:val="28"/>
          <w:szCs w:val="28"/>
        </w:rPr>
        <w:t>a</w:t>
      </w:r>
      <w:r w:rsidR="0079788B" w:rsidRPr="0079788B">
        <w:rPr>
          <w:rFonts w:ascii="Garamond" w:hAnsi="Garamond"/>
          <w:sz w:val="28"/>
          <w:szCs w:val="28"/>
        </w:rPr>
        <w:t xml:space="preserve"> </w:t>
      </w:r>
      <w:r w:rsidR="007A6299">
        <w:rPr>
          <w:rFonts w:ascii="Garamond" w:hAnsi="Garamond"/>
          <w:sz w:val="28"/>
          <w:szCs w:val="28"/>
        </w:rPr>
        <w:t xml:space="preserve">ben presente </w:t>
      </w:r>
      <w:r w:rsidR="00982C85">
        <w:rPr>
          <w:rFonts w:ascii="Garamond" w:hAnsi="Garamond"/>
          <w:sz w:val="28"/>
          <w:szCs w:val="28"/>
        </w:rPr>
        <w:t>t</w:t>
      </w:r>
      <w:r w:rsidR="00982C85" w:rsidRPr="00982C85">
        <w:rPr>
          <w:rFonts w:ascii="Garamond" w:hAnsi="Garamond"/>
          <w:sz w:val="28"/>
          <w:szCs w:val="28"/>
        </w:rPr>
        <w:t>ale bilanciamento</w:t>
      </w:r>
      <w:r w:rsidR="007A6299">
        <w:rPr>
          <w:rFonts w:ascii="Garamond" w:hAnsi="Garamond"/>
          <w:sz w:val="28"/>
          <w:szCs w:val="28"/>
        </w:rPr>
        <w:t>: "</w:t>
      </w:r>
      <w:r w:rsidR="007A6299" w:rsidRPr="007A6299">
        <w:rPr>
          <w:rFonts w:ascii="Garamond" w:hAnsi="Garamond"/>
          <w:sz w:val="28"/>
          <w:szCs w:val="28"/>
        </w:rPr>
        <w:t xml:space="preserve">6.1.− </w:t>
      </w:r>
      <w:r w:rsidR="007A6299">
        <w:rPr>
          <w:rFonts w:ascii="Garamond" w:hAnsi="Garamond"/>
          <w:sz w:val="28"/>
          <w:szCs w:val="28"/>
        </w:rPr>
        <w:t xml:space="preserve">[…] </w:t>
      </w:r>
    </w:p>
    <w:p w14:paraId="030B96FC" w14:textId="77777777" w:rsidR="00DC1FB4" w:rsidRPr="00DC1FB4" w:rsidRDefault="007A6299" w:rsidP="007A6299">
      <w:pPr>
        <w:pStyle w:val="Testonotaapidipagina"/>
        <w:jc w:val="both"/>
        <w:rPr>
          <w:rFonts w:ascii="Garamond" w:hAnsi="Garamond"/>
          <w:sz w:val="28"/>
          <w:szCs w:val="28"/>
        </w:rPr>
      </w:pPr>
      <w:r w:rsidRPr="007A6299">
        <w:rPr>
          <w:rFonts w:ascii="Garamond" w:hAnsi="Garamond"/>
          <w:sz w:val="28"/>
          <w:szCs w:val="28"/>
        </w:rPr>
        <w:t>La previsione del termine di decadenza per l’esercizio dell’azione risarcitoria non può ritenersi il frutto di una scelta viziata da manifesta irragionevolezza, ma costituisce l’espressione di un coerente bilanciamento dell’interesse del danneggiato di vedersi riconosciuta la possibilità di agire anche a prescindere dalla domanda di annullamento (con eliminazione della regola della pregiudizialità), con l’obiettivo, di rilevante interesse pubblico, di pervenire in tempi brevi alla certezza del rapporto giuridico amministrativo, anche nella sua declinazione risarcitoria, secondo una logica di stabilità degli effetti giuridici ben conosciuta in rilevanti settori del diritto privato ove le aspirazioni risarcitorie si colleghino al non corretto esercizio del potere, specie nell’ambito di organizzazioni complesse e di esigenze di stabilità degli assetti economici (art. 2377, sesto comma, del codice civile)</w:t>
      </w:r>
      <w:r>
        <w:rPr>
          <w:rFonts w:ascii="Garamond" w:hAnsi="Garamond"/>
          <w:sz w:val="28"/>
          <w:szCs w:val="28"/>
        </w:rPr>
        <w:t>"</w:t>
      </w:r>
      <w:r w:rsidR="00982C85">
        <w:rPr>
          <w:rFonts w:ascii="Garamond" w:hAnsi="Garamond"/>
          <w:sz w:val="28"/>
          <w:szCs w:val="28"/>
        </w:rPr>
        <w:t xml:space="preserve"> (sentenza n. 94 del 2017).</w:t>
      </w:r>
    </w:p>
  </w:footnote>
  <w:footnote w:id="12">
    <w:p w14:paraId="6EABF339" w14:textId="77777777" w:rsidR="00D974E9" w:rsidRPr="00C07FBC" w:rsidRDefault="00D974E9">
      <w:pPr>
        <w:pStyle w:val="Testonotaapidipagina"/>
        <w:rPr>
          <w:rFonts w:ascii="Garamond" w:hAnsi="Garamond"/>
          <w:sz w:val="28"/>
          <w:szCs w:val="28"/>
        </w:rPr>
      </w:pPr>
      <w:r w:rsidRPr="00C07FBC">
        <w:rPr>
          <w:rStyle w:val="Rimandonotaapidipagina"/>
          <w:rFonts w:ascii="Garamond" w:hAnsi="Garamond"/>
          <w:sz w:val="28"/>
          <w:szCs w:val="28"/>
        </w:rPr>
        <w:footnoteRef/>
      </w:r>
      <w:r w:rsidRPr="00C07FBC">
        <w:rPr>
          <w:rFonts w:ascii="Garamond" w:hAnsi="Garamond"/>
          <w:sz w:val="28"/>
          <w:szCs w:val="28"/>
        </w:rPr>
        <w:t xml:space="preserve"> Tenutosi a Roma, presso</w:t>
      </w:r>
      <w:r w:rsidR="00FA29E3">
        <w:rPr>
          <w:rFonts w:ascii="Garamond" w:hAnsi="Garamond"/>
          <w:sz w:val="28"/>
          <w:szCs w:val="28"/>
        </w:rPr>
        <w:t xml:space="preserve"> il Consiglio di Stato,</w:t>
      </w:r>
      <w:r w:rsidRPr="00C07FBC">
        <w:rPr>
          <w:rFonts w:ascii="Garamond" w:hAnsi="Garamond"/>
          <w:sz w:val="28"/>
          <w:szCs w:val="28"/>
        </w:rPr>
        <w:t xml:space="preserve"> palazzo Spada, il 20 e il 21 ottobre 2025.</w:t>
      </w:r>
    </w:p>
  </w:footnote>
  <w:footnote w:id="13">
    <w:p w14:paraId="559EBBF5" w14:textId="77777777" w:rsidR="008E294A" w:rsidRPr="008E294A" w:rsidRDefault="00D974E9" w:rsidP="008E294A">
      <w:pPr>
        <w:pStyle w:val="Testonotaapidipagina"/>
        <w:jc w:val="both"/>
        <w:rPr>
          <w:rFonts w:ascii="Garamond" w:hAnsi="Garamond"/>
          <w:sz w:val="28"/>
          <w:szCs w:val="28"/>
        </w:rPr>
      </w:pPr>
      <w:r w:rsidRPr="008E294A">
        <w:rPr>
          <w:rStyle w:val="Rimandonotaapidipagina"/>
          <w:rFonts w:ascii="Garamond" w:hAnsi="Garamond"/>
          <w:sz w:val="28"/>
          <w:szCs w:val="28"/>
        </w:rPr>
        <w:footnoteRef/>
      </w:r>
      <w:r w:rsidRPr="008E294A">
        <w:rPr>
          <w:rFonts w:ascii="Garamond" w:hAnsi="Garamond"/>
          <w:sz w:val="28"/>
          <w:szCs w:val="28"/>
        </w:rPr>
        <w:t xml:space="preserve"> </w:t>
      </w:r>
      <w:r w:rsidR="008E294A" w:rsidRPr="008E294A">
        <w:rPr>
          <w:rFonts w:ascii="Garamond" w:hAnsi="Garamond"/>
          <w:sz w:val="28"/>
          <w:szCs w:val="28"/>
        </w:rPr>
        <w:t>Nella sentenza 7 aprile 2011</w:t>
      </w:r>
      <w:r w:rsidR="000C77EA">
        <w:rPr>
          <w:rFonts w:ascii="Garamond" w:hAnsi="Garamond"/>
          <w:sz w:val="28"/>
          <w:szCs w:val="28"/>
        </w:rPr>
        <w:t>,</w:t>
      </w:r>
      <w:r w:rsidR="008E294A" w:rsidRPr="008E294A">
        <w:rPr>
          <w:rFonts w:ascii="Garamond" w:hAnsi="Garamond"/>
          <w:sz w:val="28"/>
          <w:szCs w:val="28"/>
        </w:rPr>
        <w:t xml:space="preserve"> n. 4, si rimarca:</w:t>
      </w:r>
    </w:p>
    <w:p w14:paraId="459D8649" w14:textId="77777777" w:rsidR="008E294A" w:rsidRPr="008E294A" w:rsidRDefault="008E294A" w:rsidP="008E294A">
      <w:pPr>
        <w:pStyle w:val="Testonotaapidipagina"/>
        <w:jc w:val="both"/>
        <w:rPr>
          <w:rFonts w:ascii="Garamond" w:hAnsi="Garamond"/>
          <w:sz w:val="28"/>
          <w:szCs w:val="28"/>
        </w:rPr>
      </w:pPr>
      <w:r w:rsidRPr="008E294A">
        <w:rPr>
          <w:rFonts w:ascii="Garamond" w:hAnsi="Garamond"/>
          <w:sz w:val="28"/>
          <w:szCs w:val="28"/>
        </w:rPr>
        <w:t xml:space="preserve"> "29. È superfluo ricordare che, nel nostro sistema di giurisdizione soggettiva, la verifica della legittimità dei provvedimenti amministrativi impugnati non va compiuta nell’astratto interesse generale, ma è finalizzata all’accertamento della fondatezza della pretesa sostanziale fatta valere, ritualmente, dalla parte attrice.</w:t>
      </w:r>
    </w:p>
    <w:p w14:paraId="47358805" w14:textId="77777777" w:rsidR="008E294A" w:rsidRPr="008E294A" w:rsidRDefault="008E294A" w:rsidP="008E294A">
      <w:pPr>
        <w:pStyle w:val="Testonotaapidipagina"/>
        <w:jc w:val="both"/>
        <w:rPr>
          <w:rFonts w:ascii="Garamond" w:hAnsi="Garamond"/>
          <w:sz w:val="28"/>
          <w:szCs w:val="28"/>
        </w:rPr>
      </w:pPr>
      <w:r w:rsidRPr="008E294A">
        <w:rPr>
          <w:rFonts w:ascii="Garamond" w:hAnsi="Garamond"/>
          <w:sz w:val="28"/>
          <w:szCs w:val="28"/>
        </w:rPr>
        <w:t>Poiché il ricorso non è mera “occasione” del sindacato giurisdizionale sull’azione amministrativa, il controllo della legittimazione al ricorso assume sempre carattere pregiudiziale rispetto all’esame del merito della domanda, in coerenza con i principi della giurisdizione soggettiva e dell’impulso di parte.</w:t>
      </w:r>
    </w:p>
    <w:p w14:paraId="6BAFF810" w14:textId="77777777" w:rsidR="008E294A" w:rsidRPr="008E294A" w:rsidRDefault="008E294A" w:rsidP="008E294A">
      <w:pPr>
        <w:pStyle w:val="Testonotaapidipagina"/>
        <w:jc w:val="both"/>
        <w:rPr>
          <w:rFonts w:ascii="Garamond" w:hAnsi="Garamond"/>
          <w:sz w:val="28"/>
          <w:szCs w:val="28"/>
        </w:rPr>
      </w:pPr>
      <w:r w:rsidRPr="008E294A">
        <w:rPr>
          <w:rFonts w:ascii="Garamond" w:hAnsi="Garamond"/>
          <w:sz w:val="28"/>
          <w:szCs w:val="28"/>
        </w:rPr>
        <w:t>L’eventuale reiezione della domanda per “ragioni processuali”, collegate alla riscontrata carenza delle condizioni e dei presupposti dell’azione (comprensivi della legittimazione e dell’interesse al ricorso), non rappresenta l’affermazione di un risultato meramente “formale”. Al contrario, costituisce l’esito fisiologico, pienamente congruente con le regole costituzionali in materia di tutela giurisdizionale, della valutazione in ordine alla titolarità, in capo all’attore, di una posizione tutelabile dinanzi al giudice amministrativo.</w:t>
      </w:r>
    </w:p>
    <w:p w14:paraId="58CC6C41" w14:textId="77777777" w:rsidR="00D974E9" w:rsidRDefault="008E294A" w:rsidP="008E294A">
      <w:pPr>
        <w:pStyle w:val="Testonotaapidipagina"/>
        <w:jc w:val="both"/>
      </w:pPr>
      <w:r w:rsidRPr="008E294A">
        <w:rPr>
          <w:rFonts w:ascii="Garamond" w:hAnsi="Garamond"/>
          <w:sz w:val="28"/>
          <w:szCs w:val="28"/>
        </w:rPr>
        <w:t>30. La necessità di definire il giudizio muovendo dall’esame delle questioni preliminari, costituisce, ora, una espressa regola positiva, stabilita dal codice del processo amministrativo</w:t>
      </w:r>
      <w:r w:rsidR="00840CFE">
        <w:rPr>
          <w:rFonts w:ascii="Garamond" w:hAnsi="Garamond"/>
          <w:sz w:val="28"/>
          <w:szCs w:val="28"/>
        </w:rPr>
        <w:t>”</w:t>
      </w:r>
      <w:r w:rsidRPr="008E294A">
        <w:rPr>
          <w:rFonts w:ascii="Garamond" w:hAnsi="Garamond"/>
          <w:sz w:val="28"/>
          <w:szCs w:val="28"/>
        </w:rPr>
        <w:t>.</w:t>
      </w:r>
    </w:p>
  </w:footnote>
  <w:footnote w:id="14">
    <w:p w14:paraId="3561EFED" w14:textId="77777777" w:rsidR="004F4CD6" w:rsidRPr="00F149C1" w:rsidRDefault="004F4CD6" w:rsidP="00F149C1">
      <w:pPr>
        <w:pStyle w:val="Testonotaapidipagina"/>
        <w:jc w:val="both"/>
        <w:rPr>
          <w:rFonts w:ascii="Garamond" w:hAnsi="Garamond"/>
          <w:sz w:val="28"/>
          <w:szCs w:val="28"/>
        </w:rPr>
      </w:pPr>
      <w:r w:rsidRPr="00F149C1">
        <w:rPr>
          <w:rStyle w:val="Rimandonotaapidipagina"/>
          <w:rFonts w:ascii="Garamond" w:hAnsi="Garamond"/>
          <w:sz w:val="28"/>
          <w:szCs w:val="28"/>
        </w:rPr>
        <w:footnoteRef/>
      </w:r>
      <w:r w:rsidRPr="00F149C1">
        <w:rPr>
          <w:rFonts w:ascii="Garamond" w:hAnsi="Garamond"/>
          <w:sz w:val="28"/>
          <w:szCs w:val="28"/>
        </w:rPr>
        <w:t xml:space="preserve"> </w:t>
      </w:r>
      <w:r w:rsidR="00F149C1" w:rsidRPr="00F149C1">
        <w:rPr>
          <w:rFonts w:ascii="Garamond" w:hAnsi="Garamond"/>
          <w:sz w:val="28"/>
          <w:szCs w:val="28"/>
        </w:rPr>
        <w:t xml:space="preserve">V. le "Regole per la redazione in forma sintetica delle pronunce del giudice amministrativo", di cui alla nota del Presidente del Consiglio di Stato del 22 dicembre </w:t>
      </w:r>
      <w:r w:rsidR="00F149C1">
        <w:rPr>
          <w:rFonts w:ascii="Garamond" w:hAnsi="Garamond"/>
          <w:sz w:val="28"/>
          <w:szCs w:val="28"/>
        </w:rPr>
        <w:t>2016</w:t>
      </w:r>
      <w:r w:rsidR="00F149C1" w:rsidRPr="00F149C1">
        <w:rPr>
          <w:rFonts w:ascii="Garamond" w:hAnsi="Garamond"/>
          <w:sz w:val="28"/>
          <w:szCs w:val="28"/>
        </w:rPr>
        <w:t>.</w:t>
      </w:r>
    </w:p>
  </w:footnote>
  <w:footnote w:id="15">
    <w:p w14:paraId="093E29AC" w14:textId="77777777" w:rsidR="004F4CD6" w:rsidRPr="00F149C1" w:rsidRDefault="004F4CD6" w:rsidP="00F149C1">
      <w:pPr>
        <w:pStyle w:val="Testonotaapidipagina"/>
        <w:jc w:val="both"/>
        <w:rPr>
          <w:rFonts w:ascii="Garamond" w:hAnsi="Garamond"/>
          <w:sz w:val="28"/>
          <w:szCs w:val="28"/>
        </w:rPr>
      </w:pPr>
      <w:r w:rsidRPr="00F149C1">
        <w:rPr>
          <w:rStyle w:val="Rimandonotaapidipagina"/>
          <w:rFonts w:ascii="Garamond" w:hAnsi="Garamond"/>
          <w:sz w:val="28"/>
          <w:szCs w:val="28"/>
        </w:rPr>
        <w:footnoteRef/>
      </w:r>
      <w:r w:rsidRPr="00F149C1">
        <w:rPr>
          <w:rFonts w:ascii="Garamond" w:hAnsi="Garamond"/>
          <w:sz w:val="28"/>
          <w:szCs w:val="28"/>
        </w:rPr>
        <w:t xml:space="preserve"> </w:t>
      </w:r>
      <w:r w:rsidR="008251C4" w:rsidRPr="00F149C1">
        <w:rPr>
          <w:rFonts w:ascii="Garamond" w:hAnsi="Garamond"/>
          <w:sz w:val="28"/>
          <w:szCs w:val="28"/>
        </w:rPr>
        <w:t>V. i "</w:t>
      </w:r>
      <w:r w:rsidR="00840CFE" w:rsidRPr="00F149C1">
        <w:rPr>
          <w:rFonts w:ascii="Garamond" w:hAnsi="Garamond"/>
          <w:sz w:val="28"/>
          <w:szCs w:val="28"/>
        </w:rPr>
        <w:t xml:space="preserve">Criteri </w:t>
      </w:r>
      <w:r w:rsidRPr="00F149C1">
        <w:rPr>
          <w:rFonts w:ascii="Garamond" w:hAnsi="Garamond"/>
          <w:sz w:val="28"/>
          <w:szCs w:val="28"/>
        </w:rPr>
        <w:t>di redazione e i limiti dimensionali dei ricorsi e degli altri atti difensivi nel processo amministrativo</w:t>
      </w:r>
      <w:r w:rsidR="008251C4" w:rsidRPr="00F149C1">
        <w:rPr>
          <w:rFonts w:ascii="Garamond" w:hAnsi="Garamond"/>
          <w:sz w:val="28"/>
          <w:szCs w:val="28"/>
        </w:rPr>
        <w:t>" di cui al decreto del Presidente del Consiglio di Stato 22 dicembre 2016, n. 167, modificato con il decreto 16 ottobre 2017, n. 127.</w:t>
      </w:r>
    </w:p>
  </w:footnote>
  <w:footnote w:id="16">
    <w:p w14:paraId="30D16568" w14:textId="77777777" w:rsidR="004F4CD6" w:rsidRPr="00F149C1" w:rsidRDefault="004F4CD6" w:rsidP="00F149C1">
      <w:pPr>
        <w:pStyle w:val="Testonotaapidipagina"/>
        <w:jc w:val="both"/>
        <w:rPr>
          <w:rFonts w:ascii="Garamond" w:hAnsi="Garamond"/>
          <w:sz w:val="28"/>
          <w:szCs w:val="28"/>
        </w:rPr>
      </w:pPr>
      <w:r w:rsidRPr="00F149C1">
        <w:rPr>
          <w:rStyle w:val="Rimandonotaapidipagina"/>
          <w:rFonts w:ascii="Garamond" w:hAnsi="Garamond"/>
          <w:sz w:val="28"/>
          <w:szCs w:val="28"/>
        </w:rPr>
        <w:footnoteRef/>
      </w:r>
      <w:r w:rsidRPr="00F149C1">
        <w:rPr>
          <w:rFonts w:ascii="Garamond" w:hAnsi="Garamond"/>
          <w:sz w:val="28"/>
          <w:szCs w:val="28"/>
        </w:rPr>
        <w:t xml:space="preserve"> </w:t>
      </w:r>
      <w:r w:rsidR="005865D5">
        <w:rPr>
          <w:rFonts w:ascii="Garamond" w:hAnsi="Garamond"/>
          <w:sz w:val="28"/>
          <w:szCs w:val="28"/>
        </w:rPr>
        <w:t xml:space="preserve">Tra </w:t>
      </w:r>
      <w:r w:rsidR="00C379E8">
        <w:rPr>
          <w:rFonts w:ascii="Garamond" w:hAnsi="Garamond"/>
          <w:sz w:val="28"/>
          <w:szCs w:val="28"/>
        </w:rPr>
        <w:t xml:space="preserve">le tante, si distingue per la sua attualità la sentenza del </w:t>
      </w:r>
      <w:r w:rsidRPr="00F149C1">
        <w:rPr>
          <w:rFonts w:ascii="Garamond" w:hAnsi="Garamond"/>
          <w:sz w:val="28"/>
          <w:szCs w:val="28"/>
        </w:rPr>
        <w:t xml:space="preserve">Consiglio di Stato, </w:t>
      </w:r>
      <w:r w:rsidR="00F149C1">
        <w:rPr>
          <w:rFonts w:ascii="Garamond" w:hAnsi="Garamond"/>
          <w:sz w:val="28"/>
          <w:szCs w:val="28"/>
        </w:rPr>
        <w:t>quinta</w:t>
      </w:r>
      <w:r w:rsidRPr="00F149C1">
        <w:rPr>
          <w:rFonts w:ascii="Garamond" w:hAnsi="Garamond"/>
          <w:sz w:val="28"/>
          <w:szCs w:val="28"/>
        </w:rPr>
        <w:t xml:space="preserve"> sezione, 10 febbraio 2025, n. 1038</w:t>
      </w:r>
      <w:r w:rsidR="00C379E8">
        <w:rPr>
          <w:rFonts w:ascii="Garamond" w:hAnsi="Garamond"/>
          <w:sz w:val="28"/>
          <w:szCs w:val="28"/>
        </w:rPr>
        <w:t xml:space="preserve">, che considera </w:t>
      </w:r>
      <w:r w:rsidRPr="00F149C1">
        <w:rPr>
          <w:rFonts w:ascii="Garamond" w:hAnsi="Garamond"/>
          <w:sz w:val="28"/>
          <w:szCs w:val="28"/>
        </w:rPr>
        <w:t xml:space="preserve">la sentenza breve </w:t>
      </w:r>
      <w:r w:rsidR="00C379E8">
        <w:rPr>
          <w:rFonts w:ascii="Garamond" w:hAnsi="Garamond"/>
          <w:sz w:val="28"/>
          <w:szCs w:val="28"/>
        </w:rPr>
        <w:t xml:space="preserve">di primo grado, emessa in sede cautelare, in quanto tale </w:t>
      </w:r>
      <w:r w:rsidRPr="00F149C1">
        <w:rPr>
          <w:rFonts w:ascii="Garamond" w:hAnsi="Garamond"/>
          <w:sz w:val="28"/>
          <w:szCs w:val="28"/>
        </w:rPr>
        <w:t>immotivata e</w:t>
      </w:r>
      <w:r w:rsidR="00C379E8">
        <w:rPr>
          <w:rFonts w:ascii="Garamond" w:hAnsi="Garamond"/>
          <w:sz w:val="28"/>
          <w:szCs w:val="28"/>
        </w:rPr>
        <w:t>, senza</w:t>
      </w:r>
      <w:r w:rsidR="000A1E0B">
        <w:rPr>
          <w:rFonts w:ascii="Garamond" w:hAnsi="Garamond"/>
          <w:sz w:val="28"/>
          <w:szCs w:val="28"/>
        </w:rPr>
        <w:t xml:space="preserve"> preoccuparsi di sviluppare </w:t>
      </w:r>
      <w:r w:rsidR="00C379E8">
        <w:rPr>
          <w:rFonts w:ascii="Garamond" w:hAnsi="Garamond"/>
          <w:sz w:val="28"/>
          <w:szCs w:val="28"/>
        </w:rPr>
        <w:t>le ragioni per le quali</w:t>
      </w:r>
      <w:r w:rsidRPr="00F149C1">
        <w:rPr>
          <w:rFonts w:ascii="Garamond" w:hAnsi="Garamond"/>
          <w:sz w:val="28"/>
          <w:szCs w:val="28"/>
        </w:rPr>
        <w:t xml:space="preserve"> </w:t>
      </w:r>
      <w:r w:rsidR="005865D5">
        <w:rPr>
          <w:rFonts w:ascii="Garamond" w:hAnsi="Garamond"/>
          <w:sz w:val="28"/>
          <w:szCs w:val="28"/>
        </w:rPr>
        <w:t xml:space="preserve">l'esito di irricevibilità/inammissibilità/improcedibilità del ricorso sarebbe affetto da un errore </w:t>
      </w:r>
      <w:r w:rsidR="005865D5" w:rsidRPr="005865D5">
        <w:rPr>
          <w:rFonts w:ascii="Garamond" w:hAnsi="Garamond"/>
          <w:sz w:val="28"/>
          <w:szCs w:val="28"/>
        </w:rPr>
        <w:t>palese</w:t>
      </w:r>
      <w:r w:rsidR="005865D5">
        <w:rPr>
          <w:rFonts w:ascii="Garamond" w:hAnsi="Garamond"/>
          <w:sz w:val="28"/>
          <w:szCs w:val="28"/>
        </w:rPr>
        <w:t xml:space="preserve"> (che non sia la stringatezza del testo), l’annulla con rinvio.</w:t>
      </w:r>
    </w:p>
  </w:footnote>
  <w:footnote w:id="17">
    <w:p w14:paraId="6C2C09EA" w14:textId="77777777" w:rsidR="00620739" w:rsidRPr="00620739" w:rsidRDefault="00620739">
      <w:pPr>
        <w:pStyle w:val="Testonotaapidipagina"/>
        <w:rPr>
          <w:rFonts w:ascii="Garamond" w:hAnsi="Garamond"/>
          <w:sz w:val="28"/>
          <w:szCs w:val="28"/>
        </w:rPr>
      </w:pPr>
      <w:r w:rsidRPr="00620739">
        <w:rPr>
          <w:rStyle w:val="Rimandonotaapidipagina"/>
          <w:rFonts w:ascii="Garamond" w:hAnsi="Garamond"/>
          <w:sz w:val="28"/>
          <w:szCs w:val="28"/>
        </w:rPr>
        <w:footnoteRef/>
      </w:r>
      <w:r w:rsidRPr="00620739">
        <w:rPr>
          <w:rFonts w:ascii="Garamond" w:hAnsi="Garamond"/>
          <w:sz w:val="28"/>
          <w:szCs w:val="28"/>
        </w:rPr>
        <w:t xml:space="preserve"> Cfr. Adunanza plenaria, 27 aprile 1982, n. 6; 30 aprile 1982, n. 12.</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D3394549-A3D1-4D3E-80A3-FF0EA2C326A8}"/>
    <w:docVar w:name="dgnword-drafile" w:val="C:\Users\GA9F5~1.ADA\AppData\Local\Temp\dra146F.tmp"/>
    <w:docVar w:name="dgnword-eventsink" w:val="563472960"/>
  </w:docVars>
  <w:rsids>
    <w:rsidRoot w:val="0008730C"/>
    <w:rsid w:val="00005368"/>
    <w:rsid w:val="000619FC"/>
    <w:rsid w:val="000722E0"/>
    <w:rsid w:val="0008730C"/>
    <w:rsid w:val="000A1E0B"/>
    <w:rsid w:val="000C44C0"/>
    <w:rsid w:val="000C77EA"/>
    <w:rsid w:val="00111DE0"/>
    <w:rsid w:val="00122EF8"/>
    <w:rsid w:val="0015740A"/>
    <w:rsid w:val="0018210D"/>
    <w:rsid w:val="001A4037"/>
    <w:rsid w:val="00233E73"/>
    <w:rsid w:val="002A5A58"/>
    <w:rsid w:val="002E1DA3"/>
    <w:rsid w:val="002E3BB4"/>
    <w:rsid w:val="002F4DCF"/>
    <w:rsid w:val="00303E9C"/>
    <w:rsid w:val="003066AF"/>
    <w:rsid w:val="00312187"/>
    <w:rsid w:val="003229F0"/>
    <w:rsid w:val="00342EDF"/>
    <w:rsid w:val="00352C20"/>
    <w:rsid w:val="003D6280"/>
    <w:rsid w:val="00420C6B"/>
    <w:rsid w:val="0045601A"/>
    <w:rsid w:val="00457463"/>
    <w:rsid w:val="0047752E"/>
    <w:rsid w:val="004B504A"/>
    <w:rsid w:val="004C487A"/>
    <w:rsid w:val="004F4CD6"/>
    <w:rsid w:val="00517C5E"/>
    <w:rsid w:val="005276EE"/>
    <w:rsid w:val="00544D5D"/>
    <w:rsid w:val="005576C9"/>
    <w:rsid w:val="005865D5"/>
    <w:rsid w:val="00592C60"/>
    <w:rsid w:val="005C6159"/>
    <w:rsid w:val="005F55AB"/>
    <w:rsid w:val="00614E22"/>
    <w:rsid w:val="00615B68"/>
    <w:rsid w:val="00620739"/>
    <w:rsid w:val="00621D3B"/>
    <w:rsid w:val="00695EA5"/>
    <w:rsid w:val="0071653F"/>
    <w:rsid w:val="00721332"/>
    <w:rsid w:val="00754444"/>
    <w:rsid w:val="0079788B"/>
    <w:rsid w:val="007A6299"/>
    <w:rsid w:val="007D52E9"/>
    <w:rsid w:val="007E52F6"/>
    <w:rsid w:val="007F7BF4"/>
    <w:rsid w:val="008251C4"/>
    <w:rsid w:val="00840CFE"/>
    <w:rsid w:val="00847346"/>
    <w:rsid w:val="00866E4D"/>
    <w:rsid w:val="008E294A"/>
    <w:rsid w:val="008E34EF"/>
    <w:rsid w:val="00934B5A"/>
    <w:rsid w:val="00982C85"/>
    <w:rsid w:val="009974E7"/>
    <w:rsid w:val="00A01718"/>
    <w:rsid w:val="00A90A05"/>
    <w:rsid w:val="00AC1998"/>
    <w:rsid w:val="00AC1CCE"/>
    <w:rsid w:val="00AC687E"/>
    <w:rsid w:val="00B033DB"/>
    <w:rsid w:val="00B40B23"/>
    <w:rsid w:val="00B831EA"/>
    <w:rsid w:val="00BC4864"/>
    <w:rsid w:val="00BC585E"/>
    <w:rsid w:val="00C07FBC"/>
    <w:rsid w:val="00C14D5E"/>
    <w:rsid w:val="00C379E8"/>
    <w:rsid w:val="00CC0311"/>
    <w:rsid w:val="00CF65FB"/>
    <w:rsid w:val="00D03905"/>
    <w:rsid w:val="00D128E8"/>
    <w:rsid w:val="00D7291E"/>
    <w:rsid w:val="00D73FBF"/>
    <w:rsid w:val="00D974E9"/>
    <w:rsid w:val="00DC1FB4"/>
    <w:rsid w:val="00DE7100"/>
    <w:rsid w:val="00DF6E34"/>
    <w:rsid w:val="00E65023"/>
    <w:rsid w:val="00E65BD3"/>
    <w:rsid w:val="00E71457"/>
    <w:rsid w:val="00F149C1"/>
    <w:rsid w:val="00F3316B"/>
    <w:rsid w:val="00F41AB4"/>
    <w:rsid w:val="00F9246C"/>
    <w:rsid w:val="00FA1959"/>
    <w:rsid w:val="00FA29E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430936"/>
  <w15:chartTrackingRefBased/>
  <w15:docId w15:val="{5089E30E-C49C-441D-A31F-4D607AC3D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08730C"/>
    <w:pPr>
      <w:spacing w:line="256"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unhideWhenUsed/>
    <w:rsid w:val="0008730C"/>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rsid w:val="0008730C"/>
    <w:rPr>
      <w:sz w:val="20"/>
      <w:szCs w:val="20"/>
    </w:rPr>
  </w:style>
  <w:style w:type="character" w:styleId="Rimandonotaapidipagina">
    <w:name w:val="footnote reference"/>
    <w:basedOn w:val="Carpredefinitoparagrafo"/>
    <w:uiPriority w:val="99"/>
    <w:semiHidden/>
    <w:unhideWhenUsed/>
    <w:rsid w:val="0008730C"/>
    <w:rPr>
      <w:vertAlign w:val="superscript"/>
    </w:rPr>
  </w:style>
  <w:style w:type="paragraph" w:styleId="Intestazione">
    <w:name w:val="header"/>
    <w:basedOn w:val="Normale"/>
    <w:link w:val="IntestazioneCarattere"/>
    <w:uiPriority w:val="99"/>
    <w:unhideWhenUsed/>
    <w:rsid w:val="0045601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45601A"/>
  </w:style>
  <w:style w:type="paragraph" w:styleId="Pidipagina">
    <w:name w:val="footer"/>
    <w:basedOn w:val="Normale"/>
    <w:link w:val="PidipaginaCarattere"/>
    <w:uiPriority w:val="99"/>
    <w:unhideWhenUsed/>
    <w:rsid w:val="0045601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4560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6813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A8512B-5713-498E-A699-00653E2B17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9</Pages>
  <Words>2186</Words>
  <Characters>12461</Characters>
  <Application>Microsoft Office Word</Application>
  <DocSecurity>0</DocSecurity>
  <Lines>103</Lines>
  <Paragraphs>29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ADAMO Giuseppina</dc:creator>
  <cp:keywords/>
  <dc:description/>
  <cp:lastModifiedBy>ADAMO Giuseppina</cp:lastModifiedBy>
  <cp:revision>3</cp:revision>
  <dcterms:created xsi:type="dcterms:W3CDTF">2026-01-13T14:43:00Z</dcterms:created>
  <dcterms:modified xsi:type="dcterms:W3CDTF">2026-01-13T15:08:00Z</dcterms:modified>
</cp:coreProperties>
</file>