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10648" w14:textId="77777777" w:rsidR="0008730C" w:rsidRPr="002E1DA3" w:rsidRDefault="0008730C" w:rsidP="00866E4D">
      <w:pPr>
        <w:spacing w:line="240" w:lineRule="auto"/>
        <w:jc w:val="center"/>
        <w:rPr>
          <w:rFonts w:ascii="Garamond" w:hAnsi="Garamond"/>
          <w:b/>
          <w:sz w:val="32"/>
          <w:szCs w:val="32"/>
        </w:rPr>
      </w:pPr>
      <w:r w:rsidRPr="002E1DA3">
        <w:rPr>
          <w:rFonts w:ascii="Garamond" w:hAnsi="Garamond"/>
          <w:b/>
          <w:sz w:val="32"/>
          <w:szCs w:val="32"/>
        </w:rPr>
        <w:t>La giurisprudenza amministrativa 15 anni dopo il codice: tendenze e controtendenze</w:t>
      </w:r>
      <w:r w:rsidR="00FA29E3" w:rsidRPr="002E1DA3">
        <w:rPr>
          <w:rStyle w:val="Rimandonotaapidipagina"/>
          <w:rFonts w:ascii="Garamond" w:hAnsi="Garamond"/>
          <w:b/>
          <w:sz w:val="32"/>
          <w:szCs w:val="32"/>
        </w:rPr>
        <w:footnoteReference w:id="1"/>
      </w:r>
    </w:p>
    <w:p w14:paraId="7CDAF79B" w14:textId="77777777" w:rsidR="00122EF8" w:rsidRPr="002E1DA3" w:rsidRDefault="00122EF8" w:rsidP="00866E4D">
      <w:pPr>
        <w:spacing w:line="240" w:lineRule="auto"/>
        <w:jc w:val="both"/>
        <w:rPr>
          <w:rFonts w:ascii="Garamond" w:hAnsi="Garamond"/>
          <w:sz w:val="32"/>
          <w:szCs w:val="32"/>
        </w:rPr>
      </w:pPr>
      <w:r w:rsidRPr="002E1DA3">
        <w:rPr>
          <w:rFonts w:ascii="Garamond" w:hAnsi="Garamond"/>
          <w:sz w:val="32"/>
          <w:szCs w:val="32"/>
        </w:rPr>
        <w:t xml:space="preserve">L’Associazione nazionale magistrati amministrativi ha organizzato questo convegno per fare un bilancio dell’attività degli organi giurisdizionali amministrativi di cui </w:t>
      </w:r>
      <w:r w:rsidR="0018210D" w:rsidRPr="002E1DA3">
        <w:rPr>
          <w:rFonts w:ascii="Garamond" w:hAnsi="Garamond"/>
          <w:sz w:val="32"/>
          <w:szCs w:val="32"/>
        </w:rPr>
        <w:t>siamo</w:t>
      </w:r>
      <w:r w:rsidRPr="002E1DA3">
        <w:rPr>
          <w:rFonts w:ascii="Garamond" w:hAnsi="Garamond"/>
          <w:sz w:val="32"/>
          <w:szCs w:val="32"/>
        </w:rPr>
        <w:t xml:space="preserve"> parte e lanciare uno sguardo prospettico al futuro.</w:t>
      </w:r>
    </w:p>
    <w:p w14:paraId="7759F475" w14:textId="77777777" w:rsidR="00122EF8" w:rsidRPr="002E1DA3" w:rsidRDefault="00122EF8" w:rsidP="00866E4D">
      <w:pPr>
        <w:spacing w:line="240" w:lineRule="auto"/>
        <w:jc w:val="both"/>
        <w:rPr>
          <w:rFonts w:ascii="Garamond" w:hAnsi="Garamond"/>
          <w:sz w:val="32"/>
          <w:szCs w:val="32"/>
        </w:rPr>
      </w:pPr>
      <w:r w:rsidRPr="002E1DA3">
        <w:rPr>
          <w:rFonts w:ascii="Garamond" w:hAnsi="Garamond"/>
          <w:sz w:val="32"/>
          <w:szCs w:val="32"/>
        </w:rPr>
        <w:t>Il bilancio è sicuramente positivo, anzi ci rende giustamente orgogliosi.</w:t>
      </w:r>
    </w:p>
    <w:p w14:paraId="51043625"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 xml:space="preserve">La nostra è una giurisdizione che, dopo l’istituzione dei tribunali amministrativi regionali, ha saputo raccogliere le molteplici rivendicazioni immediatamente scaturenti dal territorio </w:t>
      </w:r>
      <w:r w:rsidR="00122EF8" w:rsidRPr="002E1DA3">
        <w:rPr>
          <w:rFonts w:ascii="Garamond" w:hAnsi="Garamond"/>
          <w:sz w:val="32"/>
          <w:szCs w:val="32"/>
        </w:rPr>
        <w:t>(</w:t>
      </w:r>
      <w:r w:rsidRPr="002E1DA3">
        <w:rPr>
          <w:rFonts w:ascii="Garamond" w:hAnsi="Garamond"/>
          <w:sz w:val="32"/>
          <w:szCs w:val="32"/>
        </w:rPr>
        <w:t>e già di per sé quindi diversificate</w:t>
      </w:r>
      <w:r w:rsidR="00122EF8" w:rsidRPr="002E1DA3">
        <w:rPr>
          <w:rFonts w:ascii="Garamond" w:hAnsi="Garamond"/>
          <w:sz w:val="32"/>
          <w:szCs w:val="32"/>
        </w:rPr>
        <w:t>)</w:t>
      </w:r>
      <w:r w:rsidRPr="002E1DA3">
        <w:rPr>
          <w:rFonts w:ascii="Garamond" w:hAnsi="Garamond"/>
          <w:sz w:val="32"/>
          <w:szCs w:val="32"/>
        </w:rPr>
        <w:t xml:space="preserve"> e provenienti da una più ampia platea di operatori (giudici, avvocati, studiosi). </w:t>
      </w:r>
    </w:p>
    <w:p w14:paraId="299E1D35" w14:textId="6C449376"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 xml:space="preserve">È riuscita a trovare soluzioni innovative, seppur sempre nel quadro del diritto vigente, capaci di rafforzare le tutele anche delle fasce più deboli, pur non compromettendo la certezza del diritto. Con ciò ha svolto quindi quella funzione che </w:t>
      </w:r>
      <w:r w:rsidR="002E1DA3" w:rsidRPr="00517C5E">
        <w:rPr>
          <w:rFonts w:ascii="Garamond" w:hAnsi="Garamond"/>
          <w:sz w:val="32"/>
          <w:szCs w:val="32"/>
        </w:rPr>
        <w:t>le</w:t>
      </w:r>
      <w:r w:rsidR="002E1DA3">
        <w:rPr>
          <w:rFonts w:ascii="Garamond" w:hAnsi="Garamond"/>
          <w:sz w:val="32"/>
          <w:szCs w:val="32"/>
        </w:rPr>
        <w:t xml:space="preserve"> </w:t>
      </w:r>
      <w:r w:rsidRPr="002E1DA3">
        <w:rPr>
          <w:rFonts w:ascii="Garamond" w:hAnsi="Garamond"/>
          <w:sz w:val="32"/>
          <w:szCs w:val="32"/>
        </w:rPr>
        <w:t>era stata affidata in sede costituente, cioè quella di farsi strumento propulsivo della democrazia nel nostro Paese grazie anche alla capacità di intercettare</w:t>
      </w:r>
      <w:r w:rsidRPr="002E1DA3">
        <w:rPr>
          <w:sz w:val="32"/>
          <w:szCs w:val="32"/>
        </w:rPr>
        <w:t xml:space="preserve"> </w:t>
      </w:r>
      <w:r w:rsidRPr="002E1DA3">
        <w:rPr>
          <w:rFonts w:ascii="Garamond" w:hAnsi="Garamond"/>
          <w:sz w:val="32"/>
          <w:szCs w:val="32"/>
        </w:rPr>
        <w:t>le nuove esigenze e i nuovi bisogni e a dar loro risposte di giustizia.</w:t>
      </w:r>
    </w:p>
    <w:p w14:paraId="31D34615"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 xml:space="preserve">Non che mancassero, pure prima del 1974, occasioni in cui il Consiglio di Stato si </w:t>
      </w:r>
      <w:r w:rsidR="0018210D" w:rsidRPr="002E1DA3">
        <w:rPr>
          <w:rFonts w:ascii="Garamond" w:hAnsi="Garamond"/>
          <w:sz w:val="32"/>
          <w:szCs w:val="32"/>
        </w:rPr>
        <w:t>fosse</w:t>
      </w:r>
      <w:r w:rsidRPr="002E1DA3">
        <w:rPr>
          <w:rFonts w:ascii="Garamond" w:hAnsi="Garamond"/>
          <w:sz w:val="32"/>
          <w:szCs w:val="32"/>
        </w:rPr>
        <w:t xml:space="preserve"> distinto nella difesa dello Stato di diritto, dell’indipendenza del giudice e della non discriminazione tra cittadini. Basti pensare al suo ruolo garantista durante il periodo fascista</w:t>
      </w:r>
      <w:r w:rsidRPr="002E1DA3">
        <w:rPr>
          <w:rStyle w:val="Rimandonotaapidipagina"/>
          <w:rFonts w:ascii="Garamond" w:hAnsi="Garamond"/>
          <w:sz w:val="32"/>
          <w:szCs w:val="32"/>
        </w:rPr>
        <w:footnoteReference w:id="2"/>
      </w:r>
      <w:r w:rsidR="005576C9" w:rsidRPr="002E1DA3">
        <w:rPr>
          <w:rFonts w:ascii="Garamond" w:hAnsi="Garamond"/>
          <w:sz w:val="32"/>
          <w:szCs w:val="32"/>
        </w:rPr>
        <w:t xml:space="preserve"> o</w:t>
      </w:r>
      <w:r w:rsidRPr="002E1DA3">
        <w:rPr>
          <w:rFonts w:ascii="Garamond" w:hAnsi="Garamond"/>
          <w:sz w:val="32"/>
          <w:szCs w:val="32"/>
        </w:rPr>
        <w:t xml:space="preserve">ppure </w:t>
      </w:r>
      <w:r w:rsidR="005576C9" w:rsidRPr="002E1DA3">
        <w:rPr>
          <w:rFonts w:ascii="Garamond" w:hAnsi="Garamond"/>
          <w:sz w:val="32"/>
          <w:szCs w:val="32"/>
        </w:rPr>
        <w:t>al</w:t>
      </w:r>
      <w:r w:rsidRPr="002E1DA3">
        <w:rPr>
          <w:rFonts w:ascii="Garamond" w:hAnsi="Garamond"/>
          <w:sz w:val="32"/>
          <w:szCs w:val="32"/>
        </w:rPr>
        <w:t xml:space="preserve">la resistenza alla tentata nomina del governo Andreotti di </w:t>
      </w:r>
      <w:r w:rsidR="00122EF8" w:rsidRPr="002E1DA3">
        <w:rPr>
          <w:rFonts w:ascii="Garamond" w:hAnsi="Garamond"/>
          <w:sz w:val="32"/>
          <w:szCs w:val="32"/>
        </w:rPr>
        <w:t>un</w:t>
      </w:r>
      <w:r w:rsidRPr="002E1DA3">
        <w:rPr>
          <w:rFonts w:ascii="Garamond" w:hAnsi="Garamond"/>
          <w:sz w:val="32"/>
          <w:szCs w:val="32"/>
        </w:rPr>
        <w:t xml:space="preserve"> gruppo di consiglieri di Stato non ritenuti adeguati al ruolo.</w:t>
      </w:r>
    </w:p>
    <w:p w14:paraId="11346694" w14:textId="3B1B919B"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 xml:space="preserve">D’altronde, anche la mia presenza qui si deve in definitiva alla giurisprudenza coraggiosa il cui esito ultimo è rappresentato dalla legge n. 66 del 1963 che viene spesso ricordata per aver consentito alle donne di accedere alla magistratura. In realtà, essa permise di ambire a tutte le carriere, anche </w:t>
      </w:r>
      <w:r w:rsidR="000619FC" w:rsidRPr="002E1DA3">
        <w:rPr>
          <w:rFonts w:ascii="Garamond" w:hAnsi="Garamond"/>
          <w:sz w:val="32"/>
          <w:szCs w:val="32"/>
        </w:rPr>
        <w:t>al</w:t>
      </w:r>
      <w:r w:rsidRPr="002E1DA3">
        <w:rPr>
          <w:rFonts w:ascii="Garamond" w:hAnsi="Garamond"/>
          <w:sz w:val="32"/>
          <w:szCs w:val="32"/>
        </w:rPr>
        <w:t>le più prestigiose, comprese quella prefettizia e quella diplomatica ed esclusa solo quella militare.</w:t>
      </w:r>
    </w:p>
    <w:p w14:paraId="224FF22A"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lastRenderedPageBreak/>
        <w:t xml:space="preserve">Mi riferisco ovviamente al caso della dottoressa Rosa Oliva, esclusa dal concorso di accesso alla carriera prefettizia. </w:t>
      </w:r>
      <w:r w:rsidR="005576C9" w:rsidRPr="002E1DA3">
        <w:rPr>
          <w:rFonts w:ascii="Garamond" w:hAnsi="Garamond"/>
          <w:sz w:val="32"/>
          <w:szCs w:val="32"/>
        </w:rPr>
        <w:t>Nel 1959 la</w:t>
      </w:r>
      <w:r w:rsidRPr="002E1DA3">
        <w:rPr>
          <w:rFonts w:ascii="Garamond" w:hAnsi="Garamond"/>
          <w:sz w:val="32"/>
          <w:szCs w:val="32"/>
        </w:rPr>
        <w:t xml:space="preserve"> quarta Sezione (presidente Carlo Bozzi ed estensore Giuseppe Potenza) sollevò la questione di costituzionalità (per contrasto con l’articolo 51 della Carta) dell’articolo 7 della legge n. 1176/1919 che poi fu dichiarata fondata dalla Corte costituzionale con sentenza n. 33 del 1960, imponendo così l’intervento legislativo. </w:t>
      </w:r>
    </w:p>
    <w:p w14:paraId="700A0A26" w14:textId="77777777" w:rsidR="0008730C" w:rsidRPr="002E1DA3" w:rsidRDefault="005576C9" w:rsidP="00866E4D">
      <w:pPr>
        <w:spacing w:line="240" w:lineRule="auto"/>
        <w:jc w:val="both"/>
        <w:rPr>
          <w:rFonts w:ascii="Garamond" w:hAnsi="Garamond"/>
          <w:sz w:val="32"/>
          <w:szCs w:val="32"/>
        </w:rPr>
      </w:pPr>
      <w:r w:rsidRPr="002E1DA3">
        <w:rPr>
          <w:rFonts w:ascii="Garamond" w:hAnsi="Garamond"/>
          <w:sz w:val="32"/>
          <w:szCs w:val="32"/>
        </w:rPr>
        <w:t>Questo impegno ermeneutico si è riv</w:t>
      </w:r>
      <w:r w:rsidR="00E71457" w:rsidRPr="002E1DA3">
        <w:rPr>
          <w:rFonts w:ascii="Garamond" w:hAnsi="Garamond"/>
          <w:sz w:val="32"/>
          <w:szCs w:val="32"/>
        </w:rPr>
        <w:t>e</w:t>
      </w:r>
      <w:r w:rsidRPr="002E1DA3">
        <w:rPr>
          <w:rFonts w:ascii="Garamond" w:hAnsi="Garamond"/>
          <w:sz w:val="32"/>
          <w:szCs w:val="32"/>
        </w:rPr>
        <w:t xml:space="preserve">lato </w:t>
      </w:r>
      <w:r w:rsidR="00E71457" w:rsidRPr="002E1DA3">
        <w:rPr>
          <w:rFonts w:ascii="Garamond" w:hAnsi="Garamond"/>
          <w:sz w:val="32"/>
          <w:szCs w:val="32"/>
        </w:rPr>
        <w:t xml:space="preserve">dotato </w:t>
      </w:r>
      <w:r w:rsidR="0008730C" w:rsidRPr="002E1DA3">
        <w:rPr>
          <w:rFonts w:ascii="Garamond" w:hAnsi="Garamond"/>
          <w:sz w:val="32"/>
          <w:szCs w:val="32"/>
        </w:rPr>
        <w:t>di una capacità nomopoietica e autopoietica della giustizia amministrativa che naturalmente si è espressa soprattutto nelle norme processuali.</w:t>
      </w:r>
    </w:p>
    <w:p w14:paraId="4C344C4A"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 xml:space="preserve">È proprio a questo che si deve la funzionalità e il successo della giustizia amministrativa: perché il nostro processo non nasce dall’ordinata ma astratta attività di dotti studiosi riuniti intorno a un tavolo per redigere un codice, bensì da meccanismi processuali che sono stati via via escogitati e messi alla prova sul campo, in modo da poter, sempre sulla base dell’esperienza diretta, scartare quelli inadeguati e conservare invece quelli efficaci (per eventualmente migliorarli e infine dare loro una dignità e stabilità legislativa). </w:t>
      </w:r>
    </w:p>
    <w:p w14:paraId="0D5F8FB9"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 xml:space="preserve">Anche i contributi che inizialmente sono sembrati originali e stravaganti (tanto da essere tacciati a volte di abnormità) hanno poi trovato collocazione nel codice del processo amministrativo. Gli esempi sono molteplici: menziono solo le misure cautelari richieste da titolari di interessi pretesivi, l’ottemperanza delle sentenze di primo grado, la sentenza semplificata fino alla nota vicenda del decreto presidenziale </w:t>
      </w:r>
      <w:r w:rsidRPr="002E1DA3">
        <w:rPr>
          <w:rFonts w:ascii="Garamond" w:hAnsi="Garamond"/>
          <w:i/>
          <w:sz w:val="32"/>
          <w:szCs w:val="32"/>
        </w:rPr>
        <w:t>ante causam</w:t>
      </w:r>
      <w:r w:rsidRPr="002E1DA3">
        <w:rPr>
          <w:rFonts w:ascii="Garamond" w:hAnsi="Garamond"/>
          <w:sz w:val="32"/>
          <w:szCs w:val="32"/>
        </w:rPr>
        <w:t>.</w:t>
      </w:r>
    </w:p>
    <w:p w14:paraId="261961B5" w14:textId="77777777" w:rsidR="00E71457" w:rsidRPr="002E1DA3" w:rsidRDefault="00E71457" w:rsidP="00866E4D">
      <w:pPr>
        <w:spacing w:line="240" w:lineRule="auto"/>
        <w:jc w:val="both"/>
        <w:rPr>
          <w:rFonts w:ascii="Garamond" w:hAnsi="Garamond"/>
          <w:sz w:val="32"/>
          <w:szCs w:val="32"/>
        </w:rPr>
      </w:pPr>
      <w:r w:rsidRPr="002E1DA3">
        <w:rPr>
          <w:rFonts w:ascii="Garamond" w:hAnsi="Garamond"/>
          <w:sz w:val="32"/>
          <w:szCs w:val="32"/>
        </w:rPr>
        <w:t>Questa autonoma capacità di trovare soluzioni ai problemi d</w:t>
      </w:r>
      <w:r w:rsidR="00C14D5E" w:rsidRPr="002E1DA3">
        <w:rPr>
          <w:rFonts w:ascii="Garamond" w:hAnsi="Garamond"/>
          <w:sz w:val="32"/>
          <w:szCs w:val="32"/>
        </w:rPr>
        <w:t>i cui dobbiamo essere orgogliosi</w:t>
      </w:r>
      <w:r w:rsidRPr="002E1DA3">
        <w:rPr>
          <w:rFonts w:ascii="Garamond" w:hAnsi="Garamond"/>
          <w:sz w:val="32"/>
          <w:szCs w:val="32"/>
        </w:rPr>
        <w:t xml:space="preserve"> si è manifestata anche su altri fronti.</w:t>
      </w:r>
      <w:r w:rsidR="0008730C" w:rsidRPr="002E1DA3">
        <w:rPr>
          <w:rFonts w:ascii="Garamond" w:hAnsi="Garamond"/>
          <w:sz w:val="32"/>
          <w:szCs w:val="32"/>
        </w:rPr>
        <w:t xml:space="preserve"> </w:t>
      </w:r>
    </w:p>
    <w:p w14:paraId="36C62AC1"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 xml:space="preserve">Siamo stati i primi nel 2017 a varare la digitalizzazione del processo che sin da subito ha riguardato tutti i riti, i gradi e le fasi. È un’operazione in piena evoluzione che necessiterebbe </w:t>
      </w:r>
      <w:r w:rsidR="00E71457" w:rsidRPr="002E1DA3">
        <w:rPr>
          <w:rFonts w:ascii="Garamond" w:hAnsi="Garamond"/>
          <w:sz w:val="32"/>
          <w:szCs w:val="32"/>
        </w:rPr>
        <w:t>dell’</w:t>
      </w:r>
      <w:r w:rsidRPr="002E1DA3">
        <w:rPr>
          <w:rFonts w:ascii="Garamond" w:hAnsi="Garamond"/>
          <w:sz w:val="32"/>
          <w:szCs w:val="32"/>
        </w:rPr>
        <w:t>innesto di ulteriore personale specializzato, visto che la Giustizia amministrativa,</w:t>
      </w:r>
      <w:r w:rsidR="00E71457" w:rsidRPr="002E1DA3">
        <w:rPr>
          <w:rFonts w:ascii="Garamond" w:hAnsi="Garamond"/>
          <w:sz w:val="32"/>
          <w:szCs w:val="32"/>
        </w:rPr>
        <w:t xml:space="preserve"> diversamente da </w:t>
      </w:r>
      <w:r w:rsidRPr="002E1DA3">
        <w:rPr>
          <w:rFonts w:ascii="Garamond" w:hAnsi="Garamond"/>
          <w:sz w:val="32"/>
          <w:szCs w:val="32"/>
        </w:rPr>
        <w:t xml:space="preserve">altre giurisdizioni, </w:t>
      </w:r>
      <w:r w:rsidR="00E71457" w:rsidRPr="002E1DA3">
        <w:rPr>
          <w:rFonts w:ascii="Garamond" w:hAnsi="Garamond"/>
          <w:sz w:val="32"/>
          <w:szCs w:val="32"/>
        </w:rPr>
        <w:t xml:space="preserve">ha solo marginalmente </w:t>
      </w:r>
      <w:r w:rsidRPr="002E1DA3">
        <w:rPr>
          <w:rFonts w:ascii="Garamond" w:hAnsi="Garamond"/>
          <w:sz w:val="32"/>
          <w:szCs w:val="32"/>
        </w:rPr>
        <w:t xml:space="preserve">appaltato all’esterno il sistema informatico, </w:t>
      </w:r>
      <w:r w:rsidR="007F7BF4" w:rsidRPr="002E1DA3">
        <w:rPr>
          <w:rFonts w:ascii="Garamond" w:hAnsi="Garamond"/>
          <w:sz w:val="32"/>
          <w:szCs w:val="32"/>
        </w:rPr>
        <w:t xml:space="preserve">elaborando </w:t>
      </w:r>
      <w:r w:rsidRPr="002E1DA3">
        <w:rPr>
          <w:rFonts w:ascii="Garamond" w:hAnsi="Garamond"/>
          <w:sz w:val="32"/>
          <w:szCs w:val="32"/>
        </w:rPr>
        <w:t>in proprio programmi progettati e sperimentati insieme con il personale magistratuale e amministrativo che è destinato ad usarlo.</w:t>
      </w:r>
    </w:p>
    <w:p w14:paraId="6B630B52"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 xml:space="preserve">Di questo immane sforzo dobbiamo ringraziare tante persone che definirei “visionarie” a partire da Pio Guerrieri e Mario Torsello per arrivare agli attuali addetti all’ufficio per l’informatica </w:t>
      </w:r>
      <w:r w:rsidRPr="002E1DA3">
        <w:rPr>
          <w:rFonts w:ascii="Garamond" w:hAnsi="Garamond"/>
          <w:i/>
          <w:sz w:val="32"/>
          <w:szCs w:val="32"/>
        </w:rPr>
        <w:t>in primis</w:t>
      </w:r>
      <w:r w:rsidRPr="002E1DA3">
        <w:rPr>
          <w:rFonts w:ascii="Garamond" w:hAnsi="Garamond"/>
          <w:sz w:val="32"/>
          <w:szCs w:val="32"/>
        </w:rPr>
        <w:t xml:space="preserve"> a Brunella Bruno e a Nicola Bardino, il cui indefesso impegno è sotto gli occhi di tutti noi.</w:t>
      </w:r>
    </w:p>
    <w:p w14:paraId="51B6477E" w14:textId="2B9D84B2"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Neppure</w:t>
      </w:r>
      <w:r w:rsidR="007F7BF4" w:rsidRPr="002E1DA3">
        <w:rPr>
          <w:rFonts w:ascii="Garamond" w:hAnsi="Garamond"/>
          <w:sz w:val="32"/>
          <w:szCs w:val="32"/>
        </w:rPr>
        <w:t xml:space="preserve"> si può </w:t>
      </w:r>
      <w:r w:rsidRPr="002E1DA3">
        <w:rPr>
          <w:rFonts w:ascii="Garamond" w:hAnsi="Garamond"/>
          <w:sz w:val="32"/>
          <w:szCs w:val="32"/>
        </w:rPr>
        <w:t>sottacere l’esito positivo dell’attività volta alla riduzione dell’arretrato (il cui massimo storico, registrato all’inizio del millennio, superava i 500.000 fascicoli) che ci ha permesso (credo caso unico) di raggiungere gli obiettivi finali del PNRR in anticipo, tanto da aver aderito all’invito della Commissione europea di fissare per il 2026 traguardi ancor più ambiziosi. Vorrei sottolineare che questi successi sono stati ottenuti soprattutto attraverso meccanismi ideati all’interno della Giustizia amministrativa, come le udienze straordinarie, che altre giurisdizioni hanno potuto solo a posteriori tardivamente imitare</w:t>
      </w:r>
      <w:r w:rsidR="002F4DCF">
        <w:rPr>
          <w:rFonts w:ascii="Garamond" w:hAnsi="Garamond"/>
          <w:sz w:val="32"/>
          <w:szCs w:val="32"/>
        </w:rPr>
        <w:t xml:space="preserve"> con risultati incerti</w:t>
      </w:r>
      <w:r w:rsidRPr="002E1DA3">
        <w:rPr>
          <w:rStyle w:val="Rimandonotaapidipagina"/>
          <w:rFonts w:ascii="Garamond" w:hAnsi="Garamond"/>
          <w:sz w:val="32"/>
          <w:szCs w:val="32"/>
        </w:rPr>
        <w:footnoteReference w:id="3"/>
      </w:r>
      <w:r w:rsidRPr="002E1DA3">
        <w:rPr>
          <w:rFonts w:ascii="Garamond" w:hAnsi="Garamond"/>
          <w:sz w:val="32"/>
          <w:szCs w:val="32"/>
        </w:rPr>
        <w:t>.</w:t>
      </w:r>
    </w:p>
    <w:p w14:paraId="58E18C9B"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Non possiamo però nasconderci i rischi che tale situazione comporta: il fatto di aver dovuto e voluto affrontare il problema di un arretrato così pesante ha innescato</w:t>
      </w:r>
      <w:r w:rsidRPr="002E1DA3">
        <w:rPr>
          <w:sz w:val="32"/>
          <w:szCs w:val="32"/>
        </w:rPr>
        <w:t xml:space="preserve"> </w:t>
      </w:r>
      <w:r w:rsidRPr="002E1DA3">
        <w:rPr>
          <w:rFonts w:ascii="Garamond" w:hAnsi="Garamond"/>
          <w:sz w:val="32"/>
          <w:szCs w:val="32"/>
        </w:rPr>
        <w:t>un atteggiamento produttivistico, una spinta a ottenere il massimo risultato in termini di quantità del “prodotto” giurisdizionale, che espone al pericolo di un appiattimento e di un certo conformismo della giurisprudenza.</w:t>
      </w:r>
    </w:p>
    <w:p w14:paraId="5FDBFC5C"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Da questo punto di vista,</w:t>
      </w:r>
      <w:r w:rsidR="007F7BF4" w:rsidRPr="002E1DA3">
        <w:rPr>
          <w:rFonts w:ascii="Garamond" w:hAnsi="Garamond"/>
          <w:sz w:val="32"/>
          <w:szCs w:val="32"/>
        </w:rPr>
        <w:t xml:space="preserve"> si deve </w:t>
      </w:r>
      <w:r w:rsidRPr="002E1DA3">
        <w:rPr>
          <w:rFonts w:ascii="Garamond" w:hAnsi="Garamond"/>
          <w:sz w:val="32"/>
          <w:szCs w:val="32"/>
        </w:rPr>
        <w:t xml:space="preserve">riconoscere che l’entusiastico slancio tutto teso ad ampliare gli ambiti di tutela, che aveva caratterizzato la giustizia amministrativa in </w:t>
      </w:r>
      <w:r w:rsidR="007F7BF4" w:rsidRPr="002E1DA3">
        <w:rPr>
          <w:rFonts w:ascii="Garamond" w:hAnsi="Garamond"/>
          <w:sz w:val="32"/>
          <w:szCs w:val="32"/>
        </w:rPr>
        <w:t xml:space="preserve">primo </w:t>
      </w:r>
      <w:r w:rsidRPr="002E1DA3">
        <w:rPr>
          <w:rFonts w:ascii="Garamond" w:hAnsi="Garamond"/>
          <w:sz w:val="32"/>
          <w:szCs w:val="32"/>
        </w:rPr>
        <w:t xml:space="preserve">grado e in parte anche il Consiglio di Stato negli anni </w:t>
      </w:r>
      <w:r w:rsidR="007F7BF4" w:rsidRPr="002E1DA3">
        <w:rPr>
          <w:rFonts w:ascii="Garamond" w:hAnsi="Garamond"/>
          <w:sz w:val="32"/>
          <w:szCs w:val="32"/>
        </w:rPr>
        <w:t>‘</w:t>
      </w:r>
      <w:r w:rsidRPr="002E1DA3">
        <w:rPr>
          <w:rFonts w:ascii="Garamond" w:hAnsi="Garamond"/>
          <w:sz w:val="32"/>
          <w:szCs w:val="32"/>
        </w:rPr>
        <w:t xml:space="preserve">70, </w:t>
      </w:r>
      <w:r w:rsidR="007F7BF4" w:rsidRPr="002E1DA3">
        <w:rPr>
          <w:rFonts w:ascii="Garamond" w:hAnsi="Garamond"/>
          <w:sz w:val="32"/>
          <w:szCs w:val="32"/>
        </w:rPr>
        <w:t>‘80 e ‘</w:t>
      </w:r>
      <w:r w:rsidRPr="002E1DA3">
        <w:rPr>
          <w:rFonts w:ascii="Garamond" w:hAnsi="Garamond"/>
          <w:sz w:val="32"/>
          <w:szCs w:val="32"/>
        </w:rPr>
        <w:t xml:space="preserve">90, abbia subito un forte rallentamento. </w:t>
      </w:r>
    </w:p>
    <w:p w14:paraId="156D3E66"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In questa occasione</w:t>
      </w:r>
      <w:r w:rsidR="007F7BF4" w:rsidRPr="002E1DA3">
        <w:rPr>
          <w:rFonts w:ascii="Garamond" w:hAnsi="Garamond"/>
          <w:sz w:val="32"/>
          <w:szCs w:val="32"/>
        </w:rPr>
        <w:t xml:space="preserve"> non è possibile </w:t>
      </w:r>
      <w:r w:rsidRPr="002E1DA3">
        <w:rPr>
          <w:rFonts w:ascii="Garamond" w:hAnsi="Garamond"/>
          <w:sz w:val="32"/>
          <w:szCs w:val="32"/>
        </w:rPr>
        <w:t xml:space="preserve">analizzare la questione. </w:t>
      </w:r>
    </w:p>
    <w:p w14:paraId="1AFF94E4" w14:textId="77777777" w:rsidR="0008730C" w:rsidRPr="002E1DA3" w:rsidRDefault="0008730C" w:rsidP="00866E4D">
      <w:pPr>
        <w:spacing w:line="240" w:lineRule="auto"/>
        <w:rPr>
          <w:rFonts w:ascii="Garamond" w:hAnsi="Garamond"/>
          <w:sz w:val="32"/>
          <w:szCs w:val="32"/>
        </w:rPr>
      </w:pPr>
      <w:r w:rsidRPr="002E1DA3">
        <w:rPr>
          <w:rFonts w:ascii="Garamond" w:hAnsi="Garamond"/>
          <w:sz w:val="32"/>
          <w:szCs w:val="32"/>
        </w:rPr>
        <w:t>Mi limiterò a qualche esempio che più mi colpisce e che reputo emblematico.</w:t>
      </w:r>
    </w:p>
    <w:p w14:paraId="59FFAD64"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Premetto un dato che è abbastanza scontato: le decisioni più coraggiose del precedente millennio sono state prese spesso in controversie che riguardavano le vicende umane anche drammatiche dei soggetti coinvolti, casi frequenti nell’ambito del pubblico impiego; insomma in quelli che Dworkin definisce "hard cases".</w:t>
      </w:r>
      <w:r w:rsidR="007F7BF4" w:rsidRPr="002E1DA3">
        <w:rPr>
          <w:rFonts w:ascii="Garamond" w:hAnsi="Garamond"/>
          <w:sz w:val="32"/>
          <w:szCs w:val="32"/>
        </w:rPr>
        <w:t xml:space="preserve"> D’altra parte,</w:t>
      </w:r>
      <w:r w:rsidRPr="002E1DA3">
        <w:rPr>
          <w:rFonts w:ascii="Garamond" w:hAnsi="Garamond"/>
          <w:sz w:val="32"/>
          <w:szCs w:val="32"/>
        </w:rPr>
        <w:t xml:space="preserve"> in ambiti anche di grande interesse economico</w:t>
      </w:r>
      <w:r w:rsidR="007F7BF4" w:rsidRPr="002E1DA3">
        <w:rPr>
          <w:rFonts w:ascii="Garamond" w:hAnsi="Garamond"/>
          <w:sz w:val="32"/>
          <w:szCs w:val="32"/>
        </w:rPr>
        <w:t xml:space="preserve"> è difficile che siano sottoposte all’attenzione del giudice vicende</w:t>
      </w:r>
      <w:r w:rsidR="00D7291E" w:rsidRPr="002E1DA3">
        <w:rPr>
          <w:rFonts w:ascii="Garamond" w:hAnsi="Garamond"/>
          <w:sz w:val="32"/>
          <w:szCs w:val="32"/>
        </w:rPr>
        <w:t>, per esempio, riguardanti l’anomalia dell’offerta,</w:t>
      </w:r>
      <w:r w:rsidR="007F7BF4" w:rsidRPr="002E1DA3">
        <w:rPr>
          <w:rFonts w:ascii="Garamond" w:hAnsi="Garamond"/>
          <w:sz w:val="32"/>
          <w:szCs w:val="32"/>
        </w:rPr>
        <w:t xml:space="preserve"> in grado di </w:t>
      </w:r>
      <w:r w:rsidRPr="002E1DA3">
        <w:rPr>
          <w:rFonts w:ascii="Garamond" w:hAnsi="Garamond"/>
          <w:sz w:val="32"/>
          <w:szCs w:val="32"/>
        </w:rPr>
        <w:t>attivare l’intelligenza emotiva.</w:t>
      </w:r>
    </w:p>
    <w:p w14:paraId="40ABC8DE"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 xml:space="preserve">In questa materia si può registrare un </w:t>
      </w:r>
      <w:r w:rsidR="00D7291E" w:rsidRPr="002E1DA3">
        <w:rPr>
          <w:rFonts w:ascii="Garamond" w:hAnsi="Garamond"/>
          <w:sz w:val="32"/>
          <w:szCs w:val="32"/>
        </w:rPr>
        <w:t>atteggiamento più prudente e meno propenso ad ampliare e a rafforzare la tutela dei dipendenti</w:t>
      </w:r>
      <w:r w:rsidR="00D7291E" w:rsidRPr="002E1DA3">
        <w:rPr>
          <w:rStyle w:val="Rimandonotaapidipagina"/>
          <w:rFonts w:ascii="Garamond" w:hAnsi="Garamond"/>
          <w:sz w:val="32"/>
          <w:szCs w:val="32"/>
        </w:rPr>
        <w:footnoteReference w:id="4"/>
      </w:r>
      <w:r w:rsidRPr="002E1DA3">
        <w:rPr>
          <w:rFonts w:ascii="Garamond" w:hAnsi="Garamond"/>
          <w:sz w:val="32"/>
          <w:szCs w:val="32"/>
        </w:rPr>
        <w:t>.</w:t>
      </w:r>
    </w:p>
    <w:p w14:paraId="1945C9F0" w14:textId="77777777" w:rsidR="0008730C" w:rsidRPr="002E1DA3" w:rsidRDefault="002A5A58" w:rsidP="00866E4D">
      <w:pPr>
        <w:spacing w:line="240" w:lineRule="auto"/>
        <w:jc w:val="both"/>
        <w:rPr>
          <w:rFonts w:ascii="Garamond" w:hAnsi="Garamond"/>
          <w:sz w:val="32"/>
          <w:szCs w:val="32"/>
        </w:rPr>
      </w:pPr>
      <w:r w:rsidRPr="002E1DA3">
        <w:rPr>
          <w:rFonts w:ascii="Garamond" w:hAnsi="Garamond"/>
          <w:sz w:val="32"/>
          <w:szCs w:val="32"/>
        </w:rPr>
        <w:t xml:space="preserve">Assistiamo poi </w:t>
      </w:r>
      <w:r w:rsidR="0008730C" w:rsidRPr="002E1DA3">
        <w:rPr>
          <w:rFonts w:ascii="Garamond" w:hAnsi="Garamond"/>
          <w:sz w:val="32"/>
          <w:szCs w:val="32"/>
        </w:rPr>
        <w:t>a fenomeni più ampi</w:t>
      </w:r>
      <w:r w:rsidRPr="002E1DA3">
        <w:rPr>
          <w:rFonts w:ascii="Garamond" w:hAnsi="Garamond"/>
          <w:sz w:val="32"/>
          <w:szCs w:val="32"/>
        </w:rPr>
        <w:t xml:space="preserve"> e ancor più preoccupanti.</w:t>
      </w:r>
    </w:p>
    <w:p w14:paraId="2560B523" w14:textId="77777777" w:rsidR="0008730C" w:rsidRPr="002E1DA3" w:rsidRDefault="002A5A58" w:rsidP="00866E4D">
      <w:pPr>
        <w:spacing w:line="240" w:lineRule="auto"/>
        <w:jc w:val="both"/>
        <w:rPr>
          <w:rFonts w:ascii="Garamond" w:hAnsi="Garamond"/>
          <w:sz w:val="32"/>
          <w:szCs w:val="32"/>
        </w:rPr>
      </w:pPr>
      <w:r w:rsidRPr="002E1DA3">
        <w:rPr>
          <w:rFonts w:ascii="Garamond" w:hAnsi="Garamond"/>
          <w:sz w:val="32"/>
          <w:szCs w:val="32"/>
        </w:rPr>
        <w:t xml:space="preserve">In primo luogo, </w:t>
      </w:r>
      <w:r w:rsidR="0008730C" w:rsidRPr="002E1DA3">
        <w:rPr>
          <w:rFonts w:ascii="Garamond" w:hAnsi="Garamond"/>
          <w:sz w:val="32"/>
          <w:szCs w:val="32"/>
        </w:rPr>
        <w:t xml:space="preserve">la convinta autolimitazione del sindacato sugli atti dell’amministrazione. Si pensi alla discrezionalità tecnica sulla quale la giurisprudenza si è allontanata dalla storica sentenza della </w:t>
      </w:r>
      <w:r w:rsidRPr="002E1DA3">
        <w:rPr>
          <w:rFonts w:ascii="Garamond" w:hAnsi="Garamond"/>
          <w:sz w:val="32"/>
          <w:szCs w:val="32"/>
        </w:rPr>
        <w:t>quarta</w:t>
      </w:r>
      <w:r w:rsidR="0008730C" w:rsidRPr="002E1DA3">
        <w:rPr>
          <w:rFonts w:ascii="Garamond" w:hAnsi="Garamond"/>
          <w:sz w:val="32"/>
          <w:szCs w:val="32"/>
        </w:rPr>
        <w:t xml:space="preserve"> </w:t>
      </w:r>
      <w:r w:rsidR="0008730C" w:rsidRPr="002E1DA3">
        <w:rPr>
          <w:rFonts w:ascii="Garamond" w:hAnsi="Garamond" w:cs="Calibri"/>
          <w:sz w:val="32"/>
          <w:szCs w:val="32"/>
        </w:rPr>
        <w:t>sezione, 9</w:t>
      </w:r>
      <w:r w:rsidR="0008730C" w:rsidRPr="002E1DA3">
        <w:rPr>
          <w:rFonts w:ascii="Garamond" w:hAnsi="Garamond"/>
          <w:sz w:val="32"/>
          <w:szCs w:val="32"/>
        </w:rPr>
        <w:t xml:space="preserve"> aprile 1999, n. 601 (estensore Stefano Baccarini). Vorrei ricordare che la stessa posizione era stata espressa </w:t>
      </w:r>
      <w:r w:rsidRPr="002E1DA3">
        <w:rPr>
          <w:rFonts w:ascii="Garamond" w:hAnsi="Garamond"/>
          <w:sz w:val="32"/>
          <w:szCs w:val="32"/>
        </w:rPr>
        <w:t>dieci</w:t>
      </w:r>
      <w:r w:rsidR="0008730C" w:rsidRPr="002E1DA3">
        <w:rPr>
          <w:rFonts w:ascii="Garamond" w:hAnsi="Garamond"/>
          <w:sz w:val="32"/>
          <w:szCs w:val="32"/>
        </w:rPr>
        <w:t xml:space="preserve"> anni prima, sempre dal presidente Baccarini, nella decisione dell’Adunanza plenaria, 24 novembre 1989, n. 16 (quella sul silenzio sul ricorso gerarchico), al paragrafo 9</w:t>
      </w:r>
      <w:r w:rsidR="00721332" w:rsidRPr="002E1DA3">
        <w:rPr>
          <w:rFonts w:ascii="Garamond" w:hAnsi="Garamond"/>
          <w:sz w:val="32"/>
          <w:szCs w:val="32"/>
        </w:rPr>
        <w:t>)</w:t>
      </w:r>
      <w:r w:rsidR="0008730C" w:rsidRPr="002E1DA3">
        <w:rPr>
          <w:rStyle w:val="Rimandonotaapidipagina"/>
          <w:rFonts w:ascii="Garamond" w:hAnsi="Garamond"/>
          <w:sz w:val="32"/>
          <w:szCs w:val="32"/>
        </w:rPr>
        <w:footnoteReference w:id="5"/>
      </w:r>
      <w:r w:rsidR="0008730C" w:rsidRPr="002E1DA3">
        <w:rPr>
          <w:rFonts w:ascii="Garamond" w:hAnsi="Garamond"/>
          <w:sz w:val="32"/>
          <w:szCs w:val="32"/>
        </w:rPr>
        <w:t>.</w:t>
      </w:r>
    </w:p>
    <w:p w14:paraId="0A11B4FE" w14:textId="77777777" w:rsidR="0008730C" w:rsidRPr="002E1DA3" w:rsidRDefault="002A5A58" w:rsidP="00866E4D">
      <w:pPr>
        <w:spacing w:line="240" w:lineRule="auto"/>
        <w:jc w:val="both"/>
        <w:rPr>
          <w:rFonts w:ascii="Garamond" w:hAnsi="Garamond"/>
          <w:sz w:val="32"/>
          <w:szCs w:val="32"/>
        </w:rPr>
      </w:pPr>
      <w:r w:rsidRPr="002E1DA3">
        <w:rPr>
          <w:rFonts w:ascii="Garamond" w:hAnsi="Garamond"/>
          <w:sz w:val="32"/>
          <w:szCs w:val="32"/>
        </w:rPr>
        <w:t xml:space="preserve">In secondo luogo, </w:t>
      </w:r>
      <w:r w:rsidR="0008730C" w:rsidRPr="002E1DA3">
        <w:rPr>
          <w:rFonts w:ascii="Garamond" w:hAnsi="Garamond"/>
          <w:sz w:val="32"/>
          <w:szCs w:val="32"/>
        </w:rPr>
        <w:t xml:space="preserve">una certa rassegnata accettazione della sottrazione di ambiti di giurisdizione, pur dopo la sentenza della Corte costituzionale n. 6 del 2018 e il fallito tentativo del rinvio pregiudiziale della causa </w:t>
      </w:r>
      <w:r w:rsidR="0008730C" w:rsidRPr="002E1DA3">
        <w:rPr>
          <w:rFonts w:ascii="Garamond" w:hAnsi="Garamond"/>
          <w:i/>
          <w:sz w:val="32"/>
          <w:szCs w:val="32"/>
        </w:rPr>
        <w:t>Randstad Italia</w:t>
      </w:r>
      <w:r w:rsidR="0008730C" w:rsidRPr="002E1DA3">
        <w:rPr>
          <w:rFonts w:ascii="Garamond" w:hAnsi="Garamond"/>
          <w:sz w:val="32"/>
          <w:szCs w:val="32"/>
        </w:rPr>
        <w:t xml:space="preserve"> sfociata nella sentenza della Grande sezione della Corte di giustizia dell’Unione europea 21 dicembre 2021, C-497/20, che si accompagna ad un’opera di etero-interpretazione soprattutto da parte delle Sezioni unite</w:t>
      </w:r>
      <w:r w:rsidRPr="002E1DA3">
        <w:rPr>
          <w:rFonts w:ascii="Garamond" w:hAnsi="Garamond"/>
          <w:sz w:val="32"/>
          <w:szCs w:val="32"/>
        </w:rPr>
        <w:t>. Sono queste ultime che alla fine definiscono</w:t>
      </w:r>
      <w:r w:rsidR="0008730C" w:rsidRPr="002E1DA3">
        <w:rPr>
          <w:rFonts w:ascii="Garamond" w:hAnsi="Garamond"/>
          <w:sz w:val="32"/>
          <w:szCs w:val="32"/>
        </w:rPr>
        <w:t xml:space="preserve">, per quanto riguarda il diritto sostanziale, cos’è un provvedimento discrezionale/vincolato; qual è l’ambito della concessione e quindi dove si arresta la relativa giurisdizione esclusiva (come avvenuto per l’assegnazione </w:t>
      </w:r>
      <w:r w:rsidR="004B504A" w:rsidRPr="002E1DA3">
        <w:rPr>
          <w:rFonts w:ascii="Garamond" w:hAnsi="Garamond"/>
          <w:sz w:val="32"/>
          <w:szCs w:val="32"/>
        </w:rPr>
        <w:t xml:space="preserve">degli </w:t>
      </w:r>
      <w:r w:rsidR="0008730C" w:rsidRPr="002E1DA3">
        <w:rPr>
          <w:rFonts w:ascii="Garamond" w:hAnsi="Garamond"/>
          <w:sz w:val="32"/>
          <w:szCs w:val="32"/>
        </w:rPr>
        <w:t>alloggi popolari</w:t>
      </w:r>
      <w:r w:rsidR="004B504A" w:rsidRPr="002E1DA3">
        <w:rPr>
          <w:rFonts w:ascii="Garamond" w:hAnsi="Garamond"/>
          <w:sz w:val="32"/>
          <w:szCs w:val="32"/>
        </w:rPr>
        <w:t xml:space="preserve"> o</w:t>
      </w:r>
      <w:r w:rsidR="0008730C" w:rsidRPr="002E1DA3">
        <w:rPr>
          <w:rFonts w:ascii="Garamond" w:hAnsi="Garamond"/>
          <w:sz w:val="32"/>
          <w:szCs w:val="32"/>
        </w:rPr>
        <w:t xml:space="preserve"> </w:t>
      </w:r>
      <w:r w:rsidRPr="002E1DA3">
        <w:rPr>
          <w:rFonts w:ascii="Garamond" w:hAnsi="Garamond"/>
          <w:sz w:val="32"/>
          <w:szCs w:val="32"/>
        </w:rPr>
        <w:t xml:space="preserve">per i </w:t>
      </w:r>
      <w:r w:rsidR="004B504A" w:rsidRPr="002E1DA3">
        <w:rPr>
          <w:rFonts w:ascii="Garamond" w:hAnsi="Garamond"/>
          <w:sz w:val="32"/>
          <w:szCs w:val="32"/>
        </w:rPr>
        <w:t xml:space="preserve">contributi e finanziamenti); quando </w:t>
      </w:r>
      <w:r w:rsidRPr="002E1DA3">
        <w:rPr>
          <w:rFonts w:ascii="Garamond" w:hAnsi="Garamond"/>
          <w:sz w:val="32"/>
          <w:szCs w:val="32"/>
        </w:rPr>
        <w:t xml:space="preserve">il </w:t>
      </w:r>
      <w:r w:rsidR="0008730C" w:rsidRPr="002E1DA3">
        <w:rPr>
          <w:rFonts w:ascii="Garamond" w:hAnsi="Garamond"/>
          <w:sz w:val="32"/>
          <w:szCs w:val="32"/>
        </w:rPr>
        <w:t>concor</w:t>
      </w:r>
      <w:r w:rsidR="00721332" w:rsidRPr="002E1DA3">
        <w:rPr>
          <w:rFonts w:ascii="Garamond" w:hAnsi="Garamond"/>
          <w:sz w:val="32"/>
          <w:szCs w:val="32"/>
        </w:rPr>
        <w:t>so</w:t>
      </w:r>
      <w:r w:rsidR="004B504A" w:rsidRPr="002E1DA3">
        <w:rPr>
          <w:rFonts w:ascii="Garamond" w:hAnsi="Garamond"/>
          <w:sz w:val="32"/>
          <w:szCs w:val="32"/>
        </w:rPr>
        <w:t xml:space="preserve"> è</w:t>
      </w:r>
      <w:r w:rsidR="00721332" w:rsidRPr="002E1DA3">
        <w:rPr>
          <w:rFonts w:ascii="Garamond" w:hAnsi="Garamond"/>
          <w:sz w:val="32"/>
          <w:szCs w:val="32"/>
        </w:rPr>
        <w:t xml:space="preserve"> pubblico</w:t>
      </w:r>
      <w:r w:rsidR="004B504A" w:rsidRPr="002E1DA3">
        <w:rPr>
          <w:rFonts w:ascii="Garamond" w:hAnsi="Garamond"/>
          <w:sz w:val="32"/>
          <w:szCs w:val="32"/>
        </w:rPr>
        <w:t xml:space="preserve"> e quando no</w:t>
      </w:r>
      <w:r w:rsidR="0008730C" w:rsidRPr="002E1DA3">
        <w:rPr>
          <w:rFonts w:ascii="Garamond" w:hAnsi="Garamond"/>
          <w:sz w:val="32"/>
          <w:szCs w:val="32"/>
        </w:rPr>
        <w:t xml:space="preserve">. Ridefinizioni che </w:t>
      </w:r>
      <w:r w:rsidRPr="002E1DA3">
        <w:rPr>
          <w:rFonts w:ascii="Garamond" w:hAnsi="Garamond"/>
          <w:sz w:val="32"/>
          <w:szCs w:val="32"/>
        </w:rPr>
        <w:t xml:space="preserve">in </w:t>
      </w:r>
      <w:r w:rsidR="0008730C" w:rsidRPr="002E1DA3">
        <w:rPr>
          <w:rFonts w:ascii="Garamond" w:hAnsi="Garamond"/>
          <w:sz w:val="32"/>
          <w:szCs w:val="32"/>
        </w:rPr>
        <w:t xml:space="preserve">realtà non hanno trovato molta resistenza nel Consiglio di Stato. </w:t>
      </w:r>
      <w:r w:rsidRPr="002E1DA3">
        <w:rPr>
          <w:rFonts w:ascii="Garamond" w:hAnsi="Garamond"/>
          <w:sz w:val="32"/>
          <w:szCs w:val="32"/>
        </w:rPr>
        <w:t xml:space="preserve">Questi </w:t>
      </w:r>
      <w:r w:rsidR="0008730C" w:rsidRPr="002E1DA3">
        <w:rPr>
          <w:rFonts w:ascii="Garamond" w:hAnsi="Garamond"/>
          <w:sz w:val="32"/>
          <w:szCs w:val="32"/>
        </w:rPr>
        <w:t>interventi si sono verificati</w:t>
      </w:r>
      <w:r w:rsidRPr="002E1DA3">
        <w:rPr>
          <w:rFonts w:ascii="Garamond" w:hAnsi="Garamond"/>
          <w:sz w:val="32"/>
          <w:szCs w:val="32"/>
        </w:rPr>
        <w:t xml:space="preserve"> poi</w:t>
      </w:r>
      <w:r w:rsidR="0008730C" w:rsidRPr="002E1DA3">
        <w:rPr>
          <w:rFonts w:ascii="Garamond" w:hAnsi="Garamond"/>
          <w:sz w:val="32"/>
          <w:szCs w:val="32"/>
        </w:rPr>
        <w:t xml:space="preserve"> anche nel diritto processuale amministrativo, recentemente sul ruolo dell’interventore</w:t>
      </w:r>
      <w:r w:rsidR="003D6280" w:rsidRPr="002E1DA3">
        <w:rPr>
          <w:rStyle w:val="Rimandonotaapidipagina"/>
          <w:rFonts w:ascii="Garamond" w:hAnsi="Garamond"/>
          <w:sz w:val="32"/>
          <w:szCs w:val="32"/>
        </w:rPr>
        <w:footnoteReference w:id="6"/>
      </w:r>
      <w:r w:rsidR="0008730C" w:rsidRPr="002E1DA3">
        <w:rPr>
          <w:rFonts w:ascii="Garamond" w:hAnsi="Garamond"/>
          <w:sz w:val="32"/>
          <w:szCs w:val="32"/>
        </w:rPr>
        <w:t xml:space="preserve">. </w:t>
      </w:r>
    </w:p>
    <w:p w14:paraId="64592D5E" w14:textId="77777777" w:rsidR="0008730C" w:rsidRPr="002E1DA3" w:rsidRDefault="003D6280" w:rsidP="00866E4D">
      <w:pPr>
        <w:spacing w:line="240" w:lineRule="auto"/>
        <w:jc w:val="both"/>
        <w:rPr>
          <w:rFonts w:ascii="Garamond" w:hAnsi="Garamond"/>
          <w:sz w:val="32"/>
          <w:szCs w:val="32"/>
        </w:rPr>
      </w:pPr>
      <w:r w:rsidRPr="002E1DA3">
        <w:rPr>
          <w:rFonts w:ascii="Garamond" w:hAnsi="Garamond"/>
          <w:sz w:val="32"/>
          <w:szCs w:val="32"/>
        </w:rPr>
        <w:t xml:space="preserve">Infine, </w:t>
      </w:r>
      <w:r w:rsidR="0008730C" w:rsidRPr="002E1DA3">
        <w:rPr>
          <w:rFonts w:ascii="Garamond" w:hAnsi="Garamond"/>
          <w:sz w:val="32"/>
          <w:szCs w:val="32"/>
        </w:rPr>
        <w:t xml:space="preserve">una </w:t>
      </w:r>
      <w:r w:rsidRPr="002E1DA3">
        <w:rPr>
          <w:rFonts w:ascii="Garamond" w:hAnsi="Garamond"/>
          <w:sz w:val="32"/>
          <w:szCs w:val="32"/>
        </w:rPr>
        <w:t xml:space="preserve">certa </w:t>
      </w:r>
      <w:r w:rsidR="0008730C" w:rsidRPr="002E1DA3">
        <w:rPr>
          <w:rFonts w:ascii="Garamond" w:hAnsi="Garamond"/>
          <w:sz w:val="32"/>
          <w:szCs w:val="32"/>
        </w:rPr>
        <w:t>tendenza a valutare restrittivamente le condizioni dell’azione riducendo così le occasioni in cui poter sindacare l’azione amministrativa</w:t>
      </w:r>
      <w:r w:rsidR="00005368" w:rsidRPr="002E1DA3">
        <w:rPr>
          <w:rStyle w:val="Rimandonotaapidipagina"/>
          <w:rFonts w:ascii="Garamond" w:hAnsi="Garamond"/>
          <w:sz w:val="32"/>
          <w:szCs w:val="32"/>
        </w:rPr>
        <w:footnoteReference w:id="7"/>
      </w:r>
      <w:r w:rsidR="0008730C" w:rsidRPr="002E1DA3">
        <w:rPr>
          <w:rFonts w:ascii="Garamond" w:hAnsi="Garamond"/>
          <w:sz w:val="32"/>
          <w:szCs w:val="32"/>
        </w:rPr>
        <w:t>.</w:t>
      </w:r>
    </w:p>
    <w:p w14:paraId="4C2E58B9"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Un problema analogo di etero-interpretazione si presenta con la Corte di giustizia dell’Unione Europea, ma in questo ultimo caso si riscontra qualche difficoltà culturale da parte i</w:t>
      </w:r>
      <w:r w:rsidR="00FA29E3" w:rsidRPr="002E1DA3">
        <w:rPr>
          <w:rFonts w:ascii="Garamond" w:hAnsi="Garamond"/>
          <w:sz w:val="32"/>
          <w:szCs w:val="32"/>
        </w:rPr>
        <w:t>taliana nel suo rapporto con l’O</w:t>
      </w:r>
      <w:r w:rsidRPr="002E1DA3">
        <w:rPr>
          <w:rFonts w:ascii="Garamond" w:hAnsi="Garamond"/>
          <w:sz w:val="32"/>
          <w:szCs w:val="32"/>
        </w:rPr>
        <w:t>rganizzazione sovranazionale</w:t>
      </w:r>
      <w:r w:rsidRPr="002E1DA3">
        <w:rPr>
          <w:rStyle w:val="Rimandonotaapidipagina"/>
          <w:rFonts w:ascii="Garamond" w:hAnsi="Garamond"/>
          <w:sz w:val="32"/>
          <w:szCs w:val="32"/>
        </w:rPr>
        <w:footnoteReference w:id="8"/>
      </w:r>
      <w:r w:rsidRPr="002E1DA3">
        <w:rPr>
          <w:rFonts w:ascii="Garamond" w:hAnsi="Garamond"/>
          <w:sz w:val="32"/>
          <w:szCs w:val="32"/>
        </w:rPr>
        <w:t>.</w:t>
      </w:r>
    </w:p>
    <w:p w14:paraId="290E886D"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Esiste poi una serie di sentenze che sembra</w:t>
      </w:r>
      <w:r w:rsidR="00754444" w:rsidRPr="002E1DA3">
        <w:rPr>
          <w:rFonts w:ascii="Garamond" w:hAnsi="Garamond"/>
          <w:sz w:val="32"/>
          <w:szCs w:val="32"/>
        </w:rPr>
        <w:t xml:space="preserve"> andare in controtendenza rispetto a </w:t>
      </w:r>
      <w:r w:rsidRPr="002E1DA3">
        <w:rPr>
          <w:rFonts w:ascii="Garamond" w:hAnsi="Garamond"/>
          <w:sz w:val="32"/>
          <w:szCs w:val="32"/>
        </w:rPr>
        <w:t>quest</w:t>
      </w:r>
      <w:r w:rsidR="00934B5A" w:rsidRPr="002E1DA3">
        <w:rPr>
          <w:rFonts w:ascii="Garamond" w:hAnsi="Garamond"/>
          <w:sz w:val="32"/>
          <w:szCs w:val="32"/>
        </w:rPr>
        <w:t>’</w:t>
      </w:r>
      <w:r w:rsidRPr="002E1DA3">
        <w:rPr>
          <w:rFonts w:ascii="Garamond" w:hAnsi="Garamond"/>
          <w:sz w:val="32"/>
          <w:szCs w:val="32"/>
        </w:rPr>
        <w:t xml:space="preserve">aspirazione produttivistica e che si connota per il fatto di smentire la storia degli istituti di cui si occupa e la giurisprudenza che sugli stessi si è formata. </w:t>
      </w:r>
    </w:p>
    <w:p w14:paraId="2D94818F" w14:textId="77777777" w:rsidR="00C07FBC" w:rsidRPr="002E1DA3" w:rsidRDefault="0008730C" w:rsidP="00866E4D">
      <w:pPr>
        <w:spacing w:line="240" w:lineRule="auto"/>
        <w:jc w:val="both"/>
        <w:rPr>
          <w:sz w:val="32"/>
          <w:szCs w:val="32"/>
        </w:rPr>
      </w:pPr>
      <w:r w:rsidRPr="002E1DA3">
        <w:rPr>
          <w:rFonts w:ascii="Garamond" w:hAnsi="Garamond"/>
          <w:sz w:val="32"/>
          <w:szCs w:val="32"/>
        </w:rPr>
        <w:t>Accenno solo brevemente, perché oggetto probabilmente della tavola rotonda, ad alcune di esse.</w:t>
      </w:r>
      <w:r w:rsidR="00934B5A" w:rsidRPr="002E1DA3">
        <w:rPr>
          <w:sz w:val="32"/>
          <w:szCs w:val="32"/>
        </w:rPr>
        <w:t xml:space="preserve"> </w:t>
      </w:r>
    </w:p>
    <w:p w14:paraId="353B1B20" w14:textId="77777777" w:rsidR="0008730C" w:rsidRPr="002E1DA3" w:rsidRDefault="00934B5A" w:rsidP="00866E4D">
      <w:pPr>
        <w:spacing w:line="240" w:lineRule="auto"/>
        <w:jc w:val="both"/>
        <w:rPr>
          <w:rFonts w:ascii="Garamond" w:hAnsi="Garamond"/>
          <w:sz w:val="32"/>
          <w:szCs w:val="32"/>
        </w:rPr>
      </w:pPr>
      <w:r w:rsidRPr="002E1DA3">
        <w:rPr>
          <w:rFonts w:ascii="Garamond" w:hAnsi="Garamond"/>
          <w:sz w:val="32"/>
          <w:szCs w:val="32"/>
        </w:rPr>
        <w:t xml:space="preserve">Un primo gruppo è costituito dalle note decisioni dell’Adunanza plenaria </w:t>
      </w:r>
      <w:r w:rsidR="0008730C" w:rsidRPr="002E1DA3">
        <w:rPr>
          <w:rFonts w:ascii="Garamond" w:hAnsi="Garamond"/>
          <w:sz w:val="32"/>
          <w:szCs w:val="32"/>
        </w:rPr>
        <w:t>sull’articolo 105 del codice del processo amministrativo</w:t>
      </w:r>
      <w:r w:rsidRPr="002E1DA3">
        <w:rPr>
          <w:rFonts w:ascii="Garamond" w:hAnsi="Garamond"/>
          <w:sz w:val="32"/>
          <w:szCs w:val="32"/>
        </w:rPr>
        <w:t>:</w:t>
      </w:r>
      <w:r w:rsidR="00D73FBF" w:rsidRPr="002E1DA3">
        <w:rPr>
          <w:rFonts w:ascii="Garamond" w:hAnsi="Garamond"/>
          <w:sz w:val="32"/>
          <w:szCs w:val="32"/>
        </w:rPr>
        <w:t xml:space="preserve"> la</w:t>
      </w:r>
      <w:r w:rsidR="0008730C" w:rsidRPr="002E1DA3">
        <w:rPr>
          <w:rFonts w:ascii="Garamond" w:hAnsi="Garamond"/>
          <w:sz w:val="32"/>
          <w:szCs w:val="32"/>
        </w:rPr>
        <w:t xml:space="preserve"> </w:t>
      </w:r>
      <w:r w:rsidR="00D73FBF" w:rsidRPr="002E1DA3">
        <w:rPr>
          <w:rFonts w:ascii="Garamond" w:hAnsi="Garamond"/>
          <w:sz w:val="32"/>
          <w:szCs w:val="32"/>
        </w:rPr>
        <w:t xml:space="preserve">n. 16 del </w:t>
      </w:r>
      <w:r w:rsidR="0008730C" w:rsidRPr="002E1DA3">
        <w:rPr>
          <w:rFonts w:ascii="Garamond" w:hAnsi="Garamond"/>
          <w:sz w:val="32"/>
          <w:szCs w:val="32"/>
        </w:rPr>
        <w:t>20 novembre 2024</w:t>
      </w:r>
      <w:r w:rsidR="00D73FBF" w:rsidRPr="002E1DA3">
        <w:rPr>
          <w:rFonts w:ascii="Garamond" w:hAnsi="Garamond"/>
          <w:sz w:val="32"/>
          <w:szCs w:val="32"/>
        </w:rPr>
        <w:t xml:space="preserve"> e la</w:t>
      </w:r>
      <w:r w:rsidR="00D73FBF" w:rsidRPr="002E1DA3">
        <w:rPr>
          <w:sz w:val="32"/>
          <w:szCs w:val="32"/>
        </w:rPr>
        <w:t xml:space="preserve"> </w:t>
      </w:r>
      <w:r w:rsidR="00D73FBF" w:rsidRPr="002E1DA3">
        <w:rPr>
          <w:rFonts w:ascii="Garamond" w:hAnsi="Garamond"/>
          <w:sz w:val="32"/>
          <w:szCs w:val="32"/>
        </w:rPr>
        <w:t>n. 10 del</w:t>
      </w:r>
      <w:r w:rsidR="0008730C" w:rsidRPr="002E1DA3">
        <w:rPr>
          <w:rFonts w:ascii="Garamond" w:hAnsi="Garamond"/>
          <w:sz w:val="32"/>
          <w:szCs w:val="32"/>
        </w:rPr>
        <w:t xml:space="preserve"> 15 luglio 2025</w:t>
      </w:r>
      <w:r w:rsidR="0008730C" w:rsidRPr="002E1DA3">
        <w:rPr>
          <w:rStyle w:val="Rimandonotaapidipagina"/>
          <w:rFonts w:ascii="Garamond" w:hAnsi="Garamond"/>
          <w:sz w:val="32"/>
          <w:szCs w:val="32"/>
        </w:rPr>
        <w:footnoteReference w:id="9"/>
      </w:r>
      <w:r w:rsidR="0008730C" w:rsidRPr="002E1DA3">
        <w:rPr>
          <w:rFonts w:ascii="Garamond" w:hAnsi="Garamond"/>
          <w:sz w:val="32"/>
          <w:szCs w:val="32"/>
        </w:rPr>
        <w:t>.</w:t>
      </w:r>
    </w:p>
    <w:p w14:paraId="378C5BBD"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Non voglio dilungarmi sull’argomento perché ne</w:t>
      </w:r>
      <w:r w:rsidR="00303E9C" w:rsidRPr="002E1DA3">
        <w:rPr>
          <w:rFonts w:ascii="Garamond" w:hAnsi="Garamond"/>
          <w:sz w:val="32"/>
          <w:szCs w:val="32"/>
        </w:rPr>
        <w:t xml:space="preserve"> parleranno </w:t>
      </w:r>
      <w:r w:rsidRPr="002E1DA3">
        <w:rPr>
          <w:rFonts w:ascii="Garamond" w:hAnsi="Garamond"/>
          <w:sz w:val="32"/>
          <w:szCs w:val="32"/>
        </w:rPr>
        <w:t>sicuramente</w:t>
      </w:r>
      <w:r w:rsidR="00303E9C" w:rsidRPr="002E1DA3">
        <w:rPr>
          <w:rFonts w:ascii="Garamond" w:hAnsi="Garamond"/>
          <w:sz w:val="32"/>
          <w:szCs w:val="32"/>
        </w:rPr>
        <w:t xml:space="preserve"> i partecipanti alla </w:t>
      </w:r>
      <w:r w:rsidRPr="002E1DA3">
        <w:rPr>
          <w:rFonts w:ascii="Garamond" w:hAnsi="Garamond"/>
          <w:sz w:val="32"/>
          <w:szCs w:val="32"/>
        </w:rPr>
        <w:t xml:space="preserve">tavola rotonda ma non posso non osservare che queste pronunce ignorano il percorso giurisprudenziale dell'Adunanza plenaria volto a tipizzare le ipotesi di rinvio al </w:t>
      </w:r>
      <w:r w:rsidR="00303E9C" w:rsidRPr="002E1DA3">
        <w:rPr>
          <w:rFonts w:ascii="Garamond" w:hAnsi="Garamond"/>
          <w:sz w:val="32"/>
          <w:szCs w:val="32"/>
        </w:rPr>
        <w:t>primo</w:t>
      </w:r>
      <w:r w:rsidRPr="002E1DA3">
        <w:rPr>
          <w:rFonts w:ascii="Garamond" w:hAnsi="Garamond"/>
          <w:sz w:val="32"/>
          <w:szCs w:val="32"/>
        </w:rPr>
        <w:t xml:space="preserve"> grado, in presenza di una formulazione assai generica dell'articolo 35 della legge T</w:t>
      </w:r>
      <w:r w:rsidR="00E65BD3" w:rsidRPr="002E1DA3">
        <w:rPr>
          <w:rFonts w:ascii="Garamond" w:hAnsi="Garamond"/>
          <w:sz w:val="32"/>
          <w:szCs w:val="32"/>
        </w:rPr>
        <w:t>.</w:t>
      </w:r>
      <w:r w:rsidRPr="002E1DA3">
        <w:rPr>
          <w:rFonts w:ascii="Garamond" w:hAnsi="Garamond"/>
          <w:sz w:val="32"/>
          <w:szCs w:val="32"/>
        </w:rPr>
        <w:t>a</w:t>
      </w:r>
      <w:r w:rsidR="00E65BD3" w:rsidRPr="002E1DA3">
        <w:rPr>
          <w:rFonts w:ascii="Garamond" w:hAnsi="Garamond"/>
          <w:sz w:val="32"/>
          <w:szCs w:val="32"/>
        </w:rPr>
        <w:t>.</w:t>
      </w:r>
      <w:r w:rsidRPr="002E1DA3">
        <w:rPr>
          <w:rFonts w:ascii="Garamond" w:hAnsi="Garamond"/>
          <w:sz w:val="32"/>
          <w:szCs w:val="32"/>
        </w:rPr>
        <w:t>r</w:t>
      </w:r>
      <w:r w:rsidR="00E65BD3" w:rsidRPr="002E1DA3">
        <w:rPr>
          <w:rFonts w:ascii="Garamond" w:hAnsi="Garamond"/>
          <w:sz w:val="32"/>
          <w:szCs w:val="32"/>
        </w:rPr>
        <w:t>.</w:t>
      </w:r>
      <w:r w:rsidR="000C77EA" w:rsidRPr="002E1DA3">
        <w:rPr>
          <w:rFonts w:ascii="Garamond" w:hAnsi="Garamond"/>
          <w:sz w:val="32"/>
          <w:szCs w:val="32"/>
        </w:rPr>
        <w:t>,</w:t>
      </w:r>
      <w:r w:rsidRPr="002E1DA3">
        <w:rPr>
          <w:rFonts w:ascii="Garamond" w:hAnsi="Garamond"/>
          <w:sz w:val="32"/>
          <w:szCs w:val="32"/>
        </w:rPr>
        <w:t xml:space="preserve"> e l’esplicita intenzione del codice di rendere queste ipotesi casi tassativi</w:t>
      </w:r>
      <w:r w:rsidR="00BC585E" w:rsidRPr="002E1DA3">
        <w:rPr>
          <w:rStyle w:val="Rimandonotaapidipagina"/>
          <w:rFonts w:ascii="Garamond" w:hAnsi="Garamond"/>
          <w:sz w:val="32"/>
          <w:szCs w:val="32"/>
        </w:rPr>
        <w:footnoteReference w:id="10"/>
      </w:r>
      <w:r w:rsidRPr="002E1DA3">
        <w:rPr>
          <w:rFonts w:ascii="Garamond" w:hAnsi="Garamond"/>
          <w:sz w:val="32"/>
          <w:szCs w:val="32"/>
        </w:rPr>
        <w:t>. Vorrei solo ricordare</w:t>
      </w:r>
      <w:r w:rsidRPr="002E1DA3">
        <w:rPr>
          <w:sz w:val="32"/>
          <w:szCs w:val="32"/>
        </w:rPr>
        <w:t xml:space="preserve"> </w:t>
      </w:r>
      <w:r w:rsidRPr="002E1DA3">
        <w:rPr>
          <w:rFonts w:ascii="Garamond" w:hAnsi="Garamond"/>
          <w:sz w:val="32"/>
          <w:szCs w:val="32"/>
        </w:rPr>
        <w:t>che</w:t>
      </w:r>
      <w:r w:rsidRPr="002E1DA3">
        <w:rPr>
          <w:sz w:val="32"/>
          <w:szCs w:val="32"/>
        </w:rPr>
        <w:t xml:space="preserve"> </w:t>
      </w:r>
      <w:r w:rsidRPr="002E1DA3">
        <w:rPr>
          <w:rFonts w:ascii="Garamond" w:hAnsi="Garamond"/>
          <w:sz w:val="32"/>
          <w:szCs w:val="32"/>
        </w:rPr>
        <w:t>l’</w:t>
      </w:r>
      <w:r w:rsidR="000C77EA" w:rsidRPr="002E1DA3">
        <w:rPr>
          <w:rFonts w:ascii="Garamond" w:hAnsi="Garamond"/>
          <w:sz w:val="32"/>
          <w:szCs w:val="32"/>
        </w:rPr>
        <w:t>A</w:t>
      </w:r>
      <w:r w:rsidRPr="002E1DA3">
        <w:rPr>
          <w:rFonts w:ascii="Garamond" w:hAnsi="Garamond"/>
          <w:sz w:val="32"/>
          <w:szCs w:val="32"/>
        </w:rPr>
        <w:t>dunanza generale del Consiglio di Stato, nel parere n. 236/94 del 6 ottobre 1994 sullo schema di disegno di legge per la riforma del processo amministrativo, suggerì l’abrogazione dell’art. 35 della legge n. 1034/1971, con l’obbligo, una volta riformata la sentenza impugnata, di decidere «semp</w:t>
      </w:r>
      <w:r w:rsidR="00BC585E" w:rsidRPr="002E1DA3">
        <w:rPr>
          <w:rFonts w:ascii="Garamond" w:hAnsi="Garamond"/>
          <w:sz w:val="32"/>
          <w:szCs w:val="32"/>
        </w:rPr>
        <w:t>re senza rinvio», in modo da «</w:t>
      </w:r>
      <w:r w:rsidRPr="002E1DA3">
        <w:rPr>
          <w:rFonts w:ascii="Garamond" w:hAnsi="Garamond"/>
          <w:sz w:val="32"/>
          <w:szCs w:val="32"/>
        </w:rPr>
        <w:t>evitare che il Consiglio di Stato annulli con rinvio, prolungando così il giudizio di altri due possibili gradi»</w:t>
      </w:r>
      <w:r w:rsidR="00BC585E" w:rsidRPr="002E1DA3">
        <w:rPr>
          <w:rFonts w:ascii="Garamond" w:hAnsi="Garamond"/>
          <w:sz w:val="32"/>
          <w:szCs w:val="32"/>
        </w:rPr>
        <w:t>.</w:t>
      </w:r>
    </w:p>
    <w:p w14:paraId="1EA83595" w14:textId="77777777" w:rsidR="0008730C" w:rsidRPr="002E1DA3" w:rsidRDefault="000C44C0" w:rsidP="00866E4D">
      <w:pPr>
        <w:spacing w:line="240" w:lineRule="auto"/>
        <w:jc w:val="both"/>
        <w:rPr>
          <w:rFonts w:ascii="Garamond" w:hAnsi="Garamond"/>
          <w:sz w:val="32"/>
          <w:szCs w:val="32"/>
        </w:rPr>
      </w:pPr>
      <w:r w:rsidRPr="002E1DA3">
        <w:rPr>
          <w:rFonts w:ascii="Garamond" w:hAnsi="Garamond"/>
          <w:sz w:val="32"/>
          <w:szCs w:val="32"/>
        </w:rPr>
        <w:t>Le sentenze da ultime menzionate s</w:t>
      </w:r>
      <w:r w:rsidR="00754444" w:rsidRPr="002E1DA3">
        <w:rPr>
          <w:rFonts w:ascii="Garamond" w:hAnsi="Garamond"/>
          <w:sz w:val="32"/>
          <w:szCs w:val="32"/>
        </w:rPr>
        <w:t>’</w:t>
      </w:r>
      <w:r w:rsidRPr="002E1DA3">
        <w:rPr>
          <w:rFonts w:ascii="Garamond" w:hAnsi="Garamond"/>
          <w:sz w:val="32"/>
          <w:szCs w:val="32"/>
        </w:rPr>
        <w:t xml:space="preserve">inseriscono invero nella </w:t>
      </w:r>
      <w:r w:rsidR="0008730C" w:rsidRPr="002E1DA3">
        <w:rPr>
          <w:rFonts w:ascii="Garamond" w:hAnsi="Garamond"/>
          <w:sz w:val="32"/>
          <w:szCs w:val="32"/>
        </w:rPr>
        <w:t xml:space="preserve">scia di quelle pronunce che insistono su un esame minuto delle censure e degli argomenti e su un ordine “vincolante” nell’esame dei motivi, tendenzialmente contrario all’assorbimento, salvo poi invocare la “ragione più liquida”. Sono sentenze, come pure quelle che offrono </w:t>
      </w:r>
      <w:r w:rsidRPr="002E1DA3">
        <w:rPr>
          <w:rFonts w:ascii="Garamond" w:hAnsi="Garamond"/>
          <w:sz w:val="32"/>
          <w:szCs w:val="32"/>
        </w:rPr>
        <w:t>un’</w:t>
      </w:r>
      <w:r w:rsidR="0008730C" w:rsidRPr="002E1DA3">
        <w:rPr>
          <w:rFonts w:ascii="Garamond" w:hAnsi="Garamond"/>
          <w:sz w:val="32"/>
          <w:szCs w:val="32"/>
        </w:rPr>
        <w:t>interpretazione restrittiva</w:t>
      </w:r>
      <w:r w:rsidR="0008730C" w:rsidRPr="002E1DA3">
        <w:rPr>
          <w:sz w:val="32"/>
          <w:szCs w:val="32"/>
        </w:rPr>
        <w:t xml:space="preserve"> </w:t>
      </w:r>
      <w:r w:rsidR="0008730C" w:rsidRPr="002E1DA3">
        <w:rPr>
          <w:rFonts w:ascii="Garamond" w:hAnsi="Garamond"/>
          <w:sz w:val="32"/>
          <w:szCs w:val="32"/>
        </w:rPr>
        <w:t xml:space="preserve">in tema di sopravvenuto difetto d’interesse, </w:t>
      </w:r>
      <w:r w:rsidRPr="002E1DA3">
        <w:rPr>
          <w:rFonts w:ascii="Garamond" w:hAnsi="Garamond"/>
          <w:sz w:val="32"/>
          <w:szCs w:val="32"/>
        </w:rPr>
        <w:t xml:space="preserve">che </w:t>
      </w:r>
      <w:r w:rsidR="0008730C" w:rsidRPr="002E1DA3">
        <w:rPr>
          <w:rFonts w:ascii="Garamond" w:hAnsi="Garamond"/>
          <w:sz w:val="32"/>
          <w:szCs w:val="32"/>
        </w:rPr>
        <w:t>considerano le norme processuali come un impedimento alla giustizia</w:t>
      </w:r>
      <w:r w:rsidR="00DC1FB4" w:rsidRPr="002E1DA3">
        <w:rPr>
          <w:rStyle w:val="Rimandonotaapidipagina"/>
          <w:rFonts w:ascii="Garamond" w:hAnsi="Garamond"/>
          <w:sz w:val="32"/>
          <w:szCs w:val="32"/>
        </w:rPr>
        <w:footnoteReference w:id="11"/>
      </w:r>
      <w:r w:rsidR="0008730C" w:rsidRPr="002E1DA3">
        <w:rPr>
          <w:rFonts w:ascii="Garamond" w:hAnsi="Garamond"/>
          <w:sz w:val="32"/>
          <w:szCs w:val="32"/>
        </w:rPr>
        <w:t xml:space="preserve"> e non una fondamentale garanzia del diritto di difesa e della parità delle parti, come </w:t>
      </w:r>
      <w:r w:rsidR="00D974E9" w:rsidRPr="002E1DA3">
        <w:rPr>
          <w:rFonts w:ascii="Garamond" w:hAnsi="Garamond"/>
          <w:sz w:val="32"/>
          <w:szCs w:val="32"/>
        </w:rPr>
        <w:t xml:space="preserve">ha </w:t>
      </w:r>
      <w:r w:rsidR="0008730C" w:rsidRPr="002E1DA3">
        <w:rPr>
          <w:rFonts w:ascii="Garamond" w:hAnsi="Garamond"/>
          <w:sz w:val="32"/>
          <w:szCs w:val="32"/>
        </w:rPr>
        <w:t>ricordato il professor Luciani</w:t>
      </w:r>
      <w:r w:rsidR="0015740A" w:rsidRPr="002E1DA3">
        <w:rPr>
          <w:rFonts w:ascii="Garamond" w:hAnsi="Garamond"/>
          <w:sz w:val="32"/>
          <w:szCs w:val="32"/>
        </w:rPr>
        <w:t xml:space="preserve"> nella sua relazione al corso organizzato da</w:t>
      </w:r>
      <w:r w:rsidR="0008730C" w:rsidRPr="002E1DA3">
        <w:rPr>
          <w:rFonts w:ascii="Garamond" w:hAnsi="Garamond"/>
          <w:sz w:val="32"/>
          <w:szCs w:val="32"/>
        </w:rPr>
        <w:t>ll’Ufficio studi</w:t>
      </w:r>
      <w:r w:rsidR="0015740A" w:rsidRPr="002E1DA3">
        <w:rPr>
          <w:rFonts w:ascii="Garamond" w:hAnsi="Garamond"/>
          <w:sz w:val="32"/>
          <w:szCs w:val="32"/>
        </w:rPr>
        <w:t>, dedicato</w:t>
      </w:r>
      <w:r w:rsidR="00A01718" w:rsidRPr="002E1DA3">
        <w:rPr>
          <w:rFonts w:ascii="Garamond" w:hAnsi="Garamond"/>
          <w:sz w:val="32"/>
          <w:szCs w:val="32"/>
        </w:rPr>
        <w:t xml:space="preserve"> </w:t>
      </w:r>
      <w:r w:rsidR="00D974E9" w:rsidRPr="002E1DA3">
        <w:rPr>
          <w:rFonts w:ascii="Garamond" w:hAnsi="Garamond"/>
          <w:sz w:val="32"/>
          <w:szCs w:val="32"/>
        </w:rPr>
        <w:t>al tema “Poteri pubblici ed effettività della tutela”</w:t>
      </w:r>
      <w:r w:rsidR="00D974E9" w:rsidRPr="002E1DA3">
        <w:rPr>
          <w:rStyle w:val="Rimandonotaapidipagina"/>
          <w:rFonts w:ascii="Garamond" w:hAnsi="Garamond"/>
          <w:sz w:val="32"/>
          <w:szCs w:val="32"/>
        </w:rPr>
        <w:footnoteReference w:id="12"/>
      </w:r>
      <w:r w:rsidR="00D974E9" w:rsidRPr="002E1DA3">
        <w:rPr>
          <w:rFonts w:ascii="Garamond" w:hAnsi="Garamond"/>
          <w:sz w:val="32"/>
          <w:szCs w:val="32"/>
        </w:rPr>
        <w:t xml:space="preserve"> e comunque, ancor prima, autorevolmente affermato dall’Adunanza plenaria</w:t>
      </w:r>
      <w:r w:rsidR="00D974E9" w:rsidRPr="002E1DA3">
        <w:rPr>
          <w:rStyle w:val="Rimandonotaapidipagina"/>
          <w:rFonts w:ascii="Garamond" w:hAnsi="Garamond"/>
          <w:sz w:val="32"/>
          <w:szCs w:val="32"/>
        </w:rPr>
        <w:footnoteReference w:id="13"/>
      </w:r>
      <w:r w:rsidR="0008730C" w:rsidRPr="002E1DA3">
        <w:rPr>
          <w:rFonts w:ascii="Garamond" w:hAnsi="Garamond"/>
          <w:sz w:val="32"/>
          <w:szCs w:val="32"/>
        </w:rPr>
        <w:t>.</w:t>
      </w:r>
    </w:p>
    <w:p w14:paraId="361C5964" w14:textId="77777777" w:rsidR="0008730C" w:rsidRPr="002E1DA3" w:rsidRDefault="008E294A" w:rsidP="00866E4D">
      <w:pPr>
        <w:spacing w:line="240" w:lineRule="auto"/>
        <w:jc w:val="both"/>
        <w:rPr>
          <w:rFonts w:ascii="Garamond" w:hAnsi="Garamond"/>
          <w:sz w:val="32"/>
          <w:szCs w:val="32"/>
        </w:rPr>
      </w:pPr>
      <w:r w:rsidRPr="002E1DA3">
        <w:rPr>
          <w:rFonts w:ascii="Garamond" w:hAnsi="Garamond"/>
          <w:sz w:val="32"/>
          <w:szCs w:val="32"/>
        </w:rPr>
        <w:t>Un’altra serie di pronunce significative riguarda le cosiddette sentenze brevi. D</w:t>
      </w:r>
      <w:r w:rsidR="0008730C" w:rsidRPr="002E1DA3">
        <w:rPr>
          <w:rFonts w:ascii="Garamond" w:hAnsi="Garamond"/>
          <w:sz w:val="32"/>
          <w:szCs w:val="32"/>
        </w:rPr>
        <w:t>opo aver</w:t>
      </w:r>
      <w:r w:rsidRPr="002E1DA3">
        <w:rPr>
          <w:rFonts w:ascii="Garamond" w:hAnsi="Garamond"/>
          <w:sz w:val="32"/>
          <w:szCs w:val="32"/>
        </w:rPr>
        <w:t xml:space="preserve"> richiamato gli </w:t>
      </w:r>
      <w:r w:rsidR="0008730C" w:rsidRPr="002E1DA3">
        <w:rPr>
          <w:rFonts w:ascii="Garamond" w:hAnsi="Garamond"/>
          <w:sz w:val="32"/>
          <w:szCs w:val="32"/>
        </w:rPr>
        <w:t>avvocati</w:t>
      </w:r>
      <w:r w:rsidRPr="002E1DA3">
        <w:rPr>
          <w:rFonts w:ascii="Garamond" w:hAnsi="Garamond"/>
          <w:sz w:val="32"/>
          <w:szCs w:val="32"/>
        </w:rPr>
        <w:t xml:space="preserve"> (e anche i giudici</w:t>
      </w:r>
      <w:r w:rsidR="004F4CD6" w:rsidRPr="002E1DA3">
        <w:rPr>
          <w:rStyle w:val="Rimandonotaapidipagina"/>
          <w:rFonts w:ascii="Garamond" w:hAnsi="Garamond"/>
          <w:sz w:val="32"/>
          <w:szCs w:val="32"/>
        </w:rPr>
        <w:footnoteReference w:id="14"/>
      </w:r>
      <w:r w:rsidRPr="002E1DA3">
        <w:rPr>
          <w:rFonts w:ascii="Garamond" w:hAnsi="Garamond"/>
          <w:sz w:val="32"/>
          <w:szCs w:val="32"/>
        </w:rPr>
        <w:t xml:space="preserve">) al rispetto del principio </w:t>
      </w:r>
      <w:r w:rsidR="0008730C" w:rsidRPr="002E1DA3">
        <w:rPr>
          <w:rFonts w:ascii="Garamond" w:hAnsi="Garamond"/>
          <w:sz w:val="32"/>
          <w:szCs w:val="32"/>
        </w:rPr>
        <w:t>della “chiarezza e sinteticità”</w:t>
      </w:r>
      <w:r w:rsidR="004F4CD6" w:rsidRPr="002E1DA3">
        <w:rPr>
          <w:rStyle w:val="Rimandonotaapidipagina"/>
          <w:rFonts w:ascii="Garamond" w:hAnsi="Garamond"/>
          <w:sz w:val="32"/>
          <w:szCs w:val="32"/>
        </w:rPr>
        <w:footnoteReference w:id="15"/>
      </w:r>
      <w:r w:rsidR="0008730C" w:rsidRPr="002E1DA3">
        <w:rPr>
          <w:rFonts w:ascii="Garamond" w:hAnsi="Garamond"/>
          <w:sz w:val="32"/>
          <w:szCs w:val="32"/>
        </w:rPr>
        <w:t>, non sono infrequenti quelle sentenze che, pronunciandosi in appello su una sentenza in forma semplificata, la criticano perché “troppo semplificata”</w:t>
      </w:r>
      <w:r w:rsidR="004F4CD6" w:rsidRPr="002E1DA3">
        <w:rPr>
          <w:rStyle w:val="Rimandonotaapidipagina"/>
          <w:rFonts w:ascii="Garamond" w:hAnsi="Garamond"/>
          <w:sz w:val="32"/>
          <w:szCs w:val="32"/>
        </w:rPr>
        <w:footnoteReference w:id="16"/>
      </w:r>
      <w:r w:rsidR="004F4CD6" w:rsidRPr="002E1DA3">
        <w:rPr>
          <w:rFonts w:ascii="Garamond" w:hAnsi="Garamond"/>
          <w:sz w:val="32"/>
          <w:szCs w:val="32"/>
        </w:rPr>
        <w:t>.</w:t>
      </w:r>
    </w:p>
    <w:p w14:paraId="789E1702" w14:textId="77777777" w:rsidR="00457463" w:rsidRPr="002E1DA3" w:rsidRDefault="00457463" w:rsidP="00866E4D">
      <w:pPr>
        <w:spacing w:line="240" w:lineRule="auto"/>
        <w:jc w:val="both"/>
        <w:rPr>
          <w:rFonts w:ascii="Garamond" w:hAnsi="Garamond"/>
          <w:sz w:val="32"/>
          <w:szCs w:val="32"/>
        </w:rPr>
      </w:pPr>
      <w:r w:rsidRPr="002E1DA3">
        <w:rPr>
          <w:rFonts w:ascii="Garamond" w:hAnsi="Garamond"/>
          <w:sz w:val="32"/>
          <w:szCs w:val="32"/>
        </w:rPr>
        <w:t>Fenomeni analoghi d’interpretazione</w:t>
      </w:r>
      <w:r w:rsidR="00C07FBC" w:rsidRPr="002E1DA3">
        <w:rPr>
          <w:rFonts w:ascii="Garamond" w:hAnsi="Garamond"/>
          <w:sz w:val="32"/>
          <w:szCs w:val="32"/>
        </w:rPr>
        <w:t xml:space="preserve"> distante d</w:t>
      </w:r>
      <w:r w:rsidRPr="002E1DA3">
        <w:rPr>
          <w:rFonts w:ascii="Garamond" w:hAnsi="Garamond"/>
          <w:sz w:val="32"/>
          <w:szCs w:val="32"/>
        </w:rPr>
        <w:t xml:space="preserve">al dato normativo </w:t>
      </w:r>
      <w:r w:rsidR="00620739" w:rsidRPr="002E1DA3">
        <w:rPr>
          <w:rFonts w:ascii="Garamond" w:hAnsi="Garamond"/>
          <w:sz w:val="32"/>
          <w:szCs w:val="32"/>
        </w:rPr>
        <w:t xml:space="preserve">e </w:t>
      </w:r>
      <w:r w:rsidR="00C07FBC" w:rsidRPr="002E1DA3">
        <w:rPr>
          <w:rFonts w:ascii="Garamond" w:hAnsi="Garamond"/>
          <w:sz w:val="32"/>
          <w:szCs w:val="32"/>
        </w:rPr>
        <w:t>d</w:t>
      </w:r>
      <w:r w:rsidRPr="002E1DA3">
        <w:rPr>
          <w:rFonts w:ascii="Garamond" w:hAnsi="Garamond"/>
          <w:sz w:val="32"/>
          <w:szCs w:val="32"/>
        </w:rPr>
        <w:t>a</w:t>
      </w:r>
      <w:r w:rsidR="00620739" w:rsidRPr="002E1DA3">
        <w:rPr>
          <w:rFonts w:ascii="Garamond" w:hAnsi="Garamond"/>
          <w:sz w:val="32"/>
          <w:szCs w:val="32"/>
        </w:rPr>
        <w:t>i</w:t>
      </w:r>
      <w:r w:rsidRPr="002E1DA3">
        <w:rPr>
          <w:rFonts w:ascii="Garamond" w:hAnsi="Garamond"/>
          <w:sz w:val="32"/>
          <w:szCs w:val="32"/>
        </w:rPr>
        <w:t xml:space="preserve"> precedenti giurisprudenziali</w:t>
      </w:r>
      <w:r w:rsidR="00C07FBC" w:rsidRPr="002E1DA3">
        <w:rPr>
          <w:rFonts w:ascii="Garamond" w:hAnsi="Garamond"/>
          <w:sz w:val="32"/>
          <w:szCs w:val="32"/>
        </w:rPr>
        <w:t>,</w:t>
      </w:r>
      <w:r w:rsidRPr="002E1DA3">
        <w:rPr>
          <w:rFonts w:ascii="Garamond" w:hAnsi="Garamond"/>
          <w:sz w:val="32"/>
          <w:szCs w:val="32"/>
        </w:rPr>
        <w:t xml:space="preserve"> </w:t>
      </w:r>
      <w:r w:rsidR="0047752E" w:rsidRPr="002E1DA3">
        <w:rPr>
          <w:rFonts w:ascii="Garamond" w:hAnsi="Garamond"/>
          <w:sz w:val="32"/>
          <w:szCs w:val="32"/>
        </w:rPr>
        <w:t>che non agevolano la pronta definizione della complessiva vicenda contenziosa</w:t>
      </w:r>
      <w:r w:rsidR="00C07FBC" w:rsidRPr="002E1DA3">
        <w:rPr>
          <w:rFonts w:ascii="Garamond" w:hAnsi="Garamond"/>
          <w:sz w:val="32"/>
          <w:szCs w:val="32"/>
        </w:rPr>
        <w:t>,</w:t>
      </w:r>
      <w:r w:rsidR="0047752E" w:rsidRPr="002E1DA3">
        <w:rPr>
          <w:rFonts w:ascii="Garamond" w:hAnsi="Garamond"/>
          <w:sz w:val="32"/>
          <w:szCs w:val="32"/>
        </w:rPr>
        <w:t xml:space="preserve"> </w:t>
      </w:r>
      <w:r w:rsidRPr="002E1DA3">
        <w:rPr>
          <w:rFonts w:ascii="Garamond" w:hAnsi="Garamond"/>
          <w:sz w:val="32"/>
          <w:szCs w:val="32"/>
        </w:rPr>
        <w:t xml:space="preserve">si registrano anche per la </w:t>
      </w:r>
      <w:r w:rsidR="0008730C" w:rsidRPr="002E1DA3">
        <w:rPr>
          <w:rFonts w:ascii="Garamond" w:hAnsi="Garamond"/>
          <w:sz w:val="32"/>
          <w:szCs w:val="32"/>
        </w:rPr>
        <w:t>fase</w:t>
      </w:r>
      <w:r w:rsidRPr="002E1DA3">
        <w:rPr>
          <w:rFonts w:ascii="Garamond" w:hAnsi="Garamond"/>
          <w:sz w:val="32"/>
          <w:szCs w:val="32"/>
        </w:rPr>
        <w:t xml:space="preserve"> cautelare. </w:t>
      </w:r>
    </w:p>
    <w:p w14:paraId="63E5A514" w14:textId="77777777" w:rsidR="0008730C" w:rsidRPr="002E1DA3" w:rsidRDefault="00457463" w:rsidP="00866E4D">
      <w:pPr>
        <w:spacing w:line="240" w:lineRule="auto"/>
        <w:jc w:val="both"/>
        <w:rPr>
          <w:rFonts w:ascii="Garamond" w:hAnsi="Garamond"/>
          <w:sz w:val="32"/>
          <w:szCs w:val="32"/>
        </w:rPr>
      </w:pPr>
      <w:r w:rsidRPr="002E1DA3">
        <w:rPr>
          <w:rFonts w:ascii="Garamond" w:hAnsi="Garamond"/>
          <w:sz w:val="32"/>
          <w:szCs w:val="32"/>
        </w:rPr>
        <w:t xml:space="preserve">Al proposito </w:t>
      </w:r>
      <w:r w:rsidR="0018210D" w:rsidRPr="002E1DA3">
        <w:rPr>
          <w:rFonts w:ascii="Garamond" w:hAnsi="Garamond"/>
          <w:sz w:val="32"/>
          <w:szCs w:val="32"/>
        </w:rPr>
        <w:t xml:space="preserve">non </w:t>
      </w:r>
      <w:r w:rsidR="0008730C" w:rsidRPr="002E1DA3">
        <w:rPr>
          <w:rFonts w:ascii="Garamond" w:hAnsi="Garamond"/>
          <w:sz w:val="32"/>
          <w:szCs w:val="32"/>
        </w:rPr>
        <w:t>si può non citare l’appello del decreto cautelare perlomeno fino alla presa di posizione del Consiglio di giustizia amministrativa della regione siciliana (dec</w:t>
      </w:r>
      <w:r w:rsidR="005F55AB" w:rsidRPr="002E1DA3">
        <w:rPr>
          <w:rFonts w:ascii="Garamond" w:hAnsi="Garamond"/>
          <w:sz w:val="32"/>
          <w:szCs w:val="32"/>
        </w:rPr>
        <w:t>reto 18 dicembre 2023, n. 414).</w:t>
      </w:r>
    </w:p>
    <w:p w14:paraId="7BFAEC1E" w14:textId="713B433D" w:rsidR="0008730C" w:rsidRPr="002E1DA3" w:rsidRDefault="00457463" w:rsidP="00866E4D">
      <w:pPr>
        <w:spacing w:line="240" w:lineRule="auto"/>
        <w:jc w:val="both"/>
        <w:rPr>
          <w:rFonts w:ascii="Garamond" w:hAnsi="Garamond"/>
          <w:sz w:val="32"/>
          <w:szCs w:val="32"/>
        </w:rPr>
      </w:pPr>
      <w:r w:rsidRPr="002E1DA3">
        <w:rPr>
          <w:rFonts w:ascii="Garamond" w:hAnsi="Garamond"/>
          <w:sz w:val="32"/>
          <w:szCs w:val="32"/>
        </w:rPr>
        <w:t xml:space="preserve">Analogamente </w:t>
      </w:r>
      <w:r w:rsidR="0008730C" w:rsidRPr="002E1DA3">
        <w:rPr>
          <w:rFonts w:ascii="Garamond" w:hAnsi="Garamond"/>
          <w:sz w:val="32"/>
          <w:szCs w:val="32"/>
        </w:rPr>
        <w:t xml:space="preserve">la diffusa applicazione dell’articolo 55, comma 10, del codice del processo amministrativo (richiamato dall’articolo 62, comma 2) porta </w:t>
      </w:r>
      <w:r w:rsidRPr="002E1DA3">
        <w:rPr>
          <w:rFonts w:ascii="Garamond" w:hAnsi="Garamond"/>
          <w:sz w:val="32"/>
          <w:szCs w:val="32"/>
        </w:rPr>
        <w:t xml:space="preserve">a </w:t>
      </w:r>
      <w:r w:rsidR="0008730C" w:rsidRPr="002E1DA3">
        <w:rPr>
          <w:rFonts w:ascii="Garamond" w:hAnsi="Garamond"/>
          <w:sz w:val="32"/>
          <w:szCs w:val="32"/>
        </w:rPr>
        <w:t xml:space="preserve">una moltiplicazione degli appelli cautelari perché non risponde più alla ragione sua propria, bensì serve </w:t>
      </w:r>
      <w:r w:rsidR="00840CFE" w:rsidRPr="002E1DA3">
        <w:rPr>
          <w:rFonts w:ascii="Garamond" w:hAnsi="Garamond"/>
          <w:sz w:val="32"/>
          <w:szCs w:val="32"/>
        </w:rPr>
        <w:t>a</w:t>
      </w:r>
      <w:r w:rsidR="0008730C" w:rsidRPr="002E1DA3">
        <w:rPr>
          <w:rFonts w:ascii="Garamond" w:hAnsi="Garamond"/>
          <w:sz w:val="32"/>
          <w:szCs w:val="32"/>
        </w:rPr>
        <w:t xml:space="preserve"> scavalcare l’ordine cronologico di fissazione del merito in </w:t>
      </w:r>
      <w:r w:rsidR="00E65BD3" w:rsidRPr="002E1DA3">
        <w:rPr>
          <w:rFonts w:ascii="Garamond" w:hAnsi="Garamond"/>
          <w:sz w:val="32"/>
          <w:szCs w:val="32"/>
        </w:rPr>
        <w:t>primo</w:t>
      </w:r>
      <w:r w:rsidR="0008730C" w:rsidRPr="002E1DA3">
        <w:rPr>
          <w:rFonts w:ascii="Garamond" w:hAnsi="Garamond"/>
          <w:sz w:val="32"/>
          <w:szCs w:val="32"/>
        </w:rPr>
        <w:t xml:space="preserve"> grado.</w:t>
      </w:r>
    </w:p>
    <w:p w14:paraId="644144C4" w14:textId="77777777" w:rsidR="00620739" w:rsidRPr="002E1DA3" w:rsidRDefault="00352C20" w:rsidP="00866E4D">
      <w:pPr>
        <w:spacing w:line="240" w:lineRule="auto"/>
        <w:jc w:val="both"/>
        <w:rPr>
          <w:rFonts w:ascii="Garamond" w:hAnsi="Garamond"/>
          <w:sz w:val="32"/>
          <w:szCs w:val="32"/>
        </w:rPr>
      </w:pPr>
      <w:r w:rsidRPr="002E1DA3">
        <w:rPr>
          <w:rFonts w:ascii="Garamond" w:hAnsi="Garamond"/>
          <w:sz w:val="32"/>
          <w:szCs w:val="32"/>
        </w:rPr>
        <w:t xml:space="preserve">Fonte di dubbi e complicazioni è pure </w:t>
      </w:r>
      <w:r w:rsidR="0008730C" w:rsidRPr="002E1DA3">
        <w:rPr>
          <w:rFonts w:ascii="Garamond" w:hAnsi="Garamond"/>
          <w:sz w:val="32"/>
          <w:szCs w:val="32"/>
        </w:rPr>
        <w:t xml:space="preserve">la dichiarazione d’incompetenza del Consiglio di Stato sull’esecuzione della misura cautelare riformata in appello (pronunciata, per la prima volta, dalla </w:t>
      </w:r>
      <w:r w:rsidRPr="002E1DA3">
        <w:rPr>
          <w:rFonts w:ascii="Garamond" w:hAnsi="Garamond"/>
          <w:sz w:val="32"/>
          <w:szCs w:val="32"/>
        </w:rPr>
        <w:t>terza</w:t>
      </w:r>
      <w:r w:rsidR="0008730C" w:rsidRPr="002E1DA3">
        <w:rPr>
          <w:rFonts w:ascii="Garamond" w:hAnsi="Garamond"/>
          <w:sz w:val="32"/>
          <w:szCs w:val="32"/>
        </w:rPr>
        <w:t xml:space="preserve"> sezione del Consiglio di Stato con l’ordinanza 29 novembre 2024, n. 4559</w:t>
      </w:r>
      <w:r w:rsidRPr="002E1DA3">
        <w:rPr>
          <w:rFonts w:ascii="Garamond" w:hAnsi="Garamond"/>
          <w:sz w:val="32"/>
          <w:szCs w:val="32"/>
        </w:rPr>
        <w:t>). Essa sembra trascurare un dato oggettivo fondamentale: la possibilità di eseguire coattivamente l’ordinanza è stata riconosciuta proprio in relazione alla mancata ottemperanza</w:t>
      </w:r>
      <w:r w:rsidR="00620739" w:rsidRPr="002E1DA3">
        <w:rPr>
          <w:rFonts w:ascii="Garamond" w:hAnsi="Garamond"/>
          <w:sz w:val="32"/>
          <w:szCs w:val="32"/>
        </w:rPr>
        <w:t xml:space="preserve"> a misure cautelari negate in primo grado e concesse dal Consiglio di Stato</w:t>
      </w:r>
      <w:r w:rsidR="00620739" w:rsidRPr="002E1DA3">
        <w:rPr>
          <w:rStyle w:val="Rimandonotaapidipagina"/>
          <w:rFonts w:ascii="Garamond" w:hAnsi="Garamond"/>
          <w:sz w:val="32"/>
          <w:szCs w:val="32"/>
        </w:rPr>
        <w:footnoteReference w:id="17"/>
      </w:r>
      <w:r w:rsidR="00620739" w:rsidRPr="002E1DA3">
        <w:rPr>
          <w:rFonts w:ascii="Garamond" w:hAnsi="Garamond"/>
          <w:sz w:val="32"/>
          <w:szCs w:val="32"/>
        </w:rPr>
        <w:t>.</w:t>
      </w:r>
    </w:p>
    <w:p w14:paraId="36F7F56F" w14:textId="77777777" w:rsidR="0008730C" w:rsidRPr="002E1DA3" w:rsidRDefault="00847346" w:rsidP="00866E4D">
      <w:pPr>
        <w:spacing w:line="240" w:lineRule="auto"/>
        <w:jc w:val="both"/>
        <w:rPr>
          <w:rFonts w:ascii="Garamond" w:hAnsi="Garamond"/>
          <w:sz w:val="32"/>
          <w:szCs w:val="32"/>
        </w:rPr>
      </w:pPr>
      <w:r w:rsidRPr="002E1DA3">
        <w:rPr>
          <w:rFonts w:ascii="Garamond" w:hAnsi="Garamond"/>
          <w:sz w:val="32"/>
          <w:szCs w:val="32"/>
        </w:rPr>
        <w:t xml:space="preserve">In definitiva sono questi </w:t>
      </w:r>
      <w:r w:rsidR="0008730C" w:rsidRPr="002E1DA3">
        <w:rPr>
          <w:rFonts w:ascii="Garamond" w:hAnsi="Garamond"/>
          <w:sz w:val="32"/>
          <w:szCs w:val="32"/>
        </w:rPr>
        <w:t>orientamenti tendenzialmente forieri di ritardi e comunque d</w:t>
      </w:r>
      <w:r w:rsidRPr="002E1DA3">
        <w:rPr>
          <w:rFonts w:ascii="Garamond" w:hAnsi="Garamond"/>
          <w:sz w:val="32"/>
          <w:szCs w:val="32"/>
        </w:rPr>
        <w:t>’</w:t>
      </w:r>
      <w:r w:rsidR="0008730C" w:rsidRPr="002E1DA3">
        <w:rPr>
          <w:rFonts w:ascii="Garamond" w:hAnsi="Garamond"/>
          <w:sz w:val="32"/>
          <w:szCs w:val="32"/>
        </w:rPr>
        <w:t xml:space="preserve">incertezza, considerato che appaiono dissonanti rispetto alla </w:t>
      </w:r>
      <w:r w:rsidR="0008730C" w:rsidRPr="002E1DA3">
        <w:rPr>
          <w:rFonts w:ascii="Garamond" w:hAnsi="Garamond"/>
          <w:i/>
          <w:sz w:val="32"/>
          <w:szCs w:val="32"/>
        </w:rPr>
        <w:t>ratio</w:t>
      </w:r>
      <w:r w:rsidR="0008730C" w:rsidRPr="002E1DA3">
        <w:rPr>
          <w:rFonts w:ascii="Garamond" w:hAnsi="Garamond"/>
          <w:sz w:val="32"/>
          <w:szCs w:val="32"/>
        </w:rPr>
        <w:t xml:space="preserve"> e alla storia degli istituti</w:t>
      </w:r>
      <w:r w:rsidR="001A4037" w:rsidRPr="002E1DA3">
        <w:rPr>
          <w:rFonts w:ascii="Garamond" w:hAnsi="Garamond"/>
          <w:sz w:val="32"/>
          <w:szCs w:val="32"/>
        </w:rPr>
        <w:t xml:space="preserve"> di cui si occupano</w:t>
      </w:r>
      <w:r w:rsidR="0008730C" w:rsidRPr="002E1DA3">
        <w:rPr>
          <w:rFonts w:ascii="Garamond" w:hAnsi="Garamond"/>
          <w:sz w:val="32"/>
          <w:szCs w:val="32"/>
        </w:rPr>
        <w:t>.</w:t>
      </w:r>
    </w:p>
    <w:p w14:paraId="618F822F" w14:textId="77777777" w:rsidR="0008730C" w:rsidRPr="002E1DA3" w:rsidRDefault="00E65BD3" w:rsidP="00866E4D">
      <w:pPr>
        <w:spacing w:line="240" w:lineRule="auto"/>
        <w:jc w:val="both"/>
        <w:rPr>
          <w:rFonts w:ascii="Garamond" w:hAnsi="Garamond"/>
          <w:sz w:val="32"/>
          <w:szCs w:val="32"/>
        </w:rPr>
      </w:pPr>
      <w:r w:rsidRPr="002E1DA3">
        <w:rPr>
          <w:rFonts w:ascii="Garamond" w:hAnsi="Garamond"/>
          <w:sz w:val="32"/>
          <w:szCs w:val="32"/>
        </w:rPr>
        <w:t xml:space="preserve">Si </w:t>
      </w:r>
      <w:r w:rsidR="0008730C" w:rsidRPr="002E1DA3">
        <w:rPr>
          <w:rFonts w:ascii="Garamond" w:hAnsi="Garamond"/>
          <w:sz w:val="32"/>
          <w:szCs w:val="32"/>
        </w:rPr>
        <w:t xml:space="preserve">potrebbe immaginare </w:t>
      </w:r>
      <w:r w:rsidRPr="002E1DA3">
        <w:rPr>
          <w:rFonts w:ascii="Garamond" w:hAnsi="Garamond"/>
          <w:sz w:val="32"/>
          <w:szCs w:val="32"/>
        </w:rPr>
        <w:t xml:space="preserve">che essi rappresentino </w:t>
      </w:r>
      <w:r w:rsidR="0008730C" w:rsidRPr="002E1DA3">
        <w:rPr>
          <w:rFonts w:ascii="Garamond" w:hAnsi="Garamond"/>
          <w:sz w:val="32"/>
          <w:szCs w:val="32"/>
        </w:rPr>
        <w:t>esiti casuali</w:t>
      </w:r>
      <w:r w:rsidRPr="002E1DA3">
        <w:rPr>
          <w:rFonts w:ascii="Garamond" w:hAnsi="Garamond"/>
          <w:sz w:val="32"/>
          <w:szCs w:val="32"/>
        </w:rPr>
        <w:t>; sono invece il frutto</w:t>
      </w:r>
      <w:r w:rsidR="0008730C" w:rsidRPr="002E1DA3">
        <w:rPr>
          <w:rFonts w:ascii="Garamond" w:hAnsi="Garamond"/>
          <w:sz w:val="32"/>
          <w:szCs w:val="32"/>
        </w:rPr>
        <w:t xml:space="preserve"> di un approccio ormai radicato nella nostra </w:t>
      </w:r>
      <w:r w:rsidRPr="002E1DA3">
        <w:rPr>
          <w:rFonts w:ascii="Garamond" w:hAnsi="Garamond"/>
          <w:sz w:val="32"/>
          <w:szCs w:val="32"/>
        </w:rPr>
        <w:t xml:space="preserve">Giurisdizione </w:t>
      </w:r>
      <w:r w:rsidR="0008730C" w:rsidRPr="002E1DA3">
        <w:rPr>
          <w:rFonts w:ascii="Garamond" w:hAnsi="Garamond"/>
          <w:sz w:val="32"/>
          <w:szCs w:val="32"/>
        </w:rPr>
        <w:t>che</w:t>
      </w:r>
      <w:r w:rsidRPr="002E1DA3">
        <w:rPr>
          <w:rFonts w:ascii="Garamond" w:hAnsi="Garamond"/>
          <w:sz w:val="32"/>
          <w:szCs w:val="32"/>
        </w:rPr>
        <w:t xml:space="preserve"> induce </w:t>
      </w:r>
      <w:r w:rsidR="0008730C" w:rsidRPr="002E1DA3">
        <w:rPr>
          <w:rFonts w:ascii="Garamond" w:hAnsi="Garamond"/>
          <w:sz w:val="32"/>
          <w:szCs w:val="32"/>
        </w:rPr>
        <w:t xml:space="preserve">ad affrontare problemi non come se fossero comuni all’unico Plesso ma separati per il </w:t>
      </w:r>
      <w:r w:rsidR="00847346" w:rsidRPr="002E1DA3">
        <w:rPr>
          <w:rFonts w:ascii="Garamond" w:hAnsi="Garamond"/>
          <w:sz w:val="32"/>
          <w:szCs w:val="32"/>
        </w:rPr>
        <w:t>primo</w:t>
      </w:r>
      <w:r w:rsidR="0008730C" w:rsidRPr="002E1DA3">
        <w:rPr>
          <w:rFonts w:ascii="Garamond" w:hAnsi="Garamond"/>
          <w:sz w:val="32"/>
          <w:szCs w:val="32"/>
        </w:rPr>
        <w:t xml:space="preserve"> e per il </w:t>
      </w:r>
      <w:r w:rsidR="00847346" w:rsidRPr="002E1DA3">
        <w:rPr>
          <w:rFonts w:ascii="Garamond" w:hAnsi="Garamond"/>
          <w:sz w:val="32"/>
          <w:szCs w:val="32"/>
        </w:rPr>
        <w:t>secondo</w:t>
      </w:r>
      <w:r w:rsidR="0008730C" w:rsidRPr="002E1DA3">
        <w:rPr>
          <w:rFonts w:ascii="Garamond" w:hAnsi="Garamond"/>
          <w:sz w:val="32"/>
          <w:szCs w:val="32"/>
        </w:rPr>
        <w:t xml:space="preserve"> grado. Si tratta di operazioni che un</w:t>
      </w:r>
      <w:r w:rsidR="0047752E" w:rsidRPr="002E1DA3">
        <w:rPr>
          <w:rFonts w:ascii="Garamond" w:hAnsi="Garamond"/>
          <w:sz w:val="32"/>
          <w:szCs w:val="32"/>
        </w:rPr>
        <w:t>a tarantina</w:t>
      </w:r>
      <w:r w:rsidR="0008730C" w:rsidRPr="002E1DA3">
        <w:rPr>
          <w:rFonts w:ascii="Garamond" w:hAnsi="Garamond"/>
          <w:sz w:val="32"/>
          <w:szCs w:val="32"/>
        </w:rPr>
        <w:t xml:space="preserve"> come me </w:t>
      </w:r>
      <w:r w:rsidR="000C77EA" w:rsidRPr="002E1DA3">
        <w:rPr>
          <w:rFonts w:ascii="Garamond" w:hAnsi="Garamond"/>
          <w:sz w:val="32"/>
          <w:szCs w:val="32"/>
        </w:rPr>
        <w:t>etichetterebbe</w:t>
      </w:r>
      <w:r w:rsidR="0008730C" w:rsidRPr="002E1DA3">
        <w:rPr>
          <w:rFonts w:ascii="Garamond" w:hAnsi="Garamond"/>
          <w:sz w:val="32"/>
          <w:szCs w:val="32"/>
        </w:rPr>
        <w:t xml:space="preserve"> con la frase “prendi l’acqua da Mar piccolo e la butti in Mar grande”.</w:t>
      </w:r>
      <w:r w:rsidRPr="002E1DA3">
        <w:rPr>
          <w:rFonts w:ascii="Garamond" w:hAnsi="Garamond"/>
          <w:sz w:val="32"/>
          <w:szCs w:val="32"/>
        </w:rPr>
        <w:t xml:space="preserve"> Esse manifestano </w:t>
      </w:r>
      <w:r w:rsidR="0008730C" w:rsidRPr="002E1DA3">
        <w:rPr>
          <w:rFonts w:ascii="Garamond" w:hAnsi="Garamond"/>
          <w:sz w:val="32"/>
          <w:szCs w:val="32"/>
        </w:rPr>
        <w:t>pur sempre la mancata accettazione di quel non riuscito “matrimonio combinato” in modo forzato da Lucifredi nel 1971 che purtroppo rischia di condurre all’avvizzimento delle capacità d</w:t>
      </w:r>
      <w:r w:rsidRPr="002E1DA3">
        <w:rPr>
          <w:rFonts w:ascii="Garamond" w:hAnsi="Garamond"/>
          <w:sz w:val="32"/>
          <w:szCs w:val="32"/>
        </w:rPr>
        <w:t>’</w:t>
      </w:r>
      <w:r w:rsidR="0008730C" w:rsidRPr="002E1DA3">
        <w:rPr>
          <w:rFonts w:ascii="Garamond" w:hAnsi="Garamond"/>
          <w:sz w:val="32"/>
          <w:szCs w:val="32"/>
        </w:rPr>
        <w:t>innovazione sia giurisprudenziale sia organizzativa, alla mancata valorizzazione delle grandi potenzialità dell’Istituzione complessivamente intesa, dei suoi uomini, dei suoi mezzi, del suo ingegno.</w:t>
      </w:r>
    </w:p>
    <w:p w14:paraId="59821D43" w14:textId="77777777" w:rsidR="0008730C" w:rsidRPr="002E1DA3" w:rsidRDefault="0008730C" w:rsidP="00866E4D">
      <w:pPr>
        <w:spacing w:line="240" w:lineRule="auto"/>
        <w:jc w:val="both"/>
        <w:rPr>
          <w:rFonts w:ascii="Garamond" w:hAnsi="Garamond"/>
          <w:sz w:val="32"/>
          <w:szCs w:val="32"/>
        </w:rPr>
      </w:pPr>
      <w:r w:rsidRPr="002E1DA3">
        <w:rPr>
          <w:rFonts w:ascii="Garamond" w:hAnsi="Garamond"/>
          <w:sz w:val="32"/>
          <w:szCs w:val="32"/>
        </w:rPr>
        <w:t>Tanti di noi però non sono affatto rassegnati ad accettare questo stato di stagnazione, convinti che la Giustizia amministrativa possa ancora plasmare in senso evolutivo il diritto amministrativo come ha sempre fatto nella sua storia. Ed è in questo entusiasmo che risiede la ragione non solo di questo convegno ma anche del premio alle tesi di laurea che l’ANMA ha voluto istituire.</w:t>
      </w:r>
    </w:p>
    <w:p w14:paraId="6FA98B86" w14:textId="77777777" w:rsidR="00847346" w:rsidRPr="002E1DA3" w:rsidRDefault="0008730C" w:rsidP="00866E4D">
      <w:pPr>
        <w:spacing w:line="240" w:lineRule="auto"/>
        <w:jc w:val="both"/>
        <w:rPr>
          <w:rFonts w:ascii="Garamond" w:hAnsi="Garamond"/>
          <w:sz w:val="32"/>
          <w:szCs w:val="32"/>
        </w:rPr>
      </w:pPr>
      <w:r w:rsidRPr="002E1DA3">
        <w:rPr>
          <w:rFonts w:ascii="Garamond" w:hAnsi="Garamond"/>
          <w:sz w:val="32"/>
          <w:szCs w:val="32"/>
        </w:rPr>
        <w:t>Queste iniziative</w:t>
      </w:r>
      <w:r w:rsidR="00E65BD3" w:rsidRPr="002E1DA3">
        <w:rPr>
          <w:rFonts w:ascii="Garamond" w:hAnsi="Garamond"/>
          <w:sz w:val="32"/>
          <w:szCs w:val="32"/>
        </w:rPr>
        <w:t xml:space="preserve"> danno </w:t>
      </w:r>
      <w:r w:rsidRPr="002E1DA3">
        <w:rPr>
          <w:rFonts w:ascii="Garamond" w:hAnsi="Garamond"/>
          <w:sz w:val="32"/>
          <w:szCs w:val="32"/>
        </w:rPr>
        <w:t>i</w:t>
      </w:r>
      <w:r w:rsidR="00E65BD3" w:rsidRPr="002E1DA3">
        <w:rPr>
          <w:rFonts w:ascii="Garamond" w:hAnsi="Garamond"/>
          <w:sz w:val="32"/>
          <w:szCs w:val="32"/>
        </w:rPr>
        <w:t>l segno di un caparbio impegno n</w:t>
      </w:r>
      <w:r w:rsidRPr="002E1DA3">
        <w:rPr>
          <w:rFonts w:ascii="Garamond" w:hAnsi="Garamond"/>
          <w:sz w:val="32"/>
          <w:szCs w:val="32"/>
        </w:rPr>
        <w:t xml:space="preserve">ell’attuazione del testo costituzionale e nel miglioramento del servizio di giustizia per il bene del Paese. Perché, usando un linguaggio weberiano, quello del giudice amministrativo non è solo un lavoro, una professione: è un </w:t>
      </w:r>
      <w:r w:rsidRPr="002E1DA3">
        <w:rPr>
          <w:rFonts w:ascii="Garamond" w:hAnsi="Garamond"/>
          <w:i/>
          <w:sz w:val="32"/>
          <w:szCs w:val="32"/>
        </w:rPr>
        <w:t>Beruf</w:t>
      </w:r>
      <w:r w:rsidRPr="002E1DA3">
        <w:rPr>
          <w:rFonts w:ascii="Garamond" w:hAnsi="Garamond"/>
          <w:sz w:val="32"/>
          <w:szCs w:val="32"/>
        </w:rPr>
        <w:t>, che in tedesco significa mestiere e però indica pure una vocazione e una chiamata.</w:t>
      </w:r>
    </w:p>
    <w:p w14:paraId="565A7B01" w14:textId="77777777" w:rsidR="00847346" w:rsidRPr="002E1DA3" w:rsidRDefault="00847346" w:rsidP="00866E4D">
      <w:pPr>
        <w:spacing w:line="240" w:lineRule="auto"/>
        <w:jc w:val="right"/>
        <w:rPr>
          <w:rFonts w:ascii="Garamond" w:hAnsi="Garamond"/>
          <w:sz w:val="32"/>
          <w:szCs w:val="32"/>
        </w:rPr>
      </w:pPr>
      <w:r w:rsidRPr="002E1DA3">
        <w:rPr>
          <w:rFonts w:ascii="Garamond" w:hAnsi="Garamond"/>
          <w:sz w:val="32"/>
          <w:szCs w:val="32"/>
        </w:rPr>
        <w:t>Giuseppina Adamo</w:t>
      </w:r>
    </w:p>
    <w:p w14:paraId="682DC1C8" w14:textId="459E6547" w:rsidR="00847346" w:rsidRDefault="001A4037" w:rsidP="00866E4D">
      <w:pPr>
        <w:spacing w:line="240" w:lineRule="auto"/>
        <w:jc w:val="right"/>
        <w:rPr>
          <w:rFonts w:ascii="Garamond" w:hAnsi="Garamond"/>
          <w:sz w:val="32"/>
          <w:szCs w:val="32"/>
        </w:rPr>
      </w:pPr>
      <w:r w:rsidRPr="002E1DA3">
        <w:rPr>
          <w:rFonts w:ascii="Garamond" w:hAnsi="Garamond"/>
          <w:sz w:val="32"/>
          <w:szCs w:val="32"/>
        </w:rPr>
        <w:t>Presidente del T.a.r. p</w:t>
      </w:r>
      <w:r w:rsidR="00847346" w:rsidRPr="002E1DA3">
        <w:rPr>
          <w:rFonts w:ascii="Garamond" w:hAnsi="Garamond"/>
          <w:sz w:val="32"/>
          <w:szCs w:val="32"/>
        </w:rPr>
        <w:t>er la Valle d’Aosta</w:t>
      </w:r>
    </w:p>
    <w:p w14:paraId="68A01E85" w14:textId="3298C96E" w:rsidR="00517C5E" w:rsidRDefault="00517C5E" w:rsidP="00866E4D">
      <w:pPr>
        <w:spacing w:line="240" w:lineRule="auto"/>
        <w:jc w:val="right"/>
        <w:rPr>
          <w:rFonts w:ascii="Garamond" w:hAnsi="Garamond"/>
          <w:sz w:val="32"/>
          <w:szCs w:val="32"/>
        </w:rPr>
      </w:pPr>
    </w:p>
    <w:p w14:paraId="36BBE8B0" w14:textId="062928F4" w:rsidR="00517C5E" w:rsidRPr="00517C5E" w:rsidRDefault="00517C5E" w:rsidP="00517C5E">
      <w:pPr>
        <w:spacing w:line="240" w:lineRule="auto"/>
        <w:jc w:val="both"/>
        <w:rPr>
          <w:rFonts w:ascii="Garamond" w:hAnsi="Garamond"/>
          <w:bCs/>
          <w:i/>
          <w:iCs/>
          <w:sz w:val="32"/>
          <w:szCs w:val="32"/>
        </w:rPr>
      </w:pPr>
      <w:r w:rsidRPr="00517C5E">
        <w:rPr>
          <w:rFonts w:ascii="Garamond" w:hAnsi="Garamond"/>
          <w:bCs/>
          <w:i/>
          <w:iCs/>
          <w:sz w:val="32"/>
          <w:szCs w:val="32"/>
        </w:rPr>
        <w:t>Le opinioni di cui al presente contributo sono espresse dall’Autrice a titolo personale</w:t>
      </w:r>
      <w:r w:rsidRPr="00517C5E">
        <w:rPr>
          <w:rFonts w:ascii="Garamond" w:hAnsi="Garamond"/>
          <w:bCs/>
          <w:i/>
          <w:iCs/>
          <w:sz w:val="32"/>
          <w:szCs w:val="32"/>
        </w:rPr>
        <w:t>; esse</w:t>
      </w:r>
      <w:r w:rsidRPr="00517C5E">
        <w:rPr>
          <w:rFonts w:ascii="Garamond" w:hAnsi="Garamond"/>
          <w:bCs/>
          <w:i/>
          <w:iCs/>
          <w:sz w:val="32"/>
          <w:szCs w:val="32"/>
        </w:rPr>
        <w:t xml:space="preserve"> non impegnano l'Ufficio </w:t>
      </w:r>
      <w:r w:rsidRPr="00517C5E">
        <w:rPr>
          <w:rFonts w:ascii="Garamond" w:hAnsi="Garamond"/>
          <w:bCs/>
          <w:i/>
          <w:iCs/>
          <w:sz w:val="32"/>
          <w:szCs w:val="32"/>
        </w:rPr>
        <w:t>s</w:t>
      </w:r>
      <w:r w:rsidRPr="00517C5E">
        <w:rPr>
          <w:rFonts w:ascii="Garamond" w:hAnsi="Garamond"/>
          <w:bCs/>
          <w:i/>
          <w:iCs/>
          <w:sz w:val="32"/>
          <w:szCs w:val="32"/>
        </w:rPr>
        <w:t>tudi della G</w:t>
      </w:r>
      <w:r w:rsidRPr="00517C5E">
        <w:rPr>
          <w:rFonts w:ascii="Garamond" w:hAnsi="Garamond"/>
          <w:bCs/>
          <w:i/>
          <w:iCs/>
          <w:sz w:val="32"/>
          <w:szCs w:val="32"/>
        </w:rPr>
        <w:t>iustizia amministrativa</w:t>
      </w:r>
      <w:r w:rsidRPr="00517C5E">
        <w:rPr>
          <w:rFonts w:ascii="Garamond" w:hAnsi="Garamond"/>
          <w:bCs/>
          <w:i/>
          <w:iCs/>
          <w:sz w:val="32"/>
          <w:szCs w:val="32"/>
        </w:rPr>
        <w:t xml:space="preserve">, né quest'ultima </w:t>
      </w:r>
      <w:r w:rsidR="00544D5D">
        <w:rPr>
          <w:rFonts w:ascii="Garamond" w:hAnsi="Garamond"/>
          <w:bCs/>
          <w:i/>
          <w:iCs/>
          <w:sz w:val="32"/>
          <w:szCs w:val="32"/>
        </w:rPr>
        <w:t>quale istituzione</w:t>
      </w:r>
      <w:bookmarkStart w:id="0" w:name="_GoBack"/>
      <w:bookmarkEnd w:id="0"/>
    </w:p>
    <w:p w14:paraId="2A744752" w14:textId="77777777" w:rsidR="00517C5E" w:rsidRPr="00517C5E" w:rsidRDefault="00517C5E" w:rsidP="00517C5E">
      <w:pPr>
        <w:spacing w:line="240" w:lineRule="auto"/>
        <w:jc w:val="both"/>
        <w:rPr>
          <w:rFonts w:ascii="Garamond" w:hAnsi="Garamond"/>
          <w:i/>
          <w:sz w:val="32"/>
          <w:szCs w:val="32"/>
        </w:rPr>
      </w:pPr>
    </w:p>
    <w:p w14:paraId="3E700F7D" w14:textId="77777777" w:rsidR="00847346" w:rsidRPr="00866E4D" w:rsidRDefault="00847346" w:rsidP="00866E4D">
      <w:pPr>
        <w:spacing w:line="240" w:lineRule="auto"/>
        <w:jc w:val="right"/>
        <w:rPr>
          <w:rFonts w:ascii="Garamond" w:hAnsi="Garamond"/>
          <w:sz w:val="32"/>
          <w:szCs w:val="32"/>
        </w:rPr>
      </w:pPr>
    </w:p>
    <w:p w14:paraId="6C0F1596" w14:textId="77777777" w:rsidR="005276EE" w:rsidRPr="00866E4D" w:rsidRDefault="005276EE" w:rsidP="00866E4D">
      <w:pPr>
        <w:spacing w:line="240" w:lineRule="auto"/>
        <w:rPr>
          <w:sz w:val="32"/>
          <w:szCs w:val="32"/>
        </w:rPr>
      </w:pPr>
    </w:p>
    <w:sectPr w:rsidR="005276EE" w:rsidRPr="00866E4D" w:rsidSect="0045601A">
      <w:footerReference w:type="defaul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84CA9" w14:textId="77777777" w:rsidR="003066AF" w:rsidRDefault="003066AF" w:rsidP="0008730C">
      <w:pPr>
        <w:spacing w:after="0" w:line="240" w:lineRule="auto"/>
      </w:pPr>
      <w:r>
        <w:separator/>
      </w:r>
    </w:p>
  </w:endnote>
  <w:endnote w:type="continuationSeparator" w:id="0">
    <w:p w14:paraId="322EA80F" w14:textId="77777777" w:rsidR="003066AF" w:rsidRDefault="003066AF" w:rsidP="0008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607207"/>
      <w:docPartObj>
        <w:docPartGallery w:val="Page Numbers (Bottom of Page)"/>
        <w:docPartUnique/>
      </w:docPartObj>
    </w:sdtPr>
    <w:sdtEndPr/>
    <w:sdtContent>
      <w:p w14:paraId="5B59300D" w14:textId="4126280B" w:rsidR="0045601A" w:rsidRDefault="0045601A">
        <w:pPr>
          <w:pStyle w:val="Pidipagina"/>
          <w:jc w:val="center"/>
        </w:pPr>
        <w:r>
          <w:fldChar w:fldCharType="begin"/>
        </w:r>
        <w:r>
          <w:instrText>PAGE   \* MERGEFORMAT</w:instrText>
        </w:r>
        <w:r>
          <w:fldChar w:fldCharType="separate"/>
        </w:r>
        <w:r w:rsidR="00544D5D">
          <w:rPr>
            <w:noProof/>
          </w:rPr>
          <w:t>9</w:t>
        </w:r>
        <w:r>
          <w:fldChar w:fldCharType="end"/>
        </w:r>
      </w:p>
    </w:sdtContent>
  </w:sdt>
  <w:p w14:paraId="079538F8" w14:textId="77777777" w:rsidR="0045601A" w:rsidRDefault="004560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C5F7A" w14:textId="77777777" w:rsidR="003066AF" w:rsidRDefault="003066AF" w:rsidP="0008730C">
      <w:pPr>
        <w:spacing w:after="0" w:line="240" w:lineRule="auto"/>
      </w:pPr>
      <w:r>
        <w:separator/>
      </w:r>
    </w:p>
  </w:footnote>
  <w:footnote w:type="continuationSeparator" w:id="0">
    <w:p w14:paraId="5EC9AF78" w14:textId="77777777" w:rsidR="003066AF" w:rsidRDefault="003066AF" w:rsidP="0008730C">
      <w:pPr>
        <w:spacing w:after="0" w:line="240" w:lineRule="auto"/>
      </w:pPr>
      <w:r>
        <w:continuationSeparator/>
      </w:r>
    </w:p>
  </w:footnote>
  <w:footnote w:id="1">
    <w:p w14:paraId="1FC8E0AF" w14:textId="77777777" w:rsidR="00FA29E3" w:rsidRPr="000619FC" w:rsidRDefault="00FA29E3" w:rsidP="000619FC">
      <w:pPr>
        <w:pStyle w:val="Testonotaapidipagina"/>
        <w:jc w:val="both"/>
        <w:rPr>
          <w:rFonts w:ascii="Garamond" w:hAnsi="Garamond"/>
          <w:sz w:val="28"/>
          <w:szCs w:val="28"/>
        </w:rPr>
      </w:pPr>
      <w:r w:rsidRPr="000619FC">
        <w:rPr>
          <w:rStyle w:val="Rimandonotaapidipagina"/>
          <w:rFonts w:ascii="Garamond" w:hAnsi="Garamond"/>
          <w:sz w:val="28"/>
          <w:szCs w:val="28"/>
        </w:rPr>
        <w:footnoteRef/>
      </w:r>
      <w:r w:rsidRPr="000619FC">
        <w:rPr>
          <w:rFonts w:ascii="Garamond" w:hAnsi="Garamond"/>
          <w:sz w:val="28"/>
          <w:szCs w:val="28"/>
        </w:rPr>
        <w:t xml:space="preserve"> </w:t>
      </w:r>
      <w:r w:rsidR="000619FC" w:rsidRPr="000619FC">
        <w:rPr>
          <w:rFonts w:ascii="Garamond" w:hAnsi="Garamond"/>
          <w:sz w:val="28"/>
          <w:szCs w:val="28"/>
        </w:rPr>
        <w:t>Il testo riproduce con alcune</w:t>
      </w:r>
      <w:r w:rsidR="003229F0">
        <w:rPr>
          <w:rFonts w:ascii="Garamond" w:hAnsi="Garamond"/>
          <w:sz w:val="28"/>
          <w:szCs w:val="28"/>
        </w:rPr>
        <w:t xml:space="preserve"> integrazioni la presentazione de</w:t>
      </w:r>
      <w:r w:rsidR="000619FC" w:rsidRPr="000619FC">
        <w:rPr>
          <w:rFonts w:ascii="Garamond" w:hAnsi="Garamond"/>
          <w:sz w:val="28"/>
          <w:szCs w:val="28"/>
        </w:rPr>
        <w:t>l convegno "La giurisprudenza amministrativa 15 anni dopo il codice: tendenze e controtendenze", tenutosi a Roma, presso il T.a.r. del Lazio, il 28 novembre 2025.</w:t>
      </w:r>
    </w:p>
  </w:footnote>
  <w:footnote w:id="2">
    <w:p w14:paraId="7860658C" w14:textId="40F72374" w:rsidR="0008730C" w:rsidRDefault="0008730C" w:rsidP="005576C9">
      <w:pPr>
        <w:pStyle w:val="Testonotaapidipagina"/>
        <w:jc w:val="both"/>
      </w:pPr>
      <w:r>
        <w:rPr>
          <w:rStyle w:val="Rimandonotaapidipagina"/>
          <w:rFonts w:ascii="Garamond" w:hAnsi="Garamond"/>
          <w:sz w:val="28"/>
          <w:szCs w:val="28"/>
        </w:rPr>
        <w:footnoteRef/>
      </w:r>
      <w:r>
        <w:rPr>
          <w:rFonts w:ascii="Garamond" w:hAnsi="Garamond"/>
          <w:sz w:val="28"/>
          <w:szCs w:val="28"/>
        </w:rPr>
        <w:t xml:space="preserve"> Temi che sembrano antichi, ma ancora sulle leggi razziali il Consiglio di Stato si è di recente pronunciato nel 2020 e nel 2021: </w:t>
      </w:r>
      <w:r w:rsidR="00C14D5E">
        <w:rPr>
          <w:rFonts w:ascii="Garamond" w:hAnsi="Garamond"/>
          <w:sz w:val="28"/>
          <w:szCs w:val="28"/>
        </w:rPr>
        <w:t>s</w:t>
      </w:r>
      <w:r>
        <w:rPr>
          <w:rFonts w:ascii="Garamond" w:hAnsi="Garamond"/>
          <w:sz w:val="28"/>
          <w:szCs w:val="28"/>
        </w:rPr>
        <w:t xml:space="preserve">ezione </w:t>
      </w:r>
      <w:r w:rsidR="00C14D5E">
        <w:rPr>
          <w:rFonts w:ascii="Garamond" w:hAnsi="Garamond"/>
          <w:sz w:val="28"/>
          <w:szCs w:val="28"/>
        </w:rPr>
        <w:t>quarta</w:t>
      </w:r>
      <w:r>
        <w:rPr>
          <w:rFonts w:ascii="Garamond" w:hAnsi="Garamond"/>
          <w:sz w:val="28"/>
          <w:szCs w:val="28"/>
        </w:rPr>
        <w:t>, 24 dicembre 2020, n. 8312; 27 gennaio 2021, n. 811 (</w:t>
      </w:r>
      <w:r w:rsidR="003229F0">
        <w:rPr>
          <w:rFonts w:ascii="Garamond" w:hAnsi="Garamond"/>
          <w:sz w:val="28"/>
          <w:szCs w:val="28"/>
        </w:rPr>
        <w:t xml:space="preserve">presidente </w:t>
      </w:r>
      <w:r w:rsidR="00D03905">
        <w:rPr>
          <w:rFonts w:ascii="Garamond" w:hAnsi="Garamond"/>
          <w:sz w:val="28"/>
          <w:szCs w:val="28"/>
        </w:rPr>
        <w:t xml:space="preserve">Luigi </w:t>
      </w:r>
      <w:r w:rsidR="003229F0">
        <w:rPr>
          <w:rFonts w:ascii="Garamond" w:hAnsi="Garamond"/>
          <w:sz w:val="28"/>
          <w:szCs w:val="28"/>
        </w:rPr>
        <w:t>Maru</w:t>
      </w:r>
      <w:r w:rsidR="00C14D5E">
        <w:rPr>
          <w:rFonts w:ascii="Garamond" w:hAnsi="Garamond"/>
          <w:sz w:val="28"/>
          <w:szCs w:val="28"/>
        </w:rPr>
        <w:t xml:space="preserve">otti, estensore </w:t>
      </w:r>
      <w:r>
        <w:rPr>
          <w:rFonts w:ascii="Garamond" w:hAnsi="Garamond"/>
          <w:sz w:val="28"/>
          <w:szCs w:val="28"/>
        </w:rPr>
        <w:t>Daniela Di Carlo)</w:t>
      </w:r>
      <w:r>
        <w:t>.</w:t>
      </w:r>
    </w:p>
  </w:footnote>
  <w:footnote w:id="3">
    <w:p w14:paraId="2524B31B" w14:textId="77777777" w:rsidR="0008730C" w:rsidRDefault="0008730C" w:rsidP="0008730C">
      <w:pPr>
        <w:pStyle w:val="Testonotaapidipagina"/>
        <w:jc w:val="both"/>
        <w:rPr>
          <w:rFonts w:ascii="Garamond" w:hAnsi="Garamond"/>
          <w:sz w:val="28"/>
          <w:szCs w:val="28"/>
        </w:rPr>
      </w:pPr>
      <w:r>
        <w:rPr>
          <w:rStyle w:val="Rimandonotaapidipagina"/>
          <w:rFonts w:ascii="Garamond" w:hAnsi="Garamond"/>
          <w:sz w:val="28"/>
          <w:szCs w:val="28"/>
        </w:rPr>
        <w:footnoteRef/>
      </w:r>
      <w:r>
        <w:rPr>
          <w:rFonts w:ascii="Garamond" w:hAnsi="Garamond"/>
          <w:sz w:val="28"/>
          <w:szCs w:val="28"/>
        </w:rPr>
        <w:t xml:space="preserve"> La Giustizia amministrativa si è impegnata a ridurre dell’80% le cause pendenti al 30 giugno 2023 presso i TAR, complessivamente considerati e senza distinzioni tra sedi PNRR e non PNRR, alle quali ultime è stata estesa la possibilità di tenere udienze straordinarie di smaltimento (seduta del CPGA 22 maggio 2024, punto 5).</w:t>
      </w:r>
    </w:p>
  </w:footnote>
  <w:footnote w:id="4">
    <w:p w14:paraId="0BF7E768" w14:textId="77777777" w:rsidR="00D7291E" w:rsidRPr="0045601A" w:rsidRDefault="00D7291E" w:rsidP="0045601A">
      <w:pPr>
        <w:pStyle w:val="Testonotaapidipagina"/>
        <w:jc w:val="both"/>
        <w:rPr>
          <w:rFonts w:ascii="Garamond" w:hAnsi="Garamond"/>
          <w:sz w:val="28"/>
          <w:szCs w:val="28"/>
        </w:rPr>
      </w:pPr>
      <w:r w:rsidRPr="0045601A">
        <w:rPr>
          <w:rStyle w:val="Rimandonotaapidipagina"/>
          <w:rFonts w:ascii="Garamond" w:hAnsi="Garamond"/>
          <w:sz w:val="28"/>
          <w:szCs w:val="28"/>
        </w:rPr>
        <w:footnoteRef/>
      </w:r>
      <w:r w:rsidRPr="0045601A">
        <w:rPr>
          <w:rFonts w:ascii="Garamond" w:hAnsi="Garamond"/>
          <w:sz w:val="28"/>
          <w:szCs w:val="28"/>
        </w:rPr>
        <w:t xml:space="preserve"> </w:t>
      </w:r>
      <w:r w:rsidR="0045601A" w:rsidRPr="0045601A">
        <w:rPr>
          <w:rFonts w:ascii="Garamond" w:hAnsi="Garamond"/>
          <w:sz w:val="28"/>
          <w:szCs w:val="28"/>
        </w:rPr>
        <w:t xml:space="preserve">Atteggiamento </w:t>
      </w:r>
      <w:r w:rsidRPr="0045601A">
        <w:rPr>
          <w:rFonts w:ascii="Garamond" w:hAnsi="Garamond"/>
          <w:sz w:val="28"/>
          <w:szCs w:val="28"/>
        </w:rPr>
        <w:t>che mi sembra d</w:t>
      </w:r>
      <w:r w:rsidR="002A5A58">
        <w:rPr>
          <w:rFonts w:ascii="Garamond" w:hAnsi="Garamond"/>
          <w:sz w:val="28"/>
          <w:szCs w:val="28"/>
        </w:rPr>
        <w:t>i scorgere nella sentenza dell'A</w:t>
      </w:r>
      <w:r w:rsidRPr="0045601A">
        <w:rPr>
          <w:rFonts w:ascii="Garamond" w:hAnsi="Garamond"/>
          <w:sz w:val="28"/>
          <w:szCs w:val="28"/>
        </w:rPr>
        <w:t xml:space="preserve">dunanza plenaria </w:t>
      </w:r>
      <w:r w:rsidR="0045601A" w:rsidRPr="0045601A">
        <w:rPr>
          <w:rFonts w:ascii="Garamond" w:hAnsi="Garamond"/>
          <w:sz w:val="28"/>
          <w:szCs w:val="28"/>
        </w:rPr>
        <w:t>13 settembre 2022, n. 14.</w:t>
      </w:r>
    </w:p>
  </w:footnote>
  <w:footnote w:id="5">
    <w:p w14:paraId="40753708" w14:textId="77777777" w:rsidR="0008730C" w:rsidRDefault="0008730C" w:rsidP="0008730C">
      <w:pPr>
        <w:pStyle w:val="Testonotaapidipagina"/>
        <w:jc w:val="both"/>
        <w:rPr>
          <w:rFonts w:ascii="Garamond" w:hAnsi="Garamond"/>
          <w:sz w:val="28"/>
          <w:szCs w:val="28"/>
        </w:rPr>
      </w:pPr>
      <w:r>
        <w:rPr>
          <w:rStyle w:val="Rimandonotaapidipagina"/>
        </w:rPr>
        <w:footnoteRef/>
      </w:r>
      <w:r>
        <w:t xml:space="preserve"> </w:t>
      </w:r>
      <w:r>
        <w:rPr>
          <w:rFonts w:ascii="Garamond" w:hAnsi="Garamond"/>
          <w:sz w:val="28"/>
          <w:szCs w:val="28"/>
        </w:rPr>
        <w:t>Nei termini seguenti: “La discrezionalità tecnica, come rilevato da autorevole dottrina, non differisce da quella amministrativa se non per ragioni quantitative, giacché si impernia su una "guida speciale” che il legislatore dà all’amministrazione per accertare i fatti che la norma presuppone.</w:t>
      </w:r>
    </w:p>
    <w:p w14:paraId="6BCCF4DC" w14:textId="77777777" w:rsidR="0008730C" w:rsidRDefault="0008730C" w:rsidP="0008730C">
      <w:pPr>
        <w:pStyle w:val="Testonotaapidipagina"/>
        <w:jc w:val="both"/>
        <w:rPr>
          <w:rFonts w:ascii="Garamond" w:hAnsi="Garamond"/>
          <w:sz w:val="28"/>
          <w:szCs w:val="28"/>
        </w:rPr>
      </w:pPr>
      <w:r>
        <w:rPr>
          <w:rFonts w:ascii="Garamond" w:hAnsi="Garamond"/>
          <w:sz w:val="28"/>
          <w:szCs w:val="28"/>
        </w:rPr>
        <w:t>Il suo esercizio, quindi, è sindacabile dal giudice amministrativo sotto il profilo dell'eccesso di potere, anzi, per le ragioni suddette, lo è in maniera più penetrante di quanto lo sia quello della discrezionalità amministrativa”.</w:t>
      </w:r>
    </w:p>
  </w:footnote>
  <w:footnote w:id="6">
    <w:p w14:paraId="30DA9CA6" w14:textId="77777777" w:rsidR="003D6280" w:rsidRPr="003D6280" w:rsidRDefault="003D6280" w:rsidP="003D6280">
      <w:pPr>
        <w:pStyle w:val="Testonotaapidipagina"/>
        <w:jc w:val="both"/>
        <w:rPr>
          <w:rFonts w:ascii="Garamond" w:hAnsi="Garamond"/>
          <w:sz w:val="28"/>
          <w:szCs w:val="28"/>
        </w:rPr>
      </w:pPr>
      <w:r w:rsidRPr="003D6280">
        <w:rPr>
          <w:rStyle w:val="Rimandonotaapidipagina"/>
          <w:rFonts w:ascii="Garamond" w:hAnsi="Garamond"/>
          <w:sz w:val="28"/>
          <w:szCs w:val="28"/>
        </w:rPr>
        <w:footnoteRef/>
      </w:r>
      <w:r w:rsidRPr="003D6280">
        <w:rPr>
          <w:rFonts w:ascii="Garamond" w:hAnsi="Garamond"/>
          <w:sz w:val="28"/>
          <w:szCs w:val="28"/>
        </w:rPr>
        <w:t xml:space="preserve"> Come nella pronuncia 23 novembre 2023, n. 32559, che ha annullato per diniego di giurisdizione la sentenza dell’Adunanza plenaria del 9 novembre 2021, n. 18</w:t>
      </w:r>
      <w:r>
        <w:rPr>
          <w:rFonts w:ascii="Garamond" w:hAnsi="Garamond"/>
          <w:sz w:val="28"/>
          <w:szCs w:val="28"/>
        </w:rPr>
        <w:t>,</w:t>
      </w:r>
      <w:r w:rsidRPr="003D6280">
        <w:rPr>
          <w:rFonts w:ascii="Garamond" w:hAnsi="Garamond"/>
          <w:sz w:val="28"/>
          <w:szCs w:val="28"/>
        </w:rPr>
        <w:t xml:space="preserve"> in tema di proroghe delle concessioni demaniali marittime.</w:t>
      </w:r>
    </w:p>
  </w:footnote>
  <w:footnote w:id="7">
    <w:p w14:paraId="4DB8688A" w14:textId="77777777" w:rsidR="00005368" w:rsidRPr="00005368" w:rsidRDefault="00005368" w:rsidP="00005368">
      <w:pPr>
        <w:pStyle w:val="Testonotaapidipagina"/>
        <w:jc w:val="both"/>
        <w:rPr>
          <w:rFonts w:ascii="Garamond" w:hAnsi="Garamond"/>
          <w:sz w:val="28"/>
          <w:szCs w:val="28"/>
        </w:rPr>
      </w:pPr>
      <w:r w:rsidRPr="00005368">
        <w:rPr>
          <w:rStyle w:val="Rimandonotaapidipagina"/>
          <w:rFonts w:ascii="Garamond" w:hAnsi="Garamond"/>
          <w:sz w:val="28"/>
          <w:szCs w:val="28"/>
        </w:rPr>
        <w:footnoteRef/>
      </w:r>
      <w:r w:rsidRPr="00005368">
        <w:rPr>
          <w:rFonts w:ascii="Garamond" w:hAnsi="Garamond"/>
          <w:sz w:val="28"/>
          <w:szCs w:val="28"/>
        </w:rPr>
        <w:t xml:space="preserve"> Per tutte, si</w:t>
      </w:r>
      <w:r>
        <w:rPr>
          <w:rFonts w:ascii="Garamond" w:hAnsi="Garamond"/>
          <w:sz w:val="28"/>
          <w:szCs w:val="28"/>
        </w:rPr>
        <w:t xml:space="preserve"> richiama </w:t>
      </w:r>
      <w:r w:rsidRPr="00005368">
        <w:rPr>
          <w:rFonts w:ascii="Garamond" w:hAnsi="Garamond"/>
          <w:sz w:val="28"/>
          <w:szCs w:val="28"/>
        </w:rPr>
        <w:t>la decisione dell’Adunanza plenaria del 9 dicembre 2021, n. 22.</w:t>
      </w:r>
    </w:p>
  </w:footnote>
  <w:footnote w:id="8">
    <w:p w14:paraId="368F66FA" w14:textId="77777777" w:rsidR="0008730C" w:rsidRDefault="0008730C" w:rsidP="0008730C">
      <w:pPr>
        <w:pStyle w:val="Testonotaapidipagina"/>
        <w:jc w:val="both"/>
        <w:rPr>
          <w:rFonts w:ascii="Garamond" w:hAnsi="Garamond"/>
          <w:sz w:val="28"/>
          <w:szCs w:val="28"/>
        </w:rPr>
      </w:pPr>
      <w:r>
        <w:rPr>
          <w:rStyle w:val="Rimandonotaapidipagina"/>
          <w:rFonts w:ascii="Garamond" w:hAnsi="Garamond"/>
          <w:sz w:val="28"/>
          <w:szCs w:val="28"/>
        </w:rPr>
        <w:footnoteRef/>
      </w:r>
      <w:r>
        <w:rPr>
          <w:rFonts w:ascii="Garamond" w:hAnsi="Garamond"/>
          <w:sz w:val="28"/>
          <w:szCs w:val="28"/>
        </w:rPr>
        <w:t xml:space="preserve"> </w:t>
      </w:r>
      <w:r w:rsidR="00005368">
        <w:rPr>
          <w:rFonts w:ascii="Garamond" w:hAnsi="Garamond"/>
          <w:sz w:val="28"/>
          <w:szCs w:val="28"/>
        </w:rPr>
        <w:t>Fornendo un esempio minimale, s</w:t>
      </w:r>
      <w:r>
        <w:rPr>
          <w:rFonts w:ascii="Garamond" w:hAnsi="Garamond"/>
          <w:sz w:val="28"/>
          <w:szCs w:val="28"/>
        </w:rPr>
        <w:t>i pensi alla tecnica di redazione delle ordinanze di rinvio pregiudiziale che ignora i limiti quantitativi (12-13 pagine) suggeriti dalle apposite istruzioni impartite dalla Corte di giustizia ai giudici nazionali, con la conseguenza che le stesse ordinanze non sono mai sottoposte all'esame della Corte nel loro testo integrale tradotto, bensì nella versione sintetizzata d</w:t>
      </w:r>
      <w:r w:rsidR="00C07FBC">
        <w:rPr>
          <w:rFonts w:ascii="Garamond" w:hAnsi="Garamond"/>
          <w:sz w:val="28"/>
          <w:szCs w:val="28"/>
        </w:rPr>
        <w:t>a</w:t>
      </w:r>
      <w:r>
        <w:rPr>
          <w:rFonts w:ascii="Garamond" w:hAnsi="Garamond"/>
          <w:sz w:val="28"/>
          <w:szCs w:val="28"/>
        </w:rPr>
        <w:t>l Servizio documentazione.</w:t>
      </w:r>
    </w:p>
  </w:footnote>
  <w:footnote w:id="9">
    <w:p w14:paraId="366E4D6D" w14:textId="77777777" w:rsidR="0008730C" w:rsidRDefault="0008730C" w:rsidP="00D73FBF">
      <w:pPr>
        <w:pStyle w:val="Testonotaapidipagina"/>
        <w:jc w:val="both"/>
        <w:rPr>
          <w:rFonts w:ascii="Garamond" w:hAnsi="Garamond"/>
          <w:sz w:val="28"/>
          <w:szCs w:val="28"/>
        </w:rPr>
      </w:pPr>
      <w:r>
        <w:rPr>
          <w:rStyle w:val="Rimandonotaapidipagina"/>
          <w:rFonts w:ascii="Garamond" w:hAnsi="Garamond"/>
          <w:sz w:val="28"/>
          <w:szCs w:val="28"/>
        </w:rPr>
        <w:footnoteRef/>
      </w:r>
      <w:r>
        <w:rPr>
          <w:rFonts w:ascii="Garamond" w:hAnsi="Garamond"/>
          <w:sz w:val="28"/>
          <w:szCs w:val="28"/>
        </w:rPr>
        <w:t xml:space="preserve"> Sono pronunce che segnano una possibile trasfigurazione dell’appello devolutivo, </w:t>
      </w:r>
      <w:r>
        <w:rPr>
          <w:rFonts w:ascii="Garamond" w:hAnsi="Garamond"/>
          <w:i/>
          <w:sz w:val="28"/>
          <w:szCs w:val="28"/>
        </w:rPr>
        <w:t>novum iudicium</w:t>
      </w:r>
      <w:r>
        <w:rPr>
          <w:rFonts w:ascii="Garamond" w:hAnsi="Garamond"/>
          <w:sz w:val="28"/>
          <w:szCs w:val="28"/>
        </w:rPr>
        <w:t xml:space="preserve"> pur nell’ambito dei motivi dedotti, in</w:t>
      </w:r>
      <w:r w:rsidR="00BC585E">
        <w:rPr>
          <w:rFonts w:ascii="Garamond" w:hAnsi="Garamond"/>
          <w:sz w:val="28"/>
          <w:szCs w:val="28"/>
        </w:rPr>
        <w:t xml:space="preserve"> mera</w:t>
      </w:r>
      <w:r>
        <w:rPr>
          <w:rFonts w:ascii="Garamond" w:hAnsi="Garamond"/>
          <w:sz w:val="28"/>
          <w:szCs w:val="28"/>
        </w:rPr>
        <w:t xml:space="preserve"> </w:t>
      </w:r>
      <w:r>
        <w:rPr>
          <w:rFonts w:ascii="Garamond" w:hAnsi="Garamond"/>
          <w:i/>
          <w:sz w:val="28"/>
          <w:szCs w:val="28"/>
        </w:rPr>
        <w:t>revisio prioris istantiae</w:t>
      </w:r>
      <w:r w:rsidR="00D73FBF">
        <w:rPr>
          <w:rFonts w:ascii="Garamond" w:hAnsi="Garamond"/>
          <w:sz w:val="28"/>
          <w:szCs w:val="28"/>
        </w:rPr>
        <w:t>, come sembra desumersi alcuni passi della sentenza</w:t>
      </w:r>
      <w:r w:rsidR="00D73FBF" w:rsidRPr="00D73FBF">
        <w:t xml:space="preserve"> </w:t>
      </w:r>
      <w:r w:rsidR="00D73FBF" w:rsidRPr="00D73FBF">
        <w:rPr>
          <w:rFonts w:ascii="Garamond" w:hAnsi="Garamond"/>
          <w:sz w:val="28"/>
          <w:szCs w:val="28"/>
        </w:rPr>
        <w:t>n. 10</w:t>
      </w:r>
      <w:r w:rsidR="00D73FBF">
        <w:rPr>
          <w:rFonts w:ascii="Garamond" w:hAnsi="Garamond"/>
          <w:sz w:val="28"/>
          <w:szCs w:val="28"/>
        </w:rPr>
        <w:t xml:space="preserve"> del 2025:</w:t>
      </w:r>
    </w:p>
    <w:p w14:paraId="409D28D0" w14:textId="77777777" w:rsidR="0008730C" w:rsidRDefault="0008730C" w:rsidP="00D73FBF">
      <w:pPr>
        <w:pStyle w:val="Testonotaapidipagina"/>
        <w:jc w:val="both"/>
        <w:rPr>
          <w:rFonts w:ascii="Garamond" w:hAnsi="Garamond"/>
          <w:sz w:val="28"/>
          <w:szCs w:val="28"/>
        </w:rPr>
      </w:pPr>
      <w:r>
        <w:rPr>
          <w:rFonts w:ascii="Garamond" w:hAnsi="Garamond"/>
          <w:sz w:val="28"/>
          <w:szCs w:val="28"/>
        </w:rPr>
        <w:t>"14.1. […] La nullità della sentenza può ravvisarsi, inoltre, quando la statuizione di improcedibilità non tenga conto, nel senso che neppure ne manifesti la conoscenza, tanto da risultarne inconsapevole, di un principio di diritto enunciato dall’Adunanza Plenaria o di un orientamento consolidato del Consiglio di Stato, così basandosi su una motivazione palesemente tautologica e superficiale.</w:t>
      </w:r>
    </w:p>
    <w:p w14:paraId="683381B6" w14:textId="77777777" w:rsidR="0008730C" w:rsidRDefault="0008730C" w:rsidP="00D73FBF">
      <w:pPr>
        <w:pStyle w:val="Testonotaapidipagina"/>
        <w:jc w:val="both"/>
        <w:rPr>
          <w:rFonts w:ascii="Garamond" w:hAnsi="Garamond"/>
          <w:sz w:val="28"/>
          <w:szCs w:val="28"/>
        </w:rPr>
      </w:pPr>
      <w:r>
        <w:rPr>
          <w:rFonts w:ascii="Garamond" w:hAnsi="Garamond"/>
          <w:sz w:val="28"/>
          <w:szCs w:val="28"/>
        </w:rPr>
        <w:t xml:space="preserve">14.2. Non va disposto l’annullamento con rinvio, qualora l’errore non possa essere qualificato come palese, così da rendere nulla la sentenza, come avviene quando siano stati analiticamente esaminati tutti gli elementi fattuali della vicenda e vi sia stata la consapevole valutazione del quadro </w:t>
      </w:r>
      <w:r w:rsidR="00D73FBF">
        <w:rPr>
          <w:rFonts w:ascii="Garamond" w:hAnsi="Garamond"/>
          <w:sz w:val="28"/>
          <w:szCs w:val="28"/>
        </w:rPr>
        <w:t>normativo e giurisprudenziale"</w:t>
      </w:r>
      <w:r>
        <w:rPr>
          <w:rFonts w:ascii="Garamond" w:hAnsi="Garamond"/>
          <w:sz w:val="28"/>
          <w:szCs w:val="28"/>
        </w:rPr>
        <w:t>.</w:t>
      </w:r>
      <w:r w:rsidR="00A90A05">
        <w:rPr>
          <w:rFonts w:ascii="Garamond" w:hAnsi="Garamond"/>
          <w:sz w:val="28"/>
          <w:szCs w:val="28"/>
        </w:rPr>
        <w:t xml:space="preserve"> I paragrafi citati</w:t>
      </w:r>
      <w:r w:rsidR="00303E9C">
        <w:rPr>
          <w:rFonts w:ascii="Garamond" w:hAnsi="Garamond"/>
          <w:sz w:val="28"/>
          <w:szCs w:val="28"/>
        </w:rPr>
        <w:t xml:space="preserve"> dovrebbero </w:t>
      </w:r>
      <w:r w:rsidR="00A90A05">
        <w:rPr>
          <w:rFonts w:ascii="Garamond" w:hAnsi="Garamond"/>
          <w:sz w:val="28"/>
          <w:szCs w:val="28"/>
        </w:rPr>
        <w:t xml:space="preserve">occuparsi di </w:t>
      </w:r>
      <w:r>
        <w:rPr>
          <w:rFonts w:ascii="Garamond" w:hAnsi="Garamond"/>
          <w:sz w:val="28"/>
          <w:szCs w:val="28"/>
        </w:rPr>
        <w:t xml:space="preserve">una motivazione </w:t>
      </w:r>
      <w:r w:rsidR="00A90A05">
        <w:rPr>
          <w:rFonts w:ascii="Garamond" w:hAnsi="Garamond"/>
          <w:sz w:val="28"/>
          <w:szCs w:val="28"/>
        </w:rPr>
        <w:t>in</w:t>
      </w:r>
      <w:r>
        <w:rPr>
          <w:rFonts w:ascii="Garamond" w:hAnsi="Garamond"/>
          <w:sz w:val="28"/>
          <w:szCs w:val="28"/>
        </w:rPr>
        <w:t xml:space="preserve">congrua sulla questione di rito, </w:t>
      </w:r>
      <w:r w:rsidR="00FA29E3">
        <w:rPr>
          <w:rFonts w:ascii="Garamond" w:hAnsi="Garamond"/>
          <w:sz w:val="28"/>
          <w:szCs w:val="28"/>
        </w:rPr>
        <w:t xml:space="preserve">quest'ultima </w:t>
      </w:r>
      <w:r w:rsidR="00303E9C">
        <w:rPr>
          <w:rFonts w:ascii="Garamond" w:hAnsi="Garamond"/>
          <w:sz w:val="28"/>
          <w:szCs w:val="28"/>
        </w:rPr>
        <w:t xml:space="preserve">potenzialmente </w:t>
      </w:r>
      <w:r>
        <w:rPr>
          <w:rFonts w:ascii="Garamond" w:hAnsi="Garamond"/>
          <w:sz w:val="28"/>
          <w:szCs w:val="28"/>
        </w:rPr>
        <w:t>preclusiva all'esame del merito</w:t>
      </w:r>
      <w:r w:rsidR="00303E9C">
        <w:rPr>
          <w:rFonts w:ascii="Garamond" w:hAnsi="Garamond"/>
          <w:sz w:val="28"/>
          <w:szCs w:val="28"/>
        </w:rPr>
        <w:t>. In realtà</w:t>
      </w:r>
      <w:r>
        <w:rPr>
          <w:rFonts w:ascii="Garamond" w:hAnsi="Garamond"/>
          <w:sz w:val="28"/>
          <w:szCs w:val="28"/>
        </w:rPr>
        <w:t>,</w:t>
      </w:r>
      <w:r w:rsidR="00A90A05">
        <w:rPr>
          <w:rFonts w:ascii="Garamond" w:hAnsi="Garamond"/>
          <w:sz w:val="28"/>
          <w:szCs w:val="28"/>
        </w:rPr>
        <w:t xml:space="preserve"> </w:t>
      </w:r>
      <w:r w:rsidR="00FA29E3">
        <w:rPr>
          <w:rFonts w:ascii="Garamond" w:hAnsi="Garamond"/>
          <w:sz w:val="28"/>
          <w:szCs w:val="28"/>
        </w:rPr>
        <w:t xml:space="preserve">essi ricordano </w:t>
      </w:r>
      <w:r w:rsidR="00303E9C">
        <w:rPr>
          <w:rFonts w:ascii="Garamond" w:hAnsi="Garamond"/>
          <w:sz w:val="28"/>
          <w:szCs w:val="28"/>
        </w:rPr>
        <w:t xml:space="preserve">molto </w:t>
      </w:r>
      <w:r w:rsidR="00FA29E3">
        <w:rPr>
          <w:rFonts w:ascii="Garamond" w:hAnsi="Garamond"/>
          <w:sz w:val="28"/>
          <w:szCs w:val="28"/>
        </w:rPr>
        <w:t>una possibile</w:t>
      </w:r>
      <w:r w:rsidR="00303E9C">
        <w:rPr>
          <w:rFonts w:ascii="Garamond" w:hAnsi="Garamond"/>
          <w:sz w:val="28"/>
          <w:szCs w:val="28"/>
        </w:rPr>
        <w:t xml:space="preserve"> predisposizione </w:t>
      </w:r>
      <w:r w:rsidR="00A90A05">
        <w:rPr>
          <w:rFonts w:ascii="Garamond" w:hAnsi="Garamond"/>
          <w:sz w:val="28"/>
          <w:szCs w:val="28"/>
        </w:rPr>
        <w:t xml:space="preserve">dei criteri di valutazione </w:t>
      </w:r>
      <w:r>
        <w:rPr>
          <w:rFonts w:ascii="Garamond" w:hAnsi="Garamond"/>
          <w:sz w:val="28"/>
          <w:szCs w:val="28"/>
        </w:rPr>
        <w:t xml:space="preserve">della prova pratica nel concorso </w:t>
      </w:r>
      <w:r w:rsidR="00A90A05">
        <w:rPr>
          <w:rFonts w:ascii="Garamond" w:hAnsi="Garamond"/>
          <w:sz w:val="28"/>
          <w:szCs w:val="28"/>
        </w:rPr>
        <w:t>di accesso al tribunale amministrativo regionale o al Consiglio di Stato</w:t>
      </w:r>
      <w:r>
        <w:rPr>
          <w:rFonts w:ascii="Garamond" w:hAnsi="Garamond"/>
          <w:sz w:val="28"/>
          <w:szCs w:val="28"/>
        </w:rPr>
        <w:t>.</w:t>
      </w:r>
    </w:p>
  </w:footnote>
  <w:footnote w:id="10">
    <w:p w14:paraId="1B040E44" w14:textId="77777777" w:rsidR="00BC585E" w:rsidRPr="00BC585E" w:rsidRDefault="00BC585E" w:rsidP="00BC585E">
      <w:pPr>
        <w:pStyle w:val="Testonotaapidipagina"/>
        <w:jc w:val="both"/>
        <w:rPr>
          <w:rFonts w:ascii="Garamond" w:hAnsi="Garamond"/>
          <w:sz w:val="28"/>
          <w:szCs w:val="28"/>
        </w:rPr>
      </w:pPr>
      <w:r w:rsidRPr="00BC585E">
        <w:rPr>
          <w:rStyle w:val="Rimandonotaapidipagina"/>
          <w:rFonts w:ascii="Garamond" w:hAnsi="Garamond"/>
          <w:sz w:val="28"/>
          <w:szCs w:val="28"/>
        </w:rPr>
        <w:footnoteRef/>
      </w:r>
      <w:r w:rsidRPr="00BC585E">
        <w:rPr>
          <w:rFonts w:ascii="Garamond" w:hAnsi="Garamond"/>
          <w:sz w:val="28"/>
          <w:szCs w:val="28"/>
        </w:rPr>
        <w:t xml:space="preserve"> Si riportano i passi salienti tratti dalla relazione di accompagnamento al codice: "Si prevede che di regola la controversia è definita in grado di appello, tranne casi tassativi in cui va disposta la rimessione al primo giudice. Per consentire il rispetto del principio del doppio grado del giudizio, la rimessione ha luogo tassativamente nei casi in cui la sentenza è stata resa a contraddittorio non integro o con violazione del diritto alla difesa e quando la domanda non è stata esaminata per l’errata declaratoria di difetto di giurisdizione, di competenza o di perenzione o estinzione del giudizio".  </w:t>
      </w:r>
    </w:p>
  </w:footnote>
  <w:footnote w:id="11">
    <w:p w14:paraId="05A416CE" w14:textId="77777777" w:rsidR="007A6299" w:rsidRPr="007A6299" w:rsidRDefault="00DC1FB4" w:rsidP="007A6299">
      <w:pPr>
        <w:pStyle w:val="Testonotaapidipagina"/>
        <w:jc w:val="both"/>
        <w:rPr>
          <w:rFonts w:ascii="Garamond" w:hAnsi="Garamond"/>
          <w:sz w:val="28"/>
          <w:szCs w:val="28"/>
        </w:rPr>
      </w:pPr>
      <w:r w:rsidRPr="00DC1FB4">
        <w:rPr>
          <w:rStyle w:val="Rimandonotaapidipagina"/>
          <w:rFonts w:ascii="Garamond" w:hAnsi="Garamond"/>
          <w:sz w:val="28"/>
          <w:szCs w:val="28"/>
        </w:rPr>
        <w:footnoteRef/>
      </w:r>
      <w:r w:rsidRPr="00DC1FB4">
        <w:rPr>
          <w:rFonts w:ascii="Garamond" w:hAnsi="Garamond"/>
          <w:sz w:val="28"/>
          <w:szCs w:val="28"/>
        </w:rPr>
        <w:t xml:space="preserve"> </w:t>
      </w:r>
      <w:r w:rsidR="007E52F6">
        <w:rPr>
          <w:rFonts w:ascii="Garamond" w:hAnsi="Garamond"/>
          <w:sz w:val="28"/>
          <w:szCs w:val="28"/>
        </w:rPr>
        <w:t>"Impedimento alla giustizia" che dovrebbe essere valutato oltretutto tenendo presente</w:t>
      </w:r>
      <w:r w:rsidRPr="00DC1FB4">
        <w:rPr>
          <w:rFonts w:ascii="Garamond" w:hAnsi="Garamond"/>
          <w:sz w:val="28"/>
          <w:szCs w:val="28"/>
        </w:rPr>
        <w:t xml:space="preserve"> la specialità del giudizio amministrativo</w:t>
      </w:r>
      <w:r w:rsidR="00DF6E34">
        <w:rPr>
          <w:rFonts w:ascii="Garamond" w:hAnsi="Garamond"/>
          <w:sz w:val="28"/>
          <w:szCs w:val="28"/>
        </w:rPr>
        <w:t xml:space="preserve"> che</w:t>
      </w:r>
      <w:r w:rsidR="00420C6B">
        <w:rPr>
          <w:rFonts w:ascii="Garamond" w:hAnsi="Garamond"/>
          <w:sz w:val="28"/>
          <w:szCs w:val="28"/>
        </w:rPr>
        <w:t>, nel suo complesso,</w:t>
      </w:r>
      <w:r w:rsidR="00DF6E34">
        <w:rPr>
          <w:rFonts w:ascii="Garamond" w:hAnsi="Garamond"/>
          <w:sz w:val="28"/>
          <w:szCs w:val="28"/>
        </w:rPr>
        <w:t xml:space="preserve"> tende a contemperare la possibilità di agire a tutela dei propri diritti e interessi e l'esigenza </w:t>
      </w:r>
      <w:r w:rsidR="007E52F6" w:rsidRPr="007E52F6">
        <w:rPr>
          <w:rFonts w:ascii="Garamond" w:hAnsi="Garamond"/>
          <w:sz w:val="28"/>
          <w:szCs w:val="28"/>
        </w:rPr>
        <w:t xml:space="preserve">sostanziale </w:t>
      </w:r>
      <w:r w:rsidRPr="00DC1FB4">
        <w:rPr>
          <w:rFonts w:ascii="Garamond" w:hAnsi="Garamond"/>
          <w:sz w:val="28"/>
          <w:szCs w:val="28"/>
        </w:rPr>
        <w:t xml:space="preserve">di giungere alla stabilità e alla certezza dell'assetto giuridico </w:t>
      </w:r>
      <w:r w:rsidR="007E52F6">
        <w:rPr>
          <w:rFonts w:ascii="Garamond" w:hAnsi="Garamond"/>
          <w:sz w:val="28"/>
          <w:szCs w:val="28"/>
        </w:rPr>
        <w:t xml:space="preserve">anche </w:t>
      </w:r>
      <w:r w:rsidRPr="00DC1FB4">
        <w:rPr>
          <w:rFonts w:ascii="Garamond" w:hAnsi="Garamond"/>
          <w:sz w:val="28"/>
          <w:szCs w:val="28"/>
        </w:rPr>
        <w:t xml:space="preserve">attraverso </w:t>
      </w:r>
      <w:r w:rsidR="007E52F6" w:rsidRPr="007E52F6">
        <w:rPr>
          <w:rFonts w:ascii="Garamond" w:hAnsi="Garamond"/>
          <w:sz w:val="28"/>
          <w:szCs w:val="28"/>
        </w:rPr>
        <w:t>termini perentori e preclusioni</w:t>
      </w:r>
      <w:r w:rsidR="007E52F6">
        <w:rPr>
          <w:rFonts w:ascii="Garamond" w:hAnsi="Garamond"/>
          <w:sz w:val="28"/>
          <w:szCs w:val="28"/>
        </w:rPr>
        <w:t xml:space="preserve"> che consentano</w:t>
      </w:r>
      <w:r w:rsidR="007E52F6" w:rsidRPr="007E52F6">
        <w:rPr>
          <w:rFonts w:ascii="Garamond" w:hAnsi="Garamond"/>
          <w:sz w:val="28"/>
          <w:szCs w:val="28"/>
        </w:rPr>
        <w:t xml:space="preserve"> </w:t>
      </w:r>
      <w:r w:rsidRPr="00DC1FB4">
        <w:rPr>
          <w:rFonts w:ascii="Garamond" w:hAnsi="Garamond"/>
          <w:sz w:val="28"/>
          <w:szCs w:val="28"/>
        </w:rPr>
        <w:t>un pronto consolidamento dell'atto amministrativo.</w:t>
      </w:r>
      <w:r w:rsidR="007A6299">
        <w:rPr>
          <w:rFonts w:ascii="Garamond" w:hAnsi="Garamond"/>
          <w:sz w:val="28"/>
          <w:szCs w:val="28"/>
        </w:rPr>
        <w:t xml:space="preserve"> </w:t>
      </w:r>
      <w:r w:rsidR="0079788B">
        <w:rPr>
          <w:rFonts w:ascii="Garamond" w:hAnsi="Garamond"/>
          <w:sz w:val="28"/>
          <w:szCs w:val="28"/>
        </w:rPr>
        <w:t xml:space="preserve">La </w:t>
      </w:r>
      <w:r w:rsidR="0079788B" w:rsidRPr="0079788B">
        <w:rPr>
          <w:rFonts w:ascii="Garamond" w:hAnsi="Garamond"/>
          <w:sz w:val="28"/>
          <w:szCs w:val="28"/>
        </w:rPr>
        <w:t>Corte costituzionale</w:t>
      </w:r>
      <w:r w:rsidR="0079788B">
        <w:rPr>
          <w:rFonts w:ascii="Garamond" w:hAnsi="Garamond"/>
          <w:sz w:val="28"/>
          <w:szCs w:val="28"/>
        </w:rPr>
        <w:t xml:space="preserve">, che ha sempre negato l'esistenza di </w:t>
      </w:r>
      <w:r w:rsidR="0079788B" w:rsidRPr="0079788B">
        <w:rPr>
          <w:rFonts w:ascii="Garamond" w:hAnsi="Garamond"/>
          <w:sz w:val="28"/>
          <w:szCs w:val="28"/>
        </w:rPr>
        <w:t>un principio costituzionale di necessaria uniformità tra i diversi tipi di processo</w:t>
      </w:r>
      <w:r w:rsidR="0079788B">
        <w:rPr>
          <w:rFonts w:ascii="Garamond" w:hAnsi="Garamond"/>
          <w:sz w:val="28"/>
          <w:szCs w:val="28"/>
        </w:rPr>
        <w:t xml:space="preserve">, </w:t>
      </w:r>
      <w:r w:rsidR="00982C85">
        <w:rPr>
          <w:rFonts w:ascii="Garamond" w:hAnsi="Garamond"/>
          <w:sz w:val="28"/>
          <w:szCs w:val="28"/>
        </w:rPr>
        <w:t>h</w:t>
      </w:r>
      <w:r w:rsidR="0079788B">
        <w:rPr>
          <w:rFonts w:ascii="Garamond" w:hAnsi="Garamond"/>
          <w:sz w:val="28"/>
          <w:szCs w:val="28"/>
        </w:rPr>
        <w:t>a</w:t>
      </w:r>
      <w:r w:rsidR="0079788B" w:rsidRPr="0079788B">
        <w:rPr>
          <w:rFonts w:ascii="Garamond" w:hAnsi="Garamond"/>
          <w:sz w:val="28"/>
          <w:szCs w:val="28"/>
        </w:rPr>
        <w:t xml:space="preserve"> </w:t>
      </w:r>
      <w:r w:rsidR="007A6299">
        <w:rPr>
          <w:rFonts w:ascii="Garamond" w:hAnsi="Garamond"/>
          <w:sz w:val="28"/>
          <w:szCs w:val="28"/>
        </w:rPr>
        <w:t xml:space="preserve">ben presente </w:t>
      </w:r>
      <w:r w:rsidR="00982C85">
        <w:rPr>
          <w:rFonts w:ascii="Garamond" w:hAnsi="Garamond"/>
          <w:sz w:val="28"/>
          <w:szCs w:val="28"/>
        </w:rPr>
        <w:t>t</w:t>
      </w:r>
      <w:r w:rsidR="00982C85" w:rsidRPr="00982C85">
        <w:rPr>
          <w:rFonts w:ascii="Garamond" w:hAnsi="Garamond"/>
          <w:sz w:val="28"/>
          <w:szCs w:val="28"/>
        </w:rPr>
        <w:t>ale bilanciamento</w:t>
      </w:r>
      <w:r w:rsidR="007A6299">
        <w:rPr>
          <w:rFonts w:ascii="Garamond" w:hAnsi="Garamond"/>
          <w:sz w:val="28"/>
          <w:szCs w:val="28"/>
        </w:rPr>
        <w:t>: "</w:t>
      </w:r>
      <w:r w:rsidR="007A6299" w:rsidRPr="007A6299">
        <w:rPr>
          <w:rFonts w:ascii="Garamond" w:hAnsi="Garamond"/>
          <w:sz w:val="28"/>
          <w:szCs w:val="28"/>
        </w:rPr>
        <w:t xml:space="preserve">6.1.− </w:t>
      </w:r>
      <w:r w:rsidR="007A6299">
        <w:rPr>
          <w:rFonts w:ascii="Garamond" w:hAnsi="Garamond"/>
          <w:sz w:val="28"/>
          <w:szCs w:val="28"/>
        </w:rPr>
        <w:t xml:space="preserve">[…] </w:t>
      </w:r>
    </w:p>
    <w:p w14:paraId="030B96FC" w14:textId="77777777" w:rsidR="00DC1FB4" w:rsidRPr="00DC1FB4" w:rsidRDefault="007A6299" w:rsidP="007A6299">
      <w:pPr>
        <w:pStyle w:val="Testonotaapidipagina"/>
        <w:jc w:val="both"/>
        <w:rPr>
          <w:rFonts w:ascii="Garamond" w:hAnsi="Garamond"/>
          <w:sz w:val="28"/>
          <w:szCs w:val="28"/>
        </w:rPr>
      </w:pPr>
      <w:r w:rsidRPr="007A6299">
        <w:rPr>
          <w:rFonts w:ascii="Garamond" w:hAnsi="Garamond"/>
          <w:sz w:val="28"/>
          <w:szCs w:val="28"/>
        </w:rPr>
        <w:t>La previsione del termine di decadenza per l’esercizio dell’azione risarcitoria non può ritenersi il frutto di una scelta viziata da manifesta irragionevolezza, ma costituisce l’espressione di un coerente bilanciamento dell’interesse del danneggiato di vedersi riconosciuta la possibilità di agire anche a prescindere dalla domanda di annullamento (con eliminazione della regola della pregiudizialità), con l’obiettivo, di rilevante interesse pubblico, di pervenire in tempi brevi alla certezza del rapporto giuridico amministrativo, anche nella sua declinazione risarcitoria, secondo una logica di stabilità degli effetti giuridici ben conosciuta in rilevanti settori del diritto privato ove le aspirazioni risarcitorie si colleghino al non corretto esercizio del potere, specie nell’ambito di organizzazioni complesse e di esigenze di stabilità degli assetti economici (art. 2377, sesto comma, del codice civile)</w:t>
      </w:r>
      <w:r>
        <w:rPr>
          <w:rFonts w:ascii="Garamond" w:hAnsi="Garamond"/>
          <w:sz w:val="28"/>
          <w:szCs w:val="28"/>
        </w:rPr>
        <w:t>"</w:t>
      </w:r>
      <w:r w:rsidR="00982C85">
        <w:rPr>
          <w:rFonts w:ascii="Garamond" w:hAnsi="Garamond"/>
          <w:sz w:val="28"/>
          <w:szCs w:val="28"/>
        </w:rPr>
        <w:t xml:space="preserve"> (sentenza n. 94 del 2017).</w:t>
      </w:r>
    </w:p>
  </w:footnote>
  <w:footnote w:id="12">
    <w:p w14:paraId="6EABF339" w14:textId="77777777" w:rsidR="00D974E9" w:rsidRPr="00C07FBC" w:rsidRDefault="00D974E9">
      <w:pPr>
        <w:pStyle w:val="Testonotaapidipagina"/>
        <w:rPr>
          <w:rFonts w:ascii="Garamond" w:hAnsi="Garamond"/>
          <w:sz w:val="28"/>
          <w:szCs w:val="28"/>
        </w:rPr>
      </w:pPr>
      <w:r w:rsidRPr="00C07FBC">
        <w:rPr>
          <w:rStyle w:val="Rimandonotaapidipagina"/>
          <w:rFonts w:ascii="Garamond" w:hAnsi="Garamond"/>
          <w:sz w:val="28"/>
          <w:szCs w:val="28"/>
        </w:rPr>
        <w:footnoteRef/>
      </w:r>
      <w:r w:rsidRPr="00C07FBC">
        <w:rPr>
          <w:rFonts w:ascii="Garamond" w:hAnsi="Garamond"/>
          <w:sz w:val="28"/>
          <w:szCs w:val="28"/>
        </w:rPr>
        <w:t xml:space="preserve"> Tenutosi a Roma, presso</w:t>
      </w:r>
      <w:r w:rsidR="00FA29E3">
        <w:rPr>
          <w:rFonts w:ascii="Garamond" w:hAnsi="Garamond"/>
          <w:sz w:val="28"/>
          <w:szCs w:val="28"/>
        </w:rPr>
        <w:t xml:space="preserve"> il Consiglio di Stato,</w:t>
      </w:r>
      <w:r w:rsidRPr="00C07FBC">
        <w:rPr>
          <w:rFonts w:ascii="Garamond" w:hAnsi="Garamond"/>
          <w:sz w:val="28"/>
          <w:szCs w:val="28"/>
        </w:rPr>
        <w:t xml:space="preserve"> palazzo Spada, il 20 e il 21 ottobre 2025.</w:t>
      </w:r>
    </w:p>
  </w:footnote>
  <w:footnote w:id="13">
    <w:p w14:paraId="559EBBF5" w14:textId="77777777" w:rsidR="008E294A" w:rsidRPr="008E294A" w:rsidRDefault="00D974E9" w:rsidP="008E294A">
      <w:pPr>
        <w:pStyle w:val="Testonotaapidipagina"/>
        <w:jc w:val="both"/>
        <w:rPr>
          <w:rFonts w:ascii="Garamond" w:hAnsi="Garamond"/>
          <w:sz w:val="28"/>
          <w:szCs w:val="28"/>
        </w:rPr>
      </w:pPr>
      <w:r w:rsidRPr="008E294A">
        <w:rPr>
          <w:rStyle w:val="Rimandonotaapidipagina"/>
          <w:rFonts w:ascii="Garamond" w:hAnsi="Garamond"/>
          <w:sz w:val="28"/>
          <w:szCs w:val="28"/>
        </w:rPr>
        <w:footnoteRef/>
      </w:r>
      <w:r w:rsidRPr="008E294A">
        <w:rPr>
          <w:rFonts w:ascii="Garamond" w:hAnsi="Garamond"/>
          <w:sz w:val="28"/>
          <w:szCs w:val="28"/>
        </w:rPr>
        <w:t xml:space="preserve"> </w:t>
      </w:r>
      <w:r w:rsidR="008E294A" w:rsidRPr="008E294A">
        <w:rPr>
          <w:rFonts w:ascii="Garamond" w:hAnsi="Garamond"/>
          <w:sz w:val="28"/>
          <w:szCs w:val="28"/>
        </w:rPr>
        <w:t>Nella sentenza 7 aprile 2011</w:t>
      </w:r>
      <w:r w:rsidR="000C77EA">
        <w:rPr>
          <w:rFonts w:ascii="Garamond" w:hAnsi="Garamond"/>
          <w:sz w:val="28"/>
          <w:szCs w:val="28"/>
        </w:rPr>
        <w:t>,</w:t>
      </w:r>
      <w:r w:rsidR="008E294A" w:rsidRPr="008E294A">
        <w:rPr>
          <w:rFonts w:ascii="Garamond" w:hAnsi="Garamond"/>
          <w:sz w:val="28"/>
          <w:szCs w:val="28"/>
        </w:rPr>
        <w:t xml:space="preserve"> n. 4, si rimarca:</w:t>
      </w:r>
    </w:p>
    <w:p w14:paraId="459D8649" w14:textId="77777777" w:rsidR="008E294A" w:rsidRPr="008E294A" w:rsidRDefault="008E294A" w:rsidP="008E294A">
      <w:pPr>
        <w:pStyle w:val="Testonotaapidipagina"/>
        <w:jc w:val="both"/>
        <w:rPr>
          <w:rFonts w:ascii="Garamond" w:hAnsi="Garamond"/>
          <w:sz w:val="28"/>
          <w:szCs w:val="28"/>
        </w:rPr>
      </w:pPr>
      <w:r w:rsidRPr="008E294A">
        <w:rPr>
          <w:rFonts w:ascii="Garamond" w:hAnsi="Garamond"/>
          <w:sz w:val="28"/>
          <w:szCs w:val="28"/>
        </w:rPr>
        <w:t xml:space="preserve"> "29. È superfluo ricordare che, nel nostro sistema di giurisdizione soggettiva, la verifica della legittimità dei provvedimenti amministrativi impugnati non va compiuta nell’astratto interesse generale, ma è finalizzata all’accertamento della fondatezza della pretesa sostanziale fatta valere, ritualmente, dalla parte attrice.</w:t>
      </w:r>
    </w:p>
    <w:p w14:paraId="47358805" w14:textId="77777777" w:rsidR="008E294A" w:rsidRPr="008E294A" w:rsidRDefault="008E294A" w:rsidP="008E294A">
      <w:pPr>
        <w:pStyle w:val="Testonotaapidipagina"/>
        <w:jc w:val="both"/>
        <w:rPr>
          <w:rFonts w:ascii="Garamond" w:hAnsi="Garamond"/>
          <w:sz w:val="28"/>
          <w:szCs w:val="28"/>
        </w:rPr>
      </w:pPr>
      <w:r w:rsidRPr="008E294A">
        <w:rPr>
          <w:rFonts w:ascii="Garamond" w:hAnsi="Garamond"/>
          <w:sz w:val="28"/>
          <w:szCs w:val="28"/>
        </w:rPr>
        <w:t>Poiché il ricorso non è mera “occasione” del sindacato giurisdizionale sull’azione amministrativa, il controllo della legittimazione al ricorso assume sempre carattere pregiudiziale rispetto all’esame del merito della domanda, in coerenza con i principi della giurisdizione soggettiva e dell’impulso di parte.</w:t>
      </w:r>
    </w:p>
    <w:p w14:paraId="6BAFF810" w14:textId="77777777" w:rsidR="008E294A" w:rsidRPr="008E294A" w:rsidRDefault="008E294A" w:rsidP="008E294A">
      <w:pPr>
        <w:pStyle w:val="Testonotaapidipagina"/>
        <w:jc w:val="both"/>
        <w:rPr>
          <w:rFonts w:ascii="Garamond" w:hAnsi="Garamond"/>
          <w:sz w:val="28"/>
          <w:szCs w:val="28"/>
        </w:rPr>
      </w:pPr>
      <w:r w:rsidRPr="008E294A">
        <w:rPr>
          <w:rFonts w:ascii="Garamond" w:hAnsi="Garamond"/>
          <w:sz w:val="28"/>
          <w:szCs w:val="28"/>
        </w:rPr>
        <w:t>L’eventuale reiezione della domanda per “ragioni processuali”, collegate alla riscontrata carenza delle condizioni e dei presupposti dell’azione (comprensivi della legittimazione e dell’interesse al ricorso), non rappresenta l’affermazione di un risultato meramente “formale”. Al contrario, costituisce l’esito fisiologico, pienamente congruente con le regole costituzionali in materia di tutela giurisdizionale, della valutazione in ordine alla titolarità, in capo all’attore, di una posizione tutelabile dinanzi al giudice amministrativo.</w:t>
      </w:r>
    </w:p>
    <w:p w14:paraId="58CC6C41" w14:textId="77777777" w:rsidR="00D974E9" w:rsidRDefault="008E294A" w:rsidP="008E294A">
      <w:pPr>
        <w:pStyle w:val="Testonotaapidipagina"/>
        <w:jc w:val="both"/>
      </w:pPr>
      <w:r w:rsidRPr="008E294A">
        <w:rPr>
          <w:rFonts w:ascii="Garamond" w:hAnsi="Garamond"/>
          <w:sz w:val="28"/>
          <w:szCs w:val="28"/>
        </w:rPr>
        <w:t>30. La necessità di definire il giudizio muovendo dall’esame delle questioni preliminari, costituisce, ora, una espressa regola positiva, stabilita dal codice del processo amministrativo</w:t>
      </w:r>
      <w:r w:rsidR="00840CFE">
        <w:rPr>
          <w:rFonts w:ascii="Garamond" w:hAnsi="Garamond"/>
          <w:sz w:val="28"/>
          <w:szCs w:val="28"/>
        </w:rPr>
        <w:t>”</w:t>
      </w:r>
      <w:r w:rsidRPr="008E294A">
        <w:rPr>
          <w:rFonts w:ascii="Garamond" w:hAnsi="Garamond"/>
          <w:sz w:val="28"/>
          <w:szCs w:val="28"/>
        </w:rPr>
        <w:t>.</w:t>
      </w:r>
    </w:p>
  </w:footnote>
  <w:footnote w:id="14">
    <w:p w14:paraId="3561EFED" w14:textId="77777777" w:rsidR="004F4CD6" w:rsidRPr="00F149C1" w:rsidRDefault="004F4CD6" w:rsidP="00F149C1">
      <w:pPr>
        <w:pStyle w:val="Testonotaapidipagina"/>
        <w:jc w:val="both"/>
        <w:rPr>
          <w:rFonts w:ascii="Garamond" w:hAnsi="Garamond"/>
          <w:sz w:val="28"/>
          <w:szCs w:val="28"/>
        </w:rPr>
      </w:pPr>
      <w:r w:rsidRPr="00F149C1">
        <w:rPr>
          <w:rStyle w:val="Rimandonotaapidipagina"/>
          <w:rFonts w:ascii="Garamond" w:hAnsi="Garamond"/>
          <w:sz w:val="28"/>
          <w:szCs w:val="28"/>
        </w:rPr>
        <w:footnoteRef/>
      </w:r>
      <w:r w:rsidRPr="00F149C1">
        <w:rPr>
          <w:rFonts w:ascii="Garamond" w:hAnsi="Garamond"/>
          <w:sz w:val="28"/>
          <w:szCs w:val="28"/>
        </w:rPr>
        <w:t xml:space="preserve"> </w:t>
      </w:r>
      <w:r w:rsidR="00F149C1" w:rsidRPr="00F149C1">
        <w:rPr>
          <w:rFonts w:ascii="Garamond" w:hAnsi="Garamond"/>
          <w:sz w:val="28"/>
          <w:szCs w:val="28"/>
        </w:rPr>
        <w:t xml:space="preserve">V. le "Regole per la redazione in forma sintetica delle pronunce del giudice amministrativo", di cui alla nota del Presidente del Consiglio di Stato del 22 dicembre </w:t>
      </w:r>
      <w:r w:rsidR="00F149C1">
        <w:rPr>
          <w:rFonts w:ascii="Garamond" w:hAnsi="Garamond"/>
          <w:sz w:val="28"/>
          <w:szCs w:val="28"/>
        </w:rPr>
        <w:t>2016</w:t>
      </w:r>
      <w:r w:rsidR="00F149C1" w:rsidRPr="00F149C1">
        <w:rPr>
          <w:rFonts w:ascii="Garamond" w:hAnsi="Garamond"/>
          <w:sz w:val="28"/>
          <w:szCs w:val="28"/>
        </w:rPr>
        <w:t>.</w:t>
      </w:r>
    </w:p>
  </w:footnote>
  <w:footnote w:id="15">
    <w:p w14:paraId="093E29AC" w14:textId="77777777" w:rsidR="004F4CD6" w:rsidRPr="00F149C1" w:rsidRDefault="004F4CD6" w:rsidP="00F149C1">
      <w:pPr>
        <w:pStyle w:val="Testonotaapidipagina"/>
        <w:jc w:val="both"/>
        <w:rPr>
          <w:rFonts w:ascii="Garamond" w:hAnsi="Garamond"/>
          <w:sz w:val="28"/>
          <w:szCs w:val="28"/>
        </w:rPr>
      </w:pPr>
      <w:r w:rsidRPr="00F149C1">
        <w:rPr>
          <w:rStyle w:val="Rimandonotaapidipagina"/>
          <w:rFonts w:ascii="Garamond" w:hAnsi="Garamond"/>
          <w:sz w:val="28"/>
          <w:szCs w:val="28"/>
        </w:rPr>
        <w:footnoteRef/>
      </w:r>
      <w:r w:rsidRPr="00F149C1">
        <w:rPr>
          <w:rFonts w:ascii="Garamond" w:hAnsi="Garamond"/>
          <w:sz w:val="28"/>
          <w:szCs w:val="28"/>
        </w:rPr>
        <w:t xml:space="preserve"> </w:t>
      </w:r>
      <w:r w:rsidR="008251C4" w:rsidRPr="00F149C1">
        <w:rPr>
          <w:rFonts w:ascii="Garamond" w:hAnsi="Garamond"/>
          <w:sz w:val="28"/>
          <w:szCs w:val="28"/>
        </w:rPr>
        <w:t>V. i "</w:t>
      </w:r>
      <w:r w:rsidR="00840CFE" w:rsidRPr="00F149C1">
        <w:rPr>
          <w:rFonts w:ascii="Garamond" w:hAnsi="Garamond"/>
          <w:sz w:val="28"/>
          <w:szCs w:val="28"/>
        </w:rPr>
        <w:t xml:space="preserve">Criteri </w:t>
      </w:r>
      <w:r w:rsidRPr="00F149C1">
        <w:rPr>
          <w:rFonts w:ascii="Garamond" w:hAnsi="Garamond"/>
          <w:sz w:val="28"/>
          <w:szCs w:val="28"/>
        </w:rPr>
        <w:t>di redazione e i limiti dimensionali dei ricorsi e degli altri atti difensivi nel processo amministrativo</w:t>
      </w:r>
      <w:r w:rsidR="008251C4" w:rsidRPr="00F149C1">
        <w:rPr>
          <w:rFonts w:ascii="Garamond" w:hAnsi="Garamond"/>
          <w:sz w:val="28"/>
          <w:szCs w:val="28"/>
        </w:rPr>
        <w:t>" di cui al decreto del Presidente del Consiglio di Stato 22 dicembre 2016, n. 167, modificato con il decreto 16 ottobre 2017, n. 127.</w:t>
      </w:r>
    </w:p>
  </w:footnote>
  <w:footnote w:id="16">
    <w:p w14:paraId="30D16568" w14:textId="77777777" w:rsidR="004F4CD6" w:rsidRPr="00F149C1" w:rsidRDefault="004F4CD6" w:rsidP="00F149C1">
      <w:pPr>
        <w:pStyle w:val="Testonotaapidipagina"/>
        <w:jc w:val="both"/>
        <w:rPr>
          <w:rFonts w:ascii="Garamond" w:hAnsi="Garamond"/>
          <w:sz w:val="28"/>
          <w:szCs w:val="28"/>
        </w:rPr>
      </w:pPr>
      <w:r w:rsidRPr="00F149C1">
        <w:rPr>
          <w:rStyle w:val="Rimandonotaapidipagina"/>
          <w:rFonts w:ascii="Garamond" w:hAnsi="Garamond"/>
          <w:sz w:val="28"/>
          <w:szCs w:val="28"/>
        </w:rPr>
        <w:footnoteRef/>
      </w:r>
      <w:r w:rsidRPr="00F149C1">
        <w:rPr>
          <w:rFonts w:ascii="Garamond" w:hAnsi="Garamond"/>
          <w:sz w:val="28"/>
          <w:szCs w:val="28"/>
        </w:rPr>
        <w:t xml:space="preserve"> </w:t>
      </w:r>
      <w:r w:rsidR="005865D5">
        <w:rPr>
          <w:rFonts w:ascii="Garamond" w:hAnsi="Garamond"/>
          <w:sz w:val="28"/>
          <w:szCs w:val="28"/>
        </w:rPr>
        <w:t xml:space="preserve">Tra </w:t>
      </w:r>
      <w:r w:rsidR="00C379E8">
        <w:rPr>
          <w:rFonts w:ascii="Garamond" w:hAnsi="Garamond"/>
          <w:sz w:val="28"/>
          <w:szCs w:val="28"/>
        </w:rPr>
        <w:t xml:space="preserve">le tante, si distingue per la sua attualità la sentenza del </w:t>
      </w:r>
      <w:r w:rsidRPr="00F149C1">
        <w:rPr>
          <w:rFonts w:ascii="Garamond" w:hAnsi="Garamond"/>
          <w:sz w:val="28"/>
          <w:szCs w:val="28"/>
        </w:rPr>
        <w:t xml:space="preserve">Consiglio di Stato, </w:t>
      </w:r>
      <w:r w:rsidR="00F149C1">
        <w:rPr>
          <w:rFonts w:ascii="Garamond" w:hAnsi="Garamond"/>
          <w:sz w:val="28"/>
          <w:szCs w:val="28"/>
        </w:rPr>
        <w:t>quinta</w:t>
      </w:r>
      <w:r w:rsidRPr="00F149C1">
        <w:rPr>
          <w:rFonts w:ascii="Garamond" w:hAnsi="Garamond"/>
          <w:sz w:val="28"/>
          <w:szCs w:val="28"/>
        </w:rPr>
        <w:t xml:space="preserve"> sezione, 10 febbraio 2025, n. 1038</w:t>
      </w:r>
      <w:r w:rsidR="00C379E8">
        <w:rPr>
          <w:rFonts w:ascii="Garamond" w:hAnsi="Garamond"/>
          <w:sz w:val="28"/>
          <w:szCs w:val="28"/>
        </w:rPr>
        <w:t xml:space="preserve">, che considera </w:t>
      </w:r>
      <w:r w:rsidRPr="00F149C1">
        <w:rPr>
          <w:rFonts w:ascii="Garamond" w:hAnsi="Garamond"/>
          <w:sz w:val="28"/>
          <w:szCs w:val="28"/>
        </w:rPr>
        <w:t xml:space="preserve">la sentenza breve </w:t>
      </w:r>
      <w:r w:rsidR="00C379E8">
        <w:rPr>
          <w:rFonts w:ascii="Garamond" w:hAnsi="Garamond"/>
          <w:sz w:val="28"/>
          <w:szCs w:val="28"/>
        </w:rPr>
        <w:t xml:space="preserve">di primo grado, emessa in sede cautelare, in quanto tale </w:t>
      </w:r>
      <w:r w:rsidRPr="00F149C1">
        <w:rPr>
          <w:rFonts w:ascii="Garamond" w:hAnsi="Garamond"/>
          <w:sz w:val="28"/>
          <w:szCs w:val="28"/>
        </w:rPr>
        <w:t>immotivata e</w:t>
      </w:r>
      <w:r w:rsidR="00C379E8">
        <w:rPr>
          <w:rFonts w:ascii="Garamond" w:hAnsi="Garamond"/>
          <w:sz w:val="28"/>
          <w:szCs w:val="28"/>
        </w:rPr>
        <w:t>, senza</w:t>
      </w:r>
      <w:r w:rsidR="000A1E0B">
        <w:rPr>
          <w:rFonts w:ascii="Garamond" w:hAnsi="Garamond"/>
          <w:sz w:val="28"/>
          <w:szCs w:val="28"/>
        </w:rPr>
        <w:t xml:space="preserve"> preoccuparsi di sviluppare </w:t>
      </w:r>
      <w:r w:rsidR="00C379E8">
        <w:rPr>
          <w:rFonts w:ascii="Garamond" w:hAnsi="Garamond"/>
          <w:sz w:val="28"/>
          <w:szCs w:val="28"/>
        </w:rPr>
        <w:t>le ragioni per le quali</w:t>
      </w:r>
      <w:r w:rsidRPr="00F149C1">
        <w:rPr>
          <w:rFonts w:ascii="Garamond" w:hAnsi="Garamond"/>
          <w:sz w:val="28"/>
          <w:szCs w:val="28"/>
        </w:rPr>
        <w:t xml:space="preserve"> </w:t>
      </w:r>
      <w:r w:rsidR="005865D5">
        <w:rPr>
          <w:rFonts w:ascii="Garamond" w:hAnsi="Garamond"/>
          <w:sz w:val="28"/>
          <w:szCs w:val="28"/>
        </w:rPr>
        <w:t xml:space="preserve">l'esito di irricevibilità/inammissibilità/improcedibilità del ricorso sarebbe affetto da un errore </w:t>
      </w:r>
      <w:r w:rsidR="005865D5" w:rsidRPr="005865D5">
        <w:rPr>
          <w:rFonts w:ascii="Garamond" w:hAnsi="Garamond"/>
          <w:sz w:val="28"/>
          <w:szCs w:val="28"/>
        </w:rPr>
        <w:t>palese</w:t>
      </w:r>
      <w:r w:rsidR="005865D5">
        <w:rPr>
          <w:rFonts w:ascii="Garamond" w:hAnsi="Garamond"/>
          <w:sz w:val="28"/>
          <w:szCs w:val="28"/>
        </w:rPr>
        <w:t xml:space="preserve"> (che non sia la stringatezza del testo), l’annulla con rinvio.</w:t>
      </w:r>
    </w:p>
  </w:footnote>
  <w:footnote w:id="17">
    <w:p w14:paraId="6C2C09EA" w14:textId="77777777" w:rsidR="00620739" w:rsidRPr="00620739" w:rsidRDefault="00620739">
      <w:pPr>
        <w:pStyle w:val="Testonotaapidipagina"/>
        <w:rPr>
          <w:rFonts w:ascii="Garamond" w:hAnsi="Garamond"/>
          <w:sz w:val="28"/>
          <w:szCs w:val="28"/>
        </w:rPr>
      </w:pPr>
      <w:r w:rsidRPr="00620739">
        <w:rPr>
          <w:rStyle w:val="Rimandonotaapidipagina"/>
          <w:rFonts w:ascii="Garamond" w:hAnsi="Garamond"/>
          <w:sz w:val="28"/>
          <w:szCs w:val="28"/>
        </w:rPr>
        <w:footnoteRef/>
      </w:r>
      <w:r w:rsidRPr="00620739">
        <w:rPr>
          <w:rFonts w:ascii="Garamond" w:hAnsi="Garamond"/>
          <w:sz w:val="28"/>
          <w:szCs w:val="28"/>
        </w:rPr>
        <w:t xml:space="preserve"> Cfr. Adunanza plenaria, 27 aprile 1982, n. 6; 30 aprile 1982, n.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3394549-A3D1-4D3E-80A3-FF0EA2C326A8}"/>
    <w:docVar w:name="dgnword-drafile" w:val="C:\Users\GA9F5~1.ADA\AppData\Local\Temp\dra146F.tmp"/>
    <w:docVar w:name="dgnword-eventsink" w:val="563472960"/>
  </w:docVars>
  <w:rsids>
    <w:rsidRoot w:val="0008730C"/>
    <w:rsid w:val="00005368"/>
    <w:rsid w:val="000619FC"/>
    <w:rsid w:val="000722E0"/>
    <w:rsid w:val="0008730C"/>
    <w:rsid w:val="000A1E0B"/>
    <w:rsid w:val="000C44C0"/>
    <w:rsid w:val="000C77EA"/>
    <w:rsid w:val="00111DE0"/>
    <w:rsid w:val="00122EF8"/>
    <w:rsid w:val="0015740A"/>
    <w:rsid w:val="0018210D"/>
    <w:rsid w:val="001A4037"/>
    <w:rsid w:val="00233E73"/>
    <w:rsid w:val="002A5A58"/>
    <w:rsid w:val="002E1DA3"/>
    <w:rsid w:val="002E3BB4"/>
    <w:rsid w:val="002F4DCF"/>
    <w:rsid w:val="00303E9C"/>
    <w:rsid w:val="003066AF"/>
    <w:rsid w:val="00312187"/>
    <w:rsid w:val="003229F0"/>
    <w:rsid w:val="00342EDF"/>
    <w:rsid w:val="00352C20"/>
    <w:rsid w:val="003D6280"/>
    <w:rsid w:val="00420C6B"/>
    <w:rsid w:val="0045601A"/>
    <w:rsid w:val="00457463"/>
    <w:rsid w:val="0047752E"/>
    <w:rsid w:val="004B504A"/>
    <w:rsid w:val="004C487A"/>
    <w:rsid w:val="004F4CD6"/>
    <w:rsid w:val="00517C5E"/>
    <w:rsid w:val="005276EE"/>
    <w:rsid w:val="00544D5D"/>
    <w:rsid w:val="005576C9"/>
    <w:rsid w:val="005865D5"/>
    <w:rsid w:val="00592C60"/>
    <w:rsid w:val="005C6159"/>
    <w:rsid w:val="005F55AB"/>
    <w:rsid w:val="00614E22"/>
    <w:rsid w:val="00615B68"/>
    <w:rsid w:val="00620739"/>
    <w:rsid w:val="00621D3B"/>
    <w:rsid w:val="00695EA5"/>
    <w:rsid w:val="0071653F"/>
    <w:rsid w:val="00721332"/>
    <w:rsid w:val="00754444"/>
    <w:rsid w:val="0079788B"/>
    <w:rsid w:val="007A6299"/>
    <w:rsid w:val="007D52E9"/>
    <w:rsid w:val="007E52F6"/>
    <w:rsid w:val="007F7BF4"/>
    <w:rsid w:val="008251C4"/>
    <w:rsid w:val="00840CFE"/>
    <w:rsid w:val="00847346"/>
    <w:rsid w:val="00866E4D"/>
    <w:rsid w:val="008E294A"/>
    <w:rsid w:val="008E34EF"/>
    <w:rsid w:val="00934B5A"/>
    <w:rsid w:val="00982C85"/>
    <w:rsid w:val="009974E7"/>
    <w:rsid w:val="00A01718"/>
    <w:rsid w:val="00A90A05"/>
    <w:rsid w:val="00AC1998"/>
    <w:rsid w:val="00AC1CCE"/>
    <w:rsid w:val="00AC687E"/>
    <w:rsid w:val="00B033DB"/>
    <w:rsid w:val="00B40B23"/>
    <w:rsid w:val="00B831EA"/>
    <w:rsid w:val="00BC4864"/>
    <w:rsid w:val="00BC585E"/>
    <w:rsid w:val="00C07FBC"/>
    <w:rsid w:val="00C14D5E"/>
    <w:rsid w:val="00C379E8"/>
    <w:rsid w:val="00CC0311"/>
    <w:rsid w:val="00CF65FB"/>
    <w:rsid w:val="00D03905"/>
    <w:rsid w:val="00D128E8"/>
    <w:rsid w:val="00D7291E"/>
    <w:rsid w:val="00D73FBF"/>
    <w:rsid w:val="00D974E9"/>
    <w:rsid w:val="00DC1FB4"/>
    <w:rsid w:val="00DE7100"/>
    <w:rsid w:val="00DF6E34"/>
    <w:rsid w:val="00E65023"/>
    <w:rsid w:val="00E65BD3"/>
    <w:rsid w:val="00E71457"/>
    <w:rsid w:val="00F149C1"/>
    <w:rsid w:val="00F3316B"/>
    <w:rsid w:val="00F41AB4"/>
    <w:rsid w:val="00F9246C"/>
    <w:rsid w:val="00FA1959"/>
    <w:rsid w:val="00FA2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0936"/>
  <w15:chartTrackingRefBased/>
  <w15:docId w15:val="{5089E30E-C49C-441D-A31F-4D607AC3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8730C"/>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08730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08730C"/>
    <w:rPr>
      <w:sz w:val="20"/>
      <w:szCs w:val="20"/>
    </w:rPr>
  </w:style>
  <w:style w:type="character" w:styleId="Rimandonotaapidipagina">
    <w:name w:val="footnote reference"/>
    <w:basedOn w:val="Carpredefinitoparagrafo"/>
    <w:uiPriority w:val="99"/>
    <w:semiHidden/>
    <w:unhideWhenUsed/>
    <w:rsid w:val="0008730C"/>
    <w:rPr>
      <w:vertAlign w:val="superscript"/>
    </w:rPr>
  </w:style>
  <w:style w:type="paragraph" w:styleId="Intestazione">
    <w:name w:val="header"/>
    <w:basedOn w:val="Normale"/>
    <w:link w:val="IntestazioneCarattere"/>
    <w:uiPriority w:val="99"/>
    <w:unhideWhenUsed/>
    <w:rsid w:val="004560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601A"/>
  </w:style>
  <w:style w:type="paragraph" w:styleId="Pidipagina">
    <w:name w:val="footer"/>
    <w:basedOn w:val="Normale"/>
    <w:link w:val="PidipaginaCarattere"/>
    <w:uiPriority w:val="99"/>
    <w:unhideWhenUsed/>
    <w:rsid w:val="004560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8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512B-5713-498E-A699-00653E2B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2186</Words>
  <Characters>12461</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ADAMO Giuseppina</dc:creator>
  <cp:keywords/>
  <dc:description/>
  <cp:lastModifiedBy>ADAMO Giuseppina</cp:lastModifiedBy>
  <cp:revision>3</cp:revision>
  <dcterms:created xsi:type="dcterms:W3CDTF">2026-01-13T14:43:00Z</dcterms:created>
  <dcterms:modified xsi:type="dcterms:W3CDTF">2026-01-13T15:08:00Z</dcterms:modified>
</cp:coreProperties>
</file>