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B9E8" w14:textId="10CE1AD4" w:rsidR="00D56559" w:rsidRPr="00713838" w:rsidRDefault="009F24A0" w:rsidP="00713838">
      <w:pPr>
        <w:jc w:val="both"/>
        <w:rPr>
          <w:rFonts w:ascii="Times New Roman" w:hAnsi="Times New Roman" w:cs="Times New Roman"/>
          <w:b/>
          <w:bCs/>
          <w:sz w:val="28"/>
          <w:szCs w:val="28"/>
        </w:rPr>
      </w:pPr>
      <w:r w:rsidRPr="00713838">
        <w:rPr>
          <w:rFonts w:ascii="Times New Roman" w:hAnsi="Times New Roman" w:cs="Times New Roman"/>
          <w:b/>
          <w:bCs/>
          <w:sz w:val="28"/>
          <w:szCs w:val="28"/>
        </w:rPr>
        <w:t>Ente locale in riequilibrio, dissesto e azioni giurisdizionali</w:t>
      </w:r>
      <w:r w:rsidRPr="00713838">
        <w:rPr>
          <w:rFonts w:ascii="Times New Roman" w:hAnsi="Times New Roman" w:cs="Times New Roman"/>
          <w:b/>
          <w:bCs/>
        </w:rPr>
        <w:t>.</w:t>
      </w:r>
      <w:r w:rsidR="00D56559" w:rsidRPr="00713838">
        <w:rPr>
          <w:rFonts w:ascii="Times New Roman" w:hAnsi="Times New Roman" w:cs="Times New Roman"/>
          <w:b/>
          <w:bCs/>
          <w:sz w:val="28"/>
          <w:szCs w:val="28"/>
        </w:rPr>
        <w:t xml:space="preserve"> </w:t>
      </w:r>
    </w:p>
    <w:p w14:paraId="1DF0A141" w14:textId="77777777" w:rsidR="00D62771" w:rsidRDefault="00D62771" w:rsidP="00D56559">
      <w:pPr>
        <w:pStyle w:val="Paragrafoelenco"/>
        <w:ind w:left="284"/>
        <w:jc w:val="both"/>
        <w:rPr>
          <w:rFonts w:ascii="Times New Roman" w:hAnsi="Times New Roman" w:cs="Times New Roman"/>
          <w:b/>
          <w:bCs/>
        </w:rPr>
      </w:pPr>
    </w:p>
    <w:p w14:paraId="12D38B79" w14:textId="3D12C90E" w:rsidR="00D62771" w:rsidRDefault="00D62771" w:rsidP="00D62771">
      <w:pPr>
        <w:jc w:val="both"/>
        <w:rPr>
          <w:rFonts w:ascii="Times New Roman" w:hAnsi="Times New Roman" w:cs="Times New Roman"/>
          <w:b/>
          <w:bCs/>
        </w:rPr>
      </w:pPr>
    </w:p>
    <w:p w14:paraId="7ABDF94D" w14:textId="4A5FC1FC" w:rsidR="00385ADE" w:rsidRPr="00385ADE" w:rsidRDefault="00D62771" w:rsidP="00FF4D24">
      <w:pPr>
        <w:jc w:val="both"/>
        <w:rPr>
          <w:rFonts w:ascii="Times New Roman" w:hAnsi="Times New Roman" w:cs="Times New Roman"/>
          <w:b/>
          <w:bCs/>
        </w:rPr>
      </w:pPr>
      <w:r w:rsidRPr="00385ADE">
        <w:rPr>
          <w:rFonts w:ascii="Times New Roman" w:hAnsi="Times New Roman" w:cs="Times New Roman"/>
          <w:b/>
          <w:bCs/>
          <w:smallCaps/>
        </w:rPr>
        <w:t>Sommario</w:t>
      </w:r>
      <w:r w:rsidR="00353FEC" w:rsidRPr="00353FEC">
        <w:rPr>
          <w:rStyle w:val="Rimandonotaapidipagina"/>
          <w:rFonts w:ascii="Times New Roman" w:hAnsi="Times New Roman" w:cs="Times New Roman"/>
          <w:b/>
          <w:bCs/>
          <w:smallCaps/>
        </w:rPr>
        <w:footnoteReference w:customMarkFollows="1" w:id="1"/>
        <w:sym w:font="Symbol" w:char="F0A7"/>
      </w:r>
      <w:r>
        <w:rPr>
          <w:rFonts w:ascii="Times New Roman" w:hAnsi="Times New Roman" w:cs="Times New Roman"/>
          <w:b/>
          <w:bCs/>
        </w:rPr>
        <w:t>: 1.</w:t>
      </w:r>
      <w:r w:rsidR="009F24A0">
        <w:rPr>
          <w:rFonts w:ascii="Times New Roman" w:hAnsi="Times New Roman" w:cs="Times New Roman"/>
          <w:b/>
          <w:bCs/>
        </w:rPr>
        <w:t xml:space="preserve"> </w:t>
      </w:r>
      <w:r w:rsidRPr="00F148CE">
        <w:rPr>
          <w:rFonts w:ascii="Times New Roman" w:hAnsi="Times New Roman" w:cs="Times New Roman"/>
          <w:b/>
          <w:bCs/>
        </w:rPr>
        <w:t>La crisi dell’ente locale: strumenti ordinari e straordinari di riequilibrio finanziario</w:t>
      </w:r>
      <w:r w:rsidR="009F24A0">
        <w:rPr>
          <w:rFonts w:ascii="Times New Roman" w:hAnsi="Times New Roman" w:cs="Times New Roman"/>
          <w:b/>
          <w:bCs/>
        </w:rPr>
        <w:t>;</w:t>
      </w:r>
      <w:r>
        <w:rPr>
          <w:rFonts w:ascii="Times New Roman" w:hAnsi="Times New Roman" w:cs="Times New Roman"/>
          <w:b/>
          <w:bCs/>
        </w:rPr>
        <w:t xml:space="preserve"> </w:t>
      </w:r>
      <w:r w:rsidR="009F24A0">
        <w:rPr>
          <w:rFonts w:ascii="Times New Roman" w:hAnsi="Times New Roman" w:cs="Times New Roman"/>
          <w:b/>
          <w:bCs/>
        </w:rPr>
        <w:t>2. Il piano di riequilibrio pluriennale; 3</w:t>
      </w:r>
      <w:r w:rsidRPr="00D62771">
        <w:rPr>
          <w:rFonts w:ascii="Times New Roman" w:hAnsi="Times New Roman" w:cs="Times New Roman"/>
          <w:b/>
          <w:bCs/>
        </w:rPr>
        <w:t>.</w:t>
      </w:r>
      <w:r w:rsidR="009F24A0">
        <w:rPr>
          <w:rFonts w:ascii="Times New Roman" w:hAnsi="Times New Roman" w:cs="Times New Roman"/>
          <w:b/>
          <w:bCs/>
        </w:rPr>
        <w:t xml:space="preserve"> </w:t>
      </w:r>
      <w:r w:rsidRPr="00D62771">
        <w:rPr>
          <w:rFonts w:ascii="Times New Roman" w:hAnsi="Times New Roman" w:cs="Times New Roman"/>
          <w:b/>
          <w:bCs/>
        </w:rPr>
        <w:t>Il dissesto dell’ente locale: “autoproclamato”, “etero – dichiarato” e “</w:t>
      </w:r>
      <w:r w:rsidR="009F24A0" w:rsidRPr="00D62771">
        <w:rPr>
          <w:rFonts w:ascii="Times New Roman" w:hAnsi="Times New Roman" w:cs="Times New Roman"/>
          <w:b/>
          <w:bCs/>
        </w:rPr>
        <w:t>legale”</w:t>
      </w:r>
      <w:r w:rsidR="009F24A0">
        <w:rPr>
          <w:rFonts w:ascii="Times New Roman" w:hAnsi="Times New Roman" w:cs="Times New Roman"/>
          <w:b/>
          <w:bCs/>
        </w:rPr>
        <w:t xml:space="preserve"> -</w:t>
      </w:r>
      <w:r>
        <w:rPr>
          <w:rFonts w:ascii="Times New Roman" w:hAnsi="Times New Roman" w:cs="Times New Roman"/>
          <w:b/>
          <w:bCs/>
        </w:rPr>
        <w:t xml:space="preserve"> </w:t>
      </w:r>
      <w:r w:rsidR="009F24A0">
        <w:rPr>
          <w:rFonts w:ascii="Times New Roman" w:hAnsi="Times New Roman" w:cs="Times New Roman"/>
          <w:b/>
          <w:bCs/>
        </w:rPr>
        <w:t>4</w:t>
      </w:r>
      <w:r>
        <w:rPr>
          <w:rFonts w:ascii="Times New Roman" w:hAnsi="Times New Roman" w:cs="Times New Roman"/>
          <w:b/>
          <w:bCs/>
        </w:rPr>
        <w:t>.</w:t>
      </w:r>
      <w:r w:rsidR="009F24A0">
        <w:rPr>
          <w:rFonts w:ascii="Times New Roman" w:hAnsi="Times New Roman" w:cs="Times New Roman"/>
          <w:b/>
          <w:bCs/>
        </w:rPr>
        <w:t xml:space="preserve"> </w:t>
      </w:r>
      <w:r>
        <w:rPr>
          <w:rFonts w:ascii="Times New Roman" w:hAnsi="Times New Roman" w:cs="Times New Roman"/>
          <w:b/>
          <w:bCs/>
        </w:rPr>
        <w:t>Il dissesto: presupposti, procedura</w:t>
      </w:r>
      <w:r w:rsidR="009F24A0">
        <w:rPr>
          <w:rFonts w:ascii="Times New Roman" w:hAnsi="Times New Roman" w:cs="Times New Roman"/>
          <w:b/>
          <w:bCs/>
        </w:rPr>
        <w:t xml:space="preserve">, </w:t>
      </w:r>
      <w:r>
        <w:rPr>
          <w:rFonts w:ascii="Times New Roman" w:hAnsi="Times New Roman" w:cs="Times New Roman"/>
          <w:b/>
          <w:bCs/>
        </w:rPr>
        <w:t>effetti</w:t>
      </w:r>
      <w:r w:rsidR="009F24A0">
        <w:rPr>
          <w:rFonts w:ascii="Times New Roman" w:hAnsi="Times New Roman" w:cs="Times New Roman"/>
          <w:b/>
          <w:bCs/>
        </w:rPr>
        <w:t xml:space="preserve"> e </w:t>
      </w:r>
      <w:r w:rsidR="009F24A0" w:rsidRPr="00385ADE">
        <w:rPr>
          <w:rFonts w:ascii="Times New Roman" w:hAnsi="Times New Roman" w:cs="Times New Roman"/>
          <w:b/>
          <w:bCs/>
        </w:rPr>
        <w:t>responsabilità</w:t>
      </w:r>
      <w:r w:rsidR="00385ADE" w:rsidRPr="00385ADE">
        <w:rPr>
          <w:rFonts w:ascii="Times New Roman" w:hAnsi="Times New Roman" w:cs="Times New Roman"/>
          <w:b/>
          <w:bCs/>
        </w:rPr>
        <w:t xml:space="preserve"> risarcitoria e </w:t>
      </w:r>
      <w:r w:rsidR="009F24A0" w:rsidRPr="00385ADE">
        <w:rPr>
          <w:rFonts w:ascii="Times New Roman" w:hAnsi="Times New Roman" w:cs="Times New Roman"/>
          <w:b/>
          <w:bCs/>
        </w:rPr>
        <w:t>sanzionatoria.</w:t>
      </w:r>
    </w:p>
    <w:p w14:paraId="2F7D6EF8" w14:textId="1F286D45" w:rsidR="00385ADE" w:rsidRPr="00207538" w:rsidRDefault="00385ADE" w:rsidP="00385ADE">
      <w:pPr>
        <w:pStyle w:val="Paragrafoelenco"/>
        <w:ind w:left="0"/>
        <w:jc w:val="both"/>
        <w:rPr>
          <w:rFonts w:ascii="Times New Roman" w:hAnsi="Times New Roman" w:cs="Times New Roman"/>
          <w:b/>
          <w:bCs/>
        </w:rPr>
      </w:pPr>
    </w:p>
    <w:p w14:paraId="6D036473" w14:textId="33024D20" w:rsidR="00FA1778" w:rsidRPr="00B60DD6" w:rsidRDefault="00D56559" w:rsidP="00B60DD6">
      <w:pPr>
        <w:jc w:val="both"/>
        <w:rPr>
          <w:rFonts w:ascii="Times New Roman" w:hAnsi="Times New Roman" w:cs="Times New Roman"/>
          <w:b/>
          <w:bCs/>
        </w:rPr>
      </w:pPr>
      <w:bookmarkStart w:id="0" w:name="_Hlk194833785"/>
      <w:r w:rsidRPr="00B60DD6">
        <w:rPr>
          <w:rFonts w:ascii="Times New Roman" w:hAnsi="Times New Roman" w:cs="Times New Roman"/>
          <w:b/>
          <w:bCs/>
        </w:rPr>
        <w:t xml:space="preserve">1. </w:t>
      </w:r>
      <w:r w:rsidR="00FA1778" w:rsidRPr="00B60DD6">
        <w:rPr>
          <w:rFonts w:ascii="Times New Roman" w:hAnsi="Times New Roman" w:cs="Times New Roman"/>
          <w:b/>
          <w:bCs/>
        </w:rPr>
        <w:t>La crisi dell’ente locale</w:t>
      </w:r>
      <w:r w:rsidR="00821DEB" w:rsidRPr="00B60DD6">
        <w:rPr>
          <w:rFonts w:ascii="Times New Roman" w:hAnsi="Times New Roman" w:cs="Times New Roman"/>
          <w:b/>
          <w:bCs/>
        </w:rPr>
        <w:t>: strumenti ordinari e straordinari di riequilibrio finanziario.</w:t>
      </w:r>
    </w:p>
    <w:bookmarkEnd w:id="0"/>
    <w:p w14:paraId="7959E78E" w14:textId="77777777" w:rsidR="003D27DF" w:rsidRPr="00F148CE" w:rsidRDefault="003D27DF" w:rsidP="003D27DF">
      <w:pPr>
        <w:pStyle w:val="Paragrafoelenco"/>
        <w:ind w:left="284"/>
        <w:jc w:val="both"/>
        <w:rPr>
          <w:rFonts w:ascii="Times New Roman" w:hAnsi="Times New Roman" w:cs="Times New Roman"/>
          <w:b/>
          <w:bCs/>
        </w:rPr>
      </w:pPr>
    </w:p>
    <w:p w14:paraId="19325855" w14:textId="01F85361" w:rsidR="00CA3340" w:rsidRPr="00F148CE" w:rsidRDefault="0021033D" w:rsidP="0021033D">
      <w:pPr>
        <w:jc w:val="both"/>
        <w:rPr>
          <w:rFonts w:ascii="Times New Roman" w:hAnsi="Times New Roman" w:cs="Times New Roman"/>
        </w:rPr>
      </w:pPr>
      <w:r>
        <w:rPr>
          <w:rFonts w:ascii="Times New Roman" w:hAnsi="Times New Roman" w:cs="Times New Roman"/>
        </w:rPr>
        <w:t xml:space="preserve">L’Ente locale è un soggetto giuridico di diritto pubblico che esercita un ruolo essenziale nell’organizzazione e nella regolamentazione dei servizi </w:t>
      </w:r>
      <w:r w:rsidR="00713838">
        <w:rPr>
          <w:rFonts w:ascii="Times New Roman" w:hAnsi="Times New Roman" w:cs="Times New Roman"/>
        </w:rPr>
        <w:t>pubblici a</w:t>
      </w:r>
      <w:r>
        <w:rPr>
          <w:rFonts w:ascii="Times New Roman" w:hAnsi="Times New Roman" w:cs="Times New Roman"/>
        </w:rPr>
        <w:t xml:space="preserve"> tutela dei diritti fondamentali dei </w:t>
      </w:r>
      <w:r w:rsidR="005165F4">
        <w:rPr>
          <w:rFonts w:ascii="Times New Roman" w:hAnsi="Times New Roman" w:cs="Times New Roman"/>
        </w:rPr>
        <w:t>cittadini, e,</w:t>
      </w:r>
      <w:r w:rsidR="00CA3340" w:rsidRPr="00F148CE">
        <w:rPr>
          <w:rFonts w:ascii="Times New Roman" w:hAnsi="Times New Roman" w:cs="Times New Roman"/>
        </w:rPr>
        <w:t xml:space="preserve"> al pari di qualsiasi soggetto pubblico o privato</w:t>
      </w:r>
      <w:r w:rsidR="005165F4">
        <w:rPr>
          <w:rFonts w:ascii="Times New Roman" w:hAnsi="Times New Roman" w:cs="Times New Roman"/>
        </w:rPr>
        <w:t>,</w:t>
      </w:r>
      <w:r w:rsidR="00CA3340" w:rsidRPr="00F148CE">
        <w:rPr>
          <w:rFonts w:ascii="Times New Roman" w:hAnsi="Times New Roman" w:cs="Times New Roman"/>
        </w:rPr>
        <w:t xml:space="preserve"> ha la necessità di salvaguardare la propria salute finanziaria.</w:t>
      </w:r>
    </w:p>
    <w:p w14:paraId="2370C8BA" w14:textId="633ADD7A" w:rsidR="00CA3340" w:rsidRPr="00F148CE" w:rsidRDefault="00CA3340" w:rsidP="00403CB2">
      <w:pPr>
        <w:jc w:val="both"/>
        <w:rPr>
          <w:rFonts w:ascii="Times New Roman" w:hAnsi="Times New Roman" w:cs="Times New Roman"/>
        </w:rPr>
      </w:pPr>
      <w:r w:rsidRPr="00F148CE">
        <w:rPr>
          <w:rFonts w:ascii="Times New Roman" w:hAnsi="Times New Roman" w:cs="Times New Roman"/>
        </w:rPr>
        <w:t>Il valore globale delle aziende pubbliche, infatti, è dato dalla capacità di perseguire, per un lungo periodo, un equilibrio economico, finanziario e patrimoniale e</w:t>
      </w:r>
      <w:r w:rsidR="00E4418A" w:rsidRPr="00F148CE">
        <w:rPr>
          <w:rFonts w:ascii="Times New Roman" w:hAnsi="Times New Roman" w:cs="Times New Roman"/>
        </w:rPr>
        <w:t>,</w:t>
      </w:r>
      <w:r w:rsidRPr="00F148CE">
        <w:rPr>
          <w:rFonts w:ascii="Times New Roman" w:hAnsi="Times New Roman" w:cs="Times New Roman"/>
        </w:rPr>
        <w:t xml:space="preserve"> contemporaneamente</w:t>
      </w:r>
      <w:r w:rsidR="00E4418A" w:rsidRPr="00F148CE">
        <w:rPr>
          <w:rFonts w:ascii="Times New Roman" w:hAnsi="Times New Roman" w:cs="Times New Roman"/>
        </w:rPr>
        <w:t>,</w:t>
      </w:r>
      <w:r w:rsidRPr="00F148CE">
        <w:rPr>
          <w:rFonts w:ascii="Times New Roman" w:hAnsi="Times New Roman" w:cs="Times New Roman"/>
        </w:rPr>
        <w:t xml:space="preserve"> soddisfare i bisogni economici e non di tutte le categorie di </w:t>
      </w:r>
      <w:r w:rsidR="003D27DF" w:rsidRPr="00F148CE">
        <w:rPr>
          <w:rFonts w:ascii="Times New Roman" w:hAnsi="Times New Roman" w:cs="Times New Roman"/>
        </w:rPr>
        <w:t>“</w:t>
      </w:r>
      <w:r w:rsidRPr="00F148CE">
        <w:rPr>
          <w:rFonts w:ascii="Times New Roman" w:hAnsi="Times New Roman" w:cs="Times New Roman"/>
          <w:i/>
          <w:iCs/>
        </w:rPr>
        <w:t>stakeholder</w:t>
      </w:r>
      <w:r w:rsidRPr="00F148CE">
        <w:rPr>
          <w:rFonts w:ascii="Times New Roman" w:hAnsi="Times New Roman" w:cs="Times New Roman"/>
        </w:rPr>
        <w:t xml:space="preserve">”, </w:t>
      </w:r>
      <w:r w:rsidR="003D27DF" w:rsidRPr="00F148CE">
        <w:rPr>
          <w:rFonts w:ascii="Times New Roman" w:hAnsi="Times New Roman" w:cs="Times New Roman"/>
        </w:rPr>
        <w:t>con la precisazione</w:t>
      </w:r>
      <w:r w:rsidRPr="00F148CE">
        <w:rPr>
          <w:rFonts w:ascii="Times New Roman" w:hAnsi="Times New Roman" w:cs="Times New Roman"/>
        </w:rPr>
        <w:t xml:space="preserve"> che è il livello </w:t>
      </w:r>
      <w:r w:rsidR="00821DEB" w:rsidRPr="00F148CE">
        <w:rPr>
          <w:rFonts w:ascii="Times New Roman" w:hAnsi="Times New Roman" w:cs="Times New Roman"/>
        </w:rPr>
        <w:t>“</w:t>
      </w:r>
      <w:r w:rsidRPr="00F148CE">
        <w:rPr>
          <w:rFonts w:ascii="Times New Roman" w:hAnsi="Times New Roman" w:cs="Times New Roman"/>
        </w:rPr>
        <w:t>quantitativo</w:t>
      </w:r>
      <w:r w:rsidR="00821DEB" w:rsidRPr="00F148CE">
        <w:rPr>
          <w:rFonts w:ascii="Times New Roman" w:hAnsi="Times New Roman" w:cs="Times New Roman"/>
        </w:rPr>
        <w:t>”</w:t>
      </w:r>
      <w:r w:rsidRPr="00F148CE">
        <w:rPr>
          <w:rFonts w:ascii="Times New Roman" w:hAnsi="Times New Roman" w:cs="Times New Roman"/>
        </w:rPr>
        <w:t xml:space="preserve"> e </w:t>
      </w:r>
      <w:r w:rsidR="00821DEB" w:rsidRPr="00F148CE">
        <w:rPr>
          <w:rFonts w:ascii="Times New Roman" w:hAnsi="Times New Roman" w:cs="Times New Roman"/>
        </w:rPr>
        <w:t>“</w:t>
      </w:r>
      <w:r w:rsidRPr="00F148CE">
        <w:rPr>
          <w:rFonts w:ascii="Times New Roman" w:hAnsi="Times New Roman" w:cs="Times New Roman"/>
        </w:rPr>
        <w:t>qualitativo</w:t>
      </w:r>
      <w:r w:rsidR="00821DEB" w:rsidRPr="00F148CE">
        <w:rPr>
          <w:rFonts w:ascii="Times New Roman" w:hAnsi="Times New Roman" w:cs="Times New Roman"/>
        </w:rPr>
        <w:t>”</w:t>
      </w:r>
      <w:r w:rsidRPr="00F148CE">
        <w:rPr>
          <w:rFonts w:ascii="Times New Roman" w:hAnsi="Times New Roman" w:cs="Times New Roman"/>
        </w:rPr>
        <w:t xml:space="preserve"> di soddisfacimento dei bisogni “</w:t>
      </w:r>
      <w:r w:rsidRPr="00F148CE">
        <w:rPr>
          <w:rFonts w:ascii="Times New Roman" w:hAnsi="Times New Roman" w:cs="Times New Roman"/>
          <w:i/>
          <w:iCs/>
        </w:rPr>
        <w:t>che rappresenta il valore intangibile che incrementa il capitale economico di un ente pubblico</w:t>
      </w:r>
      <w:r w:rsidRPr="00F148CE">
        <w:rPr>
          <w:rFonts w:ascii="Times New Roman" w:hAnsi="Times New Roman" w:cs="Times New Roman"/>
        </w:rPr>
        <w:t>”</w:t>
      </w:r>
      <w:r w:rsidRPr="00F148CE">
        <w:rPr>
          <w:rStyle w:val="Rimandonotaapidipagina"/>
          <w:rFonts w:ascii="Times New Roman" w:hAnsi="Times New Roman" w:cs="Times New Roman"/>
        </w:rPr>
        <w:footnoteReference w:id="2"/>
      </w:r>
      <w:r w:rsidRPr="00F148CE">
        <w:rPr>
          <w:rFonts w:ascii="Times New Roman" w:hAnsi="Times New Roman" w:cs="Times New Roman"/>
        </w:rPr>
        <w:t>.</w:t>
      </w:r>
    </w:p>
    <w:p w14:paraId="1D318B77" w14:textId="35F53177" w:rsidR="00E4418A" w:rsidRPr="00F148CE" w:rsidRDefault="00E4418A" w:rsidP="00403CB2">
      <w:pPr>
        <w:jc w:val="both"/>
        <w:rPr>
          <w:rFonts w:ascii="Times New Roman" w:hAnsi="Times New Roman" w:cs="Times New Roman"/>
        </w:rPr>
      </w:pPr>
      <w:r w:rsidRPr="00F148CE">
        <w:rPr>
          <w:rFonts w:ascii="Times New Roman" w:hAnsi="Times New Roman" w:cs="Times New Roman"/>
        </w:rPr>
        <w:t xml:space="preserve">Nella fattispecie in cui, invece, si assiste ad uno squilibrio, a carattere strutturale, del corretto bilanciamento tra entrate ed uscite, </w:t>
      </w:r>
      <w:r w:rsidR="003D27DF" w:rsidRPr="00F148CE">
        <w:rPr>
          <w:rFonts w:ascii="Times New Roman" w:hAnsi="Times New Roman" w:cs="Times New Roman"/>
        </w:rPr>
        <w:t>spesso frutto</w:t>
      </w:r>
      <w:r w:rsidRPr="00F148CE">
        <w:rPr>
          <w:rFonts w:ascii="Times New Roman" w:hAnsi="Times New Roman" w:cs="Times New Roman"/>
        </w:rPr>
        <w:t xml:space="preserve"> di una gestione non oculata e poco conforme ai principi contabili, l’ente </w:t>
      </w:r>
      <w:r w:rsidR="005F5CAD" w:rsidRPr="00F148CE">
        <w:rPr>
          <w:rFonts w:ascii="Times New Roman" w:hAnsi="Times New Roman" w:cs="Times New Roman"/>
        </w:rPr>
        <w:t>locale incorre</w:t>
      </w:r>
      <w:r w:rsidRPr="00F148CE">
        <w:rPr>
          <w:rFonts w:ascii="Times New Roman" w:hAnsi="Times New Roman" w:cs="Times New Roman"/>
        </w:rPr>
        <w:t xml:space="preserve"> in una situazione di crisi </w:t>
      </w:r>
      <w:r w:rsidR="00071A24">
        <w:rPr>
          <w:rFonts w:ascii="Times New Roman" w:hAnsi="Times New Roman" w:cs="Times New Roman"/>
        </w:rPr>
        <w:t>analoga a quella</w:t>
      </w:r>
      <w:r w:rsidRPr="00F148CE">
        <w:rPr>
          <w:rFonts w:ascii="Times New Roman" w:hAnsi="Times New Roman" w:cs="Times New Roman"/>
        </w:rPr>
        <w:t xml:space="preserve"> in </w:t>
      </w:r>
      <w:r w:rsidR="008960DA" w:rsidRPr="00F148CE">
        <w:rPr>
          <w:rFonts w:ascii="Times New Roman" w:hAnsi="Times New Roman" w:cs="Times New Roman"/>
        </w:rPr>
        <w:t>cui può</w:t>
      </w:r>
      <w:r w:rsidRPr="00F148CE">
        <w:rPr>
          <w:rFonts w:ascii="Times New Roman" w:hAnsi="Times New Roman" w:cs="Times New Roman"/>
        </w:rPr>
        <w:t xml:space="preserve"> </w:t>
      </w:r>
      <w:r w:rsidR="009E6DAA" w:rsidRPr="00F148CE">
        <w:rPr>
          <w:rFonts w:ascii="Times New Roman" w:hAnsi="Times New Roman" w:cs="Times New Roman"/>
        </w:rPr>
        <w:t>trovarsi</w:t>
      </w:r>
      <w:r w:rsidRPr="00F148CE">
        <w:rPr>
          <w:rFonts w:ascii="Times New Roman" w:hAnsi="Times New Roman" w:cs="Times New Roman"/>
        </w:rPr>
        <w:t xml:space="preserve"> un’azienda privata dichiara</w:t>
      </w:r>
      <w:r w:rsidR="009E6DAA" w:rsidRPr="00F148CE">
        <w:rPr>
          <w:rFonts w:ascii="Times New Roman" w:hAnsi="Times New Roman" w:cs="Times New Roman"/>
        </w:rPr>
        <w:t>t</w:t>
      </w:r>
      <w:r w:rsidRPr="00F148CE">
        <w:rPr>
          <w:rFonts w:ascii="Times New Roman" w:hAnsi="Times New Roman" w:cs="Times New Roman"/>
        </w:rPr>
        <w:t>a fallita.</w:t>
      </w:r>
    </w:p>
    <w:p w14:paraId="48AB9557" w14:textId="1A7768BE" w:rsidR="009E6DAA" w:rsidRPr="00F148CE" w:rsidRDefault="009E6DAA" w:rsidP="00403CB2">
      <w:pPr>
        <w:jc w:val="both"/>
        <w:rPr>
          <w:rFonts w:ascii="Times New Roman" w:hAnsi="Times New Roman" w:cs="Times New Roman"/>
        </w:rPr>
      </w:pPr>
      <w:r w:rsidRPr="00F148CE">
        <w:rPr>
          <w:rFonts w:ascii="Times New Roman" w:hAnsi="Times New Roman" w:cs="Times New Roman"/>
        </w:rPr>
        <w:t>Se a livello finanziario la crisi dell’Ente locale può assimilarsi a quello delle imprese private, la natura pubblicistica degli interessi soggetti a tutela impone il ricorso a procedure di risanamento normativamente previste e rigidamente finalizzate al riequilibrio finanziario dell’Ente locale.</w:t>
      </w:r>
    </w:p>
    <w:p w14:paraId="76DFA16C" w14:textId="31C5C97C" w:rsidR="00107505" w:rsidRPr="00F148CE" w:rsidRDefault="00107505" w:rsidP="00403CB2">
      <w:pPr>
        <w:jc w:val="both"/>
        <w:rPr>
          <w:rFonts w:ascii="Times New Roman" w:hAnsi="Times New Roman" w:cs="Times New Roman"/>
        </w:rPr>
      </w:pPr>
      <w:r w:rsidRPr="00F148CE">
        <w:rPr>
          <w:rFonts w:ascii="Times New Roman" w:hAnsi="Times New Roman" w:cs="Times New Roman"/>
        </w:rPr>
        <w:t xml:space="preserve">La disciplina della crisi strutturale degli enti pubblici deve, infatti, assicurare la certezza dei tempi di recupero, sia con riguardo alle pretese dei creditori (C. cost. </w:t>
      </w:r>
      <w:proofErr w:type="spellStart"/>
      <w:r w:rsidRPr="00F148CE">
        <w:rPr>
          <w:rFonts w:ascii="Times New Roman" w:hAnsi="Times New Roman" w:cs="Times New Roman"/>
        </w:rPr>
        <w:t>sent</w:t>
      </w:r>
      <w:proofErr w:type="spellEnd"/>
      <w:r w:rsidRPr="00F148CE">
        <w:rPr>
          <w:rFonts w:ascii="Times New Roman" w:hAnsi="Times New Roman" w:cs="Times New Roman"/>
        </w:rPr>
        <w:t>. n. 219/2022 e Corte di giustizia</w:t>
      </w:r>
      <w:r w:rsidR="00613036" w:rsidRPr="00F148CE">
        <w:rPr>
          <w:rFonts w:ascii="Times New Roman" w:hAnsi="Times New Roman" w:cs="Times New Roman"/>
        </w:rPr>
        <w:t xml:space="preserve"> </w:t>
      </w:r>
      <w:proofErr w:type="spellStart"/>
      <w:r w:rsidRPr="00F148CE">
        <w:rPr>
          <w:rFonts w:ascii="Times New Roman" w:hAnsi="Times New Roman" w:cs="Times New Roman"/>
        </w:rPr>
        <w:t>Edu</w:t>
      </w:r>
      <w:proofErr w:type="spellEnd"/>
      <w:r w:rsidRPr="00F148CE">
        <w:rPr>
          <w:rFonts w:ascii="Times New Roman" w:hAnsi="Times New Roman" w:cs="Times New Roman"/>
        </w:rPr>
        <w:t xml:space="preserve">, sentenze </w:t>
      </w:r>
      <w:r w:rsidR="00071A24">
        <w:rPr>
          <w:rFonts w:ascii="Times New Roman" w:hAnsi="Times New Roman" w:cs="Times New Roman"/>
        </w:rPr>
        <w:t>D</w:t>
      </w:r>
      <w:r w:rsidRPr="00F148CE">
        <w:rPr>
          <w:rFonts w:ascii="Times New Roman" w:hAnsi="Times New Roman" w:cs="Times New Roman"/>
        </w:rPr>
        <w:t xml:space="preserve">e Luca c. Italia nonché Pennino c. Italia, entrambe del 24 settembre 2013), ma anche rispetto agli elettori, verso i quali deve essere garantita una adeguata contabilità di mandato, anche a tutela delle generazioni future (C. cost. </w:t>
      </w:r>
      <w:proofErr w:type="spellStart"/>
      <w:r w:rsidRPr="00F148CE">
        <w:rPr>
          <w:rFonts w:ascii="Times New Roman" w:hAnsi="Times New Roman" w:cs="Times New Roman"/>
        </w:rPr>
        <w:t>sent</w:t>
      </w:r>
      <w:proofErr w:type="spellEnd"/>
      <w:r w:rsidRPr="00F148CE">
        <w:rPr>
          <w:rFonts w:ascii="Times New Roman" w:hAnsi="Times New Roman" w:cs="Times New Roman"/>
        </w:rPr>
        <w:t>. n. 18/2019).</w:t>
      </w:r>
    </w:p>
    <w:p w14:paraId="025EAD46" w14:textId="0D684E06" w:rsidR="00D71CDE" w:rsidRPr="00F148CE" w:rsidRDefault="00071A24" w:rsidP="00403CB2">
      <w:pPr>
        <w:pStyle w:val="Default"/>
        <w:jc w:val="both"/>
        <w:rPr>
          <w:rFonts w:ascii="Times New Roman" w:hAnsi="Times New Roman" w:cs="Times New Roman"/>
        </w:rPr>
      </w:pPr>
      <w:r>
        <w:rPr>
          <w:rFonts w:ascii="Times New Roman" w:hAnsi="Times New Roman" w:cs="Times New Roman"/>
        </w:rPr>
        <w:t>Invero</w:t>
      </w:r>
      <w:r w:rsidR="00D71CDE" w:rsidRPr="00F148CE">
        <w:rPr>
          <w:rFonts w:ascii="Times New Roman" w:hAnsi="Times New Roman" w:cs="Times New Roman"/>
        </w:rPr>
        <w:t>,</w:t>
      </w:r>
      <w:r w:rsidR="009E6DAA" w:rsidRPr="00F148CE">
        <w:rPr>
          <w:rFonts w:ascii="Times New Roman" w:hAnsi="Times New Roman" w:cs="Times New Roman"/>
        </w:rPr>
        <w:t xml:space="preserve"> il nostro ordinamento prevede che qualora emerga, dalla ricostruzione dello stato economico-finanziario dell’ente, l’impossibilità di ripianare “adeguatamente” lo squilibrio accertato</w:t>
      </w:r>
      <w:r w:rsidR="00804926" w:rsidRPr="00F148CE">
        <w:rPr>
          <w:rFonts w:ascii="Times New Roman" w:hAnsi="Times New Roman" w:cs="Times New Roman"/>
        </w:rPr>
        <w:t>,</w:t>
      </w:r>
      <w:r w:rsidR="009E6DAA" w:rsidRPr="00F148CE">
        <w:rPr>
          <w:rFonts w:ascii="Times New Roman" w:hAnsi="Times New Roman" w:cs="Times New Roman"/>
        </w:rPr>
        <w:t xml:space="preserve"> con le modalità di cui agli articoli 193 e 194 del TUEL ed entro il fisiologico arco temporale del bilancio di previsione (art. 162 Tuel), con una manovra correttiva (“piano di rientro”) triennale ed</w:t>
      </w:r>
      <w:r w:rsidR="005F5CAD" w:rsidRPr="00F148CE">
        <w:rPr>
          <w:rFonts w:ascii="Times New Roman" w:hAnsi="Times New Roman" w:cs="Times New Roman"/>
        </w:rPr>
        <w:t>,</w:t>
      </w:r>
      <w:r w:rsidR="009E6DAA" w:rsidRPr="00F148CE">
        <w:rPr>
          <w:rFonts w:ascii="Times New Roman" w:hAnsi="Times New Roman" w:cs="Times New Roman"/>
        </w:rPr>
        <w:t xml:space="preserve"> in ogni caso</w:t>
      </w:r>
      <w:r w:rsidR="005F5CAD" w:rsidRPr="00F148CE">
        <w:rPr>
          <w:rFonts w:ascii="Times New Roman" w:hAnsi="Times New Roman" w:cs="Times New Roman"/>
        </w:rPr>
        <w:t>,</w:t>
      </w:r>
      <w:r w:rsidR="009E6DAA" w:rsidRPr="00F148CE">
        <w:rPr>
          <w:rFonts w:ascii="Times New Roman" w:hAnsi="Times New Roman" w:cs="Times New Roman"/>
        </w:rPr>
        <w:t xml:space="preserve"> non oltre la durata della consiliatura (art. 188 comma 1 Tuel), gli organi decisionali si trovano di fronte alla scelta necessitata tra l’adozione di un </w:t>
      </w:r>
      <w:r w:rsidR="009E6DAA" w:rsidRPr="00F148CE">
        <w:rPr>
          <w:rFonts w:ascii="Times New Roman" w:hAnsi="Times New Roman" w:cs="Times New Roman"/>
          <w:u w:val="single"/>
        </w:rPr>
        <w:t>Piano di riequilibrio pluriennale</w:t>
      </w:r>
      <w:r w:rsidR="00D71CDE" w:rsidRPr="00F148CE">
        <w:rPr>
          <w:rFonts w:ascii="Times New Roman" w:hAnsi="Times New Roman" w:cs="Times New Roman"/>
        </w:rPr>
        <w:t xml:space="preserve"> (art.243 bis e ss. TUEL)</w:t>
      </w:r>
      <w:r w:rsidR="009E6DAA" w:rsidRPr="00F148CE">
        <w:rPr>
          <w:rFonts w:ascii="Times New Roman" w:hAnsi="Times New Roman" w:cs="Times New Roman"/>
        </w:rPr>
        <w:t xml:space="preserve"> o la </w:t>
      </w:r>
      <w:r w:rsidR="009E6DAA" w:rsidRPr="00F148CE">
        <w:rPr>
          <w:rFonts w:ascii="Times New Roman" w:hAnsi="Times New Roman" w:cs="Times New Roman"/>
          <w:u w:val="single"/>
        </w:rPr>
        <w:t>dichiarazione dello stato di dissesto</w:t>
      </w:r>
      <w:r w:rsidR="00D71CDE" w:rsidRPr="00F148CE">
        <w:rPr>
          <w:rFonts w:ascii="Times New Roman" w:hAnsi="Times New Roman" w:cs="Times New Roman"/>
        </w:rPr>
        <w:t xml:space="preserve"> (art.244 e ss. TUEL)</w:t>
      </w:r>
      <w:r w:rsidR="009E6DAA" w:rsidRPr="00F148CE">
        <w:rPr>
          <w:rFonts w:ascii="Times New Roman" w:hAnsi="Times New Roman" w:cs="Times New Roman"/>
        </w:rPr>
        <w:t xml:space="preserve">. </w:t>
      </w:r>
    </w:p>
    <w:p w14:paraId="56C1C8CC" w14:textId="6786E21D" w:rsidR="009E6DAA" w:rsidRPr="00F148CE" w:rsidRDefault="009E6DAA" w:rsidP="00403CB2">
      <w:pPr>
        <w:pStyle w:val="Default"/>
        <w:jc w:val="both"/>
        <w:rPr>
          <w:rFonts w:ascii="Times New Roman" w:hAnsi="Times New Roman" w:cs="Times New Roman"/>
        </w:rPr>
      </w:pPr>
      <w:r w:rsidRPr="00F148CE">
        <w:rPr>
          <w:rFonts w:ascii="Times New Roman" w:hAnsi="Times New Roman" w:cs="Times New Roman"/>
        </w:rPr>
        <w:t>Come si evince dal dato normativo</w:t>
      </w:r>
      <w:r w:rsidR="005165F4">
        <w:rPr>
          <w:rFonts w:ascii="Times New Roman" w:hAnsi="Times New Roman" w:cs="Times New Roman"/>
        </w:rPr>
        <w:t>,</w:t>
      </w:r>
      <w:r w:rsidR="003D27DF" w:rsidRPr="00F148CE">
        <w:rPr>
          <w:rFonts w:ascii="Times New Roman" w:hAnsi="Times New Roman" w:cs="Times New Roman"/>
        </w:rPr>
        <w:t xml:space="preserve"> </w:t>
      </w:r>
      <w:r w:rsidRPr="00F148CE">
        <w:rPr>
          <w:rFonts w:ascii="Times New Roman" w:hAnsi="Times New Roman" w:cs="Times New Roman"/>
        </w:rPr>
        <w:t>ciò che caratterizza entramb</w:t>
      </w:r>
      <w:r w:rsidR="00807F13" w:rsidRPr="00F148CE">
        <w:rPr>
          <w:rFonts w:ascii="Times New Roman" w:hAnsi="Times New Roman" w:cs="Times New Roman"/>
        </w:rPr>
        <w:t>e</w:t>
      </w:r>
      <w:r w:rsidRPr="00F148CE">
        <w:rPr>
          <w:rFonts w:ascii="Times New Roman" w:hAnsi="Times New Roman" w:cs="Times New Roman"/>
        </w:rPr>
        <w:t xml:space="preserve"> le procedure è il presupposto dell’impossibilità di utilizzo dei rimedi “ordinari”. </w:t>
      </w:r>
    </w:p>
    <w:p w14:paraId="27C06269" w14:textId="75988D76" w:rsidR="009E6DAA" w:rsidRPr="00F148CE" w:rsidRDefault="00804926" w:rsidP="00403CB2">
      <w:pPr>
        <w:jc w:val="both"/>
        <w:rPr>
          <w:rFonts w:ascii="Times New Roman" w:hAnsi="Times New Roman" w:cs="Times New Roman"/>
        </w:rPr>
      </w:pPr>
      <w:r w:rsidRPr="00F148CE">
        <w:rPr>
          <w:rFonts w:ascii="Times New Roman" w:hAnsi="Times New Roman" w:cs="Times New Roman"/>
        </w:rPr>
        <w:t xml:space="preserve">Il sistema di </w:t>
      </w:r>
      <w:r w:rsidR="005F5CAD" w:rsidRPr="00F148CE">
        <w:rPr>
          <w:rFonts w:ascii="Times New Roman" w:hAnsi="Times New Roman" w:cs="Times New Roman"/>
        </w:rPr>
        <w:t>gestione della</w:t>
      </w:r>
      <w:r w:rsidRPr="00F148CE">
        <w:rPr>
          <w:rFonts w:ascii="Times New Roman" w:hAnsi="Times New Roman" w:cs="Times New Roman"/>
        </w:rPr>
        <w:t xml:space="preserve"> crisi dell’Ente locale, </w:t>
      </w:r>
      <w:r w:rsidR="003D27DF" w:rsidRPr="00F148CE">
        <w:rPr>
          <w:rFonts w:ascii="Times New Roman" w:hAnsi="Times New Roman" w:cs="Times New Roman"/>
        </w:rPr>
        <w:t>quindi</w:t>
      </w:r>
      <w:r w:rsidRPr="00F148CE">
        <w:rPr>
          <w:rFonts w:ascii="Times New Roman" w:hAnsi="Times New Roman" w:cs="Times New Roman"/>
        </w:rPr>
        <w:t xml:space="preserve">, mette a disposizione di quest’ultimo </w:t>
      </w:r>
      <w:r w:rsidR="00B54AE1" w:rsidRPr="00F148CE">
        <w:rPr>
          <w:rFonts w:ascii="Times New Roman" w:hAnsi="Times New Roman" w:cs="Times New Roman"/>
        </w:rPr>
        <w:t>strumenti</w:t>
      </w:r>
      <w:r w:rsidRPr="00F148CE">
        <w:rPr>
          <w:rFonts w:ascii="Times New Roman" w:hAnsi="Times New Roman" w:cs="Times New Roman"/>
        </w:rPr>
        <w:t xml:space="preserve"> </w:t>
      </w:r>
      <w:r w:rsidR="007E7F25" w:rsidRPr="00F148CE">
        <w:rPr>
          <w:rFonts w:ascii="Times New Roman" w:hAnsi="Times New Roman" w:cs="Times New Roman"/>
        </w:rPr>
        <w:t>“</w:t>
      </w:r>
      <w:r w:rsidRPr="00F148CE">
        <w:rPr>
          <w:rFonts w:ascii="Times New Roman" w:hAnsi="Times New Roman" w:cs="Times New Roman"/>
          <w:b/>
          <w:bCs/>
        </w:rPr>
        <w:t>ordinari</w:t>
      </w:r>
      <w:r w:rsidR="007E7F25" w:rsidRPr="00F148CE">
        <w:rPr>
          <w:rFonts w:ascii="Times New Roman" w:hAnsi="Times New Roman" w:cs="Times New Roman"/>
        </w:rPr>
        <w:t>”</w:t>
      </w:r>
      <w:r w:rsidRPr="00F148CE">
        <w:rPr>
          <w:rFonts w:ascii="Times New Roman" w:hAnsi="Times New Roman" w:cs="Times New Roman"/>
        </w:rPr>
        <w:t xml:space="preserve"> </w:t>
      </w:r>
      <w:r w:rsidR="008960DA" w:rsidRPr="00F148CE">
        <w:rPr>
          <w:rFonts w:ascii="Times New Roman" w:hAnsi="Times New Roman" w:cs="Times New Roman"/>
        </w:rPr>
        <w:t>(modalità</w:t>
      </w:r>
      <w:r w:rsidRPr="00F148CE">
        <w:rPr>
          <w:rFonts w:ascii="Times New Roman" w:hAnsi="Times New Roman" w:cs="Times New Roman"/>
        </w:rPr>
        <w:t xml:space="preserve"> di cui agli articoli 193 e 194 del TUEL) e </w:t>
      </w:r>
      <w:r w:rsidR="007E7F25" w:rsidRPr="00F148CE">
        <w:rPr>
          <w:rFonts w:ascii="Times New Roman" w:hAnsi="Times New Roman" w:cs="Times New Roman"/>
        </w:rPr>
        <w:t>“</w:t>
      </w:r>
      <w:r w:rsidRPr="00F148CE">
        <w:rPr>
          <w:rFonts w:ascii="Times New Roman" w:hAnsi="Times New Roman" w:cs="Times New Roman"/>
          <w:b/>
          <w:bCs/>
        </w:rPr>
        <w:t>straordinari</w:t>
      </w:r>
      <w:r w:rsidR="007E7F25" w:rsidRPr="00F148CE">
        <w:rPr>
          <w:rFonts w:ascii="Times New Roman" w:hAnsi="Times New Roman" w:cs="Times New Roman"/>
        </w:rPr>
        <w:t>”</w:t>
      </w:r>
      <w:r w:rsidRPr="00F148CE">
        <w:rPr>
          <w:rFonts w:ascii="Times New Roman" w:hAnsi="Times New Roman" w:cs="Times New Roman"/>
        </w:rPr>
        <w:t xml:space="preserve"> (piano di riequilibrio finanziario e procedura di dissesto) per ripristinare</w:t>
      </w:r>
      <w:r w:rsidR="003D27DF" w:rsidRPr="00F148CE">
        <w:rPr>
          <w:rFonts w:ascii="Times New Roman" w:hAnsi="Times New Roman" w:cs="Times New Roman"/>
        </w:rPr>
        <w:t xml:space="preserve"> </w:t>
      </w:r>
      <w:r w:rsidR="006F6E4C" w:rsidRPr="00F148CE">
        <w:rPr>
          <w:rFonts w:ascii="Times New Roman" w:hAnsi="Times New Roman" w:cs="Times New Roman"/>
        </w:rPr>
        <w:t>l’</w:t>
      </w:r>
      <w:r w:rsidRPr="00F148CE">
        <w:rPr>
          <w:rFonts w:ascii="Times New Roman" w:hAnsi="Times New Roman" w:cs="Times New Roman"/>
        </w:rPr>
        <w:t>equilibrio finanziario</w:t>
      </w:r>
      <w:r w:rsidR="008960DA" w:rsidRPr="00F148CE">
        <w:rPr>
          <w:rFonts w:ascii="Times New Roman" w:hAnsi="Times New Roman" w:cs="Times New Roman"/>
        </w:rPr>
        <w:t xml:space="preserve"> costituzionalmente richiesto</w:t>
      </w:r>
      <w:r w:rsidRPr="00F148CE">
        <w:rPr>
          <w:rFonts w:ascii="Times New Roman" w:hAnsi="Times New Roman" w:cs="Times New Roman"/>
        </w:rPr>
        <w:t>.</w:t>
      </w:r>
    </w:p>
    <w:p w14:paraId="4CFB396D" w14:textId="3A7B95A2" w:rsidR="00804926" w:rsidRDefault="0006572C" w:rsidP="00403CB2">
      <w:pPr>
        <w:jc w:val="both"/>
        <w:rPr>
          <w:rFonts w:ascii="Times New Roman" w:hAnsi="Times New Roman" w:cs="Times New Roman"/>
        </w:rPr>
      </w:pPr>
      <w:r>
        <w:rPr>
          <w:rFonts w:ascii="Times New Roman" w:hAnsi="Times New Roman" w:cs="Times New Roman"/>
        </w:rPr>
        <w:lastRenderedPageBreak/>
        <w:t>Tali rimedi vanno utilizzati</w:t>
      </w:r>
      <w:r w:rsidR="00804926" w:rsidRPr="00F148CE">
        <w:rPr>
          <w:rFonts w:ascii="Times New Roman" w:hAnsi="Times New Roman" w:cs="Times New Roman"/>
        </w:rPr>
        <w:t xml:space="preserve"> </w:t>
      </w:r>
      <w:r w:rsidR="00874028" w:rsidRPr="00F148CE">
        <w:rPr>
          <w:rFonts w:ascii="Times New Roman" w:hAnsi="Times New Roman" w:cs="Times New Roman"/>
        </w:rPr>
        <w:t>gradatamente</w:t>
      </w:r>
      <w:r w:rsidR="00D71CDE" w:rsidRPr="00F148CE">
        <w:rPr>
          <w:rFonts w:ascii="Times New Roman" w:hAnsi="Times New Roman" w:cs="Times New Roman"/>
        </w:rPr>
        <w:t>,</w:t>
      </w:r>
      <w:r w:rsidR="00804926" w:rsidRPr="00F148CE">
        <w:rPr>
          <w:rFonts w:ascii="Times New Roman" w:hAnsi="Times New Roman" w:cs="Times New Roman"/>
        </w:rPr>
        <w:t xml:space="preserve"> in relazione alla gravità della crisi finanziaria</w:t>
      </w:r>
      <w:r w:rsidR="008D49DF" w:rsidRPr="00F148CE">
        <w:rPr>
          <w:rFonts w:ascii="Times New Roman" w:hAnsi="Times New Roman" w:cs="Times New Roman"/>
        </w:rPr>
        <w:t xml:space="preserve"> evidenziata</w:t>
      </w:r>
      <w:r w:rsidR="00804926" w:rsidRPr="00F148CE">
        <w:rPr>
          <w:rFonts w:ascii="Times New Roman" w:hAnsi="Times New Roman" w:cs="Times New Roman"/>
        </w:rPr>
        <w:t xml:space="preserve"> e in conformità al principio di </w:t>
      </w:r>
      <w:r w:rsidR="007E7F25" w:rsidRPr="00F148CE">
        <w:rPr>
          <w:rFonts w:ascii="Times New Roman" w:hAnsi="Times New Roman" w:cs="Times New Roman"/>
        </w:rPr>
        <w:t>“</w:t>
      </w:r>
      <w:r w:rsidR="00804926" w:rsidRPr="00F148CE">
        <w:rPr>
          <w:rFonts w:ascii="Times New Roman" w:hAnsi="Times New Roman" w:cs="Times New Roman"/>
        </w:rPr>
        <w:t>proporzionalità</w:t>
      </w:r>
      <w:r w:rsidR="007E7F25" w:rsidRPr="00F148CE">
        <w:rPr>
          <w:rFonts w:ascii="Times New Roman" w:hAnsi="Times New Roman" w:cs="Times New Roman"/>
        </w:rPr>
        <w:t>”</w:t>
      </w:r>
      <w:r w:rsidR="00804926" w:rsidRPr="00F148CE">
        <w:rPr>
          <w:rFonts w:ascii="Times New Roman" w:hAnsi="Times New Roman" w:cs="Times New Roman"/>
        </w:rPr>
        <w:t xml:space="preserve"> tra </w:t>
      </w:r>
      <w:r w:rsidR="008D49DF" w:rsidRPr="00F148CE">
        <w:rPr>
          <w:rFonts w:ascii="Times New Roman" w:hAnsi="Times New Roman" w:cs="Times New Roman"/>
        </w:rPr>
        <w:t xml:space="preserve">lo </w:t>
      </w:r>
      <w:r w:rsidR="00804926" w:rsidRPr="00F148CE">
        <w:rPr>
          <w:rFonts w:ascii="Times New Roman" w:hAnsi="Times New Roman" w:cs="Times New Roman"/>
        </w:rPr>
        <w:t>strumento utilizzato e</w:t>
      </w:r>
      <w:r w:rsidR="008D49DF" w:rsidRPr="00F148CE">
        <w:rPr>
          <w:rFonts w:ascii="Times New Roman" w:hAnsi="Times New Roman" w:cs="Times New Roman"/>
        </w:rPr>
        <w:t xml:space="preserve"> la reale</w:t>
      </w:r>
      <w:r w:rsidR="00804926" w:rsidRPr="00F148CE">
        <w:rPr>
          <w:rFonts w:ascii="Times New Roman" w:hAnsi="Times New Roman" w:cs="Times New Roman"/>
        </w:rPr>
        <w:t xml:space="preserve"> </w:t>
      </w:r>
      <w:r w:rsidR="008D49DF" w:rsidRPr="00F148CE">
        <w:rPr>
          <w:rFonts w:ascii="Times New Roman" w:hAnsi="Times New Roman" w:cs="Times New Roman"/>
        </w:rPr>
        <w:t xml:space="preserve">consistenza dello squilibrio finanziario </w:t>
      </w:r>
      <w:r w:rsidR="006F6E4C" w:rsidRPr="00F148CE">
        <w:rPr>
          <w:rFonts w:ascii="Times New Roman" w:hAnsi="Times New Roman" w:cs="Times New Roman"/>
        </w:rPr>
        <w:t xml:space="preserve">in atto </w:t>
      </w:r>
      <w:r w:rsidR="008D49DF" w:rsidRPr="00F148CE">
        <w:rPr>
          <w:rFonts w:ascii="Times New Roman" w:hAnsi="Times New Roman" w:cs="Times New Roman"/>
        </w:rPr>
        <w:t>esistente.</w:t>
      </w:r>
    </w:p>
    <w:p w14:paraId="7A4F9985" w14:textId="572CA150" w:rsidR="0021033D" w:rsidRPr="00F148CE" w:rsidRDefault="0021033D" w:rsidP="00403CB2">
      <w:pPr>
        <w:jc w:val="both"/>
        <w:rPr>
          <w:rFonts w:ascii="Times New Roman" w:hAnsi="Times New Roman" w:cs="Times New Roman"/>
        </w:rPr>
      </w:pPr>
      <w:r w:rsidRPr="0021033D">
        <w:rPr>
          <w:rFonts w:ascii="Times New Roman" w:hAnsi="Times New Roman" w:cs="Times New Roman"/>
        </w:rPr>
        <w:t xml:space="preserve">Il sistema </w:t>
      </w:r>
      <w:r w:rsidR="005165F4">
        <w:rPr>
          <w:rFonts w:ascii="Times New Roman" w:hAnsi="Times New Roman" w:cs="Times New Roman"/>
        </w:rPr>
        <w:t xml:space="preserve">normativamente </w:t>
      </w:r>
      <w:r w:rsidRPr="0021033D">
        <w:rPr>
          <w:rFonts w:ascii="Times New Roman" w:hAnsi="Times New Roman" w:cs="Times New Roman"/>
        </w:rPr>
        <w:t>previsto è</w:t>
      </w:r>
      <w:r>
        <w:rPr>
          <w:rFonts w:ascii="Times New Roman" w:hAnsi="Times New Roman" w:cs="Times New Roman"/>
        </w:rPr>
        <w:t>, infatti,</w:t>
      </w:r>
      <w:r w:rsidRPr="0021033D">
        <w:rPr>
          <w:rFonts w:ascii="Times New Roman" w:hAnsi="Times New Roman" w:cs="Times New Roman"/>
        </w:rPr>
        <w:t xml:space="preserve"> impostato </w:t>
      </w:r>
      <w:r w:rsidR="005165F4">
        <w:rPr>
          <w:rFonts w:ascii="Times New Roman" w:hAnsi="Times New Roman" w:cs="Times New Roman"/>
        </w:rPr>
        <w:t>sul</w:t>
      </w:r>
      <w:r w:rsidRPr="0021033D">
        <w:rPr>
          <w:rFonts w:ascii="Times New Roman" w:hAnsi="Times New Roman" w:cs="Times New Roman"/>
        </w:rPr>
        <w:t xml:space="preserve"> </w:t>
      </w:r>
      <w:r w:rsidR="005165F4">
        <w:rPr>
          <w:rFonts w:ascii="Times New Roman" w:hAnsi="Times New Roman" w:cs="Times New Roman"/>
        </w:rPr>
        <w:t xml:space="preserve">rispetto dei </w:t>
      </w:r>
      <w:r w:rsidRPr="0021033D">
        <w:rPr>
          <w:rFonts w:ascii="Times New Roman" w:hAnsi="Times New Roman" w:cs="Times New Roman"/>
        </w:rPr>
        <w:t>principi d</w:t>
      </w:r>
      <w:r w:rsidR="005165F4">
        <w:rPr>
          <w:rFonts w:ascii="Times New Roman" w:hAnsi="Times New Roman" w:cs="Times New Roman"/>
        </w:rPr>
        <w:t>i</w:t>
      </w:r>
      <w:r w:rsidRPr="0021033D">
        <w:rPr>
          <w:rFonts w:ascii="Times New Roman" w:hAnsi="Times New Roman" w:cs="Times New Roman"/>
        </w:rPr>
        <w:t xml:space="preserve"> </w:t>
      </w:r>
      <w:r w:rsidRPr="0021033D">
        <w:rPr>
          <w:rFonts w:ascii="Times New Roman" w:hAnsi="Times New Roman" w:cs="Times New Roman"/>
          <w:b/>
          <w:bCs/>
        </w:rPr>
        <w:t>proporzionalità</w:t>
      </w:r>
      <w:r w:rsidRPr="0021033D">
        <w:rPr>
          <w:rFonts w:ascii="Times New Roman" w:hAnsi="Times New Roman" w:cs="Times New Roman"/>
        </w:rPr>
        <w:t xml:space="preserve">, di </w:t>
      </w:r>
      <w:r w:rsidRPr="0021033D">
        <w:rPr>
          <w:rFonts w:ascii="Times New Roman" w:hAnsi="Times New Roman" w:cs="Times New Roman"/>
          <w:b/>
          <w:bCs/>
        </w:rPr>
        <w:t xml:space="preserve">precauzione </w:t>
      </w:r>
      <w:r w:rsidRPr="0021033D">
        <w:rPr>
          <w:rFonts w:ascii="Times New Roman" w:hAnsi="Times New Roman" w:cs="Times New Roman"/>
        </w:rPr>
        <w:t xml:space="preserve">e di </w:t>
      </w:r>
      <w:r w:rsidRPr="0021033D">
        <w:rPr>
          <w:rFonts w:ascii="Times New Roman" w:hAnsi="Times New Roman" w:cs="Times New Roman"/>
          <w:b/>
          <w:bCs/>
        </w:rPr>
        <w:t>graduazione</w:t>
      </w:r>
      <w:r w:rsidRPr="0021033D">
        <w:rPr>
          <w:rFonts w:ascii="Times New Roman" w:hAnsi="Times New Roman" w:cs="Times New Roman"/>
        </w:rPr>
        <w:t xml:space="preserve"> degli strumenti di risoluzione</w:t>
      </w:r>
      <w:r w:rsidR="005165F4">
        <w:rPr>
          <w:rFonts w:ascii="Times New Roman" w:hAnsi="Times New Roman" w:cs="Times New Roman"/>
        </w:rPr>
        <w:t>,</w:t>
      </w:r>
      <w:r w:rsidRPr="0021033D">
        <w:rPr>
          <w:rFonts w:ascii="Times New Roman" w:hAnsi="Times New Roman" w:cs="Times New Roman"/>
        </w:rPr>
        <w:t xml:space="preserve"> </w:t>
      </w:r>
      <w:r w:rsidRPr="005165F4">
        <w:rPr>
          <w:rFonts w:ascii="Times New Roman" w:hAnsi="Times New Roman" w:cs="Times New Roman"/>
        </w:rPr>
        <w:t xml:space="preserve">al fine di ampliare le possibilità per gli enti locali di correggere gli squilibri finanziari </w:t>
      </w:r>
      <w:r w:rsidRPr="0021033D">
        <w:rPr>
          <w:rFonts w:ascii="Times New Roman" w:hAnsi="Times New Roman" w:cs="Times New Roman"/>
        </w:rPr>
        <w:t xml:space="preserve">ed evitare le conseguenze negative del </w:t>
      </w:r>
      <w:proofErr w:type="gramStart"/>
      <w:r w:rsidRPr="0021033D">
        <w:rPr>
          <w:rFonts w:ascii="Times New Roman" w:hAnsi="Times New Roman" w:cs="Times New Roman"/>
        </w:rPr>
        <w:t xml:space="preserve">dissesto </w:t>
      </w:r>
      <w:r w:rsidR="005165F4">
        <w:rPr>
          <w:rFonts w:ascii="Times New Roman" w:hAnsi="Times New Roman" w:cs="Times New Roman"/>
        </w:rPr>
        <w:t>,</w:t>
      </w:r>
      <w:proofErr w:type="gramEnd"/>
      <w:r w:rsidR="005165F4">
        <w:rPr>
          <w:rFonts w:ascii="Times New Roman" w:hAnsi="Times New Roman" w:cs="Times New Roman"/>
        </w:rPr>
        <w:t xml:space="preserve"> </w:t>
      </w:r>
      <w:r w:rsidRPr="0021033D">
        <w:rPr>
          <w:rFonts w:ascii="Times New Roman" w:hAnsi="Times New Roman" w:cs="Times New Roman"/>
        </w:rPr>
        <w:t>che si appalesa quale </w:t>
      </w:r>
      <w:proofErr w:type="spellStart"/>
      <w:r w:rsidRPr="0021033D">
        <w:rPr>
          <w:rFonts w:ascii="Times New Roman" w:hAnsi="Times New Roman" w:cs="Times New Roman"/>
          <w:b/>
          <w:bCs/>
          <w:i/>
          <w:iCs/>
        </w:rPr>
        <w:t>extrema</w:t>
      </w:r>
      <w:proofErr w:type="spellEnd"/>
      <w:r w:rsidRPr="0021033D">
        <w:rPr>
          <w:rFonts w:ascii="Times New Roman" w:hAnsi="Times New Roman" w:cs="Times New Roman"/>
          <w:b/>
          <w:bCs/>
          <w:i/>
          <w:iCs/>
        </w:rPr>
        <w:t xml:space="preserve"> ratio</w:t>
      </w:r>
      <w:r w:rsidRPr="0021033D">
        <w:rPr>
          <w:rFonts w:ascii="Times New Roman" w:hAnsi="Times New Roman" w:cs="Times New Roman"/>
          <w:b/>
          <w:bCs/>
        </w:rPr>
        <w:t>.</w:t>
      </w:r>
    </w:p>
    <w:p w14:paraId="798AC62A" w14:textId="4CAC5DA3" w:rsidR="00874028" w:rsidRPr="00F148CE" w:rsidRDefault="0006572C" w:rsidP="00403CB2">
      <w:pPr>
        <w:jc w:val="both"/>
        <w:rPr>
          <w:rFonts w:ascii="Times New Roman" w:hAnsi="Times New Roman" w:cs="Times New Roman"/>
        </w:rPr>
      </w:pPr>
      <w:r>
        <w:rPr>
          <w:rFonts w:ascii="Times New Roman" w:hAnsi="Times New Roman" w:cs="Times New Roman"/>
        </w:rPr>
        <w:t>L</w:t>
      </w:r>
      <w:r w:rsidR="00874028" w:rsidRPr="00F148CE">
        <w:rPr>
          <w:rFonts w:ascii="Times New Roman" w:hAnsi="Times New Roman" w:cs="Times New Roman"/>
        </w:rPr>
        <w:t xml:space="preserve">e </w:t>
      </w:r>
      <w:r w:rsidR="001D6BF2" w:rsidRPr="00F148CE">
        <w:rPr>
          <w:rFonts w:ascii="Times New Roman" w:hAnsi="Times New Roman" w:cs="Times New Roman"/>
        </w:rPr>
        <w:t>S</w:t>
      </w:r>
      <w:r w:rsidR="00874028" w:rsidRPr="00F148CE">
        <w:rPr>
          <w:rFonts w:ascii="Times New Roman" w:hAnsi="Times New Roman" w:cs="Times New Roman"/>
        </w:rPr>
        <w:t xml:space="preserve">ezioni </w:t>
      </w:r>
      <w:r w:rsidR="001D6BF2" w:rsidRPr="00F148CE">
        <w:rPr>
          <w:rFonts w:ascii="Times New Roman" w:hAnsi="Times New Roman" w:cs="Times New Roman"/>
        </w:rPr>
        <w:t>R</w:t>
      </w:r>
      <w:r w:rsidR="00874028" w:rsidRPr="00F148CE">
        <w:rPr>
          <w:rFonts w:ascii="Times New Roman" w:hAnsi="Times New Roman" w:cs="Times New Roman"/>
        </w:rPr>
        <w:t>iunite</w:t>
      </w:r>
      <w:r w:rsidR="001D6BF2" w:rsidRPr="00F148CE">
        <w:rPr>
          <w:rFonts w:ascii="Times New Roman" w:hAnsi="Times New Roman" w:cs="Times New Roman"/>
        </w:rPr>
        <w:t xml:space="preserve"> in sede giuris</w:t>
      </w:r>
      <w:r w:rsidR="00403CB2" w:rsidRPr="00F148CE">
        <w:rPr>
          <w:rFonts w:ascii="Times New Roman" w:hAnsi="Times New Roman" w:cs="Times New Roman"/>
        </w:rPr>
        <w:t>di</w:t>
      </w:r>
      <w:r w:rsidR="001D6BF2" w:rsidRPr="00F148CE">
        <w:rPr>
          <w:rFonts w:ascii="Times New Roman" w:hAnsi="Times New Roman" w:cs="Times New Roman"/>
        </w:rPr>
        <w:t>zionale</w:t>
      </w:r>
      <w:r w:rsidR="00874028" w:rsidRPr="00F148CE">
        <w:rPr>
          <w:rFonts w:ascii="Times New Roman" w:hAnsi="Times New Roman" w:cs="Times New Roman"/>
        </w:rPr>
        <w:t xml:space="preserve"> della Corte dei </w:t>
      </w:r>
      <w:r w:rsidR="001D6BF2" w:rsidRPr="00F148CE">
        <w:rPr>
          <w:rFonts w:ascii="Times New Roman" w:hAnsi="Times New Roman" w:cs="Times New Roman"/>
        </w:rPr>
        <w:t>conti</w:t>
      </w:r>
      <w:r w:rsidR="001D6BF2" w:rsidRPr="00F148CE">
        <w:rPr>
          <w:rStyle w:val="Rimandonotaapidipagina"/>
          <w:rFonts w:ascii="Times New Roman" w:hAnsi="Times New Roman" w:cs="Times New Roman"/>
        </w:rPr>
        <w:footnoteReference w:id="3"/>
      </w:r>
      <w:r w:rsidR="001D6BF2" w:rsidRPr="00F148CE">
        <w:rPr>
          <w:rFonts w:ascii="Times New Roman" w:hAnsi="Times New Roman" w:cs="Times New Roman"/>
        </w:rPr>
        <w:t>,</w:t>
      </w:r>
      <w:r w:rsidR="00BB1540" w:rsidRPr="00F148CE">
        <w:rPr>
          <w:rFonts w:ascii="Times New Roman" w:hAnsi="Times New Roman" w:cs="Times New Roman"/>
        </w:rPr>
        <w:t xml:space="preserve"> </w:t>
      </w:r>
      <w:r w:rsidR="001D6BF2" w:rsidRPr="00F148CE">
        <w:rPr>
          <w:rFonts w:ascii="Times New Roman" w:hAnsi="Times New Roman" w:cs="Times New Roman"/>
        </w:rPr>
        <w:t xml:space="preserve">in riferimento </w:t>
      </w:r>
      <w:r w:rsidR="00874028" w:rsidRPr="00F148CE">
        <w:rPr>
          <w:rFonts w:ascii="Times New Roman" w:hAnsi="Times New Roman" w:cs="Times New Roman"/>
        </w:rPr>
        <w:t>ai rapporti tra i diversi strumenti messi a disposizione d</w:t>
      </w:r>
      <w:r w:rsidR="006F6E4C" w:rsidRPr="00F148CE">
        <w:rPr>
          <w:rFonts w:ascii="Times New Roman" w:hAnsi="Times New Roman" w:cs="Times New Roman"/>
        </w:rPr>
        <w:t>a</w:t>
      </w:r>
      <w:r w:rsidR="00874028" w:rsidRPr="00F148CE">
        <w:rPr>
          <w:rFonts w:ascii="Times New Roman" w:hAnsi="Times New Roman" w:cs="Times New Roman"/>
        </w:rPr>
        <w:t>ll’ordinamento</w:t>
      </w:r>
      <w:r w:rsidR="001D6BF2" w:rsidRPr="00F148CE">
        <w:rPr>
          <w:rFonts w:ascii="Times New Roman" w:hAnsi="Times New Roman" w:cs="Times New Roman"/>
        </w:rPr>
        <w:t>,</w:t>
      </w:r>
      <w:r w:rsidR="00874028" w:rsidRPr="00F148CE">
        <w:rPr>
          <w:rFonts w:ascii="Times New Roman" w:hAnsi="Times New Roman" w:cs="Times New Roman"/>
        </w:rPr>
        <w:t xml:space="preserve"> </w:t>
      </w:r>
      <w:r w:rsidR="00403CB2" w:rsidRPr="00F148CE">
        <w:rPr>
          <w:rFonts w:ascii="Times New Roman" w:hAnsi="Times New Roman" w:cs="Times New Roman"/>
        </w:rPr>
        <w:t xml:space="preserve">precisano </w:t>
      </w:r>
      <w:r w:rsidR="00874028" w:rsidRPr="00F148CE">
        <w:rPr>
          <w:rFonts w:ascii="Times New Roman" w:hAnsi="Times New Roman" w:cs="Times New Roman"/>
        </w:rPr>
        <w:t xml:space="preserve">che </w:t>
      </w:r>
      <w:r w:rsidR="00874028" w:rsidRPr="00F148CE">
        <w:rPr>
          <w:rFonts w:ascii="Times New Roman" w:hAnsi="Times New Roman" w:cs="Times New Roman"/>
          <w:i/>
          <w:iCs/>
        </w:rPr>
        <w:t xml:space="preserve">il favor </w:t>
      </w:r>
      <w:proofErr w:type="spellStart"/>
      <w:r w:rsidR="00874028" w:rsidRPr="00F148CE">
        <w:rPr>
          <w:rFonts w:ascii="Times New Roman" w:hAnsi="Times New Roman" w:cs="Times New Roman"/>
          <w:i/>
          <w:iCs/>
          <w:u w:val="single"/>
        </w:rPr>
        <w:t>legislatoris</w:t>
      </w:r>
      <w:proofErr w:type="spellEnd"/>
      <w:r w:rsidR="00874028" w:rsidRPr="00F148CE">
        <w:rPr>
          <w:rFonts w:ascii="Times New Roman" w:hAnsi="Times New Roman" w:cs="Times New Roman"/>
          <w:u w:val="single"/>
        </w:rPr>
        <w:t xml:space="preserve"> </w:t>
      </w:r>
      <w:r w:rsidR="00874028" w:rsidRPr="00F148CE">
        <w:rPr>
          <w:rFonts w:ascii="Times New Roman" w:hAnsi="Times New Roman" w:cs="Times New Roman"/>
        </w:rPr>
        <w:t xml:space="preserve">nei confronti della procedura di riequilibrio deve interpretarsi, </w:t>
      </w:r>
      <w:r w:rsidR="001D6BF2" w:rsidRPr="00F148CE">
        <w:rPr>
          <w:rFonts w:ascii="Times New Roman" w:hAnsi="Times New Roman" w:cs="Times New Roman"/>
        </w:rPr>
        <w:t>“</w:t>
      </w:r>
      <w:r w:rsidR="00874028" w:rsidRPr="00F148CE">
        <w:rPr>
          <w:rFonts w:ascii="Times New Roman" w:hAnsi="Times New Roman" w:cs="Times New Roman"/>
          <w:i/>
          <w:iCs/>
        </w:rPr>
        <w:t>sotto un profilo meramente procedurale, quale</w:t>
      </w:r>
      <w:r w:rsidR="001D6BF2" w:rsidRPr="00F148CE">
        <w:rPr>
          <w:rFonts w:ascii="Times New Roman" w:hAnsi="Times New Roman" w:cs="Times New Roman"/>
          <w:i/>
          <w:iCs/>
        </w:rPr>
        <w:t xml:space="preserve"> </w:t>
      </w:r>
      <w:r w:rsidR="00874028" w:rsidRPr="00F148CE">
        <w:rPr>
          <w:rFonts w:ascii="Times New Roman" w:hAnsi="Times New Roman" w:cs="Times New Roman"/>
          <w:i/>
          <w:iCs/>
        </w:rPr>
        <w:t>strumento idoneo a consentire il permanere di una gestione continuativa ed unitaria del</w:t>
      </w:r>
      <w:r w:rsidR="001D6BF2" w:rsidRPr="00F148CE">
        <w:rPr>
          <w:rFonts w:ascii="Times New Roman" w:hAnsi="Times New Roman" w:cs="Times New Roman"/>
          <w:i/>
          <w:iCs/>
        </w:rPr>
        <w:t xml:space="preserve"> </w:t>
      </w:r>
      <w:r w:rsidR="00874028" w:rsidRPr="00F148CE">
        <w:rPr>
          <w:rFonts w:ascii="Times New Roman" w:hAnsi="Times New Roman" w:cs="Times New Roman"/>
          <w:i/>
          <w:iCs/>
        </w:rPr>
        <w:t>bilancio, nella logica di favorire l’accountability dell’amministrazione</w:t>
      </w:r>
      <w:r w:rsidR="001D6BF2" w:rsidRPr="00F148CE">
        <w:rPr>
          <w:rFonts w:ascii="Times New Roman" w:hAnsi="Times New Roman" w:cs="Times New Roman"/>
        </w:rPr>
        <w:t>”.</w:t>
      </w:r>
    </w:p>
    <w:p w14:paraId="26DAFB8E" w14:textId="670E7CDA" w:rsidR="00874028" w:rsidRPr="00F148CE" w:rsidRDefault="001D6BF2" w:rsidP="00403CB2">
      <w:pPr>
        <w:jc w:val="both"/>
        <w:rPr>
          <w:rFonts w:ascii="Times New Roman" w:hAnsi="Times New Roman" w:cs="Times New Roman"/>
        </w:rPr>
      </w:pPr>
      <w:r w:rsidRPr="00F148CE">
        <w:rPr>
          <w:rFonts w:ascii="Times New Roman" w:hAnsi="Times New Roman" w:cs="Times New Roman"/>
        </w:rPr>
        <w:t>I</w:t>
      </w:r>
      <w:r w:rsidR="00874028" w:rsidRPr="00F148CE">
        <w:rPr>
          <w:rFonts w:ascii="Times New Roman" w:hAnsi="Times New Roman" w:cs="Times New Roman"/>
        </w:rPr>
        <w:t>l ricorso alla procedura di riequilibrio non può rivelarsi</w:t>
      </w:r>
      <w:r w:rsidRPr="00F148CE">
        <w:rPr>
          <w:rFonts w:ascii="Times New Roman" w:hAnsi="Times New Roman" w:cs="Times New Roman"/>
        </w:rPr>
        <w:t>, inoltre,</w:t>
      </w:r>
      <w:r w:rsidR="005F5CAD" w:rsidRPr="00F148CE">
        <w:rPr>
          <w:rFonts w:ascii="Times New Roman" w:hAnsi="Times New Roman" w:cs="Times New Roman"/>
        </w:rPr>
        <w:t xml:space="preserve"> </w:t>
      </w:r>
      <w:r w:rsidR="006F6E4C" w:rsidRPr="00F148CE">
        <w:rPr>
          <w:rFonts w:ascii="Times New Roman" w:hAnsi="Times New Roman" w:cs="Times New Roman"/>
        </w:rPr>
        <w:t>come</w:t>
      </w:r>
      <w:r w:rsidR="00BB1540" w:rsidRPr="00F148CE">
        <w:rPr>
          <w:rFonts w:ascii="Times New Roman" w:hAnsi="Times New Roman" w:cs="Times New Roman"/>
        </w:rPr>
        <w:t xml:space="preserve"> </w:t>
      </w:r>
      <w:r w:rsidRPr="00F148CE">
        <w:rPr>
          <w:rFonts w:ascii="Times New Roman" w:hAnsi="Times New Roman" w:cs="Times New Roman"/>
        </w:rPr>
        <w:t>“</w:t>
      </w:r>
      <w:r w:rsidR="00874028" w:rsidRPr="00F148CE">
        <w:rPr>
          <w:rFonts w:ascii="Times New Roman" w:hAnsi="Times New Roman" w:cs="Times New Roman"/>
          <w:i/>
          <w:iCs/>
        </w:rPr>
        <w:t>un artificioso</w:t>
      </w:r>
      <w:r w:rsidRPr="00F148CE">
        <w:rPr>
          <w:rFonts w:ascii="Times New Roman" w:hAnsi="Times New Roman" w:cs="Times New Roman"/>
          <w:i/>
          <w:iCs/>
        </w:rPr>
        <w:t xml:space="preserve"> </w:t>
      </w:r>
      <w:r w:rsidR="00874028" w:rsidRPr="00F148CE">
        <w:rPr>
          <w:rFonts w:ascii="Times New Roman" w:hAnsi="Times New Roman" w:cs="Times New Roman"/>
          <w:i/>
          <w:iCs/>
        </w:rPr>
        <w:t>escamotage con il quale si evita la dichiarazione di dissesto, protraendosi indebitamente una</w:t>
      </w:r>
      <w:r w:rsidRPr="00F148CE">
        <w:rPr>
          <w:rFonts w:ascii="Times New Roman" w:hAnsi="Times New Roman" w:cs="Times New Roman"/>
          <w:i/>
          <w:iCs/>
        </w:rPr>
        <w:t xml:space="preserve"> </w:t>
      </w:r>
      <w:r w:rsidR="00874028" w:rsidRPr="00F148CE">
        <w:rPr>
          <w:rFonts w:ascii="Times New Roman" w:hAnsi="Times New Roman" w:cs="Times New Roman"/>
          <w:i/>
          <w:iCs/>
        </w:rPr>
        <w:t>situazione nella quale già sussistono i presupposti richiesti dal legislatore, atteso che detta</w:t>
      </w:r>
      <w:r w:rsidRPr="00F148CE">
        <w:rPr>
          <w:rFonts w:ascii="Times New Roman" w:hAnsi="Times New Roman" w:cs="Times New Roman"/>
          <w:i/>
          <w:iCs/>
        </w:rPr>
        <w:t xml:space="preserve"> </w:t>
      </w:r>
      <w:r w:rsidR="00874028" w:rsidRPr="00F148CE">
        <w:rPr>
          <w:rFonts w:ascii="Times New Roman" w:hAnsi="Times New Roman" w:cs="Times New Roman"/>
          <w:i/>
          <w:iCs/>
        </w:rPr>
        <w:t>dichiarazione, in presenza delle condizioni legali, costituisce attività vincolata ed ineludibile (Cons.</w:t>
      </w:r>
      <w:r w:rsidRPr="00F148CE">
        <w:rPr>
          <w:rFonts w:ascii="Times New Roman" w:hAnsi="Times New Roman" w:cs="Times New Roman"/>
          <w:i/>
          <w:iCs/>
        </w:rPr>
        <w:t xml:space="preserve"> </w:t>
      </w:r>
      <w:r w:rsidR="00874028" w:rsidRPr="00F148CE">
        <w:rPr>
          <w:rFonts w:ascii="Times New Roman" w:hAnsi="Times New Roman" w:cs="Times New Roman"/>
          <w:i/>
          <w:iCs/>
        </w:rPr>
        <w:t>Stato, n. 143/2012), al fine di consentire il risanamento dell’ente locale, cristallizzando, ad una</w:t>
      </w:r>
      <w:r w:rsidRPr="00F148CE">
        <w:rPr>
          <w:rFonts w:ascii="Times New Roman" w:hAnsi="Times New Roman" w:cs="Times New Roman"/>
          <w:i/>
          <w:iCs/>
        </w:rPr>
        <w:t xml:space="preserve"> </w:t>
      </w:r>
      <w:r w:rsidR="00874028" w:rsidRPr="00F148CE">
        <w:rPr>
          <w:rFonts w:ascii="Times New Roman" w:hAnsi="Times New Roman" w:cs="Times New Roman"/>
          <w:i/>
          <w:iCs/>
        </w:rPr>
        <w:t>certa data, la situazione creditoria e debitoria ed affidandone la gestione ad una commissione</w:t>
      </w:r>
      <w:r w:rsidRPr="00F148CE">
        <w:rPr>
          <w:rFonts w:ascii="Times New Roman" w:hAnsi="Times New Roman" w:cs="Times New Roman"/>
          <w:i/>
          <w:iCs/>
        </w:rPr>
        <w:t xml:space="preserve"> </w:t>
      </w:r>
      <w:r w:rsidR="00874028" w:rsidRPr="00F148CE">
        <w:rPr>
          <w:rFonts w:ascii="Times New Roman" w:hAnsi="Times New Roman" w:cs="Times New Roman"/>
          <w:i/>
          <w:iCs/>
        </w:rPr>
        <w:t>esterna…</w:t>
      </w:r>
      <w:r w:rsidR="00874028" w:rsidRPr="00F148CE">
        <w:rPr>
          <w:rFonts w:ascii="Times New Roman" w:hAnsi="Times New Roman" w:cs="Times New Roman"/>
        </w:rPr>
        <w:t>” (cfr. SS.RR. n. 2/2020/DELC).</w:t>
      </w:r>
    </w:p>
    <w:p w14:paraId="6667A7F5" w14:textId="1018F1EC" w:rsidR="00874028" w:rsidRPr="00F148CE" w:rsidRDefault="001D6BF2" w:rsidP="00403CB2">
      <w:pPr>
        <w:jc w:val="both"/>
        <w:rPr>
          <w:rFonts w:ascii="Times New Roman" w:hAnsi="Times New Roman" w:cs="Times New Roman"/>
        </w:rPr>
      </w:pPr>
      <w:r w:rsidRPr="00F148CE">
        <w:rPr>
          <w:rFonts w:ascii="Times New Roman" w:hAnsi="Times New Roman" w:cs="Times New Roman"/>
        </w:rPr>
        <w:t>P</w:t>
      </w:r>
      <w:r w:rsidR="00403CB2" w:rsidRPr="00F148CE">
        <w:rPr>
          <w:rFonts w:ascii="Times New Roman" w:hAnsi="Times New Roman" w:cs="Times New Roman"/>
        </w:rPr>
        <w:t>untualizzano</w:t>
      </w:r>
      <w:r w:rsidRPr="00F148CE">
        <w:rPr>
          <w:rFonts w:ascii="Times New Roman" w:hAnsi="Times New Roman" w:cs="Times New Roman"/>
        </w:rPr>
        <w:t xml:space="preserve">, altresì , le Sezioni riunite in sede giurisdizionale, con </w:t>
      </w:r>
      <w:r w:rsidR="006F6E4C" w:rsidRPr="00F148CE">
        <w:rPr>
          <w:rFonts w:ascii="Times New Roman" w:hAnsi="Times New Roman" w:cs="Times New Roman"/>
        </w:rPr>
        <w:t xml:space="preserve">la richiamata </w:t>
      </w:r>
      <w:r w:rsidRPr="00F148CE">
        <w:rPr>
          <w:rFonts w:ascii="Times New Roman" w:hAnsi="Times New Roman" w:cs="Times New Roman"/>
        </w:rPr>
        <w:t>sentenza n.40/2020/EL, che</w:t>
      </w:r>
      <w:r w:rsidR="00BB1540" w:rsidRPr="00F148CE">
        <w:rPr>
          <w:rFonts w:ascii="Times New Roman" w:hAnsi="Times New Roman" w:cs="Times New Roman"/>
        </w:rPr>
        <w:t xml:space="preserve"> </w:t>
      </w:r>
      <w:r w:rsidRPr="00F148CE">
        <w:rPr>
          <w:rFonts w:ascii="Times New Roman" w:hAnsi="Times New Roman" w:cs="Times New Roman"/>
        </w:rPr>
        <w:t>“</w:t>
      </w:r>
      <w:r w:rsidRPr="00F148CE">
        <w:rPr>
          <w:rFonts w:ascii="Times New Roman" w:hAnsi="Times New Roman" w:cs="Times New Roman"/>
          <w:i/>
          <w:iCs/>
        </w:rPr>
        <w:t>m</w:t>
      </w:r>
      <w:r w:rsidR="00874028" w:rsidRPr="00F148CE">
        <w:rPr>
          <w:rFonts w:ascii="Times New Roman" w:hAnsi="Times New Roman" w:cs="Times New Roman"/>
          <w:i/>
          <w:iCs/>
        </w:rPr>
        <w:t>entre il ricorso alla procedura di riequilibrio</w:t>
      </w:r>
      <w:r w:rsidRPr="00F148CE">
        <w:rPr>
          <w:rFonts w:ascii="Times New Roman" w:hAnsi="Times New Roman" w:cs="Times New Roman"/>
          <w:i/>
          <w:iCs/>
        </w:rPr>
        <w:t xml:space="preserve"> </w:t>
      </w:r>
      <w:r w:rsidR="00874028" w:rsidRPr="00F148CE">
        <w:rPr>
          <w:rFonts w:ascii="Times New Roman" w:hAnsi="Times New Roman" w:cs="Times New Roman"/>
          <w:i/>
          <w:iCs/>
        </w:rPr>
        <w:t>finanziario interviene</w:t>
      </w:r>
      <w:r w:rsidRPr="00F148CE">
        <w:rPr>
          <w:rFonts w:ascii="Times New Roman" w:hAnsi="Times New Roman" w:cs="Times New Roman"/>
          <w:i/>
          <w:iCs/>
        </w:rPr>
        <w:t>, inoltre,</w:t>
      </w:r>
      <w:r w:rsidR="00BB1540" w:rsidRPr="00F148CE">
        <w:rPr>
          <w:rFonts w:ascii="Times New Roman" w:hAnsi="Times New Roman" w:cs="Times New Roman"/>
          <w:i/>
          <w:iCs/>
        </w:rPr>
        <w:t xml:space="preserve"> </w:t>
      </w:r>
      <w:r w:rsidR="00874028" w:rsidRPr="00F148CE">
        <w:rPr>
          <w:rFonts w:ascii="Times New Roman" w:hAnsi="Times New Roman" w:cs="Times New Roman"/>
          <w:i/>
          <w:iCs/>
        </w:rPr>
        <w:t>in un momento prodromico al dissesto, vale a dire, quando la crisi</w:t>
      </w:r>
      <w:r w:rsidRPr="00F148CE">
        <w:rPr>
          <w:rFonts w:ascii="Times New Roman" w:hAnsi="Times New Roman" w:cs="Times New Roman"/>
          <w:i/>
          <w:iCs/>
        </w:rPr>
        <w:t xml:space="preserve"> </w:t>
      </w:r>
      <w:r w:rsidR="00874028" w:rsidRPr="00F148CE">
        <w:rPr>
          <w:rFonts w:ascii="Times New Roman" w:hAnsi="Times New Roman" w:cs="Times New Roman"/>
          <w:i/>
          <w:iCs/>
        </w:rPr>
        <w:t>finanziaria non avendo ancora pregiudicato irreversibilmente gli equilibri di bilancio, risulta</w:t>
      </w:r>
      <w:r w:rsidRPr="00F148CE">
        <w:rPr>
          <w:rFonts w:ascii="Times New Roman" w:hAnsi="Times New Roman" w:cs="Times New Roman"/>
          <w:i/>
          <w:iCs/>
        </w:rPr>
        <w:t xml:space="preserve"> </w:t>
      </w:r>
      <w:r w:rsidR="00874028" w:rsidRPr="00F148CE">
        <w:rPr>
          <w:rFonts w:ascii="Times New Roman" w:hAnsi="Times New Roman" w:cs="Times New Roman"/>
          <w:i/>
          <w:iCs/>
        </w:rPr>
        <w:t xml:space="preserve">tendenzialmente compatibile con un percorso di risanamento “interno” </w:t>
      </w:r>
      <w:r w:rsidRPr="00F148CE">
        <w:rPr>
          <w:rFonts w:ascii="Times New Roman" w:hAnsi="Times New Roman" w:cs="Times New Roman"/>
          <w:i/>
          <w:iCs/>
        </w:rPr>
        <w:t>–</w:t>
      </w:r>
      <w:r w:rsidR="00874028" w:rsidRPr="00F148CE">
        <w:rPr>
          <w:rFonts w:ascii="Times New Roman" w:hAnsi="Times New Roman" w:cs="Times New Roman"/>
          <w:i/>
          <w:iCs/>
        </w:rPr>
        <w:t xml:space="preserve"> mediante</w:t>
      </w:r>
      <w:r w:rsidRPr="00F148CE">
        <w:rPr>
          <w:rFonts w:ascii="Times New Roman" w:hAnsi="Times New Roman" w:cs="Times New Roman"/>
          <w:i/>
          <w:iCs/>
        </w:rPr>
        <w:t xml:space="preserve"> </w:t>
      </w:r>
      <w:r w:rsidR="00874028" w:rsidRPr="00F148CE">
        <w:rPr>
          <w:rFonts w:ascii="Times New Roman" w:hAnsi="Times New Roman" w:cs="Times New Roman"/>
          <w:i/>
          <w:iCs/>
        </w:rPr>
        <w:t>l’affidamento agli organi ordinari dell’ente…- la dichiarazione di dissesto, invece, diviene</w:t>
      </w:r>
      <w:r w:rsidRPr="00F148CE">
        <w:rPr>
          <w:rFonts w:ascii="Times New Roman" w:hAnsi="Times New Roman" w:cs="Times New Roman"/>
          <w:i/>
          <w:iCs/>
        </w:rPr>
        <w:t xml:space="preserve"> </w:t>
      </w:r>
      <w:r w:rsidR="00874028" w:rsidRPr="00F148CE">
        <w:rPr>
          <w:rFonts w:ascii="Times New Roman" w:hAnsi="Times New Roman" w:cs="Times New Roman"/>
          <w:i/>
          <w:iCs/>
        </w:rPr>
        <w:t>inevitabile quando alle già gravi criticità finanziarie si sovrappongono, anche, quelle funzionali</w:t>
      </w:r>
      <w:r w:rsidRPr="00F148CE">
        <w:rPr>
          <w:rFonts w:ascii="Times New Roman" w:hAnsi="Times New Roman" w:cs="Times New Roman"/>
          <w:i/>
          <w:iCs/>
        </w:rPr>
        <w:t xml:space="preserve"> </w:t>
      </w:r>
      <w:r w:rsidR="00874028" w:rsidRPr="00F148CE">
        <w:rPr>
          <w:rFonts w:ascii="Times New Roman" w:hAnsi="Times New Roman" w:cs="Times New Roman"/>
          <w:i/>
          <w:iCs/>
        </w:rPr>
        <w:t>che finiscono per minare strutturalmente ed irrimediabilmente la capacità dell’ente di erogare</w:t>
      </w:r>
      <w:r w:rsidRPr="00F148CE">
        <w:rPr>
          <w:rFonts w:ascii="Times New Roman" w:hAnsi="Times New Roman" w:cs="Times New Roman"/>
          <w:i/>
          <w:iCs/>
        </w:rPr>
        <w:t xml:space="preserve"> </w:t>
      </w:r>
      <w:r w:rsidR="00874028" w:rsidRPr="00F148CE">
        <w:rPr>
          <w:rFonts w:ascii="Times New Roman" w:hAnsi="Times New Roman" w:cs="Times New Roman"/>
          <w:i/>
          <w:iCs/>
        </w:rPr>
        <w:t>i servizi essenziali e di svolgere le funzioni istituzionali fondamentali a cui è deputato per</w:t>
      </w:r>
      <w:r w:rsidRPr="00F148CE">
        <w:rPr>
          <w:rFonts w:ascii="Times New Roman" w:hAnsi="Times New Roman" w:cs="Times New Roman"/>
          <w:i/>
          <w:iCs/>
        </w:rPr>
        <w:t xml:space="preserve"> </w:t>
      </w:r>
      <w:r w:rsidR="00874028" w:rsidRPr="00F148CE">
        <w:rPr>
          <w:rFonts w:ascii="Times New Roman" w:hAnsi="Times New Roman" w:cs="Times New Roman"/>
          <w:i/>
          <w:iCs/>
        </w:rPr>
        <w:t>legg</w:t>
      </w:r>
      <w:r w:rsidRPr="00F148CE">
        <w:rPr>
          <w:rFonts w:ascii="Times New Roman" w:hAnsi="Times New Roman" w:cs="Times New Roman"/>
          <w:i/>
          <w:iCs/>
        </w:rPr>
        <w:t>e</w:t>
      </w:r>
      <w:r w:rsidR="00874028" w:rsidRPr="00F148CE">
        <w:rPr>
          <w:rFonts w:ascii="Times New Roman" w:hAnsi="Times New Roman" w:cs="Times New Roman"/>
        </w:rPr>
        <w:t>.</w:t>
      </w:r>
    </w:p>
    <w:p w14:paraId="0E6679AE" w14:textId="076DFC9C" w:rsidR="005165F4" w:rsidRDefault="005165F4" w:rsidP="00403CB2">
      <w:pPr>
        <w:jc w:val="both"/>
        <w:rPr>
          <w:rFonts w:ascii="Times New Roman" w:hAnsi="Times New Roman" w:cs="Times New Roman"/>
        </w:rPr>
      </w:pPr>
      <w:r>
        <w:rPr>
          <w:rFonts w:ascii="Times New Roman" w:hAnsi="Times New Roman" w:cs="Times New Roman"/>
        </w:rPr>
        <w:t xml:space="preserve">Quello </w:t>
      </w:r>
      <w:r w:rsidRPr="00F148CE">
        <w:rPr>
          <w:rFonts w:ascii="Times New Roman" w:hAnsi="Times New Roman" w:cs="Times New Roman"/>
        </w:rPr>
        <w:t>che</w:t>
      </w:r>
      <w:r w:rsidR="006F6E4C" w:rsidRPr="00F148CE">
        <w:rPr>
          <w:rFonts w:ascii="Times New Roman" w:hAnsi="Times New Roman" w:cs="Times New Roman"/>
        </w:rPr>
        <w:t xml:space="preserve"> emerge, dunque, dal dato normativo e dalla giurisprudenza contabile </w:t>
      </w:r>
      <w:r w:rsidR="0006572C">
        <w:rPr>
          <w:rFonts w:ascii="Times New Roman" w:hAnsi="Times New Roman" w:cs="Times New Roman"/>
        </w:rPr>
        <w:t>in materia</w:t>
      </w:r>
      <w:r w:rsidR="006F6E4C" w:rsidRPr="00F148CE">
        <w:rPr>
          <w:rFonts w:ascii="Times New Roman" w:hAnsi="Times New Roman" w:cs="Times New Roman"/>
          <w:i/>
          <w:iCs/>
        </w:rPr>
        <w:t>,</w:t>
      </w:r>
      <w:r w:rsidR="006F6E4C" w:rsidRPr="00F148CE">
        <w:rPr>
          <w:rFonts w:ascii="Times New Roman" w:hAnsi="Times New Roman" w:cs="Times New Roman"/>
        </w:rPr>
        <w:t xml:space="preserve"> è che g</w:t>
      </w:r>
      <w:r w:rsidR="007E7F25" w:rsidRPr="00F148CE">
        <w:rPr>
          <w:rFonts w:ascii="Times New Roman" w:hAnsi="Times New Roman" w:cs="Times New Roman"/>
        </w:rPr>
        <w:t>li amministratori sono</w:t>
      </w:r>
      <w:r w:rsidR="006F6E4C" w:rsidRPr="00F148CE">
        <w:rPr>
          <w:rFonts w:ascii="Times New Roman" w:hAnsi="Times New Roman" w:cs="Times New Roman"/>
        </w:rPr>
        <w:t xml:space="preserve"> </w:t>
      </w:r>
      <w:r w:rsidR="007E7F25" w:rsidRPr="00F148CE">
        <w:rPr>
          <w:rFonts w:ascii="Times New Roman" w:hAnsi="Times New Roman" w:cs="Times New Roman"/>
        </w:rPr>
        <w:t>condizionati nella scelta da adottare</w:t>
      </w:r>
      <w:r w:rsidR="00BB1540" w:rsidRPr="00F148CE">
        <w:rPr>
          <w:rFonts w:ascii="Times New Roman" w:hAnsi="Times New Roman" w:cs="Times New Roman"/>
        </w:rPr>
        <w:t xml:space="preserve"> </w:t>
      </w:r>
      <w:r w:rsidR="007E7F25" w:rsidRPr="00F148CE">
        <w:rPr>
          <w:rFonts w:ascii="Times New Roman" w:hAnsi="Times New Roman" w:cs="Times New Roman"/>
        </w:rPr>
        <w:t>dalla valutazione del grado di insolvenza, in quanto il ricorso al Piano di riequilibrio è giustificato solo in presenza delle condizioni per ripristinare una situazione di “sostenibilità finanziaria</w:t>
      </w:r>
      <w:r w:rsidR="00D71CDE" w:rsidRPr="00F148CE">
        <w:rPr>
          <w:rFonts w:ascii="Times New Roman" w:hAnsi="Times New Roman" w:cs="Times New Roman"/>
        </w:rPr>
        <w:t>”</w:t>
      </w:r>
      <w:r w:rsidR="00D71CDE" w:rsidRPr="00F148CE">
        <w:rPr>
          <w:rStyle w:val="Rimandonotaapidipagina"/>
          <w:rFonts w:ascii="Times New Roman" w:hAnsi="Times New Roman" w:cs="Times New Roman"/>
        </w:rPr>
        <w:footnoteReference w:id="4"/>
      </w:r>
      <w:r w:rsidR="007E7F25" w:rsidRPr="00F148CE">
        <w:rPr>
          <w:rFonts w:ascii="Times New Roman" w:hAnsi="Times New Roman" w:cs="Times New Roman"/>
        </w:rPr>
        <w:t xml:space="preserve"> ed estinguere la massa passiva nell’arco temporale previsto dal legislatore</w:t>
      </w:r>
      <w:r>
        <w:rPr>
          <w:rFonts w:ascii="Times New Roman" w:hAnsi="Times New Roman" w:cs="Times New Roman"/>
        </w:rPr>
        <w:t>.</w:t>
      </w:r>
    </w:p>
    <w:p w14:paraId="74715215" w14:textId="7A5FB946" w:rsidR="007E7F25" w:rsidRPr="00F148CE" w:rsidRDefault="005165F4" w:rsidP="00403CB2">
      <w:pPr>
        <w:jc w:val="both"/>
        <w:rPr>
          <w:rFonts w:ascii="Times New Roman" w:hAnsi="Times New Roman" w:cs="Times New Roman"/>
        </w:rPr>
      </w:pPr>
      <w:r>
        <w:rPr>
          <w:rFonts w:ascii="Times New Roman" w:hAnsi="Times New Roman" w:cs="Times New Roman"/>
        </w:rPr>
        <w:t>Ciò,</w:t>
      </w:r>
      <w:r w:rsidR="007E7F25" w:rsidRPr="00F148CE">
        <w:rPr>
          <w:rFonts w:ascii="Times New Roman" w:hAnsi="Times New Roman" w:cs="Times New Roman"/>
        </w:rPr>
        <w:t xml:space="preserve"> a seguito di una attività ricognitiva e dichiarativa che l’ente ha l’obbligo di effettuare</w:t>
      </w:r>
      <w:r w:rsidR="007E7F25" w:rsidRPr="00F148CE">
        <w:rPr>
          <w:rStyle w:val="Rimandonotaapidipagina"/>
          <w:rFonts w:ascii="Times New Roman" w:hAnsi="Times New Roman" w:cs="Times New Roman"/>
        </w:rPr>
        <w:footnoteReference w:id="5"/>
      </w:r>
      <w:r w:rsidR="007E7F25" w:rsidRPr="00F148CE">
        <w:rPr>
          <w:rFonts w:ascii="Times New Roman" w:hAnsi="Times New Roman" w:cs="Times New Roman"/>
        </w:rPr>
        <w:t xml:space="preserve"> e la cui attendibilità sarà sottoposta a</w:t>
      </w:r>
      <w:r>
        <w:rPr>
          <w:rFonts w:ascii="Times New Roman" w:hAnsi="Times New Roman" w:cs="Times New Roman"/>
        </w:rPr>
        <w:t>d</w:t>
      </w:r>
      <w:r w:rsidR="007E7F25" w:rsidRPr="00F148CE">
        <w:rPr>
          <w:rFonts w:ascii="Times New Roman" w:hAnsi="Times New Roman" w:cs="Times New Roman"/>
        </w:rPr>
        <w:t xml:space="preserve"> un controllo di “legalità finanziaria” sulla congruità </w:t>
      </w:r>
      <w:r w:rsidRPr="00F148CE">
        <w:rPr>
          <w:rFonts w:ascii="Times New Roman" w:hAnsi="Times New Roman" w:cs="Times New Roman"/>
        </w:rPr>
        <w:t>delle misure</w:t>
      </w:r>
      <w:r w:rsidR="007E7F25" w:rsidRPr="00F148CE">
        <w:rPr>
          <w:rFonts w:ascii="Times New Roman" w:hAnsi="Times New Roman" w:cs="Times New Roman"/>
        </w:rPr>
        <w:t xml:space="preserve"> (cioè “la capacità del Piano di garantire, in un’ottica pluriennale e ‘prospettica’, l’effettivo recupero degli equilibri di bilancio”) da parte della Corte dei conti.</w:t>
      </w:r>
    </w:p>
    <w:p w14:paraId="7D180D42" w14:textId="08633F4F" w:rsidR="00B467CC" w:rsidRPr="00F148CE" w:rsidRDefault="00B467CC" w:rsidP="00B467CC">
      <w:pPr>
        <w:jc w:val="both"/>
        <w:rPr>
          <w:rFonts w:ascii="Times New Roman" w:hAnsi="Times New Roman" w:cs="Times New Roman"/>
        </w:rPr>
      </w:pPr>
      <w:r w:rsidRPr="00F148CE">
        <w:rPr>
          <w:rFonts w:ascii="Times New Roman" w:hAnsi="Times New Roman" w:cs="Times New Roman"/>
        </w:rPr>
        <w:t xml:space="preserve">Il ricorso al dissesto, invece, è un esito obbligato qualora l’ente verifichi l’impossibilità di ripristinare una situazione di normalità nella gestione ordinaria, </w:t>
      </w:r>
      <w:r w:rsidR="00003FFB">
        <w:rPr>
          <w:rFonts w:ascii="Times New Roman" w:hAnsi="Times New Roman" w:cs="Times New Roman"/>
        </w:rPr>
        <w:t>poiché</w:t>
      </w:r>
      <w:r w:rsidRPr="00F148CE">
        <w:rPr>
          <w:rFonts w:ascii="Times New Roman" w:hAnsi="Times New Roman" w:cs="Times New Roman"/>
        </w:rPr>
        <w:t xml:space="preserve"> la decisione di dichiarare lo stato di dissesto finanziario non è frutto di una scelta discrezionale dell’ente, rappresentando piuttosto una determinazione vincolata (ed ineludibile) in presenza dei presupposti di fatto fissati dalla legge. La “valutazione”, richiamata dall’</w:t>
      </w:r>
      <w:r w:rsidR="0057143C">
        <w:rPr>
          <w:rFonts w:ascii="Times New Roman" w:hAnsi="Times New Roman" w:cs="Times New Roman"/>
        </w:rPr>
        <w:t>art.</w:t>
      </w:r>
      <w:r w:rsidRPr="00F148CE">
        <w:rPr>
          <w:rFonts w:ascii="Times New Roman" w:hAnsi="Times New Roman" w:cs="Times New Roman"/>
        </w:rPr>
        <w:t xml:space="preserve"> 246, infatti, riguarda soltanto le cause che hanno determinato la situazione di deficit finanziario economico (e costituisce il presupposto logico – giuridico del procedimento di risanamento della riorganizzazione dell’ente e della corretta impostazione delle </w:t>
      </w:r>
      <w:r w:rsidRPr="00F148CE">
        <w:rPr>
          <w:rFonts w:ascii="Times New Roman" w:hAnsi="Times New Roman" w:cs="Times New Roman"/>
        </w:rPr>
        <w:lastRenderedPageBreak/>
        <w:t>indispensabili analisi finanziarie ed organizzative per addivenire alla adeguata definizione del nuovo bilancio stabilizzato)</w:t>
      </w:r>
      <w:r w:rsidRPr="00F148CE">
        <w:rPr>
          <w:rStyle w:val="Rimandonotaapidipagina"/>
          <w:rFonts w:ascii="Times New Roman" w:hAnsi="Times New Roman" w:cs="Times New Roman"/>
        </w:rPr>
        <w:footnoteReference w:id="6"/>
      </w:r>
      <w:r w:rsidRPr="00F148CE">
        <w:rPr>
          <w:rFonts w:ascii="Times New Roman" w:hAnsi="Times New Roman" w:cs="Times New Roman"/>
        </w:rPr>
        <w:t>.</w:t>
      </w:r>
    </w:p>
    <w:p w14:paraId="453D1BDA" w14:textId="406AC93B" w:rsidR="008D49DF" w:rsidRPr="00F148CE" w:rsidRDefault="008D49DF" w:rsidP="00403CB2">
      <w:pPr>
        <w:jc w:val="both"/>
        <w:rPr>
          <w:rFonts w:ascii="Times New Roman" w:hAnsi="Times New Roman" w:cs="Times New Roman"/>
        </w:rPr>
      </w:pPr>
      <w:r w:rsidRPr="00F148CE">
        <w:rPr>
          <w:rFonts w:ascii="Times New Roman" w:hAnsi="Times New Roman" w:cs="Times New Roman"/>
        </w:rPr>
        <w:t xml:space="preserve">Il rispetto del </w:t>
      </w:r>
      <w:r w:rsidR="001D6BF2" w:rsidRPr="00F148CE">
        <w:rPr>
          <w:rFonts w:ascii="Times New Roman" w:hAnsi="Times New Roman" w:cs="Times New Roman"/>
        </w:rPr>
        <w:t>principio di</w:t>
      </w:r>
      <w:r w:rsidRPr="00F148CE">
        <w:rPr>
          <w:rFonts w:ascii="Times New Roman" w:hAnsi="Times New Roman" w:cs="Times New Roman"/>
        </w:rPr>
        <w:t xml:space="preserve"> </w:t>
      </w:r>
      <w:r w:rsidR="006F6E4C" w:rsidRPr="00F148CE">
        <w:rPr>
          <w:rFonts w:ascii="Times New Roman" w:hAnsi="Times New Roman" w:cs="Times New Roman"/>
        </w:rPr>
        <w:t>“</w:t>
      </w:r>
      <w:r w:rsidRPr="00F148CE">
        <w:rPr>
          <w:rFonts w:ascii="Times New Roman" w:hAnsi="Times New Roman" w:cs="Times New Roman"/>
        </w:rPr>
        <w:t>proporzionalità</w:t>
      </w:r>
      <w:r w:rsidR="006F6E4C" w:rsidRPr="00F148CE">
        <w:rPr>
          <w:rFonts w:ascii="Times New Roman" w:hAnsi="Times New Roman" w:cs="Times New Roman"/>
        </w:rPr>
        <w:t>”</w:t>
      </w:r>
      <w:r w:rsidRPr="00F148CE">
        <w:rPr>
          <w:rFonts w:ascii="Times New Roman" w:hAnsi="Times New Roman" w:cs="Times New Roman"/>
        </w:rPr>
        <w:t xml:space="preserve"> deve, </w:t>
      </w:r>
      <w:r w:rsidR="00B467CC" w:rsidRPr="00F148CE">
        <w:rPr>
          <w:rFonts w:ascii="Times New Roman" w:hAnsi="Times New Roman" w:cs="Times New Roman"/>
        </w:rPr>
        <w:t>quindi</w:t>
      </w:r>
      <w:r w:rsidR="005F5CAD" w:rsidRPr="00F148CE">
        <w:rPr>
          <w:rFonts w:ascii="Times New Roman" w:hAnsi="Times New Roman" w:cs="Times New Roman"/>
        </w:rPr>
        <w:t>, guidare</w:t>
      </w:r>
      <w:r w:rsidRPr="00F148CE">
        <w:rPr>
          <w:rFonts w:ascii="Times New Roman" w:hAnsi="Times New Roman" w:cs="Times New Roman"/>
        </w:rPr>
        <w:t xml:space="preserve"> la scelta della </w:t>
      </w:r>
      <w:r w:rsidRPr="00F148CE">
        <w:rPr>
          <w:rFonts w:ascii="Times New Roman" w:hAnsi="Times New Roman" w:cs="Times New Roman"/>
          <w:i/>
          <w:iCs/>
        </w:rPr>
        <w:t>governance</w:t>
      </w:r>
      <w:r w:rsidRPr="00F148CE">
        <w:rPr>
          <w:rFonts w:ascii="Times New Roman" w:hAnsi="Times New Roman" w:cs="Times New Roman"/>
        </w:rPr>
        <w:t xml:space="preserve"> dell’Ente locale nell’individuazione dello strumento di risanamento della crisi finanziaria</w:t>
      </w:r>
      <w:r w:rsidR="007E7F25" w:rsidRPr="00F148CE">
        <w:rPr>
          <w:rFonts w:ascii="Times New Roman" w:hAnsi="Times New Roman" w:cs="Times New Roman"/>
        </w:rPr>
        <w:t xml:space="preserve"> in atto</w:t>
      </w:r>
      <w:r w:rsidRPr="00F148CE">
        <w:rPr>
          <w:rFonts w:ascii="Times New Roman" w:hAnsi="Times New Roman" w:cs="Times New Roman"/>
        </w:rPr>
        <w:t>, stante gli effetti che le diverse scelte determinano sulla collettività amministrata.</w:t>
      </w:r>
    </w:p>
    <w:p w14:paraId="3DFD4C38" w14:textId="230E019D" w:rsidR="00804926" w:rsidRPr="00F148CE" w:rsidRDefault="008D49DF" w:rsidP="00403CB2">
      <w:pPr>
        <w:jc w:val="both"/>
        <w:rPr>
          <w:rFonts w:ascii="Times New Roman" w:hAnsi="Times New Roman" w:cs="Times New Roman"/>
        </w:rPr>
      </w:pPr>
      <w:r w:rsidRPr="00F148CE">
        <w:rPr>
          <w:rFonts w:ascii="Times New Roman" w:hAnsi="Times New Roman" w:cs="Times New Roman"/>
        </w:rPr>
        <w:t>Basti, a</w:t>
      </w:r>
      <w:r w:rsidR="00003FFB">
        <w:rPr>
          <w:rFonts w:ascii="Times New Roman" w:hAnsi="Times New Roman" w:cs="Times New Roman"/>
        </w:rPr>
        <w:t>l riguardo</w:t>
      </w:r>
      <w:r w:rsidRPr="00F148CE">
        <w:rPr>
          <w:rFonts w:ascii="Times New Roman" w:hAnsi="Times New Roman" w:cs="Times New Roman"/>
        </w:rPr>
        <w:t xml:space="preserve">, </w:t>
      </w:r>
      <w:r w:rsidR="005F5CAD" w:rsidRPr="00F148CE">
        <w:rPr>
          <w:rFonts w:ascii="Times New Roman" w:hAnsi="Times New Roman" w:cs="Times New Roman"/>
        </w:rPr>
        <w:t>richiamare</w:t>
      </w:r>
      <w:r w:rsidRPr="00F148CE">
        <w:rPr>
          <w:rFonts w:ascii="Times New Roman" w:hAnsi="Times New Roman" w:cs="Times New Roman"/>
        </w:rPr>
        <w:t>, come si vedrà di seguito, gli effetti del ricorso alla procedura di dissesto in termini di tributi locali.</w:t>
      </w:r>
    </w:p>
    <w:p w14:paraId="157F5BC1" w14:textId="62893825" w:rsidR="00B77107" w:rsidRPr="00F148CE" w:rsidRDefault="00FA1778" w:rsidP="00403CB2">
      <w:pPr>
        <w:jc w:val="both"/>
        <w:rPr>
          <w:rFonts w:ascii="Times New Roman" w:hAnsi="Times New Roman" w:cs="Times New Roman"/>
        </w:rPr>
      </w:pPr>
      <w:r w:rsidRPr="00F148CE">
        <w:rPr>
          <w:rFonts w:ascii="Times New Roman" w:hAnsi="Times New Roman" w:cs="Times New Roman"/>
        </w:rPr>
        <w:t>Il disegno del legislatore, letto alla luce anche degli orientamenti della magistratura contabile e amministrativa</w:t>
      </w:r>
      <w:r w:rsidR="00821DEB" w:rsidRPr="00F148CE">
        <w:rPr>
          <w:rFonts w:ascii="Times New Roman" w:hAnsi="Times New Roman" w:cs="Times New Roman"/>
        </w:rPr>
        <w:t xml:space="preserve"> e ai limiti sopra esposti</w:t>
      </w:r>
      <w:r w:rsidRPr="00F148CE">
        <w:rPr>
          <w:rFonts w:ascii="Times New Roman" w:hAnsi="Times New Roman" w:cs="Times New Roman"/>
        </w:rPr>
        <w:t>, lascia</w:t>
      </w:r>
      <w:r w:rsidR="007E7F25" w:rsidRPr="00F148CE">
        <w:rPr>
          <w:rFonts w:ascii="Times New Roman" w:hAnsi="Times New Roman" w:cs="Times New Roman"/>
        </w:rPr>
        <w:t>, dunque,</w:t>
      </w:r>
      <w:r w:rsidRPr="00F148CE">
        <w:rPr>
          <w:rFonts w:ascii="Times New Roman" w:hAnsi="Times New Roman" w:cs="Times New Roman"/>
        </w:rPr>
        <w:t xml:space="preserve"> all’Amministrazione locale ampio spazio di manovra nella scelta e realizzazione delle misure necessarie</w:t>
      </w:r>
      <w:r w:rsidR="00BB1540" w:rsidRPr="00F148CE">
        <w:rPr>
          <w:rFonts w:ascii="Times New Roman" w:hAnsi="Times New Roman" w:cs="Times New Roman"/>
        </w:rPr>
        <w:t xml:space="preserve"> </w:t>
      </w:r>
      <w:r w:rsidR="007E7F25" w:rsidRPr="00F148CE">
        <w:rPr>
          <w:rFonts w:ascii="Times New Roman" w:hAnsi="Times New Roman" w:cs="Times New Roman"/>
        </w:rPr>
        <w:t xml:space="preserve">per ricondurre </w:t>
      </w:r>
      <w:r w:rsidRPr="00F148CE">
        <w:rPr>
          <w:rFonts w:ascii="Times New Roman" w:hAnsi="Times New Roman" w:cs="Times New Roman"/>
        </w:rPr>
        <w:t xml:space="preserve">l’ente </w:t>
      </w:r>
      <w:r w:rsidRPr="00F148CE">
        <w:rPr>
          <w:rFonts w:ascii="Times New Roman" w:hAnsi="Times New Roman" w:cs="Times New Roman"/>
          <w:i/>
          <w:iCs/>
        </w:rPr>
        <w:t>in bonis</w:t>
      </w:r>
      <w:r w:rsidRPr="00F148CE">
        <w:rPr>
          <w:rFonts w:ascii="Times New Roman" w:hAnsi="Times New Roman" w:cs="Times New Roman"/>
        </w:rPr>
        <w:t>, la quale, tuttavia, non potrà non tenere conto delle segnalazioni provenienti dagli organi interni (</w:t>
      </w:r>
      <w:r w:rsidRPr="00F148CE">
        <w:rPr>
          <w:rFonts w:ascii="Times New Roman" w:hAnsi="Times New Roman" w:cs="Times New Roman"/>
          <w:i/>
          <w:iCs/>
        </w:rPr>
        <w:t xml:space="preserve">in primis </w:t>
      </w:r>
      <w:r w:rsidRPr="00F148CE">
        <w:rPr>
          <w:rFonts w:ascii="Times New Roman" w:hAnsi="Times New Roman" w:cs="Times New Roman"/>
        </w:rPr>
        <w:t>il Collegio dei revisori dei conti) ed esterni, qu</w:t>
      </w:r>
      <w:r w:rsidR="00821DEB" w:rsidRPr="00F148CE">
        <w:rPr>
          <w:rFonts w:ascii="Times New Roman" w:hAnsi="Times New Roman" w:cs="Times New Roman"/>
        </w:rPr>
        <w:t>ali gli accertamenti</w:t>
      </w:r>
      <w:r w:rsidR="00BB1540" w:rsidRPr="00F148CE">
        <w:rPr>
          <w:rFonts w:ascii="Times New Roman" w:hAnsi="Times New Roman" w:cs="Times New Roman"/>
        </w:rPr>
        <w:t xml:space="preserve"> </w:t>
      </w:r>
      <w:r w:rsidR="00821DEB" w:rsidRPr="00F148CE">
        <w:rPr>
          <w:rFonts w:ascii="Times New Roman" w:hAnsi="Times New Roman" w:cs="Times New Roman"/>
        </w:rPr>
        <w:t>della</w:t>
      </w:r>
      <w:r w:rsidRPr="00F148CE">
        <w:rPr>
          <w:rFonts w:ascii="Times New Roman" w:hAnsi="Times New Roman" w:cs="Times New Roman"/>
        </w:rPr>
        <w:t xml:space="preserve"> magistratura contabile, in quanto soggetto terzo e imparziale.</w:t>
      </w:r>
    </w:p>
    <w:p w14:paraId="58E5E9DC" w14:textId="62CA3DBE" w:rsidR="00883419" w:rsidRDefault="00883419" w:rsidP="00403CB2">
      <w:pPr>
        <w:jc w:val="both"/>
        <w:rPr>
          <w:rFonts w:ascii="Times New Roman" w:hAnsi="Times New Roman" w:cs="Times New Roman"/>
        </w:rPr>
      </w:pPr>
      <w:r w:rsidRPr="00F148CE">
        <w:rPr>
          <w:rFonts w:ascii="Times New Roman" w:hAnsi="Times New Roman" w:cs="Times New Roman"/>
        </w:rPr>
        <w:t>Il tema della scelta tra le due misure</w:t>
      </w:r>
      <w:r w:rsidR="005F5CAD" w:rsidRPr="00F148CE">
        <w:rPr>
          <w:rFonts w:ascii="Times New Roman" w:hAnsi="Times New Roman" w:cs="Times New Roman"/>
        </w:rPr>
        <w:t>, p</w:t>
      </w:r>
      <w:r w:rsidRPr="00F148CE">
        <w:rPr>
          <w:rFonts w:ascii="Times New Roman" w:hAnsi="Times New Roman" w:cs="Times New Roman"/>
        </w:rPr>
        <w:t xml:space="preserve">iano di riequilibrio </w:t>
      </w:r>
      <w:r w:rsidR="005F5CAD" w:rsidRPr="00F148CE">
        <w:rPr>
          <w:rFonts w:ascii="Times New Roman" w:hAnsi="Times New Roman" w:cs="Times New Roman"/>
        </w:rPr>
        <w:t>o</w:t>
      </w:r>
      <w:r w:rsidRPr="00F148CE">
        <w:rPr>
          <w:rFonts w:ascii="Times New Roman" w:hAnsi="Times New Roman" w:cs="Times New Roman"/>
        </w:rPr>
        <w:t xml:space="preserve"> dichiarazione d</w:t>
      </w:r>
      <w:r w:rsidR="005F5CAD" w:rsidRPr="00F148CE">
        <w:rPr>
          <w:rFonts w:ascii="Times New Roman" w:hAnsi="Times New Roman" w:cs="Times New Roman"/>
        </w:rPr>
        <w:t>i</w:t>
      </w:r>
      <w:r w:rsidRPr="00F148CE">
        <w:rPr>
          <w:rFonts w:ascii="Times New Roman" w:hAnsi="Times New Roman" w:cs="Times New Roman"/>
        </w:rPr>
        <w:t xml:space="preserve"> dissesto </w:t>
      </w:r>
      <w:r w:rsidR="00821DEB" w:rsidRPr="00F148CE">
        <w:rPr>
          <w:rFonts w:ascii="Times New Roman" w:hAnsi="Times New Roman" w:cs="Times New Roman"/>
        </w:rPr>
        <w:t xml:space="preserve">risulta, altresì, rilevante, come si preciserà di seguito, </w:t>
      </w:r>
      <w:r w:rsidRPr="00F148CE">
        <w:rPr>
          <w:rFonts w:ascii="Times New Roman" w:hAnsi="Times New Roman" w:cs="Times New Roman"/>
        </w:rPr>
        <w:t xml:space="preserve">anche ai fini della </w:t>
      </w:r>
      <w:r w:rsidR="005F5CAD" w:rsidRPr="00F148CE">
        <w:rPr>
          <w:rFonts w:ascii="Times New Roman" w:hAnsi="Times New Roman" w:cs="Times New Roman"/>
        </w:rPr>
        <w:t xml:space="preserve">responsabilità sanzionatoria prevista </w:t>
      </w:r>
      <w:r w:rsidR="00821DEB" w:rsidRPr="00F148CE">
        <w:rPr>
          <w:rFonts w:ascii="Times New Roman" w:hAnsi="Times New Roman" w:cs="Times New Roman"/>
        </w:rPr>
        <w:t>d</w:t>
      </w:r>
      <w:r w:rsidR="005F5CAD" w:rsidRPr="00F148CE">
        <w:rPr>
          <w:rFonts w:ascii="Times New Roman" w:hAnsi="Times New Roman" w:cs="Times New Roman"/>
        </w:rPr>
        <w:t>a</w:t>
      </w:r>
      <w:r w:rsidR="00821DEB" w:rsidRPr="00F148CE">
        <w:rPr>
          <w:rFonts w:ascii="Times New Roman" w:hAnsi="Times New Roman" w:cs="Times New Roman"/>
        </w:rPr>
        <w:t>ll’art.248, comm</w:t>
      </w:r>
      <w:r w:rsidR="005F5CAD" w:rsidRPr="00F148CE">
        <w:rPr>
          <w:rFonts w:ascii="Times New Roman" w:hAnsi="Times New Roman" w:cs="Times New Roman"/>
        </w:rPr>
        <w:t>i</w:t>
      </w:r>
      <w:r w:rsidR="00821DEB" w:rsidRPr="00F148CE">
        <w:rPr>
          <w:rFonts w:ascii="Times New Roman" w:hAnsi="Times New Roman" w:cs="Times New Roman"/>
        </w:rPr>
        <w:t xml:space="preserve"> 5</w:t>
      </w:r>
      <w:r w:rsidR="005F5CAD" w:rsidRPr="00F148CE">
        <w:rPr>
          <w:rFonts w:ascii="Times New Roman" w:hAnsi="Times New Roman" w:cs="Times New Roman"/>
        </w:rPr>
        <w:t xml:space="preserve"> e 5bis</w:t>
      </w:r>
      <w:r w:rsidR="00821DEB" w:rsidRPr="00F148CE">
        <w:rPr>
          <w:rFonts w:ascii="Times New Roman" w:hAnsi="Times New Roman" w:cs="Times New Roman"/>
        </w:rPr>
        <w:t>, del TUEL</w:t>
      </w:r>
      <w:r w:rsidRPr="00F148CE">
        <w:rPr>
          <w:rFonts w:ascii="Times New Roman" w:hAnsi="Times New Roman" w:cs="Times New Roman"/>
        </w:rPr>
        <w:t>.</w:t>
      </w:r>
    </w:p>
    <w:p w14:paraId="552E67A6" w14:textId="77777777" w:rsidR="00554542" w:rsidRDefault="00554542" w:rsidP="00403CB2">
      <w:pPr>
        <w:jc w:val="both"/>
        <w:rPr>
          <w:rFonts w:ascii="Times New Roman" w:hAnsi="Times New Roman" w:cs="Times New Roman"/>
        </w:rPr>
      </w:pPr>
    </w:p>
    <w:p w14:paraId="0C671EEE" w14:textId="5BBA2126" w:rsidR="00554542" w:rsidRDefault="00554542" w:rsidP="00403CB2">
      <w:pPr>
        <w:jc w:val="both"/>
        <w:rPr>
          <w:rFonts w:ascii="Times New Roman" w:hAnsi="Times New Roman" w:cs="Times New Roman"/>
          <w:b/>
          <w:bCs/>
        </w:rPr>
      </w:pPr>
      <w:r w:rsidRPr="00554542">
        <w:rPr>
          <w:rFonts w:ascii="Times New Roman" w:hAnsi="Times New Roman" w:cs="Times New Roman"/>
          <w:b/>
          <w:bCs/>
        </w:rPr>
        <w:t>2. Il piano di riequilibrio pluriennale</w:t>
      </w:r>
      <w:r>
        <w:rPr>
          <w:rFonts w:ascii="Times New Roman" w:hAnsi="Times New Roman" w:cs="Times New Roman"/>
          <w:b/>
          <w:bCs/>
        </w:rPr>
        <w:t>.</w:t>
      </w:r>
    </w:p>
    <w:p w14:paraId="43F30659" w14:textId="77777777" w:rsidR="00554542" w:rsidRDefault="00554542" w:rsidP="00403CB2">
      <w:pPr>
        <w:jc w:val="both"/>
        <w:rPr>
          <w:rFonts w:ascii="Times New Roman" w:hAnsi="Times New Roman" w:cs="Times New Roman"/>
          <w:b/>
          <w:bCs/>
        </w:rPr>
      </w:pPr>
    </w:p>
    <w:p w14:paraId="71D9E8F1" w14:textId="38F2BBBC" w:rsidR="00D71CDE" w:rsidRDefault="00554542" w:rsidP="00403CB2">
      <w:pPr>
        <w:jc w:val="both"/>
        <w:rPr>
          <w:rFonts w:ascii="Times New Roman" w:hAnsi="Times New Roman" w:cs="Times New Roman"/>
          <w:i/>
          <w:iCs/>
        </w:rPr>
      </w:pPr>
      <w:r>
        <w:rPr>
          <w:rFonts w:ascii="Times New Roman" w:hAnsi="Times New Roman" w:cs="Times New Roman"/>
        </w:rPr>
        <w:t>L’art.243 bis e</w:t>
      </w:r>
      <w:r w:rsidR="00A02FCF">
        <w:rPr>
          <w:rFonts w:ascii="Times New Roman" w:hAnsi="Times New Roman" w:cs="Times New Roman"/>
        </w:rPr>
        <w:t xml:space="preserve"> se</w:t>
      </w:r>
      <w:r>
        <w:rPr>
          <w:rFonts w:ascii="Times New Roman" w:hAnsi="Times New Roman" w:cs="Times New Roman"/>
        </w:rPr>
        <w:t xml:space="preserve">guenti del </w:t>
      </w:r>
      <w:r w:rsidR="007923A4">
        <w:rPr>
          <w:rFonts w:ascii="Times New Roman" w:hAnsi="Times New Roman" w:cs="Times New Roman"/>
        </w:rPr>
        <w:t>D.lgs.</w:t>
      </w:r>
      <w:r>
        <w:rPr>
          <w:rFonts w:ascii="Times New Roman" w:hAnsi="Times New Roman" w:cs="Times New Roman"/>
        </w:rPr>
        <w:t xml:space="preserve"> n.267/2000 discipli</w:t>
      </w:r>
      <w:r w:rsidR="0021033D">
        <w:rPr>
          <w:rFonts w:ascii="Times New Roman" w:hAnsi="Times New Roman" w:cs="Times New Roman"/>
        </w:rPr>
        <w:t>nano</w:t>
      </w:r>
      <w:r>
        <w:rPr>
          <w:rFonts w:ascii="Times New Roman" w:hAnsi="Times New Roman" w:cs="Times New Roman"/>
        </w:rPr>
        <w:t xml:space="preserve"> la procedura di riequilibrio finanziari</w:t>
      </w:r>
      <w:r w:rsidR="00A02FCF">
        <w:rPr>
          <w:rFonts w:ascii="Times New Roman" w:hAnsi="Times New Roman" w:cs="Times New Roman"/>
        </w:rPr>
        <w:t>o</w:t>
      </w:r>
      <w:r>
        <w:rPr>
          <w:rFonts w:ascii="Times New Roman" w:hAnsi="Times New Roman" w:cs="Times New Roman"/>
        </w:rPr>
        <w:t xml:space="preserve"> pluriennale</w:t>
      </w:r>
      <w:r w:rsidR="00A02FCF">
        <w:rPr>
          <w:rFonts w:ascii="Times New Roman" w:hAnsi="Times New Roman" w:cs="Times New Roman"/>
        </w:rPr>
        <w:t xml:space="preserve"> dell’Ente locale, </w:t>
      </w:r>
      <w:r w:rsidR="0021033D">
        <w:rPr>
          <w:rFonts w:ascii="Times New Roman" w:hAnsi="Times New Roman" w:cs="Times New Roman"/>
        </w:rPr>
        <w:t xml:space="preserve"> e, in particolare</w:t>
      </w:r>
      <w:r w:rsidR="007923A4">
        <w:rPr>
          <w:rFonts w:ascii="Times New Roman" w:hAnsi="Times New Roman" w:cs="Times New Roman"/>
        </w:rPr>
        <w:t>,</w:t>
      </w:r>
      <w:r w:rsidR="0021033D">
        <w:rPr>
          <w:rFonts w:ascii="Times New Roman" w:hAnsi="Times New Roman" w:cs="Times New Roman"/>
        </w:rPr>
        <w:t xml:space="preserve"> il comma 1 del predetto art.243 bis, </w:t>
      </w:r>
      <w:r w:rsidR="00A02FCF">
        <w:rPr>
          <w:rFonts w:ascii="Times New Roman" w:hAnsi="Times New Roman" w:cs="Times New Roman"/>
        </w:rPr>
        <w:t>prevede che “</w:t>
      </w:r>
      <w:r w:rsidR="00A02FCF" w:rsidRPr="00A02FCF">
        <w:rPr>
          <w:rFonts w:ascii="Times New Roman" w:hAnsi="Times New Roman" w:cs="Times New Roman"/>
          <w:i/>
          <w:iCs/>
        </w:rPr>
        <w:t xml:space="preserve"> I comuni e le province per i quali, </w:t>
      </w:r>
      <w:r w:rsidR="00A02FCF" w:rsidRPr="00A02FCF">
        <w:rPr>
          <w:rFonts w:ascii="Times New Roman" w:hAnsi="Times New Roman" w:cs="Times New Roman"/>
          <w:i/>
          <w:iCs/>
          <w:u w:val="single"/>
        </w:rPr>
        <w:t>anche in considerazione delle pronunce delle competenti sezioni regionali della Corte dei conti sui bilanci degli enti, sussistano squilibri strutturali del bilancio in grado di provocare il dissesto finanziario, nel caso in cui le misure di cui agli articoli 193 e 194</w:t>
      </w:r>
      <w:r w:rsidR="00A02FCF" w:rsidRPr="00A02FCF">
        <w:rPr>
          <w:rFonts w:ascii="Times New Roman" w:hAnsi="Times New Roman" w:cs="Times New Roman"/>
          <w:i/>
          <w:iCs/>
        </w:rPr>
        <w:t xml:space="preserve"> non siano sufficienti a superare le condizioni di squilibrio rilevate, possono ricorrere, con deliberazione consiliare alla procedura di riequilibrio finanziario pluriennale prevista dal presente articolo. La predetta procedura non può essere iniziata qualora sia decorso il termine assegnato dal prefetto, con lettera notificata ai singoli consiglieri, per la deliberazione del dissesto, di cui all'articolo 6, comma 2, del decreto legislativo 6 settembre 2011, n. 149</w:t>
      </w:r>
      <w:r w:rsidR="00A02FCF">
        <w:rPr>
          <w:rFonts w:ascii="Times New Roman" w:hAnsi="Times New Roman" w:cs="Times New Roman"/>
          <w:i/>
          <w:iCs/>
        </w:rPr>
        <w:t>”.</w:t>
      </w:r>
    </w:p>
    <w:p w14:paraId="74E8EBF9" w14:textId="05BFB551" w:rsidR="00A02FCF" w:rsidRDefault="007923A4" w:rsidP="00403CB2">
      <w:pPr>
        <w:jc w:val="both"/>
        <w:rPr>
          <w:rFonts w:ascii="Times New Roman" w:hAnsi="Times New Roman" w:cs="Times New Roman"/>
        </w:rPr>
      </w:pPr>
      <w:r>
        <w:rPr>
          <w:rFonts w:ascii="Times New Roman" w:hAnsi="Times New Roman" w:cs="Times New Roman"/>
        </w:rPr>
        <w:t>Il piano di riequilibrio costituisce</w:t>
      </w:r>
      <w:r w:rsidR="00A02FCF">
        <w:rPr>
          <w:rFonts w:ascii="Times New Roman" w:hAnsi="Times New Roman" w:cs="Times New Roman"/>
        </w:rPr>
        <w:t xml:space="preserve">, come </w:t>
      </w:r>
      <w:r w:rsidR="0021033D">
        <w:rPr>
          <w:rFonts w:ascii="Times New Roman" w:hAnsi="Times New Roman" w:cs="Times New Roman"/>
        </w:rPr>
        <w:t>già</w:t>
      </w:r>
      <w:r w:rsidR="00A02FCF">
        <w:rPr>
          <w:rFonts w:ascii="Times New Roman" w:hAnsi="Times New Roman" w:cs="Times New Roman"/>
        </w:rPr>
        <w:t xml:space="preserve"> precisato, una procedura di risanamento destinata agli enti locali che si affianca a quello del dissesto, ma si differenzia da quest’ultima in </w:t>
      </w:r>
      <w:r>
        <w:rPr>
          <w:rFonts w:ascii="Times New Roman" w:hAnsi="Times New Roman" w:cs="Times New Roman"/>
        </w:rPr>
        <w:t>quanto affida</w:t>
      </w:r>
      <w:r w:rsidR="00A02FCF">
        <w:rPr>
          <w:rFonts w:ascii="Times New Roman" w:hAnsi="Times New Roman" w:cs="Times New Roman"/>
        </w:rPr>
        <w:t xml:space="preserve"> le </w:t>
      </w:r>
      <w:r w:rsidR="005A052B">
        <w:rPr>
          <w:rFonts w:ascii="Times New Roman" w:hAnsi="Times New Roman" w:cs="Times New Roman"/>
        </w:rPr>
        <w:t>iniziative di</w:t>
      </w:r>
      <w:r>
        <w:rPr>
          <w:rFonts w:ascii="Times New Roman" w:hAnsi="Times New Roman" w:cs="Times New Roman"/>
        </w:rPr>
        <w:t xml:space="preserve"> risanamento </w:t>
      </w:r>
      <w:r w:rsidR="00A02FCF">
        <w:rPr>
          <w:rFonts w:ascii="Times New Roman" w:hAnsi="Times New Roman" w:cs="Times New Roman"/>
        </w:rPr>
        <w:t>agli stessi organi dell’</w:t>
      </w:r>
      <w:r w:rsidR="0021033D">
        <w:rPr>
          <w:rFonts w:ascii="Times New Roman" w:hAnsi="Times New Roman" w:cs="Times New Roman"/>
        </w:rPr>
        <w:t>e</w:t>
      </w:r>
      <w:r w:rsidR="00A02FCF">
        <w:rPr>
          <w:rFonts w:ascii="Times New Roman" w:hAnsi="Times New Roman" w:cs="Times New Roman"/>
        </w:rPr>
        <w:t xml:space="preserve">nte, attraverso, proprio, la predisposizione di un </w:t>
      </w:r>
      <w:r w:rsidR="00877F0A">
        <w:rPr>
          <w:rFonts w:ascii="Times New Roman" w:hAnsi="Times New Roman" w:cs="Times New Roman"/>
        </w:rPr>
        <w:t>piano pluriennale</w:t>
      </w:r>
      <w:r w:rsidR="00A02FCF">
        <w:rPr>
          <w:rFonts w:ascii="Times New Roman" w:hAnsi="Times New Roman" w:cs="Times New Roman"/>
        </w:rPr>
        <w:t xml:space="preserve"> sottopost</w:t>
      </w:r>
      <w:r w:rsidR="0021033D">
        <w:rPr>
          <w:rFonts w:ascii="Times New Roman" w:hAnsi="Times New Roman" w:cs="Times New Roman"/>
        </w:rPr>
        <w:t>o</w:t>
      </w:r>
      <w:r w:rsidR="00A02FCF">
        <w:rPr>
          <w:rFonts w:ascii="Times New Roman" w:hAnsi="Times New Roman" w:cs="Times New Roman"/>
        </w:rPr>
        <w:t xml:space="preserve"> all’approvazione della </w:t>
      </w:r>
      <w:r w:rsidR="0021033D">
        <w:rPr>
          <w:rFonts w:ascii="Times New Roman" w:hAnsi="Times New Roman" w:cs="Times New Roman"/>
        </w:rPr>
        <w:t>S</w:t>
      </w:r>
      <w:r w:rsidR="00A02FCF">
        <w:rPr>
          <w:rFonts w:ascii="Times New Roman" w:hAnsi="Times New Roman" w:cs="Times New Roman"/>
        </w:rPr>
        <w:t>ezione regionale della Corte dei conti competente.</w:t>
      </w:r>
    </w:p>
    <w:p w14:paraId="3C56BC62" w14:textId="7AE226C9" w:rsidR="00F23DFE" w:rsidRDefault="00F23DFE" w:rsidP="00403CB2">
      <w:pPr>
        <w:jc w:val="both"/>
        <w:rPr>
          <w:rFonts w:ascii="Times New Roman" w:hAnsi="Times New Roman" w:cs="Times New Roman"/>
        </w:rPr>
      </w:pPr>
      <w:r w:rsidRPr="00145068">
        <w:rPr>
          <w:rFonts w:ascii="Times New Roman" w:hAnsi="Times New Roman" w:cs="Times New Roman"/>
        </w:rPr>
        <w:t>Costituisce, quindi, un “</w:t>
      </w:r>
      <w:proofErr w:type="spellStart"/>
      <w:r w:rsidRPr="00145068">
        <w:rPr>
          <w:rFonts w:ascii="Times New Roman" w:hAnsi="Times New Roman" w:cs="Times New Roman"/>
          <w:i/>
          <w:iCs/>
        </w:rPr>
        <w:t>tertium</w:t>
      </w:r>
      <w:proofErr w:type="spellEnd"/>
      <w:r w:rsidRPr="00145068">
        <w:rPr>
          <w:rFonts w:ascii="Times New Roman" w:hAnsi="Times New Roman" w:cs="Times New Roman"/>
          <w:i/>
          <w:iCs/>
        </w:rPr>
        <w:t xml:space="preserve"> </w:t>
      </w:r>
      <w:proofErr w:type="spellStart"/>
      <w:r w:rsidRPr="00145068">
        <w:rPr>
          <w:rFonts w:ascii="Times New Roman" w:hAnsi="Times New Roman" w:cs="Times New Roman"/>
          <w:i/>
          <w:iCs/>
        </w:rPr>
        <w:t>genus</w:t>
      </w:r>
      <w:proofErr w:type="spellEnd"/>
      <w:r w:rsidRPr="00145068">
        <w:rPr>
          <w:rFonts w:ascii="Times New Roman" w:hAnsi="Times New Roman" w:cs="Times New Roman"/>
        </w:rPr>
        <w:t>” che si aggiunge alle fattispecie previste dagli art.</w:t>
      </w:r>
      <w:r w:rsidRPr="0021033D">
        <w:rPr>
          <w:rFonts w:ascii="Times New Roman" w:hAnsi="Times New Roman" w:cs="Times New Roman"/>
          <w:b/>
          <w:bCs/>
        </w:rPr>
        <w:t>242</w:t>
      </w:r>
      <w:r w:rsidRPr="00145068">
        <w:rPr>
          <w:rFonts w:ascii="Times New Roman" w:hAnsi="Times New Roman" w:cs="Times New Roman"/>
        </w:rPr>
        <w:t xml:space="preserve"> </w:t>
      </w:r>
      <w:r w:rsidR="007923A4" w:rsidRPr="00145068">
        <w:rPr>
          <w:rFonts w:ascii="Times New Roman" w:hAnsi="Times New Roman" w:cs="Times New Roman"/>
        </w:rPr>
        <w:t>(enti</w:t>
      </w:r>
      <w:r>
        <w:rPr>
          <w:rFonts w:ascii="Times New Roman" w:hAnsi="Times New Roman" w:cs="Times New Roman"/>
        </w:rPr>
        <w:t xml:space="preserve"> strutturalmente </w:t>
      </w:r>
      <w:r w:rsidR="005A052B">
        <w:rPr>
          <w:rFonts w:ascii="Times New Roman" w:hAnsi="Times New Roman" w:cs="Times New Roman"/>
        </w:rPr>
        <w:t>deficitari)</w:t>
      </w:r>
      <w:r>
        <w:rPr>
          <w:rFonts w:ascii="Times New Roman" w:hAnsi="Times New Roman" w:cs="Times New Roman"/>
        </w:rPr>
        <w:t xml:space="preserve"> e  </w:t>
      </w:r>
      <w:r w:rsidRPr="0021033D">
        <w:rPr>
          <w:rFonts w:ascii="Times New Roman" w:hAnsi="Times New Roman" w:cs="Times New Roman"/>
          <w:b/>
          <w:bCs/>
        </w:rPr>
        <w:t>244</w:t>
      </w:r>
      <w:r>
        <w:rPr>
          <w:rFonts w:ascii="Times New Roman" w:hAnsi="Times New Roman" w:cs="Times New Roman"/>
        </w:rPr>
        <w:t xml:space="preserve"> ( enti in dissesto ) del TUEL, stante che affida</w:t>
      </w:r>
      <w:r w:rsidR="007923A4">
        <w:rPr>
          <w:rFonts w:ascii="Times New Roman" w:hAnsi="Times New Roman" w:cs="Times New Roman"/>
        </w:rPr>
        <w:t xml:space="preserve"> </w:t>
      </w:r>
      <w:r>
        <w:rPr>
          <w:rFonts w:ascii="Times New Roman" w:hAnsi="Times New Roman" w:cs="Times New Roman"/>
        </w:rPr>
        <w:t>agli organi dell’ente</w:t>
      </w:r>
      <w:r w:rsidR="007923A4">
        <w:rPr>
          <w:rFonts w:ascii="Times New Roman" w:hAnsi="Times New Roman" w:cs="Times New Roman"/>
        </w:rPr>
        <w:t xml:space="preserve">, responsabilizzandoli, </w:t>
      </w:r>
      <w:r>
        <w:rPr>
          <w:rFonts w:ascii="Times New Roman" w:hAnsi="Times New Roman" w:cs="Times New Roman"/>
        </w:rPr>
        <w:t xml:space="preserve"> il </w:t>
      </w:r>
      <w:r w:rsidR="007923A4">
        <w:rPr>
          <w:rFonts w:ascii="Times New Roman" w:hAnsi="Times New Roman" w:cs="Times New Roman"/>
        </w:rPr>
        <w:t>ripristino strutturale delle condizioni di equilibrio finanziario.</w:t>
      </w:r>
    </w:p>
    <w:p w14:paraId="2AAD48FE" w14:textId="269B9CA0" w:rsidR="00A02FCF" w:rsidRDefault="00A02FCF" w:rsidP="00403CB2">
      <w:pPr>
        <w:jc w:val="both"/>
        <w:rPr>
          <w:rFonts w:ascii="Times New Roman" w:hAnsi="Times New Roman" w:cs="Times New Roman"/>
        </w:rPr>
      </w:pPr>
      <w:r>
        <w:rPr>
          <w:rFonts w:ascii="Times New Roman" w:hAnsi="Times New Roman" w:cs="Times New Roman"/>
        </w:rPr>
        <w:t xml:space="preserve">In tale fattispecie l’ente, pur presentando squilibri finanziari suscettibili di provocare il dissesto, è ancora nelle condizioni di </w:t>
      </w:r>
      <w:r w:rsidR="00877F0A">
        <w:rPr>
          <w:rFonts w:ascii="Times New Roman" w:hAnsi="Times New Roman" w:cs="Times New Roman"/>
        </w:rPr>
        <w:t xml:space="preserve">ritornare in riequilibrio utilizzando le leve di cui dispone </w:t>
      </w:r>
      <w:r w:rsidR="00DF5015">
        <w:rPr>
          <w:rFonts w:ascii="Times New Roman" w:hAnsi="Times New Roman" w:cs="Times New Roman"/>
        </w:rPr>
        <w:t>(alienazione</w:t>
      </w:r>
      <w:r w:rsidR="00877F0A">
        <w:rPr>
          <w:rFonts w:ascii="Times New Roman" w:hAnsi="Times New Roman" w:cs="Times New Roman"/>
        </w:rPr>
        <w:t xml:space="preserve"> di beni, aumento delle tariffe, incremento delle entrate e riduzione delle spese, </w:t>
      </w:r>
      <w:proofErr w:type="spellStart"/>
      <w:r w:rsidR="00877F0A">
        <w:rPr>
          <w:rFonts w:ascii="Times New Roman" w:hAnsi="Times New Roman" w:cs="Times New Roman"/>
        </w:rPr>
        <w:t>etc</w:t>
      </w:r>
      <w:proofErr w:type="spellEnd"/>
      <w:r w:rsidR="00877F0A">
        <w:rPr>
          <w:rFonts w:ascii="Times New Roman" w:hAnsi="Times New Roman" w:cs="Times New Roman"/>
        </w:rPr>
        <w:t>…</w:t>
      </w:r>
      <w:proofErr w:type="gramStart"/>
      <w:r w:rsidR="00877F0A">
        <w:rPr>
          <w:rFonts w:ascii="Times New Roman" w:hAnsi="Times New Roman" w:cs="Times New Roman"/>
        </w:rPr>
        <w:t>… )</w:t>
      </w:r>
      <w:proofErr w:type="gramEnd"/>
      <w:r w:rsidR="00F23DFE">
        <w:rPr>
          <w:rFonts w:ascii="Times New Roman" w:hAnsi="Times New Roman" w:cs="Times New Roman"/>
        </w:rPr>
        <w:t xml:space="preserve">, al fine di evitare il </w:t>
      </w:r>
      <w:r w:rsidR="00F23DFE" w:rsidRPr="00501412">
        <w:rPr>
          <w:rFonts w:ascii="Times New Roman" w:hAnsi="Times New Roman" w:cs="Times New Roman"/>
          <w:i/>
          <w:iCs/>
        </w:rPr>
        <w:t>default</w:t>
      </w:r>
      <w:r w:rsidR="00F23DFE">
        <w:rPr>
          <w:rFonts w:ascii="Times New Roman" w:hAnsi="Times New Roman" w:cs="Times New Roman"/>
        </w:rPr>
        <w:t xml:space="preserve"> dell’ente.</w:t>
      </w:r>
    </w:p>
    <w:p w14:paraId="0A9B1971" w14:textId="79F73BBF" w:rsidR="00877F0A" w:rsidRDefault="00877F0A" w:rsidP="00403CB2">
      <w:pPr>
        <w:jc w:val="both"/>
        <w:rPr>
          <w:rFonts w:ascii="Times New Roman" w:hAnsi="Times New Roman" w:cs="Times New Roman"/>
        </w:rPr>
      </w:pPr>
      <w:r>
        <w:rPr>
          <w:rFonts w:ascii="Times New Roman" w:hAnsi="Times New Roman" w:cs="Times New Roman"/>
        </w:rPr>
        <w:t xml:space="preserve">La </w:t>
      </w:r>
      <w:r w:rsidRPr="00877F0A">
        <w:rPr>
          <w:rFonts w:ascii="Times New Roman" w:hAnsi="Times New Roman" w:cs="Times New Roman"/>
          <w:i/>
          <w:iCs/>
        </w:rPr>
        <w:t xml:space="preserve">ratio </w:t>
      </w:r>
      <w:r>
        <w:rPr>
          <w:rFonts w:ascii="Times New Roman" w:hAnsi="Times New Roman" w:cs="Times New Roman"/>
        </w:rPr>
        <w:t xml:space="preserve">della disciplina è, infatti, quella di fare in modo che l’ente persegua un risanamento </w:t>
      </w:r>
      <w:r w:rsidR="00DF5015">
        <w:rPr>
          <w:rFonts w:ascii="Times New Roman" w:hAnsi="Times New Roman" w:cs="Times New Roman"/>
        </w:rPr>
        <w:t>strutturale, sulla</w:t>
      </w:r>
      <w:r>
        <w:rPr>
          <w:rFonts w:ascii="Times New Roman" w:hAnsi="Times New Roman" w:cs="Times New Roman"/>
        </w:rPr>
        <w:t xml:space="preserve"> base di misure di intervento credibili, </w:t>
      </w:r>
      <w:r w:rsidR="00DF5015">
        <w:rPr>
          <w:rFonts w:ascii="Times New Roman" w:hAnsi="Times New Roman" w:cs="Times New Roman"/>
        </w:rPr>
        <w:t>attendibili,</w:t>
      </w:r>
      <w:r>
        <w:rPr>
          <w:rFonts w:ascii="Times New Roman" w:hAnsi="Times New Roman" w:cs="Times New Roman"/>
        </w:rPr>
        <w:t xml:space="preserve"> congrue e </w:t>
      </w:r>
      <w:r w:rsidR="00DF5015">
        <w:rPr>
          <w:rFonts w:ascii="Times New Roman" w:hAnsi="Times New Roman" w:cs="Times New Roman"/>
        </w:rPr>
        <w:t>veritiere</w:t>
      </w:r>
      <w:r>
        <w:rPr>
          <w:rFonts w:ascii="Times New Roman" w:hAnsi="Times New Roman" w:cs="Times New Roman"/>
        </w:rPr>
        <w:t>, finalizzate a ricostituire una dinamica equilibrata dei flussi di liquidità e a ripianare il disavanzo.</w:t>
      </w:r>
      <w:r>
        <w:rPr>
          <w:rStyle w:val="Rimandonotaapidipagina"/>
          <w:rFonts w:ascii="Times New Roman" w:hAnsi="Times New Roman" w:cs="Times New Roman"/>
        </w:rPr>
        <w:footnoteReference w:id="7"/>
      </w:r>
    </w:p>
    <w:p w14:paraId="5042CC8A" w14:textId="35EA3B6D" w:rsidR="00A02FCF" w:rsidRDefault="00DF5015" w:rsidP="00403CB2">
      <w:pPr>
        <w:jc w:val="both"/>
        <w:rPr>
          <w:rFonts w:ascii="Times New Roman" w:hAnsi="Times New Roman" w:cs="Times New Roman"/>
        </w:rPr>
      </w:pPr>
      <w:r>
        <w:rPr>
          <w:rFonts w:ascii="Times New Roman" w:hAnsi="Times New Roman" w:cs="Times New Roman"/>
        </w:rPr>
        <w:t>Il terzo comma dell’art.243 bis, proprio al fine di permetter</w:t>
      </w:r>
      <w:r w:rsidR="00501412">
        <w:rPr>
          <w:rFonts w:ascii="Times New Roman" w:hAnsi="Times New Roman" w:cs="Times New Roman"/>
        </w:rPr>
        <w:t>e</w:t>
      </w:r>
      <w:r>
        <w:rPr>
          <w:rFonts w:ascii="Times New Roman" w:hAnsi="Times New Roman" w:cs="Times New Roman"/>
        </w:rPr>
        <w:t xml:space="preserve"> all’ente di redigere un credibile piano pluriennale di </w:t>
      </w:r>
      <w:proofErr w:type="gramStart"/>
      <w:r>
        <w:rPr>
          <w:rFonts w:ascii="Times New Roman" w:hAnsi="Times New Roman" w:cs="Times New Roman"/>
        </w:rPr>
        <w:t>riequilibrio ,</w:t>
      </w:r>
      <w:proofErr w:type="gramEnd"/>
      <w:r>
        <w:rPr>
          <w:rFonts w:ascii="Times New Roman" w:hAnsi="Times New Roman" w:cs="Times New Roman"/>
        </w:rPr>
        <w:t xml:space="preserve"> prevede che “</w:t>
      </w:r>
      <w:r w:rsidRPr="00DF5015">
        <w:rPr>
          <w:rFonts w:ascii="Times New Roman" w:hAnsi="Times New Roman" w:cs="Times New Roman"/>
          <w:i/>
          <w:iCs/>
        </w:rPr>
        <w:t>Il ricorso alla procedura di cui al presente articolo sospende temporaneamente la possibilità per la Corte dei Conti di assegnare, ai sensi dell'articolo 6, comma 2, del decreto legislativo 6 settembre 2011, n. 149, il termine per l'adozione delle misure correttive di cui al comma 6, lettera a), del presente articolo</w:t>
      </w:r>
      <w:r>
        <w:rPr>
          <w:rFonts w:ascii="Times New Roman" w:hAnsi="Times New Roman" w:cs="Times New Roman"/>
        </w:rPr>
        <w:t>”</w:t>
      </w:r>
      <w:r w:rsidRPr="00DF5015">
        <w:rPr>
          <w:rFonts w:ascii="Times New Roman" w:hAnsi="Times New Roman" w:cs="Times New Roman"/>
        </w:rPr>
        <w:t>.</w:t>
      </w:r>
    </w:p>
    <w:p w14:paraId="6CEB9EFD" w14:textId="3AD46271" w:rsidR="00F23DFE" w:rsidRDefault="00F23DFE" w:rsidP="00403CB2">
      <w:pPr>
        <w:jc w:val="both"/>
        <w:rPr>
          <w:rFonts w:ascii="Times New Roman" w:hAnsi="Times New Roman" w:cs="Times New Roman"/>
        </w:rPr>
      </w:pPr>
      <w:r>
        <w:rPr>
          <w:rFonts w:ascii="Times New Roman" w:hAnsi="Times New Roman" w:cs="Times New Roman"/>
        </w:rPr>
        <w:lastRenderedPageBreak/>
        <w:t>Il successivo comma 4 prevede, invece, che l</w:t>
      </w:r>
      <w:r w:rsidRPr="00F23DFE">
        <w:rPr>
          <w:rFonts w:ascii="Times New Roman" w:hAnsi="Times New Roman" w:cs="Times New Roman"/>
        </w:rPr>
        <w:t>e procedure esecutive intraprese nei confronti dell'ente sono sospese</w:t>
      </w:r>
      <w:r w:rsidR="005A052B">
        <w:rPr>
          <w:rFonts w:ascii="Times New Roman" w:hAnsi="Times New Roman" w:cs="Times New Roman"/>
        </w:rPr>
        <w:t>,</w:t>
      </w:r>
      <w:r w:rsidRPr="00F23DFE">
        <w:rPr>
          <w:rFonts w:ascii="Times New Roman" w:hAnsi="Times New Roman" w:cs="Times New Roman"/>
        </w:rPr>
        <w:t xml:space="preserve"> dalla data di deliberazione di ricorso alla procedura di riequilibrio finanziario pluriennale fino alla data di approvazione o di diniego di approvazione del piano di riequilibrio pluriennale di cui all'articolo 243-quater, commi 1 e 3.</w:t>
      </w:r>
    </w:p>
    <w:p w14:paraId="28AEA719" w14:textId="2D9DF79E" w:rsidR="00F23DFE" w:rsidRDefault="00F23DFE" w:rsidP="00F23DFE">
      <w:pPr>
        <w:jc w:val="both"/>
        <w:rPr>
          <w:rFonts w:ascii="Times New Roman" w:hAnsi="Times New Roman" w:cs="Times New Roman"/>
        </w:rPr>
      </w:pPr>
      <w:r w:rsidRPr="00F23DFE">
        <w:rPr>
          <w:rFonts w:ascii="Times New Roman" w:hAnsi="Times New Roman" w:cs="Times New Roman"/>
        </w:rPr>
        <w:t>Attraverso</w:t>
      </w:r>
      <w:r w:rsidR="00501412">
        <w:rPr>
          <w:rFonts w:ascii="Times New Roman" w:hAnsi="Times New Roman" w:cs="Times New Roman"/>
        </w:rPr>
        <w:t xml:space="preserve"> </w:t>
      </w:r>
      <w:r w:rsidRPr="00F23DFE">
        <w:rPr>
          <w:rFonts w:ascii="Times New Roman" w:hAnsi="Times New Roman" w:cs="Times New Roman"/>
        </w:rPr>
        <w:t>il ricorso a tale strumento eccezionale messo a disposizione dal legislatore, a differenza di quello che avviene ove si ricorra alla proceduta di dissesto, non si determina</w:t>
      </w:r>
      <w:r w:rsidR="00501412">
        <w:rPr>
          <w:rFonts w:ascii="Times New Roman" w:hAnsi="Times New Roman" w:cs="Times New Roman"/>
        </w:rPr>
        <w:t xml:space="preserve">, </w:t>
      </w:r>
      <w:r w:rsidR="005A052B">
        <w:rPr>
          <w:rFonts w:ascii="Times New Roman" w:hAnsi="Times New Roman" w:cs="Times New Roman"/>
        </w:rPr>
        <w:t>dunque</w:t>
      </w:r>
      <w:r w:rsidR="00501412">
        <w:rPr>
          <w:rFonts w:ascii="Times New Roman" w:hAnsi="Times New Roman" w:cs="Times New Roman"/>
        </w:rPr>
        <w:t>,</w:t>
      </w:r>
      <w:r w:rsidRPr="00F23DFE">
        <w:rPr>
          <w:rFonts w:ascii="Times New Roman" w:hAnsi="Times New Roman" w:cs="Times New Roman"/>
        </w:rPr>
        <w:t xml:space="preserve"> una separazione di bilanci ma solo la temporanea e transitoria sospensione delle procedure</w:t>
      </w:r>
      <w:r w:rsidRPr="00F23DFE">
        <w:rPr>
          <w:rFonts w:ascii="Times New Roman" w:hAnsi="Times New Roman" w:cs="Times New Roman"/>
        </w:rPr>
        <w:br/>
        <w:t>esecutive</w:t>
      </w:r>
      <w:r w:rsidR="007923A4">
        <w:rPr>
          <w:rFonts w:ascii="Times New Roman" w:hAnsi="Times New Roman" w:cs="Times New Roman"/>
        </w:rPr>
        <w:t>,</w:t>
      </w:r>
      <w:r w:rsidRPr="00F23DFE">
        <w:rPr>
          <w:rFonts w:ascii="Times New Roman" w:hAnsi="Times New Roman" w:cs="Times New Roman"/>
        </w:rPr>
        <w:t xml:space="preserve"> al fine di verificare le condizioni di perseguibilità della gestione unitaria</w:t>
      </w:r>
      <w:r>
        <w:rPr>
          <w:rFonts w:ascii="Times New Roman" w:hAnsi="Times New Roman" w:cs="Times New Roman"/>
        </w:rPr>
        <w:t>.</w:t>
      </w:r>
    </w:p>
    <w:p w14:paraId="42268C68" w14:textId="0B375FA1" w:rsidR="00F23DFE" w:rsidRDefault="00776194" w:rsidP="00F23DFE">
      <w:pPr>
        <w:jc w:val="both"/>
        <w:rPr>
          <w:rFonts w:ascii="Times New Roman" w:hAnsi="Times New Roman" w:cs="Times New Roman"/>
        </w:rPr>
      </w:pPr>
      <w:r w:rsidRPr="00776194">
        <w:rPr>
          <w:rFonts w:ascii="Times New Roman" w:hAnsi="Times New Roman" w:cs="Times New Roman"/>
        </w:rPr>
        <w:t xml:space="preserve">La durata massima del piano di riequilibrio finanziario pluriennale, </w:t>
      </w:r>
      <w:r>
        <w:rPr>
          <w:rFonts w:ascii="Times New Roman" w:hAnsi="Times New Roman" w:cs="Times New Roman"/>
        </w:rPr>
        <w:t xml:space="preserve">ai sensi del comma 5bis, </w:t>
      </w:r>
      <w:r w:rsidRPr="00776194">
        <w:rPr>
          <w:rFonts w:ascii="Times New Roman" w:hAnsi="Times New Roman" w:cs="Times New Roman"/>
        </w:rPr>
        <w:t xml:space="preserve">è determinata sulla base del rapporto tra le passività da ripianare nel medesimo e l'ammontare degli impegni di cui al titolo I della spesa del rendiconto dell'anno precedente a quello di deliberazione del ricorso alla procedura di riequilibrio o dell'ultimo rendiconto </w:t>
      </w:r>
      <w:r w:rsidR="00501412" w:rsidRPr="00776194">
        <w:rPr>
          <w:rFonts w:ascii="Times New Roman" w:hAnsi="Times New Roman" w:cs="Times New Roman"/>
        </w:rPr>
        <w:t xml:space="preserve">approvato, </w:t>
      </w:r>
      <w:r w:rsidR="00501412">
        <w:rPr>
          <w:rFonts w:ascii="Times New Roman" w:hAnsi="Times New Roman" w:cs="Times New Roman"/>
        </w:rPr>
        <w:t>e</w:t>
      </w:r>
      <w:r>
        <w:rPr>
          <w:rFonts w:ascii="Times New Roman" w:hAnsi="Times New Roman" w:cs="Times New Roman"/>
        </w:rPr>
        <w:t xml:space="preserve"> può variare da un minimo </w:t>
      </w:r>
      <w:r w:rsidRPr="00F0028D">
        <w:rPr>
          <w:rFonts w:ascii="Times New Roman" w:hAnsi="Times New Roman" w:cs="Times New Roman"/>
        </w:rPr>
        <w:t>di 4 ad un massimo di anni 20.</w:t>
      </w:r>
    </w:p>
    <w:p w14:paraId="29764295" w14:textId="77777777" w:rsidR="00776194" w:rsidRPr="00776194" w:rsidRDefault="00776194" w:rsidP="00776194">
      <w:pPr>
        <w:jc w:val="both"/>
        <w:rPr>
          <w:rFonts w:ascii="Times New Roman" w:hAnsi="Times New Roman" w:cs="Times New Roman"/>
          <w:i/>
          <w:iCs/>
        </w:rPr>
      </w:pPr>
      <w:r>
        <w:rPr>
          <w:rFonts w:ascii="Times New Roman" w:hAnsi="Times New Roman" w:cs="Times New Roman"/>
        </w:rPr>
        <w:t xml:space="preserve">Alla luce del fatto che la finalità del piano è quella di ottenere un risanamento strutturale, il comma 6 del medesimo articolo, prevede che </w:t>
      </w:r>
      <w:r w:rsidRPr="00776194">
        <w:rPr>
          <w:rFonts w:ascii="Times New Roman" w:hAnsi="Times New Roman" w:cs="Times New Roman"/>
          <w:i/>
          <w:iCs/>
        </w:rPr>
        <w:t>“Il piano di riequilibrio finanziario pluriennale deve tenere conto di tutte le misure necessarie a superare le condizioni di squilibrio rilevate e deve, comunque, contenere:</w:t>
      </w:r>
    </w:p>
    <w:p w14:paraId="38E52306" w14:textId="77777777" w:rsidR="00776194" w:rsidRPr="00776194" w:rsidRDefault="00776194" w:rsidP="00776194">
      <w:pPr>
        <w:jc w:val="both"/>
        <w:rPr>
          <w:rFonts w:ascii="Times New Roman" w:hAnsi="Times New Roman" w:cs="Times New Roman"/>
          <w:i/>
          <w:iCs/>
        </w:rPr>
      </w:pPr>
      <w:r w:rsidRPr="00776194">
        <w:rPr>
          <w:rFonts w:ascii="Times New Roman" w:hAnsi="Times New Roman" w:cs="Times New Roman"/>
          <w:i/>
          <w:iCs/>
        </w:rPr>
        <w:t>a) le eventuali misure correttive adottate dall'ente locale in considerazione dei comportamenti difformi dalla sana gestione finanziaria e del mancato rispetto degli obiettivi posti con il patto di stabilità interno accertati dalla competente sezione regionale della Corte dei conti;</w:t>
      </w:r>
    </w:p>
    <w:p w14:paraId="497D6F4D" w14:textId="77777777" w:rsidR="00776194" w:rsidRPr="00776194" w:rsidRDefault="00776194" w:rsidP="00776194">
      <w:pPr>
        <w:jc w:val="both"/>
        <w:rPr>
          <w:rFonts w:ascii="Times New Roman" w:hAnsi="Times New Roman" w:cs="Times New Roman"/>
          <w:i/>
          <w:iCs/>
        </w:rPr>
      </w:pPr>
      <w:r w:rsidRPr="00776194">
        <w:rPr>
          <w:rFonts w:ascii="Times New Roman" w:hAnsi="Times New Roman" w:cs="Times New Roman"/>
          <w:i/>
          <w:iCs/>
        </w:rPr>
        <w:t>b) la puntuale ricognizione, con relativa quantificazione, dei fattori di squilibrio rilevati, dell'eventuale disavanzo di amministrazione risultante dall'ultimo rendiconto approvato e di eventuali debiti fuori bilancio;</w:t>
      </w:r>
    </w:p>
    <w:p w14:paraId="6C23B9CE" w14:textId="77777777" w:rsidR="00776194" w:rsidRPr="00776194" w:rsidRDefault="00776194" w:rsidP="00776194">
      <w:pPr>
        <w:jc w:val="both"/>
        <w:rPr>
          <w:rFonts w:ascii="Times New Roman" w:hAnsi="Times New Roman" w:cs="Times New Roman"/>
          <w:i/>
          <w:iCs/>
        </w:rPr>
      </w:pPr>
      <w:r w:rsidRPr="00776194">
        <w:rPr>
          <w:rFonts w:ascii="Times New Roman" w:hAnsi="Times New Roman" w:cs="Times New Roman"/>
          <w:i/>
          <w:iCs/>
        </w:rPr>
        <w:t>c) l'individuazione, con relative quantificazione e previsione dell'anno di effettivo realizzo, di tutte le misure necessarie per ripristinare l'equilibrio strutturale del bilancio, per l'integrale ripiano del disavanzo di amministrazione accertato e per il finanziamento dei debiti fuori bilancio entro il periodo massimo di dieci anni, a partire da quello in corso alla data di accettazione del piano;</w:t>
      </w:r>
    </w:p>
    <w:p w14:paraId="18F1B7E9" w14:textId="132BE546" w:rsidR="00776194" w:rsidRDefault="00776194" w:rsidP="00776194">
      <w:pPr>
        <w:jc w:val="both"/>
        <w:rPr>
          <w:rFonts w:ascii="Times New Roman" w:hAnsi="Times New Roman" w:cs="Times New Roman"/>
        </w:rPr>
      </w:pPr>
      <w:r w:rsidRPr="00776194">
        <w:rPr>
          <w:rFonts w:ascii="Times New Roman" w:hAnsi="Times New Roman" w:cs="Times New Roman"/>
          <w:i/>
          <w:iCs/>
        </w:rPr>
        <w:t>d) l'indicazione, per ciascuno degli anni del piano di riequilibrio, della percentuale di ripiano del disavanzo di amministrazione da assicurare e degli importi previsti o da prevedere nei bilanci annuali e pluriennali per il finanziamento dei debiti fuori bilancio</w:t>
      </w:r>
      <w:r>
        <w:rPr>
          <w:rFonts w:ascii="Times New Roman" w:hAnsi="Times New Roman" w:cs="Times New Roman"/>
          <w:i/>
          <w:iCs/>
        </w:rPr>
        <w:t>”</w:t>
      </w:r>
      <w:r w:rsidRPr="00776194">
        <w:rPr>
          <w:rFonts w:ascii="Times New Roman" w:hAnsi="Times New Roman" w:cs="Times New Roman"/>
        </w:rPr>
        <w:t>.</w:t>
      </w:r>
    </w:p>
    <w:p w14:paraId="7A64CA71" w14:textId="7F1F7DD9" w:rsidR="00776194" w:rsidRDefault="00776194" w:rsidP="00776194">
      <w:pPr>
        <w:jc w:val="both"/>
        <w:rPr>
          <w:rFonts w:ascii="Times New Roman" w:hAnsi="Times New Roman" w:cs="Times New Roman"/>
        </w:rPr>
      </w:pPr>
      <w:r>
        <w:rPr>
          <w:rFonts w:ascii="Times New Roman" w:hAnsi="Times New Roman" w:cs="Times New Roman"/>
        </w:rPr>
        <w:t>Ai sensi dell’art.243 ter, comma 1,</w:t>
      </w:r>
      <w:r w:rsidR="00501412">
        <w:rPr>
          <w:rFonts w:ascii="Times New Roman" w:hAnsi="Times New Roman" w:cs="Times New Roman"/>
        </w:rPr>
        <w:t xml:space="preserve"> del </w:t>
      </w:r>
      <w:r w:rsidR="0036039A">
        <w:rPr>
          <w:rFonts w:ascii="Times New Roman" w:hAnsi="Times New Roman" w:cs="Times New Roman"/>
        </w:rPr>
        <w:t>TUEL, inoltre</w:t>
      </w:r>
      <w:r w:rsidR="00501412">
        <w:rPr>
          <w:rFonts w:ascii="Times New Roman" w:hAnsi="Times New Roman" w:cs="Times New Roman"/>
        </w:rPr>
        <w:t xml:space="preserve">, </w:t>
      </w:r>
      <w:r>
        <w:rPr>
          <w:rFonts w:ascii="Times New Roman" w:hAnsi="Times New Roman" w:cs="Times New Roman"/>
        </w:rPr>
        <w:t>p</w:t>
      </w:r>
      <w:r w:rsidRPr="00776194">
        <w:rPr>
          <w:rFonts w:ascii="Times New Roman" w:hAnsi="Times New Roman" w:cs="Times New Roman"/>
        </w:rPr>
        <w:t>er il risanamento finanziario degli enti locali che hanno deliberato la procedura di riequilibrio finanziario di cui all'articolo 243-bis</w:t>
      </w:r>
      <w:r w:rsidR="007923A4">
        <w:rPr>
          <w:rFonts w:ascii="Times New Roman" w:hAnsi="Times New Roman" w:cs="Times New Roman"/>
        </w:rPr>
        <w:t>,</w:t>
      </w:r>
      <w:r w:rsidRPr="00776194">
        <w:rPr>
          <w:rFonts w:ascii="Times New Roman" w:hAnsi="Times New Roman" w:cs="Times New Roman"/>
        </w:rPr>
        <w:t xml:space="preserve"> lo Stato prevede un'anticipazione a valere sul Fondo di rotazione, denominato: "Fondo di rotazione per assicurare la </w:t>
      </w:r>
      <w:r w:rsidR="00145068" w:rsidRPr="00776194">
        <w:rPr>
          <w:rFonts w:ascii="Times New Roman" w:hAnsi="Times New Roman" w:cs="Times New Roman"/>
        </w:rPr>
        <w:t>stabilità</w:t>
      </w:r>
      <w:r w:rsidRPr="00776194">
        <w:rPr>
          <w:rFonts w:ascii="Times New Roman" w:hAnsi="Times New Roman" w:cs="Times New Roman"/>
        </w:rPr>
        <w:t xml:space="preserve"> finanziaria degli</w:t>
      </w:r>
      <w:r>
        <w:rPr>
          <w:rFonts w:ascii="Times New Roman" w:hAnsi="Times New Roman" w:cs="Times New Roman"/>
        </w:rPr>
        <w:t xml:space="preserve"> enti locali “.</w:t>
      </w:r>
    </w:p>
    <w:p w14:paraId="6A7D49A8" w14:textId="54BEA7F8" w:rsidR="00145068" w:rsidRDefault="00776194" w:rsidP="009821C5">
      <w:pPr>
        <w:jc w:val="both"/>
        <w:rPr>
          <w:rFonts w:ascii="Times New Roman" w:hAnsi="Times New Roman" w:cs="Times New Roman"/>
        </w:rPr>
      </w:pPr>
      <w:r w:rsidRPr="0048685D">
        <w:rPr>
          <w:rFonts w:ascii="Times New Roman" w:hAnsi="Times New Roman" w:cs="Times New Roman"/>
        </w:rPr>
        <w:t>Sul tema</w:t>
      </w:r>
      <w:r w:rsidR="00145068" w:rsidRPr="0048685D">
        <w:rPr>
          <w:rFonts w:ascii="Times New Roman" w:hAnsi="Times New Roman" w:cs="Times New Roman"/>
        </w:rPr>
        <w:t>,</w:t>
      </w:r>
      <w:r w:rsidRPr="0048685D">
        <w:rPr>
          <w:rFonts w:ascii="Times New Roman" w:hAnsi="Times New Roman" w:cs="Times New Roman"/>
        </w:rPr>
        <w:t xml:space="preserve"> la Corte cost. con sentenza n.224 del 2023</w:t>
      </w:r>
      <w:r w:rsidR="0048685D" w:rsidRPr="0048685D">
        <w:rPr>
          <w:rFonts w:ascii="Times New Roman" w:hAnsi="Times New Roman" w:cs="Times New Roman"/>
        </w:rPr>
        <w:t xml:space="preserve"> , nel dichiarare l’illegittimità costituzionale </w:t>
      </w:r>
      <w:r w:rsidR="0048685D" w:rsidRPr="0048685D">
        <w:rPr>
          <w:rFonts w:ascii="Times New Roman" w:hAnsi="Times New Roman" w:cs="Times New Roman"/>
        </w:rPr>
        <w:t>dell'art. 43, comma 1, del decreto-legge 12 settembre 2014, n. 133, convertito, con modificazioni, in legge 11 novembre 2014, n. 164, nella parte in cui non prevede che l'utilizzo delle risorse agli stessi enti attribuibili a valere sul fondo di rotazione per assicurare la stabilità finanziaria degli enti locali di cui all'art. 243- ter del decreto legislativo 18 agosto 2000, n. 267, deve avvenire solo a titolo di cassa</w:t>
      </w:r>
      <w:r w:rsidR="0048685D" w:rsidRPr="0048685D">
        <w:rPr>
          <w:rFonts w:ascii="Times New Roman" w:hAnsi="Times New Roman" w:cs="Times New Roman"/>
        </w:rPr>
        <w:t xml:space="preserve">, </w:t>
      </w:r>
      <w:r w:rsidR="00145068" w:rsidRPr="0048685D">
        <w:rPr>
          <w:rFonts w:ascii="Times New Roman" w:hAnsi="Times New Roman" w:cs="Times New Roman"/>
        </w:rPr>
        <w:t>ha</w:t>
      </w:r>
      <w:r w:rsidR="0048685D" w:rsidRPr="0048685D">
        <w:rPr>
          <w:rFonts w:ascii="Times New Roman" w:hAnsi="Times New Roman" w:cs="Times New Roman"/>
        </w:rPr>
        <w:t xml:space="preserve"> tenuto a precisare</w:t>
      </w:r>
      <w:r w:rsidR="00145068" w:rsidRPr="0048685D">
        <w:rPr>
          <w:rFonts w:ascii="Times New Roman" w:hAnsi="Times New Roman" w:cs="Times New Roman"/>
        </w:rPr>
        <w:t xml:space="preserve">  che tali anticipazioni devono essere trattate come anticipazioni di liquidità e non possono essere impiegate per coprire debiti fuori bilancio o disavanzi</w:t>
      </w:r>
      <w:r w:rsidR="009821C5">
        <w:rPr>
          <w:rFonts w:ascii="Times New Roman" w:hAnsi="Times New Roman" w:cs="Times New Roman"/>
        </w:rPr>
        <w:t xml:space="preserve">, stante </w:t>
      </w:r>
      <w:r w:rsidR="009821C5" w:rsidRPr="009821C5">
        <w:rPr>
          <w:rFonts w:ascii="Times New Roman" w:hAnsi="Times New Roman" w:cs="Times New Roman"/>
        </w:rPr>
        <w:t>la cosiddetta regola aurea che prescrive di</w:t>
      </w:r>
      <w:r w:rsidR="009821C5">
        <w:rPr>
          <w:rFonts w:ascii="Times New Roman" w:hAnsi="Times New Roman" w:cs="Times New Roman"/>
        </w:rPr>
        <w:t xml:space="preserve"> </w:t>
      </w:r>
      <w:r w:rsidR="009821C5" w:rsidRPr="009821C5">
        <w:rPr>
          <w:rFonts w:ascii="Times New Roman" w:hAnsi="Times New Roman" w:cs="Times New Roman"/>
        </w:rPr>
        <w:t>effettuare indebitamenti solo per spese di investimento (art. 119, settimo comma, Cost.)</w:t>
      </w:r>
      <w:r w:rsidR="009821C5">
        <w:rPr>
          <w:rFonts w:ascii="Times New Roman" w:hAnsi="Times New Roman" w:cs="Times New Roman"/>
        </w:rPr>
        <w:t>.</w:t>
      </w:r>
    </w:p>
    <w:p w14:paraId="3FCDEADF" w14:textId="53108849" w:rsidR="00145068" w:rsidRDefault="00145068" w:rsidP="00145068">
      <w:pPr>
        <w:jc w:val="both"/>
        <w:rPr>
          <w:rFonts w:ascii="Times New Roman" w:hAnsi="Times New Roman" w:cs="Times New Roman"/>
          <w:i/>
          <w:iCs/>
        </w:rPr>
      </w:pPr>
      <w:r>
        <w:rPr>
          <w:rFonts w:ascii="Times New Roman" w:hAnsi="Times New Roman" w:cs="Times New Roman"/>
        </w:rPr>
        <w:t>Sotto il profilo</w:t>
      </w:r>
      <w:r w:rsidR="005A052B">
        <w:rPr>
          <w:rFonts w:ascii="Times New Roman" w:hAnsi="Times New Roman" w:cs="Times New Roman"/>
        </w:rPr>
        <w:t>, invece,</w:t>
      </w:r>
      <w:r>
        <w:rPr>
          <w:rFonts w:ascii="Times New Roman" w:hAnsi="Times New Roman" w:cs="Times New Roman"/>
        </w:rPr>
        <w:t xml:space="preserve"> dei controlli della Corte dei conti sul piano di riequilibrio pluriennale, l’art.243 quater, comma 7,  del sopra citato Testo unico,  prevede</w:t>
      </w:r>
      <w:r w:rsidR="007923A4">
        <w:rPr>
          <w:rFonts w:ascii="Times New Roman" w:hAnsi="Times New Roman" w:cs="Times New Roman"/>
        </w:rPr>
        <w:t xml:space="preserve"> che </w:t>
      </w:r>
      <w:r>
        <w:rPr>
          <w:rFonts w:ascii="Times New Roman" w:hAnsi="Times New Roman" w:cs="Times New Roman"/>
        </w:rPr>
        <w:t xml:space="preserve"> “</w:t>
      </w:r>
      <w:r w:rsidRPr="00145068">
        <w:rPr>
          <w:rFonts w:ascii="Times New Roman" w:hAnsi="Times New Roman" w:cs="Times New Roman"/>
        </w:rPr>
        <w:t xml:space="preserve"> </w:t>
      </w:r>
      <w:r w:rsidRPr="00145068">
        <w:rPr>
          <w:rFonts w:ascii="Times New Roman" w:hAnsi="Times New Roman" w:cs="Times New Roman"/>
          <w:i/>
          <w:iCs/>
        </w:rPr>
        <w:t xml:space="preserve">La mancata presentazione del piano entro il termine di cui all'articolo 243-bis, comma 5, il diniego dell'approvazione del piano, l'accertamento da parte della competente Sezione regionale della Corte dei conti di grave e reiterato mancato rispetto degli obiettivi intermedi fissati dal piano, ovvero il mancato raggiungimento del riequilibrio finanziario dell'ente al termine del periodo di durata del piano stesso, comportano l'applicazione dell''articolo 6, comma 2, del decreto legislativo n. 149 del 2011, con l'assegnazione </w:t>
      </w:r>
      <w:r w:rsidRPr="00145068">
        <w:rPr>
          <w:rFonts w:ascii="Times New Roman" w:hAnsi="Times New Roman" w:cs="Times New Roman"/>
          <w:i/>
          <w:iCs/>
        </w:rPr>
        <w:lastRenderedPageBreak/>
        <w:t>al Consiglio dell'ente, da parte del Prefetto, del termine non superiore a venti giorni per la deliberazione del dissesto</w:t>
      </w:r>
      <w:r>
        <w:rPr>
          <w:rFonts w:ascii="Times New Roman" w:hAnsi="Times New Roman" w:cs="Times New Roman"/>
          <w:i/>
          <w:iCs/>
        </w:rPr>
        <w:t>”.</w:t>
      </w:r>
    </w:p>
    <w:p w14:paraId="7B6837C5" w14:textId="5F15257B" w:rsidR="00145068" w:rsidRDefault="005A052B" w:rsidP="00145068">
      <w:pPr>
        <w:jc w:val="both"/>
        <w:rPr>
          <w:rFonts w:ascii="Times New Roman" w:hAnsi="Times New Roman" w:cs="Times New Roman"/>
        </w:rPr>
      </w:pPr>
      <w:r>
        <w:rPr>
          <w:rFonts w:ascii="Times New Roman" w:hAnsi="Times New Roman" w:cs="Times New Roman"/>
        </w:rPr>
        <w:t>L’intervento,</w:t>
      </w:r>
      <w:r w:rsidR="00145068">
        <w:rPr>
          <w:rFonts w:ascii="Times New Roman" w:hAnsi="Times New Roman" w:cs="Times New Roman"/>
        </w:rPr>
        <w:t xml:space="preserve"> dunque, del giudice contabile</w:t>
      </w:r>
      <w:r w:rsidR="00501412">
        <w:rPr>
          <w:rFonts w:ascii="Times New Roman" w:hAnsi="Times New Roman" w:cs="Times New Roman"/>
        </w:rPr>
        <w:t xml:space="preserve"> in tema di PRFP</w:t>
      </w:r>
      <w:r w:rsidR="00145068">
        <w:rPr>
          <w:rFonts w:ascii="Times New Roman" w:hAnsi="Times New Roman" w:cs="Times New Roman"/>
        </w:rPr>
        <w:t xml:space="preserve"> avviene in tre </w:t>
      </w:r>
      <w:proofErr w:type="gramStart"/>
      <w:r w:rsidR="00145068">
        <w:rPr>
          <w:rFonts w:ascii="Times New Roman" w:hAnsi="Times New Roman" w:cs="Times New Roman"/>
        </w:rPr>
        <w:t>fasi :</w:t>
      </w:r>
      <w:proofErr w:type="gramEnd"/>
    </w:p>
    <w:p w14:paraId="4E697727" w14:textId="7B2BD12A" w:rsidR="00145068" w:rsidRDefault="00145068" w:rsidP="00145068">
      <w:pPr>
        <w:pStyle w:val="Paragrafoelenco"/>
        <w:numPr>
          <w:ilvl w:val="0"/>
          <w:numId w:val="5"/>
        </w:numPr>
        <w:jc w:val="both"/>
        <w:rPr>
          <w:rFonts w:ascii="Times New Roman" w:hAnsi="Times New Roman" w:cs="Times New Roman"/>
        </w:rPr>
      </w:pPr>
      <w:r w:rsidRPr="00D152ED">
        <w:rPr>
          <w:rFonts w:ascii="Times New Roman" w:hAnsi="Times New Roman" w:cs="Times New Roman"/>
          <w:u w:val="single"/>
        </w:rPr>
        <w:t>Approvazione o meno del piano di riequilibrio</w:t>
      </w:r>
      <w:r>
        <w:rPr>
          <w:rFonts w:ascii="Times New Roman" w:hAnsi="Times New Roman" w:cs="Times New Roman"/>
        </w:rPr>
        <w:t xml:space="preserve">, </w:t>
      </w:r>
      <w:r w:rsidRPr="00D152ED">
        <w:rPr>
          <w:rFonts w:ascii="Times New Roman" w:hAnsi="Times New Roman" w:cs="Times New Roman"/>
          <w:i/>
          <w:iCs/>
        </w:rPr>
        <w:t>cd. omologazione</w:t>
      </w:r>
      <w:r>
        <w:rPr>
          <w:rFonts w:ascii="Times New Roman" w:hAnsi="Times New Roman" w:cs="Times New Roman"/>
        </w:rPr>
        <w:t>. In tale fase la Corte</w:t>
      </w:r>
      <w:r w:rsidR="00D152ED">
        <w:rPr>
          <w:rFonts w:ascii="Times New Roman" w:hAnsi="Times New Roman" w:cs="Times New Roman"/>
        </w:rPr>
        <w:t>, come precisato dalle SS.RR.</w:t>
      </w:r>
      <w:r w:rsidR="00473374">
        <w:rPr>
          <w:rFonts w:ascii="Times New Roman" w:hAnsi="Times New Roman" w:cs="Times New Roman"/>
        </w:rPr>
        <w:t xml:space="preserve"> </w:t>
      </w:r>
      <w:r w:rsidR="00D152ED">
        <w:rPr>
          <w:rFonts w:ascii="Times New Roman" w:hAnsi="Times New Roman" w:cs="Times New Roman"/>
        </w:rPr>
        <w:t>in speciale composizione, n. 10/</w:t>
      </w:r>
      <w:r w:rsidR="007923A4">
        <w:rPr>
          <w:rFonts w:ascii="Times New Roman" w:hAnsi="Times New Roman" w:cs="Times New Roman"/>
        </w:rPr>
        <w:t>20</w:t>
      </w:r>
      <w:r w:rsidR="00D152ED">
        <w:rPr>
          <w:rFonts w:ascii="Times New Roman" w:hAnsi="Times New Roman" w:cs="Times New Roman"/>
        </w:rPr>
        <w:t>21/</w:t>
      </w:r>
      <w:r w:rsidR="00473374">
        <w:rPr>
          <w:rFonts w:ascii="Times New Roman" w:hAnsi="Times New Roman" w:cs="Times New Roman"/>
        </w:rPr>
        <w:t>EL, non</w:t>
      </w:r>
      <w:r w:rsidR="00D152ED">
        <w:rPr>
          <w:rFonts w:ascii="Times New Roman" w:hAnsi="Times New Roman" w:cs="Times New Roman"/>
        </w:rPr>
        <w:t xml:space="preserve"> codecide il contenuto del PRFP e le modalità della sua attuazione, ma “</w:t>
      </w:r>
      <w:r w:rsidR="00D152ED" w:rsidRPr="00473374">
        <w:rPr>
          <w:rFonts w:ascii="Times New Roman" w:hAnsi="Times New Roman" w:cs="Times New Roman"/>
          <w:i/>
          <w:iCs/>
        </w:rPr>
        <w:t>omologa</w:t>
      </w:r>
      <w:r w:rsidR="00D152ED">
        <w:rPr>
          <w:rFonts w:ascii="Times New Roman" w:hAnsi="Times New Roman" w:cs="Times New Roman"/>
        </w:rPr>
        <w:t xml:space="preserve"> “il piano, effettuando una mera valutazione di </w:t>
      </w:r>
      <w:r w:rsidR="00473374">
        <w:rPr>
          <w:rFonts w:ascii="Times New Roman" w:hAnsi="Times New Roman" w:cs="Times New Roman"/>
        </w:rPr>
        <w:t>legittimità,</w:t>
      </w:r>
      <w:r w:rsidR="00D152ED">
        <w:rPr>
          <w:rFonts w:ascii="Times New Roman" w:hAnsi="Times New Roman" w:cs="Times New Roman"/>
        </w:rPr>
        <w:t xml:space="preserve"> sotto il profilo della proporzionalità dei </w:t>
      </w:r>
      <w:r w:rsidR="00473374">
        <w:rPr>
          <w:rFonts w:ascii="Times New Roman" w:hAnsi="Times New Roman" w:cs="Times New Roman"/>
        </w:rPr>
        <w:t>mezzi individuati</w:t>
      </w:r>
      <w:r w:rsidR="00D152ED">
        <w:rPr>
          <w:rFonts w:ascii="Times New Roman" w:hAnsi="Times New Roman" w:cs="Times New Roman"/>
        </w:rPr>
        <w:t>;</w:t>
      </w:r>
    </w:p>
    <w:p w14:paraId="643F20DF" w14:textId="55A57162" w:rsidR="00D152ED" w:rsidRDefault="00D152ED" w:rsidP="00145068">
      <w:pPr>
        <w:pStyle w:val="Paragrafoelenco"/>
        <w:numPr>
          <w:ilvl w:val="0"/>
          <w:numId w:val="5"/>
        </w:numPr>
        <w:jc w:val="both"/>
        <w:rPr>
          <w:rFonts w:ascii="Times New Roman" w:hAnsi="Times New Roman" w:cs="Times New Roman"/>
        </w:rPr>
      </w:pPr>
      <w:r>
        <w:rPr>
          <w:rFonts w:ascii="Times New Roman" w:hAnsi="Times New Roman" w:cs="Times New Roman"/>
          <w:u w:val="single"/>
        </w:rPr>
        <w:t xml:space="preserve">Verifica nella fase attuativa semestrale, </w:t>
      </w:r>
      <w:r w:rsidRPr="00D152ED">
        <w:rPr>
          <w:rFonts w:ascii="Times New Roman" w:hAnsi="Times New Roman" w:cs="Times New Roman"/>
        </w:rPr>
        <w:t>in cui l’oggetto del controllo è l’esecuzione del piano</w:t>
      </w:r>
      <w:r>
        <w:rPr>
          <w:rFonts w:ascii="Times New Roman" w:hAnsi="Times New Roman" w:cs="Times New Roman"/>
        </w:rPr>
        <w:t xml:space="preserve"> e la sua conformità con gli obiettivi intermedi fissati, secondo </w:t>
      </w:r>
      <w:proofErr w:type="spellStart"/>
      <w:r>
        <w:rPr>
          <w:rFonts w:ascii="Times New Roman" w:hAnsi="Times New Roman" w:cs="Times New Roman"/>
        </w:rPr>
        <w:t>cronoprogrammazione</w:t>
      </w:r>
      <w:proofErr w:type="spellEnd"/>
      <w:r>
        <w:rPr>
          <w:rFonts w:ascii="Times New Roman" w:hAnsi="Times New Roman" w:cs="Times New Roman"/>
        </w:rPr>
        <w:t>;</w:t>
      </w:r>
    </w:p>
    <w:p w14:paraId="4036D726" w14:textId="44521551" w:rsidR="00D152ED" w:rsidRPr="00473374" w:rsidRDefault="00D152ED" w:rsidP="00145068">
      <w:pPr>
        <w:pStyle w:val="Paragrafoelenco"/>
        <w:numPr>
          <w:ilvl w:val="0"/>
          <w:numId w:val="5"/>
        </w:numPr>
        <w:jc w:val="both"/>
        <w:rPr>
          <w:rFonts w:ascii="Times New Roman" w:hAnsi="Times New Roman" w:cs="Times New Roman"/>
        </w:rPr>
      </w:pPr>
      <w:r>
        <w:rPr>
          <w:rFonts w:ascii="Times New Roman" w:hAnsi="Times New Roman" w:cs="Times New Roman"/>
          <w:u w:val="single"/>
        </w:rPr>
        <w:t>Verifica del raggiungimento dell’equilibrio alla scadenza del piano</w:t>
      </w:r>
      <w:r w:rsidR="00473374">
        <w:rPr>
          <w:rFonts w:ascii="Times New Roman" w:hAnsi="Times New Roman" w:cs="Times New Roman"/>
          <w:u w:val="single"/>
        </w:rPr>
        <w:t>.</w:t>
      </w:r>
    </w:p>
    <w:p w14:paraId="10B53380" w14:textId="4F6C5F24" w:rsidR="00473374" w:rsidRPr="00473374" w:rsidRDefault="00501412" w:rsidP="00501412">
      <w:pPr>
        <w:jc w:val="both"/>
        <w:rPr>
          <w:rFonts w:ascii="Times New Roman" w:hAnsi="Times New Roman" w:cs="Times New Roman"/>
        </w:rPr>
      </w:pPr>
      <w:r>
        <w:rPr>
          <w:rFonts w:ascii="Times New Roman" w:hAnsi="Times New Roman" w:cs="Times New Roman"/>
        </w:rPr>
        <w:t>In sede di controllo, l</w:t>
      </w:r>
      <w:r w:rsidR="00473374">
        <w:rPr>
          <w:rFonts w:ascii="Times New Roman" w:hAnsi="Times New Roman" w:cs="Times New Roman"/>
        </w:rPr>
        <w:t xml:space="preserve">a mancata omologazione del piano, il </w:t>
      </w:r>
      <w:r w:rsidR="00473374" w:rsidRPr="00473374">
        <w:rPr>
          <w:rFonts w:ascii="Times New Roman" w:hAnsi="Times New Roman" w:cs="Times New Roman"/>
        </w:rPr>
        <w:t xml:space="preserve">reiterato mancato rispetto degli obiettivi intermedi fissati dal piano, ovvero il mancato raggiungimento del riequilibrio finanziario dell'ente al termine del periodo di durata del piano stesso, comportano l'applicazione </w:t>
      </w:r>
      <w:proofErr w:type="gramStart"/>
      <w:r w:rsidR="00473374" w:rsidRPr="00473374">
        <w:rPr>
          <w:rFonts w:ascii="Times New Roman" w:hAnsi="Times New Roman" w:cs="Times New Roman"/>
        </w:rPr>
        <w:t>dell'</w:t>
      </w:r>
      <w:r w:rsidR="007923A4">
        <w:rPr>
          <w:rFonts w:ascii="Times New Roman" w:hAnsi="Times New Roman" w:cs="Times New Roman"/>
        </w:rPr>
        <w:t xml:space="preserve"> </w:t>
      </w:r>
      <w:r w:rsidR="00473374" w:rsidRPr="00473374">
        <w:rPr>
          <w:rFonts w:ascii="Times New Roman" w:hAnsi="Times New Roman" w:cs="Times New Roman"/>
        </w:rPr>
        <w:t>articolo</w:t>
      </w:r>
      <w:proofErr w:type="gramEnd"/>
      <w:r w:rsidR="00473374" w:rsidRPr="00473374">
        <w:rPr>
          <w:rFonts w:ascii="Times New Roman" w:hAnsi="Times New Roman" w:cs="Times New Roman"/>
        </w:rPr>
        <w:t xml:space="preserve"> 6, comma 2, del decreto legislativo n. 149 del </w:t>
      </w:r>
      <w:r w:rsidR="007923A4" w:rsidRPr="00473374">
        <w:rPr>
          <w:rFonts w:ascii="Times New Roman" w:hAnsi="Times New Roman" w:cs="Times New Roman"/>
        </w:rPr>
        <w:t>2011</w:t>
      </w:r>
      <w:r w:rsidR="007923A4">
        <w:rPr>
          <w:rFonts w:ascii="Times New Roman" w:hAnsi="Times New Roman" w:cs="Times New Roman"/>
        </w:rPr>
        <w:t>(cd</w:t>
      </w:r>
      <w:r w:rsidR="00473374" w:rsidRPr="00473374">
        <w:rPr>
          <w:rFonts w:ascii="Times New Roman" w:hAnsi="Times New Roman" w:cs="Times New Roman"/>
          <w:i/>
          <w:iCs/>
        </w:rPr>
        <w:t xml:space="preserve">. dissesto </w:t>
      </w:r>
      <w:proofErr w:type="gramStart"/>
      <w:r w:rsidR="00473374" w:rsidRPr="00473374">
        <w:rPr>
          <w:rFonts w:ascii="Times New Roman" w:hAnsi="Times New Roman" w:cs="Times New Roman"/>
          <w:i/>
          <w:iCs/>
        </w:rPr>
        <w:t>guidato</w:t>
      </w:r>
      <w:r w:rsidR="00473374">
        <w:rPr>
          <w:rFonts w:ascii="Times New Roman" w:hAnsi="Times New Roman" w:cs="Times New Roman"/>
        </w:rPr>
        <w:t xml:space="preserve"> )</w:t>
      </w:r>
      <w:proofErr w:type="gramEnd"/>
      <w:r w:rsidR="00473374">
        <w:rPr>
          <w:rFonts w:ascii="Times New Roman" w:hAnsi="Times New Roman" w:cs="Times New Roman"/>
        </w:rPr>
        <w:t>.</w:t>
      </w:r>
    </w:p>
    <w:p w14:paraId="39F94073" w14:textId="273900CF" w:rsidR="00776194" w:rsidRDefault="00776194" w:rsidP="00776194">
      <w:pPr>
        <w:jc w:val="both"/>
        <w:rPr>
          <w:rFonts w:ascii="Times New Roman" w:hAnsi="Times New Roman" w:cs="Times New Roman"/>
        </w:rPr>
      </w:pPr>
    </w:p>
    <w:p w14:paraId="48A4C7E4" w14:textId="6A5B827C" w:rsidR="00821DEB" w:rsidRPr="00D62771" w:rsidRDefault="00D62771" w:rsidP="00D62771">
      <w:pPr>
        <w:jc w:val="both"/>
        <w:rPr>
          <w:rFonts w:ascii="Times New Roman" w:hAnsi="Times New Roman" w:cs="Times New Roman"/>
        </w:rPr>
      </w:pPr>
      <w:r>
        <w:rPr>
          <w:rFonts w:ascii="Times New Roman" w:hAnsi="Times New Roman" w:cs="Times New Roman"/>
          <w:b/>
          <w:bCs/>
        </w:rPr>
        <w:t xml:space="preserve">2. </w:t>
      </w:r>
      <w:r w:rsidR="00D71CDE" w:rsidRPr="00D62771">
        <w:rPr>
          <w:rFonts w:ascii="Times New Roman" w:hAnsi="Times New Roman" w:cs="Times New Roman"/>
          <w:b/>
          <w:bCs/>
        </w:rPr>
        <w:t>Il dissesto dell’ente locale</w:t>
      </w:r>
      <w:r w:rsidR="002C1776" w:rsidRPr="00D62771">
        <w:rPr>
          <w:rFonts w:ascii="Times New Roman" w:hAnsi="Times New Roman" w:cs="Times New Roman"/>
          <w:b/>
          <w:bCs/>
        </w:rPr>
        <w:t>: “autoproclamato”, “etero – dichiarato” e “legale”</w:t>
      </w:r>
      <w:r w:rsidR="00D71CDE" w:rsidRPr="00D62771">
        <w:rPr>
          <w:rFonts w:ascii="Times New Roman" w:hAnsi="Times New Roman" w:cs="Times New Roman"/>
        </w:rPr>
        <w:t>.</w:t>
      </w:r>
    </w:p>
    <w:p w14:paraId="602FD45B" w14:textId="77777777" w:rsidR="00B77107" w:rsidRPr="00F148CE" w:rsidRDefault="00B77107" w:rsidP="00403CB2">
      <w:pPr>
        <w:jc w:val="both"/>
        <w:rPr>
          <w:rFonts w:ascii="Times New Roman" w:hAnsi="Times New Roman" w:cs="Times New Roman"/>
        </w:rPr>
      </w:pPr>
    </w:p>
    <w:p w14:paraId="585A1F49" w14:textId="4B84720C" w:rsidR="002B1227" w:rsidRPr="00F148CE" w:rsidRDefault="00B77107" w:rsidP="00403CB2">
      <w:pPr>
        <w:jc w:val="both"/>
        <w:rPr>
          <w:rFonts w:ascii="Times New Roman" w:hAnsi="Times New Roman" w:cs="Times New Roman"/>
        </w:rPr>
      </w:pPr>
      <w:r w:rsidRPr="00F148CE">
        <w:rPr>
          <w:rFonts w:ascii="Times New Roman" w:hAnsi="Times New Roman" w:cs="Times New Roman"/>
        </w:rPr>
        <w:t xml:space="preserve">L’art. 244 del TUEL </w:t>
      </w:r>
      <w:r w:rsidR="00D71CDE" w:rsidRPr="00F148CE">
        <w:rPr>
          <w:rFonts w:ascii="Times New Roman" w:hAnsi="Times New Roman" w:cs="Times New Roman"/>
        </w:rPr>
        <w:t xml:space="preserve">definisce </w:t>
      </w:r>
      <w:r w:rsidR="000A024B" w:rsidRPr="00F148CE">
        <w:rPr>
          <w:rFonts w:ascii="Times New Roman" w:hAnsi="Times New Roman" w:cs="Times New Roman"/>
        </w:rPr>
        <w:t>lo</w:t>
      </w:r>
      <w:r w:rsidRPr="00F148CE">
        <w:rPr>
          <w:rFonts w:ascii="Times New Roman" w:hAnsi="Times New Roman" w:cs="Times New Roman"/>
        </w:rPr>
        <w:t xml:space="preserve"> stato</w:t>
      </w:r>
      <w:r w:rsidR="00BB1540" w:rsidRPr="00F148CE">
        <w:rPr>
          <w:rFonts w:ascii="Times New Roman" w:hAnsi="Times New Roman" w:cs="Times New Roman"/>
        </w:rPr>
        <w:t xml:space="preserve"> </w:t>
      </w:r>
      <w:r w:rsidRPr="00F148CE">
        <w:rPr>
          <w:rFonts w:ascii="Times New Roman" w:hAnsi="Times New Roman" w:cs="Times New Roman"/>
        </w:rPr>
        <w:t xml:space="preserve">dissesto finanziario </w:t>
      </w:r>
      <w:r w:rsidR="000A024B" w:rsidRPr="00F148CE">
        <w:rPr>
          <w:rFonts w:ascii="Times New Roman" w:hAnsi="Times New Roman" w:cs="Times New Roman"/>
        </w:rPr>
        <w:t>come quello in cui</w:t>
      </w:r>
      <w:r w:rsidR="00BB1540" w:rsidRPr="00F148CE">
        <w:rPr>
          <w:rFonts w:ascii="Times New Roman" w:hAnsi="Times New Roman" w:cs="Times New Roman"/>
        </w:rPr>
        <w:t xml:space="preserve"> </w:t>
      </w:r>
      <w:r w:rsidR="000A024B" w:rsidRPr="00F148CE">
        <w:rPr>
          <w:rFonts w:ascii="Times New Roman" w:hAnsi="Times New Roman" w:cs="Times New Roman"/>
        </w:rPr>
        <w:t>l’ente locale</w:t>
      </w:r>
      <w:r w:rsidRPr="00F148CE">
        <w:rPr>
          <w:rFonts w:ascii="Times New Roman" w:hAnsi="Times New Roman" w:cs="Times New Roman"/>
        </w:rPr>
        <w:t xml:space="preserve"> non può garantire l’assolvimento delle funzioni e dei servizi indispensabil</w:t>
      </w:r>
      <w:r w:rsidR="009237B0" w:rsidRPr="00F148CE">
        <w:rPr>
          <w:rFonts w:ascii="Times New Roman" w:hAnsi="Times New Roman" w:cs="Times New Roman"/>
        </w:rPr>
        <w:t>i</w:t>
      </w:r>
      <w:r w:rsidRPr="00F148CE">
        <w:rPr>
          <w:rFonts w:ascii="Times New Roman" w:hAnsi="Times New Roman" w:cs="Times New Roman"/>
        </w:rPr>
        <w:t xml:space="preserve"> (c.d. dissesto per </w:t>
      </w:r>
      <w:r w:rsidR="000A024B" w:rsidRPr="00F148CE">
        <w:rPr>
          <w:rFonts w:ascii="Times New Roman" w:hAnsi="Times New Roman" w:cs="Times New Roman"/>
        </w:rPr>
        <w:t>incapacità</w:t>
      </w:r>
      <w:r w:rsidRPr="00F148CE">
        <w:rPr>
          <w:rFonts w:ascii="Times New Roman" w:hAnsi="Times New Roman" w:cs="Times New Roman"/>
        </w:rPr>
        <w:t xml:space="preserve"> funzional</w:t>
      </w:r>
      <w:r w:rsidR="000A024B" w:rsidRPr="00F148CE">
        <w:rPr>
          <w:rFonts w:ascii="Times New Roman" w:hAnsi="Times New Roman" w:cs="Times New Roman"/>
        </w:rPr>
        <w:t>e</w:t>
      </w:r>
      <w:r w:rsidRPr="00F148CE">
        <w:rPr>
          <w:rFonts w:ascii="Times New Roman" w:hAnsi="Times New Roman" w:cs="Times New Roman"/>
        </w:rPr>
        <w:t xml:space="preserve">) ovvero esistono nei </w:t>
      </w:r>
      <w:r w:rsidR="000A024B" w:rsidRPr="00F148CE">
        <w:rPr>
          <w:rFonts w:ascii="Times New Roman" w:hAnsi="Times New Roman" w:cs="Times New Roman"/>
        </w:rPr>
        <w:t xml:space="preserve">suoi confronti </w:t>
      </w:r>
      <w:r w:rsidRPr="00F148CE">
        <w:rPr>
          <w:rFonts w:ascii="Times New Roman" w:hAnsi="Times New Roman" w:cs="Times New Roman"/>
        </w:rPr>
        <w:t>crediti liquidi ed esigibili di terzi</w:t>
      </w:r>
      <w:r w:rsidR="000A024B" w:rsidRPr="00F148CE">
        <w:rPr>
          <w:rFonts w:ascii="Times New Roman" w:hAnsi="Times New Roman" w:cs="Times New Roman"/>
        </w:rPr>
        <w:t xml:space="preserve"> (c.d. dissesto per incapacità finanziaria)</w:t>
      </w:r>
      <w:r w:rsidR="00BB1540" w:rsidRPr="00F148CE">
        <w:rPr>
          <w:rFonts w:ascii="Times New Roman" w:hAnsi="Times New Roman" w:cs="Times New Roman"/>
        </w:rPr>
        <w:t xml:space="preserve"> </w:t>
      </w:r>
      <w:r w:rsidR="000A024B" w:rsidRPr="00F148CE">
        <w:rPr>
          <w:rFonts w:ascii="Times New Roman" w:hAnsi="Times New Roman" w:cs="Times New Roman"/>
        </w:rPr>
        <w:t xml:space="preserve">a </w:t>
      </w:r>
      <w:r w:rsidRPr="00F148CE">
        <w:rPr>
          <w:rFonts w:ascii="Times New Roman" w:hAnsi="Times New Roman" w:cs="Times New Roman"/>
        </w:rPr>
        <w:t>cui non si possa fare validamente fronte con le modalità di cui all'</w:t>
      </w:r>
      <w:r w:rsidR="0057143C">
        <w:rPr>
          <w:rFonts w:ascii="Times New Roman" w:hAnsi="Times New Roman" w:cs="Times New Roman"/>
        </w:rPr>
        <w:t>art.</w:t>
      </w:r>
      <w:r w:rsidRPr="00F148CE">
        <w:rPr>
          <w:rFonts w:ascii="Times New Roman" w:hAnsi="Times New Roman" w:cs="Times New Roman"/>
        </w:rPr>
        <w:t xml:space="preserve"> 193</w:t>
      </w:r>
      <w:r w:rsidR="000A024B" w:rsidRPr="00F148CE">
        <w:rPr>
          <w:rFonts w:ascii="Times New Roman" w:hAnsi="Times New Roman" w:cs="Times New Roman"/>
        </w:rPr>
        <w:t xml:space="preserve"> </w:t>
      </w:r>
      <w:r w:rsidR="00003FFB">
        <w:rPr>
          <w:rFonts w:ascii="Times New Roman" w:hAnsi="Times New Roman" w:cs="Times New Roman"/>
        </w:rPr>
        <w:t xml:space="preserve">TUEL </w:t>
      </w:r>
      <w:r w:rsidR="000A024B" w:rsidRPr="00F148CE">
        <w:rPr>
          <w:rFonts w:ascii="Times New Roman" w:hAnsi="Times New Roman" w:cs="Times New Roman"/>
        </w:rPr>
        <w:t>(che , al comma 3, individua le risorse che possono essere utilizzate, in un arco triennale, per ristabilire gli equilibri di bilancio)</w:t>
      </w:r>
      <w:r w:rsidR="00BB1540" w:rsidRPr="00F148CE">
        <w:rPr>
          <w:rFonts w:ascii="Times New Roman" w:hAnsi="Times New Roman" w:cs="Times New Roman"/>
        </w:rPr>
        <w:t xml:space="preserve"> </w:t>
      </w:r>
      <w:r w:rsidR="000A024B" w:rsidRPr="00F148CE">
        <w:rPr>
          <w:rFonts w:ascii="Times New Roman" w:hAnsi="Times New Roman" w:cs="Times New Roman"/>
        </w:rPr>
        <w:t xml:space="preserve">e </w:t>
      </w:r>
      <w:r w:rsidRPr="00F148CE">
        <w:rPr>
          <w:rFonts w:ascii="Times New Roman" w:hAnsi="Times New Roman" w:cs="Times New Roman"/>
        </w:rPr>
        <w:t>194</w:t>
      </w:r>
      <w:r w:rsidR="000A024B" w:rsidRPr="00F148CE">
        <w:rPr>
          <w:rFonts w:ascii="Times New Roman" w:hAnsi="Times New Roman" w:cs="Times New Roman"/>
        </w:rPr>
        <w:t xml:space="preserve"> </w:t>
      </w:r>
      <w:r w:rsidR="00003FFB">
        <w:rPr>
          <w:rFonts w:ascii="Times New Roman" w:hAnsi="Times New Roman" w:cs="Times New Roman"/>
        </w:rPr>
        <w:t>TUEL</w:t>
      </w:r>
      <w:r w:rsidR="000A024B" w:rsidRPr="00F148CE">
        <w:rPr>
          <w:rFonts w:ascii="Times New Roman" w:hAnsi="Times New Roman" w:cs="Times New Roman"/>
        </w:rPr>
        <w:t>(che, al comma 3,</w:t>
      </w:r>
      <w:r w:rsidR="009237B0" w:rsidRPr="00F148CE">
        <w:rPr>
          <w:rFonts w:ascii="Times New Roman" w:hAnsi="Times New Roman" w:cs="Times New Roman"/>
        </w:rPr>
        <w:t xml:space="preserve"> </w:t>
      </w:r>
      <w:r w:rsidR="000A024B" w:rsidRPr="00F148CE">
        <w:rPr>
          <w:rFonts w:ascii="Times New Roman" w:hAnsi="Times New Roman" w:cs="Times New Roman"/>
        </w:rPr>
        <w:t>anche mediante rinvio al precedente art.193, comma 3, individua</w:t>
      </w:r>
      <w:r w:rsidR="00BB1540" w:rsidRPr="00F148CE">
        <w:rPr>
          <w:rFonts w:ascii="Times New Roman" w:hAnsi="Times New Roman" w:cs="Times New Roman"/>
        </w:rPr>
        <w:t xml:space="preserve"> </w:t>
      </w:r>
      <w:r w:rsidR="000A024B" w:rsidRPr="00F148CE">
        <w:rPr>
          <w:rFonts w:ascii="Times New Roman" w:hAnsi="Times New Roman" w:cs="Times New Roman"/>
        </w:rPr>
        <w:t>le entrate che possono finanziare il riconoscimento dei debiti fuori bilancio).</w:t>
      </w:r>
    </w:p>
    <w:p w14:paraId="36611138" w14:textId="04BC82B9" w:rsidR="000A024B" w:rsidRPr="00F148CE" w:rsidRDefault="002B1227" w:rsidP="00403CB2">
      <w:pPr>
        <w:jc w:val="both"/>
        <w:rPr>
          <w:rFonts w:ascii="Times New Roman" w:hAnsi="Times New Roman" w:cs="Times New Roman"/>
        </w:rPr>
      </w:pPr>
      <w:r w:rsidRPr="00F148CE">
        <w:rPr>
          <w:rFonts w:ascii="Times New Roman" w:hAnsi="Times New Roman" w:cs="Times New Roman"/>
        </w:rPr>
        <w:t>I</w:t>
      </w:r>
      <w:r w:rsidR="000A024B" w:rsidRPr="00F148CE">
        <w:rPr>
          <w:rFonts w:ascii="Times New Roman" w:hAnsi="Times New Roman" w:cs="Times New Roman"/>
        </w:rPr>
        <w:t>l ricorso a quest’ultimo istituto è</w:t>
      </w:r>
      <w:r w:rsidRPr="00F148CE">
        <w:rPr>
          <w:rFonts w:ascii="Times New Roman" w:hAnsi="Times New Roman" w:cs="Times New Roman"/>
        </w:rPr>
        <w:t xml:space="preserve">, </w:t>
      </w:r>
      <w:r w:rsidR="009237B0" w:rsidRPr="00F148CE">
        <w:rPr>
          <w:rFonts w:ascii="Times New Roman" w:hAnsi="Times New Roman" w:cs="Times New Roman"/>
        </w:rPr>
        <w:t>dunque, un</w:t>
      </w:r>
      <w:r w:rsidR="000A024B" w:rsidRPr="00F148CE">
        <w:rPr>
          <w:rFonts w:ascii="Times New Roman" w:hAnsi="Times New Roman" w:cs="Times New Roman"/>
        </w:rPr>
        <w:t xml:space="preserve"> esito obbligato qualora l’ente verifichi l’impossibilità di ripristinare una situazione di normalità nella gestione ordinaria, come più volte chiarito dalla giurisprudenza costituzionale, contabile</w:t>
      </w:r>
      <w:r w:rsidR="006B680F" w:rsidRPr="00F148CE">
        <w:rPr>
          <w:rStyle w:val="Rimandonotaapidipagina"/>
          <w:rFonts w:ascii="Times New Roman" w:hAnsi="Times New Roman" w:cs="Times New Roman"/>
        </w:rPr>
        <w:footnoteReference w:id="8"/>
      </w:r>
      <w:r w:rsidR="000A024B" w:rsidRPr="00F148CE">
        <w:rPr>
          <w:rFonts w:ascii="Times New Roman" w:hAnsi="Times New Roman" w:cs="Times New Roman"/>
        </w:rPr>
        <w:t xml:space="preserve"> e amministrativa, la cui mancata attivazione può generare responsabilità amministrativa e/o sanzionatoria.</w:t>
      </w:r>
    </w:p>
    <w:p w14:paraId="38F385AF" w14:textId="636416D7" w:rsidR="000A024B" w:rsidRPr="00F148CE" w:rsidRDefault="002B1227" w:rsidP="006B680F">
      <w:pPr>
        <w:jc w:val="both"/>
        <w:rPr>
          <w:rFonts w:ascii="Times New Roman" w:hAnsi="Times New Roman" w:cs="Times New Roman"/>
          <w:i/>
          <w:iCs/>
        </w:rPr>
      </w:pPr>
      <w:r w:rsidRPr="00F148CE">
        <w:rPr>
          <w:rFonts w:ascii="Times New Roman" w:hAnsi="Times New Roman" w:cs="Times New Roman"/>
        </w:rPr>
        <w:t xml:space="preserve">Come </w:t>
      </w:r>
      <w:r w:rsidR="006B680F" w:rsidRPr="00F148CE">
        <w:rPr>
          <w:rFonts w:ascii="Times New Roman" w:hAnsi="Times New Roman" w:cs="Times New Roman"/>
        </w:rPr>
        <w:t>precisato dalla giurisprudenza della Corte dei conti</w:t>
      </w:r>
      <w:r w:rsidR="006B680F" w:rsidRPr="00F148CE">
        <w:rPr>
          <w:rStyle w:val="Rimandonotaapidipagina"/>
          <w:rFonts w:ascii="Times New Roman" w:hAnsi="Times New Roman" w:cs="Times New Roman"/>
        </w:rPr>
        <w:footnoteReference w:id="9"/>
      </w:r>
      <w:r w:rsidRPr="00F148CE">
        <w:rPr>
          <w:rFonts w:ascii="Times New Roman" w:hAnsi="Times New Roman" w:cs="Times New Roman"/>
        </w:rPr>
        <w:t>: “</w:t>
      </w:r>
      <w:r w:rsidR="006B680F" w:rsidRPr="00F148CE">
        <w:rPr>
          <w:rFonts w:ascii="Times New Roman" w:hAnsi="Times New Roman" w:cs="Times New Roman"/>
          <w:i/>
          <w:iCs/>
        </w:rPr>
        <w:t>sebbene la dichiarazione di dissesto (per ragioni finanziarie) e la procedura di riequilibrio pluriennale muovano dal presupposto, in buona</w:t>
      </w:r>
      <w:r w:rsidR="00BB1540" w:rsidRPr="00F148CE">
        <w:rPr>
          <w:rFonts w:ascii="Times New Roman" w:hAnsi="Times New Roman" w:cs="Times New Roman"/>
          <w:i/>
          <w:iCs/>
        </w:rPr>
        <w:t xml:space="preserve"> </w:t>
      </w:r>
      <w:r w:rsidR="006B680F" w:rsidRPr="00F148CE">
        <w:rPr>
          <w:rFonts w:ascii="Times New Roman" w:hAnsi="Times New Roman" w:cs="Times New Roman"/>
          <w:i/>
          <w:iCs/>
        </w:rPr>
        <w:t>misura condiviso (</w:t>
      </w:r>
      <w:proofErr w:type="spellStart"/>
      <w:r w:rsidR="006B680F" w:rsidRPr="00F148CE">
        <w:rPr>
          <w:rFonts w:ascii="Times New Roman" w:hAnsi="Times New Roman" w:cs="Times New Roman"/>
          <w:i/>
          <w:iCs/>
        </w:rPr>
        <w:t>cfr</w:t>
      </w:r>
      <w:proofErr w:type="spellEnd"/>
      <w:r w:rsidR="006B680F" w:rsidRPr="00F148CE">
        <w:rPr>
          <w:rFonts w:ascii="Times New Roman" w:hAnsi="Times New Roman" w:cs="Times New Roman"/>
          <w:i/>
          <w:iCs/>
        </w:rPr>
        <w:t>: artt. 243 bis e 244 del Tuel), dell’impossibilità di ripianare validamente lo squilibrio manifestatosi con le modalità previste dagli artt. 193 e 194 del TUEL</w:t>
      </w:r>
      <w:r w:rsidR="006B680F" w:rsidRPr="00F148CE">
        <w:rPr>
          <w:rFonts w:ascii="Times New Roman" w:hAnsi="Times New Roman" w:cs="Times New Roman"/>
        </w:rPr>
        <w:t xml:space="preserve">, </w:t>
      </w:r>
      <w:r w:rsidRPr="00F148CE">
        <w:rPr>
          <w:rFonts w:ascii="Times New Roman" w:hAnsi="Times New Roman" w:cs="Times New Roman"/>
          <w:i/>
          <w:iCs/>
        </w:rPr>
        <w:t>la dichiarazione</w:t>
      </w:r>
      <w:r w:rsidR="000A205F" w:rsidRPr="00F148CE">
        <w:rPr>
          <w:rFonts w:ascii="Times New Roman" w:hAnsi="Times New Roman" w:cs="Times New Roman"/>
          <w:i/>
          <w:iCs/>
        </w:rPr>
        <w:t xml:space="preserve"> </w:t>
      </w:r>
      <w:r w:rsidRPr="00F148CE">
        <w:rPr>
          <w:rFonts w:ascii="Times New Roman" w:hAnsi="Times New Roman" w:cs="Times New Roman"/>
          <w:i/>
          <w:iCs/>
        </w:rPr>
        <w:t xml:space="preserve">di dissesto rimane comunque (indipendentemente dall’attivazione di una procedura di dissesto guidato) necessaria (in dottrina si suole qualificarla quale atto di certazione; cfr. di recente Corte Conti, SS.RR., </w:t>
      </w:r>
      <w:proofErr w:type="spellStart"/>
      <w:r w:rsidRPr="00F148CE">
        <w:rPr>
          <w:rFonts w:ascii="Times New Roman" w:hAnsi="Times New Roman" w:cs="Times New Roman"/>
          <w:i/>
          <w:iCs/>
        </w:rPr>
        <w:t>sent</w:t>
      </w:r>
      <w:proofErr w:type="spellEnd"/>
      <w:r w:rsidRPr="00F148CE">
        <w:rPr>
          <w:rFonts w:ascii="Times New Roman" w:hAnsi="Times New Roman" w:cs="Times New Roman"/>
          <w:i/>
          <w:iCs/>
        </w:rPr>
        <w:t>. n. 35/2020), anche allorquando l’amministrazione si avveda della sostanziale inconcludenza (secondo valutazione ex ante di ordine tecnico</w:t>
      </w:r>
      <w:r w:rsidR="000D16B2" w:rsidRPr="00F148CE">
        <w:rPr>
          <w:rFonts w:ascii="Times New Roman" w:hAnsi="Times New Roman" w:cs="Times New Roman"/>
          <w:i/>
          <w:iCs/>
        </w:rPr>
        <w:t xml:space="preserve"> </w:t>
      </w:r>
      <w:r w:rsidRPr="00F148CE">
        <w:rPr>
          <w:rFonts w:ascii="Times New Roman" w:hAnsi="Times New Roman" w:cs="Times New Roman"/>
          <w:i/>
          <w:iCs/>
        </w:rPr>
        <w:t>– amministrativo affidata alla sua discrezionalità) del percorso di risanamento eventualmente avviato, in ragione di carenze ricognitive della situazione finanziaria, ovvero programmatorie ovvero ancora finanziarie manifestatasi nella concreta traduzione in rebus del piano di riequilibrio</w:t>
      </w:r>
      <w:r w:rsidRPr="00F148CE">
        <w:rPr>
          <w:rFonts w:ascii="Times New Roman" w:hAnsi="Times New Roman" w:cs="Times New Roman"/>
        </w:rPr>
        <w:t>”.</w:t>
      </w:r>
    </w:p>
    <w:p w14:paraId="6B6CC68F" w14:textId="1A244077" w:rsidR="000A205F" w:rsidRPr="00F148CE" w:rsidRDefault="000A205F" w:rsidP="00403CB2">
      <w:pPr>
        <w:jc w:val="both"/>
        <w:rPr>
          <w:rFonts w:ascii="Times New Roman" w:hAnsi="Times New Roman" w:cs="Times New Roman"/>
        </w:rPr>
      </w:pPr>
      <w:r w:rsidRPr="00F148CE">
        <w:rPr>
          <w:rFonts w:ascii="Times New Roman" w:hAnsi="Times New Roman" w:cs="Times New Roman"/>
        </w:rPr>
        <w:t xml:space="preserve">Il dissesto implica, dunque, la doverosità della sua dichiarazione </w:t>
      </w:r>
      <w:r w:rsidR="002679AB" w:rsidRPr="00F148CE">
        <w:rPr>
          <w:rFonts w:ascii="Times New Roman" w:hAnsi="Times New Roman" w:cs="Times New Roman"/>
        </w:rPr>
        <w:t>ove l’amministrazione</w:t>
      </w:r>
      <w:r w:rsidRPr="00F148CE">
        <w:rPr>
          <w:rFonts w:ascii="Times New Roman" w:hAnsi="Times New Roman" w:cs="Times New Roman"/>
        </w:rPr>
        <w:t xml:space="preserve"> si trovi nelle condizioni indicate dall'</w:t>
      </w:r>
      <w:r w:rsidR="0057143C">
        <w:rPr>
          <w:rFonts w:ascii="Times New Roman" w:hAnsi="Times New Roman" w:cs="Times New Roman"/>
        </w:rPr>
        <w:t>art.</w:t>
      </w:r>
      <w:r w:rsidRPr="00F148CE">
        <w:rPr>
          <w:rFonts w:ascii="Times New Roman" w:hAnsi="Times New Roman" w:cs="Times New Roman"/>
        </w:rPr>
        <w:t xml:space="preserve"> 244 TUEL, e, precisamente, quando l’ente locale non è più in grado di fare fronte con modalità ordinarie ai propri debiti ed è nella impossibilità di svolgere regolarmente le proprie funzioni indispensabili.</w:t>
      </w:r>
    </w:p>
    <w:p w14:paraId="3005CDAE" w14:textId="4A2233D3" w:rsidR="00CA5AC4" w:rsidRPr="00F148CE" w:rsidRDefault="000A205F" w:rsidP="00403CB2">
      <w:pPr>
        <w:jc w:val="both"/>
        <w:rPr>
          <w:rFonts w:ascii="Times New Roman" w:hAnsi="Times New Roman" w:cs="Times New Roman"/>
        </w:rPr>
      </w:pPr>
      <w:r w:rsidRPr="00F148CE">
        <w:rPr>
          <w:rFonts w:ascii="Times New Roman" w:hAnsi="Times New Roman" w:cs="Times New Roman"/>
        </w:rPr>
        <w:t>Il fatto che tale dichiarazione abbia carattere doveroso è ricavabile</w:t>
      </w:r>
      <w:r w:rsidR="009237B0" w:rsidRPr="00F148CE">
        <w:rPr>
          <w:rFonts w:ascii="Times New Roman" w:hAnsi="Times New Roman" w:cs="Times New Roman"/>
        </w:rPr>
        <w:t>,</w:t>
      </w:r>
      <w:r w:rsidRPr="00F148CE">
        <w:rPr>
          <w:rFonts w:ascii="Times New Roman" w:hAnsi="Times New Roman" w:cs="Times New Roman"/>
        </w:rPr>
        <w:t xml:space="preserve"> in via sistematica</w:t>
      </w:r>
      <w:r w:rsidR="009237B0" w:rsidRPr="00F148CE">
        <w:rPr>
          <w:rFonts w:ascii="Times New Roman" w:hAnsi="Times New Roman" w:cs="Times New Roman"/>
        </w:rPr>
        <w:t>,</w:t>
      </w:r>
      <w:r w:rsidRPr="00F148CE">
        <w:rPr>
          <w:rFonts w:ascii="Times New Roman" w:hAnsi="Times New Roman" w:cs="Times New Roman"/>
        </w:rPr>
        <w:t xml:space="preserve"> anche da</w:t>
      </w:r>
      <w:r w:rsidR="009237B0" w:rsidRPr="00F148CE">
        <w:rPr>
          <w:rFonts w:ascii="Times New Roman" w:hAnsi="Times New Roman" w:cs="Times New Roman"/>
        </w:rPr>
        <w:t xml:space="preserve"> quanto previsto</w:t>
      </w:r>
      <w:r w:rsidRPr="00F148CE">
        <w:rPr>
          <w:rFonts w:ascii="Times New Roman" w:hAnsi="Times New Roman" w:cs="Times New Roman"/>
        </w:rPr>
        <w:t xml:space="preserve"> dal decreto legislativo n. 149/2011, art. 6, comma 2, che </w:t>
      </w:r>
      <w:r w:rsidR="009237B0" w:rsidRPr="00F148CE">
        <w:rPr>
          <w:rFonts w:ascii="Times New Roman" w:hAnsi="Times New Roman" w:cs="Times New Roman"/>
        </w:rPr>
        <w:t xml:space="preserve">disciplina </w:t>
      </w:r>
      <w:r w:rsidR="006025ED" w:rsidRPr="00F148CE">
        <w:rPr>
          <w:rFonts w:ascii="Times New Roman" w:hAnsi="Times New Roman" w:cs="Times New Roman"/>
        </w:rPr>
        <w:t>il dissesto</w:t>
      </w:r>
      <w:r w:rsidRPr="00F148CE">
        <w:rPr>
          <w:rFonts w:ascii="Times New Roman" w:hAnsi="Times New Roman" w:cs="Times New Roman"/>
        </w:rPr>
        <w:t xml:space="preserve"> guidato</w:t>
      </w:r>
      <w:r w:rsidR="002C1776" w:rsidRPr="00F148CE">
        <w:rPr>
          <w:rFonts w:ascii="Times New Roman" w:hAnsi="Times New Roman" w:cs="Times New Roman"/>
        </w:rPr>
        <w:t xml:space="preserve">, </w:t>
      </w:r>
      <w:r w:rsidR="009237B0" w:rsidRPr="00F148CE">
        <w:rPr>
          <w:rFonts w:ascii="Times New Roman" w:hAnsi="Times New Roman" w:cs="Times New Roman"/>
        </w:rPr>
        <w:t xml:space="preserve">così </w:t>
      </w:r>
      <w:r w:rsidR="002C1776" w:rsidRPr="00F148CE">
        <w:rPr>
          <w:rFonts w:ascii="Times New Roman" w:hAnsi="Times New Roman" w:cs="Times New Roman"/>
        </w:rPr>
        <w:t>come meglio si preciserà di seguito</w:t>
      </w:r>
      <w:r w:rsidR="00CA5AC4" w:rsidRPr="00F148CE">
        <w:rPr>
          <w:rFonts w:ascii="Times New Roman" w:hAnsi="Times New Roman" w:cs="Times New Roman"/>
        </w:rPr>
        <w:t>.</w:t>
      </w:r>
      <w:r w:rsidRPr="00F148CE">
        <w:rPr>
          <w:rFonts w:ascii="Times New Roman" w:hAnsi="Times New Roman" w:cs="Times New Roman"/>
        </w:rPr>
        <w:t xml:space="preserve"> </w:t>
      </w:r>
    </w:p>
    <w:p w14:paraId="493BEAAC" w14:textId="1711B104" w:rsidR="00182C90" w:rsidRPr="00F148CE" w:rsidRDefault="007B030A" w:rsidP="00403CB2">
      <w:pPr>
        <w:tabs>
          <w:tab w:val="left" w:pos="567"/>
          <w:tab w:val="left" w:pos="1134"/>
        </w:tabs>
        <w:jc w:val="both"/>
        <w:rPr>
          <w:rFonts w:ascii="Times New Roman" w:hAnsi="Times New Roman" w:cs="Times New Roman"/>
          <w:i/>
          <w:iCs/>
        </w:rPr>
      </w:pPr>
      <w:r w:rsidRPr="00F148CE">
        <w:rPr>
          <w:rFonts w:ascii="Times New Roman" w:hAnsi="Times New Roman" w:cs="Times New Roman"/>
        </w:rPr>
        <w:lastRenderedPageBreak/>
        <w:t>Il dissesto</w:t>
      </w:r>
      <w:r w:rsidR="00403CB2" w:rsidRPr="00F148CE">
        <w:rPr>
          <w:rFonts w:ascii="Times New Roman" w:hAnsi="Times New Roman" w:cs="Times New Roman"/>
        </w:rPr>
        <w:t>, in riferimento alla fonte,</w:t>
      </w:r>
      <w:r w:rsidRPr="00F148CE">
        <w:rPr>
          <w:rFonts w:ascii="Times New Roman" w:hAnsi="Times New Roman" w:cs="Times New Roman"/>
        </w:rPr>
        <w:t xml:space="preserve"> può essere </w:t>
      </w:r>
      <w:r w:rsidR="002C1776" w:rsidRPr="00F148CE">
        <w:rPr>
          <w:rFonts w:ascii="Times New Roman" w:hAnsi="Times New Roman" w:cs="Times New Roman"/>
          <w:b/>
          <w:bCs/>
          <w:u w:val="single"/>
        </w:rPr>
        <w:t>a</w:t>
      </w:r>
      <w:r w:rsidRPr="00F148CE">
        <w:rPr>
          <w:rFonts w:ascii="Times New Roman" w:hAnsi="Times New Roman" w:cs="Times New Roman"/>
          <w:b/>
          <w:bCs/>
          <w:u w:val="single"/>
        </w:rPr>
        <w:t>uto-</w:t>
      </w:r>
      <w:r w:rsidR="003A6808">
        <w:rPr>
          <w:rFonts w:ascii="Times New Roman" w:hAnsi="Times New Roman" w:cs="Times New Roman"/>
          <w:b/>
          <w:bCs/>
          <w:u w:val="single"/>
        </w:rPr>
        <w:t>dichiara</w:t>
      </w:r>
      <w:r w:rsidRPr="00F148CE">
        <w:rPr>
          <w:rFonts w:ascii="Times New Roman" w:hAnsi="Times New Roman" w:cs="Times New Roman"/>
          <w:b/>
          <w:bCs/>
          <w:u w:val="single"/>
        </w:rPr>
        <w:t>to</w:t>
      </w:r>
      <w:r w:rsidRPr="00F148CE">
        <w:rPr>
          <w:rFonts w:ascii="Times New Roman" w:hAnsi="Times New Roman" w:cs="Times New Roman"/>
          <w:b/>
          <w:bCs/>
        </w:rPr>
        <w:t xml:space="preserve"> </w:t>
      </w:r>
      <w:r w:rsidRPr="00F148CE">
        <w:rPr>
          <w:rFonts w:ascii="Times New Roman" w:hAnsi="Times New Roman" w:cs="Times New Roman"/>
        </w:rPr>
        <w:t>(</w:t>
      </w:r>
      <w:r w:rsidRPr="00F148CE">
        <w:rPr>
          <w:rFonts w:ascii="Times New Roman" w:hAnsi="Times New Roman" w:cs="Times New Roman"/>
          <w:i/>
          <w:iCs/>
        </w:rPr>
        <w:t xml:space="preserve">dichiarazione ex art. 246 TUEL), </w:t>
      </w:r>
      <w:r w:rsidR="002C1776" w:rsidRPr="00F148CE">
        <w:rPr>
          <w:rFonts w:ascii="Times New Roman" w:hAnsi="Times New Roman" w:cs="Times New Roman"/>
          <w:b/>
          <w:bCs/>
          <w:u w:val="single"/>
        </w:rPr>
        <w:t>e</w:t>
      </w:r>
      <w:r w:rsidRPr="00F148CE">
        <w:rPr>
          <w:rFonts w:ascii="Times New Roman" w:hAnsi="Times New Roman" w:cs="Times New Roman"/>
          <w:b/>
          <w:bCs/>
          <w:u w:val="single"/>
        </w:rPr>
        <w:t>tero-dichiarato</w:t>
      </w:r>
      <w:r w:rsidRPr="00F148CE">
        <w:rPr>
          <w:rFonts w:ascii="Times New Roman" w:hAnsi="Times New Roman" w:cs="Times New Roman"/>
          <w:b/>
          <w:bCs/>
        </w:rPr>
        <w:t xml:space="preserve"> </w:t>
      </w:r>
      <w:r w:rsidRPr="00F148CE">
        <w:rPr>
          <w:rFonts w:ascii="Times New Roman" w:hAnsi="Times New Roman" w:cs="Times New Roman"/>
        </w:rPr>
        <w:t>(</w:t>
      </w:r>
      <w:r w:rsidRPr="00F148CE">
        <w:rPr>
          <w:rFonts w:ascii="Times New Roman" w:hAnsi="Times New Roman" w:cs="Times New Roman"/>
          <w:i/>
          <w:iCs/>
        </w:rPr>
        <w:t xml:space="preserve">art.6, comma 2, D.lgs. 149/2011. Procedura di dissesto </w:t>
      </w:r>
      <w:r w:rsidR="002679AB" w:rsidRPr="00F148CE">
        <w:rPr>
          <w:rFonts w:ascii="Times New Roman" w:hAnsi="Times New Roman" w:cs="Times New Roman"/>
          <w:i/>
          <w:iCs/>
        </w:rPr>
        <w:t>guidato) e</w:t>
      </w:r>
      <w:r w:rsidRPr="00F148CE">
        <w:rPr>
          <w:rFonts w:ascii="Times New Roman" w:hAnsi="Times New Roman" w:cs="Times New Roman"/>
          <w:i/>
          <w:iCs/>
        </w:rPr>
        <w:t xml:space="preserve"> </w:t>
      </w:r>
      <w:r w:rsidRPr="00F148CE">
        <w:rPr>
          <w:rFonts w:ascii="Times New Roman" w:hAnsi="Times New Roman" w:cs="Times New Roman"/>
          <w:b/>
          <w:bCs/>
          <w:i/>
          <w:iCs/>
        </w:rPr>
        <w:t>legale</w:t>
      </w:r>
      <w:r w:rsidRPr="00F148CE">
        <w:rPr>
          <w:rFonts w:ascii="Times New Roman" w:hAnsi="Times New Roman" w:cs="Times New Roman"/>
          <w:i/>
          <w:iCs/>
        </w:rPr>
        <w:t xml:space="preserve"> (art. 243-quater comma 7,</w:t>
      </w:r>
      <w:r w:rsidR="006025ED" w:rsidRPr="00F148CE">
        <w:rPr>
          <w:rFonts w:ascii="Times New Roman" w:hAnsi="Times New Roman" w:cs="Times New Roman"/>
          <w:i/>
          <w:iCs/>
        </w:rPr>
        <w:t xml:space="preserve"> </w:t>
      </w:r>
      <w:r w:rsidRPr="00F148CE">
        <w:rPr>
          <w:rFonts w:ascii="Times New Roman" w:hAnsi="Times New Roman" w:cs="Times New Roman"/>
          <w:i/>
          <w:iCs/>
        </w:rPr>
        <w:t>per</w:t>
      </w:r>
      <w:r w:rsidR="002C1776" w:rsidRPr="00F148CE">
        <w:rPr>
          <w:rFonts w:ascii="Times New Roman" w:hAnsi="Times New Roman" w:cs="Times New Roman"/>
          <w:i/>
          <w:iCs/>
        </w:rPr>
        <w:t xml:space="preserve"> </w:t>
      </w:r>
      <w:r w:rsidRPr="00F148CE">
        <w:rPr>
          <w:rFonts w:ascii="Times New Roman" w:hAnsi="Times New Roman" w:cs="Times New Roman"/>
          <w:i/>
          <w:iCs/>
        </w:rPr>
        <w:t>derivazione da «</w:t>
      </w:r>
      <w:proofErr w:type="spellStart"/>
      <w:r w:rsidRPr="00F148CE">
        <w:rPr>
          <w:rFonts w:ascii="Times New Roman" w:hAnsi="Times New Roman" w:cs="Times New Roman"/>
          <w:i/>
          <w:iCs/>
        </w:rPr>
        <w:t>failure</w:t>
      </w:r>
      <w:proofErr w:type="spellEnd"/>
      <w:r w:rsidRPr="00F148CE">
        <w:rPr>
          <w:rFonts w:ascii="Times New Roman" w:hAnsi="Times New Roman" w:cs="Times New Roman"/>
          <w:i/>
          <w:iCs/>
        </w:rPr>
        <w:t>» del PRFP).</w:t>
      </w:r>
    </w:p>
    <w:p w14:paraId="4641AC11" w14:textId="67191B5F" w:rsidR="002C1776" w:rsidRPr="00F148CE" w:rsidRDefault="00CC7ED3" w:rsidP="00403CB2">
      <w:pPr>
        <w:tabs>
          <w:tab w:val="left" w:pos="567"/>
          <w:tab w:val="left" w:pos="1134"/>
        </w:tabs>
        <w:jc w:val="both"/>
        <w:rPr>
          <w:rFonts w:ascii="Times New Roman" w:hAnsi="Times New Roman" w:cs="Times New Roman"/>
        </w:rPr>
      </w:pPr>
      <w:r w:rsidRPr="00F148CE">
        <w:rPr>
          <w:rFonts w:ascii="Times New Roman" w:hAnsi="Times New Roman" w:cs="Times New Roman"/>
        </w:rPr>
        <w:t>Con particolare riferimento alle</w:t>
      </w:r>
      <w:r w:rsidR="00BB1540" w:rsidRPr="00F148CE">
        <w:rPr>
          <w:rFonts w:ascii="Times New Roman" w:hAnsi="Times New Roman" w:cs="Times New Roman"/>
        </w:rPr>
        <w:t xml:space="preserve"> </w:t>
      </w:r>
      <w:r w:rsidR="007B030A" w:rsidRPr="00F148CE">
        <w:rPr>
          <w:rFonts w:ascii="Times New Roman" w:hAnsi="Times New Roman" w:cs="Times New Roman"/>
        </w:rPr>
        <w:t xml:space="preserve">quattro situazioni ipotizzate nell’art. 243 </w:t>
      </w:r>
      <w:r w:rsidR="007B030A" w:rsidRPr="00F148CE">
        <w:rPr>
          <w:rFonts w:ascii="Times New Roman" w:hAnsi="Times New Roman" w:cs="Times New Roman"/>
          <w:i/>
          <w:iCs/>
        </w:rPr>
        <w:t>quater</w:t>
      </w:r>
      <w:r w:rsidR="007B030A" w:rsidRPr="00F148CE">
        <w:rPr>
          <w:rFonts w:ascii="Times New Roman" w:hAnsi="Times New Roman" w:cs="Times New Roman"/>
        </w:rPr>
        <w:t>, comma 7, del TUEL (</w:t>
      </w:r>
      <w:r w:rsidR="007B030A" w:rsidRPr="00F148CE">
        <w:rPr>
          <w:rFonts w:ascii="Times New Roman" w:hAnsi="Times New Roman" w:cs="Times New Roman"/>
          <w:i/>
          <w:iCs/>
        </w:rPr>
        <w:t>mancata presentazione del piano, diniego di approvazione del piano, accertamento di grave e reiterato mancato rispetto degli obiettivi intermedi fissati dal piano e mancato raggiungimento del riequilibrio finanziario</w:t>
      </w:r>
      <w:r w:rsidR="007B030A" w:rsidRPr="00F148CE">
        <w:rPr>
          <w:rFonts w:ascii="Times New Roman" w:hAnsi="Times New Roman" w:cs="Times New Roman"/>
        </w:rPr>
        <w:t>)</w:t>
      </w:r>
      <w:r w:rsidR="002C1776" w:rsidRPr="00F148CE">
        <w:rPr>
          <w:rFonts w:ascii="Times New Roman" w:hAnsi="Times New Roman" w:cs="Times New Roman"/>
        </w:rPr>
        <w:t>,</w:t>
      </w:r>
      <w:r w:rsidRPr="00F148CE">
        <w:rPr>
          <w:rFonts w:ascii="Times New Roman" w:hAnsi="Times New Roman" w:cs="Times New Roman"/>
        </w:rPr>
        <w:t xml:space="preserve"> esse</w:t>
      </w:r>
      <w:r w:rsidR="00BB1540" w:rsidRPr="00F148CE">
        <w:rPr>
          <w:rFonts w:ascii="Times New Roman" w:hAnsi="Times New Roman" w:cs="Times New Roman"/>
        </w:rPr>
        <w:t xml:space="preserve"> </w:t>
      </w:r>
      <w:r w:rsidR="007B030A" w:rsidRPr="00F148CE">
        <w:rPr>
          <w:rFonts w:ascii="Times New Roman" w:hAnsi="Times New Roman" w:cs="Times New Roman"/>
        </w:rPr>
        <w:t>“</w:t>
      </w:r>
      <w:r w:rsidR="007B030A" w:rsidRPr="00F148CE">
        <w:rPr>
          <w:rFonts w:ascii="Times New Roman" w:hAnsi="Times New Roman" w:cs="Times New Roman"/>
          <w:i/>
          <w:iCs/>
        </w:rPr>
        <w:t xml:space="preserve">configurano </w:t>
      </w:r>
      <w:r w:rsidR="007B030A" w:rsidRPr="00F148CE">
        <w:rPr>
          <w:rFonts w:ascii="Times New Roman" w:hAnsi="Times New Roman" w:cs="Times New Roman"/>
          <w:b/>
          <w:bCs/>
          <w:i/>
          <w:iCs/>
        </w:rPr>
        <w:t xml:space="preserve">fattispecie legali tipiche di condizioni di dissesto finanziario </w:t>
      </w:r>
      <w:r w:rsidR="007B030A" w:rsidRPr="00F148CE">
        <w:rPr>
          <w:rFonts w:ascii="Times New Roman" w:hAnsi="Times New Roman" w:cs="Times New Roman"/>
          <w:i/>
          <w:iCs/>
        </w:rPr>
        <w:t>che si aggiungono a quelle già previste dal TUEL (art. 244 TUEL) e comportano l’obbligo di dichiarazione di dissesto</w:t>
      </w:r>
      <w:r w:rsidR="007B030A" w:rsidRPr="00F148CE">
        <w:rPr>
          <w:rFonts w:ascii="Times New Roman" w:hAnsi="Times New Roman" w:cs="Times New Roman"/>
        </w:rPr>
        <w:t>”. (cfr. Corte dei conti, Sezione delle Autonomie n. 1/2013/QMIG).</w:t>
      </w:r>
    </w:p>
    <w:p w14:paraId="6A2372F4" w14:textId="28FC9754" w:rsidR="007B030A" w:rsidRPr="00F148CE" w:rsidRDefault="007B030A" w:rsidP="00403CB2">
      <w:pPr>
        <w:jc w:val="both"/>
        <w:rPr>
          <w:rFonts w:ascii="Times New Roman" w:hAnsi="Times New Roman" w:cs="Times New Roman"/>
        </w:rPr>
      </w:pPr>
      <w:r w:rsidRPr="00F148CE">
        <w:rPr>
          <w:rFonts w:ascii="Times New Roman" w:hAnsi="Times New Roman" w:cs="Times New Roman"/>
        </w:rPr>
        <w:t>L’avvio della fase esecutiva</w:t>
      </w:r>
      <w:r w:rsidR="00CC7ED3" w:rsidRPr="00F148CE">
        <w:rPr>
          <w:rFonts w:ascii="Times New Roman" w:hAnsi="Times New Roman" w:cs="Times New Roman"/>
        </w:rPr>
        <w:t xml:space="preserve">, </w:t>
      </w:r>
      <w:r w:rsidR="00403CB2" w:rsidRPr="00F148CE">
        <w:rPr>
          <w:rFonts w:ascii="Times New Roman" w:hAnsi="Times New Roman" w:cs="Times New Roman"/>
        </w:rPr>
        <w:t>n</w:t>
      </w:r>
      <w:r w:rsidR="00CC7ED3" w:rsidRPr="00F148CE">
        <w:rPr>
          <w:rFonts w:ascii="Times New Roman" w:hAnsi="Times New Roman" w:cs="Times New Roman"/>
        </w:rPr>
        <w:t xml:space="preserve">el caso di specie, </w:t>
      </w:r>
      <w:r w:rsidRPr="00F148CE">
        <w:rPr>
          <w:rFonts w:ascii="Times New Roman" w:hAnsi="Times New Roman" w:cs="Times New Roman"/>
        </w:rPr>
        <w:t xml:space="preserve">affidata al Prefetto </w:t>
      </w:r>
      <w:r w:rsidR="006B680F" w:rsidRPr="00F148CE">
        <w:rPr>
          <w:rFonts w:ascii="Times New Roman" w:hAnsi="Times New Roman" w:cs="Times New Roman"/>
        </w:rPr>
        <w:t>(nell’ordinamento</w:t>
      </w:r>
      <w:r w:rsidR="005B48FE" w:rsidRPr="00F148CE">
        <w:rPr>
          <w:rFonts w:ascii="Times New Roman" w:hAnsi="Times New Roman" w:cs="Times New Roman"/>
        </w:rPr>
        <w:t xml:space="preserve"> siciliano </w:t>
      </w:r>
      <w:r w:rsidR="005E61D3">
        <w:rPr>
          <w:rFonts w:ascii="Times New Roman" w:hAnsi="Times New Roman" w:cs="Times New Roman"/>
        </w:rPr>
        <w:t>all’Assessore regionale agli enti locali</w:t>
      </w:r>
      <w:r w:rsidRPr="00F148CE">
        <w:rPr>
          <w:rFonts w:ascii="Times New Roman" w:hAnsi="Times New Roman" w:cs="Times New Roman"/>
        </w:rPr>
        <w:t>) “</w:t>
      </w:r>
      <w:r w:rsidRPr="00F148CE">
        <w:rPr>
          <w:rFonts w:ascii="Times New Roman" w:hAnsi="Times New Roman" w:cs="Times New Roman"/>
          <w:i/>
          <w:iCs/>
        </w:rPr>
        <w:t>in quanto sostitutiva degli organi di governo dell’ente, sia ordinari, sia straordinari, competenti nella materia, sottrae “ex lege” ai medesimi il potere di ogni iniziativa</w:t>
      </w:r>
      <w:r w:rsidRPr="00F148CE">
        <w:rPr>
          <w:rFonts w:ascii="Times New Roman" w:hAnsi="Times New Roman" w:cs="Times New Roman"/>
        </w:rPr>
        <w:t>”</w:t>
      </w:r>
      <w:r w:rsidR="00CC7ED3" w:rsidRPr="00F148CE">
        <w:rPr>
          <w:rFonts w:ascii="Times New Roman" w:hAnsi="Times New Roman" w:cs="Times New Roman"/>
        </w:rPr>
        <w:t>.</w:t>
      </w:r>
    </w:p>
    <w:p w14:paraId="3BFEE9BA" w14:textId="52F7020C" w:rsidR="00CC7ED3" w:rsidRPr="00F148CE" w:rsidRDefault="00CC7ED3" w:rsidP="00403CB2">
      <w:pPr>
        <w:autoSpaceDE w:val="0"/>
        <w:autoSpaceDN w:val="0"/>
        <w:adjustRightInd w:val="0"/>
        <w:jc w:val="both"/>
        <w:rPr>
          <w:rFonts w:ascii="Times New Roman" w:eastAsia="Times New Roman" w:hAnsi="Times New Roman" w:cs="Times New Roman"/>
          <w:color w:val="19191A"/>
        </w:rPr>
      </w:pPr>
      <w:r w:rsidRPr="00F148CE">
        <w:rPr>
          <w:rFonts w:ascii="Times New Roman" w:hAnsi="Times New Roman" w:cs="Times New Roman"/>
          <w:color w:val="000000"/>
        </w:rPr>
        <w:t>In riferimento, invece, al dissesto guidato l’</w:t>
      </w:r>
      <w:r w:rsidRPr="00F148CE">
        <w:rPr>
          <w:rFonts w:ascii="Times New Roman" w:hAnsi="Times New Roman" w:cs="Times New Roman"/>
          <w:i/>
          <w:iCs/>
        </w:rPr>
        <w:t>art.6, comma 2, D.lgs. 149/2011</w:t>
      </w:r>
      <w:r w:rsidRPr="00F148CE">
        <w:rPr>
          <w:rFonts w:ascii="Times New Roman" w:hAnsi="Times New Roman" w:cs="Times New Roman"/>
          <w:color w:val="000000"/>
        </w:rPr>
        <w:t xml:space="preserve"> dispone che </w:t>
      </w:r>
      <w:r w:rsidR="00403CB2" w:rsidRPr="00F148CE">
        <w:rPr>
          <w:rFonts w:ascii="Times New Roman" w:hAnsi="Times New Roman" w:cs="Times New Roman"/>
          <w:color w:val="000000"/>
        </w:rPr>
        <w:t>“</w:t>
      </w:r>
      <w:r w:rsidR="00403CB2" w:rsidRPr="00F148CE">
        <w:rPr>
          <w:rFonts w:ascii="Times New Roman" w:eastAsia="Times New Roman" w:hAnsi="Times New Roman" w:cs="Times New Roman"/>
          <w:i/>
          <w:iCs/>
          <w:color w:val="19191A"/>
        </w:rPr>
        <w:t>q</w:t>
      </w:r>
      <w:r w:rsidRPr="00F148CE">
        <w:rPr>
          <w:rFonts w:ascii="Times New Roman" w:eastAsia="Times New Roman" w:hAnsi="Times New Roman" w:cs="Times New Roman"/>
          <w:i/>
          <w:iCs/>
          <w:color w:val="19191A"/>
        </w:rPr>
        <w:t>ualora dalle pronunce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delle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sezioni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regionali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controllo della Corte dei conti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emergano,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anche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seguito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delle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verifiche svolte ai sensi dell'articolo 5 del presente decreto 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dell'articolo 14, comma 1, lettera d), secondo periodo,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della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legge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31</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 xml:space="preserve">dicembre 2009, n. 196, </w:t>
      </w:r>
      <w:r w:rsidRPr="00F148CE">
        <w:rPr>
          <w:rFonts w:ascii="Times New Roman" w:eastAsia="Times New Roman" w:hAnsi="Times New Roman" w:cs="Times New Roman"/>
          <w:b/>
          <w:bCs/>
          <w:i/>
          <w:iCs/>
          <w:color w:val="19191A"/>
        </w:rPr>
        <w:t>comportamenti difformi dalla sana gestione finanziaria, violazioni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degli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obiettivi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della</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finanza</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pubblica</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allargata</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e irregolarità contabili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squilibri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strutturali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del</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bilancio dell'ente locale in grado di provocarne il dissesto finanziario</w:t>
      </w:r>
      <w:r w:rsidRPr="00F148CE">
        <w:rPr>
          <w:rFonts w:ascii="Times New Roman" w:eastAsia="Times New Roman" w:hAnsi="Times New Roman" w:cs="Times New Roman"/>
          <w:i/>
          <w:iCs/>
          <w:color w:val="19191A"/>
        </w:rPr>
        <w:t xml:space="preserve"> 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 xml:space="preserve">lo stesso ente </w:t>
      </w:r>
      <w:r w:rsidRPr="00F148CE">
        <w:rPr>
          <w:rFonts w:ascii="Times New Roman" w:eastAsia="Times New Roman" w:hAnsi="Times New Roman" w:cs="Times New Roman"/>
          <w:b/>
          <w:bCs/>
          <w:i/>
          <w:iCs/>
          <w:color w:val="19191A"/>
        </w:rPr>
        <w:t>non abbia adottato,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entro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il</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termine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assegnato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dalla Corte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dei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conti,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le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necessarie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misure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correttive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previste dall'articolo 1, comma 168, della legge 23 dicembre 2005, n. 266,</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b/>
          <w:bCs/>
          <w:i/>
          <w:iCs/>
          <w:color w:val="19191A"/>
        </w:rPr>
        <w:t>la competente sezione regionale,</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accertato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l'inadempimento,</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trasmette gli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atti</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al</w:t>
      </w:r>
      <w:r w:rsidR="00BB1540" w:rsidRPr="00F148CE">
        <w:rPr>
          <w:rFonts w:ascii="Times New Roman" w:eastAsia="Times New Roman" w:hAnsi="Times New Roman" w:cs="Times New Roman"/>
          <w:b/>
          <w:bCs/>
          <w:i/>
          <w:iCs/>
          <w:color w:val="19191A"/>
        </w:rPr>
        <w:t xml:space="preserve"> </w:t>
      </w:r>
      <w:r w:rsidRPr="00F148CE">
        <w:rPr>
          <w:rFonts w:ascii="Times New Roman" w:eastAsia="Times New Roman" w:hAnsi="Times New Roman" w:cs="Times New Roman"/>
          <w:b/>
          <w:bCs/>
          <w:i/>
          <w:iCs/>
          <w:color w:val="19191A"/>
        </w:rPr>
        <w:t>Prefetto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alla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Conferenza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permanente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per</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il coordinamento della finanza pubblica. Nei casi previsti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dal</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periodo precedente, ove sia accertato, entro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trenta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giorni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dalla</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predetta trasmissione, da parte della competente sezione regionale della Corte dei conti, il perdurare dell'inadempimento da parte dell'ente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locale delle citate misure correttive e la sussistenza delle</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condizioni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di cui all'articolo 244</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citato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testo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unico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cui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al</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decreto legislativo n. 267 del 2000,</w:t>
      </w:r>
      <w:r w:rsidRPr="00F148CE">
        <w:rPr>
          <w:rFonts w:ascii="Times New Roman" w:eastAsia="Times New Roman" w:hAnsi="Times New Roman" w:cs="Times New Roman"/>
          <w:i/>
          <w:iCs/>
          <w:color w:val="19191A"/>
          <w:u w:val="single"/>
        </w:rPr>
        <w:t xml:space="preserve"> il Prefetto assegna</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al</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Consiglio,</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con lettera notificata ai singoli consiglieri, un termine non superiore a venti</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giorni</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per</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la</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deliberazione</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del</w:t>
      </w:r>
      <w:r w:rsidR="00BB1540" w:rsidRPr="00F148CE">
        <w:rPr>
          <w:rFonts w:ascii="Times New Roman" w:eastAsia="Times New Roman" w:hAnsi="Times New Roman" w:cs="Times New Roman"/>
          <w:i/>
          <w:iCs/>
          <w:color w:val="19191A"/>
          <w:u w:val="single"/>
        </w:rPr>
        <w:t xml:space="preserve"> </w:t>
      </w:r>
      <w:r w:rsidRPr="00F148CE">
        <w:rPr>
          <w:rFonts w:ascii="Times New Roman" w:eastAsia="Times New Roman" w:hAnsi="Times New Roman" w:cs="Times New Roman"/>
          <w:i/>
          <w:iCs/>
          <w:color w:val="19191A"/>
          <w:u w:val="single"/>
        </w:rPr>
        <w:t>dissesto</w:t>
      </w:r>
      <w:r w:rsidRPr="00F148CE">
        <w:rPr>
          <w:rFonts w:ascii="Times New Roman" w:eastAsia="Times New Roman" w:hAnsi="Times New Roman" w:cs="Times New Roman"/>
          <w:i/>
          <w:iCs/>
          <w:color w:val="19191A"/>
        </w:rPr>
        <w:t>.</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Decorso infruttuosamente il termine di cui al precedente periodo, il Prefetto nomina un commissario per la deliberazione dello stato di dissesto e dà corso alla procedura per lo scioglimento del Consiglio</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dell'ente ai sensi dell'articolo 141 del citato testo unico di cui</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al</w:t>
      </w:r>
      <w:r w:rsidR="00BB1540" w:rsidRPr="00F148CE">
        <w:rPr>
          <w:rFonts w:ascii="Times New Roman" w:eastAsia="Times New Roman" w:hAnsi="Times New Roman" w:cs="Times New Roman"/>
          <w:i/>
          <w:iCs/>
          <w:color w:val="19191A"/>
        </w:rPr>
        <w:t xml:space="preserve"> </w:t>
      </w:r>
      <w:r w:rsidRPr="00F148CE">
        <w:rPr>
          <w:rFonts w:ascii="Times New Roman" w:eastAsia="Times New Roman" w:hAnsi="Times New Roman" w:cs="Times New Roman"/>
          <w:i/>
          <w:iCs/>
          <w:color w:val="19191A"/>
        </w:rPr>
        <w:t>decreto legislativo n. 267 del 2000</w:t>
      </w:r>
      <w:r w:rsidRPr="00F148CE">
        <w:rPr>
          <w:rFonts w:ascii="Times New Roman" w:eastAsia="Times New Roman" w:hAnsi="Times New Roman" w:cs="Times New Roman"/>
          <w:color w:val="19191A"/>
        </w:rPr>
        <w:t xml:space="preserve">”. </w:t>
      </w:r>
    </w:p>
    <w:p w14:paraId="3D59521F" w14:textId="612D8106" w:rsidR="00CC7ED3" w:rsidRPr="00F148CE" w:rsidRDefault="00CC7ED3" w:rsidP="00403CB2">
      <w:pPr>
        <w:jc w:val="both"/>
        <w:rPr>
          <w:rFonts w:ascii="Times New Roman" w:hAnsi="Times New Roman" w:cs="Times New Roman"/>
          <w:shd w:val="clear" w:color="auto" w:fill="FFFFFF"/>
        </w:rPr>
      </w:pPr>
      <w:r w:rsidRPr="00F148CE">
        <w:rPr>
          <w:rFonts w:ascii="Times New Roman" w:hAnsi="Times New Roman" w:cs="Times New Roman"/>
          <w:bCs/>
        </w:rPr>
        <w:t xml:space="preserve">Tale disciplina trova applicazione </w:t>
      </w:r>
      <w:r w:rsidR="002679AB" w:rsidRPr="00F148CE">
        <w:rPr>
          <w:rFonts w:ascii="Times New Roman" w:hAnsi="Times New Roman" w:cs="Times New Roman"/>
          <w:bCs/>
        </w:rPr>
        <w:t>anche nell’ordinamento</w:t>
      </w:r>
      <w:r w:rsidRPr="00F148CE">
        <w:rPr>
          <w:rFonts w:ascii="Times New Roman" w:hAnsi="Times New Roman" w:cs="Times New Roman"/>
          <w:bCs/>
        </w:rPr>
        <w:t xml:space="preserve"> regionale siciliano, </w:t>
      </w:r>
      <w:r w:rsidR="00BE5A8C">
        <w:rPr>
          <w:rFonts w:ascii="Times New Roman" w:hAnsi="Times New Roman" w:cs="Times New Roman"/>
          <w:bCs/>
        </w:rPr>
        <w:t>poiché</w:t>
      </w:r>
      <w:r w:rsidRPr="00F148CE">
        <w:rPr>
          <w:rFonts w:ascii="Times New Roman" w:hAnsi="Times New Roman" w:cs="Times New Roman"/>
          <w:bCs/>
        </w:rPr>
        <w:t xml:space="preserve"> </w:t>
      </w:r>
      <w:r w:rsidRPr="00F148CE">
        <w:rPr>
          <w:rFonts w:ascii="Times New Roman" w:hAnsi="Times New Roman" w:cs="Times New Roman"/>
        </w:rPr>
        <w:t xml:space="preserve">l’art. 1 della </w:t>
      </w:r>
      <w:proofErr w:type="spellStart"/>
      <w:r w:rsidRPr="00F148CE">
        <w:rPr>
          <w:rFonts w:ascii="Times New Roman" w:hAnsi="Times New Roman" w:cs="Times New Roman"/>
        </w:rPr>
        <w:t>l.r</w:t>
      </w:r>
      <w:proofErr w:type="spellEnd"/>
      <w:r w:rsidRPr="00F148CE">
        <w:rPr>
          <w:rFonts w:ascii="Times New Roman" w:hAnsi="Times New Roman" w:cs="Times New Roman"/>
        </w:rPr>
        <w:t>. n. 48/1991, al comma 1, prevede: “</w:t>
      </w:r>
      <w:r w:rsidRPr="00F148CE">
        <w:rPr>
          <w:rFonts w:ascii="Times New Roman" w:hAnsi="Times New Roman" w:cs="Times New Roman"/>
          <w:i/>
          <w:iCs/>
        </w:rPr>
        <w:t>1. Le disposizioni dell'ordinamento amministrativo degli enti locali, approvato con</w:t>
      </w:r>
      <w:r w:rsidR="006E5F57" w:rsidRPr="00F148CE">
        <w:rPr>
          <w:rFonts w:ascii="Times New Roman" w:hAnsi="Times New Roman" w:cs="Times New Roman"/>
          <w:i/>
          <w:iCs/>
        </w:rPr>
        <w:t xml:space="preserve"> </w:t>
      </w:r>
      <w:hyperlink r:id="rId8" w:anchor="id=10LX0000182486ART0,__m=document" w:history="1">
        <w:r w:rsidRPr="00F148CE">
          <w:rPr>
            <w:rStyle w:val="Collegamentoipertestuale"/>
            <w:rFonts w:ascii="Times New Roman" w:hAnsi="Times New Roman" w:cs="Times New Roman"/>
            <w:i/>
            <w:iCs/>
            <w:color w:val="auto"/>
          </w:rPr>
          <w:t>legge regionale 15 marzo 1963, n. 16</w:t>
        </w:r>
      </w:hyperlink>
      <w:r w:rsidRPr="00F148CE">
        <w:rPr>
          <w:rFonts w:ascii="Times New Roman" w:hAnsi="Times New Roman" w:cs="Times New Roman"/>
          <w:i/>
          <w:iCs/>
        </w:rPr>
        <w:t>, e della</w:t>
      </w:r>
      <w:r w:rsidR="006E5F57" w:rsidRPr="00F148CE">
        <w:rPr>
          <w:rFonts w:ascii="Times New Roman" w:hAnsi="Times New Roman" w:cs="Times New Roman"/>
          <w:i/>
          <w:iCs/>
        </w:rPr>
        <w:t xml:space="preserve"> </w:t>
      </w:r>
      <w:hyperlink r:id="rId9" w:anchor="id=10LX0000186961ART0,__m=document" w:history="1">
        <w:r w:rsidRPr="00F148CE">
          <w:rPr>
            <w:rStyle w:val="Collegamentoipertestuale"/>
            <w:rFonts w:ascii="Times New Roman" w:hAnsi="Times New Roman" w:cs="Times New Roman"/>
            <w:i/>
            <w:iCs/>
            <w:color w:val="auto"/>
          </w:rPr>
          <w:t>legge regionale 6 marzo 1986, n. 9</w:t>
        </w:r>
      </w:hyperlink>
      <w:r w:rsidRPr="00F148CE">
        <w:rPr>
          <w:rFonts w:ascii="Times New Roman" w:hAnsi="Times New Roman" w:cs="Times New Roman"/>
          <w:i/>
          <w:iCs/>
        </w:rPr>
        <w:t>, e loro successive modificazioni ed integrazioni, sono modificate ed integrate dalle norme della</w:t>
      </w:r>
      <w:r w:rsidR="006E5F57" w:rsidRPr="00F148CE">
        <w:rPr>
          <w:rFonts w:ascii="Times New Roman" w:hAnsi="Times New Roman" w:cs="Times New Roman"/>
          <w:i/>
          <w:iCs/>
        </w:rPr>
        <w:t xml:space="preserve"> </w:t>
      </w:r>
      <w:hyperlink r:id="rId10" w:anchor="id=10LX0000106397ART0,__m=document" w:history="1">
        <w:r w:rsidRPr="00F148CE">
          <w:rPr>
            <w:rStyle w:val="Collegamentoipertestuale"/>
            <w:rFonts w:ascii="Times New Roman" w:hAnsi="Times New Roman" w:cs="Times New Roman"/>
            <w:i/>
            <w:iCs/>
            <w:color w:val="auto"/>
          </w:rPr>
          <w:t>legge 8 giugno 1990, n. 142</w:t>
        </w:r>
      </w:hyperlink>
      <w:r w:rsidRPr="00F148CE">
        <w:rPr>
          <w:rFonts w:ascii="Times New Roman" w:hAnsi="Times New Roman" w:cs="Times New Roman"/>
          <w:i/>
          <w:iCs/>
        </w:rPr>
        <w:t>, contenute negli articoli:</w:t>
      </w:r>
      <w:r w:rsidRPr="00F148CE">
        <w:rPr>
          <w:rFonts w:ascii="Times New Roman" w:hAnsi="Times New Roman" w:cs="Times New Roman"/>
          <w:i/>
          <w:iCs/>
          <w:shd w:val="clear" w:color="auto" w:fill="FFFFFF"/>
        </w:rPr>
        <w:t xml:space="preserve"> i) ……55;…</w:t>
      </w:r>
      <w:r w:rsidRPr="00F148CE">
        <w:rPr>
          <w:rFonts w:ascii="Times New Roman" w:hAnsi="Times New Roman" w:cs="Times New Roman"/>
          <w:shd w:val="clear" w:color="auto" w:fill="FFFFFF"/>
        </w:rPr>
        <w:t xml:space="preserve">”. </w:t>
      </w:r>
    </w:p>
    <w:p w14:paraId="26B0547E" w14:textId="381902ED" w:rsidR="00CC7ED3" w:rsidRPr="00F148CE" w:rsidRDefault="00CC7ED3" w:rsidP="00403CB2">
      <w:pPr>
        <w:jc w:val="both"/>
        <w:rPr>
          <w:rFonts w:ascii="Times New Roman" w:hAnsi="Times New Roman" w:cs="Times New Roman"/>
        </w:rPr>
      </w:pPr>
      <w:r w:rsidRPr="00F148CE">
        <w:rPr>
          <w:rFonts w:ascii="Times New Roman" w:hAnsi="Times New Roman" w:cs="Times New Roman"/>
        </w:rPr>
        <w:t>L’art. 55 della legge n. 142/1990, vigente in Sicilia in virtù del rinvio sopra riportato, a sua volta, dispone al comma 1 che “</w:t>
      </w:r>
      <w:r w:rsidRPr="00F148CE">
        <w:rPr>
          <w:rFonts w:ascii="Times New Roman" w:hAnsi="Times New Roman" w:cs="Times New Roman"/>
          <w:i/>
          <w:iCs/>
        </w:rPr>
        <w:t xml:space="preserve">L'ordinamento </w:t>
      </w:r>
      <w:r w:rsidR="00841B6F" w:rsidRPr="00F148CE">
        <w:rPr>
          <w:rFonts w:ascii="Times New Roman" w:hAnsi="Times New Roman" w:cs="Times New Roman"/>
          <w:i/>
          <w:iCs/>
        </w:rPr>
        <w:t>finanziario e</w:t>
      </w:r>
      <w:r w:rsidR="00BB1540" w:rsidRPr="00F148CE">
        <w:rPr>
          <w:rFonts w:ascii="Times New Roman" w:hAnsi="Times New Roman" w:cs="Times New Roman"/>
          <w:i/>
          <w:iCs/>
        </w:rPr>
        <w:t xml:space="preserve"> </w:t>
      </w:r>
      <w:r w:rsidRPr="00F148CE">
        <w:rPr>
          <w:rFonts w:ascii="Times New Roman" w:hAnsi="Times New Roman" w:cs="Times New Roman"/>
          <w:i/>
          <w:iCs/>
        </w:rPr>
        <w:t>contabile</w:t>
      </w:r>
      <w:r w:rsidR="00BB1540" w:rsidRPr="00F148CE">
        <w:rPr>
          <w:rFonts w:ascii="Times New Roman" w:hAnsi="Times New Roman" w:cs="Times New Roman"/>
          <w:i/>
          <w:iCs/>
        </w:rPr>
        <w:t xml:space="preserve"> </w:t>
      </w:r>
      <w:r w:rsidRPr="00F148CE">
        <w:rPr>
          <w:rFonts w:ascii="Times New Roman" w:hAnsi="Times New Roman" w:cs="Times New Roman"/>
          <w:i/>
          <w:iCs/>
        </w:rPr>
        <w:t>degli</w:t>
      </w:r>
      <w:r w:rsidR="00BB1540" w:rsidRPr="00F148CE">
        <w:rPr>
          <w:rFonts w:ascii="Times New Roman" w:hAnsi="Times New Roman" w:cs="Times New Roman"/>
          <w:i/>
          <w:iCs/>
        </w:rPr>
        <w:t xml:space="preserve"> </w:t>
      </w:r>
      <w:r w:rsidRPr="00F148CE">
        <w:rPr>
          <w:rFonts w:ascii="Times New Roman" w:hAnsi="Times New Roman" w:cs="Times New Roman"/>
          <w:i/>
          <w:iCs/>
        </w:rPr>
        <w:t>enti</w:t>
      </w:r>
      <w:r w:rsidR="00BB1540" w:rsidRPr="00F148CE">
        <w:rPr>
          <w:rFonts w:ascii="Times New Roman" w:hAnsi="Times New Roman" w:cs="Times New Roman"/>
          <w:i/>
          <w:iCs/>
        </w:rPr>
        <w:t xml:space="preserve"> </w:t>
      </w:r>
      <w:r w:rsidRPr="00F148CE">
        <w:rPr>
          <w:rFonts w:ascii="Times New Roman" w:hAnsi="Times New Roman" w:cs="Times New Roman"/>
          <w:i/>
          <w:iCs/>
        </w:rPr>
        <w:t>locali</w:t>
      </w:r>
      <w:r w:rsidR="00BB1540" w:rsidRPr="00F148CE">
        <w:rPr>
          <w:rFonts w:ascii="Times New Roman" w:hAnsi="Times New Roman" w:cs="Times New Roman"/>
          <w:i/>
          <w:iCs/>
        </w:rPr>
        <w:t xml:space="preserve"> </w:t>
      </w:r>
      <w:r w:rsidRPr="00F148CE">
        <w:rPr>
          <w:rFonts w:ascii="Times New Roman" w:hAnsi="Times New Roman" w:cs="Times New Roman"/>
          <w:i/>
          <w:iCs/>
        </w:rPr>
        <w:t>è riservato alla legge dello Stato</w:t>
      </w:r>
      <w:r w:rsidRPr="00F148CE">
        <w:rPr>
          <w:rFonts w:ascii="Times New Roman" w:hAnsi="Times New Roman" w:cs="Times New Roman"/>
        </w:rPr>
        <w:t xml:space="preserve">”. </w:t>
      </w:r>
    </w:p>
    <w:p w14:paraId="55A62875" w14:textId="2EFE95D6" w:rsidR="00CC7ED3" w:rsidRPr="00F148CE" w:rsidRDefault="00CC7ED3" w:rsidP="00403CB2">
      <w:pPr>
        <w:jc w:val="both"/>
        <w:rPr>
          <w:rFonts w:ascii="Times New Roman" w:hAnsi="Times New Roman" w:cs="Times New Roman"/>
        </w:rPr>
      </w:pPr>
      <w:r w:rsidRPr="00F148CE">
        <w:rPr>
          <w:rFonts w:ascii="Times New Roman" w:hAnsi="Times New Roman" w:cs="Times New Roman"/>
        </w:rPr>
        <w:t>È, pertanto, lo stesso legislatore regionale</w:t>
      </w:r>
      <w:r w:rsidR="00BE5A8C">
        <w:rPr>
          <w:rFonts w:ascii="Times New Roman" w:hAnsi="Times New Roman" w:cs="Times New Roman"/>
        </w:rPr>
        <w:t>, invero,</w:t>
      </w:r>
      <w:r w:rsidRPr="00F148CE">
        <w:rPr>
          <w:rFonts w:ascii="Times New Roman" w:hAnsi="Times New Roman" w:cs="Times New Roman"/>
        </w:rPr>
        <w:t xml:space="preserve"> a ritenere applicabile in Sicilia l’ordinamento finanziario e contabile disciplinato con legge statale, “</w:t>
      </w:r>
      <w:r w:rsidRPr="00F148CE">
        <w:rPr>
          <w:rFonts w:ascii="Times New Roman" w:hAnsi="Times New Roman" w:cs="Times New Roman"/>
          <w:i/>
          <w:iCs/>
        </w:rPr>
        <w:t>l’ordinamento degli enti locali rientra nella potestà legislativa esclusiva della regione siciliana, ad eccezione della parte relativa alle norme finanziarie e contabili</w:t>
      </w:r>
      <w:r w:rsidRPr="00F148CE">
        <w:rPr>
          <w:rFonts w:ascii="Times New Roman" w:hAnsi="Times New Roman" w:cs="Times New Roman"/>
        </w:rPr>
        <w:t xml:space="preserve">” (C.G.A.R.S., </w:t>
      </w:r>
      <w:proofErr w:type="spellStart"/>
      <w:r w:rsidRPr="00F148CE">
        <w:rPr>
          <w:rFonts w:ascii="Times New Roman" w:hAnsi="Times New Roman" w:cs="Times New Roman"/>
        </w:rPr>
        <w:t>sent</w:t>
      </w:r>
      <w:proofErr w:type="spellEnd"/>
      <w:r w:rsidRPr="00F148CE">
        <w:rPr>
          <w:rFonts w:ascii="Times New Roman" w:hAnsi="Times New Roman" w:cs="Times New Roman"/>
        </w:rPr>
        <w:t>. n. 963/2021 cit.)</w:t>
      </w:r>
      <w:r w:rsidR="006621D4">
        <w:rPr>
          <w:rFonts w:ascii="Times New Roman" w:hAnsi="Times New Roman" w:cs="Times New Roman"/>
        </w:rPr>
        <w:t xml:space="preserve">. Va considerato </w:t>
      </w:r>
      <w:r w:rsidRPr="00F148CE">
        <w:rPr>
          <w:rFonts w:ascii="Times New Roman" w:hAnsi="Times New Roman" w:cs="Times New Roman"/>
        </w:rPr>
        <w:t>fulcro dell’intero sistema contabile, la disciplina che regolamenta i rimedi legislativi per affrontare le situazioni di crisi finanziaria degli enti locali (</w:t>
      </w:r>
      <w:r w:rsidRPr="00F148CE">
        <w:rPr>
          <w:rFonts w:ascii="Times New Roman" w:hAnsi="Times New Roman" w:cs="Times New Roman"/>
          <w:i/>
          <w:iCs/>
        </w:rPr>
        <w:t xml:space="preserve">ex </w:t>
      </w:r>
      <w:proofErr w:type="spellStart"/>
      <w:r w:rsidRPr="00F148CE">
        <w:rPr>
          <w:rFonts w:ascii="Times New Roman" w:hAnsi="Times New Roman" w:cs="Times New Roman"/>
          <w:i/>
          <w:iCs/>
        </w:rPr>
        <w:t>multis</w:t>
      </w:r>
      <w:proofErr w:type="spellEnd"/>
      <w:r w:rsidRPr="00F148CE">
        <w:rPr>
          <w:rFonts w:ascii="Times New Roman" w:hAnsi="Times New Roman" w:cs="Times New Roman"/>
        </w:rPr>
        <w:t>, Corte dei conti, Sez. controllo per la Regione siciliana, deliberazion</w:t>
      </w:r>
      <w:r w:rsidR="002C27E8" w:rsidRPr="00F148CE">
        <w:rPr>
          <w:rFonts w:ascii="Times New Roman" w:hAnsi="Times New Roman" w:cs="Times New Roman"/>
        </w:rPr>
        <w:t>i</w:t>
      </w:r>
      <w:r w:rsidRPr="00F148CE">
        <w:rPr>
          <w:rFonts w:ascii="Times New Roman" w:hAnsi="Times New Roman" w:cs="Times New Roman"/>
        </w:rPr>
        <w:t xml:space="preserve"> n. 28/2022</w:t>
      </w:r>
      <w:r w:rsidR="005B48FE" w:rsidRPr="00F148CE">
        <w:rPr>
          <w:rFonts w:ascii="Times New Roman" w:hAnsi="Times New Roman" w:cs="Times New Roman"/>
        </w:rPr>
        <w:t xml:space="preserve"> e </w:t>
      </w:r>
      <w:r w:rsidR="002C27E8" w:rsidRPr="00F148CE">
        <w:rPr>
          <w:rFonts w:ascii="Times New Roman" w:hAnsi="Times New Roman" w:cs="Times New Roman"/>
        </w:rPr>
        <w:t>217/2023</w:t>
      </w:r>
      <w:r w:rsidRPr="00F148CE">
        <w:rPr>
          <w:rFonts w:ascii="Times New Roman" w:hAnsi="Times New Roman" w:cs="Times New Roman"/>
        </w:rPr>
        <w:t>/</w:t>
      </w:r>
      <w:r w:rsidR="002C27E8" w:rsidRPr="00F148CE">
        <w:rPr>
          <w:rFonts w:ascii="Times New Roman" w:hAnsi="Times New Roman" w:cs="Times New Roman"/>
        </w:rPr>
        <w:t>PRSP)</w:t>
      </w:r>
      <w:r w:rsidRPr="00F148CE">
        <w:rPr>
          <w:rFonts w:ascii="Times New Roman" w:hAnsi="Times New Roman" w:cs="Times New Roman"/>
        </w:rPr>
        <w:t>.</w:t>
      </w:r>
    </w:p>
    <w:p w14:paraId="00E067E8" w14:textId="24224310" w:rsidR="00CC7ED3" w:rsidRPr="00F148CE" w:rsidRDefault="00CC7ED3" w:rsidP="00403CB2">
      <w:pPr>
        <w:jc w:val="both"/>
        <w:rPr>
          <w:rFonts w:ascii="Times New Roman" w:hAnsi="Times New Roman" w:cs="Times New Roman"/>
        </w:rPr>
      </w:pPr>
      <w:r w:rsidRPr="00F148CE">
        <w:rPr>
          <w:rFonts w:ascii="Times New Roman" w:hAnsi="Times New Roman" w:cs="Times New Roman"/>
        </w:rPr>
        <w:t>Per quanto concerne, invece,</w:t>
      </w:r>
      <w:r w:rsidR="00BB1540" w:rsidRPr="00F148CE">
        <w:rPr>
          <w:rFonts w:ascii="Times New Roman" w:hAnsi="Times New Roman" w:cs="Times New Roman"/>
        </w:rPr>
        <w:t xml:space="preserve"> </w:t>
      </w:r>
      <w:r w:rsidRPr="00F148CE">
        <w:rPr>
          <w:rFonts w:ascii="Times New Roman" w:hAnsi="Times New Roman" w:cs="Times New Roman"/>
        </w:rPr>
        <w:t>l’organo amministrativo competente ad adottare, in via sostitutiva (in caso di inerzia degli organi di governo locali), la deliberazione dello stato di dissesto e gli atti propedeutici (diffida e indicazione del termine),</w:t>
      </w:r>
      <w:r w:rsidR="00BB1540" w:rsidRPr="00F148CE">
        <w:rPr>
          <w:rFonts w:ascii="Times New Roman" w:hAnsi="Times New Roman" w:cs="Times New Roman"/>
        </w:rPr>
        <w:t xml:space="preserve"> </w:t>
      </w:r>
      <w:r w:rsidRPr="00F148CE">
        <w:rPr>
          <w:rFonts w:ascii="Times New Roman" w:hAnsi="Times New Roman" w:cs="Times New Roman"/>
        </w:rPr>
        <w:t xml:space="preserve">questa è da riconoscere in Sicilia all’Assessorato </w:t>
      </w:r>
      <w:r w:rsidRPr="00F148CE">
        <w:rPr>
          <w:rFonts w:ascii="Times New Roman" w:hAnsi="Times New Roman" w:cs="Times New Roman"/>
        </w:rPr>
        <w:lastRenderedPageBreak/>
        <w:t>regionale delle Autonomie locali e della Funzione pubblica, considerato che proprio l’ art. 58 della l. r. n. 26/1993, fulcro dell’introduzione nell’ordinamento regionale della disciplina statale sul dissesto,</w:t>
      </w:r>
      <w:r w:rsidR="00BB1540" w:rsidRPr="00F148CE">
        <w:rPr>
          <w:rFonts w:ascii="Times New Roman" w:hAnsi="Times New Roman" w:cs="Times New Roman"/>
        </w:rPr>
        <w:t xml:space="preserve"> </w:t>
      </w:r>
      <w:r w:rsidRPr="00F148CE">
        <w:rPr>
          <w:rFonts w:ascii="Times New Roman" w:hAnsi="Times New Roman" w:cs="Times New Roman"/>
        </w:rPr>
        <w:t>dispone, al comma 1,</w:t>
      </w:r>
      <w:r w:rsidR="00BB1540" w:rsidRPr="00F148CE">
        <w:rPr>
          <w:rFonts w:ascii="Times New Roman" w:hAnsi="Times New Roman" w:cs="Times New Roman"/>
        </w:rPr>
        <w:t xml:space="preserve"> </w:t>
      </w:r>
      <w:r w:rsidRPr="00F148CE">
        <w:rPr>
          <w:rFonts w:ascii="Times New Roman" w:hAnsi="Times New Roman" w:cs="Times New Roman"/>
        </w:rPr>
        <w:t>che “</w:t>
      </w:r>
      <w:r w:rsidRPr="00F148CE">
        <w:rPr>
          <w:rFonts w:ascii="Times New Roman" w:hAnsi="Times New Roman" w:cs="Times New Roman"/>
          <w:i/>
          <w:iCs/>
        </w:rPr>
        <w:t>Le disposizioni dell'articolo 109 bis dell'ordinamento amministrativo degli enti locali, approvato con</w:t>
      </w:r>
      <w:r w:rsidR="00F5387C" w:rsidRPr="00F148CE">
        <w:rPr>
          <w:rFonts w:ascii="Times New Roman" w:hAnsi="Times New Roman" w:cs="Times New Roman"/>
          <w:i/>
          <w:iCs/>
        </w:rPr>
        <w:t xml:space="preserve"> </w:t>
      </w:r>
      <w:hyperlink r:id="rId11" w:anchor="id=10LX0000182486ART0,__m=document" w:history="1">
        <w:r w:rsidRPr="00F148CE">
          <w:rPr>
            <w:rStyle w:val="Collegamentoipertestuale"/>
            <w:rFonts w:ascii="Times New Roman" w:hAnsi="Times New Roman" w:cs="Times New Roman"/>
            <w:i/>
            <w:iCs/>
            <w:color w:val="auto"/>
          </w:rPr>
          <w:t>legge regionale 15 marzo 1963, n. 16</w:t>
        </w:r>
      </w:hyperlink>
      <w:r w:rsidR="00F5387C" w:rsidRPr="00F148CE">
        <w:rPr>
          <w:rStyle w:val="Collegamentoipertestuale"/>
          <w:rFonts w:ascii="Times New Roman" w:hAnsi="Times New Roman" w:cs="Times New Roman"/>
          <w:i/>
          <w:iCs/>
          <w:color w:val="auto"/>
          <w:u w:val="none"/>
        </w:rPr>
        <w:t xml:space="preserve"> </w:t>
      </w:r>
      <w:r w:rsidRPr="00F148CE">
        <w:rPr>
          <w:rFonts w:ascii="Times New Roman" w:hAnsi="Times New Roman" w:cs="Times New Roman"/>
          <w:i/>
          <w:iCs/>
        </w:rPr>
        <w:t>e successive modifiche ed integrazioni, sono estese a situazioni di inadempienze equiparate alla mancata deliberazione del bilancio di previsione e alla dichiarazione di dissesto degli enti locali secondo la disciplina nazionale nel settore</w:t>
      </w:r>
      <w:r w:rsidRPr="00F148CE">
        <w:rPr>
          <w:rFonts w:ascii="Times New Roman" w:hAnsi="Times New Roman" w:cs="Times New Roman"/>
        </w:rPr>
        <w:t>” e il citato</w:t>
      </w:r>
      <w:r w:rsidR="00BB1540" w:rsidRPr="00F148CE">
        <w:rPr>
          <w:rFonts w:ascii="Times New Roman" w:hAnsi="Times New Roman" w:cs="Times New Roman"/>
        </w:rPr>
        <w:t xml:space="preserve"> </w:t>
      </w:r>
      <w:r w:rsidRPr="00F148CE">
        <w:rPr>
          <w:rFonts w:ascii="Times New Roman" w:hAnsi="Times New Roman" w:cs="Times New Roman"/>
        </w:rPr>
        <w:t xml:space="preserve">art. 109 </w:t>
      </w:r>
      <w:r w:rsidRPr="00F148CE">
        <w:rPr>
          <w:rFonts w:ascii="Times New Roman" w:hAnsi="Times New Roman" w:cs="Times New Roman"/>
          <w:i/>
          <w:iCs/>
        </w:rPr>
        <w:t>bis</w:t>
      </w:r>
      <w:r w:rsidRPr="00F148CE">
        <w:rPr>
          <w:rFonts w:ascii="Times New Roman" w:hAnsi="Times New Roman" w:cs="Times New Roman"/>
        </w:rPr>
        <w:t xml:space="preserve"> attribuisce le competenze in materia all’Assessore regionale per gli Enti locali , conformemente, d’altronde, alla competenza esclusiva regionale spettante</w:t>
      </w:r>
      <w:r w:rsidR="00BB1540" w:rsidRPr="00F148CE">
        <w:rPr>
          <w:rFonts w:ascii="Times New Roman" w:hAnsi="Times New Roman" w:cs="Times New Roman"/>
        </w:rPr>
        <w:t xml:space="preserve"> </w:t>
      </w:r>
      <w:r w:rsidRPr="00F148CE">
        <w:rPr>
          <w:rFonts w:ascii="Times New Roman" w:hAnsi="Times New Roman" w:cs="Times New Roman"/>
        </w:rPr>
        <w:t>in materia di ordinamento degli Enti locali (</w:t>
      </w:r>
      <w:r w:rsidRPr="00F148CE">
        <w:rPr>
          <w:rFonts w:ascii="Times New Roman" w:hAnsi="Times New Roman" w:cs="Times New Roman"/>
          <w:i/>
          <w:iCs/>
        </w:rPr>
        <w:t>cfr.</w:t>
      </w:r>
      <w:r w:rsidRPr="00F148CE">
        <w:rPr>
          <w:rFonts w:ascii="Times New Roman" w:hAnsi="Times New Roman" w:cs="Times New Roman"/>
        </w:rPr>
        <w:t xml:space="preserve"> l’art. 15 dello Statuto della Regione Siciliana, che al comma 3 attribuisce alla Regione “la legislazione esclusiva e l’esecuzione diretta in materia di circoscrizione, ordinamento e controllo degli enti locali”; deliberazioni nn.133/2021</w:t>
      </w:r>
      <w:r w:rsidR="00BB1540" w:rsidRPr="00F148CE">
        <w:rPr>
          <w:rFonts w:ascii="Times New Roman" w:hAnsi="Times New Roman" w:cs="Times New Roman"/>
        </w:rPr>
        <w:t xml:space="preserve"> </w:t>
      </w:r>
      <w:r w:rsidRPr="00F148CE">
        <w:rPr>
          <w:rFonts w:ascii="Times New Roman" w:hAnsi="Times New Roman" w:cs="Times New Roman"/>
        </w:rPr>
        <w:t>e 28/2022/PRSP,</w:t>
      </w:r>
      <w:r w:rsidR="00BB1540" w:rsidRPr="00F148CE">
        <w:rPr>
          <w:rFonts w:ascii="Times New Roman" w:hAnsi="Times New Roman" w:cs="Times New Roman"/>
        </w:rPr>
        <w:t xml:space="preserve"> </w:t>
      </w:r>
      <w:r w:rsidRPr="00F148CE">
        <w:rPr>
          <w:rFonts w:ascii="Times New Roman" w:hAnsi="Times New Roman" w:cs="Times New Roman"/>
        </w:rPr>
        <w:t xml:space="preserve">Corte dei conti, Sez. controllo per la Regione siciliana). </w:t>
      </w:r>
    </w:p>
    <w:p w14:paraId="1CB257BC" w14:textId="734E0AED" w:rsidR="00874028" w:rsidRPr="00F148CE" w:rsidRDefault="00874028" w:rsidP="00403CB2">
      <w:pPr>
        <w:jc w:val="both"/>
        <w:rPr>
          <w:rFonts w:ascii="Times New Roman" w:hAnsi="Times New Roman" w:cs="Times New Roman"/>
        </w:rPr>
      </w:pPr>
      <w:r w:rsidRPr="00F148CE">
        <w:rPr>
          <w:rFonts w:ascii="Times New Roman" w:hAnsi="Times New Roman" w:cs="Times New Roman"/>
        </w:rPr>
        <w:t xml:space="preserve">Dal punto di vista procedurale, nella fattispecie del </w:t>
      </w:r>
      <w:r w:rsidR="006025ED" w:rsidRPr="00F148CE">
        <w:rPr>
          <w:rFonts w:ascii="Times New Roman" w:hAnsi="Times New Roman" w:cs="Times New Roman"/>
        </w:rPr>
        <w:t>“</w:t>
      </w:r>
      <w:r w:rsidRPr="006705AC">
        <w:rPr>
          <w:rFonts w:ascii="Times New Roman" w:hAnsi="Times New Roman" w:cs="Times New Roman"/>
          <w:i/>
          <w:iCs/>
        </w:rPr>
        <w:t>dissesto guidato</w:t>
      </w:r>
      <w:r w:rsidR="006025ED" w:rsidRPr="00F148CE">
        <w:rPr>
          <w:rFonts w:ascii="Times New Roman" w:hAnsi="Times New Roman" w:cs="Times New Roman"/>
        </w:rPr>
        <w:t>”</w:t>
      </w:r>
      <w:r w:rsidRPr="00F148CE">
        <w:rPr>
          <w:rFonts w:ascii="Times New Roman" w:hAnsi="Times New Roman" w:cs="Times New Roman"/>
        </w:rPr>
        <w:t>, sono necessarie tre pronunce della Sezione regionale di controllo.</w:t>
      </w:r>
    </w:p>
    <w:p w14:paraId="4AE90297" w14:textId="77777777" w:rsidR="005F0D8F" w:rsidRPr="00F148CE" w:rsidRDefault="00874028" w:rsidP="00403CB2">
      <w:pPr>
        <w:jc w:val="both"/>
        <w:rPr>
          <w:rFonts w:ascii="Times New Roman" w:hAnsi="Times New Roman" w:cs="Times New Roman"/>
        </w:rPr>
      </w:pPr>
      <w:r w:rsidRPr="00F148CE">
        <w:rPr>
          <w:rFonts w:ascii="Times New Roman" w:hAnsi="Times New Roman" w:cs="Times New Roman"/>
        </w:rPr>
        <w:t>La norma dettata dall’art. 6, comma 2, del D.lgs. n. 149/2011 individua, pertanto, tre fasi:</w:t>
      </w:r>
    </w:p>
    <w:p w14:paraId="01B8986D" w14:textId="1F1B0A51" w:rsidR="002679AB" w:rsidRPr="00F148CE" w:rsidRDefault="00874028" w:rsidP="00403CB2">
      <w:pPr>
        <w:jc w:val="both"/>
        <w:rPr>
          <w:rFonts w:ascii="Times New Roman" w:hAnsi="Times New Roman" w:cs="Times New Roman"/>
        </w:rPr>
      </w:pPr>
      <w:r w:rsidRPr="00F148CE">
        <w:rPr>
          <w:rFonts w:ascii="Times New Roman" w:hAnsi="Times New Roman" w:cs="Times New Roman"/>
        </w:rPr>
        <w:t xml:space="preserve">1) </w:t>
      </w:r>
      <w:r w:rsidRPr="00F148CE">
        <w:rPr>
          <w:rFonts w:ascii="Times New Roman" w:hAnsi="Times New Roman" w:cs="Times New Roman"/>
          <w:u w:val="single"/>
        </w:rPr>
        <w:t xml:space="preserve">Accertamento di violazioni </w:t>
      </w:r>
      <w:r w:rsidRPr="00F148CE">
        <w:rPr>
          <w:rFonts w:ascii="Times New Roman" w:hAnsi="Times New Roman" w:cs="Times New Roman"/>
        </w:rPr>
        <w:t>degli obiettivi della finanza pubblica allargata e</w:t>
      </w:r>
      <w:r w:rsidR="005F0D8F" w:rsidRPr="00F148CE">
        <w:rPr>
          <w:rFonts w:ascii="Times New Roman" w:hAnsi="Times New Roman" w:cs="Times New Roman"/>
        </w:rPr>
        <w:t xml:space="preserve"> </w:t>
      </w:r>
      <w:r w:rsidRPr="00F148CE">
        <w:rPr>
          <w:rFonts w:ascii="Times New Roman" w:hAnsi="Times New Roman" w:cs="Times New Roman"/>
        </w:rPr>
        <w:t>irregolarità contabili o squilibri strutturali del bilancio dell'ente locale, in grado di</w:t>
      </w:r>
      <w:r w:rsidR="005F0D8F" w:rsidRPr="00F148CE">
        <w:rPr>
          <w:rFonts w:ascii="Times New Roman" w:hAnsi="Times New Roman" w:cs="Times New Roman"/>
        </w:rPr>
        <w:t xml:space="preserve"> </w:t>
      </w:r>
      <w:r w:rsidRPr="00F148CE">
        <w:rPr>
          <w:rFonts w:ascii="Times New Roman" w:hAnsi="Times New Roman" w:cs="Times New Roman"/>
        </w:rPr>
        <w:t>provocarne il dissesto finanziario.  In tal caso</w:t>
      </w:r>
      <w:r w:rsidR="002C27E8" w:rsidRPr="00F148CE">
        <w:rPr>
          <w:rFonts w:ascii="Times New Roman" w:hAnsi="Times New Roman" w:cs="Times New Roman"/>
        </w:rPr>
        <w:t>,</w:t>
      </w:r>
      <w:r w:rsidRPr="00F148CE">
        <w:rPr>
          <w:rFonts w:ascii="Times New Roman" w:hAnsi="Times New Roman" w:cs="Times New Roman"/>
        </w:rPr>
        <w:t xml:space="preserve"> la Sezione regionale di controllo</w:t>
      </w:r>
      <w:r w:rsidR="005F0D8F" w:rsidRPr="00F148CE">
        <w:rPr>
          <w:rFonts w:ascii="Times New Roman" w:hAnsi="Times New Roman" w:cs="Times New Roman"/>
        </w:rPr>
        <w:t xml:space="preserve"> </w:t>
      </w:r>
      <w:r w:rsidRPr="00F148CE">
        <w:rPr>
          <w:rFonts w:ascii="Times New Roman" w:hAnsi="Times New Roman" w:cs="Times New Roman"/>
        </w:rPr>
        <w:t>emette specifica pronuncia ed assegna all’ente locale un termine per l’adozione</w:t>
      </w:r>
      <w:r w:rsidR="006025ED" w:rsidRPr="00F148CE">
        <w:rPr>
          <w:rFonts w:ascii="Times New Roman" w:hAnsi="Times New Roman" w:cs="Times New Roman"/>
        </w:rPr>
        <w:t xml:space="preserve"> delle necessarie misure </w:t>
      </w:r>
      <w:r w:rsidR="002679AB" w:rsidRPr="00F148CE">
        <w:rPr>
          <w:rFonts w:ascii="Times New Roman" w:hAnsi="Times New Roman" w:cs="Times New Roman"/>
        </w:rPr>
        <w:t>correttive;</w:t>
      </w:r>
    </w:p>
    <w:p w14:paraId="0CE1B964" w14:textId="77777777" w:rsidR="00E9593E" w:rsidRPr="00F148CE" w:rsidRDefault="00874028" w:rsidP="00403CB2">
      <w:pPr>
        <w:jc w:val="both"/>
        <w:rPr>
          <w:rFonts w:ascii="Times New Roman" w:hAnsi="Times New Roman" w:cs="Times New Roman"/>
        </w:rPr>
      </w:pPr>
      <w:r w:rsidRPr="00F148CE">
        <w:rPr>
          <w:rFonts w:ascii="Times New Roman" w:hAnsi="Times New Roman" w:cs="Times New Roman"/>
        </w:rPr>
        <w:t xml:space="preserve">2) </w:t>
      </w:r>
      <w:r w:rsidRPr="00F148CE">
        <w:rPr>
          <w:rFonts w:ascii="Times New Roman" w:hAnsi="Times New Roman" w:cs="Times New Roman"/>
          <w:u w:val="single"/>
        </w:rPr>
        <w:t>Accertamento dell</w:t>
      </w:r>
      <w:r w:rsidR="002679AB" w:rsidRPr="00F148CE">
        <w:rPr>
          <w:rFonts w:ascii="Times New Roman" w:hAnsi="Times New Roman" w:cs="Times New Roman"/>
          <w:u w:val="single"/>
        </w:rPr>
        <w:t>’</w:t>
      </w:r>
      <w:r w:rsidRPr="00F148CE">
        <w:rPr>
          <w:rFonts w:ascii="Times New Roman" w:hAnsi="Times New Roman" w:cs="Times New Roman"/>
          <w:u w:val="single"/>
        </w:rPr>
        <w:t>efficacia dell</w:t>
      </w:r>
      <w:r w:rsidR="006025ED" w:rsidRPr="00F148CE">
        <w:rPr>
          <w:rFonts w:ascii="Times New Roman" w:hAnsi="Times New Roman" w:cs="Times New Roman"/>
          <w:u w:val="single"/>
        </w:rPr>
        <w:t>e</w:t>
      </w:r>
      <w:r w:rsidRPr="00F148CE">
        <w:rPr>
          <w:rFonts w:ascii="Times New Roman" w:hAnsi="Times New Roman" w:cs="Times New Roman"/>
          <w:u w:val="single"/>
        </w:rPr>
        <w:t xml:space="preserve"> misure correttive</w:t>
      </w:r>
      <w:r w:rsidR="006025ED" w:rsidRPr="00F148CE">
        <w:rPr>
          <w:rFonts w:ascii="Times New Roman" w:hAnsi="Times New Roman" w:cs="Times New Roman"/>
          <w:u w:val="single"/>
        </w:rPr>
        <w:t xml:space="preserve"> richieste</w:t>
      </w:r>
      <w:r w:rsidRPr="00F148CE">
        <w:rPr>
          <w:rFonts w:ascii="Times New Roman" w:hAnsi="Times New Roman" w:cs="Times New Roman"/>
        </w:rPr>
        <w:t>. Scaduto il termine, la</w:t>
      </w:r>
      <w:r w:rsidR="005F0D8F" w:rsidRPr="00F148CE">
        <w:rPr>
          <w:rFonts w:ascii="Times New Roman" w:hAnsi="Times New Roman" w:cs="Times New Roman"/>
        </w:rPr>
        <w:t xml:space="preserve"> </w:t>
      </w:r>
      <w:r w:rsidRPr="00F148CE">
        <w:rPr>
          <w:rFonts w:ascii="Times New Roman" w:hAnsi="Times New Roman" w:cs="Times New Roman"/>
        </w:rPr>
        <w:t>Sezione regionale di controllo verifica l’adozione delle necessarie misure correttive</w:t>
      </w:r>
      <w:r w:rsidR="002679AB" w:rsidRPr="00F148CE">
        <w:rPr>
          <w:rFonts w:ascii="Times New Roman" w:hAnsi="Times New Roman" w:cs="Times New Roman"/>
        </w:rPr>
        <w:t>,</w:t>
      </w:r>
      <w:r w:rsidR="005F0D8F" w:rsidRPr="00F148CE">
        <w:rPr>
          <w:rFonts w:ascii="Times New Roman" w:hAnsi="Times New Roman" w:cs="Times New Roman"/>
        </w:rPr>
        <w:t xml:space="preserve"> </w:t>
      </w:r>
      <w:r w:rsidR="002679AB" w:rsidRPr="00F148CE">
        <w:rPr>
          <w:rFonts w:ascii="Times New Roman" w:hAnsi="Times New Roman" w:cs="Times New Roman"/>
        </w:rPr>
        <w:t xml:space="preserve">che </w:t>
      </w:r>
      <w:r w:rsidRPr="00F148CE">
        <w:rPr>
          <w:rFonts w:ascii="Times New Roman" w:hAnsi="Times New Roman" w:cs="Times New Roman"/>
        </w:rPr>
        <w:t>può concludersi con una mera presa d’atto dell'adozione (e</w:t>
      </w:r>
      <w:r w:rsidR="005F0D8F" w:rsidRPr="00F148CE">
        <w:rPr>
          <w:rFonts w:ascii="Times New Roman" w:hAnsi="Times New Roman" w:cs="Times New Roman"/>
        </w:rPr>
        <w:t xml:space="preserve"> </w:t>
      </w:r>
      <w:r w:rsidRPr="00F148CE">
        <w:rPr>
          <w:rFonts w:ascii="Times New Roman" w:hAnsi="Times New Roman" w:cs="Times New Roman"/>
        </w:rPr>
        <w:t>dell’efficacia) delle misure</w:t>
      </w:r>
      <w:r w:rsidR="002679AB" w:rsidRPr="00F148CE">
        <w:rPr>
          <w:rFonts w:ascii="Times New Roman" w:hAnsi="Times New Roman" w:cs="Times New Roman"/>
        </w:rPr>
        <w:t xml:space="preserve"> adottate</w:t>
      </w:r>
      <w:r w:rsidRPr="00F148CE">
        <w:rPr>
          <w:rFonts w:ascii="Times New Roman" w:hAnsi="Times New Roman" w:cs="Times New Roman"/>
        </w:rPr>
        <w:t>.</w:t>
      </w:r>
      <w:r w:rsidR="002679AB" w:rsidRPr="00F148CE">
        <w:rPr>
          <w:rFonts w:ascii="Times New Roman" w:hAnsi="Times New Roman" w:cs="Times New Roman"/>
        </w:rPr>
        <w:t xml:space="preserve"> </w:t>
      </w:r>
      <w:r w:rsidRPr="00F148CE">
        <w:rPr>
          <w:rFonts w:ascii="Times New Roman" w:hAnsi="Times New Roman" w:cs="Times New Roman"/>
        </w:rPr>
        <w:t>Nel caso</w:t>
      </w:r>
      <w:r w:rsidR="002679AB" w:rsidRPr="00F148CE">
        <w:rPr>
          <w:rFonts w:ascii="Times New Roman" w:hAnsi="Times New Roman" w:cs="Times New Roman"/>
        </w:rPr>
        <w:t>, invece,</w:t>
      </w:r>
      <w:r w:rsidRPr="00F148CE">
        <w:rPr>
          <w:rFonts w:ascii="Times New Roman" w:hAnsi="Times New Roman" w:cs="Times New Roman"/>
        </w:rPr>
        <w:t xml:space="preserve"> di mancata/inefficace adozione delle misure</w:t>
      </w:r>
      <w:r w:rsidR="005F0D8F" w:rsidRPr="00F148CE">
        <w:rPr>
          <w:rFonts w:ascii="Times New Roman" w:hAnsi="Times New Roman" w:cs="Times New Roman"/>
        </w:rPr>
        <w:t xml:space="preserve"> </w:t>
      </w:r>
      <w:r w:rsidRPr="00F148CE">
        <w:rPr>
          <w:rFonts w:ascii="Times New Roman" w:hAnsi="Times New Roman" w:cs="Times New Roman"/>
        </w:rPr>
        <w:t>correttive, si provvede alla trasmissione degli atti al Prefetto ed alla Conferenza</w:t>
      </w:r>
      <w:r w:rsidR="005F0D8F" w:rsidRPr="00F148CE">
        <w:rPr>
          <w:rFonts w:ascii="Times New Roman" w:hAnsi="Times New Roman" w:cs="Times New Roman"/>
        </w:rPr>
        <w:t xml:space="preserve"> </w:t>
      </w:r>
      <w:r w:rsidRPr="00F148CE">
        <w:rPr>
          <w:rFonts w:ascii="Times New Roman" w:hAnsi="Times New Roman" w:cs="Times New Roman"/>
        </w:rPr>
        <w:t>permanente per il coordinamento della finanza pubblica;</w:t>
      </w:r>
      <w:r w:rsidR="00E9593E" w:rsidRPr="00F148CE">
        <w:rPr>
          <w:rFonts w:ascii="Times New Roman" w:hAnsi="Times New Roman" w:cs="Times New Roman"/>
        </w:rPr>
        <w:t xml:space="preserve"> </w:t>
      </w:r>
    </w:p>
    <w:p w14:paraId="17F494E7" w14:textId="35B19549" w:rsidR="002679AB" w:rsidRPr="00F148CE" w:rsidRDefault="00874028" w:rsidP="00403CB2">
      <w:pPr>
        <w:jc w:val="both"/>
        <w:rPr>
          <w:rFonts w:ascii="Times New Roman" w:hAnsi="Times New Roman" w:cs="Times New Roman"/>
        </w:rPr>
      </w:pPr>
      <w:r w:rsidRPr="00F148CE">
        <w:rPr>
          <w:rFonts w:ascii="Times New Roman" w:hAnsi="Times New Roman" w:cs="Times New Roman"/>
        </w:rPr>
        <w:t xml:space="preserve">3) </w:t>
      </w:r>
      <w:r w:rsidRPr="00F148CE">
        <w:rPr>
          <w:rFonts w:ascii="Times New Roman" w:hAnsi="Times New Roman" w:cs="Times New Roman"/>
          <w:u w:val="single"/>
        </w:rPr>
        <w:t>Terza delibera:</w:t>
      </w:r>
      <w:r w:rsidRPr="00F148CE">
        <w:rPr>
          <w:rFonts w:ascii="Times New Roman" w:hAnsi="Times New Roman" w:cs="Times New Roman"/>
        </w:rPr>
        <w:t xml:space="preserve"> accertamento del perdurare dell'inadempimento da parte dell'ente</w:t>
      </w:r>
      <w:r w:rsidR="00E9593E" w:rsidRPr="00F148CE">
        <w:rPr>
          <w:rFonts w:ascii="Times New Roman" w:hAnsi="Times New Roman" w:cs="Times New Roman"/>
        </w:rPr>
        <w:t xml:space="preserve"> </w:t>
      </w:r>
      <w:r w:rsidRPr="00F148CE">
        <w:rPr>
          <w:rFonts w:ascii="Times New Roman" w:hAnsi="Times New Roman" w:cs="Times New Roman"/>
        </w:rPr>
        <w:t xml:space="preserve">locale </w:t>
      </w:r>
      <w:r w:rsidR="00505B0E">
        <w:rPr>
          <w:rFonts w:ascii="Times New Roman" w:hAnsi="Times New Roman" w:cs="Times New Roman"/>
        </w:rPr>
        <w:t xml:space="preserve">in ordine all’adozione </w:t>
      </w:r>
      <w:r w:rsidRPr="00F148CE">
        <w:rPr>
          <w:rFonts w:ascii="Times New Roman" w:hAnsi="Times New Roman" w:cs="Times New Roman"/>
        </w:rPr>
        <w:t>delle misure correttive</w:t>
      </w:r>
      <w:r w:rsidR="002679AB" w:rsidRPr="00F148CE">
        <w:rPr>
          <w:rFonts w:ascii="Times New Roman" w:hAnsi="Times New Roman" w:cs="Times New Roman"/>
        </w:rPr>
        <w:t xml:space="preserve"> richieste</w:t>
      </w:r>
      <w:r w:rsidRPr="00F148CE">
        <w:rPr>
          <w:rFonts w:ascii="Times New Roman" w:hAnsi="Times New Roman" w:cs="Times New Roman"/>
        </w:rPr>
        <w:t xml:space="preserve"> e la sussistenza delle condizioni di cui all'</w:t>
      </w:r>
      <w:r w:rsidR="0057143C">
        <w:rPr>
          <w:rFonts w:ascii="Times New Roman" w:hAnsi="Times New Roman" w:cs="Times New Roman"/>
        </w:rPr>
        <w:t>art.</w:t>
      </w:r>
      <w:r w:rsidRPr="00F148CE">
        <w:rPr>
          <w:rFonts w:ascii="Times New Roman" w:hAnsi="Times New Roman" w:cs="Times New Roman"/>
        </w:rPr>
        <w:t xml:space="preserve"> 244</w:t>
      </w:r>
      <w:r w:rsidR="00E9593E" w:rsidRPr="00F148CE">
        <w:rPr>
          <w:rFonts w:ascii="Times New Roman" w:hAnsi="Times New Roman" w:cs="Times New Roman"/>
        </w:rPr>
        <w:t xml:space="preserve"> </w:t>
      </w:r>
      <w:r w:rsidRPr="00F148CE">
        <w:rPr>
          <w:rFonts w:ascii="Times New Roman" w:hAnsi="Times New Roman" w:cs="Times New Roman"/>
        </w:rPr>
        <w:t>TUEL</w:t>
      </w:r>
      <w:r w:rsidR="002679AB" w:rsidRPr="00F148CE">
        <w:rPr>
          <w:rFonts w:ascii="Times New Roman" w:hAnsi="Times New Roman" w:cs="Times New Roman"/>
        </w:rPr>
        <w:t>, con, conseguente, comunicazione</w:t>
      </w:r>
      <w:r w:rsidRPr="00F148CE">
        <w:rPr>
          <w:rFonts w:ascii="Times New Roman" w:hAnsi="Times New Roman" w:cs="Times New Roman"/>
        </w:rPr>
        <w:t xml:space="preserve"> al Prefetto (</w:t>
      </w:r>
      <w:r w:rsidR="00505B0E">
        <w:rPr>
          <w:rFonts w:ascii="Times New Roman" w:hAnsi="Times New Roman" w:cs="Times New Roman"/>
        </w:rPr>
        <w:t>ma l’Assessore regionale agli enti locali in Sicilia</w:t>
      </w:r>
      <w:r w:rsidRPr="00F148CE">
        <w:rPr>
          <w:rFonts w:ascii="Times New Roman" w:hAnsi="Times New Roman" w:cs="Times New Roman"/>
        </w:rPr>
        <w:t>), il quale assegna</w:t>
      </w:r>
      <w:r w:rsidR="002679AB" w:rsidRPr="00F148CE">
        <w:rPr>
          <w:rFonts w:ascii="Times New Roman" w:hAnsi="Times New Roman" w:cs="Times New Roman"/>
        </w:rPr>
        <w:t xml:space="preserve"> al Consiglio, con lettera notificata ai singoli consiglieri</w:t>
      </w:r>
      <w:r w:rsidR="001578D4">
        <w:rPr>
          <w:rFonts w:ascii="Times New Roman" w:hAnsi="Times New Roman" w:cs="Times New Roman"/>
        </w:rPr>
        <w:t xml:space="preserve"> comunali</w:t>
      </w:r>
      <w:r w:rsidR="002679AB" w:rsidRPr="00F148CE">
        <w:rPr>
          <w:rFonts w:ascii="Times New Roman" w:hAnsi="Times New Roman" w:cs="Times New Roman"/>
        </w:rPr>
        <w:t>, un termine non superiore a venti giorni per la deliberazione del dissesto.</w:t>
      </w:r>
    </w:p>
    <w:p w14:paraId="6A2C33E2" w14:textId="53A2EE9B" w:rsidR="002679AB" w:rsidRPr="00F148CE" w:rsidRDefault="00874028" w:rsidP="00403CB2">
      <w:pPr>
        <w:jc w:val="both"/>
        <w:rPr>
          <w:rFonts w:ascii="Times New Roman" w:hAnsi="Times New Roman" w:cs="Times New Roman"/>
        </w:rPr>
      </w:pPr>
      <w:r w:rsidRPr="00F148CE">
        <w:rPr>
          <w:rFonts w:ascii="Times New Roman" w:hAnsi="Times New Roman" w:cs="Times New Roman"/>
        </w:rPr>
        <w:t>Decorso</w:t>
      </w:r>
      <w:r w:rsidR="002679AB" w:rsidRPr="00F148CE">
        <w:rPr>
          <w:rFonts w:ascii="Times New Roman" w:hAnsi="Times New Roman" w:cs="Times New Roman"/>
        </w:rPr>
        <w:t xml:space="preserve"> infruttuosamente il termine di cui al precedente periodo, il Prefetto (</w:t>
      </w:r>
      <w:r w:rsidR="002C27E8" w:rsidRPr="00F148CE">
        <w:rPr>
          <w:rFonts w:ascii="Times New Roman" w:hAnsi="Times New Roman" w:cs="Times New Roman"/>
        </w:rPr>
        <w:t>leggasi</w:t>
      </w:r>
      <w:r w:rsidR="002679AB" w:rsidRPr="00F148CE">
        <w:rPr>
          <w:rFonts w:ascii="Times New Roman" w:hAnsi="Times New Roman" w:cs="Times New Roman"/>
        </w:rPr>
        <w:t xml:space="preserve"> Regione, nell’ordinamento siciliano) nomina un commissario per la deliberazione dello stato di dissesto.</w:t>
      </w:r>
    </w:p>
    <w:p w14:paraId="61A7BA86" w14:textId="64C2BA90" w:rsidR="007B030A" w:rsidRPr="00F148CE" w:rsidRDefault="00CC7ED3" w:rsidP="00403CB2">
      <w:pPr>
        <w:jc w:val="both"/>
        <w:rPr>
          <w:rFonts w:ascii="Times New Roman" w:hAnsi="Times New Roman" w:cs="Times New Roman"/>
        </w:rPr>
      </w:pPr>
      <w:r w:rsidRPr="00F148CE">
        <w:rPr>
          <w:rFonts w:ascii="Times New Roman" w:hAnsi="Times New Roman" w:cs="Times New Roman"/>
        </w:rPr>
        <w:t>A prescindere</w:t>
      </w:r>
      <w:r w:rsidR="002679AB" w:rsidRPr="00F148CE">
        <w:rPr>
          <w:rFonts w:ascii="Times New Roman" w:hAnsi="Times New Roman" w:cs="Times New Roman"/>
        </w:rPr>
        <w:t>, comunque,</w:t>
      </w:r>
      <w:r w:rsidRPr="00F148CE">
        <w:rPr>
          <w:rFonts w:ascii="Times New Roman" w:hAnsi="Times New Roman" w:cs="Times New Roman"/>
        </w:rPr>
        <w:t xml:space="preserve"> dalla tipologia di dissesto, i</w:t>
      </w:r>
      <w:r w:rsidR="002C1776" w:rsidRPr="00F148CE">
        <w:rPr>
          <w:rFonts w:ascii="Times New Roman" w:hAnsi="Times New Roman" w:cs="Times New Roman"/>
        </w:rPr>
        <w:t xml:space="preserve">n tutte </w:t>
      </w:r>
      <w:r w:rsidRPr="00F148CE">
        <w:rPr>
          <w:rFonts w:ascii="Times New Roman" w:hAnsi="Times New Roman" w:cs="Times New Roman"/>
        </w:rPr>
        <w:t>le</w:t>
      </w:r>
      <w:r w:rsidR="002C1776" w:rsidRPr="00F148CE">
        <w:rPr>
          <w:rFonts w:ascii="Times New Roman" w:hAnsi="Times New Roman" w:cs="Times New Roman"/>
        </w:rPr>
        <w:t xml:space="preserve"> </w:t>
      </w:r>
      <w:r w:rsidR="002C27E8" w:rsidRPr="00F148CE">
        <w:rPr>
          <w:rFonts w:ascii="Times New Roman" w:hAnsi="Times New Roman" w:cs="Times New Roman"/>
        </w:rPr>
        <w:t>ipotesi, qualunque</w:t>
      </w:r>
      <w:r w:rsidR="002C1776" w:rsidRPr="00F148CE">
        <w:rPr>
          <w:rFonts w:ascii="Times New Roman" w:hAnsi="Times New Roman" w:cs="Times New Roman"/>
        </w:rPr>
        <w:t xml:space="preserve"> sia il titolo, </w:t>
      </w:r>
      <w:r w:rsidR="002679AB" w:rsidRPr="00F148CE">
        <w:rPr>
          <w:rFonts w:ascii="Times New Roman" w:hAnsi="Times New Roman" w:cs="Times New Roman"/>
        </w:rPr>
        <w:t>come meglio si preciserà di seguito,</w:t>
      </w:r>
      <w:r w:rsidR="002C1776" w:rsidRPr="00F148CE">
        <w:rPr>
          <w:rFonts w:ascii="Times New Roman" w:hAnsi="Times New Roman" w:cs="Times New Roman"/>
        </w:rPr>
        <w:t xml:space="preserve"> è necessaria la verifica delle </w:t>
      </w:r>
      <w:r w:rsidR="002C27E8" w:rsidRPr="00F148CE">
        <w:rPr>
          <w:rFonts w:ascii="Times New Roman" w:hAnsi="Times New Roman" w:cs="Times New Roman"/>
        </w:rPr>
        <w:t>responsabilità per</w:t>
      </w:r>
      <w:r w:rsidR="002C1776" w:rsidRPr="00F148CE">
        <w:rPr>
          <w:rFonts w:ascii="Times New Roman" w:hAnsi="Times New Roman" w:cs="Times New Roman"/>
        </w:rPr>
        <w:t xml:space="preserve"> l’applicazione delle sanzioni di cui all’art. 248, commi 5 e 5-bis</w:t>
      </w:r>
      <w:r w:rsidR="005664AF" w:rsidRPr="00F148CE">
        <w:rPr>
          <w:rFonts w:ascii="Times New Roman" w:hAnsi="Times New Roman" w:cs="Times New Roman"/>
        </w:rPr>
        <w:t xml:space="preserve"> </w:t>
      </w:r>
      <w:r w:rsidR="002C1776" w:rsidRPr="00F148CE">
        <w:rPr>
          <w:rFonts w:ascii="Times New Roman" w:hAnsi="Times New Roman" w:cs="Times New Roman"/>
        </w:rPr>
        <w:t>TUEL (sanzioni pecuniarie ed incandidabilità).</w:t>
      </w:r>
    </w:p>
    <w:p w14:paraId="2C7D8176" w14:textId="77777777" w:rsidR="007B030A" w:rsidRPr="00F148CE" w:rsidRDefault="007B030A" w:rsidP="00403CB2">
      <w:pPr>
        <w:jc w:val="both"/>
        <w:rPr>
          <w:rFonts w:ascii="Times New Roman" w:hAnsi="Times New Roman" w:cs="Times New Roman"/>
        </w:rPr>
      </w:pPr>
    </w:p>
    <w:p w14:paraId="5A49D425" w14:textId="77777777" w:rsidR="00120B05" w:rsidRPr="00F148CE" w:rsidRDefault="00120B05" w:rsidP="00403CB2">
      <w:pPr>
        <w:jc w:val="both"/>
        <w:rPr>
          <w:rFonts w:ascii="Times New Roman" w:hAnsi="Times New Roman" w:cs="Times New Roman"/>
        </w:rPr>
      </w:pPr>
    </w:p>
    <w:p w14:paraId="64BE89F8" w14:textId="2F1F3E11" w:rsidR="00CA5AC4" w:rsidRPr="00D62771" w:rsidRDefault="00D62771" w:rsidP="00D62771">
      <w:pPr>
        <w:jc w:val="both"/>
        <w:rPr>
          <w:rFonts w:ascii="Times New Roman" w:hAnsi="Times New Roman" w:cs="Times New Roman"/>
          <w:b/>
          <w:bCs/>
        </w:rPr>
      </w:pPr>
      <w:bookmarkStart w:id="1" w:name="_Hlk194833847"/>
      <w:r>
        <w:rPr>
          <w:rFonts w:ascii="Times New Roman" w:hAnsi="Times New Roman" w:cs="Times New Roman"/>
          <w:b/>
          <w:bCs/>
        </w:rPr>
        <w:t>3. Il dissesto: presupposti, procedura</w:t>
      </w:r>
      <w:r w:rsidR="006705AC">
        <w:rPr>
          <w:rFonts w:ascii="Times New Roman" w:hAnsi="Times New Roman" w:cs="Times New Roman"/>
          <w:b/>
          <w:bCs/>
        </w:rPr>
        <w:t>,</w:t>
      </w:r>
      <w:r>
        <w:rPr>
          <w:rFonts w:ascii="Times New Roman" w:hAnsi="Times New Roman" w:cs="Times New Roman"/>
          <w:b/>
          <w:bCs/>
        </w:rPr>
        <w:t xml:space="preserve"> effetti</w:t>
      </w:r>
      <w:r w:rsidR="006705AC">
        <w:rPr>
          <w:rFonts w:ascii="Times New Roman" w:hAnsi="Times New Roman" w:cs="Times New Roman"/>
          <w:b/>
          <w:bCs/>
        </w:rPr>
        <w:t xml:space="preserve"> </w:t>
      </w:r>
      <w:r w:rsidR="006705AC">
        <w:rPr>
          <w:rFonts w:ascii="Times New Roman" w:hAnsi="Times New Roman" w:cs="Times New Roman"/>
          <w:b/>
          <w:bCs/>
        </w:rPr>
        <w:t xml:space="preserve">e </w:t>
      </w:r>
      <w:r w:rsidR="006705AC" w:rsidRPr="00385ADE">
        <w:rPr>
          <w:rFonts w:ascii="Times New Roman" w:hAnsi="Times New Roman" w:cs="Times New Roman"/>
          <w:b/>
          <w:bCs/>
        </w:rPr>
        <w:t>responsabilità risarcitoria e sanzionatoria</w:t>
      </w:r>
    </w:p>
    <w:bookmarkEnd w:id="1"/>
    <w:p w14:paraId="0CF89BA0" w14:textId="77777777" w:rsidR="002679AB" w:rsidRPr="00F148CE" w:rsidRDefault="002679AB" w:rsidP="00403CB2">
      <w:pPr>
        <w:jc w:val="both"/>
        <w:rPr>
          <w:rFonts w:ascii="Times New Roman" w:hAnsi="Times New Roman" w:cs="Times New Roman"/>
        </w:rPr>
      </w:pPr>
    </w:p>
    <w:p w14:paraId="65FDBB22" w14:textId="771B731A" w:rsidR="000A205F" w:rsidRPr="00F148CE" w:rsidRDefault="000A205F" w:rsidP="00403CB2">
      <w:pPr>
        <w:jc w:val="both"/>
        <w:rPr>
          <w:rFonts w:ascii="Times New Roman" w:hAnsi="Times New Roman" w:cs="Times New Roman"/>
        </w:rPr>
      </w:pPr>
      <w:r w:rsidRPr="00F148CE">
        <w:rPr>
          <w:rFonts w:ascii="Times New Roman" w:hAnsi="Times New Roman" w:cs="Times New Roman"/>
        </w:rPr>
        <w:t>L’art.246 del TUEL disciplina</w:t>
      </w:r>
      <w:r w:rsidR="00CA5AC4" w:rsidRPr="00F148CE">
        <w:rPr>
          <w:rFonts w:ascii="Times New Roman" w:hAnsi="Times New Roman" w:cs="Times New Roman"/>
        </w:rPr>
        <w:t xml:space="preserve"> </w:t>
      </w:r>
      <w:r w:rsidRPr="00F148CE">
        <w:rPr>
          <w:rFonts w:ascii="Times New Roman" w:hAnsi="Times New Roman" w:cs="Times New Roman"/>
        </w:rPr>
        <w:t>l</w:t>
      </w:r>
      <w:r w:rsidR="00CA5AC4" w:rsidRPr="00F148CE">
        <w:rPr>
          <w:rFonts w:ascii="Times New Roman" w:hAnsi="Times New Roman" w:cs="Times New Roman"/>
        </w:rPr>
        <w:t>a</w:t>
      </w:r>
      <w:r w:rsidRPr="00F148CE">
        <w:rPr>
          <w:rFonts w:ascii="Times New Roman" w:hAnsi="Times New Roman" w:cs="Times New Roman"/>
        </w:rPr>
        <w:t xml:space="preserve"> procedur</w:t>
      </w:r>
      <w:r w:rsidR="00CA5AC4" w:rsidRPr="00F148CE">
        <w:rPr>
          <w:rFonts w:ascii="Times New Roman" w:hAnsi="Times New Roman" w:cs="Times New Roman"/>
        </w:rPr>
        <w:t>a</w:t>
      </w:r>
      <w:r w:rsidRPr="00F148CE">
        <w:rPr>
          <w:rFonts w:ascii="Times New Roman" w:hAnsi="Times New Roman" w:cs="Times New Roman"/>
        </w:rPr>
        <w:t xml:space="preserve"> per la dichiarazione di dissesto, prevedendo che la competenza a </w:t>
      </w:r>
      <w:r w:rsidR="002679AB" w:rsidRPr="00F148CE">
        <w:rPr>
          <w:rFonts w:ascii="Times New Roman" w:hAnsi="Times New Roman" w:cs="Times New Roman"/>
        </w:rPr>
        <w:t>formalizzare la</w:t>
      </w:r>
      <w:r w:rsidRPr="00F148CE">
        <w:rPr>
          <w:rFonts w:ascii="Times New Roman" w:hAnsi="Times New Roman" w:cs="Times New Roman"/>
        </w:rPr>
        <w:t xml:space="preserve"> deliberazione</w:t>
      </w:r>
      <w:r w:rsidR="00BB1540" w:rsidRPr="00F148CE">
        <w:rPr>
          <w:rFonts w:ascii="Times New Roman" w:hAnsi="Times New Roman" w:cs="Times New Roman"/>
        </w:rPr>
        <w:t xml:space="preserve"> </w:t>
      </w:r>
      <w:r w:rsidRPr="00F148CE">
        <w:rPr>
          <w:rFonts w:ascii="Times New Roman" w:hAnsi="Times New Roman" w:cs="Times New Roman"/>
        </w:rPr>
        <w:t xml:space="preserve">spetta al </w:t>
      </w:r>
      <w:r w:rsidR="003F1585" w:rsidRPr="00F148CE">
        <w:rPr>
          <w:rFonts w:ascii="Times New Roman" w:hAnsi="Times New Roman" w:cs="Times New Roman"/>
        </w:rPr>
        <w:t>C</w:t>
      </w:r>
      <w:r w:rsidRPr="00F148CE">
        <w:rPr>
          <w:rFonts w:ascii="Times New Roman" w:hAnsi="Times New Roman" w:cs="Times New Roman"/>
        </w:rPr>
        <w:t>onsiglio comunale, che deve esporre le cause</w:t>
      </w:r>
      <w:r w:rsidR="003F1585" w:rsidRPr="00F148CE">
        <w:rPr>
          <w:rFonts w:ascii="Times New Roman" w:hAnsi="Times New Roman" w:cs="Times New Roman"/>
        </w:rPr>
        <w:t xml:space="preserve"> </w:t>
      </w:r>
      <w:r w:rsidR="002C27E8" w:rsidRPr="00F148CE">
        <w:rPr>
          <w:rFonts w:ascii="Times New Roman" w:hAnsi="Times New Roman" w:cs="Times New Roman"/>
        </w:rPr>
        <w:t>(con</w:t>
      </w:r>
      <w:r w:rsidRPr="00F148CE">
        <w:rPr>
          <w:rFonts w:ascii="Times New Roman" w:hAnsi="Times New Roman" w:cs="Times New Roman"/>
        </w:rPr>
        <w:t xml:space="preserve"> allegata una </w:t>
      </w:r>
      <w:r w:rsidR="004B665D" w:rsidRPr="00F148CE">
        <w:rPr>
          <w:rFonts w:ascii="Times New Roman" w:hAnsi="Times New Roman" w:cs="Times New Roman"/>
        </w:rPr>
        <w:t>relazione,</w:t>
      </w:r>
      <w:r w:rsidRPr="00F148CE">
        <w:rPr>
          <w:rFonts w:ascii="Times New Roman" w:hAnsi="Times New Roman" w:cs="Times New Roman"/>
        </w:rPr>
        <w:t xml:space="preserve"> in merito, anche dell’organo di revisione economico- finanziario). </w:t>
      </w:r>
    </w:p>
    <w:p w14:paraId="2BB873DB" w14:textId="50C69766" w:rsidR="00CA5AC4" w:rsidRPr="00F148CE" w:rsidRDefault="00CA5AC4" w:rsidP="00403CB2">
      <w:pPr>
        <w:jc w:val="both"/>
        <w:rPr>
          <w:rFonts w:ascii="Times New Roman" w:hAnsi="Times New Roman" w:cs="Times New Roman"/>
        </w:rPr>
      </w:pPr>
      <w:r w:rsidRPr="00F148CE">
        <w:rPr>
          <w:rFonts w:ascii="Times New Roman" w:hAnsi="Times New Roman" w:cs="Times New Roman"/>
          <w:lang w:eastAsia="it-IT"/>
        </w:rPr>
        <w:t xml:space="preserve">La deliberazione dello stato di dissesto è trasmessa, entro </w:t>
      </w:r>
      <w:r w:rsidR="00C86BB2">
        <w:rPr>
          <w:rFonts w:ascii="Times New Roman" w:hAnsi="Times New Roman" w:cs="Times New Roman"/>
          <w:lang w:eastAsia="it-IT"/>
        </w:rPr>
        <w:t>cinque</w:t>
      </w:r>
      <w:r w:rsidRPr="00F148CE">
        <w:rPr>
          <w:rFonts w:ascii="Times New Roman" w:hAnsi="Times New Roman" w:cs="Times New Roman"/>
          <w:lang w:eastAsia="it-IT"/>
        </w:rPr>
        <w:t xml:space="preserve"> giorni dalla data di esecutività, al Ministero dell'</w:t>
      </w:r>
      <w:r w:rsidR="00BD3E29" w:rsidRPr="00F148CE">
        <w:rPr>
          <w:rFonts w:ascii="Times New Roman" w:hAnsi="Times New Roman" w:cs="Times New Roman"/>
          <w:lang w:eastAsia="it-IT"/>
        </w:rPr>
        <w:t>I</w:t>
      </w:r>
      <w:r w:rsidRPr="00F148CE">
        <w:rPr>
          <w:rFonts w:ascii="Times New Roman" w:hAnsi="Times New Roman" w:cs="Times New Roman"/>
          <w:lang w:eastAsia="it-IT"/>
        </w:rPr>
        <w:t>nterno ed alla Procura regionale presso la Corte dei conti competente per territorio, unitamente alla relazione dell'organo di revisione. La deliberazione è pubblicata per estratto nella Gazzetta Ufficiale della Repubblica italiana a cura del Ministero dell'</w:t>
      </w:r>
      <w:r w:rsidR="00BD3E29" w:rsidRPr="00F148CE">
        <w:rPr>
          <w:rFonts w:ascii="Times New Roman" w:hAnsi="Times New Roman" w:cs="Times New Roman"/>
          <w:lang w:eastAsia="it-IT"/>
        </w:rPr>
        <w:t>I</w:t>
      </w:r>
      <w:r w:rsidRPr="00F148CE">
        <w:rPr>
          <w:rFonts w:ascii="Times New Roman" w:hAnsi="Times New Roman" w:cs="Times New Roman"/>
          <w:lang w:eastAsia="it-IT"/>
        </w:rPr>
        <w:t>nterno</w:t>
      </w:r>
      <w:r w:rsidR="003F1585" w:rsidRPr="00F148CE">
        <w:rPr>
          <w:rFonts w:ascii="Times New Roman" w:hAnsi="Times New Roman" w:cs="Times New Roman"/>
          <w:lang w:eastAsia="it-IT"/>
        </w:rPr>
        <w:t>,</w:t>
      </w:r>
      <w:r w:rsidRPr="00F148CE">
        <w:rPr>
          <w:rFonts w:ascii="Times New Roman" w:hAnsi="Times New Roman" w:cs="Times New Roman"/>
          <w:lang w:eastAsia="it-IT"/>
        </w:rPr>
        <w:t xml:space="preserve"> unitamente al decreto del Presidente della Repubblica di nomina dell'organo straordinario di liquidazione</w:t>
      </w:r>
      <w:r w:rsidR="00CB76D1">
        <w:rPr>
          <w:rFonts w:ascii="Times New Roman" w:hAnsi="Times New Roman" w:cs="Times New Roman"/>
          <w:lang w:eastAsia="it-IT"/>
        </w:rPr>
        <w:t xml:space="preserve"> (OSL)</w:t>
      </w:r>
      <w:r w:rsidRPr="00F148CE">
        <w:rPr>
          <w:rFonts w:ascii="Times New Roman" w:hAnsi="Times New Roman" w:cs="Times New Roman"/>
          <w:lang w:eastAsia="it-IT"/>
        </w:rPr>
        <w:t>.</w:t>
      </w:r>
      <w:r w:rsidR="00B265BE">
        <w:rPr>
          <w:rFonts w:ascii="Times New Roman" w:hAnsi="Times New Roman" w:cs="Times New Roman"/>
          <w:lang w:eastAsia="it-IT"/>
        </w:rPr>
        <w:t xml:space="preserve"> </w:t>
      </w:r>
      <w:r w:rsidR="001578D4">
        <w:rPr>
          <w:rFonts w:ascii="Times New Roman" w:hAnsi="Times New Roman" w:cs="Times New Roman"/>
          <w:lang w:eastAsia="it-IT"/>
        </w:rPr>
        <w:t>La norma prevede inoltre</w:t>
      </w:r>
      <w:r w:rsidRPr="00F148CE">
        <w:rPr>
          <w:rFonts w:ascii="Times New Roman" w:hAnsi="Times New Roman" w:cs="Times New Roman"/>
          <w:lang w:eastAsia="it-IT"/>
        </w:rPr>
        <w:t xml:space="preserve"> che la deliberazione dello stato di dissesto non è revocabile.</w:t>
      </w:r>
    </w:p>
    <w:p w14:paraId="0BC54D2F" w14:textId="7695C9E0" w:rsidR="000A205F" w:rsidRPr="00F148CE" w:rsidRDefault="00501412" w:rsidP="00403CB2">
      <w:pPr>
        <w:jc w:val="both"/>
        <w:rPr>
          <w:rFonts w:ascii="Times New Roman" w:hAnsi="Times New Roman" w:cs="Times New Roman"/>
        </w:rPr>
      </w:pPr>
      <w:r>
        <w:rPr>
          <w:rFonts w:ascii="Times New Roman" w:hAnsi="Times New Roman" w:cs="Times New Roman"/>
        </w:rPr>
        <w:t xml:space="preserve">Al </w:t>
      </w:r>
      <w:r w:rsidRPr="00F148CE">
        <w:rPr>
          <w:rFonts w:ascii="Times New Roman" w:hAnsi="Times New Roman" w:cs="Times New Roman"/>
        </w:rPr>
        <w:t>dissesto</w:t>
      </w:r>
      <w:r w:rsidR="005664AF" w:rsidRPr="00F148CE">
        <w:rPr>
          <w:rFonts w:ascii="Times New Roman" w:hAnsi="Times New Roman" w:cs="Times New Roman"/>
        </w:rPr>
        <w:t xml:space="preserve"> con</w:t>
      </w:r>
      <w:r>
        <w:rPr>
          <w:rFonts w:ascii="Times New Roman" w:hAnsi="Times New Roman" w:cs="Times New Roman"/>
        </w:rPr>
        <w:t>seguono</w:t>
      </w:r>
      <w:r w:rsidR="005664AF" w:rsidRPr="00F148CE">
        <w:rPr>
          <w:rFonts w:ascii="Times New Roman" w:hAnsi="Times New Roman" w:cs="Times New Roman"/>
        </w:rPr>
        <w:t xml:space="preserve"> due distinte</w:t>
      </w:r>
      <w:r>
        <w:rPr>
          <w:rFonts w:ascii="Times New Roman" w:hAnsi="Times New Roman" w:cs="Times New Roman"/>
        </w:rPr>
        <w:t xml:space="preserve"> e separate</w:t>
      </w:r>
      <w:r w:rsidR="005664AF" w:rsidRPr="00F148CE">
        <w:rPr>
          <w:rFonts w:ascii="Times New Roman" w:hAnsi="Times New Roman" w:cs="Times New Roman"/>
        </w:rPr>
        <w:t xml:space="preserve"> gestioni, quella </w:t>
      </w:r>
      <w:r w:rsidR="005664AF" w:rsidRPr="00F148CE">
        <w:rPr>
          <w:rFonts w:ascii="Times New Roman" w:hAnsi="Times New Roman" w:cs="Times New Roman"/>
          <w:b/>
          <w:bCs/>
        </w:rPr>
        <w:t>“dissestata”</w:t>
      </w:r>
      <w:r w:rsidR="00B516AE" w:rsidRPr="00F148CE">
        <w:rPr>
          <w:rFonts w:ascii="Times New Roman" w:hAnsi="Times New Roman" w:cs="Times New Roman"/>
          <w:b/>
          <w:bCs/>
        </w:rPr>
        <w:t xml:space="preserve"> </w:t>
      </w:r>
      <w:r w:rsidR="005664AF" w:rsidRPr="00F148CE">
        <w:rPr>
          <w:rFonts w:ascii="Times New Roman" w:hAnsi="Times New Roman" w:cs="Times New Roman"/>
        </w:rPr>
        <w:t>per effetto dello squilibrio strutturale, affidata all’organo straordinario di liquidazione</w:t>
      </w:r>
      <w:r w:rsidR="00A27FB6">
        <w:rPr>
          <w:rFonts w:ascii="Times New Roman" w:hAnsi="Times New Roman" w:cs="Times New Roman"/>
        </w:rPr>
        <w:t xml:space="preserve"> cd. OSL</w:t>
      </w:r>
      <w:r w:rsidR="00B516AE" w:rsidRPr="00F148CE">
        <w:rPr>
          <w:rFonts w:ascii="Times New Roman" w:hAnsi="Times New Roman" w:cs="Times New Roman"/>
        </w:rPr>
        <w:t xml:space="preserve"> </w:t>
      </w:r>
      <w:r w:rsidR="005664AF" w:rsidRPr="00F148CE">
        <w:rPr>
          <w:rFonts w:ascii="Times New Roman" w:hAnsi="Times New Roman" w:cs="Times New Roman"/>
        </w:rPr>
        <w:t>(cfr. art. 252, comma 4 TUEL)</w:t>
      </w:r>
      <w:r w:rsidR="006801EB">
        <w:rPr>
          <w:rFonts w:ascii="Times New Roman" w:hAnsi="Times New Roman" w:cs="Times New Roman"/>
        </w:rPr>
        <w:t>,</w:t>
      </w:r>
      <w:r w:rsidR="005664AF" w:rsidRPr="00F148CE">
        <w:rPr>
          <w:rFonts w:ascii="Times New Roman" w:hAnsi="Times New Roman" w:cs="Times New Roman"/>
        </w:rPr>
        <w:t xml:space="preserve"> da quella</w:t>
      </w:r>
      <w:r w:rsidR="005664AF" w:rsidRPr="00F148CE">
        <w:rPr>
          <w:rFonts w:ascii="Times New Roman" w:hAnsi="Times New Roman" w:cs="Times New Roman"/>
          <w:b/>
          <w:bCs/>
        </w:rPr>
        <w:t xml:space="preserve"> “successiva”, </w:t>
      </w:r>
      <w:r w:rsidR="006801EB">
        <w:rPr>
          <w:rFonts w:ascii="Times New Roman" w:hAnsi="Times New Roman" w:cs="Times New Roman"/>
        </w:rPr>
        <w:t>che</w:t>
      </w:r>
      <w:r w:rsidR="005664AF" w:rsidRPr="00F148CE">
        <w:rPr>
          <w:rFonts w:ascii="Times New Roman" w:hAnsi="Times New Roman" w:cs="Times New Roman"/>
        </w:rPr>
        <w:t xml:space="preserve"> rimane intestata alla</w:t>
      </w:r>
      <w:r w:rsidR="00B516AE" w:rsidRPr="00F148CE">
        <w:rPr>
          <w:rFonts w:ascii="Times New Roman" w:hAnsi="Times New Roman" w:cs="Times New Roman"/>
        </w:rPr>
        <w:t xml:space="preserve"> </w:t>
      </w:r>
      <w:r w:rsidR="005664AF" w:rsidRPr="00F148CE">
        <w:rPr>
          <w:rFonts w:ascii="Times New Roman" w:hAnsi="Times New Roman" w:cs="Times New Roman"/>
        </w:rPr>
        <w:t>Giunta e al Consiglio dell’ente locale secondo le competenze di legge (c.d. gestione</w:t>
      </w:r>
      <w:r w:rsidR="00B516AE" w:rsidRPr="00F148CE">
        <w:rPr>
          <w:rFonts w:ascii="Times New Roman" w:hAnsi="Times New Roman" w:cs="Times New Roman"/>
        </w:rPr>
        <w:t xml:space="preserve"> </w:t>
      </w:r>
      <w:r w:rsidR="005664AF" w:rsidRPr="00F148CE">
        <w:rPr>
          <w:rFonts w:ascii="Times New Roman" w:hAnsi="Times New Roman" w:cs="Times New Roman"/>
        </w:rPr>
        <w:t>ordinaria).</w:t>
      </w:r>
    </w:p>
    <w:p w14:paraId="3A77173C" w14:textId="0BE92BCA" w:rsidR="00FC31E8" w:rsidRPr="00F148CE" w:rsidRDefault="00FC31E8" w:rsidP="00403CB2">
      <w:pPr>
        <w:jc w:val="both"/>
        <w:rPr>
          <w:rFonts w:ascii="Times New Roman" w:hAnsi="Times New Roman" w:cs="Times New Roman"/>
        </w:rPr>
      </w:pPr>
      <w:r w:rsidRPr="00F148CE">
        <w:rPr>
          <w:rFonts w:ascii="Times New Roman" w:hAnsi="Times New Roman" w:cs="Times New Roman"/>
        </w:rPr>
        <w:lastRenderedPageBreak/>
        <w:t xml:space="preserve">Tale profilo differenzia gli effetti del </w:t>
      </w:r>
      <w:r w:rsidRPr="00F148CE">
        <w:rPr>
          <w:rFonts w:ascii="Times New Roman" w:hAnsi="Times New Roman" w:cs="Times New Roman"/>
          <w:b/>
          <w:bCs/>
        </w:rPr>
        <w:t>dissesto</w:t>
      </w:r>
      <w:r w:rsidRPr="00F148CE">
        <w:rPr>
          <w:rFonts w:ascii="Times New Roman" w:hAnsi="Times New Roman" w:cs="Times New Roman"/>
        </w:rPr>
        <w:t xml:space="preserve"> da quelli previsti nella fattispecie </w:t>
      </w:r>
      <w:r w:rsidR="002C27E8" w:rsidRPr="00F148CE">
        <w:rPr>
          <w:rFonts w:ascii="Times New Roman" w:hAnsi="Times New Roman" w:cs="Times New Roman"/>
        </w:rPr>
        <w:t>di piano</w:t>
      </w:r>
      <w:r w:rsidRPr="00F148CE">
        <w:rPr>
          <w:rFonts w:ascii="Times New Roman" w:hAnsi="Times New Roman" w:cs="Times New Roman"/>
          <w:b/>
          <w:bCs/>
        </w:rPr>
        <w:t xml:space="preserve"> di riequilibrio finanziario</w:t>
      </w:r>
      <w:r w:rsidR="003F1585" w:rsidRPr="00F148CE">
        <w:rPr>
          <w:rFonts w:ascii="Times New Roman" w:hAnsi="Times New Roman" w:cs="Times New Roman"/>
          <w:b/>
          <w:bCs/>
        </w:rPr>
        <w:t xml:space="preserve"> pluriennale</w:t>
      </w:r>
      <w:r w:rsidRPr="00F148CE">
        <w:rPr>
          <w:rFonts w:ascii="Times New Roman" w:hAnsi="Times New Roman" w:cs="Times New Roman"/>
        </w:rPr>
        <w:t xml:space="preserve">, </w:t>
      </w:r>
      <w:r w:rsidR="00330B8C">
        <w:rPr>
          <w:rFonts w:ascii="Times New Roman" w:hAnsi="Times New Roman" w:cs="Times New Roman"/>
        </w:rPr>
        <w:t>poiché</w:t>
      </w:r>
      <w:r w:rsidRPr="00F148CE">
        <w:rPr>
          <w:rFonts w:ascii="Times New Roman" w:hAnsi="Times New Roman" w:cs="Times New Roman"/>
        </w:rPr>
        <w:t xml:space="preserve"> quest’ultimo non determina una separazione dei bilanci e comporta solo la temporanea e transitoria sospensione delle procedure esecutive al fine di verificare le condizioni di </w:t>
      </w:r>
      <w:r w:rsidR="006801EB">
        <w:rPr>
          <w:rFonts w:ascii="Times New Roman" w:hAnsi="Times New Roman" w:cs="Times New Roman"/>
        </w:rPr>
        <w:t>realizzabilità del piano</w:t>
      </w:r>
      <w:r w:rsidRPr="00F148CE">
        <w:rPr>
          <w:rFonts w:ascii="Times New Roman" w:hAnsi="Times New Roman" w:cs="Times New Roman"/>
        </w:rPr>
        <w:t>.</w:t>
      </w:r>
    </w:p>
    <w:p w14:paraId="1A9744C1" w14:textId="6D0D803E" w:rsidR="003F1585" w:rsidRPr="00F148CE" w:rsidRDefault="00FC31E8" w:rsidP="003F1585">
      <w:pPr>
        <w:jc w:val="both"/>
        <w:rPr>
          <w:rFonts w:ascii="Times New Roman" w:hAnsi="Times New Roman" w:cs="Times New Roman"/>
        </w:rPr>
      </w:pPr>
      <w:r w:rsidRPr="00F148CE">
        <w:rPr>
          <w:rFonts w:ascii="Times New Roman" w:hAnsi="Times New Roman" w:cs="Times New Roman"/>
        </w:rPr>
        <w:t>Il dissesto</w:t>
      </w:r>
      <w:r w:rsidR="003F1585" w:rsidRPr="00F148CE">
        <w:rPr>
          <w:rFonts w:ascii="Times New Roman" w:hAnsi="Times New Roman" w:cs="Times New Roman"/>
        </w:rPr>
        <w:t>,</w:t>
      </w:r>
      <w:r w:rsidRPr="00F148CE">
        <w:rPr>
          <w:rFonts w:ascii="Times New Roman" w:hAnsi="Times New Roman" w:cs="Times New Roman"/>
        </w:rPr>
        <w:t xml:space="preserve"> invece</w:t>
      </w:r>
      <w:r w:rsidR="003F1585" w:rsidRPr="00F148CE">
        <w:rPr>
          <w:rFonts w:ascii="Times New Roman" w:hAnsi="Times New Roman" w:cs="Times New Roman"/>
        </w:rPr>
        <w:t>,</w:t>
      </w:r>
      <w:r w:rsidRPr="00F148CE">
        <w:rPr>
          <w:rFonts w:ascii="Times New Roman" w:hAnsi="Times New Roman" w:cs="Times New Roman"/>
        </w:rPr>
        <w:t xml:space="preserve"> implica: </w:t>
      </w:r>
      <w:r w:rsidRPr="00F148CE">
        <w:rPr>
          <w:rFonts w:ascii="Times New Roman" w:hAnsi="Times New Roman" w:cs="Times New Roman"/>
          <w:b/>
          <w:bCs/>
        </w:rPr>
        <w:t>a)</w:t>
      </w:r>
      <w:r w:rsidRPr="00F148CE">
        <w:rPr>
          <w:rFonts w:ascii="Times New Roman" w:hAnsi="Times New Roman" w:cs="Times New Roman"/>
        </w:rPr>
        <w:t xml:space="preserve"> la sospensione ed estinzione delle procedure</w:t>
      </w:r>
      <w:r w:rsidR="006712A0" w:rsidRPr="00F148CE">
        <w:rPr>
          <w:rFonts w:ascii="Times New Roman" w:hAnsi="Times New Roman" w:cs="Times New Roman"/>
        </w:rPr>
        <w:t xml:space="preserve"> </w:t>
      </w:r>
      <w:r w:rsidRPr="00F148CE">
        <w:rPr>
          <w:rFonts w:ascii="Times New Roman" w:hAnsi="Times New Roman" w:cs="Times New Roman"/>
        </w:rPr>
        <w:t>esecutive</w:t>
      </w:r>
      <w:r w:rsidR="003F1585" w:rsidRPr="00F148CE">
        <w:rPr>
          <w:rFonts w:ascii="Times New Roman" w:hAnsi="Times New Roman" w:cs="Times New Roman"/>
        </w:rPr>
        <w:t>,</w:t>
      </w:r>
      <w:r w:rsidRPr="00F148CE">
        <w:rPr>
          <w:rFonts w:ascii="Times New Roman" w:hAnsi="Times New Roman" w:cs="Times New Roman"/>
        </w:rPr>
        <w:t xml:space="preserve"> </w:t>
      </w:r>
      <w:r w:rsidR="003F1585" w:rsidRPr="00F148CE">
        <w:rPr>
          <w:rFonts w:ascii="Times New Roman" w:hAnsi="Times New Roman" w:cs="Times New Roman"/>
        </w:rPr>
        <w:t>nonché</w:t>
      </w:r>
      <w:r w:rsidRPr="00F148CE">
        <w:rPr>
          <w:rFonts w:ascii="Times New Roman" w:hAnsi="Times New Roman" w:cs="Times New Roman"/>
        </w:rPr>
        <w:t xml:space="preserve">́ il divieto di nuove azioni esecutive individuali, instaurando la </w:t>
      </w:r>
      <w:r w:rsidRPr="00F148CE">
        <w:rPr>
          <w:rFonts w:ascii="Times New Roman" w:hAnsi="Times New Roman" w:cs="Times New Roman"/>
          <w:i/>
          <w:iCs/>
        </w:rPr>
        <w:t>par</w:t>
      </w:r>
      <w:r w:rsidR="006712A0" w:rsidRPr="00F148CE">
        <w:rPr>
          <w:rFonts w:ascii="Times New Roman" w:hAnsi="Times New Roman" w:cs="Times New Roman"/>
          <w:i/>
          <w:iCs/>
        </w:rPr>
        <w:t xml:space="preserve"> </w:t>
      </w:r>
      <w:r w:rsidRPr="00F148CE">
        <w:rPr>
          <w:rFonts w:ascii="Times New Roman" w:hAnsi="Times New Roman" w:cs="Times New Roman"/>
          <w:i/>
          <w:iCs/>
        </w:rPr>
        <w:t>condicio creditorum</w:t>
      </w:r>
      <w:r w:rsidRPr="00F148CE">
        <w:rPr>
          <w:rFonts w:ascii="Times New Roman" w:hAnsi="Times New Roman" w:cs="Times New Roman"/>
        </w:rPr>
        <w:t xml:space="preserve"> (art. 248 comma 2,</w:t>
      </w:r>
      <w:r w:rsidR="0059061F" w:rsidRPr="00F148CE">
        <w:rPr>
          <w:rFonts w:ascii="Times New Roman" w:hAnsi="Times New Roman" w:cs="Times New Roman"/>
        </w:rPr>
        <w:t xml:space="preserve"> </w:t>
      </w:r>
      <w:r w:rsidRPr="00F148CE">
        <w:rPr>
          <w:rFonts w:ascii="Times New Roman" w:hAnsi="Times New Roman" w:cs="Times New Roman"/>
        </w:rPr>
        <w:t>art. 254 comma 3, art. 255 comma 12, artt. 256-258 TUEL);</w:t>
      </w:r>
      <w:r w:rsidR="006712A0" w:rsidRPr="00F148CE">
        <w:rPr>
          <w:rFonts w:ascii="Times New Roman" w:hAnsi="Times New Roman" w:cs="Times New Roman"/>
        </w:rPr>
        <w:t xml:space="preserve"> </w:t>
      </w:r>
      <w:r w:rsidRPr="00F148CE">
        <w:rPr>
          <w:rFonts w:ascii="Times New Roman" w:hAnsi="Times New Roman" w:cs="Times New Roman"/>
          <w:b/>
          <w:bCs/>
        </w:rPr>
        <w:t>b)</w:t>
      </w:r>
      <w:r w:rsidRPr="00F148CE">
        <w:rPr>
          <w:rFonts w:ascii="Times New Roman" w:hAnsi="Times New Roman" w:cs="Times New Roman"/>
        </w:rPr>
        <w:t xml:space="preserve"> l’isolamento dal bilancio della parte squilibrata e la sua gestione</w:t>
      </w:r>
      <w:r w:rsidR="006712A0" w:rsidRPr="00F148CE">
        <w:rPr>
          <w:rFonts w:ascii="Times New Roman" w:hAnsi="Times New Roman" w:cs="Times New Roman"/>
        </w:rPr>
        <w:t xml:space="preserve"> </w:t>
      </w:r>
      <w:r w:rsidRPr="00F148CE">
        <w:rPr>
          <w:rFonts w:ascii="Times New Roman" w:hAnsi="Times New Roman" w:cs="Times New Roman"/>
        </w:rPr>
        <w:t xml:space="preserve">separata, di modo che le </w:t>
      </w:r>
      <w:r w:rsidR="003F1585" w:rsidRPr="00F148CE">
        <w:rPr>
          <w:rFonts w:ascii="Times New Roman" w:hAnsi="Times New Roman" w:cs="Times New Roman"/>
        </w:rPr>
        <w:t>passività</w:t>
      </w:r>
      <w:r w:rsidRPr="00F148CE">
        <w:rPr>
          <w:rFonts w:ascii="Times New Roman" w:hAnsi="Times New Roman" w:cs="Times New Roman"/>
        </w:rPr>
        <w:t>̀ pregresse non gravino automaticamente sulla</w:t>
      </w:r>
      <w:r w:rsidR="009252FD" w:rsidRPr="00F148CE">
        <w:rPr>
          <w:rFonts w:ascii="Times New Roman" w:hAnsi="Times New Roman" w:cs="Times New Roman"/>
        </w:rPr>
        <w:t xml:space="preserve"> </w:t>
      </w:r>
      <w:r w:rsidRPr="00F148CE">
        <w:rPr>
          <w:rFonts w:ascii="Times New Roman" w:hAnsi="Times New Roman" w:cs="Times New Roman"/>
        </w:rPr>
        <w:t xml:space="preserve">parte </w:t>
      </w:r>
      <w:r w:rsidRPr="00F148CE">
        <w:rPr>
          <w:rFonts w:ascii="Times New Roman" w:hAnsi="Times New Roman" w:cs="Times New Roman"/>
          <w:i/>
          <w:iCs/>
        </w:rPr>
        <w:t>in</w:t>
      </w:r>
      <w:r w:rsidRPr="00F148CE">
        <w:rPr>
          <w:rFonts w:ascii="Times New Roman" w:hAnsi="Times New Roman" w:cs="Times New Roman"/>
        </w:rPr>
        <w:t xml:space="preserve"> </w:t>
      </w:r>
      <w:r w:rsidRPr="00F148CE">
        <w:rPr>
          <w:rFonts w:ascii="Times New Roman" w:hAnsi="Times New Roman" w:cs="Times New Roman"/>
          <w:i/>
          <w:iCs/>
        </w:rPr>
        <w:t>bonis</w:t>
      </w:r>
      <w:r w:rsidRPr="00F148CE">
        <w:rPr>
          <w:rFonts w:ascii="Times New Roman" w:hAnsi="Times New Roman" w:cs="Times New Roman"/>
        </w:rPr>
        <w:t xml:space="preserve"> (come si desume dall’art. 255, comma 11 e dall’art. 268-</w:t>
      </w:r>
      <w:r w:rsidRPr="00F148CE">
        <w:rPr>
          <w:rFonts w:ascii="Times New Roman" w:hAnsi="Times New Roman" w:cs="Times New Roman"/>
          <w:i/>
          <w:iCs/>
        </w:rPr>
        <w:t>bis</w:t>
      </w:r>
      <w:r w:rsidR="009252FD" w:rsidRPr="00F148CE">
        <w:rPr>
          <w:rFonts w:ascii="Times New Roman" w:hAnsi="Times New Roman" w:cs="Times New Roman"/>
          <w:i/>
          <w:iCs/>
        </w:rPr>
        <w:t xml:space="preserve"> </w:t>
      </w:r>
      <w:r w:rsidRPr="00F148CE">
        <w:rPr>
          <w:rFonts w:ascii="Times New Roman" w:hAnsi="Times New Roman" w:cs="Times New Roman"/>
        </w:rPr>
        <w:t>TUEL).</w:t>
      </w:r>
      <w:r w:rsidR="002C27E8" w:rsidRPr="00F148CE">
        <w:rPr>
          <w:rFonts w:ascii="Times New Roman" w:hAnsi="Times New Roman" w:cs="Times New Roman"/>
        </w:rPr>
        <w:t xml:space="preserve"> </w:t>
      </w:r>
      <w:r w:rsidR="003F1585" w:rsidRPr="00F148CE">
        <w:rPr>
          <w:rFonts w:ascii="Times New Roman" w:hAnsi="Times New Roman" w:cs="Times New Roman"/>
        </w:rPr>
        <w:t>Il dissesto, infatti, affida</w:t>
      </w:r>
      <w:r w:rsidRPr="00F148CE">
        <w:rPr>
          <w:rFonts w:ascii="Times New Roman" w:hAnsi="Times New Roman" w:cs="Times New Roman"/>
        </w:rPr>
        <w:t xml:space="preserve"> la gestione del bilancio “dissestato” ad un organo amministrativo sostitutivo,</w:t>
      </w:r>
      <w:r w:rsidR="003F1585" w:rsidRPr="00F148CE">
        <w:rPr>
          <w:rFonts w:ascii="Times New Roman" w:hAnsi="Times New Roman" w:cs="Times New Roman"/>
        </w:rPr>
        <w:t xml:space="preserve"> </w:t>
      </w:r>
      <w:r w:rsidRPr="00F148CE">
        <w:rPr>
          <w:rFonts w:ascii="Times New Roman" w:hAnsi="Times New Roman" w:cs="Times New Roman"/>
        </w:rPr>
        <w:t xml:space="preserve">nell’ottica dell’art. 120 Cost. (art. 252 TUEL); </w:t>
      </w:r>
      <w:r w:rsidRPr="00F148CE">
        <w:rPr>
          <w:rFonts w:ascii="Times New Roman" w:hAnsi="Times New Roman" w:cs="Times New Roman"/>
          <w:b/>
          <w:bCs/>
        </w:rPr>
        <w:t>c)</w:t>
      </w:r>
      <w:r w:rsidR="009252FD" w:rsidRPr="00F148CE">
        <w:rPr>
          <w:rFonts w:ascii="Times New Roman" w:hAnsi="Times New Roman" w:cs="Times New Roman"/>
        </w:rPr>
        <w:t xml:space="preserve"> </w:t>
      </w:r>
      <w:r w:rsidRPr="00F148CE">
        <w:rPr>
          <w:rFonts w:ascii="Times New Roman" w:hAnsi="Times New Roman" w:cs="Times New Roman"/>
        </w:rPr>
        <w:t>l’approvazione</w:t>
      </w:r>
      <w:r w:rsidR="003F1585" w:rsidRPr="00F148CE">
        <w:rPr>
          <w:rFonts w:ascii="Times New Roman" w:hAnsi="Times New Roman" w:cs="Times New Roman"/>
        </w:rPr>
        <w:t xml:space="preserve"> di un separato “bilancio stabilmente riequilibrato” (art. 259 e ss. TUEL, secondo uno schema fondamentale che viene approvato in via amministrativa dal Ministero dell’</w:t>
      </w:r>
      <w:r w:rsidR="009252FD" w:rsidRPr="00F148CE">
        <w:rPr>
          <w:rFonts w:ascii="Times New Roman" w:hAnsi="Times New Roman" w:cs="Times New Roman"/>
        </w:rPr>
        <w:t>I</w:t>
      </w:r>
      <w:r w:rsidR="003F1585" w:rsidRPr="00F148CE">
        <w:rPr>
          <w:rFonts w:ascii="Times New Roman" w:hAnsi="Times New Roman" w:cs="Times New Roman"/>
        </w:rPr>
        <w:t>nterno) che, eliminate le cause del suo squilibrio</w:t>
      </w:r>
      <w:r w:rsidR="003C3C39">
        <w:rPr>
          <w:rFonts w:ascii="Times New Roman" w:hAnsi="Times New Roman" w:cs="Times New Roman"/>
        </w:rPr>
        <w:t>,</w:t>
      </w:r>
      <w:r w:rsidR="003F1585" w:rsidRPr="00F148CE">
        <w:rPr>
          <w:rFonts w:ascii="Times New Roman" w:hAnsi="Times New Roman" w:cs="Times New Roman"/>
        </w:rPr>
        <w:t xml:space="preserve"> </w:t>
      </w:r>
      <w:r w:rsidR="003C3C39">
        <w:rPr>
          <w:rFonts w:ascii="Times New Roman" w:hAnsi="Times New Roman" w:cs="Times New Roman"/>
        </w:rPr>
        <w:t xml:space="preserve">deve essere </w:t>
      </w:r>
      <w:r w:rsidR="003F1585" w:rsidRPr="00F148CE">
        <w:rPr>
          <w:rFonts w:ascii="Times New Roman" w:hAnsi="Times New Roman" w:cs="Times New Roman"/>
        </w:rPr>
        <w:t>in grado di garantire l’ordinaria erogazione di “funzioni e servizi indispensabili”.</w:t>
      </w:r>
    </w:p>
    <w:p w14:paraId="38355B3C" w14:textId="77777777" w:rsidR="003F1585" w:rsidRPr="00F148CE" w:rsidRDefault="003F1585" w:rsidP="003F1585">
      <w:pPr>
        <w:jc w:val="both"/>
        <w:rPr>
          <w:rFonts w:ascii="Times New Roman" w:hAnsi="Times New Roman" w:cs="Times New Roman"/>
          <w:i/>
          <w:iCs/>
        </w:rPr>
      </w:pPr>
      <w:r w:rsidRPr="00F148CE">
        <w:rPr>
          <w:rFonts w:ascii="Times New Roman" w:hAnsi="Times New Roman" w:cs="Times New Roman"/>
        </w:rPr>
        <w:t>“</w:t>
      </w:r>
      <w:r w:rsidRPr="00F148CE">
        <w:rPr>
          <w:rFonts w:ascii="Times New Roman" w:hAnsi="Times New Roman" w:cs="Times New Roman"/>
          <w:i/>
          <w:iCs/>
        </w:rPr>
        <w:t>Per effetto di tale segregazione, il bilancio dell’ente territoriale si separa in due tronchi, entrambi vincolati al risultato finale dell’art. 265 comma 1 TUEL. Segnatamente: (a) il bilancio in bonis, gestito dall’amministrazione in carica, deve essere raggiungere il pareggio sulla base dello schema “stabilmente riequilibrato” (art. 259TUEL) e non produrre nuovi disavanzi (art. 268); (b) la gestione del bilancio dissestato, di competenza dell’OSL, deve condurre ad un saldo finale, espresso nel rendiconto di cui all’art. 256, co. 11, TUEL, di pareggio sostanziale o al massimo, con un disavanzo residuo ed effettivo che, confluendo nel risultato di amministrazione del bilancio in bonis, non generi la necessità di vincoli o accantonamenti tali da provocare un nuovo dissesto (art. 268 TUEL).</w:t>
      </w:r>
    </w:p>
    <w:p w14:paraId="2B4D5495" w14:textId="7B294F40" w:rsidR="00107505" w:rsidRPr="00F148CE" w:rsidRDefault="003F1585" w:rsidP="00403CB2">
      <w:pPr>
        <w:jc w:val="both"/>
        <w:rPr>
          <w:rFonts w:ascii="Times New Roman" w:hAnsi="Times New Roman" w:cs="Times New Roman"/>
          <w:lang w:val="en-US"/>
        </w:rPr>
      </w:pPr>
      <w:r w:rsidRPr="00F148CE">
        <w:rPr>
          <w:rFonts w:ascii="Times New Roman" w:hAnsi="Times New Roman" w:cs="Times New Roman"/>
          <w:i/>
          <w:iCs/>
        </w:rPr>
        <w:t>Al termine del dissesto, infatti, il saldo disponibile del bilancio riunificato, deve risultare rispettoso del principio della competenza finanziaria rinforzata (allegato 1 del d.lgs. n. 118/2011, postulato</w:t>
      </w:r>
      <w:r w:rsidR="0033596E" w:rsidRPr="00F148CE">
        <w:rPr>
          <w:rFonts w:ascii="Times New Roman" w:hAnsi="Times New Roman" w:cs="Times New Roman"/>
          <w:i/>
          <w:iCs/>
        </w:rPr>
        <w:t xml:space="preserve"> </w:t>
      </w:r>
      <w:r w:rsidR="00107505" w:rsidRPr="00F148CE">
        <w:rPr>
          <w:rFonts w:ascii="Times New Roman" w:hAnsi="Times New Roman" w:cs="Times New Roman"/>
          <w:i/>
          <w:iCs/>
        </w:rPr>
        <w:t xml:space="preserve">n. 16), e deve basarsi su coperture che assicurino la “sostenibilità finanziaria”, ossia su flussi di cassa propria, sufficienti a sostenere i pagamenti (art. 148-bis TUEL; artt. </w:t>
      </w:r>
      <w:r w:rsidR="00107505" w:rsidRPr="00F148CE">
        <w:rPr>
          <w:rFonts w:ascii="Times New Roman" w:hAnsi="Times New Roman" w:cs="Times New Roman"/>
          <w:i/>
          <w:iCs/>
          <w:lang w:val="en-US"/>
        </w:rPr>
        <w:t xml:space="preserve">162, co. 1, e 164, co. 2, TUEL; art.39, co. 2 e 3 </w:t>
      </w:r>
      <w:proofErr w:type="spellStart"/>
      <w:r w:rsidR="00107505" w:rsidRPr="00F148CE">
        <w:rPr>
          <w:rFonts w:ascii="Times New Roman" w:hAnsi="Times New Roman" w:cs="Times New Roman"/>
          <w:i/>
          <w:iCs/>
          <w:lang w:val="en-US"/>
        </w:rPr>
        <w:t>d.lgs</w:t>
      </w:r>
      <w:proofErr w:type="spellEnd"/>
      <w:r w:rsidR="00107505" w:rsidRPr="00F148CE">
        <w:rPr>
          <w:rFonts w:ascii="Times New Roman" w:hAnsi="Times New Roman" w:cs="Times New Roman"/>
          <w:i/>
          <w:iCs/>
          <w:lang w:val="en-US"/>
        </w:rPr>
        <w:t>. n. 118/2011)</w:t>
      </w:r>
      <w:r w:rsidR="00107505" w:rsidRPr="00F148CE">
        <w:rPr>
          <w:rStyle w:val="Rimandonotaapidipagina"/>
          <w:rFonts w:ascii="Times New Roman" w:hAnsi="Times New Roman" w:cs="Times New Roman"/>
          <w:i/>
          <w:iCs/>
          <w:lang w:val="en-US"/>
        </w:rPr>
        <w:footnoteReference w:id="10"/>
      </w:r>
      <w:r w:rsidR="00107505" w:rsidRPr="00F148CE">
        <w:rPr>
          <w:rFonts w:ascii="Times New Roman" w:hAnsi="Times New Roman" w:cs="Times New Roman"/>
          <w:lang w:val="en-US"/>
        </w:rPr>
        <w:t>.</w:t>
      </w:r>
    </w:p>
    <w:p w14:paraId="704249F4" w14:textId="7807D723" w:rsidR="00107505" w:rsidRPr="00F148CE" w:rsidRDefault="00107505" w:rsidP="00403CB2">
      <w:pPr>
        <w:jc w:val="both"/>
        <w:rPr>
          <w:rFonts w:ascii="Times New Roman" w:hAnsi="Times New Roman" w:cs="Times New Roman"/>
        </w:rPr>
      </w:pPr>
      <w:r w:rsidRPr="00F148CE">
        <w:rPr>
          <w:rFonts w:ascii="Times New Roman" w:hAnsi="Times New Roman" w:cs="Times New Roman"/>
        </w:rPr>
        <w:t>Ove ciò non sia possibile e la gestione dell'OSL impedisca all'ente di raggiungere un «reale risanamento finanziario, il Ministro dell’</w:t>
      </w:r>
      <w:r w:rsidR="00B450BB" w:rsidRPr="00F148CE">
        <w:rPr>
          <w:rFonts w:ascii="Times New Roman" w:hAnsi="Times New Roman" w:cs="Times New Roman"/>
        </w:rPr>
        <w:t>I</w:t>
      </w:r>
      <w:r w:rsidRPr="00F148CE">
        <w:rPr>
          <w:rFonts w:ascii="Times New Roman" w:hAnsi="Times New Roman" w:cs="Times New Roman"/>
        </w:rPr>
        <w:t xml:space="preserve">nterno, d’intesa con il </w:t>
      </w:r>
      <w:r w:rsidR="002C27E8" w:rsidRPr="00F148CE">
        <w:rPr>
          <w:rFonts w:ascii="Times New Roman" w:hAnsi="Times New Roman" w:cs="Times New Roman"/>
        </w:rPr>
        <w:t>S</w:t>
      </w:r>
      <w:r w:rsidRPr="00F148CE">
        <w:rPr>
          <w:rFonts w:ascii="Times New Roman" w:hAnsi="Times New Roman" w:cs="Times New Roman"/>
        </w:rPr>
        <w:t>indaco dell'ente locale interessato, dispone con proprio decreto, sentito il parere della Commissione per la stabilità</w:t>
      </w:r>
      <w:r w:rsidR="00403CB2" w:rsidRPr="00F148CE">
        <w:rPr>
          <w:rFonts w:ascii="Times New Roman" w:hAnsi="Times New Roman" w:cs="Times New Roman"/>
        </w:rPr>
        <w:t xml:space="preserve"> </w:t>
      </w:r>
      <w:r w:rsidRPr="00F148CE">
        <w:rPr>
          <w:rFonts w:ascii="Times New Roman" w:hAnsi="Times New Roman" w:cs="Times New Roman"/>
        </w:rPr>
        <w:t>finanziaria degli enti locali, la prosecuzione della procedura del dissesto» (art. 268-bis, co. 1-bis, TUEL).</w:t>
      </w:r>
    </w:p>
    <w:p w14:paraId="7BB775DE" w14:textId="60A406E5" w:rsidR="00FC31E8" w:rsidRPr="00F148CE" w:rsidRDefault="005664AF" w:rsidP="00403CB2">
      <w:pPr>
        <w:jc w:val="both"/>
        <w:rPr>
          <w:rFonts w:ascii="Times New Roman" w:hAnsi="Times New Roman" w:cs="Times New Roman"/>
        </w:rPr>
      </w:pPr>
      <w:r w:rsidRPr="00F148CE">
        <w:rPr>
          <w:rFonts w:ascii="Times New Roman" w:hAnsi="Times New Roman" w:cs="Times New Roman"/>
        </w:rPr>
        <w:t xml:space="preserve">La </w:t>
      </w:r>
      <w:r w:rsidR="007D5B23">
        <w:rPr>
          <w:rFonts w:ascii="Times New Roman" w:hAnsi="Times New Roman" w:cs="Times New Roman"/>
        </w:rPr>
        <w:t>platica</w:t>
      </w:r>
      <w:r w:rsidRPr="00F148CE">
        <w:rPr>
          <w:rFonts w:ascii="Times New Roman" w:hAnsi="Times New Roman" w:cs="Times New Roman"/>
        </w:rPr>
        <w:t xml:space="preserve"> separazione delle due gestioni</w:t>
      </w:r>
      <w:r w:rsidR="00FC31E8" w:rsidRPr="00F148CE">
        <w:rPr>
          <w:rFonts w:ascii="Times New Roman" w:hAnsi="Times New Roman" w:cs="Times New Roman"/>
        </w:rPr>
        <w:t xml:space="preserve"> nella procedura di dissesto</w:t>
      </w:r>
      <w:r w:rsidRPr="00F148CE">
        <w:rPr>
          <w:rFonts w:ascii="Times New Roman" w:hAnsi="Times New Roman" w:cs="Times New Roman"/>
        </w:rPr>
        <w:t xml:space="preserve"> consente</w:t>
      </w:r>
      <w:r w:rsidR="00FC31E8" w:rsidRPr="00F148CE">
        <w:rPr>
          <w:rFonts w:ascii="Times New Roman" w:hAnsi="Times New Roman" w:cs="Times New Roman"/>
        </w:rPr>
        <w:t>, dunque,</w:t>
      </w:r>
      <w:r w:rsidRPr="00F148CE">
        <w:rPr>
          <w:rFonts w:ascii="Times New Roman" w:hAnsi="Times New Roman" w:cs="Times New Roman"/>
        </w:rPr>
        <w:t xml:space="preserve"> non solo di</w:t>
      </w:r>
      <w:r w:rsidR="00B450BB" w:rsidRPr="00F148CE">
        <w:rPr>
          <w:rFonts w:ascii="Times New Roman" w:hAnsi="Times New Roman" w:cs="Times New Roman"/>
        </w:rPr>
        <w:t xml:space="preserve"> </w:t>
      </w:r>
      <w:r w:rsidR="008E41CE" w:rsidRPr="00F148CE">
        <w:rPr>
          <w:rFonts w:ascii="Times New Roman" w:hAnsi="Times New Roman" w:cs="Times New Roman"/>
        </w:rPr>
        <w:t xml:space="preserve">valorizzare la massa </w:t>
      </w:r>
      <w:r w:rsidRPr="00F148CE">
        <w:rPr>
          <w:rFonts w:ascii="Times New Roman" w:hAnsi="Times New Roman" w:cs="Times New Roman"/>
        </w:rPr>
        <w:t>attiva al servizio di quella passiva (art. 255 TUEL), ma pone anche l’ente locale in</w:t>
      </w:r>
      <w:r w:rsidR="008E41CE" w:rsidRPr="00F148CE">
        <w:rPr>
          <w:rFonts w:ascii="Times New Roman" w:hAnsi="Times New Roman" w:cs="Times New Roman"/>
        </w:rPr>
        <w:t xml:space="preserve"> </w:t>
      </w:r>
      <w:r w:rsidRPr="00F148CE">
        <w:rPr>
          <w:rFonts w:ascii="Times New Roman" w:hAnsi="Times New Roman" w:cs="Times New Roman"/>
        </w:rPr>
        <w:t>condizione di tornare, con una certa celerità, al ripristino delle prestazioni</w:t>
      </w:r>
      <w:r w:rsidR="00B450BB" w:rsidRPr="00F148CE">
        <w:rPr>
          <w:rFonts w:ascii="Times New Roman" w:hAnsi="Times New Roman" w:cs="Times New Roman"/>
        </w:rPr>
        <w:t xml:space="preserve"> </w:t>
      </w:r>
      <w:r w:rsidRPr="00F148CE">
        <w:rPr>
          <w:rFonts w:ascii="Times New Roman" w:hAnsi="Times New Roman" w:cs="Times New Roman"/>
        </w:rPr>
        <w:t>costituzionalmente necessarie tramite un bilancio stabilmente riequilibrato (art. 264</w:t>
      </w:r>
      <w:r w:rsidR="00B450BB" w:rsidRPr="00F148CE">
        <w:rPr>
          <w:rFonts w:ascii="Times New Roman" w:hAnsi="Times New Roman" w:cs="Times New Roman"/>
        </w:rPr>
        <w:t xml:space="preserve"> </w:t>
      </w:r>
      <w:r w:rsidRPr="00F148CE">
        <w:rPr>
          <w:rFonts w:ascii="Times New Roman" w:hAnsi="Times New Roman" w:cs="Times New Roman"/>
        </w:rPr>
        <w:t>TUEL).</w:t>
      </w:r>
    </w:p>
    <w:p w14:paraId="56A7A916" w14:textId="7FE0E8B4" w:rsidR="008E41CE" w:rsidRPr="00F148CE" w:rsidRDefault="005664AF" w:rsidP="00403CB2">
      <w:pPr>
        <w:jc w:val="both"/>
        <w:rPr>
          <w:rFonts w:ascii="Times New Roman" w:hAnsi="Times New Roman" w:cs="Times New Roman"/>
        </w:rPr>
      </w:pPr>
      <w:r w:rsidRPr="00F148CE">
        <w:rPr>
          <w:rFonts w:ascii="Times New Roman" w:hAnsi="Times New Roman" w:cs="Times New Roman"/>
        </w:rPr>
        <w:t>In definitiva, il dissesto prevede che, in un tempo più breve (</w:t>
      </w:r>
      <w:r w:rsidR="0034243D">
        <w:rPr>
          <w:rFonts w:ascii="Times New Roman" w:hAnsi="Times New Roman" w:cs="Times New Roman"/>
        </w:rPr>
        <w:t>cinque</w:t>
      </w:r>
      <w:r w:rsidRPr="00F148CE">
        <w:rPr>
          <w:rFonts w:ascii="Times New Roman" w:hAnsi="Times New Roman" w:cs="Times New Roman"/>
        </w:rPr>
        <w:t xml:space="preserve"> anni, ai sensi dell’art.</w:t>
      </w:r>
      <w:r w:rsidR="00386766" w:rsidRPr="00F148CE">
        <w:rPr>
          <w:rFonts w:ascii="Times New Roman" w:hAnsi="Times New Roman" w:cs="Times New Roman"/>
        </w:rPr>
        <w:t xml:space="preserve"> </w:t>
      </w:r>
      <w:r w:rsidRPr="00F148CE">
        <w:rPr>
          <w:rFonts w:ascii="Times New Roman" w:hAnsi="Times New Roman" w:cs="Times New Roman"/>
        </w:rPr>
        <w:t>265 comma 1 TUEL), l’ente provveda al recupero dello squilibrio isolato in una gestione</w:t>
      </w:r>
      <w:r w:rsidR="00386766" w:rsidRPr="00F148CE">
        <w:rPr>
          <w:rFonts w:ascii="Times New Roman" w:hAnsi="Times New Roman" w:cs="Times New Roman"/>
        </w:rPr>
        <w:t xml:space="preserve"> </w:t>
      </w:r>
      <w:r w:rsidRPr="00F148CE">
        <w:rPr>
          <w:rFonts w:ascii="Times New Roman" w:hAnsi="Times New Roman" w:cs="Times New Roman"/>
        </w:rPr>
        <w:t>separata, facendo leva, da un lato, sulla riduzione concorsuale e consensuale delle</w:t>
      </w:r>
      <w:r w:rsidR="00386766" w:rsidRPr="00F148CE">
        <w:rPr>
          <w:rFonts w:ascii="Times New Roman" w:hAnsi="Times New Roman" w:cs="Times New Roman"/>
        </w:rPr>
        <w:t xml:space="preserve"> </w:t>
      </w:r>
      <w:r w:rsidRPr="00F148CE">
        <w:rPr>
          <w:rFonts w:ascii="Times New Roman" w:hAnsi="Times New Roman" w:cs="Times New Roman"/>
        </w:rPr>
        <w:t>passività nei confronti dei creditori (artt. 256-258 TUEL) e, dall’altro, sulla</w:t>
      </w:r>
      <w:r w:rsidR="00386766" w:rsidRPr="00F148CE">
        <w:rPr>
          <w:rFonts w:ascii="Times New Roman" w:hAnsi="Times New Roman" w:cs="Times New Roman"/>
        </w:rPr>
        <w:t xml:space="preserve"> </w:t>
      </w:r>
      <w:r w:rsidRPr="00F148CE">
        <w:rPr>
          <w:rFonts w:ascii="Times New Roman" w:hAnsi="Times New Roman" w:cs="Times New Roman"/>
        </w:rPr>
        <w:t>valorizzazione della massa attiva presente presso l’ente (art. 255 TUEL).</w:t>
      </w:r>
    </w:p>
    <w:p w14:paraId="49D76A28" w14:textId="73DB1451" w:rsidR="005664AF" w:rsidRPr="00F148CE" w:rsidRDefault="002C27E8" w:rsidP="00403CB2">
      <w:pPr>
        <w:jc w:val="both"/>
        <w:rPr>
          <w:rFonts w:ascii="Times New Roman" w:hAnsi="Times New Roman" w:cs="Times New Roman"/>
        </w:rPr>
      </w:pPr>
      <w:r w:rsidRPr="00F148CE">
        <w:rPr>
          <w:rFonts w:ascii="Times New Roman" w:hAnsi="Times New Roman" w:cs="Times New Roman"/>
        </w:rPr>
        <w:t>La dichiarazione</w:t>
      </w:r>
      <w:r w:rsidR="00D875B2" w:rsidRPr="00F148CE">
        <w:rPr>
          <w:rFonts w:ascii="Times New Roman" w:hAnsi="Times New Roman" w:cs="Times New Roman"/>
        </w:rPr>
        <w:t xml:space="preserve"> di dissesto comporta</w:t>
      </w:r>
      <w:r w:rsidR="00403CB2" w:rsidRPr="00F148CE">
        <w:rPr>
          <w:rFonts w:ascii="Times New Roman" w:hAnsi="Times New Roman" w:cs="Times New Roman"/>
        </w:rPr>
        <w:t>, inoltre,</w:t>
      </w:r>
      <w:r w:rsidR="00D875B2" w:rsidRPr="00F148CE">
        <w:rPr>
          <w:rFonts w:ascii="Times New Roman" w:hAnsi="Times New Roman" w:cs="Times New Roman"/>
        </w:rPr>
        <w:t xml:space="preserve"> una serie di oneri e limitazioni a carico non solo dell’Ente </w:t>
      </w:r>
      <w:r w:rsidR="004B665D" w:rsidRPr="00F148CE">
        <w:rPr>
          <w:rFonts w:ascii="Times New Roman" w:hAnsi="Times New Roman" w:cs="Times New Roman"/>
        </w:rPr>
        <w:t>locale,</w:t>
      </w:r>
      <w:r w:rsidR="00D875B2" w:rsidRPr="00F148CE">
        <w:rPr>
          <w:rFonts w:ascii="Times New Roman" w:hAnsi="Times New Roman" w:cs="Times New Roman"/>
        </w:rPr>
        <w:t xml:space="preserve"> ma anche dei terzi creditori, </w:t>
      </w:r>
      <w:r w:rsidR="004B665D" w:rsidRPr="00F148CE">
        <w:rPr>
          <w:rFonts w:ascii="Times New Roman" w:hAnsi="Times New Roman" w:cs="Times New Roman"/>
        </w:rPr>
        <w:t>finalizzati a</w:t>
      </w:r>
      <w:r w:rsidR="00D875B2" w:rsidRPr="00F148CE">
        <w:rPr>
          <w:rFonts w:ascii="Times New Roman" w:hAnsi="Times New Roman" w:cs="Times New Roman"/>
        </w:rPr>
        <w:t xml:space="preserve"> ricondurre </w:t>
      </w:r>
      <w:r w:rsidR="00841B6F" w:rsidRPr="00F148CE">
        <w:rPr>
          <w:rFonts w:ascii="Times New Roman" w:hAnsi="Times New Roman" w:cs="Times New Roman"/>
        </w:rPr>
        <w:t>l’amministrazione ad</w:t>
      </w:r>
      <w:r w:rsidR="00D875B2" w:rsidRPr="00F148CE">
        <w:rPr>
          <w:rFonts w:ascii="Times New Roman" w:hAnsi="Times New Roman" w:cs="Times New Roman"/>
        </w:rPr>
        <w:t xml:space="preserve"> una situazione di equilibrio e stabilità finanziaria.</w:t>
      </w:r>
    </w:p>
    <w:p w14:paraId="179A5C5C" w14:textId="77777777" w:rsidR="0036039A" w:rsidRDefault="00A9677F" w:rsidP="00403CB2">
      <w:pPr>
        <w:pStyle w:val="testo-leggedj-para-r1"/>
        <w:spacing w:line="240" w:lineRule="auto"/>
        <w:rPr>
          <w:rFonts w:ascii="Times New Roman" w:hAnsi="Times New Roman" w:cs="Times New Roman"/>
        </w:rPr>
      </w:pPr>
      <w:r>
        <w:rPr>
          <w:rFonts w:ascii="Times New Roman" w:hAnsi="Times New Roman" w:cs="Times New Roman"/>
        </w:rPr>
        <w:t>Innanzitutto</w:t>
      </w:r>
      <w:r w:rsidR="003F1585" w:rsidRPr="00F148CE">
        <w:rPr>
          <w:rFonts w:ascii="Times New Roman" w:hAnsi="Times New Roman" w:cs="Times New Roman"/>
        </w:rPr>
        <w:t>,</w:t>
      </w:r>
      <w:r w:rsidR="00D875B2" w:rsidRPr="00F148CE">
        <w:rPr>
          <w:rFonts w:ascii="Times New Roman" w:hAnsi="Times New Roman" w:cs="Times New Roman"/>
        </w:rPr>
        <w:t xml:space="preserve"> l’art.248, comma 1,</w:t>
      </w:r>
      <w:r w:rsidR="00BB1540" w:rsidRPr="00F148CE">
        <w:rPr>
          <w:rFonts w:ascii="Times New Roman" w:hAnsi="Times New Roman" w:cs="Times New Roman"/>
        </w:rPr>
        <w:t xml:space="preserve"> </w:t>
      </w:r>
      <w:r w:rsidR="00D875B2" w:rsidRPr="00F148CE">
        <w:rPr>
          <w:rFonts w:ascii="Times New Roman" w:hAnsi="Times New Roman" w:cs="Times New Roman"/>
        </w:rPr>
        <w:t>del TUEL prevede</w:t>
      </w:r>
      <w:r w:rsidR="00BB1540" w:rsidRPr="00F148CE">
        <w:rPr>
          <w:rFonts w:ascii="Times New Roman" w:hAnsi="Times New Roman" w:cs="Times New Roman"/>
        </w:rPr>
        <w:t xml:space="preserve"> </w:t>
      </w:r>
      <w:r w:rsidR="00D875B2" w:rsidRPr="00F148CE">
        <w:rPr>
          <w:rFonts w:ascii="Times New Roman" w:hAnsi="Times New Roman" w:cs="Times New Roman"/>
        </w:rPr>
        <w:t xml:space="preserve">che </w:t>
      </w:r>
      <w:r w:rsidR="00F703E5">
        <w:rPr>
          <w:rFonts w:ascii="Times New Roman" w:hAnsi="Times New Roman" w:cs="Times New Roman"/>
        </w:rPr>
        <w:t>-</w:t>
      </w:r>
      <w:r w:rsidR="00D875B2" w:rsidRPr="00F148CE">
        <w:rPr>
          <w:rFonts w:ascii="Times New Roman" w:hAnsi="Times New Roman" w:cs="Times New Roman"/>
        </w:rPr>
        <w:t>a seguito della dichiarazione di dissesto e sino all'emanazione del decreto di cui all'</w:t>
      </w:r>
      <w:hyperlink w:anchor="/ricerca/fonti_documento?idDatabank=7&amp;idDocMaster=3948229&amp;idUnitaDoc=20119938&amp;nVigUnitaDoc=1&amp;docIdx=1&amp;isCorrelazioniSearch=true&amp;correlatoA=Normativa" w:history="1">
        <w:r w:rsidR="00D875B2" w:rsidRPr="00F148CE">
          <w:rPr>
            <w:rStyle w:val="alink"/>
            <w:rFonts w:ascii="Times New Roman" w:hAnsi="Times New Roman" w:cs="Times New Roman"/>
          </w:rPr>
          <w:t>art. 261</w:t>
        </w:r>
      </w:hyperlink>
      <w:r w:rsidR="00C02124">
        <w:t xml:space="preserve"> </w:t>
      </w:r>
      <w:r w:rsidR="00C02124" w:rsidRPr="00C02124">
        <w:rPr>
          <w:rFonts w:ascii="Times New Roman" w:hAnsi="Times New Roman" w:cs="Times New Roman"/>
        </w:rPr>
        <w:t>TUEL</w:t>
      </w:r>
      <w:r w:rsidR="00F703E5">
        <w:rPr>
          <w:rFonts w:ascii="Times New Roman" w:hAnsi="Times New Roman" w:cs="Times New Roman"/>
        </w:rPr>
        <w:t>-</w:t>
      </w:r>
      <w:r w:rsidR="00D875B2" w:rsidRPr="00F148CE">
        <w:rPr>
          <w:rFonts w:ascii="Times New Roman" w:hAnsi="Times New Roman" w:cs="Times New Roman"/>
        </w:rPr>
        <w:t xml:space="preserve"> sono sospesi i termini per la deliberazione del bilancio.</w:t>
      </w:r>
      <w:r>
        <w:rPr>
          <w:rFonts w:ascii="Times New Roman" w:hAnsi="Times New Roman" w:cs="Times New Roman"/>
        </w:rPr>
        <w:t xml:space="preserve"> </w:t>
      </w:r>
      <w:r w:rsidR="00D875B2" w:rsidRPr="00F148CE">
        <w:rPr>
          <w:rFonts w:ascii="Times New Roman" w:hAnsi="Times New Roman" w:cs="Times New Roman"/>
        </w:rPr>
        <w:t>Il successivo comma 2 sancisce</w:t>
      </w:r>
      <w:r w:rsidR="00C02124">
        <w:rPr>
          <w:rFonts w:ascii="Times New Roman" w:hAnsi="Times New Roman" w:cs="Times New Roman"/>
        </w:rPr>
        <w:t xml:space="preserve"> </w:t>
      </w:r>
      <w:r w:rsidR="00D875B2" w:rsidRPr="00F148CE">
        <w:rPr>
          <w:rFonts w:ascii="Times New Roman" w:hAnsi="Times New Roman" w:cs="Times New Roman"/>
        </w:rPr>
        <w:t xml:space="preserve">che </w:t>
      </w:r>
      <w:r>
        <w:rPr>
          <w:rFonts w:ascii="Times New Roman" w:hAnsi="Times New Roman" w:cs="Times New Roman"/>
        </w:rPr>
        <w:t>-</w:t>
      </w:r>
      <w:r w:rsidR="00D875B2" w:rsidRPr="00F148CE">
        <w:rPr>
          <w:rFonts w:ascii="Times New Roman" w:hAnsi="Times New Roman" w:cs="Times New Roman"/>
        </w:rPr>
        <w:t>dalla data della dichiarazione di dissesto e sino all'approvazione del rendiconto di cui all'</w:t>
      </w:r>
      <w:hyperlink w:anchor="/ricerca/fonti_documento?idDatabank=7&amp;idDocMaster=3948229&amp;idUnitaDoc=20119932&amp;nVigUnitaDoc=1&amp;docIdx=1&amp;isCorrelazioniSearch=true&amp;correlatoA=Normativa" w:history="1">
        <w:r w:rsidR="00D875B2" w:rsidRPr="00F148CE">
          <w:rPr>
            <w:rStyle w:val="alink"/>
            <w:rFonts w:ascii="Times New Roman" w:hAnsi="Times New Roman" w:cs="Times New Roman"/>
          </w:rPr>
          <w:t>art. 256</w:t>
        </w:r>
      </w:hyperlink>
      <w:r w:rsidR="00C02124">
        <w:t xml:space="preserve"> </w:t>
      </w:r>
      <w:r w:rsidR="00C02124" w:rsidRPr="00C02124">
        <w:rPr>
          <w:rFonts w:ascii="Times New Roman" w:hAnsi="Times New Roman" w:cs="Times New Roman"/>
        </w:rPr>
        <w:t>TUEL</w:t>
      </w:r>
      <w:r>
        <w:rPr>
          <w:rStyle w:val="alink"/>
          <w:rFonts w:ascii="Times New Roman" w:hAnsi="Times New Roman" w:cs="Times New Roman"/>
        </w:rPr>
        <w:t>-</w:t>
      </w:r>
      <w:r w:rsidR="00D875B2" w:rsidRPr="00F148CE">
        <w:rPr>
          <w:rFonts w:ascii="Times New Roman" w:hAnsi="Times New Roman" w:cs="Times New Roman"/>
        </w:rPr>
        <w:t xml:space="preserve"> non possono essere intraprese o proseguite azioni esecutive nei confronti dell'ente per i debiti che rientrano nella competenza dell'organo straordinario di liquidazione. </w:t>
      </w:r>
      <w:r w:rsidR="0036039A">
        <w:rPr>
          <w:rFonts w:ascii="Times New Roman" w:hAnsi="Times New Roman" w:cs="Times New Roman"/>
        </w:rPr>
        <w:t xml:space="preserve">Mentre, dunque, nella fattispecie del PRPR si determina </w:t>
      </w:r>
      <w:r w:rsidR="0036039A" w:rsidRPr="00F23DFE">
        <w:rPr>
          <w:rFonts w:ascii="Times New Roman" w:hAnsi="Times New Roman" w:cs="Times New Roman"/>
        </w:rPr>
        <w:t>la temporanea</w:t>
      </w:r>
    </w:p>
    <w:p w14:paraId="66BFDCF3" w14:textId="300E680A" w:rsidR="0036039A" w:rsidRDefault="0036039A" w:rsidP="00403CB2">
      <w:pPr>
        <w:pStyle w:val="testo-leggedj-para-r1"/>
        <w:spacing w:line="240" w:lineRule="auto"/>
        <w:rPr>
          <w:rFonts w:ascii="Times New Roman" w:hAnsi="Times New Roman" w:cs="Times New Roman"/>
        </w:rPr>
      </w:pPr>
      <w:r>
        <w:rPr>
          <w:rFonts w:ascii="Times New Roman" w:hAnsi="Times New Roman" w:cs="Times New Roman"/>
        </w:rPr>
        <w:lastRenderedPageBreak/>
        <w:t xml:space="preserve">e transitoria sospensione delle procedure </w:t>
      </w:r>
      <w:r w:rsidRPr="00F23DFE">
        <w:rPr>
          <w:rFonts w:ascii="Times New Roman" w:hAnsi="Times New Roman" w:cs="Times New Roman"/>
        </w:rPr>
        <w:t>esecutive al fine di verificare le condizioni di perseguibilità della gestione unitaria</w:t>
      </w:r>
      <w:r>
        <w:rPr>
          <w:rFonts w:ascii="Times New Roman" w:hAnsi="Times New Roman" w:cs="Times New Roman"/>
        </w:rPr>
        <w:t xml:space="preserve"> </w:t>
      </w:r>
      <w:r w:rsidR="008C3836">
        <w:rPr>
          <w:rFonts w:ascii="Times New Roman" w:hAnsi="Times New Roman" w:cs="Times New Roman"/>
        </w:rPr>
        <w:t xml:space="preserve">e </w:t>
      </w:r>
      <w:r w:rsidRPr="0036039A">
        <w:rPr>
          <w:rFonts w:ascii="Times New Roman" w:hAnsi="Times New Roman" w:cs="Times New Roman"/>
        </w:rPr>
        <w:t>fino alla data di approvazione o di diniego di approvazione del piano di riequilibrio pluriennale di cui all'articolo 243-quater, commi 1 e 3.</w:t>
      </w:r>
      <w:r>
        <w:rPr>
          <w:rFonts w:ascii="Times New Roman" w:hAnsi="Times New Roman" w:cs="Times New Roman"/>
        </w:rPr>
        <w:t xml:space="preserve">, nel caso , invece, del dissesto, </w:t>
      </w:r>
      <w:r w:rsidRPr="00F148CE">
        <w:rPr>
          <w:rFonts w:ascii="Times New Roman" w:hAnsi="Times New Roman" w:cs="Times New Roman"/>
        </w:rPr>
        <w:t>dalla data della dichiarazione e sino all'approvazione del rendiconto di cui all'</w:t>
      </w:r>
      <w:hyperlink w:anchor="/ricerca/fonti_documento?idDatabank=7&amp;idDocMaster=3948229&amp;idUnitaDoc=20119932&amp;nVigUnitaDoc=1&amp;docIdx=1&amp;isCorrelazioniSearch=true&amp;correlatoA=Normativa" w:history="1">
        <w:r w:rsidRPr="00F148CE">
          <w:rPr>
            <w:rStyle w:val="alink"/>
            <w:rFonts w:ascii="Times New Roman" w:hAnsi="Times New Roman" w:cs="Times New Roman"/>
          </w:rPr>
          <w:t>art. 256</w:t>
        </w:r>
      </w:hyperlink>
      <w:r>
        <w:t xml:space="preserve"> </w:t>
      </w:r>
      <w:r w:rsidRPr="00C02124">
        <w:rPr>
          <w:rFonts w:ascii="Times New Roman" w:hAnsi="Times New Roman" w:cs="Times New Roman"/>
        </w:rPr>
        <w:t>TUEL</w:t>
      </w:r>
      <w:r w:rsidR="008C3836">
        <w:rPr>
          <w:rFonts w:ascii="Times New Roman" w:hAnsi="Times New Roman" w:cs="Times New Roman"/>
        </w:rPr>
        <w:t>,</w:t>
      </w:r>
      <w:r>
        <w:rPr>
          <w:rFonts w:ascii="Times New Roman" w:hAnsi="Times New Roman" w:cs="Times New Roman"/>
        </w:rPr>
        <w:t xml:space="preserve"> non può essere intrapresa alcuna azion</w:t>
      </w:r>
      <w:r w:rsidR="008C3836">
        <w:rPr>
          <w:rFonts w:ascii="Times New Roman" w:hAnsi="Times New Roman" w:cs="Times New Roman"/>
        </w:rPr>
        <w:t>e</w:t>
      </w:r>
      <w:r>
        <w:rPr>
          <w:rFonts w:ascii="Times New Roman" w:hAnsi="Times New Roman" w:cs="Times New Roman"/>
        </w:rPr>
        <w:t xml:space="preserve"> esecutiva relativamente ai debiti di comp</w:t>
      </w:r>
      <w:r w:rsidR="008C3836">
        <w:rPr>
          <w:rFonts w:ascii="Times New Roman" w:hAnsi="Times New Roman" w:cs="Times New Roman"/>
        </w:rPr>
        <w:t>etenza dell’OSL.</w:t>
      </w:r>
    </w:p>
    <w:p w14:paraId="61664E66" w14:textId="6ADEABFD" w:rsidR="00D875B2" w:rsidRPr="00F148CE" w:rsidRDefault="00D875B2" w:rsidP="00403CB2">
      <w:pPr>
        <w:pStyle w:val="testo-leggedj-para-r1"/>
        <w:spacing w:line="240" w:lineRule="auto"/>
        <w:rPr>
          <w:rFonts w:ascii="Times New Roman" w:hAnsi="Times New Roman" w:cs="Times New Roman"/>
        </w:rPr>
      </w:pPr>
      <w:r w:rsidRPr="00F148CE">
        <w:rPr>
          <w:rFonts w:ascii="Times New Roman" w:hAnsi="Times New Roman" w:cs="Times New Roman"/>
        </w:rPr>
        <w:t>Le procedure esecutive pendenti alla data della dichiarazione di dissesto, nelle quali sono scaduti i termini per l'opposizione giudiziale da parte dell'ente</w:t>
      </w:r>
      <w:r w:rsidR="001A7326">
        <w:rPr>
          <w:rFonts w:ascii="Times New Roman" w:hAnsi="Times New Roman" w:cs="Times New Roman"/>
        </w:rPr>
        <w:t xml:space="preserve"> (</w:t>
      </w:r>
      <w:r w:rsidRPr="00F148CE">
        <w:rPr>
          <w:rFonts w:ascii="Times New Roman" w:hAnsi="Times New Roman" w:cs="Times New Roman"/>
        </w:rPr>
        <w:t xml:space="preserve">o la stessa </w:t>
      </w:r>
      <w:r w:rsidR="001A7326" w:rsidRPr="00F148CE">
        <w:rPr>
          <w:rFonts w:ascii="Times New Roman" w:hAnsi="Times New Roman" w:cs="Times New Roman"/>
        </w:rPr>
        <w:t>benché</w:t>
      </w:r>
      <w:r w:rsidRPr="00F148CE">
        <w:rPr>
          <w:rFonts w:ascii="Times New Roman" w:hAnsi="Times New Roman" w:cs="Times New Roman"/>
        </w:rPr>
        <w:t xml:space="preserve"> proposta </w:t>
      </w:r>
      <w:r w:rsidR="0036039A" w:rsidRPr="00F148CE">
        <w:rPr>
          <w:rFonts w:ascii="Times New Roman" w:hAnsi="Times New Roman" w:cs="Times New Roman"/>
        </w:rPr>
        <w:t>sia stata rigettata</w:t>
      </w:r>
      <w:r w:rsidR="001A7326">
        <w:rPr>
          <w:rFonts w:ascii="Times New Roman" w:hAnsi="Times New Roman" w:cs="Times New Roman"/>
        </w:rPr>
        <w:t>)</w:t>
      </w:r>
      <w:r w:rsidRPr="00F148CE">
        <w:rPr>
          <w:rFonts w:ascii="Times New Roman" w:hAnsi="Times New Roman" w:cs="Times New Roman"/>
        </w:rPr>
        <w:t xml:space="preserve">, </w:t>
      </w:r>
      <w:r w:rsidR="008C3836">
        <w:rPr>
          <w:rFonts w:ascii="Times New Roman" w:hAnsi="Times New Roman" w:cs="Times New Roman"/>
        </w:rPr>
        <w:t xml:space="preserve">inoltre, </w:t>
      </w:r>
      <w:r w:rsidRPr="00F148CE">
        <w:rPr>
          <w:rFonts w:ascii="Times New Roman" w:hAnsi="Times New Roman" w:cs="Times New Roman"/>
        </w:rPr>
        <w:t>sono dichiarate estinte d'ufficio dal giudice con inserimento nella massa passiva dell'importo dovuto a titolo di capitale, accessori e spese.</w:t>
      </w:r>
    </w:p>
    <w:p w14:paraId="42FF50B3" w14:textId="0064B872" w:rsidR="00412897" w:rsidRPr="00F148CE" w:rsidRDefault="001A7326" w:rsidP="00403CB2">
      <w:pPr>
        <w:pStyle w:val="testo-leggedj-para-r1"/>
        <w:tabs>
          <w:tab w:val="left" w:pos="1276"/>
          <w:tab w:val="left" w:pos="1418"/>
          <w:tab w:val="left" w:pos="1560"/>
          <w:tab w:val="left" w:pos="2127"/>
        </w:tabs>
        <w:spacing w:line="240" w:lineRule="auto"/>
        <w:rPr>
          <w:rFonts w:ascii="Times New Roman" w:hAnsi="Times New Roman" w:cs="Times New Roman"/>
        </w:rPr>
      </w:pPr>
      <w:r>
        <w:rPr>
          <w:rFonts w:ascii="Times New Roman" w:hAnsi="Times New Roman" w:cs="Times New Roman"/>
        </w:rPr>
        <w:t>Si tratta dunque di norme finalizzate</w:t>
      </w:r>
      <w:r w:rsidR="00412897" w:rsidRPr="00F148CE">
        <w:rPr>
          <w:rFonts w:ascii="Times New Roman" w:hAnsi="Times New Roman" w:cs="Times New Roman"/>
        </w:rPr>
        <w:t xml:space="preserve"> </w:t>
      </w:r>
      <w:r w:rsidR="00D875B2" w:rsidRPr="00F148CE">
        <w:rPr>
          <w:rFonts w:ascii="Times New Roman" w:hAnsi="Times New Roman" w:cs="Times New Roman"/>
        </w:rPr>
        <w:t>a restituire</w:t>
      </w:r>
      <w:r w:rsidR="00412897" w:rsidRPr="00F148CE">
        <w:rPr>
          <w:rFonts w:ascii="Times New Roman" w:hAnsi="Times New Roman" w:cs="Times New Roman"/>
        </w:rPr>
        <w:t xml:space="preserve"> </w:t>
      </w:r>
      <w:r w:rsidR="004B665D" w:rsidRPr="00F148CE">
        <w:rPr>
          <w:rFonts w:ascii="Times New Roman" w:hAnsi="Times New Roman" w:cs="Times New Roman"/>
        </w:rPr>
        <w:t>idonei margini</w:t>
      </w:r>
      <w:r w:rsidR="00D875B2" w:rsidRPr="00F148CE">
        <w:rPr>
          <w:rFonts w:ascii="Times New Roman" w:hAnsi="Times New Roman" w:cs="Times New Roman"/>
        </w:rPr>
        <w:t xml:space="preserve"> di gestione all’ente dissestato,</w:t>
      </w:r>
      <w:r w:rsidR="003F1585" w:rsidRPr="00F148CE">
        <w:rPr>
          <w:rFonts w:ascii="Times New Roman" w:hAnsi="Times New Roman" w:cs="Times New Roman"/>
        </w:rPr>
        <w:t xml:space="preserve"> nonché a </w:t>
      </w:r>
      <w:r w:rsidR="00D875B2" w:rsidRPr="00F148CE">
        <w:rPr>
          <w:rFonts w:ascii="Times New Roman" w:hAnsi="Times New Roman" w:cs="Times New Roman"/>
        </w:rPr>
        <w:t>garantire parità di trattamento tra i creditori dell’ente, evitando “</w:t>
      </w:r>
      <w:r w:rsidR="00D875B2" w:rsidRPr="00F148CE">
        <w:rPr>
          <w:rFonts w:ascii="Times New Roman" w:hAnsi="Times New Roman" w:cs="Times New Roman"/>
          <w:i/>
          <w:iCs/>
        </w:rPr>
        <w:t xml:space="preserve">che la </w:t>
      </w:r>
      <w:r w:rsidR="002C27E8" w:rsidRPr="00F148CE">
        <w:rPr>
          <w:rFonts w:ascii="Times New Roman" w:hAnsi="Times New Roman" w:cs="Times New Roman"/>
          <w:i/>
          <w:iCs/>
        </w:rPr>
        <w:t>s</w:t>
      </w:r>
      <w:r w:rsidR="003F1585" w:rsidRPr="00F148CE">
        <w:rPr>
          <w:rFonts w:ascii="Times New Roman" w:hAnsi="Times New Roman" w:cs="Times New Roman"/>
          <w:i/>
          <w:iCs/>
        </w:rPr>
        <w:t>oddisfazione dei creditori a causa del limitato</w:t>
      </w:r>
      <w:r w:rsidR="00412897" w:rsidRPr="00F148CE">
        <w:rPr>
          <w:rFonts w:ascii="Times New Roman" w:hAnsi="Times New Roman" w:cs="Times New Roman"/>
          <w:i/>
          <w:iCs/>
        </w:rPr>
        <w:t xml:space="preserve"> </w:t>
      </w:r>
      <w:r w:rsidR="00D875B2" w:rsidRPr="00F148CE">
        <w:rPr>
          <w:rFonts w:ascii="Times New Roman" w:hAnsi="Times New Roman" w:cs="Times New Roman"/>
          <w:i/>
          <w:iCs/>
        </w:rPr>
        <w:t xml:space="preserve">patrimonio dell'ente, abbia luogo in favore di coloro qui primi </w:t>
      </w:r>
      <w:proofErr w:type="spellStart"/>
      <w:r w:rsidR="00D875B2" w:rsidRPr="00F148CE">
        <w:rPr>
          <w:rFonts w:ascii="Times New Roman" w:hAnsi="Times New Roman" w:cs="Times New Roman"/>
          <w:i/>
          <w:iCs/>
        </w:rPr>
        <w:t>veniunt</w:t>
      </w:r>
      <w:proofErr w:type="spellEnd"/>
      <w:r w:rsidR="00D875B2" w:rsidRPr="00F148CE">
        <w:rPr>
          <w:rFonts w:ascii="Times New Roman" w:hAnsi="Times New Roman" w:cs="Times New Roman"/>
          <w:i/>
          <w:iCs/>
        </w:rPr>
        <w:t>, sulla base di circostanze contingenti, quali la</w:t>
      </w:r>
      <w:r w:rsidR="00DF6FAF" w:rsidRPr="00F148CE">
        <w:rPr>
          <w:rFonts w:ascii="Times New Roman" w:hAnsi="Times New Roman" w:cs="Times New Roman"/>
          <w:i/>
          <w:iCs/>
        </w:rPr>
        <w:t xml:space="preserve"> </w:t>
      </w:r>
      <w:r w:rsidR="00D875B2" w:rsidRPr="00F148CE">
        <w:rPr>
          <w:rFonts w:ascii="Times New Roman" w:hAnsi="Times New Roman" w:cs="Times New Roman"/>
          <w:i/>
          <w:iCs/>
        </w:rPr>
        <w:t>consistenza delle somme giacenti presso il tesoriere e la durata del giudizio su cui si forma il giudicato</w:t>
      </w:r>
      <w:r w:rsidR="00D875B2" w:rsidRPr="00F148CE">
        <w:rPr>
          <w:rFonts w:ascii="Times New Roman" w:hAnsi="Times New Roman" w:cs="Times New Roman"/>
        </w:rPr>
        <w:t>”</w:t>
      </w:r>
      <w:r w:rsidR="00412897" w:rsidRPr="00F148CE">
        <w:rPr>
          <w:rFonts w:ascii="Times New Roman" w:hAnsi="Times New Roman" w:cs="Times New Roman"/>
        </w:rPr>
        <w:t xml:space="preserve"> (</w:t>
      </w:r>
      <w:r w:rsidR="004B665D" w:rsidRPr="00F148CE">
        <w:rPr>
          <w:rFonts w:ascii="Times New Roman" w:hAnsi="Times New Roman" w:cs="Times New Roman"/>
        </w:rPr>
        <w:t>Cds, ad</w:t>
      </w:r>
      <w:r w:rsidR="00412897" w:rsidRPr="00F148CE">
        <w:rPr>
          <w:rFonts w:ascii="Times New Roman" w:hAnsi="Times New Roman" w:cs="Times New Roman"/>
        </w:rPr>
        <w:t>. Plen.n.4/1998)</w:t>
      </w:r>
      <w:r w:rsidR="00DF6FAF" w:rsidRPr="00F148CE">
        <w:rPr>
          <w:rFonts w:ascii="Times New Roman" w:hAnsi="Times New Roman" w:cs="Times New Roman"/>
        </w:rPr>
        <w:t>.</w:t>
      </w:r>
    </w:p>
    <w:p w14:paraId="11FC4D64" w14:textId="0CC2312D" w:rsidR="00D875B2" w:rsidRPr="00F148CE" w:rsidRDefault="00CB5800" w:rsidP="00403CB2">
      <w:pPr>
        <w:pStyle w:val="testo-leggedj-para-r1"/>
        <w:spacing w:line="240" w:lineRule="auto"/>
        <w:rPr>
          <w:rFonts w:ascii="Times New Roman" w:hAnsi="Times New Roman" w:cs="Times New Roman"/>
        </w:rPr>
      </w:pPr>
      <w:r>
        <w:rPr>
          <w:rFonts w:ascii="Times New Roman" w:hAnsi="Times New Roman" w:cs="Times New Roman"/>
        </w:rPr>
        <w:t>L</w:t>
      </w:r>
      <w:r w:rsidR="00D875B2" w:rsidRPr="00F148CE">
        <w:rPr>
          <w:rFonts w:ascii="Times New Roman" w:hAnsi="Times New Roman" w:cs="Times New Roman"/>
        </w:rPr>
        <w:t>’art.248, comma 3, del TUEL</w:t>
      </w:r>
      <w:r>
        <w:rPr>
          <w:rFonts w:ascii="Times New Roman" w:hAnsi="Times New Roman" w:cs="Times New Roman"/>
        </w:rPr>
        <w:t xml:space="preserve"> precisa</w:t>
      </w:r>
      <w:r w:rsidR="00D875B2" w:rsidRPr="00F148CE">
        <w:rPr>
          <w:rFonts w:ascii="Times New Roman" w:hAnsi="Times New Roman" w:cs="Times New Roman"/>
        </w:rPr>
        <w:t xml:space="preserve"> che i</w:t>
      </w:r>
      <w:r w:rsidR="00412897" w:rsidRPr="00F148CE">
        <w:rPr>
          <w:rFonts w:ascii="Times New Roman" w:hAnsi="Times New Roman" w:cs="Times New Roman"/>
        </w:rPr>
        <w:t xml:space="preserve"> </w:t>
      </w:r>
      <w:r w:rsidR="00D875B2" w:rsidRPr="00F148CE">
        <w:rPr>
          <w:rFonts w:ascii="Times New Roman" w:hAnsi="Times New Roman" w:cs="Times New Roman"/>
        </w:rPr>
        <w:t>pignoramenti eventualmente eseguiti dopo la deliberazione dello stato di dissesto non vincolano l'ente ed il tesoriere, i quali possono disporre delle somme per i fini dell'ente e le finalità di legge.</w:t>
      </w:r>
    </w:p>
    <w:p w14:paraId="1731A91C" w14:textId="275BF704" w:rsidR="00D875B2" w:rsidRDefault="00D875B2" w:rsidP="00403CB2">
      <w:pPr>
        <w:pStyle w:val="testo-leggedj-para-r1"/>
        <w:spacing w:line="240" w:lineRule="auto"/>
        <w:rPr>
          <w:rFonts w:ascii="Times New Roman" w:hAnsi="Times New Roman" w:cs="Times New Roman"/>
        </w:rPr>
      </w:pPr>
      <w:r w:rsidRPr="00F148CE">
        <w:rPr>
          <w:rFonts w:ascii="Times New Roman" w:hAnsi="Times New Roman" w:cs="Times New Roman"/>
        </w:rPr>
        <w:t>Il successivo comma 4, invece, sancisce che</w:t>
      </w:r>
      <w:r w:rsidR="00CB5800">
        <w:rPr>
          <w:rFonts w:ascii="Times New Roman" w:hAnsi="Times New Roman" w:cs="Times New Roman"/>
        </w:rPr>
        <w:t xml:space="preserve"> -</w:t>
      </w:r>
      <w:r w:rsidRPr="00F148CE">
        <w:rPr>
          <w:rFonts w:ascii="Times New Roman" w:hAnsi="Times New Roman" w:cs="Times New Roman"/>
        </w:rPr>
        <w:t>dalla data della deliberazione di dissesto e sino all'approvazione del rendiconto di cui all'</w:t>
      </w:r>
      <w:hyperlink w:anchor="/ricerca/fonti_documento?idDatabank=7&amp;idDocMaster=3948229&amp;idUnitaDoc=20119932&amp;nVigUnitaDoc=1&amp;docIdx=1&amp;isCorrelazioniSearch=true&amp;correlatoA=Normativa" w:history="1">
        <w:r w:rsidRPr="00F148CE">
          <w:rPr>
            <w:rStyle w:val="alink"/>
            <w:rFonts w:ascii="Times New Roman" w:hAnsi="Times New Roman" w:cs="Times New Roman"/>
          </w:rPr>
          <w:t>art. 256</w:t>
        </w:r>
      </w:hyperlink>
      <w:r w:rsidR="00CB5800">
        <w:rPr>
          <w:rStyle w:val="alink"/>
          <w:rFonts w:ascii="Times New Roman" w:hAnsi="Times New Roman" w:cs="Times New Roman"/>
        </w:rPr>
        <w:t>-</w:t>
      </w:r>
      <w:r w:rsidRPr="00F148CE">
        <w:rPr>
          <w:rFonts w:ascii="Times New Roman" w:hAnsi="Times New Roman" w:cs="Times New Roman"/>
        </w:rPr>
        <w:t xml:space="preserve"> i debiti insoluti a tale data e le somme dovute per anticipazioni di cassa già erogate non producono più interessi </w:t>
      </w:r>
      <w:proofErr w:type="spellStart"/>
      <w:r w:rsidRPr="00F148CE">
        <w:rPr>
          <w:rFonts w:ascii="Times New Roman" w:hAnsi="Times New Roman" w:cs="Times New Roman"/>
        </w:rPr>
        <w:t>nè</w:t>
      </w:r>
      <w:proofErr w:type="spellEnd"/>
      <w:r w:rsidRPr="00F148CE">
        <w:rPr>
          <w:rFonts w:ascii="Times New Roman" w:hAnsi="Times New Roman" w:cs="Times New Roman"/>
        </w:rPr>
        <w:t xml:space="preserve"> sono soggetti a rivalutazione monetaria. </w:t>
      </w:r>
      <w:r w:rsidR="00CB5800">
        <w:rPr>
          <w:rFonts w:ascii="Times New Roman" w:hAnsi="Times New Roman" w:cs="Times New Roman"/>
        </w:rPr>
        <w:t>Analoga disciplina</w:t>
      </w:r>
      <w:r w:rsidRPr="00F148CE">
        <w:rPr>
          <w:rFonts w:ascii="Times New Roman" w:hAnsi="Times New Roman" w:cs="Times New Roman"/>
        </w:rPr>
        <w:t xml:space="preserve"> si applica ai crediti nei confronti dell'ente che rientrano nella competenza dell'organo straordinario di liquidazione a decorrere dal momento della loro liquidità ed esigibilità.</w:t>
      </w:r>
    </w:p>
    <w:p w14:paraId="70394906" w14:textId="4BB0CEEE" w:rsidR="007D5B23" w:rsidRDefault="007D5B23" w:rsidP="00403CB2">
      <w:pPr>
        <w:pStyle w:val="testo-leggedj-para-r1"/>
        <w:spacing w:line="240" w:lineRule="auto"/>
        <w:rPr>
          <w:rFonts w:ascii="Times New Roman" w:hAnsi="Times New Roman" w:cs="Times New Roman"/>
        </w:rPr>
      </w:pPr>
      <w:r w:rsidRPr="007D5B23">
        <w:rPr>
          <w:rFonts w:ascii="Times New Roman" w:hAnsi="Times New Roman" w:cs="Times New Roman"/>
        </w:rPr>
        <w:t xml:space="preserve">Tale norma stabilisce, quindi, </w:t>
      </w:r>
      <w:r w:rsidRPr="007D5B23">
        <w:rPr>
          <w:rFonts w:ascii="Times New Roman" w:hAnsi="Times New Roman" w:cs="Times New Roman"/>
          <w:b/>
          <w:bCs/>
          <w:u w:val="single"/>
        </w:rPr>
        <w:t>un regime di temporanea inesigibilità degli accessori del credito</w:t>
      </w:r>
      <w:r w:rsidRPr="007D5B23">
        <w:rPr>
          <w:rFonts w:ascii="Times New Roman" w:hAnsi="Times New Roman" w:cs="Times New Roman"/>
        </w:rPr>
        <w:t>, strumentale alla liquidazione della massa passiva dell’ente locale e destinato a cessare con la chiusura delle attività dell’organo straordinario di liquidazione.</w:t>
      </w:r>
    </w:p>
    <w:p w14:paraId="42F33612" w14:textId="0C93585F" w:rsidR="007D5B23" w:rsidRPr="007D5B23" w:rsidRDefault="007D5B23" w:rsidP="00403CB2">
      <w:pPr>
        <w:pStyle w:val="testo-leggedj-para-r1"/>
        <w:spacing w:line="240" w:lineRule="auto"/>
        <w:rPr>
          <w:rFonts w:ascii="Times New Roman" w:hAnsi="Times New Roman" w:cs="Times New Roman"/>
        </w:rPr>
      </w:pPr>
      <w:r w:rsidRPr="007D5B23">
        <w:rPr>
          <w:rFonts w:ascii="Times New Roman" w:hAnsi="Times New Roman" w:cs="Times New Roman"/>
        </w:rPr>
        <w:t>La chiusura della procedura di dissesto degli enti locali non determina, quindi, l’estinzione dei crediti rimasti insoddisfatti nel corso della procedura</w:t>
      </w:r>
      <w:r>
        <w:rPr>
          <w:rStyle w:val="Rimandonotaapidipagina"/>
          <w:rFonts w:ascii="Times New Roman" w:hAnsi="Times New Roman" w:cs="Times New Roman"/>
        </w:rPr>
        <w:footnoteReference w:id="11"/>
      </w:r>
      <w:r w:rsidRPr="007D5B23">
        <w:rPr>
          <w:rFonts w:ascii="Times New Roman" w:hAnsi="Times New Roman" w:cs="Times New Roman"/>
        </w:rPr>
        <w:t xml:space="preserve"> e, conseguentemente, i creditori possono ottenere dall’Ente</w:t>
      </w:r>
      <w:r>
        <w:rPr>
          <w:rFonts w:ascii="Times New Roman" w:hAnsi="Times New Roman" w:cs="Times New Roman"/>
        </w:rPr>
        <w:t xml:space="preserve"> tornato “</w:t>
      </w:r>
      <w:r w:rsidRPr="007D5B23">
        <w:rPr>
          <w:rFonts w:ascii="Times New Roman" w:hAnsi="Times New Roman" w:cs="Times New Roman"/>
          <w:i/>
          <w:iCs/>
        </w:rPr>
        <w:t>in bonis</w:t>
      </w:r>
      <w:r>
        <w:rPr>
          <w:rFonts w:ascii="Times New Roman" w:hAnsi="Times New Roman" w:cs="Times New Roman"/>
          <w:i/>
          <w:iCs/>
        </w:rPr>
        <w:t>”</w:t>
      </w:r>
      <w:r>
        <w:rPr>
          <w:rFonts w:ascii="Times New Roman" w:hAnsi="Times New Roman" w:cs="Times New Roman"/>
        </w:rPr>
        <w:t xml:space="preserve"> il pagamento:</w:t>
      </w:r>
    </w:p>
    <w:p w14:paraId="2B4DC455" w14:textId="59714058" w:rsidR="007D5B23" w:rsidRPr="007D5B23" w:rsidRDefault="007D5B23" w:rsidP="00F41AC8">
      <w:pPr>
        <w:pStyle w:val="testo-leggedj-para-r1"/>
        <w:numPr>
          <w:ilvl w:val="0"/>
          <w:numId w:val="5"/>
        </w:numPr>
        <w:tabs>
          <w:tab w:val="left" w:pos="426"/>
        </w:tabs>
        <w:spacing w:line="240" w:lineRule="auto"/>
        <w:ind w:left="0" w:firstLine="0"/>
        <w:rPr>
          <w:rFonts w:ascii="Times New Roman" w:hAnsi="Times New Roman" w:cs="Times New Roman"/>
          <w:i/>
          <w:iCs/>
        </w:rPr>
      </w:pPr>
      <w:r w:rsidRPr="007D5B23">
        <w:rPr>
          <w:rFonts w:ascii="Times New Roman" w:hAnsi="Times New Roman" w:cs="Times New Roman"/>
          <w:i/>
          <w:iCs/>
        </w:rPr>
        <w:t>delle somme a titolo di capitale rimaste insolute;</w:t>
      </w:r>
      <w:r w:rsidRPr="007D5B23">
        <w:rPr>
          <w:rFonts w:ascii="Times New Roman" w:hAnsi="Times New Roman" w:cs="Times New Roman"/>
          <w:i/>
          <w:iCs/>
        </w:rPr>
        <w:br/>
        <w:t>- degli interessi maturati e non pagati prima della dichiarazione di dissest</w:t>
      </w:r>
      <w:r>
        <w:rPr>
          <w:rFonts w:ascii="Times New Roman" w:hAnsi="Times New Roman" w:cs="Times New Roman"/>
          <w:i/>
          <w:iCs/>
        </w:rPr>
        <w:t>o;</w:t>
      </w:r>
      <w:r w:rsidRPr="007D5B23">
        <w:rPr>
          <w:rFonts w:ascii="Times New Roman" w:hAnsi="Times New Roman" w:cs="Times New Roman"/>
          <w:i/>
          <w:iCs/>
        </w:rPr>
        <w:br/>
        <w:t xml:space="preserve">- </w:t>
      </w:r>
      <w:r w:rsidR="00F41AC8">
        <w:rPr>
          <w:rFonts w:ascii="Times New Roman" w:hAnsi="Times New Roman" w:cs="Times New Roman"/>
          <w:i/>
          <w:iCs/>
        </w:rPr>
        <w:t xml:space="preserve">    </w:t>
      </w:r>
      <w:r w:rsidRPr="007D5B23">
        <w:rPr>
          <w:rFonts w:ascii="Times New Roman" w:hAnsi="Times New Roman" w:cs="Times New Roman"/>
          <w:i/>
          <w:iCs/>
        </w:rPr>
        <w:t>degli interessi maturati nel corso della procedura di dissesto.</w:t>
      </w:r>
    </w:p>
    <w:p w14:paraId="6CBAAEA0" w14:textId="3E6E854B" w:rsidR="007D5B23" w:rsidRDefault="007D5B23" w:rsidP="00403CB2">
      <w:pPr>
        <w:pStyle w:val="testo-leggedj-para-r1"/>
        <w:spacing w:line="240" w:lineRule="auto"/>
        <w:rPr>
          <w:rFonts w:ascii="Times New Roman" w:hAnsi="Times New Roman" w:cs="Times New Roman"/>
        </w:rPr>
      </w:pPr>
      <w:r w:rsidRPr="007D5B23">
        <w:rPr>
          <w:rFonts w:ascii="Times New Roman" w:hAnsi="Times New Roman" w:cs="Times New Roman"/>
        </w:rPr>
        <w:t xml:space="preserve">In altri termini, secondo l’interpretazione giurisprudenziale consolidata, </w:t>
      </w:r>
      <w:r w:rsidRPr="00F41AC8">
        <w:rPr>
          <w:rFonts w:ascii="Times New Roman" w:hAnsi="Times New Roman" w:cs="Times New Roman"/>
        </w:rPr>
        <w:t>la rivalutazione e gli interessi sui crediti di un ente in dissesto maturano anche successivamente all’apertura della procedura</w:t>
      </w:r>
      <w:r w:rsidRPr="006705AC">
        <w:rPr>
          <w:rFonts w:ascii="Times New Roman" w:hAnsi="Times New Roman" w:cs="Times New Roman"/>
        </w:rPr>
        <w:t xml:space="preserve">, </w:t>
      </w:r>
      <w:r w:rsidRPr="006705AC">
        <w:rPr>
          <w:rFonts w:ascii="Times New Roman" w:hAnsi="Times New Roman" w:cs="Times New Roman"/>
          <w:u w:val="single"/>
        </w:rPr>
        <w:t>ma rimangono non opponibili ad essa ed esclusi dalla massa passiva</w:t>
      </w:r>
      <w:r w:rsidRPr="007D5B23">
        <w:rPr>
          <w:rFonts w:ascii="Times New Roman" w:hAnsi="Times New Roman" w:cs="Times New Roman"/>
          <w:b/>
          <w:bCs/>
          <w:u w:val="single"/>
        </w:rPr>
        <w:t xml:space="preserve">, </w:t>
      </w:r>
      <w:r w:rsidRPr="007D5B23">
        <w:rPr>
          <w:rFonts w:ascii="Times New Roman" w:hAnsi="Times New Roman" w:cs="Times New Roman"/>
        </w:rPr>
        <w:t>ferma restando però la facoltà del creditore di azionare tali diritti nei confronti del Comune, una volta esaurita la gestione straordinaria.</w:t>
      </w:r>
    </w:p>
    <w:p w14:paraId="2EF0F9AB" w14:textId="275C53F5" w:rsidR="007D5B23" w:rsidRDefault="007D5B23" w:rsidP="00403CB2">
      <w:pPr>
        <w:pStyle w:val="testo-leggedj-para-r1"/>
        <w:spacing w:line="240" w:lineRule="auto"/>
        <w:rPr>
          <w:rFonts w:ascii="Times New Roman" w:hAnsi="Times New Roman" w:cs="Times New Roman"/>
        </w:rPr>
      </w:pPr>
      <w:r w:rsidRPr="007D5B23">
        <w:rPr>
          <w:rFonts w:ascii="Times New Roman" w:hAnsi="Times New Roman" w:cs="Times New Roman"/>
        </w:rPr>
        <w:t xml:space="preserve">L’interpretazione, in questi termini, dell’art. 248, comma 4, citato è stata, da ultimo, avallata dalla </w:t>
      </w:r>
      <w:r w:rsidR="006705AC" w:rsidRPr="007D5B23">
        <w:rPr>
          <w:rFonts w:ascii="Times New Roman" w:hAnsi="Times New Roman" w:cs="Times New Roman"/>
        </w:rPr>
        <w:t>Corte costituzionale</w:t>
      </w:r>
      <w:r w:rsidRPr="007D5B23">
        <w:rPr>
          <w:rFonts w:ascii="Times New Roman" w:hAnsi="Times New Roman" w:cs="Times New Roman"/>
        </w:rPr>
        <w:t xml:space="preserve"> con la </w:t>
      </w:r>
      <w:proofErr w:type="spellStart"/>
      <w:r w:rsidRPr="007D5B23">
        <w:rPr>
          <w:rFonts w:ascii="Times New Roman" w:hAnsi="Times New Roman" w:cs="Times New Roman"/>
        </w:rPr>
        <w:t>sent</w:t>
      </w:r>
      <w:proofErr w:type="spellEnd"/>
      <w:r w:rsidRPr="007D5B23">
        <w:rPr>
          <w:rFonts w:ascii="Times New Roman" w:hAnsi="Times New Roman" w:cs="Times New Roman"/>
        </w:rPr>
        <w:t>. n. 219 del 24 ottobre 2022, la quale ha ribadito – richiamando i propri precedenti in termini – che “</w:t>
      </w:r>
      <w:r w:rsidRPr="00F41AC8">
        <w:rPr>
          <w:rFonts w:ascii="Times New Roman" w:hAnsi="Times New Roman" w:cs="Times New Roman"/>
          <w:i/>
          <w:iCs/>
        </w:rPr>
        <w:t>la disposizione relativa agli accessori del credito ha la finalità di determinare esattamente la consistenza della massa passiva da ammettere al pagamento nell’ambito del dissesto dell’ente locale, ma essa ‘non implica la estinzione dei crediti non ammessi o residui, i quali, conclusa la procedura di liquidazione, potranno essere fatti valere nei confronti dell’ente risanato (sentenza n. 269 del 1998)</w:t>
      </w:r>
      <w:r w:rsidRPr="007D5B23">
        <w:rPr>
          <w:rFonts w:ascii="Times New Roman" w:hAnsi="Times New Roman" w:cs="Times New Roman"/>
        </w:rPr>
        <w:t>”.</w:t>
      </w:r>
    </w:p>
    <w:p w14:paraId="74AFB6C7" w14:textId="07571253" w:rsidR="007D5B23" w:rsidRPr="007D5B23" w:rsidRDefault="00F41AC8" w:rsidP="00403CB2">
      <w:pPr>
        <w:pStyle w:val="testo-leggedj-para-r1"/>
        <w:spacing w:line="240" w:lineRule="auto"/>
        <w:rPr>
          <w:rFonts w:ascii="Times New Roman" w:hAnsi="Times New Roman" w:cs="Times New Roman"/>
        </w:rPr>
      </w:pPr>
      <w:r>
        <w:rPr>
          <w:rFonts w:ascii="Times New Roman" w:hAnsi="Times New Roman" w:cs="Times New Roman"/>
        </w:rPr>
        <w:t>L</w:t>
      </w:r>
      <w:r w:rsidR="007D5B23" w:rsidRPr="007D5B23">
        <w:rPr>
          <w:rFonts w:ascii="Times New Roman" w:hAnsi="Times New Roman" w:cs="Times New Roman"/>
        </w:rPr>
        <w:t>’eventuale dichiarazione di dissesto finanziario dell’Ente locale</w:t>
      </w:r>
      <w:r>
        <w:rPr>
          <w:rFonts w:ascii="Times New Roman" w:hAnsi="Times New Roman" w:cs="Times New Roman"/>
        </w:rPr>
        <w:t>, dunque,</w:t>
      </w:r>
      <w:r w:rsidR="007D5B23" w:rsidRPr="007D5B23">
        <w:rPr>
          <w:rFonts w:ascii="Times New Roman" w:hAnsi="Times New Roman" w:cs="Times New Roman"/>
        </w:rPr>
        <w:t xml:space="preserve"> non preclude che sui debiti pecuniari dello stesso maturino interessi e rivalutazione monetaria ai sensi dell’art. 1224 c.c.</w:t>
      </w:r>
      <w:r w:rsidR="006705AC">
        <w:rPr>
          <w:rFonts w:ascii="Times New Roman" w:hAnsi="Times New Roman" w:cs="Times New Roman"/>
        </w:rPr>
        <w:t>,</w:t>
      </w:r>
      <w:r w:rsidR="007D5B23" w:rsidRPr="007D5B23">
        <w:rPr>
          <w:rFonts w:ascii="Times New Roman" w:hAnsi="Times New Roman" w:cs="Times New Roman"/>
        </w:rPr>
        <w:t xml:space="preserve"> a decorrere dal momento in cui il credito è divenuto liquido ed esigibile: pertanto, la citata disposizione, secondo cui i debiti insoluti alla data di dichiarazione del dissesto finanziario dell’Ente locale non producono interessi, né rivalutazione monetaria ha carattere meramente sospensivo e non preclude </w:t>
      </w:r>
      <w:r w:rsidR="007D5B23" w:rsidRPr="007D5B23">
        <w:rPr>
          <w:rFonts w:ascii="Times New Roman" w:hAnsi="Times New Roman" w:cs="Times New Roman"/>
        </w:rPr>
        <w:lastRenderedPageBreak/>
        <w:t>all’interessato – una volta esaurita la gestione straordinaria con la cessazione della fase di dissesto – di riattivarsi per la corresponsione delle poste stesse nei confronti dell’Ente risanato</w:t>
      </w:r>
      <w:r>
        <w:rPr>
          <w:rStyle w:val="Rimandonotaapidipagina"/>
          <w:rFonts w:ascii="Times New Roman" w:hAnsi="Times New Roman" w:cs="Times New Roman"/>
        </w:rPr>
        <w:footnoteReference w:id="12"/>
      </w:r>
      <w:r>
        <w:rPr>
          <w:rFonts w:ascii="Times New Roman" w:hAnsi="Times New Roman" w:cs="Times New Roman"/>
        </w:rPr>
        <w:t>.</w:t>
      </w:r>
    </w:p>
    <w:p w14:paraId="673F3634" w14:textId="4C6A4CB2" w:rsidR="00A60347" w:rsidRPr="00F148CE" w:rsidRDefault="00A60347" w:rsidP="00403CB2">
      <w:pPr>
        <w:pStyle w:val="testo-leggedj-para-r1"/>
        <w:spacing w:line="240" w:lineRule="auto"/>
        <w:rPr>
          <w:rFonts w:ascii="Times New Roman" w:hAnsi="Times New Roman" w:cs="Times New Roman"/>
        </w:rPr>
      </w:pPr>
      <w:r w:rsidRPr="00F148CE">
        <w:rPr>
          <w:rFonts w:ascii="Times New Roman" w:hAnsi="Times New Roman" w:cs="Times New Roman"/>
          <w:b/>
          <w:bCs/>
        </w:rPr>
        <w:t xml:space="preserve">Nei confronti della massa attiva </w:t>
      </w:r>
      <w:r w:rsidRPr="00F148CE">
        <w:rPr>
          <w:rFonts w:ascii="Times New Roman" w:hAnsi="Times New Roman" w:cs="Times New Roman"/>
        </w:rPr>
        <w:t xml:space="preserve">non sono ammessi, inoltre, sequestri o procedure esecutive, che, se già </w:t>
      </w:r>
      <w:r w:rsidR="00412897" w:rsidRPr="00F148CE">
        <w:rPr>
          <w:rFonts w:ascii="Times New Roman" w:hAnsi="Times New Roman" w:cs="Times New Roman"/>
        </w:rPr>
        <w:t xml:space="preserve">intraprese non </w:t>
      </w:r>
      <w:r w:rsidRPr="00F148CE">
        <w:rPr>
          <w:rFonts w:ascii="Times New Roman" w:hAnsi="Times New Roman" w:cs="Times New Roman"/>
        </w:rPr>
        <w:t>determinano vincoli sulle somme (art. 255, comma 12, del Tuel).</w:t>
      </w:r>
    </w:p>
    <w:p w14:paraId="0BD80DBF" w14:textId="0E93B879" w:rsidR="00A60347" w:rsidRPr="00F148CE" w:rsidRDefault="00A60347" w:rsidP="00403CB2">
      <w:pPr>
        <w:pStyle w:val="testo-leggedj-para-r1"/>
        <w:spacing w:line="240" w:lineRule="auto"/>
        <w:rPr>
          <w:rFonts w:ascii="Times New Roman" w:hAnsi="Times New Roman" w:cs="Times New Roman"/>
        </w:rPr>
      </w:pPr>
      <w:r w:rsidRPr="00F148CE">
        <w:rPr>
          <w:rFonts w:ascii="Times New Roman" w:hAnsi="Times New Roman" w:cs="Times New Roman"/>
        </w:rPr>
        <w:t>Nella prima riunione successiva alla dichiarazione di dissesto e</w:t>
      </w:r>
      <w:r w:rsidR="00412897" w:rsidRPr="00F148CE">
        <w:rPr>
          <w:rFonts w:ascii="Times New Roman" w:hAnsi="Times New Roman" w:cs="Times New Roman"/>
        </w:rPr>
        <w:t>,</w:t>
      </w:r>
      <w:r w:rsidRPr="00F148CE">
        <w:rPr>
          <w:rFonts w:ascii="Times New Roman" w:hAnsi="Times New Roman" w:cs="Times New Roman"/>
        </w:rPr>
        <w:t xml:space="preserve"> comunque</w:t>
      </w:r>
      <w:r w:rsidR="00412897" w:rsidRPr="00F148CE">
        <w:rPr>
          <w:rFonts w:ascii="Times New Roman" w:hAnsi="Times New Roman" w:cs="Times New Roman"/>
        </w:rPr>
        <w:t>,</w:t>
      </w:r>
      <w:r w:rsidRPr="00F148CE">
        <w:rPr>
          <w:rFonts w:ascii="Times New Roman" w:hAnsi="Times New Roman" w:cs="Times New Roman"/>
        </w:rPr>
        <w:t xml:space="preserve"> entro trenta giorni dalla data di esecutività della delibera, ai sensi dell’art.251, comma 1, del TUEL,</w:t>
      </w:r>
      <w:r w:rsidR="00BB1540" w:rsidRPr="00F148CE">
        <w:rPr>
          <w:rFonts w:ascii="Times New Roman" w:hAnsi="Times New Roman" w:cs="Times New Roman"/>
        </w:rPr>
        <w:t xml:space="preserve"> </w:t>
      </w:r>
      <w:r w:rsidRPr="00F148CE">
        <w:rPr>
          <w:rFonts w:ascii="Times New Roman" w:hAnsi="Times New Roman" w:cs="Times New Roman"/>
        </w:rPr>
        <w:t>il consiglio dell'ente, o il commissario nominato ai sensi dell'art. 247, comma 3, è tenuto a deliberare per le imposte e tasse locali di spettanza dell'ente dissestato</w:t>
      </w:r>
      <w:r w:rsidR="00BF281D">
        <w:rPr>
          <w:rFonts w:ascii="Times New Roman" w:hAnsi="Times New Roman" w:cs="Times New Roman"/>
        </w:rPr>
        <w:t xml:space="preserve"> (d</w:t>
      </w:r>
      <w:r w:rsidRPr="00F148CE">
        <w:rPr>
          <w:rFonts w:ascii="Times New Roman" w:hAnsi="Times New Roman" w:cs="Times New Roman"/>
        </w:rPr>
        <w:t>iverse dalla tassa per lo smaltimento dei rifiuti solidi urbani</w:t>
      </w:r>
      <w:r w:rsidR="00BF281D">
        <w:rPr>
          <w:rFonts w:ascii="Times New Roman" w:hAnsi="Times New Roman" w:cs="Times New Roman"/>
        </w:rPr>
        <w:t>)</w:t>
      </w:r>
      <w:r w:rsidRPr="00F148CE">
        <w:rPr>
          <w:rFonts w:ascii="Times New Roman" w:hAnsi="Times New Roman" w:cs="Times New Roman"/>
        </w:rPr>
        <w:t xml:space="preserve"> le aliquote e le tariffe di base nella misura massima consentita, </w:t>
      </w:r>
      <w:r w:rsidR="00BF281D" w:rsidRPr="00F148CE">
        <w:rPr>
          <w:rFonts w:ascii="Times New Roman" w:hAnsi="Times New Roman" w:cs="Times New Roman"/>
        </w:rPr>
        <w:t>nonché</w:t>
      </w:r>
      <w:r w:rsidRPr="00F148CE">
        <w:rPr>
          <w:rFonts w:ascii="Times New Roman" w:hAnsi="Times New Roman" w:cs="Times New Roman"/>
        </w:rPr>
        <w:t xml:space="preserve"> i limiti reddituali</w:t>
      </w:r>
      <w:r w:rsidR="00BF281D">
        <w:rPr>
          <w:rFonts w:ascii="Times New Roman" w:hAnsi="Times New Roman" w:cs="Times New Roman"/>
        </w:rPr>
        <w:t xml:space="preserve"> (</w:t>
      </w:r>
      <w:r w:rsidRPr="00F148CE">
        <w:rPr>
          <w:rFonts w:ascii="Times New Roman" w:hAnsi="Times New Roman" w:cs="Times New Roman"/>
        </w:rPr>
        <w:t>agli effetti dell'applicazione dell'imposta comunale per l'esercizio di imprese, arti e professioni</w:t>
      </w:r>
      <w:r w:rsidR="00BF281D">
        <w:rPr>
          <w:rFonts w:ascii="Times New Roman" w:hAnsi="Times New Roman" w:cs="Times New Roman"/>
        </w:rPr>
        <w:t>)</w:t>
      </w:r>
      <w:r w:rsidRPr="00F148CE">
        <w:rPr>
          <w:rFonts w:ascii="Times New Roman" w:hAnsi="Times New Roman" w:cs="Times New Roman"/>
        </w:rPr>
        <w:t>, che determinano gli importi massimi del tributo dovuto. </w:t>
      </w:r>
    </w:p>
    <w:p w14:paraId="28FBA077" w14:textId="69F05539" w:rsidR="00A60347" w:rsidRPr="00F148CE" w:rsidRDefault="00A60347" w:rsidP="00403CB2">
      <w:pPr>
        <w:pStyle w:val="testo-leggedj-para-r1"/>
        <w:spacing w:line="240" w:lineRule="auto"/>
        <w:rPr>
          <w:rFonts w:ascii="Times New Roman" w:hAnsi="Times New Roman" w:cs="Times New Roman"/>
        </w:rPr>
      </w:pPr>
      <w:r w:rsidRPr="00F148CE">
        <w:rPr>
          <w:rFonts w:ascii="Times New Roman" w:hAnsi="Times New Roman" w:cs="Times New Roman"/>
        </w:rPr>
        <w:t>In merito</w:t>
      </w:r>
      <w:r w:rsidR="002C27E8" w:rsidRPr="00F148CE">
        <w:rPr>
          <w:rFonts w:ascii="Times New Roman" w:hAnsi="Times New Roman" w:cs="Times New Roman"/>
        </w:rPr>
        <w:t xml:space="preserve">, invece, </w:t>
      </w:r>
      <w:r w:rsidRPr="00F148CE">
        <w:rPr>
          <w:rFonts w:ascii="Times New Roman" w:hAnsi="Times New Roman" w:cs="Times New Roman"/>
        </w:rPr>
        <w:t xml:space="preserve">ai diritti/doveri dell’organo straordinario di liquidazione, l’art.255, comma 8, del TUEL prevede che l'organo straordinario di liquidazione provvede a riscuotere i ruoli pregressi emessi dall'ente e non ancora riscossi, totalmente o parzialmente, </w:t>
      </w:r>
      <w:proofErr w:type="spellStart"/>
      <w:r w:rsidRPr="00F148CE">
        <w:rPr>
          <w:rFonts w:ascii="Times New Roman" w:hAnsi="Times New Roman" w:cs="Times New Roman"/>
        </w:rPr>
        <w:t>nonchè</w:t>
      </w:r>
      <w:proofErr w:type="spellEnd"/>
      <w:r w:rsidRPr="00F148CE">
        <w:rPr>
          <w:rFonts w:ascii="Times New Roman" w:hAnsi="Times New Roman" w:cs="Times New Roman"/>
        </w:rPr>
        <w:t xml:space="preserve"> all'accertamento delle entrate tributarie per le quali l'ente ha omesso la predisposizione dei ruoli o del titolo di entrata previsto per legge.</w:t>
      </w:r>
    </w:p>
    <w:p w14:paraId="3C5CBFF6" w14:textId="102BF679" w:rsidR="008E41CE" w:rsidRPr="00F148CE" w:rsidRDefault="00107505" w:rsidP="00403CB2">
      <w:pPr>
        <w:pStyle w:val="testo-leggedj-para-r1"/>
        <w:spacing w:line="240" w:lineRule="auto"/>
        <w:rPr>
          <w:rFonts w:ascii="Times New Roman" w:hAnsi="Times New Roman" w:cs="Times New Roman"/>
        </w:rPr>
      </w:pPr>
      <w:r w:rsidRPr="00F148CE">
        <w:rPr>
          <w:rFonts w:ascii="Times New Roman" w:hAnsi="Times New Roman" w:cs="Times New Roman"/>
        </w:rPr>
        <w:t>In riferimento</w:t>
      </w:r>
      <w:r w:rsidR="00BF281D">
        <w:rPr>
          <w:rFonts w:ascii="Times New Roman" w:hAnsi="Times New Roman" w:cs="Times New Roman"/>
        </w:rPr>
        <w:t xml:space="preserve"> </w:t>
      </w:r>
      <w:r w:rsidRPr="00F148CE">
        <w:rPr>
          <w:rFonts w:ascii="Times New Roman" w:hAnsi="Times New Roman" w:cs="Times New Roman"/>
        </w:rPr>
        <w:t>ai rapporti tra dissesto e piano di riequilibrio, le norme del Titolo VIII del TUEL escludono che durante il dissesto venga dichiarato un nuovo dissesto (cd</w:t>
      </w:r>
      <w:r w:rsidR="00412897" w:rsidRPr="00F148CE">
        <w:rPr>
          <w:rFonts w:ascii="Times New Roman" w:hAnsi="Times New Roman" w:cs="Times New Roman"/>
        </w:rPr>
        <w:t>.</w:t>
      </w:r>
      <w:r w:rsidRPr="00F148CE">
        <w:rPr>
          <w:rFonts w:ascii="Times New Roman" w:hAnsi="Times New Roman" w:cs="Times New Roman"/>
        </w:rPr>
        <w:t xml:space="preserve"> dissesti a catena o dissesti su dissesti) o l’ammissibilità di procedure di riequilibrio a scorrimento su nuovi squilibri, tanto a causa di squilibri nuovi del bilancio </w:t>
      </w:r>
      <w:r w:rsidRPr="00F148CE">
        <w:rPr>
          <w:rFonts w:ascii="Times New Roman" w:hAnsi="Times New Roman" w:cs="Times New Roman"/>
          <w:i/>
          <w:iCs/>
        </w:rPr>
        <w:t>in bonis</w:t>
      </w:r>
      <w:r w:rsidRPr="00F148CE">
        <w:rPr>
          <w:rFonts w:ascii="Times New Roman" w:hAnsi="Times New Roman" w:cs="Times New Roman"/>
        </w:rPr>
        <w:t>, tanto per quelli ereditati dal bilancio</w:t>
      </w:r>
      <w:r w:rsidR="00412897" w:rsidRPr="00F148CE">
        <w:rPr>
          <w:rFonts w:ascii="Times New Roman" w:hAnsi="Times New Roman" w:cs="Times New Roman"/>
        </w:rPr>
        <w:t xml:space="preserve"> </w:t>
      </w:r>
      <w:r w:rsidRPr="00F148CE">
        <w:rPr>
          <w:rFonts w:ascii="Times New Roman" w:hAnsi="Times New Roman" w:cs="Times New Roman"/>
        </w:rPr>
        <w:t>dissestato</w:t>
      </w:r>
      <w:r w:rsidRPr="00F148CE">
        <w:rPr>
          <w:rStyle w:val="Rimandonotaapidipagina"/>
          <w:rFonts w:ascii="Times New Roman" w:hAnsi="Times New Roman" w:cs="Times New Roman"/>
        </w:rPr>
        <w:footnoteReference w:id="13"/>
      </w:r>
      <w:r w:rsidRPr="00F148CE">
        <w:rPr>
          <w:rFonts w:ascii="Times New Roman" w:hAnsi="Times New Roman" w:cs="Times New Roman"/>
        </w:rPr>
        <w:t>.</w:t>
      </w:r>
    </w:p>
    <w:p w14:paraId="4E211C93" w14:textId="3106A418" w:rsidR="00107505" w:rsidRPr="00F148CE" w:rsidRDefault="00107505" w:rsidP="00403CB2">
      <w:pPr>
        <w:pStyle w:val="testo-leggedj-para-r1"/>
        <w:spacing w:line="240" w:lineRule="auto"/>
        <w:rPr>
          <w:rFonts w:ascii="Times New Roman" w:hAnsi="Times New Roman" w:cs="Times New Roman"/>
        </w:rPr>
      </w:pPr>
      <w:r w:rsidRPr="00F148CE">
        <w:rPr>
          <w:rFonts w:ascii="Times New Roman" w:hAnsi="Times New Roman" w:cs="Times New Roman"/>
        </w:rPr>
        <w:t>P</w:t>
      </w:r>
      <w:r w:rsidR="0059061F" w:rsidRPr="00F148CE">
        <w:rPr>
          <w:rFonts w:ascii="Times New Roman" w:hAnsi="Times New Roman" w:cs="Times New Roman"/>
        </w:rPr>
        <w:t>ar</w:t>
      </w:r>
      <w:r w:rsidRPr="00F148CE">
        <w:rPr>
          <w:rFonts w:ascii="Times New Roman" w:hAnsi="Times New Roman" w:cs="Times New Roman"/>
        </w:rPr>
        <w:t>imenti deve escludersi</w:t>
      </w:r>
      <w:r w:rsidR="007A5099">
        <w:rPr>
          <w:rFonts w:ascii="Times New Roman" w:hAnsi="Times New Roman" w:cs="Times New Roman"/>
        </w:rPr>
        <w:t xml:space="preserve"> </w:t>
      </w:r>
      <w:r w:rsidR="0059061F" w:rsidRPr="00F148CE">
        <w:rPr>
          <w:rFonts w:ascii="Times New Roman" w:hAnsi="Times New Roman" w:cs="Times New Roman"/>
        </w:rPr>
        <w:t>che un Ente in dissesto possa ricorrere al P</w:t>
      </w:r>
      <w:r w:rsidR="00F703E5">
        <w:rPr>
          <w:rFonts w:ascii="Times New Roman" w:hAnsi="Times New Roman" w:cs="Times New Roman"/>
        </w:rPr>
        <w:t>iano di riequilibrio finanziario pluriennale</w:t>
      </w:r>
      <w:r w:rsidR="0028718B">
        <w:rPr>
          <w:rFonts w:ascii="Times New Roman" w:hAnsi="Times New Roman" w:cs="Times New Roman"/>
        </w:rPr>
        <w:t xml:space="preserve">; </w:t>
      </w:r>
      <w:r w:rsidR="0059061F" w:rsidRPr="00F148CE">
        <w:rPr>
          <w:rFonts w:ascii="Times New Roman" w:hAnsi="Times New Roman" w:cs="Times New Roman"/>
        </w:rPr>
        <w:t xml:space="preserve">di </w:t>
      </w:r>
      <w:r w:rsidR="00412897" w:rsidRPr="00F148CE">
        <w:rPr>
          <w:rFonts w:ascii="Times New Roman" w:hAnsi="Times New Roman" w:cs="Times New Roman"/>
        </w:rPr>
        <w:t>converso,</w:t>
      </w:r>
      <w:r w:rsidR="0059061F" w:rsidRPr="00F148CE">
        <w:rPr>
          <w:rFonts w:ascii="Times New Roman" w:hAnsi="Times New Roman" w:cs="Times New Roman"/>
        </w:rPr>
        <w:t xml:space="preserve"> ove l’Ente accerti l’impossibilità di raggiungere</w:t>
      </w:r>
      <w:r w:rsidR="0028718B">
        <w:rPr>
          <w:rFonts w:ascii="Times New Roman" w:hAnsi="Times New Roman" w:cs="Times New Roman"/>
        </w:rPr>
        <w:t xml:space="preserve"> -</w:t>
      </w:r>
      <w:r w:rsidR="0059061F" w:rsidRPr="00F148CE">
        <w:rPr>
          <w:rFonts w:ascii="Times New Roman" w:hAnsi="Times New Roman" w:cs="Times New Roman"/>
        </w:rPr>
        <w:t>in un’ottica pluriennale e ‘prospettica’</w:t>
      </w:r>
      <w:r w:rsidR="0028718B">
        <w:rPr>
          <w:rFonts w:ascii="Times New Roman" w:hAnsi="Times New Roman" w:cs="Times New Roman"/>
        </w:rPr>
        <w:t>-</w:t>
      </w:r>
      <w:r w:rsidR="0059061F" w:rsidRPr="00F148CE">
        <w:rPr>
          <w:rFonts w:ascii="Times New Roman" w:hAnsi="Times New Roman" w:cs="Times New Roman"/>
        </w:rPr>
        <w:t xml:space="preserve"> l’effettivo recupero degli equilibri di bilancio tramite il </w:t>
      </w:r>
      <w:r w:rsidR="00F703E5">
        <w:rPr>
          <w:rFonts w:ascii="Times New Roman" w:hAnsi="Times New Roman" w:cs="Times New Roman"/>
        </w:rPr>
        <w:t>piano di riequilibrio finanziario pluriennale</w:t>
      </w:r>
      <w:r w:rsidR="0059061F" w:rsidRPr="00F148CE">
        <w:rPr>
          <w:rFonts w:ascii="Times New Roman" w:hAnsi="Times New Roman" w:cs="Times New Roman"/>
        </w:rPr>
        <w:t>, rimane in capo all</w:t>
      </w:r>
      <w:r w:rsidR="00412897" w:rsidRPr="00F148CE">
        <w:rPr>
          <w:rFonts w:ascii="Times New Roman" w:hAnsi="Times New Roman" w:cs="Times New Roman"/>
        </w:rPr>
        <w:t>o stesso</w:t>
      </w:r>
      <w:r w:rsidR="00BB1540" w:rsidRPr="00F148CE">
        <w:rPr>
          <w:rFonts w:ascii="Times New Roman" w:hAnsi="Times New Roman" w:cs="Times New Roman"/>
        </w:rPr>
        <w:t xml:space="preserve"> </w:t>
      </w:r>
      <w:r w:rsidR="0059061F" w:rsidRPr="00F148CE">
        <w:rPr>
          <w:rFonts w:ascii="Times New Roman" w:hAnsi="Times New Roman" w:cs="Times New Roman"/>
        </w:rPr>
        <w:t>il potere/dovere</w:t>
      </w:r>
      <w:r w:rsidR="00BB1540" w:rsidRPr="00F148CE">
        <w:rPr>
          <w:rFonts w:ascii="Times New Roman" w:hAnsi="Times New Roman" w:cs="Times New Roman"/>
        </w:rPr>
        <w:t xml:space="preserve"> </w:t>
      </w:r>
      <w:r w:rsidR="0059061F" w:rsidRPr="00F148CE">
        <w:rPr>
          <w:rFonts w:ascii="Times New Roman" w:hAnsi="Times New Roman" w:cs="Times New Roman"/>
        </w:rPr>
        <w:t>di dichiarare il dissesto finanziario</w:t>
      </w:r>
      <w:r w:rsidR="00412897" w:rsidRPr="00F148CE">
        <w:rPr>
          <w:rFonts w:ascii="Times New Roman" w:hAnsi="Times New Roman" w:cs="Times New Roman"/>
        </w:rPr>
        <w:t>,</w:t>
      </w:r>
      <w:r w:rsidR="0059061F" w:rsidRPr="00F148CE">
        <w:rPr>
          <w:rFonts w:ascii="Times New Roman" w:hAnsi="Times New Roman" w:cs="Times New Roman"/>
        </w:rPr>
        <w:t xml:space="preserve"> ai sensi e per gli </w:t>
      </w:r>
      <w:r w:rsidR="002C27E8" w:rsidRPr="00F148CE">
        <w:rPr>
          <w:rFonts w:ascii="Times New Roman" w:hAnsi="Times New Roman" w:cs="Times New Roman"/>
        </w:rPr>
        <w:t>effetti</w:t>
      </w:r>
      <w:r w:rsidR="0059061F" w:rsidRPr="00F148CE">
        <w:rPr>
          <w:rFonts w:ascii="Times New Roman" w:hAnsi="Times New Roman" w:cs="Times New Roman"/>
        </w:rPr>
        <w:t xml:space="preserve"> dell’art.244 del TUEL.</w:t>
      </w:r>
    </w:p>
    <w:p w14:paraId="2EA19CEB" w14:textId="5E766873" w:rsidR="00D875B2" w:rsidRDefault="00403CB2" w:rsidP="00403CB2">
      <w:pPr>
        <w:pStyle w:val="testo-leggedj-para-r1"/>
        <w:spacing w:line="240" w:lineRule="auto"/>
        <w:rPr>
          <w:rFonts w:ascii="Times New Roman" w:hAnsi="Times New Roman" w:cs="Times New Roman"/>
        </w:rPr>
      </w:pPr>
      <w:r w:rsidRPr="00F148CE">
        <w:rPr>
          <w:rFonts w:ascii="Times New Roman" w:hAnsi="Times New Roman" w:cs="Times New Roman"/>
        </w:rPr>
        <w:t>Infine, c</w:t>
      </w:r>
      <w:r w:rsidR="00A60347" w:rsidRPr="00F148CE">
        <w:rPr>
          <w:rFonts w:ascii="Times New Roman" w:hAnsi="Times New Roman" w:cs="Times New Roman"/>
        </w:rPr>
        <w:t xml:space="preserve">ome accennato nella prima parte della </w:t>
      </w:r>
      <w:r w:rsidR="006705AC" w:rsidRPr="00F148CE">
        <w:rPr>
          <w:rFonts w:ascii="Times New Roman" w:hAnsi="Times New Roman" w:cs="Times New Roman"/>
        </w:rPr>
        <w:t>trattazione</w:t>
      </w:r>
      <w:r w:rsidR="006705AC">
        <w:rPr>
          <w:rFonts w:ascii="Times New Roman" w:hAnsi="Times New Roman" w:cs="Times New Roman"/>
        </w:rPr>
        <w:t xml:space="preserve">, </w:t>
      </w:r>
      <w:r w:rsidR="006705AC" w:rsidRPr="00F148CE">
        <w:rPr>
          <w:rFonts w:ascii="Times New Roman" w:hAnsi="Times New Roman" w:cs="Times New Roman"/>
        </w:rPr>
        <w:t>l’art.</w:t>
      </w:r>
      <w:r w:rsidR="00A60347" w:rsidRPr="00F148CE">
        <w:rPr>
          <w:rFonts w:ascii="Times New Roman" w:hAnsi="Times New Roman" w:cs="Times New Roman"/>
        </w:rPr>
        <w:t>248</w:t>
      </w:r>
      <w:r w:rsidR="00473374">
        <w:rPr>
          <w:rFonts w:ascii="Times New Roman" w:hAnsi="Times New Roman" w:cs="Times New Roman"/>
        </w:rPr>
        <w:t xml:space="preserve">, commi 5 e 5 </w:t>
      </w:r>
      <w:r w:rsidR="002F5947">
        <w:rPr>
          <w:rFonts w:ascii="Times New Roman" w:hAnsi="Times New Roman" w:cs="Times New Roman"/>
        </w:rPr>
        <w:t xml:space="preserve">bis, </w:t>
      </w:r>
      <w:r w:rsidR="002F5947" w:rsidRPr="00F148CE">
        <w:rPr>
          <w:rFonts w:ascii="Times New Roman" w:hAnsi="Times New Roman" w:cs="Times New Roman"/>
        </w:rPr>
        <w:t>del</w:t>
      </w:r>
      <w:r w:rsidR="00A60347" w:rsidRPr="00F148CE">
        <w:rPr>
          <w:rFonts w:ascii="Times New Roman" w:hAnsi="Times New Roman" w:cs="Times New Roman"/>
        </w:rPr>
        <w:t xml:space="preserve"> TUEL</w:t>
      </w:r>
      <w:r w:rsidR="00473374" w:rsidRPr="00F148CE">
        <w:rPr>
          <w:rStyle w:val="Rimandonotaapidipagina"/>
          <w:rFonts w:ascii="Times New Roman" w:hAnsi="Times New Roman" w:cs="Times New Roman"/>
        </w:rPr>
        <w:footnoteReference w:id="14"/>
      </w:r>
      <w:r w:rsidR="00473374" w:rsidRPr="00F148CE">
        <w:rPr>
          <w:rFonts w:ascii="Times New Roman" w:hAnsi="Times New Roman" w:cs="Times New Roman"/>
        </w:rPr>
        <w:t xml:space="preserve">. </w:t>
      </w:r>
      <w:r w:rsidR="00A60347" w:rsidRPr="00F148CE">
        <w:rPr>
          <w:rFonts w:ascii="Times New Roman" w:hAnsi="Times New Roman" w:cs="Times New Roman"/>
        </w:rPr>
        <w:t xml:space="preserve"> prevede una specifica forma di responsabilità </w:t>
      </w:r>
      <w:r w:rsidR="002C27E8" w:rsidRPr="00F148CE">
        <w:rPr>
          <w:rFonts w:ascii="Times New Roman" w:hAnsi="Times New Roman" w:cs="Times New Roman"/>
        </w:rPr>
        <w:t>sanzionatoria da</w:t>
      </w:r>
      <w:r w:rsidR="008E41CE" w:rsidRPr="00F148CE">
        <w:rPr>
          <w:rFonts w:ascii="Times New Roman" w:hAnsi="Times New Roman" w:cs="Times New Roman"/>
        </w:rPr>
        <w:t xml:space="preserve"> dissesto </w:t>
      </w:r>
      <w:r w:rsidR="00841B6F" w:rsidRPr="00F148CE">
        <w:rPr>
          <w:rFonts w:ascii="Times New Roman" w:hAnsi="Times New Roman" w:cs="Times New Roman"/>
        </w:rPr>
        <w:t>che costituisce</w:t>
      </w:r>
      <w:r w:rsidR="008E41CE" w:rsidRPr="00F148CE">
        <w:rPr>
          <w:rFonts w:ascii="Times New Roman" w:hAnsi="Times New Roman" w:cs="Times New Roman"/>
        </w:rPr>
        <w:t>, al pari di altre fattispecie di responsabilità sanzionatoria,</w:t>
      </w:r>
      <w:r w:rsidR="00BB1540" w:rsidRPr="00F148CE">
        <w:rPr>
          <w:rFonts w:ascii="Times New Roman" w:hAnsi="Times New Roman" w:cs="Times New Roman"/>
        </w:rPr>
        <w:t xml:space="preserve"> </w:t>
      </w:r>
      <w:r w:rsidR="008E41CE" w:rsidRPr="00F148CE">
        <w:rPr>
          <w:rFonts w:ascii="Times New Roman" w:hAnsi="Times New Roman" w:cs="Times New Roman"/>
        </w:rPr>
        <w:t>un c</w:t>
      </w:r>
      <w:r w:rsidR="008E41CE" w:rsidRPr="00F148CE">
        <w:rPr>
          <w:rFonts w:ascii="Times New Roman" w:hAnsi="Times New Roman" w:cs="Times New Roman"/>
          <w:b/>
          <w:bCs/>
        </w:rPr>
        <w:t xml:space="preserve">ollegamento </w:t>
      </w:r>
      <w:r w:rsidR="008E41CE" w:rsidRPr="00F148CE">
        <w:rPr>
          <w:rFonts w:ascii="Times New Roman" w:hAnsi="Times New Roman" w:cs="Times New Roman"/>
        </w:rPr>
        <w:t xml:space="preserve">tra funzione di controllo e giurisdizionale, coessenziali l’uno all’altra, attraverso il bene giuridico tutelato. Entrambe le funzioni costituiscono </w:t>
      </w:r>
      <w:r w:rsidR="008E41CE" w:rsidRPr="00F148CE">
        <w:rPr>
          <w:rFonts w:ascii="Times New Roman" w:hAnsi="Times New Roman" w:cs="Times New Roman"/>
          <w:u w:val="single"/>
        </w:rPr>
        <w:t>forme di tutela</w:t>
      </w:r>
      <w:r w:rsidR="008E41CE" w:rsidRPr="00F148CE">
        <w:rPr>
          <w:rFonts w:ascii="Times New Roman" w:hAnsi="Times New Roman" w:cs="Times New Roman"/>
        </w:rPr>
        <w:t xml:space="preserve">, in quanto assicurano </w:t>
      </w:r>
      <w:r w:rsidR="008E41CE" w:rsidRPr="00F148CE">
        <w:rPr>
          <w:rFonts w:ascii="Times New Roman" w:hAnsi="Times New Roman" w:cs="Times New Roman"/>
          <w:u w:val="single"/>
        </w:rPr>
        <w:t xml:space="preserve">certezza ed effettività al diritto sul bilancio e al </w:t>
      </w:r>
      <w:r w:rsidR="008E41CE" w:rsidRPr="00F148CE">
        <w:rPr>
          <w:rFonts w:ascii="Times New Roman" w:hAnsi="Times New Roman" w:cs="Times New Roman"/>
          <w:u w:val="single"/>
        </w:rPr>
        <w:lastRenderedPageBreak/>
        <w:t>suo equilibrio</w:t>
      </w:r>
      <w:r w:rsidR="008E41CE" w:rsidRPr="00F148CE">
        <w:rPr>
          <w:rFonts w:ascii="Times New Roman" w:hAnsi="Times New Roman" w:cs="Times New Roman"/>
        </w:rPr>
        <w:t>, come strumento ineludibile di garanzia per lo svolgimento dei servizi essenziali e delle funzioni primarie della vita organizzata nella comunità territoriale.</w:t>
      </w:r>
    </w:p>
    <w:p w14:paraId="445B5232" w14:textId="42A163F6" w:rsidR="003D1D54" w:rsidRPr="00E8746A" w:rsidRDefault="00473374" w:rsidP="00FC73F6">
      <w:pPr>
        <w:jc w:val="both"/>
        <w:rPr>
          <w:rFonts w:ascii="Times New Roman" w:eastAsia="Times New Roman" w:hAnsi="Times New Roman" w:cs="Times New Roman"/>
          <w:kern w:val="0"/>
          <w:lang w:eastAsia="it-IT"/>
          <w14:ligatures w14:val="none"/>
        </w:rPr>
      </w:pPr>
      <w:r w:rsidRPr="00F148CE">
        <w:rPr>
          <w:rFonts w:ascii="Times New Roman" w:hAnsi="Times New Roman" w:cs="Times New Roman"/>
        </w:rPr>
        <w:t>L</w:t>
      </w:r>
      <w:r w:rsidR="006705AC">
        <w:rPr>
          <w:rFonts w:ascii="Times New Roman" w:hAnsi="Times New Roman" w:cs="Times New Roman"/>
        </w:rPr>
        <w:t>a</w:t>
      </w:r>
      <w:r w:rsidRPr="00F148CE">
        <w:rPr>
          <w:rFonts w:ascii="Times New Roman" w:hAnsi="Times New Roman" w:cs="Times New Roman"/>
        </w:rPr>
        <w:t xml:space="preserve"> fattispecie di responsabilità sanzionatoria di cui all'</w:t>
      </w:r>
      <w:r>
        <w:rPr>
          <w:rFonts w:ascii="Times New Roman" w:hAnsi="Times New Roman" w:cs="Times New Roman"/>
        </w:rPr>
        <w:t>art.</w:t>
      </w:r>
      <w:r w:rsidRPr="00F148CE">
        <w:rPr>
          <w:rFonts w:ascii="Times New Roman" w:hAnsi="Times New Roman" w:cs="Times New Roman"/>
        </w:rPr>
        <w:t xml:space="preserve"> 248, commi 5 e 5 </w:t>
      </w:r>
      <w:r w:rsidRPr="00F148CE">
        <w:rPr>
          <w:rFonts w:ascii="Times New Roman" w:hAnsi="Times New Roman" w:cs="Times New Roman"/>
          <w:i/>
          <w:iCs/>
        </w:rPr>
        <w:t>bis</w:t>
      </w:r>
      <w:r w:rsidRPr="00300B9E">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TUEL</w:t>
      </w:r>
      <w:r>
        <w:rPr>
          <w:rFonts w:ascii="Times New Roman" w:hAnsi="Times New Roman" w:cs="Times New Roman"/>
          <w:i/>
          <w:iCs/>
        </w:rPr>
        <w:t xml:space="preserve"> </w:t>
      </w:r>
      <w:r w:rsidRPr="00F148CE">
        <w:rPr>
          <w:rFonts w:ascii="Times New Roman" w:hAnsi="Times New Roman" w:cs="Times New Roman"/>
        </w:rPr>
        <w:t>mira</w:t>
      </w:r>
      <w:r>
        <w:rPr>
          <w:rFonts w:ascii="Times New Roman" w:hAnsi="Times New Roman" w:cs="Times New Roman"/>
        </w:rPr>
        <w:t xml:space="preserve">, </w:t>
      </w:r>
      <w:r w:rsidRPr="00F148CE">
        <w:rPr>
          <w:rFonts w:ascii="Times New Roman" w:hAnsi="Times New Roman" w:cs="Times New Roman"/>
        </w:rPr>
        <w:t xml:space="preserve">attraverso una </w:t>
      </w:r>
      <w:r w:rsidRPr="005E4CF3">
        <w:rPr>
          <w:rFonts w:ascii="Times New Roman" w:hAnsi="Times New Roman" w:cs="Times New Roman"/>
          <w:b/>
          <w:bCs/>
        </w:rPr>
        <w:t>funzione general-preventiva</w:t>
      </w:r>
      <w:r>
        <w:rPr>
          <w:rFonts w:ascii="Times New Roman" w:hAnsi="Times New Roman" w:cs="Times New Roman"/>
        </w:rPr>
        <w:t>,</w:t>
      </w:r>
      <w:r w:rsidRPr="00F148CE">
        <w:rPr>
          <w:rFonts w:ascii="Times New Roman" w:hAnsi="Times New Roman" w:cs="Times New Roman"/>
        </w:rPr>
        <w:t xml:space="preserve"> a sanzionare gli amministratori che la Corte dei conti riconosca responsabili di aver contribuito (con condotte dolose o gravemente colpose) al verificarsi del dissesto</w:t>
      </w:r>
      <w:r>
        <w:rPr>
          <w:rFonts w:ascii="Times New Roman" w:hAnsi="Times New Roman" w:cs="Times New Roman"/>
        </w:rPr>
        <w:t>, ossia alla lesione del bene giuridico protetto</w:t>
      </w:r>
      <w:r w:rsidRPr="00F148CE">
        <w:rPr>
          <w:rFonts w:ascii="Times New Roman" w:hAnsi="Times New Roman" w:cs="Times New Roman"/>
        </w:rPr>
        <w:t>.</w:t>
      </w:r>
      <w:r w:rsidRPr="00F148CE">
        <w:rPr>
          <w:rFonts w:ascii="Times New Roman" w:eastAsia="Times New Roman" w:hAnsi="Times New Roman" w:cs="Times New Roman"/>
          <w:kern w:val="0"/>
          <w:lang w:eastAsia="it-IT"/>
          <w14:ligatures w14:val="none"/>
        </w:rPr>
        <w:t xml:space="preserve"> </w:t>
      </w:r>
    </w:p>
    <w:p w14:paraId="582A79A6" w14:textId="43CC91DD" w:rsidR="00004ECA" w:rsidRPr="00F148CE" w:rsidRDefault="00004ECA" w:rsidP="00004ECA">
      <w:pPr>
        <w:jc w:val="both"/>
        <w:rPr>
          <w:rFonts w:ascii="Times New Roman" w:hAnsi="Times New Roman" w:cs="Times New Roman"/>
        </w:rPr>
      </w:pPr>
      <w:r>
        <w:rPr>
          <w:rFonts w:ascii="Times New Roman" w:hAnsi="Times New Roman" w:cs="Times New Roman"/>
        </w:rPr>
        <w:t>Al riguardo, occorre rammentare che la</w:t>
      </w:r>
      <w:r w:rsidRPr="00F148CE">
        <w:rPr>
          <w:rFonts w:ascii="Times New Roman" w:hAnsi="Times New Roman" w:cs="Times New Roman"/>
        </w:rPr>
        <w:t xml:space="preserve"> Corte costituzionale è costante nell'affermare che il bilancio è un bene comune, per tale intendendosi che il bilancio è preventivo, pubblico e al proprio interno indica la politica degli amministratori</w:t>
      </w:r>
      <w:r>
        <w:rPr>
          <w:rFonts w:ascii="Times New Roman" w:hAnsi="Times New Roman" w:cs="Times New Roman"/>
        </w:rPr>
        <w:t>.</w:t>
      </w:r>
      <w:r w:rsidRPr="00F148CE">
        <w:rPr>
          <w:rFonts w:ascii="Times New Roman" w:hAnsi="Times New Roman" w:cs="Times New Roman"/>
        </w:rPr>
        <w:t xml:space="preserve"> </w:t>
      </w:r>
      <w:r>
        <w:rPr>
          <w:rFonts w:ascii="Times New Roman" w:hAnsi="Times New Roman" w:cs="Times New Roman"/>
        </w:rPr>
        <w:t>A</w:t>
      </w:r>
      <w:r w:rsidRPr="00F148CE">
        <w:rPr>
          <w:rFonts w:ascii="Times New Roman" w:hAnsi="Times New Roman" w:cs="Times New Roman"/>
        </w:rPr>
        <w:t>d esso</w:t>
      </w:r>
      <w:r>
        <w:rPr>
          <w:rFonts w:ascii="Times New Roman" w:hAnsi="Times New Roman" w:cs="Times New Roman"/>
        </w:rPr>
        <w:t>, inoltre,</w:t>
      </w:r>
      <w:r w:rsidRPr="00F148CE">
        <w:rPr>
          <w:rFonts w:ascii="Times New Roman" w:hAnsi="Times New Roman" w:cs="Times New Roman"/>
        </w:rPr>
        <w:t xml:space="preserve"> deve fare eco, all'esito della gestione, il rendiconto e per certi versi deve esserci una rispondenza non soltanto </w:t>
      </w:r>
      <w:proofErr w:type="spellStart"/>
      <w:r w:rsidRPr="00F148CE">
        <w:rPr>
          <w:rFonts w:ascii="Times New Roman" w:hAnsi="Times New Roman" w:cs="Times New Roman"/>
        </w:rPr>
        <w:t>contabilistica</w:t>
      </w:r>
      <w:proofErr w:type="spellEnd"/>
      <w:r w:rsidRPr="00F148CE">
        <w:rPr>
          <w:rFonts w:ascii="Times New Roman" w:hAnsi="Times New Roman" w:cs="Times New Roman"/>
        </w:rPr>
        <w:t xml:space="preserve"> ma anche nell</w:t>
      </w:r>
      <w:r w:rsidR="007C3E68">
        <w:rPr>
          <w:rFonts w:ascii="Times New Roman" w:hAnsi="Times New Roman" w:cs="Times New Roman"/>
        </w:rPr>
        <w:t>o spirito</w:t>
      </w:r>
      <w:r w:rsidRPr="00F148CE">
        <w:rPr>
          <w:rFonts w:ascii="Times New Roman" w:hAnsi="Times New Roman" w:cs="Times New Roman"/>
          <w:i/>
          <w:iCs/>
        </w:rPr>
        <w:t xml:space="preserve"> </w:t>
      </w:r>
      <w:r w:rsidRPr="00F148CE">
        <w:rPr>
          <w:rFonts w:ascii="Times New Roman" w:hAnsi="Times New Roman" w:cs="Times New Roman"/>
        </w:rPr>
        <w:t>che sottostà a entrambi i</w:t>
      </w:r>
      <w:r w:rsidR="007C3E68">
        <w:rPr>
          <w:rFonts w:ascii="Times New Roman" w:hAnsi="Times New Roman" w:cs="Times New Roman"/>
        </w:rPr>
        <w:t xml:space="preserve"> citati</w:t>
      </w:r>
      <w:r w:rsidRPr="00F148CE">
        <w:rPr>
          <w:rFonts w:ascii="Times New Roman" w:hAnsi="Times New Roman" w:cs="Times New Roman"/>
        </w:rPr>
        <w:t xml:space="preserve"> documenti.</w:t>
      </w:r>
    </w:p>
    <w:p w14:paraId="22A333ED" w14:textId="50110508" w:rsidR="001D5327" w:rsidRPr="00976252" w:rsidRDefault="00E8746A" w:rsidP="001D5327">
      <w:pPr>
        <w:jc w:val="both"/>
        <w:rPr>
          <w:rFonts w:ascii="Times New Roman" w:hAnsi="Times New Roman" w:cs="Times New Roman"/>
          <w:i/>
          <w:iCs/>
        </w:rPr>
      </w:pPr>
      <w:r w:rsidRPr="00E8746A">
        <w:rPr>
          <w:rFonts w:ascii="Times New Roman" w:hAnsi="Times New Roman" w:cs="Times New Roman"/>
        </w:rPr>
        <w:t xml:space="preserve">In merito a tale tipologia di responsabilità, preme , infine, precisare che </w:t>
      </w:r>
      <w:r w:rsidR="001A2C74" w:rsidRPr="00E8746A">
        <w:rPr>
          <w:rFonts w:ascii="Times New Roman" w:hAnsi="Times New Roman" w:cs="Times New Roman"/>
        </w:rPr>
        <w:t>le Sezioni unite della Corte di Cassazione</w:t>
      </w:r>
      <w:r w:rsidR="00976252" w:rsidRPr="00E8746A">
        <w:rPr>
          <w:rFonts w:ascii="Times New Roman" w:hAnsi="Times New Roman" w:cs="Times New Roman"/>
        </w:rPr>
        <w:t>,</w:t>
      </w:r>
      <w:r w:rsidR="001A2C74" w:rsidRPr="00E8746A">
        <w:rPr>
          <w:rFonts w:ascii="Times New Roman" w:hAnsi="Times New Roman" w:cs="Times New Roman"/>
        </w:rPr>
        <w:t xml:space="preserve"> con </w:t>
      </w:r>
      <w:r w:rsidR="005F47B8" w:rsidRPr="00E8746A">
        <w:rPr>
          <w:rFonts w:ascii="Times New Roman" w:hAnsi="Times New Roman" w:cs="Times New Roman"/>
        </w:rPr>
        <w:t xml:space="preserve">l’ordinanza n. </w:t>
      </w:r>
      <w:r w:rsidR="00706820" w:rsidRPr="00E8746A">
        <w:rPr>
          <w:rFonts w:ascii="Times New Roman" w:hAnsi="Times New Roman" w:cs="Times New Roman"/>
        </w:rPr>
        <w:t xml:space="preserve">13305 </w:t>
      </w:r>
      <w:r w:rsidR="00921CF1" w:rsidRPr="00E8746A">
        <w:rPr>
          <w:rFonts w:ascii="Times New Roman" w:hAnsi="Times New Roman" w:cs="Times New Roman"/>
        </w:rPr>
        <w:t xml:space="preserve">pubblicata il 14 maggio </w:t>
      </w:r>
      <w:r w:rsidR="00706820" w:rsidRPr="00E8746A">
        <w:rPr>
          <w:rFonts w:ascii="Times New Roman" w:hAnsi="Times New Roman" w:cs="Times New Roman"/>
        </w:rPr>
        <w:t>2024</w:t>
      </w:r>
      <w:r w:rsidR="00976252" w:rsidRPr="00E8746A">
        <w:rPr>
          <w:rFonts w:ascii="Times New Roman" w:hAnsi="Times New Roman" w:cs="Times New Roman"/>
        </w:rPr>
        <w:t>,</w:t>
      </w:r>
      <w:r w:rsidR="00DB26C5" w:rsidRPr="00E8746A">
        <w:rPr>
          <w:rFonts w:ascii="Times New Roman" w:hAnsi="Times New Roman" w:cs="Times New Roman"/>
        </w:rPr>
        <w:t xml:space="preserve"> ha</w:t>
      </w:r>
      <w:r w:rsidR="004630BB" w:rsidRPr="00E8746A">
        <w:rPr>
          <w:rFonts w:ascii="Times New Roman" w:hAnsi="Times New Roman" w:cs="Times New Roman"/>
        </w:rPr>
        <w:t>nno</w:t>
      </w:r>
      <w:r w:rsidR="00DB26C5" w:rsidRPr="00E8746A">
        <w:rPr>
          <w:rFonts w:ascii="Times New Roman" w:hAnsi="Times New Roman" w:cs="Times New Roman"/>
        </w:rPr>
        <w:t xml:space="preserve"> confermato che </w:t>
      </w:r>
      <w:r w:rsidR="00062211" w:rsidRPr="00E8746A">
        <w:rPr>
          <w:rFonts w:ascii="Times New Roman" w:hAnsi="Times New Roman" w:cs="Times New Roman"/>
        </w:rPr>
        <w:t>“</w:t>
      </w:r>
      <w:r w:rsidR="005F5B98" w:rsidRPr="00E8746A">
        <w:rPr>
          <w:rFonts w:ascii="Times New Roman" w:hAnsi="Times New Roman" w:cs="Times New Roman"/>
          <w:i/>
          <w:iCs/>
        </w:rPr>
        <w:t>La Corte dei Conti, quale autorità giurisdizionale amministrativa speciale, ha dunque il potere di accertare le responsabilità personali degli amministratori del dissesto e questo accertamento si pone come presupposto dell’applicazione delle misure interdittive, tra cui l’incandidabilità, derivante</w:t>
      </w:r>
      <w:r w:rsidR="005F5B98" w:rsidRPr="00976252">
        <w:rPr>
          <w:rFonts w:ascii="Times New Roman" w:hAnsi="Times New Roman" w:cs="Times New Roman"/>
          <w:i/>
          <w:iCs/>
        </w:rPr>
        <w:t xml:space="preserve"> direttamente dalla legge non dalla dichiarazione giudiziale</w:t>
      </w:r>
      <w:r w:rsidR="00062211">
        <w:rPr>
          <w:rFonts w:ascii="Times New Roman" w:hAnsi="Times New Roman" w:cs="Times New Roman"/>
          <w:i/>
          <w:iCs/>
        </w:rPr>
        <w:t>”</w:t>
      </w:r>
      <w:r w:rsidR="005F5B98" w:rsidRPr="00976252">
        <w:rPr>
          <w:rFonts w:ascii="Times New Roman" w:hAnsi="Times New Roman" w:cs="Times New Roman"/>
          <w:i/>
          <w:iCs/>
        </w:rPr>
        <w:t>.</w:t>
      </w:r>
    </w:p>
    <w:p w14:paraId="64B1047D" w14:textId="3BC8DB62" w:rsidR="001D5327" w:rsidRPr="00976252" w:rsidRDefault="004630BB" w:rsidP="001D5327">
      <w:pPr>
        <w:jc w:val="both"/>
        <w:rPr>
          <w:rFonts w:ascii="Times New Roman" w:hAnsi="Times New Roman" w:cs="Times New Roman"/>
          <w:i/>
          <w:iCs/>
        </w:rPr>
      </w:pPr>
      <w:r w:rsidRPr="00976252">
        <w:rPr>
          <w:rFonts w:ascii="Times New Roman" w:hAnsi="Times New Roman" w:cs="Times New Roman"/>
        </w:rPr>
        <w:t xml:space="preserve">Al contempo, è stato chiarito che </w:t>
      </w:r>
      <w:r w:rsidR="00062211">
        <w:rPr>
          <w:rFonts w:ascii="Times New Roman" w:hAnsi="Times New Roman" w:cs="Times New Roman"/>
        </w:rPr>
        <w:t>“</w:t>
      </w:r>
      <w:r w:rsidR="00105237" w:rsidRPr="00976252">
        <w:rPr>
          <w:rFonts w:ascii="Times New Roman" w:hAnsi="Times New Roman" w:cs="Times New Roman"/>
          <w:i/>
          <w:iCs/>
        </w:rPr>
        <w:t>Dal medesimo ed unico accertamento discendono dunque due effetti: quello di condanna alla sanzione pecuniaria, così come previsto dall'art. 248, comma 5 e 5-bis, del TUEL, e quello automatico e conseguenziale, di sola «sussistenza dei presupposti per l'applicazione delle sanzioni interdittive o di status previste dai medesimi commi», che verranno poi applicate dall'autorità amministrativa competente</w:t>
      </w:r>
      <w:r w:rsidR="00062211">
        <w:rPr>
          <w:rFonts w:ascii="Times New Roman" w:hAnsi="Times New Roman" w:cs="Times New Roman"/>
          <w:i/>
          <w:iCs/>
        </w:rPr>
        <w:t>”</w:t>
      </w:r>
      <w:r w:rsidR="00105237" w:rsidRPr="00976252">
        <w:rPr>
          <w:rFonts w:ascii="Times New Roman" w:hAnsi="Times New Roman" w:cs="Times New Roman"/>
          <w:i/>
          <w:iCs/>
        </w:rPr>
        <w:t>.</w:t>
      </w:r>
    </w:p>
    <w:sectPr w:rsidR="001D5327" w:rsidRPr="00976252">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47E2" w14:textId="77777777" w:rsidR="00140C31" w:rsidRDefault="00140C31" w:rsidP="00CA3340">
      <w:r>
        <w:separator/>
      </w:r>
    </w:p>
  </w:endnote>
  <w:endnote w:type="continuationSeparator" w:id="0">
    <w:p w14:paraId="70D52744" w14:textId="77777777" w:rsidR="00140C31" w:rsidRDefault="00140C31" w:rsidP="00CA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81839526"/>
      <w:docPartObj>
        <w:docPartGallery w:val="Page Numbers (Bottom of Page)"/>
        <w:docPartUnique/>
      </w:docPartObj>
    </w:sdtPr>
    <w:sdtContent>
      <w:p w14:paraId="4BB7203E" w14:textId="3F71CA0F" w:rsidR="00130CA1" w:rsidRPr="00760EFF" w:rsidRDefault="00130CA1">
        <w:pPr>
          <w:pStyle w:val="Pidipagina"/>
          <w:jc w:val="center"/>
          <w:rPr>
            <w:rFonts w:ascii="Times New Roman" w:hAnsi="Times New Roman" w:cs="Times New Roman"/>
          </w:rPr>
        </w:pPr>
        <w:r w:rsidRPr="00760EFF">
          <w:rPr>
            <w:rFonts w:ascii="Times New Roman" w:hAnsi="Times New Roman" w:cs="Times New Roman"/>
          </w:rPr>
          <w:fldChar w:fldCharType="begin"/>
        </w:r>
        <w:r w:rsidRPr="00760EFF">
          <w:rPr>
            <w:rFonts w:ascii="Times New Roman" w:hAnsi="Times New Roman" w:cs="Times New Roman"/>
          </w:rPr>
          <w:instrText>PAGE   \* MERGEFORMAT</w:instrText>
        </w:r>
        <w:r w:rsidRPr="00760EFF">
          <w:rPr>
            <w:rFonts w:ascii="Times New Roman" w:hAnsi="Times New Roman" w:cs="Times New Roman"/>
          </w:rPr>
          <w:fldChar w:fldCharType="separate"/>
        </w:r>
        <w:r w:rsidRPr="00760EFF">
          <w:rPr>
            <w:rFonts w:ascii="Times New Roman" w:hAnsi="Times New Roman" w:cs="Times New Roman"/>
          </w:rPr>
          <w:t>2</w:t>
        </w:r>
        <w:r w:rsidRPr="00760EFF">
          <w:rPr>
            <w:rFonts w:ascii="Times New Roman" w:hAnsi="Times New Roman" w:cs="Times New Roman"/>
          </w:rPr>
          <w:fldChar w:fldCharType="end"/>
        </w:r>
      </w:p>
    </w:sdtContent>
  </w:sdt>
  <w:p w14:paraId="3C1EB129" w14:textId="77777777" w:rsidR="00130CA1" w:rsidRDefault="00130C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7993D" w14:textId="77777777" w:rsidR="00140C31" w:rsidRDefault="00140C31" w:rsidP="00CA3340">
      <w:r>
        <w:separator/>
      </w:r>
    </w:p>
  </w:footnote>
  <w:footnote w:type="continuationSeparator" w:id="0">
    <w:p w14:paraId="44F4B415" w14:textId="77777777" w:rsidR="00140C31" w:rsidRDefault="00140C31" w:rsidP="00CA3340">
      <w:r>
        <w:continuationSeparator/>
      </w:r>
    </w:p>
  </w:footnote>
  <w:footnote w:id="1">
    <w:p w14:paraId="2D7548FB" w14:textId="0443986E" w:rsidR="00353FEC" w:rsidRPr="00353FEC" w:rsidRDefault="00353FEC" w:rsidP="00353FEC">
      <w:pPr>
        <w:autoSpaceDE w:val="0"/>
        <w:autoSpaceDN w:val="0"/>
        <w:adjustRightInd w:val="0"/>
        <w:jc w:val="both"/>
        <w:rPr>
          <w:rFonts w:ascii="Times New Roman" w:hAnsi="Times New Roman" w:cs="Times New Roman"/>
          <w:kern w:val="0"/>
          <w:sz w:val="18"/>
          <w:szCs w:val="18"/>
        </w:rPr>
      </w:pPr>
      <w:r w:rsidRPr="00353FEC">
        <w:rPr>
          <w:rStyle w:val="Rimandonotaapidipagina"/>
        </w:rPr>
        <w:sym w:font="Symbol" w:char="F0A7"/>
      </w:r>
      <w:r>
        <w:t xml:space="preserve"> </w:t>
      </w:r>
      <w:r w:rsidRPr="00353FEC">
        <w:rPr>
          <w:rFonts w:ascii="Times New Roman" w:hAnsi="Times New Roman" w:cs="Times New Roman"/>
          <w:kern w:val="0"/>
          <w:sz w:val="18"/>
          <w:szCs w:val="18"/>
        </w:rPr>
        <w:t xml:space="preserve">G. Vella, magistrato della Corte dei conti presso la Sezione di controllo per la </w:t>
      </w:r>
      <w:r>
        <w:rPr>
          <w:rFonts w:ascii="Times New Roman" w:hAnsi="Times New Roman" w:cs="Times New Roman"/>
          <w:kern w:val="0"/>
          <w:sz w:val="18"/>
          <w:szCs w:val="18"/>
        </w:rPr>
        <w:t>Regione siciliana e in assegnazione aggiuntiva presso la Sezione giurisdizionale per le Marche</w:t>
      </w:r>
      <w:r w:rsidRPr="00353FEC">
        <w:rPr>
          <w:rFonts w:ascii="Times New Roman" w:hAnsi="Times New Roman" w:cs="Times New Roman"/>
          <w:kern w:val="0"/>
          <w:sz w:val="18"/>
          <w:szCs w:val="18"/>
        </w:rPr>
        <w:t>, è stato segretario e direttore generale di</w:t>
      </w:r>
      <w:r>
        <w:rPr>
          <w:rFonts w:ascii="Times New Roman" w:hAnsi="Times New Roman" w:cs="Times New Roman"/>
          <w:kern w:val="0"/>
          <w:sz w:val="18"/>
          <w:szCs w:val="18"/>
        </w:rPr>
        <w:t xml:space="preserve"> </w:t>
      </w:r>
      <w:r w:rsidRPr="00353FEC">
        <w:rPr>
          <w:rFonts w:ascii="Times New Roman" w:hAnsi="Times New Roman" w:cs="Times New Roman"/>
          <w:kern w:val="0"/>
          <w:sz w:val="18"/>
          <w:szCs w:val="18"/>
        </w:rPr>
        <w:t>enti di grandi dimensioni. Il lavoro riflette esclusivamente le opinioni dell’autore, senza impegnare la responsabilità dell’Istituzione di</w:t>
      </w:r>
      <w:r>
        <w:rPr>
          <w:rFonts w:ascii="Times New Roman" w:hAnsi="Times New Roman" w:cs="Times New Roman"/>
          <w:kern w:val="0"/>
          <w:sz w:val="18"/>
          <w:szCs w:val="18"/>
        </w:rPr>
        <w:t xml:space="preserve"> </w:t>
      </w:r>
      <w:r w:rsidRPr="00353FEC">
        <w:rPr>
          <w:rFonts w:ascii="Times New Roman" w:hAnsi="Times New Roman" w:cs="Times New Roman"/>
          <w:kern w:val="0"/>
          <w:sz w:val="18"/>
          <w:szCs w:val="18"/>
        </w:rPr>
        <w:t>appartenenza.</w:t>
      </w:r>
    </w:p>
  </w:footnote>
  <w:footnote w:id="2">
    <w:p w14:paraId="62E6C44D" w14:textId="1BBDE58E" w:rsidR="00CA3340" w:rsidRPr="00841B6F" w:rsidRDefault="00CA3340">
      <w:pPr>
        <w:pStyle w:val="Testonotaapidipagina"/>
        <w:rPr>
          <w:rFonts w:ascii="Times New Roman" w:hAnsi="Times New Roman" w:cs="Times New Roman"/>
        </w:rPr>
      </w:pPr>
      <w:r>
        <w:rPr>
          <w:rStyle w:val="Rimandonotaapidipagina"/>
        </w:rPr>
        <w:footnoteRef/>
      </w:r>
      <w:r>
        <w:t xml:space="preserve"> </w:t>
      </w:r>
      <w:r w:rsidRPr="00841B6F">
        <w:rPr>
          <w:rFonts w:ascii="Times New Roman" w:hAnsi="Times New Roman" w:cs="Times New Roman"/>
          <w:sz w:val="18"/>
          <w:szCs w:val="18"/>
        </w:rPr>
        <w:t>P. TENUTA, Dissesto e predissesto finanziario negli enti locali. Analisi e confronti in un’ottica economico-aziendale, 2015.</w:t>
      </w:r>
      <w:r w:rsidRPr="00841B6F">
        <w:rPr>
          <w:rFonts w:ascii="Times New Roman" w:hAnsi="Times New Roman" w:cs="Times New Roman"/>
        </w:rPr>
        <w:t xml:space="preserve"> </w:t>
      </w:r>
    </w:p>
  </w:footnote>
  <w:footnote w:id="3">
    <w:p w14:paraId="102410BA" w14:textId="108D627A" w:rsidR="001D6BF2" w:rsidRPr="001D6BF2" w:rsidRDefault="001D6BF2">
      <w:pPr>
        <w:pStyle w:val="Testonotaapidipagina"/>
        <w:rPr>
          <w:rFonts w:ascii="Times New Roman" w:hAnsi="Times New Roman" w:cs="Times New Roman"/>
          <w:sz w:val="18"/>
          <w:szCs w:val="18"/>
        </w:rPr>
      </w:pPr>
      <w:r w:rsidRPr="001D6BF2">
        <w:rPr>
          <w:rStyle w:val="Rimandonotaapidipagina"/>
          <w:rFonts w:ascii="Times New Roman" w:hAnsi="Times New Roman" w:cs="Times New Roman"/>
          <w:sz w:val="18"/>
          <w:szCs w:val="18"/>
        </w:rPr>
        <w:footnoteRef/>
      </w:r>
      <w:r w:rsidR="00BB1540">
        <w:rPr>
          <w:rFonts w:ascii="Times New Roman" w:hAnsi="Times New Roman" w:cs="Times New Roman"/>
          <w:sz w:val="18"/>
          <w:szCs w:val="18"/>
        </w:rPr>
        <w:t xml:space="preserve"> </w:t>
      </w:r>
      <w:r w:rsidRPr="001D6BF2">
        <w:rPr>
          <w:rFonts w:ascii="Times New Roman" w:hAnsi="Times New Roman" w:cs="Times New Roman"/>
          <w:i/>
          <w:iCs/>
          <w:sz w:val="18"/>
          <w:szCs w:val="18"/>
        </w:rPr>
        <w:t>Sezioni riunite in sede giurisdizionale, sentenza n. 40/2020/EL</w:t>
      </w:r>
    </w:p>
  </w:footnote>
  <w:footnote w:id="4">
    <w:p w14:paraId="4D333AC7" w14:textId="4B0ECF55" w:rsidR="00D71CDE" w:rsidRPr="00841B6F" w:rsidRDefault="00D71CDE" w:rsidP="00841B6F">
      <w:pPr>
        <w:pStyle w:val="Testonotaapidipagina"/>
        <w:jc w:val="both"/>
        <w:rPr>
          <w:rFonts w:ascii="Times New Roman" w:hAnsi="Times New Roman" w:cs="Times New Roman"/>
          <w:sz w:val="18"/>
          <w:szCs w:val="18"/>
        </w:rPr>
      </w:pPr>
      <w:r>
        <w:rPr>
          <w:rStyle w:val="Rimandonotaapidipagina"/>
        </w:rPr>
        <w:footnoteRef/>
      </w:r>
      <w:r>
        <w:t xml:space="preserve"> </w:t>
      </w:r>
      <w:r w:rsidRPr="00841B6F">
        <w:rPr>
          <w:rFonts w:ascii="Times New Roman" w:hAnsi="Times New Roman" w:cs="Times New Roman"/>
          <w:sz w:val="18"/>
          <w:szCs w:val="18"/>
        </w:rPr>
        <w:t>Per sostenibilità finanziaria la giurisprudenza contabile intende “la capacità delle poste di generare flussi di cassa in grado di garantire la regolarità dei pagamenti” (Sezione di controllo per la Regione Campania n. 46/2019).</w:t>
      </w:r>
    </w:p>
  </w:footnote>
  <w:footnote w:id="5">
    <w:p w14:paraId="2888FC95" w14:textId="7F557C25" w:rsidR="007E7F25" w:rsidRPr="00841B6F" w:rsidRDefault="007E7F25" w:rsidP="00841B6F">
      <w:pPr>
        <w:pStyle w:val="Testonotaapidipagina"/>
        <w:jc w:val="both"/>
        <w:rPr>
          <w:rFonts w:ascii="Times New Roman" w:hAnsi="Times New Roman" w:cs="Times New Roman"/>
          <w:sz w:val="18"/>
          <w:szCs w:val="18"/>
        </w:rPr>
      </w:pPr>
      <w:r w:rsidRPr="00841B6F">
        <w:rPr>
          <w:rStyle w:val="Rimandonotaapidipagina"/>
          <w:rFonts w:ascii="Times New Roman" w:hAnsi="Times New Roman" w:cs="Times New Roman"/>
          <w:sz w:val="18"/>
          <w:szCs w:val="18"/>
        </w:rPr>
        <w:footnoteRef/>
      </w:r>
      <w:r w:rsidRPr="00841B6F">
        <w:rPr>
          <w:rFonts w:ascii="Times New Roman" w:hAnsi="Times New Roman" w:cs="Times New Roman"/>
          <w:sz w:val="18"/>
          <w:szCs w:val="18"/>
        </w:rPr>
        <w:t xml:space="preserve"> SS.RR. n. 32/2020 cit., la quale precisa che “Il PRFP, pertanto, è solo una procedura ‘succedanea’ a quella di dissesto e a questa solo in parte alternativa. Solo in questo senso l’ordinamento ‘preferisce’ la procedura di ‘predissesto’, ai sensi dell’art. 243-bis Tuel e ss., al dissesto ai sensi degli art. 244 e ss. Tuel, in quanto la procedura pluriennale consente il riequilibrio ‘consolidato’ delle finanze dell’ente, senza il rischio di occultamento di scompensi in gestioni separate di bilancio, garantendo l’autonomia sul piano della spesa e dei pagamenti e una maggiore flessibilità delle leve finanziarie e di spesa”.</w:t>
      </w:r>
    </w:p>
  </w:footnote>
  <w:footnote w:id="6">
    <w:p w14:paraId="69BA3A1A" w14:textId="0CB72889" w:rsidR="00B467CC" w:rsidRPr="00841B6F" w:rsidRDefault="00B467CC" w:rsidP="00841B6F">
      <w:pPr>
        <w:pStyle w:val="Testonotaapidipagina"/>
        <w:jc w:val="both"/>
        <w:rPr>
          <w:rFonts w:ascii="Times New Roman" w:hAnsi="Times New Roman" w:cs="Times New Roman"/>
          <w:sz w:val="18"/>
          <w:szCs w:val="18"/>
        </w:rPr>
      </w:pPr>
      <w:r w:rsidRPr="00841B6F">
        <w:rPr>
          <w:rStyle w:val="Rimandonotaapidipagina"/>
          <w:rFonts w:ascii="Times New Roman" w:hAnsi="Times New Roman" w:cs="Times New Roman"/>
          <w:sz w:val="18"/>
          <w:szCs w:val="18"/>
        </w:rPr>
        <w:footnoteRef/>
      </w:r>
      <w:r w:rsidRPr="00841B6F">
        <w:rPr>
          <w:rFonts w:ascii="Times New Roman" w:hAnsi="Times New Roman" w:cs="Times New Roman"/>
          <w:sz w:val="18"/>
          <w:szCs w:val="18"/>
        </w:rPr>
        <w:t xml:space="preserve"> Cfr. Consiglio di Stato, </w:t>
      </w:r>
      <w:proofErr w:type="spellStart"/>
      <w:r w:rsidRPr="00841B6F">
        <w:rPr>
          <w:rFonts w:ascii="Times New Roman" w:hAnsi="Times New Roman" w:cs="Times New Roman"/>
          <w:sz w:val="18"/>
          <w:szCs w:val="18"/>
        </w:rPr>
        <w:t>sent</w:t>
      </w:r>
      <w:proofErr w:type="spellEnd"/>
      <w:r w:rsidRPr="00841B6F">
        <w:rPr>
          <w:rFonts w:ascii="Times New Roman" w:hAnsi="Times New Roman" w:cs="Times New Roman"/>
          <w:sz w:val="18"/>
          <w:szCs w:val="18"/>
        </w:rPr>
        <w:t>. n. 143/2012</w:t>
      </w:r>
      <w:r w:rsidR="00841B6F">
        <w:rPr>
          <w:rFonts w:ascii="Times New Roman" w:hAnsi="Times New Roman" w:cs="Times New Roman"/>
          <w:sz w:val="18"/>
          <w:szCs w:val="18"/>
        </w:rPr>
        <w:t>.</w:t>
      </w:r>
      <w:r w:rsidR="00BB1540">
        <w:rPr>
          <w:rFonts w:ascii="Times New Roman" w:hAnsi="Times New Roman" w:cs="Times New Roman"/>
          <w:sz w:val="18"/>
          <w:szCs w:val="18"/>
        </w:rPr>
        <w:t xml:space="preserve"> </w:t>
      </w:r>
    </w:p>
  </w:footnote>
  <w:footnote w:id="7">
    <w:p w14:paraId="3ACD7A7B" w14:textId="13FD2384" w:rsidR="00877F0A" w:rsidRPr="00713838" w:rsidRDefault="00877F0A">
      <w:pPr>
        <w:pStyle w:val="Testonotaapidipagina"/>
        <w:rPr>
          <w:rFonts w:ascii="Times New Roman" w:hAnsi="Times New Roman" w:cs="Times New Roman"/>
          <w:sz w:val="18"/>
          <w:szCs w:val="18"/>
          <w:lang w:val="en-US"/>
        </w:rPr>
      </w:pPr>
      <w:r w:rsidRPr="00DF5015">
        <w:rPr>
          <w:rStyle w:val="Rimandonotaapidipagina"/>
          <w:rFonts w:ascii="Times New Roman" w:hAnsi="Times New Roman" w:cs="Times New Roman"/>
          <w:sz w:val="18"/>
          <w:szCs w:val="18"/>
        </w:rPr>
        <w:footnoteRef/>
      </w:r>
      <w:r w:rsidRPr="00DF5015">
        <w:rPr>
          <w:rFonts w:ascii="Times New Roman" w:hAnsi="Times New Roman" w:cs="Times New Roman"/>
          <w:sz w:val="18"/>
          <w:szCs w:val="18"/>
          <w:lang w:val="en-US"/>
        </w:rPr>
        <w:t xml:space="preserve"> </w:t>
      </w:r>
      <w:proofErr w:type="spellStart"/>
      <w:r w:rsidRPr="00DF5015">
        <w:rPr>
          <w:rFonts w:ascii="Times New Roman" w:hAnsi="Times New Roman" w:cs="Times New Roman"/>
          <w:sz w:val="18"/>
          <w:szCs w:val="18"/>
          <w:lang w:val="en-US"/>
        </w:rPr>
        <w:t>Cfr</w:t>
      </w:r>
      <w:proofErr w:type="spellEnd"/>
      <w:r w:rsidRPr="00DF5015">
        <w:rPr>
          <w:rFonts w:ascii="Times New Roman" w:hAnsi="Times New Roman" w:cs="Times New Roman"/>
          <w:sz w:val="18"/>
          <w:szCs w:val="18"/>
          <w:lang w:val="en-US"/>
        </w:rPr>
        <w:t xml:space="preserve">. SS.RR. in spec. </w:t>
      </w:r>
      <w:r w:rsidRPr="00713838">
        <w:rPr>
          <w:rFonts w:ascii="Times New Roman" w:hAnsi="Times New Roman" w:cs="Times New Roman"/>
          <w:sz w:val="18"/>
          <w:szCs w:val="18"/>
          <w:lang w:val="en-US"/>
        </w:rPr>
        <w:t>Comp., sent</w:t>
      </w:r>
      <w:r w:rsidR="00DF5015" w:rsidRPr="00713838">
        <w:rPr>
          <w:rFonts w:ascii="Times New Roman" w:hAnsi="Times New Roman" w:cs="Times New Roman"/>
          <w:sz w:val="18"/>
          <w:szCs w:val="18"/>
          <w:lang w:val="en-US"/>
        </w:rPr>
        <w:t>.</w:t>
      </w:r>
      <w:r w:rsidRPr="00713838">
        <w:rPr>
          <w:rFonts w:ascii="Times New Roman" w:hAnsi="Times New Roman" w:cs="Times New Roman"/>
          <w:sz w:val="18"/>
          <w:szCs w:val="18"/>
          <w:lang w:val="en-US"/>
        </w:rPr>
        <w:t xml:space="preserve"> </w:t>
      </w:r>
      <w:r w:rsidR="00DF5015" w:rsidRPr="00713838">
        <w:rPr>
          <w:rFonts w:ascii="Times New Roman" w:hAnsi="Times New Roman" w:cs="Times New Roman"/>
          <w:sz w:val="18"/>
          <w:szCs w:val="18"/>
          <w:lang w:val="en-US"/>
        </w:rPr>
        <w:t>n.15/2018/EL.</w:t>
      </w:r>
    </w:p>
  </w:footnote>
  <w:footnote w:id="8">
    <w:p w14:paraId="4EEFB0B9" w14:textId="48A096B1" w:rsidR="006B680F" w:rsidRPr="00841B6F" w:rsidRDefault="006B680F">
      <w:pPr>
        <w:pStyle w:val="Testonotaapidipagina"/>
        <w:rPr>
          <w:rFonts w:ascii="Times New Roman" w:hAnsi="Times New Roman" w:cs="Times New Roman"/>
          <w:sz w:val="18"/>
          <w:szCs w:val="18"/>
        </w:rPr>
      </w:pPr>
      <w:r w:rsidRPr="006B680F">
        <w:rPr>
          <w:rStyle w:val="Rimandonotaapidipagina"/>
          <w:sz w:val="16"/>
          <w:szCs w:val="16"/>
        </w:rPr>
        <w:footnoteRef/>
      </w:r>
      <w:r w:rsidRPr="006B680F">
        <w:rPr>
          <w:sz w:val="16"/>
          <w:szCs w:val="16"/>
        </w:rPr>
        <w:t xml:space="preserve"> </w:t>
      </w:r>
      <w:r w:rsidR="00FD2B54">
        <w:rPr>
          <w:rFonts w:ascii="Times New Roman" w:hAnsi="Times New Roman" w:cs="Times New Roman"/>
          <w:sz w:val="18"/>
          <w:szCs w:val="18"/>
        </w:rPr>
        <w:t>C</w:t>
      </w:r>
      <w:r w:rsidRPr="00841B6F">
        <w:rPr>
          <w:rFonts w:ascii="Times New Roman" w:hAnsi="Times New Roman" w:cs="Times New Roman"/>
          <w:sz w:val="18"/>
          <w:szCs w:val="18"/>
        </w:rPr>
        <w:t>fr. SS.RR. Corte dei conti n. 2/2020/DELC</w:t>
      </w:r>
      <w:r w:rsidR="00841B6F">
        <w:rPr>
          <w:rFonts w:ascii="Times New Roman" w:hAnsi="Times New Roman" w:cs="Times New Roman"/>
          <w:sz w:val="18"/>
          <w:szCs w:val="18"/>
        </w:rPr>
        <w:t>.</w:t>
      </w:r>
      <w:r w:rsidRPr="00841B6F">
        <w:rPr>
          <w:rFonts w:ascii="Times New Roman" w:hAnsi="Times New Roman" w:cs="Times New Roman"/>
          <w:sz w:val="18"/>
          <w:szCs w:val="18"/>
        </w:rPr>
        <w:t xml:space="preserve"> </w:t>
      </w:r>
    </w:p>
  </w:footnote>
  <w:footnote w:id="9">
    <w:p w14:paraId="48C82244" w14:textId="26F1911B" w:rsidR="006B680F" w:rsidRPr="00841B6F" w:rsidRDefault="006B680F">
      <w:pPr>
        <w:pStyle w:val="Testonotaapidipagina"/>
        <w:rPr>
          <w:rFonts w:ascii="Times New Roman" w:hAnsi="Times New Roman" w:cs="Times New Roman"/>
          <w:sz w:val="18"/>
          <w:szCs w:val="18"/>
        </w:rPr>
      </w:pPr>
      <w:r w:rsidRPr="00841B6F">
        <w:rPr>
          <w:rStyle w:val="Rimandonotaapidipagina"/>
          <w:rFonts w:ascii="Times New Roman" w:hAnsi="Times New Roman" w:cs="Times New Roman"/>
          <w:sz w:val="18"/>
          <w:szCs w:val="18"/>
        </w:rPr>
        <w:footnoteRef/>
      </w:r>
      <w:r w:rsidRPr="00841B6F">
        <w:rPr>
          <w:rFonts w:ascii="Times New Roman" w:hAnsi="Times New Roman" w:cs="Times New Roman"/>
          <w:sz w:val="18"/>
          <w:szCs w:val="18"/>
        </w:rPr>
        <w:t xml:space="preserve"> C</w:t>
      </w:r>
      <w:r w:rsidR="00FD2B54">
        <w:rPr>
          <w:rFonts w:ascii="Times New Roman" w:hAnsi="Times New Roman" w:cs="Times New Roman"/>
          <w:sz w:val="18"/>
          <w:szCs w:val="18"/>
        </w:rPr>
        <w:t>fr</w:t>
      </w:r>
      <w:r w:rsidRPr="00841B6F">
        <w:rPr>
          <w:rFonts w:ascii="Times New Roman" w:hAnsi="Times New Roman" w:cs="Times New Roman"/>
          <w:sz w:val="18"/>
          <w:szCs w:val="18"/>
        </w:rPr>
        <w:t>. Sezione giurisdizionale Calabria, decreto n. 3/2021</w:t>
      </w:r>
      <w:r w:rsidR="00841B6F">
        <w:rPr>
          <w:rFonts w:ascii="Times New Roman" w:hAnsi="Times New Roman" w:cs="Times New Roman"/>
          <w:sz w:val="18"/>
          <w:szCs w:val="18"/>
        </w:rPr>
        <w:t>.</w:t>
      </w:r>
      <w:r w:rsidR="00BB1540">
        <w:rPr>
          <w:rFonts w:ascii="Times New Roman" w:hAnsi="Times New Roman" w:cs="Times New Roman"/>
          <w:sz w:val="18"/>
          <w:szCs w:val="18"/>
        </w:rPr>
        <w:t xml:space="preserve"> </w:t>
      </w:r>
    </w:p>
  </w:footnote>
  <w:footnote w:id="10">
    <w:p w14:paraId="79251450" w14:textId="5E75DEBA" w:rsidR="00107505" w:rsidRPr="00841B6F" w:rsidRDefault="00107505">
      <w:pPr>
        <w:pStyle w:val="Testonotaapidipagina"/>
        <w:rPr>
          <w:rFonts w:ascii="Times New Roman" w:hAnsi="Times New Roman" w:cs="Times New Roman"/>
          <w:sz w:val="18"/>
          <w:szCs w:val="18"/>
        </w:rPr>
      </w:pPr>
      <w:r>
        <w:rPr>
          <w:rStyle w:val="Rimandonotaapidipagina"/>
        </w:rPr>
        <w:footnoteRef/>
      </w:r>
      <w:r w:rsidR="00BB1540">
        <w:t xml:space="preserve"> </w:t>
      </w:r>
      <w:r w:rsidRPr="00FD2B54">
        <w:rPr>
          <w:rFonts w:ascii="Times New Roman" w:hAnsi="Times New Roman" w:cs="Times New Roman"/>
          <w:sz w:val="18"/>
          <w:szCs w:val="18"/>
        </w:rPr>
        <w:t>Cfr</w:t>
      </w:r>
      <w:r w:rsidRPr="00841B6F">
        <w:rPr>
          <w:rFonts w:ascii="Times New Roman" w:hAnsi="Times New Roman" w:cs="Times New Roman"/>
          <w:i/>
          <w:iCs/>
          <w:sz w:val="18"/>
          <w:szCs w:val="18"/>
        </w:rPr>
        <w:t>. Sezioni riunite in sede giurisdizionale, sentenza n. 4/2023/EL. </w:t>
      </w:r>
    </w:p>
  </w:footnote>
  <w:footnote w:id="11">
    <w:p w14:paraId="5D23A958" w14:textId="0C9A2082" w:rsidR="007D5B23" w:rsidRPr="007D5B23" w:rsidRDefault="007D5B23">
      <w:pPr>
        <w:pStyle w:val="Testonotaapidipagina"/>
        <w:rPr>
          <w:rFonts w:ascii="Times New Roman" w:hAnsi="Times New Roman" w:cs="Times New Roman"/>
          <w:sz w:val="18"/>
          <w:szCs w:val="18"/>
        </w:rPr>
      </w:pPr>
      <w:r w:rsidRPr="007D5B23">
        <w:rPr>
          <w:rStyle w:val="Rimandonotaapidipagina"/>
          <w:rFonts w:ascii="Times New Roman" w:hAnsi="Times New Roman" w:cs="Times New Roman"/>
          <w:sz w:val="18"/>
          <w:szCs w:val="18"/>
        </w:rPr>
        <w:footnoteRef/>
      </w:r>
      <w:r w:rsidRPr="007D5B23">
        <w:rPr>
          <w:rFonts w:ascii="Times New Roman" w:hAnsi="Times New Roman" w:cs="Times New Roman"/>
          <w:sz w:val="18"/>
          <w:szCs w:val="18"/>
          <w:lang w:val="en-US"/>
        </w:rPr>
        <w:t xml:space="preserve"> </w:t>
      </w:r>
      <w:proofErr w:type="spellStart"/>
      <w:r w:rsidR="00FD2B54">
        <w:rPr>
          <w:rFonts w:ascii="Times New Roman" w:hAnsi="Times New Roman" w:cs="Times New Roman"/>
          <w:sz w:val="18"/>
          <w:szCs w:val="18"/>
          <w:lang w:val="en-US"/>
        </w:rPr>
        <w:t>C</w:t>
      </w:r>
      <w:r w:rsidRPr="007D5B23">
        <w:rPr>
          <w:rFonts w:ascii="Times New Roman" w:hAnsi="Times New Roman" w:cs="Times New Roman"/>
          <w:sz w:val="18"/>
          <w:szCs w:val="18"/>
          <w:lang w:val="en-US"/>
        </w:rPr>
        <w:t>fr</w:t>
      </w:r>
      <w:proofErr w:type="spellEnd"/>
      <w:r w:rsidRPr="007D5B23">
        <w:rPr>
          <w:rFonts w:ascii="Times New Roman" w:hAnsi="Times New Roman" w:cs="Times New Roman"/>
          <w:sz w:val="18"/>
          <w:szCs w:val="18"/>
          <w:lang w:val="en-US"/>
        </w:rPr>
        <w:t xml:space="preserve">. Corte Cost., sent. n. 269/1998; Cass. Civ., sez. III, sent. </w:t>
      </w:r>
      <w:r w:rsidRPr="007D5B23">
        <w:rPr>
          <w:rFonts w:ascii="Times New Roman" w:hAnsi="Times New Roman" w:cs="Times New Roman"/>
          <w:sz w:val="18"/>
          <w:szCs w:val="18"/>
        </w:rPr>
        <w:t>30 gennaio 2008, n. 2095.</w:t>
      </w:r>
    </w:p>
  </w:footnote>
  <w:footnote w:id="12">
    <w:p w14:paraId="1E8D0DCE" w14:textId="3767604F" w:rsidR="00F41AC8" w:rsidRPr="00F41AC8" w:rsidRDefault="00F41AC8" w:rsidP="00F41AC8">
      <w:pPr>
        <w:pStyle w:val="testo-leggedj-para-r1"/>
        <w:spacing w:line="240" w:lineRule="auto"/>
        <w:rPr>
          <w:rFonts w:ascii="Times New Roman" w:hAnsi="Times New Roman" w:cs="Times New Roman"/>
          <w:sz w:val="18"/>
          <w:szCs w:val="18"/>
        </w:rPr>
      </w:pPr>
      <w:r w:rsidRPr="00F41AC8">
        <w:rPr>
          <w:rStyle w:val="Rimandonotaapidipagina"/>
          <w:rFonts w:ascii="Times New Roman" w:hAnsi="Times New Roman" w:cs="Times New Roman"/>
          <w:sz w:val="18"/>
          <w:szCs w:val="18"/>
        </w:rPr>
        <w:footnoteRef/>
      </w:r>
      <w:r w:rsidRPr="00F41AC8">
        <w:rPr>
          <w:rFonts w:ascii="Times New Roman" w:hAnsi="Times New Roman" w:cs="Times New Roman"/>
          <w:sz w:val="18"/>
          <w:szCs w:val="18"/>
        </w:rPr>
        <w:t xml:space="preserve"> </w:t>
      </w:r>
      <w:r w:rsidR="00FD2B54">
        <w:rPr>
          <w:rFonts w:ascii="Times New Roman" w:hAnsi="Times New Roman" w:cs="Times New Roman"/>
          <w:sz w:val="18"/>
          <w:szCs w:val="18"/>
        </w:rPr>
        <w:t>C</w:t>
      </w:r>
      <w:r w:rsidRPr="00F41AC8">
        <w:rPr>
          <w:rFonts w:ascii="Times New Roman" w:hAnsi="Times New Roman" w:cs="Times New Roman"/>
          <w:sz w:val="18"/>
          <w:szCs w:val="18"/>
        </w:rPr>
        <w:t xml:space="preserve">fr.TAR Lazio, Roma, sez. II bis, </w:t>
      </w:r>
      <w:proofErr w:type="spellStart"/>
      <w:r w:rsidRPr="00F41AC8">
        <w:rPr>
          <w:rFonts w:ascii="Times New Roman" w:hAnsi="Times New Roman" w:cs="Times New Roman"/>
          <w:sz w:val="18"/>
          <w:szCs w:val="18"/>
        </w:rPr>
        <w:t>sent</w:t>
      </w:r>
      <w:proofErr w:type="spellEnd"/>
      <w:r w:rsidRPr="00F41AC8">
        <w:rPr>
          <w:rFonts w:ascii="Times New Roman" w:hAnsi="Times New Roman" w:cs="Times New Roman"/>
          <w:sz w:val="18"/>
          <w:szCs w:val="18"/>
        </w:rPr>
        <w:t xml:space="preserve">. 18 agosto 2020, n. 9250; TAR Calabria, Reggio Calabria, </w:t>
      </w:r>
      <w:proofErr w:type="spellStart"/>
      <w:r w:rsidRPr="00F41AC8">
        <w:rPr>
          <w:rFonts w:ascii="Times New Roman" w:hAnsi="Times New Roman" w:cs="Times New Roman"/>
          <w:sz w:val="18"/>
          <w:szCs w:val="18"/>
        </w:rPr>
        <w:t>sent</w:t>
      </w:r>
      <w:proofErr w:type="spellEnd"/>
      <w:r w:rsidRPr="00F41AC8">
        <w:rPr>
          <w:rFonts w:ascii="Times New Roman" w:hAnsi="Times New Roman" w:cs="Times New Roman"/>
          <w:sz w:val="18"/>
          <w:szCs w:val="18"/>
        </w:rPr>
        <w:t>. 6 ottobre 2021, n. 764.</w:t>
      </w:r>
    </w:p>
    <w:p w14:paraId="2272F501" w14:textId="24576A7C" w:rsidR="00F41AC8" w:rsidRDefault="00F41AC8">
      <w:pPr>
        <w:pStyle w:val="Testonotaapidipagina"/>
      </w:pPr>
    </w:p>
  </w:footnote>
  <w:footnote w:id="13">
    <w:p w14:paraId="5D20368D" w14:textId="051E7CF6" w:rsidR="00107505" w:rsidRPr="00FD2B54" w:rsidRDefault="00107505">
      <w:pPr>
        <w:pStyle w:val="Testonotaapidipagina"/>
        <w:rPr>
          <w:rFonts w:ascii="Times New Roman" w:hAnsi="Times New Roman" w:cs="Times New Roman"/>
          <w:sz w:val="18"/>
          <w:szCs w:val="18"/>
        </w:rPr>
      </w:pPr>
      <w:r w:rsidRPr="00FD2B54">
        <w:rPr>
          <w:rStyle w:val="Rimandonotaapidipagina"/>
          <w:rFonts w:ascii="Times New Roman" w:hAnsi="Times New Roman" w:cs="Times New Roman"/>
        </w:rPr>
        <w:footnoteRef/>
      </w:r>
      <w:r w:rsidRPr="00FD2B54">
        <w:rPr>
          <w:rFonts w:ascii="Times New Roman" w:hAnsi="Times New Roman" w:cs="Times New Roman"/>
          <w:i/>
          <w:iCs/>
        </w:rPr>
        <w:t> </w:t>
      </w:r>
      <w:r w:rsidRPr="00FD2B54">
        <w:rPr>
          <w:rFonts w:ascii="Times New Roman" w:hAnsi="Times New Roman" w:cs="Times New Roman"/>
          <w:i/>
          <w:iCs/>
          <w:sz w:val="18"/>
          <w:szCs w:val="18"/>
        </w:rPr>
        <w:t>Cfr.</w:t>
      </w:r>
      <w:r w:rsidRPr="00FD2B54">
        <w:rPr>
          <w:rFonts w:ascii="Times New Roman" w:hAnsi="Times New Roman" w:cs="Times New Roman"/>
          <w:i/>
          <w:iCs/>
        </w:rPr>
        <w:t xml:space="preserve"> </w:t>
      </w:r>
      <w:r w:rsidRPr="00FD2B54">
        <w:rPr>
          <w:rFonts w:ascii="Times New Roman" w:hAnsi="Times New Roman" w:cs="Times New Roman"/>
          <w:i/>
          <w:iCs/>
          <w:sz w:val="18"/>
          <w:szCs w:val="18"/>
        </w:rPr>
        <w:t>Sezioni riunite in sede giurisdizionale, sentenza n. 4/2023/EL. </w:t>
      </w:r>
    </w:p>
  </w:footnote>
  <w:footnote w:id="14">
    <w:p w14:paraId="7AA7197F" w14:textId="77777777" w:rsidR="00473374" w:rsidRDefault="00473374" w:rsidP="00473374">
      <w:pPr>
        <w:pStyle w:val="Testonotaapidipagina"/>
        <w:jc w:val="both"/>
        <w:rPr>
          <w:rFonts w:ascii="Times New Roman" w:hAnsi="Times New Roman" w:cs="Times New Roman"/>
          <w:i/>
          <w:iCs/>
          <w:sz w:val="18"/>
          <w:szCs w:val="18"/>
        </w:rPr>
      </w:pPr>
      <w:r w:rsidRPr="00FD2B54">
        <w:rPr>
          <w:rStyle w:val="Rimandonotaapidipagina"/>
          <w:rFonts w:ascii="Times New Roman" w:hAnsi="Times New Roman" w:cs="Times New Roman"/>
        </w:rPr>
        <w:footnoteRef/>
      </w:r>
      <w:r w:rsidRPr="00FD2B54">
        <w:rPr>
          <w:rFonts w:ascii="Times New Roman" w:hAnsi="Times New Roman" w:cs="Times New Roman"/>
        </w:rPr>
        <w:t xml:space="preserve"> […]</w:t>
      </w:r>
      <w:r w:rsidRPr="00FD2B54">
        <w:rPr>
          <w:rFonts w:ascii="Times New Roman" w:hAnsi="Times New Roman" w:cs="Times New Roman"/>
          <w:i/>
          <w:iCs/>
          <w:sz w:val="18"/>
          <w:szCs w:val="18"/>
        </w:rPr>
        <w:t>5. Fermo restando quanto previsto dall'articolo 1 della legge 14 gennaio 1994, n. 20, gli amministratori che la Corte dei conti</w:t>
      </w:r>
      <w:r w:rsidRPr="00E850C0">
        <w:rPr>
          <w:rFonts w:ascii="Times New Roman" w:hAnsi="Times New Roman" w:cs="Times New Roman"/>
          <w:i/>
          <w:iCs/>
          <w:sz w:val="18"/>
          <w:szCs w:val="18"/>
        </w:rPr>
        <w:t xml:space="preserve"> ha riconosciuto, anche in primo grado, responsabili di aver contribuito con condotte, dolose o gravemente colpose, sia omissive che commissive, al verificarsi del dissesto finanziario, non possono ricoprire, per un periodo di dieci anni, incarichi di assessore, di revisore dei conti di enti locali e di rappresentante di enti locali presso altri enti, istituzioni ed organismi pubblici e privati. I sindaci e i presidenti di provincia ritenuti responsabili ai sensi del periodo precedente, inoltre, non sono candidabili, per un periodo di dieci anni, alle cariche di sindaco, di presidente di provincia, di presidente di Giunta regionale, nonché di membro dei consigli comunali, dei consigli provinciali, delle assemblee e dei consigli regionali, del Parlamento e del Parlamento europeo. Non possono altresì ricoprire per un periodo di tempo di dieci anni la carica di assessore comunale, provinciale o regionale né alcuna carica in enti vigilati o partecipati da enti pubblici. Ai medesimi soggetti, ove riconosciuti responsabili, le sezioni giurisdizionali regionali della Corte dei conti irrogano una sanzione pecuniaria pari ad un minimo di cinque e fino ad un massimo di venti volte la retribuzione mensile lorda dovuta al momento di commissione della violazione. </w:t>
      </w:r>
    </w:p>
    <w:p w14:paraId="778A0835" w14:textId="77777777" w:rsidR="00473374" w:rsidRPr="00E850C0" w:rsidRDefault="00473374" w:rsidP="00473374">
      <w:pPr>
        <w:pStyle w:val="Testonotaapidipagina"/>
        <w:jc w:val="both"/>
        <w:rPr>
          <w:rFonts w:ascii="Times New Roman" w:hAnsi="Times New Roman" w:cs="Times New Roman"/>
          <w:i/>
          <w:iCs/>
          <w:sz w:val="18"/>
          <w:szCs w:val="18"/>
        </w:rPr>
      </w:pPr>
      <w:r w:rsidRPr="00E850C0">
        <w:rPr>
          <w:rFonts w:ascii="Times New Roman" w:hAnsi="Times New Roman" w:cs="Times New Roman"/>
          <w:i/>
          <w:iCs/>
          <w:sz w:val="18"/>
          <w:szCs w:val="18"/>
        </w:rPr>
        <w:t>5-bis. Fermo restando quanto previsto dall'articolo 1 della legge 14 gennaio 1994, n. 20, qualora, a seguito della dichiarazione di dissesto, la Corte dei conti accerti gravi responsabilità nello svolgimento dell'attività del collegio dei revisori, o ritardata o mancata comunicazione, secondo le normative vigenti, delle informazioni, i componenti del collegio riconosciuti responsabili in sede di giudizio della predetta Corte non possono essere nominati nel collegio dei revisori degli enti locali e degli enti ed organismi agli stessi riconducibili fino a dieci anni, in funzione della gravità accertata. La Corte dei conti trasmette l'esito dell'accertamento anche all'ordine professionale di appartenenza dei revisori per valutazioni inerenti all'eventuale avvio di procedimenti disciplinari, nonché al Ministero dell'interno per la conseguente sospensione dall'elenco di cui all'articolo 16, comma 25, del decreto-legge 13 agosto 2011, n. 138, convertito, con modificazioni, dalla legge 14 settembre 2011, n. 148. Ai medesimi soggetti, ove ritenuti responsabili, le sezioni giurisdizionali regionali della Corte dei conti irrogano una sanzione pecuniaria pari ad un minimo di cinque e fino ad un massimo di venti volte la retribuzione mensile lorda dovuta al momento di commissione della violazione.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37CBC"/>
    <w:multiLevelType w:val="multilevel"/>
    <w:tmpl w:val="0E1C87C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34D0720"/>
    <w:multiLevelType w:val="hybridMultilevel"/>
    <w:tmpl w:val="2290687C"/>
    <w:lvl w:ilvl="0" w:tplc="7DEA03B8">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CF1DAD"/>
    <w:multiLevelType w:val="hybridMultilevel"/>
    <w:tmpl w:val="DFCAEC48"/>
    <w:lvl w:ilvl="0" w:tplc="FCBEB05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C65A7D"/>
    <w:multiLevelType w:val="multilevel"/>
    <w:tmpl w:val="0410001F"/>
    <w:lvl w:ilvl="0">
      <w:start w:val="1"/>
      <w:numFmt w:val="decimal"/>
      <w:lvlText w:val="%1."/>
      <w:lvlJc w:val="left"/>
      <w:pPr>
        <w:ind w:left="502" w:hanging="360"/>
      </w:pPr>
      <w:rPr>
        <w:rFonts w:hint="default"/>
        <w:b/>
        <w:bCs/>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 w15:restartNumberingAfterBreak="0">
    <w:nsid w:val="742219CB"/>
    <w:multiLevelType w:val="hybridMultilevel"/>
    <w:tmpl w:val="982082E0"/>
    <w:lvl w:ilvl="0" w:tplc="142644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9499310">
    <w:abstractNumId w:val="1"/>
  </w:num>
  <w:num w:numId="2" w16cid:durableId="1370715608">
    <w:abstractNumId w:val="3"/>
  </w:num>
  <w:num w:numId="3" w16cid:durableId="1591355387">
    <w:abstractNumId w:val="4"/>
  </w:num>
  <w:num w:numId="4" w16cid:durableId="1682470772">
    <w:abstractNumId w:val="0"/>
  </w:num>
  <w:num w:numId="5" w16cid:durableId="282078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BD5"/>
    <w:rsid w:val="00000AB3"/>
    <w:rsid w:val="00000ADB"/>
    <w:rsid w:val="00001BE6"/>
    <w:rsid w:val="00003FFB"/>
    <w:rsid w:val="00004ECA"/>
    <w:rsid w:val="000065B8"/>
    <w:rsid w:val="00014539"/>
    <w:rsid w:val="00014BA5"/>
    <w:rsid w:val="00017BBE"/>
    <w:rsid w:val="00021E56"/>
    <w:rsid w:val="00024ADA"/>
    <w:rsid w:val="000279CD"/>
    <w:rsid w:val="000302CF"/>
    <w:rsid w:val="00031ACC"/>
    <w:rsid w:val="00032018"/>
    <w:rsid w:val="0003458D"/>
    <w:rsid w:val="00034684"/>
    <w:rsid w:val="00034951"/>
    <w:rsid w:val="00035663"/>
    <w:rsid w:val="0003627E"/>
    <w:rsid w:val="0003710C"/>
    <w:rsid w:val="0004466D"/>
    <w:rsid w:val="00044867"/>
    <w:rsid w:val="0004753D"/>
    <w:rsid w:val="000505E6"/>
    <w:rsid w:val="00054D42"/>
    <w:rsid w:val="0005650D"/>
    <w:rsid w:val="00056FB4"/>
    <w:rsid w:val="00061324"/>
    <w:rsid w:val="00062211"/>
    <w:rsid w:val="00063DF8"/>
    <w:rsid w:val="00065250"/>
    <w:rsid w:val="0006572C"/>
    <w:rsid w:val="00071A24"/>
    <w:rsid w:val="0007256F"/>
    <w:rsid w:val="00074674"/>
    <w:rsid w:val="00076A33"/>
    <w:rsid w:val="00080421"/>
    <w:rsid w:val="00081324"/>
    <w:rsid w:val="00081D8F"/>
    <w:rsid w:val="00082AC0"/>
    <w:rsid w:val="00082E91"/>
    <w:rsid w:val="0008386D"/>
    <w:rsid w:val="00091612"/>
    <w:rsid w:val="00093251"/>
    <w:rsid w:val="000A024B"/>
    <w:rsid w:val="000A205F"/>
    <w:rsid w:val="000A305D"/>
    <w:rsid w:val="000A3E24"/>
    <w:rsid w:val="000A42BC"/>
    <w:rsid w:val="000A5607"/>
    <w:rsid w:val="000A70B3"/>
    <w:rsid w:val="000B0CA5"/>
    <w:rsid w:val="000B1FCB"/>
    <w:rsid w:val="000B431D"/>
    <w:rsid w:val="000C7C03"/>
    <w:rsid w:val="000D09E8"/>
    <w:rsid w:val="000D16B2"/>
    <w:rsid w:val="000D37A3"/>
    <w:rsid w:val="000D630F"/>
    <w:rsid w:val="000D657E"/>
    <w:rsid w:val="000D732D"/>
    <w:rsid w:val="000E2301"/>
    <w:rsid w:val="000E4807"/>
    <w:rsid w:val="000E4ADF"/>
    <w:rsid w:val="000E4B9A"/>
    <w:rsid w:val="000E65B5"/>
    <w:rsid w:val="000F170D"/>
    <w:rsid w:val="000F1D31"/>
    <w:rsid w:val="000F5E2A"/>
    <w:rsid w:val="000F65A8"/>
    <w:rsid w:val="00105237"/>
    <w:rsid w:val="00107505"/>
    <w:rsid w:val="001102AA"/>
    <w:rsid w:val="00113870"/>
    <w:rsid w:val="00120B05"/>
    <w:rsid w:val="001224C2"/>
    <w:rsid w:val="00130CA1"/>
    <w:rsid w:val="00133E5F"/>
    <w:rsid w:val="001341B6"/>
    <w:rsid w:val="00134446"/>
    <w:rsid w:val="00136042"/>
    <w:rsid w:val="00136A8E"/>
    <w:rsid w:val="00136C51"/>
    <w:rsid w:val="00136D7B"/>
    <w:rsid w:val="0014085C"/>
    <w:rsid w:val="00140C31"/>
    <w:rsid w:val="00145068"/>
    <w:rsid w:val="00145CC1"/>
    <w:rsid w:val="0015086B"/>
    <w:rsid w:val="001509FF"/>
    <w:rsid w:val="00152505"/>
    <w:rsid w:val="00153C52"/>
    <w:rsid w:val="0015701A"/>
    <w:rsid w:val="001570D3"/>
    <w:rsid w:val="001578D4"/>
    <w:rsid w:val="0016219E"/>
    <w:rsid w:val="00162F57"/>
    <w:rsid w:val="001658E8"/>
    <w:rsid w:val="00165CC8"/>
    <w:rsid w:val="001662EE"/>
    <w:rsid w:val="00167A29"/>
    <w:rsid w:val="0017141C"/>
    <w:rsid w:val="00172E40"/>
    <w:rsid w:val="001808A8"/>
    <w:rsid w:val="00182C90"/>
    <w:rsid w:val="001869F5"/>
    <w:rsid w:val="0019034D"/>
    <w:rsid w:val="0019068E"/>
    <w:rsid w:val="00191043"/>
    <w:rsid w:val="00191AF2"/>
    <w:rsid w:val="0019300F"/>
    <w:rsid w:val="001963A9"/>
    <w:rsid w:val="001A2C74"/>
    <w:rsid w:val="001A49D2"/>
    <w:rsid w:val="001A58E3"/>
    <w:rsid w:val="001A5B5D"/>
    <w:rsid w:val="001A6320"/>
    <w:rsid w:val="001A6325"/>
    <w:rsid w:val="001A7326"/>
    <w:rsid w:val="001A76E6"/>
    <w:rsid w:val="001B172F"/>
    <w:rsid w:val="001B4776"/>
    <w:rsid w:val="001B5227"/>
    <w:rsid w:val="001B6A0B"/>
    <w:rsid w:val="001C0267"/>
    <w:rsid w:val="001C337C"/>
    <w:rsid w:val="001C50C8"/>
    <w:rsid w:val="001C5385"/>
    <w:rsid w:val="001D184D"/>
    <w:rsid w:val="001D2F0F"/>
    <w:rsid w:val="001D303C"/>
    <w:rsid w:val="001D5150"/>
    <w:rsid w:val="001D5327"/>
    <w:rsid w:val="001D6BF2"/>
    <w:rsid w:val="001D6C0C"/>
    <w:rsid w:val="001E066A"/>
    <w:rsid w:val="001F068B"/>
    <w:rsid w:val="001F36DF"/>
    <w:rsid w:val="001F39FA"/>
    <w:rsid w:val="001F3FB9"/>
    <w:rsid w:val="001F67BC"/>
    <w:rsid w:val="00201431"/>
    <w:rsid w:val="002039A3"/>
    <w:rsid w:val="00203BED"/>
    <w:rsid w:val="00205A2C"/>
    <w:rsid w:val="00207538"/>
    <w:rsid w:val="00207852"/>
    <w:rsid w:val="0021025E"/>
    <w:rsid w:val="0021033D"/>
    <w:rsid w:val="00213B95"/>
    <w:rsid w:val="00214664"/>
    <w:rsid w:val="00220731"/>
    <w:rsid w:val="002225F2"/>
    <w:rsid w:val="002228C4"/>
    <w:rsid w:val="00223FC3"/>
    <w:rsid w:val="00225983"/>
    <w:rsid w:val="0023114E"/>
    <w:rsid w:val="00231976"/>
    <w:rsid w:val="002336F2"/>
    <w:rsid w:val="0023481C"/>
    <w:rsid w:val="00234C8B"/>
    <w:rsid w:val="00235349"/>
    <w:rsid w:val="00240D74"/>
    <w:rsid w:val="00243224"/>
    <w:rsid w:val="00243D71"/>
    <w:rsid w:val="00254768"/>
    <w:rsid w:val="002547D0"/>
    <w:rsid w:val="00256317"/>
    <w:rsid w:val="00257C52"/>
    <w:rsid w:val="00261218"/>
    <w:rsid w:val="00261E99"/>
    <w:rsid w:val="002679AB"/>
    <w:rsid w:val="0027031D"/>
    <w:rsid w:val="00274239"/>
    <w:rsid w:val="00280997"/>
    <w:rsid w:val="00283E07"/>
    <w:rsid w:val="0028712D"/>
    <w:rsid w:val="0028718B"/>
    <w:rsid w:val="002873C1"/>
    <w:rsid w:val="002975F0"/>
    <w:rsid w:val="002978EB"/>
    <w:rsid w:val="002B0B09"/>
    <w:rsid w:val="002B1227"/>
    <w:rsid w:val="002C1776"/>
    <w:rsid w:val="002C1F77"/>
    <w:rsid w:val="002C2472"/>
    <w:rsid w:val="002C27E8"/>
    <w:rsid w:val="002C3337"/>
    <w:rsid w:val="002C4ACD"/>
    <w:rsid w:val="002D019E"/>
    <w:rsid w:val="002D13E4"/>
    <w:rsid w:val="002D6B1D"/>
    <w:rsid w:val="002E3E80"/>
    <w:rsid w:val="002E4CFC"/>
    <w:rsid w:val="002F33B2"/>
    <w:rsid w:val="002F5947"/>
    <w:rsid w:val="003005EF"/>
    <w:rsid w:val="00300B9E"/>
    <w:rsid w:val="0030395C"/>
    <w:rsid w:val="0030416E"/>
    <w:rsid w:val="0030521F"/>
    <w:rsid w:val="00306361"/>
    <w:rsid w:val="00307ED1"/>
    <w:rsid w:val="00314254"/>
    <w:rsid w:val="00315DC8"/>
    <w:rsid w:val="00316C11"/>
    <w:rsid w:val="00330B8C"/>
    <w:rsid w:val="00331E6B"/>
    <w:rsid w:val="0033596E"/>
    <w:rsid w:val="0034243D"/>
    <w:rsid w:val="00343350"/>
    <w:rsid w:val="00344BB8"/>
    <w:rsid w:val="00345062"/>
    <w:rsid w:val="00345364"/>
    <w:rsid w:val="00345AEC"/>
    <w:rsid w:val="00353FEC"/>
    <w:rsid w:val="0036039A"/>
    <w:rsid w:val="00360D41"/>
    <w:rsid w:val="0036277B"/>
    <w:rsid w:val="00363CC8"/>
    <w:rsid w:val="00364423"/>
    <w:rsid w:val="003656B2"/>
    <w:rsid w:val="00365752"/>
    <w:rsid w:val="003671E0"/>
    <w:rsid w:val="0037213A"/>
    <w:rsid w:val="00372A7B"/>
    <w:rsid w:val="00380AEA"/>
    <w:rsid w:val="0038143B"/>
    <w:rsid w:val="00381FC4"/>
    <w:rsid w:val="00384AE3"/>
    <w:rsid w:val="0038558E"/>
    <w:rsid w:val="00385ADE"/>
    <w:rsid w:val="00386766"/>
    <w:rsid w:val="00390350"/>
    <w:rsid w:val="0039337F"/>
    <w:rsid w:val="003967CB"/>
    <w:rsid w:val="00396AB3"/>
    <w:rsid w:val="00396F95"/>
    <w:rsid w:val="003A01AE"/>
    <w:rsid w:val="003A49D3"/>
    <w:rsid w:val="003A6808"/>
    <w:rsid w:val="003B24AB"/>
    <w:rsid w:val="003B510F"/>
    <w:rsid w:val="003B5CFD"/>
    <w:rsid w:val="003B6AF3"/>
    <w:rsid w:val="003C3412"/>
    <w:rsid w:val="003C3C39"/>
    <w:rsid w:val="003D1D54"/>
    <w:rsid w:val="003D27DF"/>
    <w:rsid w:val="003D43FA"/>
    <w:rsid w:val="003D47F8"/>
    <w:rsid w:val="003E4667"/>
    <w:rsid w:val="003E4883"/>
    <w:rsid w:val="003E5B77"/>
    <w:rsid w:val="003E7F16"/>
    <w:rsid w:val="003F1585"/>
    <w:rsid w:val="003F3A92"/>
    <w:rsid w:val="003F4EA3"/>
    <w:rsid w:val="003F5E42"/>
    <w:rsid w:val="00400E64"/>
    <w:rsid w:val="00403CB2"/>
    <w:rsid w:val="00404BC6"/>
    <w:rsid w:val="00405EA0"/>
    <w:rsid w:val="0041023F"/>
    <w:rsid w:val="00412897"/>
    <w:rsid w:val="00412D7D"/>
    <w:rsid w:val="00420FB2"/>
    <w:rsid w:val="00421391"/>
    <w:rsid w:val="00421F27"/>
    <w:rsid w:val="004260A6"/>
    <w:rsid w:val="00427DA6"/>
    <w:rsid w:val="00431F9F"/>
    <w:rsid w:val="00433629"/>
    <w:rsid w:val="0043644C"/>
    <w:rsid w:val="00440583"/>
    <w:rsid w:val="004410C8"/>
    <w:rsid w:val="004412FF"/>
    <w:rsid w:val="00441A2A"/>
    <w:rsid w:val="00446D68"/>
    <w:rsid w:val="004500E5"/>
    <w:rsid w:val="00455524"/>
    <w:rsid w:val="00462713"/>
    <w:rsid w:val="004630BB"/>
    <w:rsid w:val="004650D9"/>
    <w:rsid w:val="00466BD0"/>
    <w:rsid w:val="00470480"/>
    <w:rsid w:val="00470532"/>
    <w:rsid w:val="00473374"/>
    <w:rsid w:val="00473A9F"/>
    <w:rsid w:val="004824D4"/>
    <w:rsid w:val="0048314C"/>
    <w:rsid w:val="00485999"/>
    <w:rsid w:val="0048685D"/>
    <w:rsid w:val="00491EC8"/>
    <w:rsid w:val="00494C34"/>
    <w:rsid w:val="00496F98"/>
    <w:rsid w:val="00497B79"/>
    <w:rsid w:val="004A06A3"/>
    <w:rsid w:val="004A2BA9"/>
    <w:rsid w:val="004A31EA"/>
    <w:rsid w:val="004A4443"/>
    <w:rsid w:val="004A48BC"/>
    <w:rsid w:val="004A4BA4"/>
    <w:rsid w:val="004B5E2C"/>
    <w:rsid w:val="004B665D"/>
    <w:rsid w:val="004B72F4"/>
    <w:rsid w:val="004C05F7"/>
    <w:rsid w:val="004C0FC0"/>
    <w:rsid w:val="004C3D64"/>
    <w:rsid w:val="004D2728"/>
    <w:rsid w:val="004D3D10"/>
    <w:rsid w:val="004E0C9B"/>
    <w:rsid w:val="004E2E0A"/>
    <w:rsid w:val="004E347F"/>
    <w:rsid w:val="004E5BCC"/>
    <w:rsid w:val="004F03FC"/>
    <w:rsid w:val="004F0729"/>
    <w:rsid w:val="004F2283"/>
    <w:rsid w:val="004F23C5"/>
    <w:rsid w:val="004F41E7"/>
    <w:rsid w:val="004F7364"/>
    <w:rsid w:val="00501412"/>
    <w:rsid w:val="005018B1"/>
    <w:rsid w:val="005045DF"/>
    <w:rsid w:val="00505B0E"/>
    <w:rsid w:val="00513EED"/>
    <w:rsid w:val="005156E7"/>
    <w:rsid w:val="005165F4"/>
    <w:rsid w:val="005206B0"/>
    <w:rsid w:val="00520911"/>
    <w:rsid w:val="00522595"/>
    <w:rsid w:val="00522C30"/>
    <w:rsid w:val="00525029"/>
    <w:rsid w:val="005265CA"/>
    <w:rsid w:val="00533580"/>
    <w:rsid w:val="00540B5C"/>
    <w:rsid w:val="005429D3"/>
    <w:rsid w:val="0054351A"/>
    <w:rsid w:val="00543676"/>
    <w:rsid w:val="00543A3F"/>
    <w:rsid w:val="00543E88"/>
    <w:rsid w:val="005520D2"/>
    <w:rsid w:val="00554542"/>
    <w:rsid w:val="00557EF8"/>
    <w:rsid w:val="00561317"/>
    <w:rsid w:val="005618E4"/>
    <w:rsid w:val="005664AF"/>
    <w:rsid w:val="00566F7C"/>
    <w:rsid w:val="00570819"/>
    <w:rsid w:val="0057143C"/>
    <w:rsid w:val="00573A28"/>
    <w:rsid w:val="00576167"/>
    <w:rsid w:val="00581A0B"/>
    <w:rsid w:val="00582581"/>
    <w:rsid w:val="005833D8"/>
    <w:rsid w:val="00583731"/>
    <w:rsid w:val="005868B2"/>
    <w:rsid w:val="00587F40"/>
    <w:rsid w:val="0059061F"/>
    <w:rsid w:val="00592D3F"/>
    <w:rsid w:val="00594DA4"/>
    <w:rsid w:val="005A052B"/>
    <w:rsid w:val="005A3BB6"/>
    <w:rsid w:val="005A41E2"/>
    <w:rsid w:val="005A42DD"/>
    <w:rsid w:val="005A5608"/>
    <w:rsid w:val="005A6E36"/>
    <w:rsid w:val="005B160D"/>
    <w:rsid w:val="005B26AF"/>
    <w:rsid w:val="005B31EE"/>
    <w:rsid w:val="005B48FE"/>
    <w:rsid w:val="005B53A4"/>
    <w:rsid w:val="005C1532"/>
    <w:rsid w:val="005C1735"/>
    <w:rsid w:val="005C2772"/>
    <w:rsid w:val="005C508B"/>
    <w:rsid w:val="005C7865"/>
    <w:rsid w:val="005C7957"/>
    <w:rsid w:val="005C7FBA"/>
    <w:rsid w:val="005D435C"/>
    <w:rsid w:val="005D52FE"/>
    <w:rsid w:val="005D6139"/>
    <w:rsid w:val="005D7EBE"/>
    <w:rsid w:val="005E153F"/>
    <w:rsid w:val="005E4CF3"/>
    <w:rsid w:val="005E61D3"/>
    <w:rsid w:val="005F0D8F"/>
    <w:rsid w:val="005F1A7B"/>
    <w:rsid w:val="005F25A9"/>
    <w:rsid w:val="005F330D"/>
    <w:rsid w:val="005F47B8"/>
    <w:rsid w:val="005F4D61"/>
    <w:rsid w:val="005F5B98"/>
    <w:rsid w:val="005F5CAD"/>
    <w:rsid w:val="00602067"/>
    <w:rsid w:val="006025ED"/>
    <w:rsid w:val="006035A6"/>
    <w:rsid w:val="00606635"/>
    <w:rsid w:val="006113EC"/>
    <w:rsid w:val="00611DA7"/>
    <w:rsid w:val="00612162"/>
    <w:rsid w:val="00613036"/>
    <w:rsid w:val="00614600"/>
    <w:rsid w:val="00630CC9"/>
    <w:rsid w:val="00633734"/>
    <w:rsid w:val="006370B1"/>
    <w:rsid w:val="00641A25"/>
    <w:rsid w:val="00650154"/>
    <w:rsid w:val="00650613"/>
    <w:rsid w:val="0065076F"/>
    <w:rsid w:val="00652384"/>
    <w:rsid w:val="006555C5"/>
    <w:rsid w:val="00661FA0"/>
    <w:rsid w:val="006621D4"/>
    <w:rsid w:val="00667F1F"/>
    <w:rsid w:val="006705AC"/>
    <w:rsid w:val="00670FE5"/>
    <w:rsid w:val="006712A0"/>
    <w:rsid w:val="0067156D"/>
    <w:rsid w:val="00673341"/>
    <w:rsid w:val="00673DE3"/>
    <w:rsid w:val="00674669"/>
    <w:rsid w:val="00675A82"/>
    <w:rsid w:val="00675F19"/>
    <w:rsid w:val="00677059"/>
    <w:rsid w:val="006801EB"/>
    <w:rsid w:val="006812E3"/>
    <w:rsid w:val="006822F2"/>
    <w:rsid w:val="0068294C"/>
    <w:rsid w:val="0068552D"/>
    <w:rsid w:val="006910ED"/>
    <w:rsid w:val="006A2FF8"/>
    <w:rsid w:val="006A4996"/>
    <w:rsid w:val="006A66EF"/>
    <w:rsid w:val="006A7386"/>
    <w:rsid w:val="006B1B1F"/>
    <w:rsid w:val="006B2728"/>
    <w:rsid w:val="006B2DD7"/>
    <w:rsid w:val="006B35DE"/>
    <w:rsid w:val="006B3FDF"/>
    <w:rsid w:val="006B53A3"/>
    <w:rsid w:val="006B5B8A"/>
    <w:rsid w:val="006B680F"/>
    <w:rsid w:val="006C18B9"/>
    <w:rsid w:val="006C19F8"/>
    <w:rsid w:val="006C4287"/>
    <w:rsid w:val="006C5516"/>
    <w:rsid w:val="006C6645"/>
    <w:rsid w:val="006C7EFD"/>
    <w:rsid w:val="006D039B"/>
    <w:rsid w:val="006E316B"/>
    <w:rsid w:val="006E4B16"/>
    <w:rsid w:val="006E5F57"/>
    <w:rsid w:val="006E6442"/>
    <w:rsid w:val="006F2138"/>
    <w:rsid w:val="006F6E4C"/>
    <w:rsid w:val="006F7132"/>
    <w:rsid w:val="00703B71"/>
    <w:rsid w:val="00706820"/>
    <w:rsid w:val="00707DBF"/>
    <w:rsid w:val="0071208A"/>
    <w:rsid w:val="0071314B"/>
    <w:rsid w:val="00713838"/>
    <w:rsid w:val="00716915"/>
    <w:rsid w:val="00717433"/>
    <w:rsid w:val="00720308"/>
    <w:rsid w:val="007210C4"/>
    <w:rsid w:val="00722456"/>
    <w:rsid w:val="00725505"/>
    <w:rsid w:val="00727C63"/>
    <w:rsid w:val="00727F72"/>
    <w:rsid w:val="00730624"/>
    <w:rsid w:val="00732D50"/>
    <w:rsid w:val="0073392E"/>
    <w:rsid w:val="007440B8"/>
    <w:rsid w:val="00750B61"/>
    <w:rsid w:val="0075312E"/>
    <w:rsid w:val="007540E0"/>
    <w:rsid w:val="007541FB"/>
    <w:rsid w:val="00760EFF"/>
    <w:rsid w:val="00765E3C"/>
    <w:rsid w:val="00776194"/>
    <w:rsid w:val="00777915"/>
    <w:rsid w:val="007819A0"/>
    <w:rsid w:val="00782EC7"/>
    <w:rsid w:val="00790D8F"/>
    <w:rsid w:val="007923A4"/>
    <w:rsid w:val="007923C0"/>
    <w:rsid w:val="00797EA2"/>
    <w:rsid w:val="007A5099"/>
    <w:rsid w:val="007A6E43"/>
    <w:rsid w:val="007B0226"/>
    <w:rsid w:val="007B030A"/>
    <w:rsid w:val="007B39D5"/>
    <w:rsid w:val="007B6E20"/>
    <w:rsid w:val="007C02FB"/>
    <w:rsid w:val="007C1D81"/>
    <w:rsid w:val="007C3E68"/>
    <w:rsid w:val="007C4529"/>
    <w:rsid w:val="007C4891"/>
    <w:rsid w:val="007D4749"/>
    <w:rsid w:val="007D50B5"/>
    <w:rsid w:val="007D5B23"/>
    <w:rsid w:val="007D68B7"/>
    <w:rsid w:val="007D79AA"/>
    <w:rsid w:val="007E63C6"/>
    <w:rsid w:val="007E7F25"/>
    <w:rsid w:val="007F21C9"/>
    <w:rsid w:val="007F605A"/>
    <w:rsid w:val="008017B7"/>
    <w:rsid w:val="008025EF"/>
    <w:rsid w:val="008028FC"/>
    <w:rsid w:val="00804926"/>
    <w:rsid w:val="00807F13"/>
    <w:rsid w:val="00807F7A"/>
    <w:rsid w:val="008118A3"/>
    <w:rsid w:val="00820514"/>
    <w:rsid w:val="008207ED"/>
    <w:rsid w:val="00821A89"/>
    <w:rsid w:val="00821DEB"/>
    <w:rsid w:val="00823BA1"/>
    <w:rsid w:val="0082693E"/>
    <w:rsid w:val="00830799"/>
    <w:rsid w:val="00831C9B"/>
    <w:rsid w:val="008329A9"/>
    <w:rsid w:val="00833544"/>
    <w:rsid w:val="008343A5"/>
    <w:rsid w:val="0083641F"/>
    <w:rsid w:val="00840C61"/>
    <w:rsid w:val="008419B3"/>
    <w:rsid w:val="00841B6F"/>
    <w:rsid w:val="00847150"/>
    <w:rsid w:val="00847190"/>
    <w:rsid w:val="0086213D"/>
    <w:rsid w:val="00863552"/>
    <w:rsid w:val="00865363"/>
    <w:rsid w:val="0086597A"/>
    <w:rsid w:val="0086694B"/>
    <w:rsid w:val="00870C2A"/>
    <w:rsid w:val="00873B6D"/>
    <w:rsid w:val="00874028"/>
    <w:rsid w:val="00874197"/>
    <w:rsid w:val="008748EA"/>
    <w:rsid w:val="00877F0A"/>
    <w:rsid w:val="00880A08"/>
    <w:rsid w:val="00882324"/>
    <w:rsid w:val="0088300F"/>
    <w:rsid w:val="00883419"/>
    <w:rsid w:val="00887475"/>
    <w:rsid w:val="00894647"/>
    <w:rsid w:val="008960DA"/>
    <w:rsid w:val="00896ED1"/>
    <w:rsid w:val="008A099B"/>
    <w:rsid w:val="008A09B9"/>
    <w:rsid w:val="008A5304"/>
    <w:rsid w:val="008A5EAE"/>
    <w:rsid w:val="008A783A"/>
    <w:rsid w:val="008A7F2E"/>
    <w:rsid w:val="008B3C47"/>
    <w:rsid w:val="008B3E40"/>
    <w:rsid w:val="008B4904"/>
    <w:rsid w:val="008B75CD"/>
    <w:rsid w:val="008B7898"/>
    <w:rsid w:val="008C0226"/>
    <w:rsid w:val="008C3836"/>
    <w:rsid w:val="008C5128"/>
    <w:rsid w:val="008C7286"/>
    <w:rsid w:val="008C794A"/>
    <w:rsid w:val="008C7C2F"/>
    <w:rsid w:val="008D07A4"/>
    <w:rsid w:val="008D081C"/>
    <w:rsid w:val="008D45DF"/>
    <w:rsid w:val="008D49DF"/>
    <w:rsid w:val="008D5DEA"/>
    <w:rsid w:val="008D6201"/>
    <w:rsid w:val="008E41CE"/>
    <w:rsid w:val="008E5EE4"/>
    <w:rsid w:val="008E76A5"/>
    <w:rsid w:val="008F1495"/>
    <w:rsid w:val="008F2A6D"/>
    <w:rsid w:val="008F335C"/>
    <w:rsid w:val="0090579D"/>
    <w:rsid w:val="00910307"/>
    <w:rsid w:val="00910A29"/>
    <w:rsid w:val="00920602"/>
    <w:rsid w:val="00921CF1"/>
    <w:rsid w:val="009237B0"/>
    <w:rsid w:val="009252FD"/>
    <w:rsid w:val="009346AC"/>
    <w:rsid w:val="00940354"/>
    <w:rsid w:val="009445CD"/>
    <w:rsid w:val="00945CAA"/>
    <w:rsid w:val="0095057F"/>
    <w:rsid w:val="00950763"/>
    <w:rsid w:val="00951C93"/>
    <w:rsid w:val="0095643A"/>
    <w:rsid w:val="00957257"/>
    <w:rsid w:val="00962C05"/>
    <w:rsid w:val="009636FF"/>
    <w:rsid w:val="009642EF"/>
    <w:rsid w:val="009645F1"/>
    <w:rsid w:val="00966284"/>
    <w:rsid w:val="00975C33"/>
    <w:rsid w:val="00976252"/>
    <w:rsid w:val="009821C5"/>
    <w:rsid w:val="009822B6"/>
    <w:rsid w:val="00982563"/>
    <w:rsid w:val="00987364"/>
    <w:rsid w:val="0099220D"/>
    <w:rsid w:val="00992D8B"/>
    <w:rsid w:val="00994D82"/>
    <w:rsid w:val="009A095F"/>
    <w:rsid w:val="009A28D9"/>
    <w:rsid w:val="009A47BF"/>
    <w:rsid w:val="009A4B03"/>
    <w:rsid w:val="009A4E8D"/>
    <w:rsid w:val="009A5990"/>
    <w:rsid w:val="009B7259"/>
    <w:rsid w:val="009C0B62"/>
    <w:rsid w:val="009C28D3"/>
    <w:rsid w:val="009C48C0"/>
    <w:rsid w:val="009C7CFD"/>
    <w:rsid w:val="009D19BE"/>
    <w:rsid w:val="009D1F00"/>
    <w:rsid w:val="009D2809"/>
    <w:rsid w:val="009D5707"/>
    <w:rsid w:val="009D62C9"/>
    <w:rsid w:val="009D7182"/>
    <w:rsid w:val="009E307C"/>
    <w:rsid w:val="009E35D8"/>
    <w:rsid w:val="009E5926"/>
    <w:rsid w:val="009E598D"/>
    <w:rsid w:val="009E6014"/>
    <w:rsid w:val="009E6DAA"/>
    <w:rsid w:val="009F24A0"/>
    <w:rsid w:val="009F3A3B"/>
    <w:rsid w:val="009F5EFA"/>
    <w:rsid w:val="009F6C95"/>
    <w:rsid w:val="00A0244B"/>
    <w:rsid w:val="00A02FCF"/>
    <w:rsid w:val="00A035C7"/>
    <w:rsid w:val="00A13A2B"/>
    <w:rsid w:val="00A14D25"/>
    <w:rsid w:val="00A1783E"/>
    <w:rsid w:val="00A27FB6"/>
    <w:rsid w:val="00A32C88"/>
    <w:rsid w:val="00A33942"/>
    <w:rsid w:val="00A341CF"/>
    <w:rsid w:val="00A36095"/>
    <w:rsid w:val="00A4712E"/>
    <w:rsid w:val="00A50739"/>
    <w:rsid w:val="00A51E2A"/>
    <w:rsid w:val="00A51FD3"/>
    <w:rsid w:val="00A52FE8"/>
    <w:rsid w:val="00A54A8D"/>
    <w:rsid w:val="00A5577F"/>
    <w:rsid w:val="00A55B42"/>
    <w:rsid w:val="00A60347"/>
    <w:rsid w:val="00A61FA1"/>
    <w:rsid w:val="00A63BF1"/>
    <w:rsid w:val="00A664D3"/>
    <w:rsid w:val="00A71CE5"/>
    <w:rsid w:val="00A71ECA"/>
    <w:rsid w:val="00A72968"/>
    <w:rsid w:val="00A75817"/>
    <w:rsid w:val="00A77DD7"/>
    <w:rsid w:val="00A810D2"/>
    <w:rsid w:val="00A8266D"/>
    <w:rsid w:val="00A83299"/>
    <w:rsid w:val="00A83C58"/>
    <w:rsid w:val="00A861BB"/>
    <w:rsid w:val="00A87051"/>
    <w:rsid w:val="00A87E4F"/>
    <w:rsid w:val="00A92D41"/>
    <w:rsid w:val="00A9677F"/>
    <w:rsid w:val="00AA0025"/>
    <w:rsid w:val="00AA1BB7"/>
    <w:rsid w:val="00AA280D"/>
    <w:rsid w:val="00AA39D3"/>
    <w:rsid w:val="00AA3F10"/>
    <w:rsid w:val="00AA6514"/>
    <w:rsid w:val="00AB172C"/>
    <w:rsid w:val="00AB3D37"/>
    <w:rsid w:val="00AC1046"/>
    <w:rsid w:val="00AC287A"/>
    <w:rsid w:val="00AC2F55"/>
    <w:rsid w:val="00AC36B5"/>
    <w:rsid w:val="00AC4957"/>
    <w:rsid w:val="00AC63A5"/>
    <w:rsid w:val="00AC6665"/>
    <w:rsid w:val="00AD1832"/>
    <w:rsid w:val="00AD7812"/>
    <w:rsid w:val="00AE01A1"/>
    <w:rsid w:val="00AE154D"/>
    <w:rsid w:val="00AE2217"/>
    <w:rsid w:val="00AE5A2D"/>
    <w:rsid w:val="00AE7D6B"/>
    <w:rsid w:val="00AF09B7"/>
    <w:rsid w:val="00AF2034"/>
    <w:rsid w:val="00B030A8"/>
    <w:rsid w:val="00B049AB"/>
    <w:rsid w:val="00B0570B"/>
    <w:rsid w:val="00B05A9A"/>
    <w:rsid w:val="00B065D3"/>
    <w:rsid w:val="00B101FB"/>
    <w:rsid w:val="00B1162F"/>
    <w:rsid w:val="00B12282"/>
    <w:rsid w:val="00B12ACB"/>
    <w:rsid w:val="00B24E3F"/>
    <w:rsid w:val="00B265BE"/>
    <w:rsid w:val="00B26730"/>
    <w:rsid w:val="00B30A2C"/>
    <w:rsid w:val="00B3309E"/>
    <w:rsid w:val="00B34181"/>
    <w:rsid w:val="00B34E08"/>
    <w:rsid w:val="00B35A40"/>
    <w:rsid w:val="00B374CF"/>
    <w:rsid w:val="00B4290C"/>
    <w:rsid w:val="00B42E01"/>
    <w:rsid w:val="00B44F0E"/>
    <w:rsid w:val="00B450BB"/>
    <w:rsid w:val="00B467CC"/>
    <w:rsid w:val="00B474F1"/>
    <w:rsid w:val="00B47D10"/>
    <w:rsid w:val="00B516AE"/>
    <w:rsid w:val="00B517DE"/>
    <w:rsid w:val="00B54088"/>
    <w:rsid w:val="00B54AE1"/>
    <w:rsid w:val="00B568E6"/>
    <w:rsid w:val="00B56F26"/>
    <w:rsid w:val="00B60DD6"/>
    <w:rsid w:val="00B61919"/>
    <w:rsid w:val="00B62862"/>
    <w:rsid w:val="00B65FDF"/>
    <w:rsid w:val="00B739B0"/>
    <w:rsid w:val="00B74D19"/>
    <w:rsid w:val="00B75F54"/>
    <w:rsid w:val="00B77107"/>
    <w:rsid w:val="00B776DA"/>
    <w:rsid w:val="00B778FA"/>
    <w:rsid w:val="00B86057"/>
    <w:rsid w:val="00B91F80"/>
    <w:rsid w:val="00B920B8"/>
    <w:rsid w:val="00BB0F9C"/>
    <w:rsid w:val="00BB1540"/>
    <w:rsid w:val="00BB16A9"/>
    <w:rsid w:val="00BB1F51"/>
    <w:rsid w:val="00BB6F3F"/>
    <w:rsid w:val="00BC1C9D"/>
    <w:rsid w:val="00BC7DE6"/>
    <w:rsid w:val="00BD2A8D"/>
    <w:rsid w:val="00BD3DED"/>
    <w:rsid w:val="00BD3E29"/>
    <w:rsid w:val="00BD7FDF"/>
    <w:rsid w:val="00BE335F"/>
    <w:rsid w:val="00BE5A8C"/>
    <w:rsid w:val="00BE6B19"/>
    <w:rsid w:val="00BF12A1"/>
    <w:rsid w:val="00BF1657"/>
    <w:rsid w:val="00BF281D"/>
    <w:rsid w:val="00C02124"/>
    <w:rsid w:val="00C02DCF"/>
    <w:rsid w:val="00C06870"/>
    <w:rsid w:val="00C078C2"/>
    <w:rsid w:val="00C07BD5"/>
    <w:rsid w:val="00C07E6D"/>
    <w:rsid w:val="00C17DDC"/>
    <w:rsid w:val="00C257D5"/>
    <w:rsid w:val="00C26645"/>
    <w:rsid w:val="00C324BF"/>
    <w:rsid w:val="00C32B9B"/>
    <w:rsid w:val="00C3756D"/>
    <w:rsid w:val="00C4391D"/>
    <w:rsid w:val="00C43A3F"/>
    <w:rsid w:val="00C43DC1"/>
    <w:rsid w:val="00C46870"/>
    <w:rsid w:val="00C50510"/>
    <w:rsid w:val="00C55DAF"/>
    <w:rsid w:val="00C61719"/>
    <w:rsid w:val="00C65148"/>
    <w:rsid w:val="00C662E4"/>
    <w:rsid w:val="00C66BF6"/>
    <w:rsid w:val="00C67605"/>
    <w:rsid w:val="00C71AB1"/>
    <w:rsid w:val="00C71C63"/>
    <w:rsid w:val="00C71CBA"/>
    <w:rsid w:val="00C72264"/>
    <w:rsid w:val="00C776F6"/>
    <w:rsid w:val="00C80625"/>
    <w:rsid w:val="00C82530"/>
    <w:rsid w:val="00C840E3"/>
    <w:rsid w:val="00C841B6"/>
    <w:rsid w:val="00C86BB2"/>
    <w:rsid w:val="00C94AE0"/>
    <w:rsid w:val="00C954EC"/>
    <w:rsid w:val="00C97020"/>
    <w:rsid w:val="00CA17E8"/>
    <w:rsid w:val="00CA2E1E"/>
    <w:rsid w:val="00CA3340"/>
    <w:rsid w:val="00CA5AC4"/>
    <w:rsid w:val="00CA6C18"/>
    <w:rsid w:val="00CB4360"/>
    <w:rsid w:val="00CB5247"/>
    <w:rsid w:val="00CB5800"/>
    <w:rsid w:val="00CB70D1"/>
    <w:rsid w:val="00CB76D1"/>
    <w:rsid w:val="00CB7E51"/>
    <w:rsid w:val="00CC2DA2"/>
    <w:rsid w:val="00CC7ED3"/>
    <w:rsid w:val="00CD278E"/>
    <w:rsid w:val="00CD5B51"/>
    <w:rsid w:val="00CD65B8"/>
    <w:rsid w:val="00CE5AEB"/>
    <w:rsid w:val="00CE5C4F"/>
    <w:rsid w:val="00CF0A6E"/>
    <w:rsid w:val="00CF317A"/>
    <w:rsid w:val="00D054CB"/>
    <w:rsid w:val="00D062E4"/>
    <w:rsid w:val="00D06D73"/>
    <w:rsid w:val="00D072AA"/>
    <w:rsid w:val="00D103C4"/>
    <w:rsid w:val="00D105A8"/>
    <w:rsid w:val="00D12221"/>
    <w:rsid w:val="00D1450F"/>
    <w:rsid w:val="00D145DA"/>
    <w:rsid w:val="00D152ED"/>
    <w:rsid w:val="00D16FDC"/>
    <w:rsid w:val="00D17FA7"/>
    <w:rsid w:val="00D207A3"/>
    <w:rsid w:val="00D21309"/>
    <w:rsid w:val="00D21804"/>
    <w:rsid w:val="00D238D5"/>
    <w:rsid w:val="00D24C7D"/>
    <w:rsid w:val="00D26191"/>
    <w:rsid w:val="00D27A7A"/>
    <w:rsid w:val="00D34DB2"/>
    <w:rsid w:val="00D450F7"/>
    <w:rsid w:val="00D45387"/>
    <w:rsid w:val="00D45F33"/>
    <w:rsid w:val="00D47821"/>
    <w:rsid w:val="00D51DDA"/>
    <w:rsid w:val="00D525E2"/>
    <w:rsid w:val="00D527A1"/>
    <w:rsid w:val="00D5331D"/>
    <w:rsid w:val="00D53783"/>
    <w:rsid w:val="00D56559"/>
    <w:rsid w:val="00D62771"/>
    <w:rsid w:val="00D67243"/>
    <w:rsid w:val="00D70ACD"/>
    <w:rsid w:val="00D70DF7"/>
    <w:rsid w:val="00D71CDE"/>
    <w:rsid w:val="00D725F2"/>
    <w:rsid w:val="00D73882"/>
    <w:rsid w:val="00D743CD"/>
    <w:rsid w:val="00D77315"/>
    <w:rsid w:val="00D81901"/>
    <w:rsid w:val="00D86255"/>
    <w:rsid w:val="00D875B2"/>
    <w:rsid w:val="00D91B69"/>
    <w:rsid w:val="00D944AB"/>
    <w:rsid w:val="00DA03DD"/>
    <w:rsid w:val="00DA1003"/>
    <w:rsid w:val="00DA3CBE"/>
    <w:rsid w:val="00DA3FDE"/>
    <w:rsid w:val="00DA4AED"/>
    <w:rsid w:val="00DA69F1"/>
    <w:rsid w:val="00DB15E4"/>
    <w:rsid w:val="00DB26C5"/>
    <w:rsid w:val="00DB27C9"/>
    <w:rsid w:val="00DB396B"/>
    <w:rsid w:val="00DB43FE"/>
    <w:rsid w:val="00DB4595"/>
    <w:rsid w:val="00DB5536"/>
    <w:rsid w:val="00DB7671"/>
    <w:rsid w:val="00DB7BEC"/>
    <w:rsid w:val="00DC3A9C"/>
    <w:rsid w:val="00DC425E"/>
    <w:rsid w:val="00DD303E"/>
    <w:rsid w:val="00DD69C5"/>
    <w:rsid w:val="00DD6E5C"/>
    <w:rsid w:val="00DE43DB"/>
    <w:rsid w:val="00DE7875"/>
    <w:rsid w:val="00DF0093"/>
    <w:rsid w:val="00DF184E"/>
    <w:rsid w:val="00DF2B29"/>
    <w:rsid w:val="00DF41BA"/>
    <w:rsid w:val="00DF5015"/>
    <w:rsid w:val="00DF6FAF"/>
    <w:rsid w:val="00E00E1D"/>
    <w:rsid w:val="00E02E6A"/>
    <w:rsid w:val="00E03616"/>
    <w:rsid w:val="00E03841"/>
    <w:rsid w:val="00E044C3"/>
    <w:rsid w:val="00E05AFF"/>
    <w:rsid w:val="00E06868"/>
    <w:rsid w:val="00E1312D"/>
    <w:rsid w:val="00E13EEF"/>
    <w:rsid w:val="00E1556B"/>
    <w:rsid w:val="00E21B09"/>
    <w:rsid w:val="00E26B67"/>
    <w:rsid w:val="00E27F8E"/>
    <w:rsid w:val="00E321D5"/>
    <w:rsid w:val="00E3456A"/>
    <w:rsid w:val="00E35058"/>
    <w:rsid w:val="00E42905"/>
    <w:rsid w:val="00E42E45"/>
    <w:rsid w:val="00E4418A"/>
    <w:rsid w:val="00E51582"/>
    <w:rsid w:val="00E53082"/>
    <w:rsid w:val="00E560EE"/>
    <w:rsid w:val="00E577E0"/>
    <w:rsid w:val="00E60491"/>
    <w:rsid w:val="00E64FEA"/>
    <w:rsid w:val="00E65EB9"/>
    <w:rsid w:val="00E66BD9"/>
    <w:rsid w:val="00E70FC0"/>
    <w:rsid w:val="00E76E3D"/>
    <w:rsid w:val="00E8196E"/>
    <w:rsid w:val="00E84E51"/>
    <w:rsid w:val="00E850C0"/>
    <w:rsid w:val="00E86FFF"/>
    <w:rsid w:val="00E8746A"/>
    <w:rsid w:val="00E9311E"/>
    <w:rsid w:val="00E94B22"/>
    <w:rsid w:val="00E9593E"/>
    <w:rsid w:val="00E95E44"/>
    <w:rsid w:val="00EA39AC"/>
    <w:rsid w:val="00EA42EC"/>
    <w:rsid w:val="00EA75DB"/>
    <w:rsid w:val="00EB0215"/>
    <w:rsid w:val="00EB125B"/>
    <w:rsid w:val="00EB1A4E"/>
    <w:rsid w:val="00EB1F9A"/>
    <w:rsid w:val="00EB3543"/>
    <w:rsid w:val="00EB44B4"/>
    <w:rsid w:val="00EB4F70"/>
    <w:rsid w:val="00EC3A01"/>
    <w:rsid w:val="00EC3C93"/>
    <w:rsid w:val="00EC41EA"/>
    <w:rsid w:val="00ED1FDC"/>
    <w:rsid w:val="00ED36D5"/>
    <w:rsid w:val="00ED4557"/>
    <w:rsid w:val="00ED5122"/>
    <w:rsid w:val="00EE1678"/>
    <w:rsid w:val="00EE4394"/>
    <w:rsid w:val="00EE4B13"/>
    <w:rsid w:val="00EE595F"/>
    <w:rsid w:val="00EE6365"/>
    <w:rsid w:val="00EF20A5"/>
    <w:rsid w:val="00EF2855"/>
    <w:rsid w:val="00EF37AC"/>
    <w:rsid w:val="00EF774F"/>
    <w:rsid w:val="00F0028D"/>
    <w:rsid w:val="00F00CE7"/>
    <w:rsid w:val="00F11429"/>
    <w:rsid w:val="00F116BD"/>
    <w:rsid w:val="00F1186D"/>
    <w:rsid w:val="00F1289B"/>
    <w:rsid w:val="00F148CE"/>
    <w:rsid w:val="00F1590F"/>
    <w:rsid w:val="00F15DB3"/>
    <w:rsid w:val="00F16196"/>
    <w:rsid w:val="00F1629B"/>
    <w:rsid w:val="00F21672"/>
    <w:rsid w:val="00F23DFE"/>
    <w:rsid w:val="00F26703"/>
    <w:rsid w:val="00F34D6C"/>
    <w:rsid w:val="00F3680D"/>
    <w:rsid w:val="00F36B9B"/>
    <w:rsid w:val="00F41020"/>
    <w:rsid w:val="00F41AC8"/>
    <w:rsid w:val="00F43538"/>
    <w:rsid w:val="00F515D6"/>
    <w:rsid w:val="00F5387C"/>
    <w:rsid w:val="00F53CCA"/>
    <w:rsid w:val="00F54F8E"/>
    <w:rsid w:val="00F57ED0"/>
    <w:rsid w:val="00F60D45"/>
    <w:rsid w:val="00F619B6"/>
    <w:rsid w:val="00F65645"/>
    <w:rsid w:val="00F65D24"/>
    <w:rsid w:val="00F676DD"/>
    <w:rsid w:val="00F703E5"/>
    <w:rsid w:val="00F71583"/>
    <w:rsid w:val="00F72231"/>
    <w:rsid w:val="00F76A32"/>
    <w:rsid w:val="00F7729B"/>
    <w:rsid w:val="00F80CC9"/>
    <w:rsid w:val="00F92187"/>
    <w:rsid w:val="00F9522C"/>
    <w:rsid w:val="00F97E26"/>
    <w:rsid w:val="00FA05A0"/>
    <w:rsid w:val="00FA07E3"/>
    <w:rsid w:val="00FA1778"/>
    <w:rsid w:val="00FA1E20"/>
    <w:rsid w:val="00FA23BE"/>
    <w:rsid w:val="00FA360E"/>
    <w:rsid w:val="00FA3A3C"/>
    <w:rsid w:val="00FA48A0"/>
    <w:rsid w:val="00FA660B"/>
    <w:rsid w:val="00FB0C2B"/>
    <w:rsid w:val="00FB1FCC"/>
    <w:rsid w:val="00FB358C"/>
    <w:rsid w:val="00FB40EB"/>
    <w:rsid w:val="00FB426B"/>
    <w:rsid w:val="00FB54FE"/>
    <w:rsid w:val="00FC31E8"/>
    <w:rsid w:val="00FC4335"/>
    <w:rsid w:val="00FC5603"/>
    <w:rsid w:val="00FC6B89"/>
    <w:rsid w:val="00FC73F6"/>
    <w:rsid w:val="00FC75B6"/>
    <w:rsid w:val="00FC75E8"/>
    <w:rsid w:val="00FD2B54"/>
    <w:rsid w:val="00FD417E"/>
    <w:rsid w:val="00FD489F"/>
    <w:rsid w:val="00FD5A3F"/>
    <w:rsid w:val="00FD7035"/>
    <w:rsid w:val="00FE0B50"/>
    <w:rsid w:val="00FE1934"/>
    <w:rsid w:val="00FE1E5F"/>
    <w:rsid w:val="00FE4FA5"/>
    <w:rsid w:val="00FF29FD"/>
    <w:rsid w:val="00FF3BB3"/>
    <w:rsid w:val="00FF4D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E8BC"/>
  <w15:chartTrackingRefBased/>
  <w15:docId w15:val="{D9993AA6-5281-384C-8141-EB9BD454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7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07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07B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07B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07B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07BD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7BD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7BD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7BD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7B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07B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07B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07B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07B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07B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7B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7B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7B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7BD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7B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7BD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7B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7BD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7BD5"/>
    <w:rPr>
      <w:i/>
      <w:iCs/>
      <w:color w:val="404040" w:themeColor="text1" w:themeTint="BF"/>
    </w:rPr>
  </w:style>
  <w:style w:type="paragraph" w:styleId="Paragrafoelenco">
    <w:name w:val="List Paragraph"/>
    <w:basedOn w:val="Normale"/>
    <w:uiPriority w:val="34"/>
    <w:qFormat/>
    <w:rsid w:val="00C07BD5"/>
    <w:pPr>
      <w:ind w:left="720"/>
      <w:contextualSpacing/>
    </w:pPr>
  </w:style>
  <w:style w:type="character" w:styleId="Enfasiintensa">
    <w:name w:val="Intense Emphasis"/>
    <w:basedOn w:val="Carpredefinitoparagrafo"/>
    <w:uiPriority w:val="21"/>
    <w:qFormat/>
    <w:rsid w:val="00C07BD5"/>
    <w:rPr>
      <w:i/>
      <w:iCs/>
      <w:color w:val="0F4761" w:themeColor="accent1" w:themeShade="BF"/>
    </w:rPr>
  </w:style>
  <w:style w:type="paragraph" w:styleId="Citazioneintensa">
    <w:name w:val="Intense Quote"/>
    <w:basedOn w:val="Normale"/>
    <w:next w:val="Normale"/>
    <w:link w:val="CitazioneintensaCarattere"/>
    <w:uiPriority w:val="30"/>
    <w:qFormat/>
    <w:rsid w:val="00C07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07BD5"/>
    <w:rPr>
      <w:i/>
      <w:iCs/>
      <w:color w:val="0F4761" w:themeColor="accent1" w:themeShade="BF"/>
    </w:rPr>
  </w:style>
  <w:style w:type="character" w:styleId="Riferimentointenso">
    <w:name w:val="Intense Reference"/>
    <w:basedOn w:val="Carpredefinitoparagrafo"/>
    <w:uiPriority w:val="32"/>
    <w:qFormat/>
    <w:rsid w:val="00C07BD5"/>
    <w:rPr>
      <w:b/>
      <w:bCs/>
      <w:smallCaps/>
      <w:color w:val="0F4761" w:themeColor="accent1" w:themeShade="BF"/>
      <w:spacing w:val="5"/>
    </w:rPr>
  </w:style>
  <w:style w:type="paragraph" w:customStyle="1" w:styleId="Default">
    <w:name w:val="Default"/>
    <w:rsid w:val="00B77107"/>
    <w:pPr>
      <w:autoSpaceDE w:val="0"/>
      <w:autoSpaceDN w:val="0"/>
      <w:adjustRightInd w:val="0"/>
    </w:pPr>
    <w:rPr>
      <w:rFonts w:ascii="Garamond" w:hAnsi="Garamond" w:cs="Garamond"/>
      <w:color w:val="000000"/>
      <w:kern w:val="0"/>
    </w:rPr>
  </w:style>
  <w:style w:type="paragraph" w:styleId="Testonotaapidipagina">
    <w:name w:val="footnote text"/>
    <w:basedOn w:val="Normale"/>
    <w:link w:val="TestonotaapidipaginaCarattere"/>
    <w:uiPriority w:val="99"/>
    <w:unhideWhenUsed/>
    <w:rsid w:val="00CA3340"/>
    <w:rPr>
      <w:sz w:val="20"/>
      <w:szCs w:val="20"/>
    </w:rPr>
  </w:style>
  <w:style w:type="character" w:customStyle="1" w:styleId="TestonotaapidipaginaCarattere">
    <w:name w:val="Testo nota a piè di pagina Carattere"/>
    <w:basedOn w:val="Carpredefinitoparagrafo"/>
    <w:link w:val="Testonotaapidipagina"/>
    <w:uiPriority w:val="99"/>
    <w:rsid w:val="00CA3340"/>
    <w:rPr>
      <w:sz w:val="20"/>
      <w:szCs w:val="20"/>
    </w:rPr>
  </w:style>
  <w:style w:type="character" w:styleId="Rimandonotaapidipagina">
    <w:name w:val="footnote reference"/>
    <w:basedOn w:val="Carpredefinitoparagrafo"/>
    <w:uiPriority w:val="99"/>
    <w:semiHidden/>
    <w:unhideWhenUsed/>
    <w:rsid w:val="00CA3340"/>
    <w:rPr>
      <w:vertAlign w:val="superscript"/>
    </w:rPr>
  </w:style>
  <w:style w:type="character" w:styleId="Collegamentoipertestuale">
    <w:name w:val="Hyperlink"/>
    <w:basedOn w:val="Carpredefinitoparagrafo"/>
    <w:uiPriority w:val="99"/>
    <w:unhideWhenUsed/>
    <w:rsid w:val="000A205F"/>
    <w:rPr>
      <w:color w:val="467886" w:themeColor="hyperlink"/>
      <w:u w:val="single"/>
    </w:rPr>
  </w:style>
  <w:style w:type="character" w:customStyle="1" w:styleId="alink">
    <w:name w:val="a_link"/>
    <w:rsid w:val="00D875B2"/>
    <w:rPr>
      <w:color w:val="000000"/>
    </w:rPr>
  </w:style>
  <w:style w:type="paragraph" w:customStyle="1" w:styleId="testo-leggedj-para-r1">
    <w:name w:val="testo-legge_dj-para-r1"/>
    <w:basedOn w:val="Normale"/>
    <w:rsid w:val="00D875B2"/>
    <w:pPr>
      <w:pBdr>
        <w:top w:val="none" w:sz="0" w:space="1" w:color="auto"/>
        <w:bottom w:val="none" w:sz="0" w:space="1" w:color="auto"/>
      </w:pBdr>
      <w:spacing w:line="330" w:lineRule="atLeast"/>
      <w:jc w:val="both"/>
    </w:pPr>
    <w:rPr>
      <w:rFonts w:ascii="Arial" w:eastAsia="Arial" w:hAnsi="Arial" w:cs="Arial"/>
      <w:kern w:val="0"/>
      <w:lang w:eastAsia="it-IT"/>
      <w14:ligatures w14:val="none"/>
    </w:rPr>
  </w:style>
  <w:style w:type="paragraph" w:styleId="Intestazione">
    <w:name w:val="header"/>
    <w:basedOn w:val="Normale"/>
    <w:link w:val="IntestazioneCarattere"/>
    <w:uiPriority w:val="99"/>
    <w:unhideWhenUsed/>
    <w:rsid w:val="00130CA1"/>
    <w:pPr>
      <w:tabs>
        <w:tab w:val="center" w:pos="4819"/>
        <w:tab w:val="right" w:pos="9638"/>
      </w:tabs>
    </w:pPr>
  </w:style>
  <w:style w:type="character" w:customStyle="1" w:styleId="IntestazioneCarattere">
    <w:name w:val="Intestazione Carattere"/>
    <w:basedOn w:val="Carpredefinitoparagrafo"/>
    <w:link w:val="Intestazione"/>
    <w:uiPriority w:val="99"/>
    <w:rsid w:val="00130CA1"/>
  </w:style>
  <w:style w:type="paragraph" w:styleId="Pidipagina">
    <w:name w:val="footer"/>
    <w:basedOn w:val="Normale"/>
    <w:link w:val="PidipaginaCarattere"/>
    <w:uiPriority w:val="99"/>
    <w:unhideWhenUsed/>
    <w:rsid w:val="00130CA1"/>
    <w:pPr>
      <w:tabs>
        <w:tab w:val="center" w:pos="4819"/>
        <w:tab w:val="right" w:pos="9638"/>
      </w:tabs>
    </w:pPr>
  </w:style>
  <w:style w:type="character" w:customStyle="1" w:styleId="PidipaginaCarattere">
    <w:name w:val="Piè di pagina Carattere"/>
    <w:basedOn w:val="Carpredefinitoparagrafo"/>
    <w:link w:val="Pidipagina"/>
    <w:uiPriority w:val="99"/>
    <w:rsid w:val="00130CA1"/>
  </w:style>
  <w:style w:type="paragraph" w:styleId="NormaleWeb">
    <w:name w:val="Normal (Web)"/>
    <w:basedOn w:val="Normale"/>
    <w:uiPriority w:val="99"/>
    <w:unhideWhenUsed/>
    <w:rsid w:val="008F2A6D"/>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257C52"/>
    <w:rPr>
      <w:b/>
      <w:bCs/>
    </w:rPr>
  </w:style>
  <w:style w:type="character" w:styleId="Menzionenonrisolta">
    <w:name w:val="Unresolved Mention"/>
    <w:basedOn w:val="Carpredefinitoparagrafo"/>
    <w:uiPriority w:val="99"/>
    <w:semiHidden/>
    <w:unhideWhenUsed/>
    <w:rsid w:val="00DB2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18188">
      <w:bodyDiv w:val="1"/>
      <w:marLeft w:val="0"/>
      <w:marRight w:val="0"/>
      <w:marTop w:val="0"/>
      <w:marBottom w:val="0"/>
      <w:divBdr>
        <w:top w:val="none" w:sz="0" w:space="0" w:color="auto"/>
        <w:left w:val="none" w:sz="0" w:space="0" w:color="auto"/>
        <w:bottom w:val="none" w:sz="0" w:space="0" w:color="auto"/>
        <w:right w:val="none" w:sz="0" w:space="0" w:color="auto"/>
      </w:divBdr>
      <w:divsChild>
        <w:div w:id="220943504">
          <w:marLeft w:val="0"/>
          <w:marRight w:val="0"/>
          <w:marTop w:val="0"/>
          <w:marBottom w:val="0"/>
          <w:divBdr>
            <w:top w:val="none" w:sz="0" w:space="0" w:color="auto"/>
            <w:left w:val="none" w:sz="0" w:space="0" w:color="auto"/>
            <w:bottom w:val="none" w:sz="0" w:space="0" w:color="auto"/>
            <w:right w:val="none" w:sz="0" w:space="0" w:color="auto"/>
          </w:divBdr>
          <w:divsChild>
            <w:div w:id="1395735216">
              <w:marLeft w:val="0"/>
              <w:marRight w:val="0"/>
              <w:marTop w:val="0"/>
              <w:marBottom w:val="0"/>
              <w:divBdr>
                <w:top w:val="none" w:sz="0" w:space="0" w:color="auto"/>
                <w:left w:val="none" w:sz="0" w:space="0" w:color="auto"/>
                <w:bottom w:val="none" w:sz="0" w:space="0" w:color="auto"/>
                <w:right w:val="none" w:sz="0" w:space="0" w:color="auto"/>
              </w:divBdr>
              <w:divsChild>
                <w:div w:id="302349947">
                  <w:marLeft w:val="0"/>
                  <w:marRight w:val="0"/>
                  <w:marTop w:val="0"/>
                  <w:marBottom w:val="0"/>
                  <w:divBdr>
                    <w:top w:val="none" w:sz="0" w:space="0" w:color="auto"/>
                    <w:left w:val="none" w:sz="0" w:space="0" w:color="auto"/>
                    <w:bottom w:val="none" w:sz="0" w:space="0" w:color="auto"/>
                    <w:right w:val="none" w:sz="0" w:space="0" w:color="auto"/>
                  </w:divBdr>
                  <w:divsChild>
                    <w:div w:id="359671997">
                      <w:marLeft w:val="75"/>
                      <w:marRight w:val="75"/>
                      <w:marTop w:val="0"/>
                      <w:marBottom w:val="0"/>
                      <w:divBdr>
                        <w:top w:val="none" w:sz="0" w:space="0" w:color="auto"/>
                        <w:left w:val="none" w:sz="0" w:space="0" w:color="auto"/>
                        <w:bottom w:val="none" w:sz="0" w:space="0" w:color="auto"/>
                        <w:right w:val="none" w:sz="0" w:space="0" w:color="auto"/>
                      </w:divBdr>
                      <w:divsChild>
                        <w:div w:id="1235582358">
                          <w:marLeft w:val="0"/>
                          <w:marRight w:val="0"/>
                          <w:marTop w:val="0"/>
                          <w:marBottom w:val="0"/>
                          <w:divBdr>
                            <w:top w:val="none" w:sz="0" w:space="0" w:color="auto"/>
                            <w:left w:val="none" w:sz="0" w:space="0" w:color="auto"/>
                            <w:bottom w:val="none" w:sz="0" w:space="0" w:color="auto"/>
                            <w:right w:val="none" w:sz="0" w:space="0" w:color="auto"/>
                          </w:divBdr>
                          <w:divsChild>
                            <w:div w:id="239485868">
                              <w:marLeft w:val="0"/>
                              <w:marRight w:val="0"/>
                              <w:marTop w:val="0"/>
                              <w:marBottom w:val="0"/>
                              <w:divBdr>
                                <w:top w:val="none" w:sz="0" w:space="0" w:color="auto"/>
                                <w:left w:val="none" w:sz="0" w:space="0" w:color="auto"/>
                                <w:bottom w:val="none" w:sz="0" w:space="0" w:color="auto"/>
                                <w:right w:val="none" w:sz="0" w:space="0" w:color="auto"/>
                              </w:divBdr>
                            </w:div>
                            <w:div w:id="552041999">
                              <w:marLeft w:val="0"/>
                              <w:marRight w:val="0"/>
                              <w:marTop w:val="0"/>
                              <w:marBottom w:val="0"/>
                              <w:divBdr>
                                <w:top w:val="none" w:sz="0" w:space="0" w:color="auto"/>
                                <w:left w:val="none" w:sz="0" w:space="0" w:color="auto"/>
                                <w:bottom w:val="none" w:sz="0" w:space="0" w:color="auto"/>
                                <w:right w:val="none" w:sz="0" w:space="0" w:color="auto"/>
                              </w:divBdr>
                              <w:divsChild>
                                <w:div w:id="980842687">
                                  <w:marLeft w:val="0"/>
                                  <w:marRight w:val="0"/>
                                  <w:marTop w:val="0"/>
                                  <w:marBottom w:val="0"/>
                                  <w:divBdr>
                                    <w:top w:val="none" w:sz="0" w:space="0" w:color="auto"/>
                                    <w:left w:val="none" w:sz="0" w:space="0" w:color="auto"/>
                                    <w:bottom w:val="none" w:sz="0" w:space="0" w:color="auto"/>
                                    <w:right w:val="none" w:sz="0" w:space="0" w:color="auto"/>
                                  </w:divBdr>
                                </w:div>
                                <w:div w:id="1881890902">
                                  <w:marLeft w:val="0"/>
                                  <w:marRight w:val="0"/>
                                  <w:marTop w:val="0"/>
                                  <w:marBottom w:val="0"/>
                                  <w:divBdr>
                                    <w:top w:val="none" w:sz="0" w:space="0" w:color="auto"/>
                                    <w:left w:val="none" w:sz="0" w:space="0" w:color="auto"/>
                                    <w:bottom w:val="none" w:sz="0" w:space="0" w:color="auto"/>
                                    <w:right w:val="none" w:sz="0" w:space="0" w:color="auto"/>
                                  </w:divBdr>
                                </w:div>
                                <w:div w:id="1957443127">
                                  <w:marLeft w:val="0"/>
                                  <w:marRight w:val="0"/>
                                  <w:marTop w:val="0"/>
                                  <w:marBottom w:val="0"/>
                                  <w:divBdr>
                                    <w:top w:val="none" w:sz="0" w:space="0" w:color="auto"/>
                                    <w:left w:val="none" w:sz="0" w:space="0" w:color="auto"/>
                                    <w:bottom w:val="none" w:sz="0" w:space="0" w:color="auto"/>
                                    <w:right w:val="none" w:sz="0" w:space="0" w:color="auto"/>
                                  </w:divBdr>
                                </w:div>
                                <w:div w:id="1801066922">
                                  <w:marLeft w:val="0"/>
                                  <w:marRight w:val="0"/>
                                  <w:marTop w:val="0"/>
                                  <w:marBottom w:val="0"/>
                                  <w:divBdr>
                                    <w:top w:val="none" w:sz="0" w:space="0" w:color="auto"/>
                                    <w:left w:val="none" w:sz="0" w:space="0" w:color="auto"/>
                                    <w:bottom w:val="none" w:sz="0" w:space="0" w:color="auto"/>
                                    <w:right w:val="none" w:sz="0" w:space="0" w:color="auto"/>
                                  </w:divBdr>
                                </w:div>
                              </w:divsChild>
                            </w:div>
                            <w:div w:id="1052195244">
                              <w:marLeft w:val="0"/>
                              <w:marRight w:val="0"/>
                              <w:marTop w:val="0"/>
                              <w:marBottom w:val="0"/>
                              <w:divBdr>
                                <w:top w:val="none" w:sz="0" w:space="0" w:color="auto"/>
                                <w:left w:val="none" w:sz="0" w:space="0" w:color="auto"/>
                                <w:bottom w:val="none" w:sz="0" w:space="0" w:color="auto"/>
                                <w:right w:val="none" w:sz="0" w:space="0" w:color="auto"/>
                              </w:divBdr>
                              <w:divsChild>
                                <w:div w:id="1004361125">
                                  <w:marLeft w:val="0"/>
                                  <w:marRight w:val="0"/>
                                  <w:marTop w:val="0"/>
                                  <w:marBottom w:val="0"/>
                                  <w:divBdr>
                                    <w:top w:val="none" w:sz="0" w:space="0" w:color="auto"/>
                                    <w:left w:val="none" w:sz="0" w:space="0" w:color="auto"/>
                                    <w:bottom w:val="none" w:sz="0" w:space="0" w:color="auto"/>
                                    <w:right w:val="none" w:sz="0" w:space="0" w:color="auto"/>
                                  </w:divBdr>
                                </w:div>
                              </w:divsChild>
                            </w:div>
                            <w:div w:id="1079522712">
                              <w:marLeft w:val="0"/>
                              <w:marRight w:val="0"/>
                              <w:marTop w:val="0"/>
                              <w:marBottom w:val="0"/>
                              <w:divBdr>
                                <w:top w:val="none" w:sz="0" w:space="0" w:color="auto"/>
                                <w:left w:val="none" w:sz="0" w:space="0" w:color="auto"/>
                                <w:bottom w:val="none" w:sz="0" w:space="0" w:color="auto"/>
                                <w:right w:val="none" w:sz="0" w:space="0" w:color="auto"/>
                              </w:divBdr>
                              <w:divsChild>
                                <w:div w:id="890383031">
                                  <w:marLeft w:val="0"/>
                                  <w:marRight w:val="0"/>
                                  <w:marTop w:val="0"/>
                                  <w:marBottom w:val="0"/>
                                  <w:divBdr>
                                    <w:top w:val="none" w:sz="0" w:space="0" w:color="auto"/>
                                    <w:left w:val="none" w:sz="0" w:space="0" w:color="auto"/>
                                    <w:bottom w:val="none" w:sz="0" w:space="0" w:color="auto"/>
                                    <w:right w:val="none" w:sz="0" w:space="0" w:color="auto"/>
                                  </w:divBdr>
                                  <w:divsChild>
                                    <w:div w:id="284388607">
                                      <w:marLeft w:val="0"/>
                                      <w:marRight w:val="0"/>
                                      <w:marTop w:val="0"/>
                                      <w:marBottom w:val="0"/>
                                      <w:divBdr>
                                        <w:top w:val="none" w:sz="0" w:space="0" w:color="auto"/>
                                        <w:left w:val="none" w:sz="0" w:space="0" w:color="auto"/>
                                        <w:bottom w:val="none" w:sz="0" w:space="0" w:color="auto"/>
                                        <w:right w:val="none" w:sz="0" w:space="0" w:color="auto"/>
                                      </w:divBdr>
                                    </w:div>
                                    <w:div w:id="774248896">
                                      <w:marLeft w:val="0"/>
                                      <w:marRight w:val="0"/>
                                      <w:marTop w:val="0"/>
                                      <w:marBottom w:val="0"/>
                                      <w:divBdr>
                                        <w:top w:val="none" w:sz="0" w:space="0" w:color="auto"/>
                                        <w:left w:val="none" w:sz="0" w:space="0" w:color="auto"/>
                                        <w:bottom w:val="none" w:sz="0" w:space="0" w:color="auto"/>
                                        <w:right w:val="none" w:sz="0" w:space="0" w:color="auto"/>
                                      </w:divBdr>
                                    </w:div>
                                    <w:div w:id="1613827432">
                                      <w:marLeft w:val="0"/>
                                      <w:marRight w:val="0"/>
                                      <w:marTop w:val="0"/>
                                      <w:marBottom w:val="0"/>
                                      <w:divBdr>
                                        <w:top w:val="none" w:sz="0" w:space="0" w:color="auto"/>
                                        <w:left w:val="none" w:sz="0" w:space="0" w:color="auto"/>
                                        <w:bottom w:val="none" w:sz="0" w:space="0" w:color="auto"/>
                                        <w:right w:val="none" w:sz="0" w:space="0" w:color="auto"/>
                                      </w:divBdr>
                                    </w:div>
                                    <w:div w:id="1652977901">
                                      <w:marLeft w:val="0"/>
                                      <w:marRight w:val="0"/>
                                      <w:marTop w:val="0"/>
                                      <w:marBottom w:val="0"/>
                                      <w:divBdr>
                                        <w:top w:val="none" w:sz="0" w:space="0" w:color="auto"/>
                                        <w:left w:val="none" w:sz="0" w:space="0" w:color="auto"/>
                                        <w:bottom w:val="none" w:sz="0" w:space="0" w:color="auto"/>
                                        <w:right w:val="none" w:sz="0" w:space="0" w:color="auto"/>
                                      </w:divBdr>
                                    </w:div>
                                    <w:div w:id="1689258185">
                                      <w:marLeft w:val="0"/>
                                      <w:marRight w:val="0"/>
                                      <w:marTop w:val="0"/>
                                      <w:marBottom w:val="0"/>
                                      <w:divBdr>
                                        <w:top w:val="none" w:sz="0" w:space="0" w:color="auto"/>
                                        <w:left w:val="none" w:sz="0" w:space="0" w:color="auto"/>
                                        <w:bottom w:val="none" w:sz="0" w:space="0" w:color="auto"/>
                                        <w:right w:val="none" w:sz="0" w:space="0" w:color="auto"/>
                                      </w:divBdr>
                                    </w:div>
                                    <w:div w:id="571547492">
                                      <w:marLeft w:val="0"/>
                                      <w:marRight w:val="0"/>
                                      <w:marTop w:val="0"/>
                                      <w:marBottom w:val="0"/>
                                      <w:divBdr>
                                        <w:top w:val="none" w:sz="0" w:space="0" w:color="auto"/>
                                        <w:left w:val="none" w:sz="0" w:space="0" w:color="auto"/>
                                        <w:bottom w:val="none" w:sz="0" w:space="0" w:color="auto"/>
                                        <w:right w:val="none" w:sz="0" w:space="0" w:color="auto"/>
                                      </w:divBdr>
                                    </w:div>
                                    <w:div w:id="12632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0699">
                              <w:marLeft w:val="0"/>
                              <w:marRight w:val="0"/>
                              <w:marTop w:val="0"/>
                              <w:marBottom w:val="0"/>
                              <w:divBdr>
                                <w:top w:val="none" w:sz="0" w:space="0" w:color="auto"/>
                                <w:left w:val="none" w:sz="0" w:space="0" w:color="auto"/>
                                <w:bottom w:val="none" w:sz="0" w:space="0" w:color="auto"/>
                                <w:right w:val="none" w:sz="0" w:space="0" w:color="auto"/>
                              </w:divBdr>
                            </w:div>
                            <w:div w:id="203103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902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9105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leggidita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leggiditalia.it/" TargetMode="External"/><Relationship Id="rId5" Type="http://schemas.openxmlformats.org/officeDocument/2006/relationships/webSettings" Target="webSettings.xml"/><Relationship Id="rId10" Type="http://schemas.openxmlformats.org/officeDocument/2006/relationships/hyperlink" Target="https://pa.leggiditalia.it/" TargetMode="External"/><Relationship Id="rId4" Type="http://schemas.openxmlformats.org/officeDocument/2006/relationships/settings" Target="settings.xml"/><Relationship Id="rId9" Type="http://schemas.openxmlformats.org/officeDocument/2006/relationships/hyperlink" Target="https://pa.leggidital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09B6C-9C0C-4B2B-8B8F-8D8845759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11</Pages>
  <Words>6619</Words>
  <Characters>37734</Characters>
  <Application>Microsoft Office Word</Application>
  <DocSecurity>0</DocSecurity>
  <Lines>314</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Fortino Francesco</dc:creator>
  <cp:keywords/>
  <dc:description/>
  <cp:lastModifiedBy>Vella Giuseppe</cp:lastModifiedBy>
  <cp:revision>120</cp:revision>
  <dcterms:created xsi:type="dcterms:W3CDTF">2025-04-06T10:08:00Z</dcterms:created>
  <dcterms:modified xsi:type="dcterms:W3CDTF">2026-01-28T09:19:00Z</dcterms:modified>
</cp:coreProperties>
</file>