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19DD9" w14:textId="61546E85" w:rsidR="00977AA5" w:rsidRDefault="00977AA5" w:rsidP="005122EC">
      <w:pPr>
        <w:spacing w:line="360" w:lineRule="auto"/>
        <w:jc w:val="both"/>
        <w:rPr>
          <w:rFonts w:ascii="Garamond" w:hAnsi="Garamond" w:cs="Times New Roman"/>
          <w:b/>
          <w:bCs/>
          <w:sz w:val="28"/>
          <w:szCs w:val="28"/>
        </w:rPr>
      </w:pPr>
      <w:proofErr w:type="spellStart"/>
      <w:r w:rsidRPr="00166AB7">
        <w:rPr>
          <w:rFonts w:ascii="Garamond" w:hAnsi="Garamond" w:cs="Times New Roman"/>
          <w:b/>
          <w:bCs/>
          <w:sz w:val="28"/>
          <w:szCs w:val="28"/>
        </w:rPr>
        <w:t>Massimazione</w:t>
      </w:r>
      <w:proofErr w:type="spellEnd"/>
      <w:r w:rsidRPr="00166AB7">
        <w:rPr>
          <w:rFonts w:ascii="Garamond" w:hAnsi="Garamond" w:cs="Times New Roman"/>
          <w:b/>
          <w:bCs/>
          <w:sz w:val="28"/>
          <w:szCs w:val="28"/>
        </w:rPr>
        <w:t xml:space="preserve"> e rassegne monotematiche di giurisprudenza</w:t>
      </w:r>
      <w:r w:rsidR="00E129BF" w:rsidRPr="00166AB7">
        <w:rPr>
          <w:rFonts w:ascii="Garamond" w:hAnsi="Garamond" w:cs="Times New Roman"/>
          <w:b/>
          <w:bCs/>
          <w:sz w:val="28"/>
          <w:szCs w:val="28"/>
        </w:rPr>
        <w:t xml:space="preserve"> nell’attività dell’Ufficio del massimario della giustizia amministrativa: attualità e prospettive</w:t>
      </w:r>
      <w:r w:rsidR="006347D2" w:rsidRPr="00166AB7">
        <w:rPr>
          <w:rStyle w:val="Rimandonotaapidipagina"/>
          <w:rFonts w:ascii="Garamond" w:hAnsi="Garamond" w:cs="Times New Roman"/>
          <w:b/>
          <w:bCs/>
          <w:sz w:val="28"/>
          <w:szCs w:val="28"/>
        </w:rPr>
        <w:footnoteReference w:id="1"/>
      </w:r>
      <w:r w:rsidR="00E129BF" w:rsidRPr="00166AB7">
        <w:rPr>
          <w:rFonts w:ascii="Garamond" w:hAnsi="Garamond" w:cs="Times New Roman"/>
          <w:b/>
          <w:bCs/>
          <w:sz w:val="28"/>
          <w:szCs w:val="28"/>
        </w:rPr>
        <w:t>.</w:t>
      </w:r>
    </w:p>
    <w:p w14:paraId="0F9D58A1" w14:textId="77777777" w:rsidR="00A444D3" w:rsidRDefault="00A444D3" w:rsidP="005122EC">
      <w:pPr>
        <w:spacing w:line="360" w:lineRule="auto"/>
        <w:jc w:val="both"/>
        <w:rPr>
          <w:rFonts w:ascii="Garamond" w:hAnsi="Garamond" w:cs="Times New Roman"/>
          <w:b/>
          <w:bCs/>
          <w:sz w:val="24"/>
          <w:szCs w:val="24"/>
        </w:rPr>
      </w:pPr>
    </w:p>
    <w:p w14:paraId="2C68B743" w14:textId="1C15E921" w:rsidR="00A444D3" w:rsidRDefault="00A444D3" w:rsidP="005122EC">
      <w:pPr>
        <w:spacing w:line="360" w:lineRule="auto"/>
        <w:jc w:val="both"/>
        <w:rPr>
          <w:rFonts w:ascii="Garamond" w:hAnsi="Garamond" w:cs="Times New Roman"/>
          <w:b/>
          <w:bCs/>
          <w:sz w:val="24"/>
          <w:szCs w:val="24"/>
        </w:rPr>
      </w:pPr>
      <w:r w:rsidRPr="00A444D3">
        <w:rPr>
          <w:rFonts w:ascii="Garamond" w:hAnsi="Garamond" w:cs="Times New Roman"/>
          <w:b/>
          <w:bCs/>
          <w:sz w:val="24"/>
          <w:szCs w:val="24"/>
        </w:rPr>
        <w:t xml:space="preserve">Sommario: </w:t>
      </w:r>
      <w:r w:rsidRPr="006F61C8">
        <w:rPr>
          <w:rFonts w:ascii="Garamond" w:hAnsi="Garamond" w:cs="Times New Roman"/>
          <w:b/>
          <w:bCs/>
          <w:sz w:val="24"/>
          <w:szCs w:val="24"/>
        </w:rPr>
        <w:t>1. Premessa. Un professore mi disse…2. La delicatezza degli strumenti.</w:t>
      </w:r>
      <w:r>
        <w:rPr>
          <w:rFonts w:ascii="Garamond" w:hAnsi="Garamond" w:cs="Times New Roman"/>
          <w:b/>
          <w:bCs/>
          <w:sz w:val="24"/>
          <w:szCs w:val="24"/>
        </w:rPr>
        <w:t xml:space="preserve"> </w:t>
      </w:r>
      <w:r w:rsidRPr="006F61C8">
        <w:rPr>
          <w:rFonts w:ascii="Garamond" w:hAnsi="Garamond" w:cs="Times New Roman"/>
          <w:b/>
          <w:bCs/>
          <w:sz w:val="24"/>
          <w:szCs w:val="24"/>
        </w:rPr>
        <w:t xml:space="preserve">3. </w:t>
      </w:r>
      <w:proofErr w:type="spellStart"/>
      <w:r w:rsidRPr="006F61C8">
        <w:rPr>
          <w:rFonts w:ascii="Garamond" w:hAnsi="Garamond" w:cs="Times New Roman"/>
          <w:b/>
          <w:bCs/>
          <w:sz w:val="24"/>
          <w:szCs w:val="24"/>
        </w:rPr>
        <w:t>Massimazione</w:t>
      </w:r>
      <w:proofErr w:type="spellEnd"/>
      <w:r w:rsidRPr="006F61C8">
        <w:rPr>
          <w:rFonts w:ascii="Garamond" w:hAnsi="Garamond" w:cs="Times New Roman"/>
          <w:b/>
          <w:bCs/>
          <w:sz w:val="24"/>
          <w:szCs w:val="24"/>
        </w:rPr>
        <w:t xml:space="preserve"> della giurisprudenza amministrativa.</w:t>
      </w:r>
      <w:r>
        <w:rPr>
          <w:rFonts w:ascii="Garamond" w:hAnsi="Garamond" w:cs="Times New Roman"/>
          <w:b/>
          <w:bCs/>
          <w:sz w:val="24"/>
          <w:szCs w:val="24"/>
        </w:rPr>
        <w:t xml:space="preserve"> </w:t>
      </w:r>
      <w:r w:rsidRPr="006F61C8">
        <w:rPr>
          <w:rFonts w:ascii="Garamond" w:hAnsi="Garamond" w:cs="Times New Roman"/>
          <w:b/>
          <w:bCs/>
          <w:sz w:val="24"/>
          <w:szCs w:val="24"/>
        </w:rPr>
        <w:t>4. Rassegne monotematiche di giurisprudenza amministrativa.</w:t>
      </w:r>
      <w:r>
        <w:rPr>
          <w:rFonts w:ascii="Garamond" w:hAnsi="Garamond" w:cs="Times New Roman"/>
          <w:b/>
          <w:bCs/>
          <w:sz w:val="24"/>
          <w:szCs w:val="24"/>
        </w:rPr>
        <w:t xml:space="preserve"> </w:t>
      </w:r>
      <w:r w:rsidRPr="006F61C8">
        <w:rPr>
          <w:rFonts w:ascii="Garamond" w:hAnsi="Garamond" w:cs="Times New Roman"/>
          <w:b/>
          <w:bCs/>
          <w:sz w:val="24"/>
          <w:szCs w:val="24"/>
        </w:rPr>
        <w:t>4.1. Rassegne sulla giurisprudenza dell’Adunanza plenaria.</w:t>
      </w:r>
      <w:r>
        <w:rPr>
          <w:rFonts w:ascii="Garamond" w:hAnsi="Garamond" w:cs="Times New Roman"/>
          <w:b/>
          <w:bCs/>
          <w:sz w:val="24"/>
          <w:szCs w:val="24"/>
        </w:rPr>
        <w:t xml:space="preserve"> </w:t>
      </w:r>
      <w:r w:rsidRPr="006F61C8">
        <w:rPr>
          <w:rFonts w:ascii="Garamond" w:hAnsi="Garamond" w:cs="Times New Roman"/>
          <w:b/>
          <w:bCs/>
          <w:sz w:val="24"/>
          <w:szCs w:val="24"/>
        </w:rPr>
        <w:t>5. Conclusioni.</w:t>
      </w:r>
    </w:p>
    <w:p w14:paraId="58D91C0C" w14:textId="77777777" w:rsidR="00A444D3" w:rsidRPr="00A444D3" w:rsidRDefault="00A444D3" w:rsidP="005122EC">
      <w:pPr>
        <w:spacing w:line="360" w:lineRule="auto"/>
        <w:jc w:val="both"/>
        <w:rPr>
          <w:rFonts w:ascii="Garamond" w:hAnsi="Garamond" w:cs="Times New Roman"/>
          <w:b/>
          <w:bCs/>
          <w:sz w:val="24"/>
          <w:szCs w:val="24"/>
        </w:rPr>
      </w:pPr>
    </w:p>
    <w:p w14:paraId="6A0554FF" w14:textId="554E7D81" w:rsidR="00C16B23" w:rsidRPr="006F61C8" w:rsidRDefault="00C16B23" w:rsidP="005122EC">
      <w:pPr>
        <w:spacing w:line="360" w:lineRule="auto"/>
        <w:jc w:val="both"/>
        <w:rPr>
          <w:rFonts w:ascii="Garamond" w:hAnsi="Garamond" w:cs="Times New Roman"/>
          <w:b/>
          <w:bCs/>
          <w:sz w:val="24"/>
          <w:szCs w:val="24"/>
        </w:rPr>
      </w:pPr>
      <w:r w:rsidRPr="006F61C8">
        <w:rPr>
          <w:rFonts w:ascii="Garamond" w:hAnsi="Garamond" w:cs="Times New Roman"/>
          <w:b/>
          <w:bCs/>
          <w:sz w:val="24"/>
          <w:szCs w:val="24"/>
        </w:rPr>
        <w:t xml:space="preserve">1. </w:t>
      </w:r>
      <w:r w:rsidR="001C7570" w:rsidRPr="006F61C8">
        <w:rPr>
          <w:rFonts w:ascii="Garamond" w:hAnsi="Garamond" w:cs="Times New Roman"/>
          <w:b/>
          <w:bCs/>
          <w:sz w:val="24"/>
          <w:szCs w:val="24"/>
        </w:rPr>
        <w:t xml:space="preserve">Premessa. </w:t>
      </w:r>
      <w:r w:rsidRPr="006F61C8">
        <w:rPr>
          <w:rFonts w:ascii="Garamond" w:hAnsi="Garamond" w:cs="Times New Roman"/>
          <w:b/>
          <w:bCs/>
          <w:sz w:val="24"/>
          <w:szCs w:val="24"/>
        </w:rPr>
        <w:t xml:space="preserve">Un professore mi </w:t>
      </w:r>
      <w:r w:rsidR="001C7570" w:rsidRPr="006F61C8">
        <w:rPr>
          <w:rFonts w:ascii="Garamond" w:hAnsi="Garamond" w:cs="Times New Roman"/>
          <w:b/>
          <w:bCs/>
          <w:sz w:val="24"/>
          <w:szCs w:val="24"/>
        </w:rPr>
        <w:t>disse…</w:t>
      </w:r>
    </w:p>
    <w:p w14:paraId="40E5EF06" w14:textId="5C0CA007" w:rsidR="004352F3" w:rsidRPr="006F61C8" w:rsidRDefault="001C7570" w:rsidP="005122EC">
      <w:pPr>
        <w:spacing w:line="360" w:lineRule="auto"/>
        <w:jc w:val="both"/>
        <w:rPr>
          <w:rFonts w:ascii="Garamond" w:hAnsi="Garamond" w:cs="Times New Roman"/>
          <w:sz w:val="24"/>
          <w:szCs w:val="24"/>
        </w:rPr>
      </w:pPr>
      <w:r w:rsidRPr="006F61C8">
        <w:rPr>
          <w:rFonts w:ascii="Garamond" w:hAnsi="Garamond" w:cs="Times New Roman"/>
          <w:sz w:val="24"/>
          <w:szCs w:val="24"/>
        </w:rPr>
        <w:t>Parafrasando Tiziano Terzani</w:t>
      </w:r>
      <w:r w:rsidRPr="006F61C8">
        <w:rPr>
          <w:rStyle w:val="Rimandonotaapidipagina"/>
          <w:rFonts w:ascii="Garamond" w:hAnsi="Garamond" w:cs="Times New Roman"/>
          <w:sz w:val="24"/>
          <w:szCs w:val="24"/>
        </w:rPr>
        <w:footnoteReference w:id="2"/>
      </w:r>
      <w:r w:rsidRPr="006F61C8">
        <w:rPr>
          <w:rFonts w:ascii="Garamond" w:hAnsi="Garamond" w:cs="Times New Roman"/>
          <w:sz w:val="24"/>
          <w:szCs w:val="24"/>
        </w:rPr>
        <w:t>,</w:t>
      </w:r>
      <w:r w:rsidR="002F2ABB" w:rsidRPr="006F61C8">
        <w:rPr>
          <w:rFonts w:ascii="Garamond" w:hAnsi="Garamond" w:cs="Times New Roman"/>
          <w:sz w:val="24"/>
          <w:szCs w:val="24"/>
        </w:rPr>
        <w:t xml:space="preserve"> comincio con un aneddoto che mi ha fatto riflettere. </w:t>
      </w:r>
    </w:p>
    <w:p w14:paraId="7A4C8D21" w14:textId="10F08C09" w:rsidR="004352F3" w:rsidRPr="006F61C8" w:rsidRDefault="004352F3" w:rsidP="005122EC">
      <w:pPr>
        <w:spacing w:line="360" w:lineRule="auto"/>
        <w:jc w:val="both"/>
        <w:rPr>
          <w:rFonts w:ascii="Garamond" w:hAnsi="Garamond" w:cs="Times New Roman"/>
          <w:sz w:val="24"/>
          <w:szCs w:val="24"/>
        </w:rPr>
      </w:pPr>
      <w:r w:rsidRPr="006F61C8">
        <w:rPr>
          <w:rFonts w:ascii="Garamond" w:hAnsi="Garamond" w:cs="Times New Roman"/>
          <w:sz w:val="24"/>
          <w:szCs w:val="24"/>
        </w:rPr>
        <w:t>Un professore di diritto amministrativo</w:t>
      </w:r>
      <w:r w:rsidR="00411CFA" w:rsidRPr="006F61C8">
        <w:rPr>
          <w:rFonts w:ascii="Garamond" w:hAnsi="Garamond" w:cs="Times New Roman"/>
          <w:sz w:val="24"/>
          <w:szCs w:val="24"/>
        </w:rPr>
        <w:t xml:space="preserve"> </w:t>
      </w:r>
      <w:r w:rsidRPr="006F61C8">
        <w:rPr>
          <w:rFonts w:ascii="Garamond" w:hAnsi="Garamond" w:cs="Times New Roman"/>
          <w:sz w:val="24"/>
          <w:szCs w:val="24"/>
        </w:rPr>
        <w:t>mi disse</w:t>
      </w:r>
      <w:r w:rsidR="00477286" w:rsidRPr="006F61C8">
        <w:rPr>
          <w:rFonts w:ascii="Garamond" w:hAnsi="Garamond" w:cs="Times New Roman"/>
          <w:sz w:val="24"/>
          <w:szCs w:val="24"/>
        </w:rPr>
        <w:t xml:space="preserve">, qualche tempo fa, </w:t>
      </w:r>
      <w:r w:rsidRPr="006F61C8">
        <w:rPr>
          <w:rFonts w:ascii="Garamond" w:hAnsi="Garamond" w:cs="Times New Roman"/>
          <w:sz w:val="24"/>
          <w:szCs w:val="24"/>
        </w:rPr>
        <w:t>che ormai, con l’intelligenza artificiale e la digitalizzazione “spinta” le rassegne di giurisprudenza e le massime non avrebbero più avuto una reale utilità</w:t>
      </w:r>
      <w:r w:rsidR="007F7D94" w:rsidRPr="006F61C8">
        <w:rPr>
          <w:rFonts w:ascii="Garamond" w:hAnsi="Garamond" w:cs="Times New Roman"/>
          <w:sz w:val="24"/>
          <w:szCs w:val="24"/>
        </w:rPr>
        <w:t xml:space="preserve"> per gli operatori del diritto. </w:t>
      </w:r>
    </w:p>
    <w:p w14:paraId="30CED49D" w14:textId="25198291" w:rsidR="007F7D94" w:rsidRPr="006F61C8" w:rsidRDefault="007F7D94" w:rsidP="005122EC">
      <w:pPr>
        <w:spacing w:line="360" w:lineRule="auto"/>
        <w:jc w:val="both"/>
        <w:rPr>
          <w:rFonts w:ascii="Garamond" w:hAnsi="Garamond" w:cs="Times New Roman"/>
          <w:sz w:val="24"/>
          <w:szCs w:val="24"/>
        </w:rPr>
      </w:pPr>
      <w:r w:rsidRPr="006F61C8">
        <w:rPr>
          <w:rFonts w:ascii="Garamond" w:hAnsi="Garamond" w:cs="Times New Roman"/>
          <w:sz w:val="24"/>
          <w:szCs w:val="24"/>
        </w:rPr>
        <w:t>Il punto, magari semplicisticamente esposto, coglie però nel segno un problema reale, che</w:t>
      </w:r>
      <w:r w:rsidR="00411CFA" w:rsidRPr="006F61C8">
        <w:rPr>
          <w:rFonts w:ascii="Garamond" w:hAnsi="Garamond" w:cs="Times New Roman"/>
          <w:sz w:val="24"/>
          <w:szCs w:val="24"/>
        </w:rPr>
        <w:t>,</w:t>
      </w:r>
      <w:r w:rsidRPr="006F61C8">
        <w:rPr>
          <w:rFonts w:ascii="Garamond" w:hAnsi="Garamond" w:cs="Times New Roman"/>
          <w:sz w:val="24"/>
          <w:szCs w:val="24"/>
        </w:rPr>
        <w:t xml:space="preserve"> a mio avviso</w:t>
      </w:r>
      <w:r w:rsidR="00477286" w:rsidRPr="006F61C8">
        <w:rPr>
          <w:rFonts w:ascii="Garamond" w:hAnsi="Garamond" w:cs="Times New Roman"/>
          <w:sz w:val="24"/>
          <w:szCs w:val="24"/>
        </w:rPr>
        <w:t>, tuttavia,</w:t>
      </w:r>
      <w:r w:rsidRPr="006F61C8">
        <w:rPr>
          <w:rFonts w:ascii="Garamond" w:hAnsi="Garamond" w:cs="Times New Roman"/>
          <w:sz w:val="24"/>
          <w:szCs w:val="24"/>
        </w:rPr>
        <w:t xml:space="preserve"> non </w:t>
      </w:r>
      <w:r w:rsidR="00C51B22" w:rsidRPr="006F61C8">
        <w:rPr>
          <w:rFonts w:ascii="Garamond" w:hAnsi="Garamond" w:cs="Times New Roman"/>
          <w:sz w:val="24"/>
          <w:szCs w:val="24"/>
        </w:rPr>
        <w:t>deve essere risolto mediante l’accantonamento (</w:t>
      </w:r>
      <w:proofErr w:type="spellStart"/>
      <w:r w:rsidR="00C51B22" w:rsidRPr="006F61C8">
        <w:rPr>
          <w:rFonts w:ascii="Garamond" w:hAnsi="Garamond" w:cs="Times New Roman"/>
          <w:i/>
          <w:iCs/>
          <w:sz w:val="24"/>
          <w:szCs w:val="24"/>
        </w:rPr>
        <w:t>rectius</w:t>
      </w:r>
      <w:proofErr w:type="spellEnd"/>
      <w:r w:rsidR="00C51B22" w:rsidRPr="006F61C8">
        <w:rPr>
          <w:rFonts w:ascii="Garamond" w:hAnsi="Garamond" w:cs="Times New Roman"/>
          <w:sz w:val="24"/>
          <w:szCs w:val="24"/>
        </w:rPr>
        <w:t>: la delegazione alla macchina) di questi strumenti, ma attraverso uno sviluppo degli stessi e adeguamento ai tempi moderni</w:t>
      </w:r>
      <w:r w:rsidR="00F71CA4" w:rsidRPr="006F61C8">
        <w:rPr>
          <w:rFonts w:ascii="Garamond" w:hAnsi="Garamond" w:cs="Times New Roman"/>
          <w:sz w:val="24"/>
          <w:szCs w:val="24"/>
        </w:rPr>
        <w:t xml:space="preserve"> caratterizzati da una forte innovazione tecnologica</w:t>
      </w:r>
      <w:r w:rsidR="00411CFA" w:rsidRPr="006F61C8">
        <w:rPr>
          <w:rFonts w:ascii="Garamond" w:hAnsi="Garamond" w:cs="Times New Roman"/>
          <w:sz w:val="24"/>
          <w:szCs w:val="24"/>
        </w:rPr>
        <w:t>.</w:t>
      </w:r>
    </w:p>
    <w:p w14:paraId="46A7822E" w14:textId="236E29F4" w:rsidR="004E4B7B" w:rsidRPr="006F61C8" w:rsidRDefault="002F533E"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In questo mio </w:t>
      </w:r>
      <w:r w:rsidR="00D31541" w:rsidRPr="006F61C8">
        <w:rPr>
          <w:rFonts w:ascii="Garamond" w:hAnsi="Garamond" w:cs="Times New Roman"/>
          <w:sz w:val="24"/>
          <w:szCs w:val="24"/>
        </w:rPr>
        <w:t xml:space="preserve">breve </w:t>
      </w:r>
      <w:r w:rsidRPr="006F61C8">
        <w:rPr>
          <w:rFonts w:ascii="Garamond" w:hAnsi="Garamond" w:cs="Times New Roman"/>
          <w:sz w:val="24"/>
          <w:szCs w:val="24"/>
        </w:rPr>
        <w:t>intervento mi concentrerò quindi</w:t>
      </w:r>
      <w:r w:rsidR="006708A3" w:rsidRPr="006F61C8">
        <w:rPr>
          <w:rFonts w:ascii="Garamond" w:hAnsi="Garamond" w:cs="Times New Roman"/>
          <w:sz w:val="24"/>
          <w:szCs w:val="24"/>
        </w:rPr>
        <w:t xml:space="preserve"> su</w:t>
      </w:r>
      <w:r w:rsidR="008806A6" w:rsidRPr="006F61C8">
        <w:rPr>
          <w:rFonts w:ascii="Garamond" w:hAnsi="Garamond" w:cs="Times New Roman"/>
          <w:sz w:val="24"/>
          <w:szCs w:val="24"/>
        </w:rPr>
        <w:t>gli strumenti delle massime delle sentenze e dell</w:t>
      </w:r>
      <w:r w:rsidR="005E0C17" w:rsidRPr="006F61C8">
        <w:rPr>
          <w:rFonts w:ascii="Garamond" w:hAnsi="Garamond" w:cs="Times New Roman"/>
          <w:sz w:val="24"/>
          <w:szCs w:val="24"/>
        </w:rPr>
        <w:t>e</w:t>
      </w:r>
      <w:r w:rsidR="008806A6" w:rsidRPr="006F61C8">
        <w:rPr>
          <w:rFonts w:ascii="Garamond" w:hAnsi="Garamond" w:cs="Times New Roman"/>
          <w:sz w:val="24"/>
          <w:szCs w:val="24"/>
        </w:rPr>
        <w:t xml:space="preserve"> rassegne monotematiche di giurisprudenza, entrambe oggetto di attività istituzionale in seno alla giustizia amministrativa da parte dell’Ufficio del massimario, </w:t>
      </w:r>
      <w:r w:rsidR="0069793E" w:rsidRPr="006F61C8">
        <w:rPr>
          <w:rFonts w:ascii="Garamond" w:hAnsi="Garamond" w:cs="Times New Roman"/>
          <w:sz w:val="24"/>
          <w:szCs w:val="24"/>
        </w:rPr>
        <w:t>che è mia convinzione mantengano una loro attualità e interesse per gli operatori</w:t>
      </w:r>
      <w:r w:rsidR="00583AD1" w:rsidRPr="006F61C8">
        <w:rPr>
          <w:rFonts w:ascii="Garamond" w:hAnsi="Garamond" w:cs="Times New Roman"/>
          <w:sz w:val="24"/>
          <w:szCs w:val="24"/>
        </w:rPr>
        <w:t>, limitandomi evidentemente alla giurisprudenza amministrativa.</w:t>
      </w:r>
    </w:p>
    <w:p w14:paraId="74085BE5" w14:textId="24B6F3A5" w:rsidR="005E0C17" w:rsidRPr="006F61C8" w:rsidRDefault="005E0C17"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Non mi potrò evidentemente soffermare, neppure fugacemente, sui profili più generali del rapporto tra diritto e intelligenza artificiale, che restano del tutto estranei perciò alla presente esposizione. </w:t>
      </w:r>
    </w:p>
    <w:p w14:paraId="6B2D7341" w14:textId="134B1D3D" w:rsidR="00C16B23" w:rsidRPr="006F61C8" w:rsidRDefault="002F533E" w:rsidP="005122EC">
      <w:pPr>
        <w:spacing w:line="360" w:lineRule="auto"/>
        <w:jc w:val="both"/>
        <w:rPr>
          <w:rFonts w:ascii="Garamond" w:hAnsi="Garamond" w:cs="Times New Roman"/>
          <w:b/>
          <w:bCs/>
          <w:sz w:val="24"/>
          <w:szCs w:val="24"/>
        </w:rPr>
      </w:pPr>
      <w:r w:rsidRPr="006F61C8">
        <w:rPr>
          <w:rFonts w:ascii="Garamond" w:hAnsi="Garamond" w:cs="Times New Roman"/>
          <w:b/>
          <w:bCs/>
          <w:sz w:val="24"/>
          <w:szCs w:val="24"/>
        </w:rPr>
        <w:t>2</w:t>
      </w:r>
      <w:r w:rsidR="00C16B23" w:rsidRPr="006F61C8">
        <w:rPr>
          <w:rFonts w:ascii="Garamond" w:hAnsi="Garamond" w:cs="Times New Roman"/>
          <w:b/>
          <w:bCs/>
          <w:sz w:val="24"/>
          <w:szCs w:val="24"/>
        </w:rPr>
        <w:t>. La delicatezza degli strumenti.</w:t>
      </w:r>
    </w:p>
    <w:p w14:paraId="3136D6B9" w14:textId="2B1B1664" w:rsidR="004E4B7B" w:rsidRPr="006F61C8" w:rsidRDefault="00F36669"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Si è giustamente </w:t>
      </w:r>
      <w:r w:rsidR="001E62F6" w:rsidRPr="006F61C8">
        <w:rPr>
          <w:rFonts w:ascii="Garamond" w:hAnsi="Garamond" w:cs="Times New Roman"/>
          <w:sz w:val="24"/>
          <w:szCs w:val="24"/>
        </w:rPr>
        <w:t xml:space="preserve">rilevato </w:t>
      </w:r>
      <w:r w:rsidRPr="006F61C8">
        <w:rPr>
          <w:rFonts w:ascii="Garamond" w:hAnsi="Garamond" w:cs="Times New Roman"/>
          <w:sz w:val="24"/>
          <w:szCs w:val="24"/>
        </w:rPr>
        <w:t>di recente</w:t>
      </w:r>
      <w:r w:rsidR="001B535E" w:rsidRPr="006F61C8">
        <w:rPr>
          <w:rFonts w:ascii="Garamond" w:hAnsi="Garamond" w:cs="Times New Roman"/>
          <w:sz w:val="24"/>
          <w:szCs w:val="24"/>
        </w:rPr>
        <w:t xml:space="preserve">, in uno studio monografico dedicato </w:t>
      </w:r>
      <w:r w:rsidR="00AC0414" w:rsidRPr="006F61C8">
        <w:rPr>
          <w:rFonts w:ascii="Garamond" w:hAnsi="Garamond" w:cs="Times New Roman"/>
          <w:sz w:val="24"/>
          <w:szCs w:val="24"/>
        </w:rPr>
        <w:t xml:space="preserve">in generale all’amministrazione della giustizia amministrativa, come la divulgazione </w:t>
      </w:r>
      <w:r w:rsidR="002716DE" w:rsidRPr="006F61C8">
        <w:rPr>
          <w:rFonts w:ascii="Garamond" w:hAnsi="Garamond" w:cs="Times New Roman"/>
          <w:sz w:val="24"/>
          <w:szCs w:val="24"/>
        </w:rPr>
        <w:t xml:space="preserve">della giurisprudenza amministrativa, nella sua accezione </w:t>
      </w:r>
      <w:r w:rsidR="000A3D0C" w:rsidRPr="006F61C8">
        <w:rPr>
          <w:rFonts w:ascii="Garamond" w:hAnsi="Garamond" w:cs="Times New Roman"/>
          <w:sz w:val="24"/>
          <w:szCs w:val="24"/>
        </w:rPr>
        <w:t>non meccanica di mera riproduzione, ma di sintesi</w:t>
      </w:r>
      <w:r w:rsidR="00621AC0" w:rsidRPr="006F61C8">
        <w:rPr>
          <w:rFonts w:ascii="Garamond" w:hAnsi="Garamond" w:cs="Times New Roman"/>
          <w:sz w:val="24"/>
          <w:szCs w:val="24"/>
        </w:rPr>
        <w:t xml:space="preserve"> della stessa, possa </w:t>
      </w:r>
      <w:r w:rsidR="0014522F" w:rsidRPr="006F61C8">
        <w:rPr>
          <w:rFonts w:ascii="Garamond" w:hAnsi="Garamond" w:cs="Times New Roman"/>
          <w:sz w:val="24"/>
          <w:szCs w:val="24"/>
        </w:rPr>
        <w:t>«</w:t>
      </w:r>
      <w:r w:rsidR="00621AC0" w:rsidRPr="006F61C8">
        <w:rPr>
          <w:rFonts w:ascii="Garamond" w:hAnsi="Garamond" w:cs="Times New Roman"/>
          <w:sz w:val="24"/>
          <w:szCs w:val="24"/>
        </w:rPr>
        <w:t xml:space="preserve">anche manifestarsi con </w:t>
      </w:r>
      <w:r w:rsidR="00621AC0" w:rsidRPr="006F61C8">
        <w:rPr>
          <w:rFonts w:ascii="Garamond" w:hAnsi="Garamond" w:cs="Times New Roman"/>
          <w:sz w:val="24"/>
          <w:szCs w:val="24"/>
        </w:rPr>
        <w:lastRenderedPageBreak/>
        <w:t>connotati sistematici e financo scientifici, allontanandosi così dalla mera descrizione per più direttamente contribuire alla costruzione del sapere giuridico</w:t>
      </w:r>
      <w:r w:rsidR="0014522F" w:rsidRPr="006F61C8">
        <w:rPr>
          <w:rFonts w:ascii="Garamond" w:hAnsi="Garamond" w:cs="Times New Roman"/>
          <w:sz w:val="24"/>
          <w:szCs w:val="24"/>
        </w:rPr>
        <w:t>»</w:t>
      </w:r>
      <w:r w:rsidR="0075445F" w:rsidRPr="006F61C8">
        <w:rPr>
          <w:rFonts w:ascii="Garamond" w:hAnsi="Garamond" w:cs="Times New Roman"/>
          <w:sz w:val="24"/>
          <w:szCs w:val="24"/>
        </w:rPr>
        <w:t>, che si manifesta nell’attività di (classificazione e) studio (sistematico) della giurisprudenza amministrativa</w:t>
      </w:r>
      <w:r w:rsidR="0075445F" w:rsidRPr="006F61C8">
        <w:rPr>
          <w:rStyle w:val="Rimandonotaapidipagina"/>
          <w:rFonts w:ascii="Garamond" w:hAnsi="Garamond" w:cs="Times New Roman"/>
          <w:sz w:val="24"/>
          <w:szCs w:val="24"/>
        </w:rPr>
        <w:footnoteReference w:id="3"/>
      </w:r>
      <w:r w:rsidR="0075445F" w:rsidRPr="006F61C8">
        <w:rPr>
          <w:rFonts w:ascii="Garamond" w:hAnsi="Garamond" w:cs="Times New Roman"/>
          <w:sz w:val="24"/>
          <w:szCs w:val="24"/>
        </w:rPr>
        <w:t>.</w:t>
      </w:r>
      <w:r w:rsidR="001E62F6" w:rsidRPr="006F61C8">
        <w:rPr>
          <w:rFonts w:ascii="Garamond" w:hAnsi="Garamond" w:cs="Times New Roman"/>
          <w:sz w:val="24"/>
          <w:szCs w:val="24"/>
        </w:rPr>
        <w:t xml:space="preserve"> </w:t>
      </w:r>
    </w:p>
    <w:p w14:paraId="1CB7047D" w14:textId="58E4630A" w:rsidR="00837EA0" w:rsidRPr="006F61C8" w:rsidRDefault="00CC7F12"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Tradizionalmente, i profili di esame hanno principalmente riguardato la </w:t>
      </w:r>
      <w:proofErr w:type="spellStart"/>
      <w:r w:rsidRPr="006F61C8">
        <w:rPr>
          <w:rFonts w:ascii="Garamond" w:hAnsi="Garamond" w:cs="Times New Roman"/>
          <w:sz w:val="24"/>
          <w:szCs w:val="24"/>
        </w:rPr>
        <w:t>massimazione</w:t>
      </w:r>
      <w:proofErr w:type="spellEnd"/>
      <w:r w:rsidRPr="006F61C8">
        <w:rPr>
          <w:rFonts w:ascii="Garamond" w:hAnsi="Garamond" w:cs="Times New Roman"/>
          <w:sz w:val="24"/>
          <w:szCs w:val="24"/>
        </w:rPr>
        <w:t xml:space="preserve"> delle sentenze, poiché</w:t>
      </w:r>
      <w:r w:rsidR="0014522F" w:rsidRPr="006F61C8">
        <w:rPr>
          <w:rFonts w:ascii="Garamond" w:hAnsi="Garamond" w:cs="Times New Roman"/>
          <w:sz w:val="24"/>
          <w:szCs w:val="24"/>
        </w:rPr>
        <w:t>, fino alla rivoluzione digitale, le massime hanno costituito «il principale veicolo di conoscenza del formante giurisprudenziale del diritto, e ciò in una misura così tanto rilevante per gli operatori giuridici da suscitare l’attenzione, per lo più critica, della migliore dottrina</w:t>
      </w:r>
      <w:r w:rsidR="000B2BEE" w:rsidRPr="006F61C8">
        <w:rPr>
          <w:rFonts w:ascii="Garamond" w:hAnsi="Garamond" w:cs="Times New Roman"/>
          <w:sz w:val="24"/>
          <w:szCs w:val="24"/>
        </w:rPr>
        <w:t>»</w:t>
      </w:r>
      <w:r w:rsidR="000B2BEE" w:rsidRPr="006F61C8">
        <w:rPr>
          <w:rStyle w:val="Rimandonotaapidipagina"/>
          <w:rFonts w:ascii="Garamond" w:hAnsi="Garamond" w:cs="Times New Roman"/>
          <w:sz w:val="24"/>
          <w:szCs w:val="24"/>
        </w:rPr>
        <w:footnoteReference w:id="4"/>
      </w:r>
      <w:r w:rsidR="000B2BEE" w:rsidRPr="006F61C8">
        <w:rPr>
          <w:rFonts w:ascii="Garamond" w:hAnsi="Garamond" w:cs="Times New Roman"/>
          <w:sz w:val="24"/>
          <w:szCs w:val="24"/>
        </w:rPr>
        <w:t>.</w:t>
      </w:r>
    </w:p>
    <w:p w14:paraId="01E287EA" w14:textId="094329FC" w:rsidR="00222C19" w:rsidRPr="006F61C8" w:rsidRDefault="007A130C"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La libera accessibilità di tutti i provvedimenti giurisdizionali della giustizia amministrativa pone evidentemente sotto una diversa visuale l’attività di </w:t>
      </w:r>
      <w:proofErr w:type="spellStart"/>
      <w:r w:rsidRPr="006F61C8">
        <w:rPr>
          <w:rFonts w:ascii="Garamond" w:hAnsi="Garamond" w:cs="Times New Roman"/>
          <w:sz w:val="24"/>
          <w:szCs w:val="24"/>
        </w:rPr>
        <w:t>massimazione</w:t>
      </w:r>
      <w:proofErr w:type="spellEnd"/>
      <w:r w:rsidRPr="006F61C8">
        <w:rPr>
          <w:rFonts w:ascii="Garamond" w:hAnsi="Garamond" w:cs="Times New Roman"/>
          <w:sz w:val="24"/>
          <w:szCs w:val="24"/>
        </w:rPr>
        <w:t xml:space="preserve"> e, più in generale, delle attività di sintesi e ricostruzione sistematica della giurisprudenza, che deve confrontarsi con l’utilizzabilità delle stesse da parte </w:t>
      </w:r>
      <w:r w:rsidR="00222C19" w:rsidRPr="006F61C8">
        <w:rPr>
          <w:rFonts w:ascii="Garamond" w:hAnsi="Garamond" w:cs="Times New Roman"/>
          <w:sz w:val="24"/>
          <w:szCs w:val="24"/>
        </w:rPr>
        <w:t xml:space="preserve">della collettività (in particolare, a mio avviso, per la giurisprudenza amministrativa, le pubbliche amministrazioni). </w:t>
      </w:r>
    </w:p>
    <w:p w14:paraId="0BFDD31C" w14:textId="777299C2" w:rsidR="000B2BEE" w:rsidRPr="006F61C8" w:rsidRDefault="00297179"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È vero dunque che </w:t>
      </w:r>
      <w:r w:rsidR="006965CE" w:rsidRPr="006F61C8">
        <w:rPr>
          <w:rFonts w:ascii="Garamond" w:hAnsi="Garamond" w:cs="Times New Roman"/>
          <w:sz w:val="24"/>
          <w:szCs w:val="24"/>
        </w:rPr>
        <w:t xml:space="preserve">le attività </w:t>
      </w:r>
      <w:r w:rsidR="0084359E" w:rsidRPr="006F61C8">
        <w:rPr>
          <w:rFonts w:ascii="Garamond" w:hAnsi="Garamond" w:cs="Times New Roman"/>
          <w:sz w:val="24"/>
          <w:szCs w:val="24"/>
        </w:rPr>
        <w:t xml:space="preserve">rilevanti </w:t>
      </w:r>
      <w:r w:rsidR="00D53169" w:rsidRPr="006F61C8">
        <w:rPr>
          <w:rFonts w:ascii="Garamond" w:hAnsi="Garamond" w:cs="Times New Roman"/>
          <w:sz w:val="24"/>
          <w:szCs w:val="24"/>
        </w:rPr>
        <w:t>«</w:t>
      </w:r>
      <w:r w:rsidR="006965CE" w:rsidRPr="006F61C8">
        <w:rPr>
          <w:rFonts w:ascii="Garamond" w:hAnsi="Garamond" w:cs="Times New Roman"/>
          <w:sz w:val="24"/>
          <w:szCs w:val="24"/>
        </w:rPr>
        <w:t>si concretizza</w:t>
      </w:r>
      <w:r w:rsidR="0084359E" w:rsidRPr="006F61C8">
        <w:rPr>
          <w:rFonts w:ascii="Garamond" w:hAnsi="Garamond" w:cs="Times New Roman"/>
          <w:sz w:val="24"/>
          <w:szCs w:val="24"/>
        </w:rPr>
        <w:t>(no)</w:t>
      </w:r>
      <w:r w:rsidR="006965CE" w:rsidRPr="006F61C8">
        <w:rPr>
          <w:rFonts w:ascii="Garamond" w:hAnsi="Garamond" w:cs="Times New Roman"/>
          <w:sz w:val="24"/>
          <w:szCs w:val="24"/>
        </w:rPr>
        <w:t xml:space="preserve"> in un insieme più articolato di</w:t>
      </w:r>
      <w:r w:rsidR="0084359E" w:rsidRPr="006F61C8">
        <w:rPr>
          <w:rFonts w:ascii="Garamond" w:hAnsi="Garamond" w:cs="Times New Roman"/>
          <w:sz w:val="24"/>
          <w:szCs w:val="24"/>
        </w:rPr>
        <w:t xml:space="preserve"> </w:t>
      </w:r>
      <w:r w:rsidR="006965CE" w:rsidRPr="006F61C8">
        <w:rPr>
          <w:rFonts w:ascii="Garamond" w:hAnsi="Garamond" w:cs="Times New Roman"/>
          <w:sz w:val="24"/>
          <w:szCs w:val="24"/>
        </w:rPr>
        <w:t>atti e di azioni, che possono risultare idonee ad evidenziare alcuni aspetti,</w:t>
      </w:r>
      <w:r w:rsidR="0084359E" w:rsidRPr="006F61C8">
        <w:rPr>
          <w:rFonts w:ascii="Garamond" w:hAnsi="Garamond" w:cs="Times New Roman"/>
          <w:sz w:val="24"/>
          <w:szCs w:val="24"/>
        </w:rPr>
        <w:t xml:space="preserve"> </w:t>
      </w:r>
      <w:r w:rsidR="006965CE" w:rsidRPr="006F61C8">
        <w:rPr>
          <w:rFonts w:ascii="Garamond" w:hAnsi="Garamond" w:cs="Times New Roman"/>
          <w:sz w:val="24"/>
          <w:szCs w:val="24"/>
        </w:rPr>
        <w:t>in luogo di altri, dell’attività giurisdizionale posta in essere (financo con il</w:t>
      </w:r>
      <w:r w:rsidR="0084359E" w:rsidRPr="006F61C8">
        <w:rPr>
          <w:rFonts w:ascii="Garamond" w:hAnsi="Garamond" w:cs="Times New Roman"/>
          <w:sz w:val="24"/>
          <w:szCs w:val="24"/>
        </w:rPr>
        <w:t xml:space="preserve"> </w:t>
      </w:r>
      <w:r w:rsidR="006965CE" w:rsidRPr="006F61C8">
        <w:rPr>
          <w:rFonts w:ascii="Garamond" w:hAnsi="Garamond" w:cs="Times New Roman"/>
          <w:sz w:val="24"/>
          <w:szCs w:val="24"/>
        </w:rPr>
        <w:t>limite, certamente non voluto ma potenzialmente rilevante, di una «manipolazione» sostanziale (della percezione) del suo contenuto effettivo)</w:t>
      </w:r>
      <w:r w:rsidR="0084359E" w:rsidRPr="006F61C8">
        <w:rPr>
          <w:rFonts w:ascii="Garamond" w:hAnsi="Garamond" w:cs="Times New Roman"/>
          <w:sz w:val="24"/>
          <w:szCs w:val="24"/>
        </w:rPr>
        <w:t>»</w:t>
      </w:r>
      <w:r w:rsidR="0084359E" w:rsidRPr="006F61C8">
        <w:rPr>
          <w:rStyle w:val="Rimandonotaapidipagina"/>
          <w:rFonts w:ascii="Garamond" w:hAnsi="Garamond" w:cs="Times New Roman"/>
          <w:sz w:val="24"/>
          <w:szCs w:val="24"/>
        </w:rPr>
        <w:footnoteReference w:id="5"/>
      </w:r>
      <w:r w:rsidR="0084359E" w:rsidRPr="006F61C8">
        <w:rPr>
          <w:rFonts w:ascii="Garamond" w:hAnsi="Garamond" w:cs="Times New Roman"/>
          <w:sz w:val="24"/>
          <w:szCs w:val="24"/>
        </w:rPr>
        <w:t>.</w:t>
      </w:r>
    </w:p>
    <w:p w14:paraId="5F4B4A53" w14:textId="3501734A" w:rsidR="00145CD9" w:rsidRPr="006F61C8" w:rsidRDefault="00B323FB" w:rsidP="005122EC">
      <w:pPr>
        <w:spacing w:line="360" w:lineRule="auto"/>
        <w:jc w:val="both"/>
        <w:rPr>
          <w:rFonts w:ascii="Garamond" w:hAnsi="Garamond" w:cs="Times New Roman"/>
          <w:sz w:val="24"/>
          <w:szCs w:val="24"/>
        </w:rPr>
      </w:pPr>
      <w:r w:rsidRPr="006F61C8">
        <w:rPr>
          <w:rFonts w:ascii="Garamond" w:hAnsi="Garamond" w:cs="Times New Roman"/>
          <w:sz w:val="24"/>
          <w:szCs w:val="24"/>
        </w:rPr>
        <w:t>Proprio lo studio monografico in esame, evidentemente punto di riferimento nella</w:t>
      </w:r>
      <w:r w:rsidR="001B44D5" w:rsidRPr="006F61C8">
        <w:rPr>
          <w:rFonts w:ascii="Garamond" w:hAnsi="Garamond" w:cs="Times New Roman"/>
          <w:sz w:val="24"/>
          <w:szCs w:val="24"/>
        </w:rPr>
        <w:t xml:space="preserve"> sparuta</w:t>
      </w:r>
      <w:r w:rsidRPr="006F61C8">
        <w:rPr>
          <w:rFonts w:ascii="Garamond" w:hAnsi="Garamond" w:cs="Times New Roman"/>
          <w:sz w:val="24"/>
          <w:szCs w:val="24"/>
        </w:rPr>
        <w:t xml:space="preserve"> dottrina amministrativistica </w:t>
      </w:r>
      <w:r w:rsidR="001B44D5" w:rsidRPr="006F61C8">
        <w:rPr>
          <w:rFonts w:ascii="Garamond" w:hAnsi="Garamond" w:cs="Times New Roman"/>
          <w:sz w:val="24"/>
          <w:szCs w:val="24"/>
        </w:rPr>
        <w:t xml:space="preserve">su questi profili, si interroga sull’utilità attuale (in particolare) della </w:t>
      </w:r>
      <w:proofErr w:type="spellStart"/>
      <w:r w:rsidR="001B44D5" w:rsidRPr="006F61C8">
        <w:rPr>
          <w:rFonts w:ascii="Garamond" w:hAnsi="Garamond" w:cs="Times New Roman"/>
          <w:sz w:val="24"/>
          <w:szCs w:val="24"/>
        </w:rPr>
        <w:t>massimazione</w:t>
      </w:r>
      <w:proofErr w:type="spellEnd"/>
      <w:r w:rsidR="00245AB4" w:rsidRPr="006F61C8">
        <w:rPr>
          <w:rFonts w:ascii="Garamond" w:hAnsi="Garamond" w:cs="Times New Roman"/>
          <w:sz w:val="24"/>
          <w:szCs w:val="24"/>
        </w:rPr>
        <w:t>, rilevando che «se la massima(zione) non deve mai evitare l</w:t>
      </w:r>
      <w:r w:rsidR="0038486B" w:rsidRPr="006F61C8">
        <w:rPr>
          <w:rFonts w:ascii="Garamond" w:hAnsi="Garamond" w:cs="Times New Roman"/>
          <w:sz w:val="24"/>
          <w:szCs w:val="24"/>
        </w:rPr>
        <w:t>’</w:t>
      </w:r>
      <w:r w:rsidR="00245AB4" w:rsidRPr="006F61C8">
        <w:rPr>
          <w:rFonts w:ascii="Garamond" w:hAnsi="Garamond" w:cs="Times New Roman"/>
          <w:sz w:val="24"/>
          <w:szCs w:val="24"/>
        </w:rPr>
        <w:t>analisi integrale del provvedimento o dei provvedimenti, essa deve però agevolare (non solo il reperimento ma soprattutto) la selezione di quelli effettivamente d</w:t>
      </w:r>
      <w:r w:rsidR="0038486B" w:rsidRPr="006F61C8">
        <w:rPr>
          <w:rFonts w:ascii="Garamond" w:hAnsi="Garamond" w:cs="Times New Roman"/>
          <w:sz w:val="24"/>
          <w:szCs w:val="24"/>
        </w:rPr>
        <w:t>’</w:t>
      </w:r>
      <w:r w:rsidR="00245AB4" w:rsidRPr="006F61C8">
        <w:rPr>
          <w:rFonts w:ascii="Garamond" w:hAnsi="Garamond" w:cs="Times New Roman"/>
          <w:sz w:val="24"/>
          <w:szCs w:val="24"/>
        </w:rPr>
        <w:t>interesse».</w:t>
      </w:r>
      <w:r w:rsidR="00245AB4" w:rsidRPr="006F61C8">
        <w:rPr>
          <w:rStyle w:val="Rimandonotaapidipagina"/>
          <w:rFonts w:ascii="Garamond" w:hAnsi="Garamond" w:cs="Times New Roman"/>
          <w:sz w:val="24"/>
          <w:szCs w:val="24"/>
        </w:rPr>
        <w:footnoteReference w:id="6"/>
      </w:r>
    </w:p>
    <w:p w14:paraId="019F3313" w14:textId="618BACED" w:rsidR="00C15B20" w:rsidRPr="006F61C8" w:rsidRDefault="00C15B20" w:rsidP="005122EC">
      <w:pPr>
        <w:spacing w:line="360" w:lineRule="auto"/>
        <w:jc w:val="both"/>
        <w:rPr>
          <w:rFonts w:ascii="Garamond" w:hAnsi="Garamond" w:cs="Times New Roman"/>
          <w:sz w:val="24"/>
          <w:szCs w:val="24"/>
        </w:rPr>
      </w:pPr>
      <w:r w:rsidRPr="006F61C8">
        <w:rPr>
          <w:rFonts w:ascii="Garamond" w:hAnsi="Garamond" w:cs="Times New Roman"/>
          <w:sz w:val="24"/>
          <w:szCs w:val="24"/>
        </w:rPr>
        <w:t>Sul punto, mi permetto di aggiungere che</w:t>
      </w:r>
      <w:r w:rsidR="00365998" w:rsidRPr="006F61C8">
        <w:rPr>
          <w:rFonts w:ascii="Garamond" w:hAnsi="Garamond" w:cs="Times New Roman"/>
          <w:sz w:val="24"/>
          <w:szCs w:val="24"/>
        </w:rPr>
        <w:t xml:space="preserve"> alla rivoluzione digitale – che appare (solo appare) privare di utilità questi strumenti, </w:t>
      </w:r>
      <w:r w:rsidR="005F14A4" w:rsidRPr="006F61C8">
        <w:rPr>
          <w:rFonts w:ascii="Garamond" w:hAnsi="Garamond" w:cs="Times New Roman"/>
          <w:sz w:val="24"/>
          <w:szCs w:val="24"/>
        </w:rPr>
        <w:t>si accompagna un mondo, soprattutto professionale, che richiede una forte accelerazione de</w:t>
      </w:r>
      <w:r w:rsidR="00B044B4" w:rsidRPr="006F61C8">
        <w:rPr>
          <w:rFonts w:ascii="Garamond" w:hAnsi="Garamond" w:cs="Times New Roman"/>
          <w:sz w:val="24"/>
          <w:szCs w:val="24"/>
        </w:rPr>
        <w:t xml:space="preserve">lle attività umane, nelle quali quindi le massime e le rassegne di giurisprudenza possono ben giocare un ruolo di rilievo. </w:t>
      </w:r>
    </w:p>
    <w:p w14:paraId="355E5985" w14:textId="094629F7" w:rsidR="00B044B4" w:rsidRPr="006F61C8" w:rsidRDefault="00246C59"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Ed infatti, «una massima che rappresenta un provvedimento giurisdizionale diversamente da ciò che è, da quanto prescrive e dalle argomentazioni che ne supportano la decisione, rischia infatti di veicolare una percezione scorretta del formante giurisprudenziale», divenendo </w:t>
      </w:r>
      <w:r w:rsidR="00273C52" w:rsidRPr="006F61C8">
        <w:rPr>
          <w:rFonts w:ascii="Garamond" w:hAnsi="Garamond" w:cs="Times New Roman"/>
          <w:sz w:val="24"/>
          <w:szCs w:val="24"/>
        </w:rPr>
        <w:t>in qualche modo uno «strumento di potere» esterno alla giurisdizione</w:t>
      </w:r>
      <w:r w:rsidR="00273C52" w:rsidRPr="006F61C8">
        <w:rPr>
          <w:rStyle w:val="Rimandonotaapidipagina"/>
          <w:rFonts w:ascii="Garamond" w:hAnsi="Garamond" w:cs="Times New Roman"/>
          <w:sz w:val="24"/>
          <w:szCs w:val="24"/>
        </w:rPr>
        <w:footnoteReference w:id="7"/>
      </w:r>
      <w:r w:rsidR="00273C52" w:rsidRPr="006F61C8">
        <w:rPr>
          <w:rFonts w:ascii="Garamond" w:hAnsi="Garamond" w:cs="Times New Roman"/>
          <w:sz w:val="24"/>
          <w:szCs w:val="24"/>
        </w:rPr>
        <w:t>.</w:t>
      </w:r>
    </w:p>
    <w:p w14:paraId="6E1161EA" w14:textId="5D9DF6F3" w:rsidR="002D189A" w:rsidRPr="006F61C8" w:rsidRDefault="002D189A" w:rsidP="005122EC">
      <w:pPr>
        <w:spacing w:line="360" w:lineRule="auto"/>
        <w:jc w:val="both"/>
        <w:rPr>
          <w:rFonts w:ascii="Garamond" w:hAnsi="Garamond" w:cs="Times New Roman"/>
          <w:sz w:val="24"/>
          <w:szCs w:val="24"/>
        </w:rPr>
      </w:pPr>
      <w:r w:rsidRPr="006F61C8">
        <w:rPr>
          <w:rFonts w:ascii="Garamond" w:hAnsi="Garamond" w:cs="Times New Roman"/>
          <w:sz w:val="24"/>
          <w:szCs w:val="24"/>
        </w:rPr>
        <w:lastRenderedPageBreak/>
        <w:t xml:space="preserve">Un primo punto mi pare quindi possa affermarsi: gli strumenti di </w:t>
      </w:r>
      <w:proofErr w:type="spellStart"/>
      <w:r w:rsidRPr="006F61C8">
        <w:rPr>
          <w:rFonts w:ascii="Garamond" w:hAnsi="Garamond" w:cs="Times New Roman"/>
          <w:sz w:val="24"/>
          <w:szCs w:val="24"/>
        </w:rPr>
        <w:t>massimazione</w:t>
      </w:r>
      <w:proofErr w:type="spellEnd"/>
      <w:r w:rsidRPr="006F61C8">
        <w:rPr>
          <w:rFonts w:ascii="Garamond" w:hAnsi="Garamond" w:cs="Times New Roman"/>
          <w:sz w:val="24"/>
          <w:szCs w:val="24"/>
        </w:rPr>
        <w:t xml:space="preserve"> e rassegna della giurisprudenza hanno senz’altro una piena attualità anche nel mondo digitale e dell’IA, </w:t>
      </w:r>
      <w:r w:rsidR="001E4792" w:rsidRPr="006F61C8">
        <w:rPr>
          <w:rFonts w:ascii="Garamond" w:hAnsi="Garamond" w:cs="Times New Roman"/>
          <w:sz w:val="24"/>
          <w:szCs w:val="24"/>
        </w:rPr>
        <w:t xml:space="preserve">financo aumentando, alla luce della velocizzazione del mondo, in particolare dell’economia, </w:t>
      </w:r>
      <w:r w:rsidR="00A74CF1" w:rsidRPr="006F61C8">
        <w:rPr>
          <w:rFonts w:ascii="Garamond" w:hAnsi="Garamond" w:cs="Times New Roman"/>
          <w:sz w:val="24"/>
          <w:szCs w:val="24"/>
        </w:rPr>
        <w:t xml:space="preserve">la loro importanza. </w:t>
      </w:r>
    </w:p>
    <w:p w14:paraId="77BE5308" w14:textId="382CE15E" w:rsidR="00A74CF1" w:rsidRPr="006F61C8" w:rsidRDefault="00A74CF1"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Resta però evidentemente aperto il secondo </w:t>
      </w:r>
      <w:r w:rsidR="00477286" w:rsidRPr="006F61C8">
        <w:rPr>
          <w:rFonts w:ascii="Garamond" w:hAnsi="Garamond" w:cs="Times New Roman"/>
          <w:sz w:val="24"/>
          <w:szCs w:val="24"/>
        </w:rPr>
        <w:t xml:space="preserve">e principale </w:t>
      </w:r>
      <w:r w:rsidRPr="006F61C8">
        <w:rPr>
          <w:rFonts w:ascii="Garamond" w:hAnsi="Garamond" w:cs="Times New Roman"/>
          <w:sz w:val="24"/>
          <w:szCs w:val="24"/>
        </w:rPr>
        <w:t xml:space="preserve">problema: chi </w:t>
      </w:r>
      <w:r w:rsidR="00360E6B" w:rsidRPr="006F61C8">
        <w:rPr>
          <w:rFonts w:ascii="Garamond" w:hAnsi="Garamond" w:cs="Times New Roman"/>
          <w:sz w:val="24"/>
          <w:szCs w:val="24"/>
        </w:rPr>
        <w:t>svolge questa attività?</w:t>
      </w:r>
      <w:r w:rsidR="00FC5325" w:rsidRPr="006F61C8">
        <w:rPr>
          <w:rFonts w:ascii="Garamond" w:hAnsi="Garamond" w:cs="Times New Roman"/>
          <w:sz w:val="24"/>
          <w:szCs w:val="24"/>
        </w:rPr>
        <w:t xml:space="preserve"> </w:t>
      </w:r>
    </w:p>
    <w:p w14:paraId="79C4D1BA" w14:textId="7BC22D53" w:rsidR="000C5CC8" w:rsidRPr="006F61C8" w:rsidRDefault="000B663D"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Ebbene, alla luce del monito sopra esposto in ordine alla delicatezza di questi strumenti, </w:t>
      </w:r>
      <w:r w:rsidR="003301C5" w:rsidRPr="006F61C8">
        <w:rPr>
          <w:rFonts w:ascii="Garamond" w:hAnsi="Garamond" w:cs="Times New Roman"/>
          <w:sz w:val="24"/>
          <w:szCs w:val="24"/>
        </w:rPr>
        <w:t xml:space="preserve">provo a illustrare brevemente le ragioni per cui le rassegne di giurisprudenza e la </w:t>
      </w:r>
      <w:proofErr w:type="spellStart"/>
      <w:r w:rsidR="003301C5" w:rsidRPr="006F61C8">
        <w:rPr>
          <w:rFonts w:ascii="Garamond" w:hAnsi="Garamond" w:cs="Times New Roman"/>
          <w:sz w:val="24"/>
          <w:szCs w:val="24"/>
        </w:rPr>
        <w:t>massimazione</w:t>
      </w:r>
      <w:proofErr w:type="spellEnd"/>
      <w:r w:rsidR="003301C5" w:rsidRPr="006F61C8">
        <w:rPr>
          <w:rFonts w:ascii="Garamond" w:hAnsi="Garamond" w:cs="Times New Roman"/>
          <w:sz w:val="24"/>
          <w:szCs w:val="24"/>
        </w:rPr>
        <w:t xml:space="preserve"> richiedano una attività di tipo tecnico specialistico che, allo stato, mi pare non possa essere svolta</w:t>
      </w:r>
      <w:r w:rsidR="000C5CC8" w:rsidRPr="006F61C8">
        <w:rPr>
          <w:rFonts w:ascii="Garamond" w:hAnsi="Garamond" w:cs="Times New Roman"/>
          <w:sz w:val="24"/>
          <w:szCs w:val="24"/>
        </w:rPr>
        <w:t xml:space="preserve"> in </w:t>
      </w:r>
      <w:r w:rsidR="002A3B4E" w:rsidRPr="006F61C8">
        <w:rPr>
          <w:rFonts w:ascii="Garamond" w:hAnsi="Garamond" w:cs="Times New Roman"/>
          <w:sz w:val="24"/>
          <w:szCs w:val="24"/>
        </w:rPr>
        <w:t>via esclusiva</w:t>
      </w:r>
      <w:r w:rsidR="000C5CC8" w:rsidRPr="006F61C8">
        <w:rPr>
          <w:rFonts w:ascii="Garamond" w:hAnsi="Garamond" w:cs="Times New Roman"/>
          <w:sz w:val="24"/>
          <w:szCs w:val="24"/>
        </w:rPr>
        <w:t xml:space="preserve"> dalla macchina</w:t>
      </w:r>
      <w:r w:rsidR="009A2B6A" w:rsidRPr="006F61C8">
        <w:rPr>
          <w:rFonts w:ascii="Garamond" w:hAnsi="Garamond" w:cs="Times New Roman"/>
          <w:sz w:val="24"/>
          <w:szCs w:val="24"/>
        </w:rPr>
        <w:t>; n</w:t>
      </w:r>
      <w:r w:rsidR="000C5CC8" w:rsidRPr="006F61C8">
        <w:rPr>
          <w:rFonts w:ascii="Garamond" w:hAnsi="Garamond" w:cs="Times New Roman"/>
          <w:sz w:val="24"/>
          <w:szCs w:val="24"/>
        </w:rPr>
        <w:t xml:space="preserve">on si tratta infatti di mera sintesi di un testo, né di una collazione pura e semplice di sintesi o massime di sentenze. </w:t>
      </w:r>
    </w:p>
    <w:p w14:paraId="3B0A0011" w14:textId="662000BA" w:rsidR="00896A49" w:rsidRPr="006F61C8" w:rsidRDefault="000C5CC8" w:rsidP="005122EC">
      <w:pPr>
        <w:spacing w:line="360" w:lineRule="auto"/>
        <w:jc w:val="both"/>
        <w:rPr>
          <w:rFonts w:ascii="Garamond" w:hAnsi="Garamond" w:cs="Times New Roman"/>
          <w:sz w:val="24"/>
          <w:szCs w:val="24"/>
        </w:rPr>
      </w:pPr>
      <w:r w:rsidRPr="006F61C8">
        <w:rPr>
          <w:rFonts w:ascii="Garamond" w:hAnsi="Garamond" w:cs="Times New Roman"/>
          <w:sz w:val="24"/>
          <w:szCs w:val="24"/>
        </w:rPr>
        <w:t>Per far ciò, mi avvalgo</w:t>
      </w:r>
      <w:r w:rsidR="002D7B06" w:rsidRPr="006F61C8">
        <w:rPr>
          <w:rFonts w:ascii="Garamond" w:hAnsi="Garamond" w:cs="Times New Roman"/>
          <w:sz w:val="24"/>
          <w:szCs w:val="24"/>
        </w:rPr>
        <w:t xml:space="preserve"> anche</w:t>
      </w:r>
      <w:r w:rsidRPr="006F61C8">
        <w:rPr>
          <w:rFonts w:ascii="Garamond" w:hAnsi="Garamond" w:cs="Times New Roman"/>
          <w:sz w:val="24"/>
          <w:szCs w:val="24"/>
        </w:rPr>
        <w:t xml:space="preserve"> </w:t>
      </w:r>
      <w:r w:rsidR="002A4D7A" w:rsidRPr="006F61C8">
        <w:rPr>
          <w:rFonts w:ascii="Garamond" w:hAnsi="Garamond" w:cs="Times New Roman"/>
          <w:sz w:val="24"/>
          <w:szCs w:val="24"/>
        </w:rPr>
        <w:t xml:space="preserve">– e così illustro – i criteri che l’Ufficio del massimario della giustizia amministrativa utilizza nello svolgimento di queste attività. </w:t>
      </w:r>
    </w:p>
    <w:p w14:paraId="2A1B2E2D" w14:textId="70FE76C5" w:rsidR="00896A49" w:rsidRPr="006F61C8" w:rsidRDefault="00C046E8" w:rsidP="005122EC">
      <w:pPr>
        <w:spacing w:line="360" w:lineRule="auto"/>
        <w:jc w:val="both"/>
        <w:rPr>
          <w:rFonts w:ascii="Garamond" w:hAnsi="Garamond" w:cs="Times New Roman"/>
          <w:b/>
          <w:bCs/>
          <w:sz w:val="24"/>
          <w:szCs w:val="24"/>
        </w:rPr>
      </w:pPr>
      <w:r w:rsidRPr="006F61C8">
        <w:rPr>
          <w:rFonts w:ascii="Garamond" w:hAnsi="Garamond" w:cs="Times New Roman"/>
          <w:b/>
          <w:bCs/>
          <w:sz w:val="24"/>
          <w:szCs w:val="24"/>
        </w:rPr>
        <w:t>3</w:t>
      </w:r>
      <w:r w:rsidR="00896A49" w:rsidRPr="006F61C8">
        <w:rPr>
          <w:rFonts w:ascii="Garamond" w:hAnsi="Garamond" w:cs="Times New Roman"/>
          <w:b/>
          <w:bCs/>
          <w:sz w:val="24"/>
          <w:szCs w:val="24"/>
        </w:rPr>
        <w:t xml:space="preserve">. </w:t>
      </w:r>
      <w:proofErr w:type="spellStart"/>
      <w:r w:rsidR="00896A49" w:rsidRPr="006F61C8">
        <w:rPr>
          <w:rFonts w:ascii="Garamond" w:hAnsi="Garamond" w:cs="Times New Roman"/>
          <w:b/>
          <w:bCs/>
          <w:sz w:val="24"/>
          <w:szCs w:val="24"/>
        </w:rPr>
        <w:t>Massimazione</w:t>
      </w:r>
      <w:proofErr w:type="spellEnd"/>
      <w:r w:rsidR="00896A49" w:rsidRPr="006F61C8">
        <w:rPr>
          <w:rFonts w:ascii="Garamond" w:hAnsi="Garamond" w:cs="Times New Roman"/>
          <w:b/>
          <w:bCs/>
          <w:sz w:val="24"/>
          <w:szCs w:val="24"/>
        </w:rPr>
        <w:t xml:space="preserve"> della giurisprudenza amministrativa.</w:t>
      </w:r>
    </w:p>
    <w:p w14:paraId="1BCF7C51" w14:textId="7FB49E1D" w:rsidR="000256BE" w:rsidRPr="006F61C8" w:rsidRDefault="00C046E8"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Principiando dall’attività di </w:t>
      </w:r>
      <w:proofErr w:type="spellStart"/>
      <w:r w:rsidRPr="006F61C8">
        <w:rPr>
          <w:rFonts w:ascii="Garamond" w:hAnsi="Garamond" w:cs="Times New Roman"/>
          <w:sz w:val="24"/>
          <w:szCs w:val="24"/>
        </w:rPr>
        <w:t>massimazione</w:t>
      </w:r>
      <w:proofErr w:type="spellEnd"/>
      <w:r w:rsidRPr="006F61C8">
        <w:rPr>
          <w:rFonts w:ascii="Garamond" w:hAnsi="Garamond" w:cs="Times New Roman"/>
          <w:sz w:val="24"/>
          <w:szCs w:val="24"/>
        </w:rPr>
        <w:t xml:space="preserve">, </w:t>
      </w:r>
      <w:r w:rsidR="000256BE" w:rsidRPr="006F61C8">
        <w:rPr>
          <w:rFonts w:ascii="Garamond" w:hAnsi="Garamond" w:cs="Times New Roman"/>
          <w:sz w:val="24"/>
          <w:szCs w:val="24"/>
        </w:rPr>
        <w:t xml:space="preserve">mi paiono due i profili rilevanti su cui focalizzare l’attenzione: la selezione dei provvedimenti da massimare e i criteri di </w:t>
      </w:r>
      <w:proofErr w:type="spellStart"/>
      <w:r w:rsidR="000256BE" w:rsidRPr="006F61C8">
        <w:rPr>
          <w:rFonts w:ascii="Garamond" w:hAnsi="Garamond" w:cs="Times New Roman"/>
          <w:sz w:val="24"/>
          <w:szCs w:val="24"/>
        </w:rPr>
        <w:t>massimazione</w:t>
      </w:r>
      <w:proofErr w:type="spellEnd"/>
      <w:r w:rsidR="000256BE" w:rsidRPr="006F61C8">
        <w:rPr>
          <w:rFonts w:ascii="Garamond" w:hAnsi="Garamond" w:cs="Times New Roman"/>
          <w:sz w:val="24"/>
          <w:szCs w:val="24"/>
        </w:rPr>
        <w:t>.</w:t>
      </w:r>
    </w:p>
    <w:p w14:paraId="20B09AC1" w14:textId="6BFEDE50" w:rsidR="000256BE" w:rsidRPr="006F61C8" w:rsidRDefault="000256BE"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In relazione al primo profilo, l’Ufficio del massimario </w:t>
      </w:r>
      <w:r w:rsidR="00091F22" w:rsidRPr="006F61C8">
        <w:rPr>
          <w:rFonts w:ascii="Garamond" w:hAnsi="Garamond" w:cs="Times New Roman"/>
          <w:sz w:val="24"/>
          <w:szCs w:val="24"/>
        </w:rPr>
        <w:t>si è dotato di un documento di lavoro, “</w:t>
      </w:r>
      <w:r w:rsidR="004621F8" w:rsidRPr="006F61C8">
        <w:rPr>
          <w:rFonts w:ascii="Garamond" w:hAnsi="Garamond" w:cs="Times New Roman"/>
          <w:i/>
          <w:iCs/>
          <w:sz w:val="24"/>
          <w:szCs w:val="24"/>
        </w:rPr>
        <w:t xml:space="preserve">Standard e criteri di organizzazione per il servizio news, newsletter, rassegne monotematiche e </w:t>
      </w:r>
      <w:proofErr w:type="spellStart"/>
      <w:r w:rsidR="004621F8" w:rsidRPr="006F61C8">
        <w:rPr>
          <w:rFonts w:ascii="Garamond" w:hAnsi="Garamond" w:cs="Times New Roman"/>
          <w:i/>
          <w:iCs/>
          <w:sz w:val="24"/>
          <w:szCs w:val="24"/>
        </w:rPr>
        <w:t>massimazione</w:t>
      </w:r>
      <w:proofErr w:type="spellEnd"/>
      <w:r w:rsidR="00091F22" w:rsidRPr="006F61C8">
        <w:rPr>
          <w:rFonts w:ascii="Garamond" w:hAnsi="Garamond" w:cs="Times New Roman"/>
          <w:sz w:val="24"/>
          <w:szCs w:val="24"/>
        </w:rPr>
        <w:t>”</w:t>
      </w:r>
      <w:r w:rsidR="004621F8" w:rsidRPr="006F61C8">
        <w:rPr>
          <w:rStyle w:val="Rimandonotaapidipagina"/>
          <w:rFonts w:ascii="Garamond" w:hAnsi="Garamond" w:cs="Times New Roman"/>
          <w:sz w:val="24"/>
          <w:szCs w:val="24"/>
        </w:rPr>
        <w:footnoteReference w:id="8"/>
      </w:r>
      <w:r w:rsidR="00091F22" w:rsidRPr="006F61C8">
        <w:rPr>
          <w:rFonts w:ascii="Garamond" w:hAnsi="Garamond" w:cs="Times New Roman"/>
          <w:sz w:val="24"/>
          <w:szCs w:val="24"/>
        </w:rPr>
        <w:t xml:space="preserve">, il quale individua, dunque a monte, </w:t>
      </w:r>
      <w:r w:rsidR="00A85276" w:rsidRPr="006F61C8">
        <w:rPr>
          <w:rFonts w:ascii="Garamond" w:hAnsi="Garamond" w:cs="Times New Roman"/>
          <w:sz w:val="24"/>
          <w:szCs w:val="24"/>
        </w:rPr>
        <w:t xml:space="preserve">i criteri sulla cui base vengono scelti i provvedimenti da massimare. </w:t>
      </w:r>
    </w:p>
    <w:p w14:paraId="29D3B591" w14:textId="6FEA6E9A" w:rsidR="00A85276" w:rsidRPr="006F61C8" w:rsidRDefault="00AB1BB6" w:rsidP="005122EC">
      <w:pPr>
        <w:spacing w:line="360" w:lineRule="auto"/>
        <w:jc w:val="both"/>
        <w:rPr>
          <w:rFonts w:ascii="Garamond" w:hAnsi="Garamond" w:cs="Times New Roman"/>
          <w:sz w:val="24"/>
          <w:szCs w:val="24"/>
        </w:rPr>
      </w:pPr>
      <w:r>
        <w:rPr>
          <w:rFonts w:ascii="Garamond" w:hAnsi="Garamond" w:cs="Times New Roman"/>
          <w:sz w:val="24"/>
          <w:szCs w:val="24"/>
        </w:rPr>
        <w:t xml:space="preserve">Così vengono individuati i seguenti provvedimenti </w:t>
      </w:r>
      <w:r w:rsidR="00846C93">
        <w:rPr>
          <w:rFonts w:ascii="Garamond" w:hAnsi="Garamond" w:cs="Times New Roman"/>
          <w:sz w:val="24"/>
          <w:szCs w:val="24"/>
        </w:rPr>
        <w:t xml:space="preserve">rilevanti per la </w:t>
      </w:r>
      <w:proofErr w:type="spellStart"/>
      <w:r w:rsidR="00846C93">
        <w:rPr>
          <w:rFonts w:ascii="Garamond" w:hAnsi="Garamond" w:cs="Times New Roman"/>
          <w:sz w:val="24"/>
          <w:szCs w:val="24"/>
        </w:rPr>
        <w:t>massimazione</w:t>
      </w:r>
      <w:proofErr w:type="spellEnd"/>
      <w:r w:rsidR="00A85276" w:rsidRPr="006F61C8">
        <w:rPr>
          <w:rFonts w:ascii="Garamond" w:hAnsi="Garamond" w:cs="Times New Roman"/>
          <w:sz w:val="24"/>
          <w:szCs w:val="24"/>
        </w:rPr>
        <w:t>:</w:t>
      </w:r>
    </w:p>
    <w:p w14:paraId="61BFC2CF" w14:textId="5CC5D2B9" w:rsidR="00A85276" w:rsidRPr="006F61C8" w:rsidRDefault="00A85276" w:rsidP="005122EC">
      <w:pPr>
        <w:spacing w:line="360" w:lineRule="auto"/>
        <w:jc w:val="both"/>
        <w:rPr>
          <w:rFonts w:ascii="Garamond" w:hAnsi="Garamond" w:cs="Times New Roman"/>
          <w:sz w:val="24"/>
          <w:szCs w:val="24"/>
        </w:rPr>
      </w:pPr>
      <w:r w:rsidRPr="006F61C8">
        <w:rPr>
          <w:rFonts w:ascii="Garamond" w:hAnsi="Garamond" w:cs="Times New Roman"/>
          <w:sz w:val="24"/>
          <w:szCs w:val="24"/>
        </w:rPr>
        <w:t>a) tutte le pronunce dell’Adunanza plenaria, oggetto, peraltro, di specifica News</w:t>
      </w:r>
      <w:r w:rsidR="00846C93">
        <w:rPr>
          <w:rFonts w:ascii="Garamond" w:hAnsi="Garamond" w:cs="Times New Roman"/>
          <w:sz w:val="24"/>
          <w:szCs w:val="24"/>
        </w:rPr>
        <w:t>;</w:t>
      </w:r>
    </w:p>
    <w:p w14:paraId="14A16FE5" w14:textId="77777777" w:rsidR="00A85276" w:rsidRPr="006F61C8" w:rsidRDefault="00A85276"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b) novità del principio, specie nei casi in cui la pronuncia rappresenti una delle prime applicazioni di una norma di recente introduzione, purché la pronuncia contenga un’adeguata motivazione sul punto (criterio di particolare rilevanza per le sentenze </w:t>
      </w:r>
      <w:proofErr w:type="spellStart"/>
      <w:r w:rsidRPr="006F61C8">
        <w:rPr>
          <w:rFonts w:ascii="Garamond" w:hAnsi="Garamond" w:cs="Times New Roman"/>
          <w:sz w:val="24"/>
          <w:szCs w:val="24"/>
        </w:rPr>
        <w:t>T.a.r</w:t>
      </w:r>
      <w:proofErr w:type="spellEnd"/>
      <w:r w:rsidRPr="006F61C8">
        <w:rPr>
          <w:rFonts w:ascii="Garamond" w:hAnsi="Garamond" w:cs="Times New Roman"/>
          <w:sz w:val="24"/>
          <w:szCs w:val="24"/>
        </w:rPr>
        <w:t>.);</w:t>
      </w:r>
    </w:p>
    <w:p w14:paraId="104E5EDD" w14:textId="77777777" w:rsidR="00A85276" w:rsidRPr="006F61C8" w:rsidRDefault="00A85276" w:rsidP="005122EC">
      <w:pPr>
        <w:spacing w:line="360" w:lineRule="auto"/>
        <w:jc w:val="both"/>
        <w:rPr>
          <w:rFonts w:ascii="Garamond" w:hAnsi="Garamond" w:cs="Times New Roman"/>
          <w:sz w:val="24"/>
          <w:szCs w:val="24"/>
        </w:rPr>
      </w:pPr>
      <w:r w:rsidRPr="006F61C8">
        <w:rPr>
          <w:rFonts w:ascii="Garamond" w:hAnsi="Garamond" w:cs="Times New Roman"/>
          <w:sz w:val="24"/>
          <w:szCs w:val="24"/>
        </w:rPr>
        <w:t>c) ricostruzione sistematica e particolarmente approfondita di un istituto;</w:t>
      </w:r>
    </w:p>
    <w:p w14:paraId="299A0061" w14:textId="77777777" w:rsidR="00A85276" w:rsidRPr="006F61C8" w:rsidRDefault="00A85276"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d) la pronuncia si discosta, in modo consapevole e ragionato, da orientamenti consolidati, specie delle Corti supreme (Corte costituzionale, Corti internazionali, Consiglio di Stato, Corte di cassazione) (criterio di particolare rilevanza per le sentenze </w:t>
      </w:r>
      <w:proofErr w:type="spellStart"/>
      <w:r w:rsidRPr="006F61C8">
        <w:rPr>
          <w:rFonts w:ascii="Garamond" w:hAnsi="Garamond" w:cs="Times New Roman"/>
          <w:sz w:val="24"/>
          <w:szCs w:val="24"/>
        </w:rPr>
        <w:t>T.a.r</w:t>
      </w:r>
      <w:proofErr w:type="spellEnd"/>
      <w:r w:rsidRPr="006F61C8">
        <w:rPr>
          <w:rFonts w:ascii="Garamond" w:hAnsi="Garamond" w:cs="Times New Roman"/>
          <w:sz w:val="24"/>
          <w:szCs w:val="24"/>
        </w:rPr>
        <w:t>.);</w:t>
      </w:r>
    </w:p>
    <w:p w14:paraId="140D56A4" w14:textId="77777777" w:rsidR="00A85276" w:rsidRPr="006F61C8" w:rsidRDefault="00A85276" w:rsidP="005122EC">
      <w:pPr>
        <w:spacing w:line="360" w:lineRule="auto"/>
        <w:jc w:val="both"/>
        <w:rPr>
          <w:rFonts w:ascii="Garamond" w:hAnsi="Garamond" w:cs="Times New Roman"/>
          <w:sz w:val="24"/>
          <w:szCs w:val="24"/>
        </w:rPr>
      </w:pPr>
      <w:r w:rsidRPr="006F61C8">
        <w:rPr>
          <w:rFonts w:ascii="Garamond" w:hAnsi="Garamond" w:cs="Times New Roman"/>
          <w:sz w:val="24"/>
          <w:szCs w:val="24"/>
        </w:rPr>
        <w:t>e) difformità rispetto a precedenti consolidati;</w:t>
      </w:r>
    </w:p>
    <w:p w14:paraId="5EC19D67" w14:textId="77777777" w:rsidR="00A85276" w:rsidRPr="006F61C8" w:rsidRDefault="00A85276" w:rsidP="005122EC">
      <w:pPr>
        <w:spacing w:line="360" w:lineRule="auto"/>
        <w:jc w:val="both"/>
        <w:rPr>
          <w:rFonts w:ascii="Garamond" w:hAnsi="Garamond" w:cs="Times New Roman"/>
          <w:sz w:val="24"/>
          <w:szCs w:val="24"/>
        </w:rPr>
      </w:pPr>
      <w:r w:rsidRPr="006F61C8">
        <w:rPr>
          <w:rFonts w:ascii="Garamond" w:hAnsi="Garamond" w:cs="Times New Roman"/>
          <w:sz w:val="24"/>
          <w:szCs w:val="24"/>
        </w:rPr>
        <w:lastRenderedPageBreak/>
        <w:t>f) utilità della conferma del principio per la sua rilevanza, il tempo trascorso dalla più recente enunciazione o la fruibilità in casi analoghi e reiterati;</w:t>
      </w:r>
    </w:p>
    <w:p w14:paraId="44C071BA" w14:textId="634B37F8" w:rsidR="00A85276" w:rsidRPr="006F61C8" w:rsidRDefault="00A85276"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g) rilevanza della fattispecie, anche per il particolare impatto sociale della questione, l’interesse che suscita o la reiterazione del caso (criterio di particolare rilevanza per le sentenze </w:t>
      </w:r>
      <w:proofErr w:type="spellStart"/>
      <w:r w:rsidRPr="006F61C8">
        <w:rPr>
          <w:rFonts w:ascii="Garamond" w:hAnsi="Garamond" w:cs="Times New Roman"/>
          <w:sz w:val="24"/>
          <w:szCs w:val="24"/>
        </w:rPr>
        <w:t>T.a.r</w:t>
      </w:r>
      <w:proofErr w:type="spellEnd"/>
      <w:r w:rsidRPr="006F61C8">
        <w:rPr>
          <w:rFonts w:ascii="Garamond" w:hAnsi="Garamond" w:cs="Times New Roman"/>
          <w:sz w:val="24"/>
          <w:szCs w:val="24"/>
        </w:rPr>
        <w:t>.)</w:t>
      </w:r>
      <w:r w:rsidRPr="006F61C8">
        <w:rPr>
          <w:rStyle w:val="Rimandonotaapidipagina"/>
          <w:rFonts w:ascii="Garamond" w:hAnsi="Garamond" w:cs="Times New Roman"/>
          <w:sz w:val="24"/>
          <w:szCs w:val="24"/>
        </w:rPr>
        <w:footnoteReference w:id="9"/>
      </w:r>
      <w:r w:rsidRPr="006F61C8">
        <w:rPr>
          <w:rFonts w:ascii="Garamond" w:hAnsi="Garamond" w:cs="Times New Roman"/>
          <w:sz w:val="24"/>
          <w:szCs w:val="24"/>
        </w:rPr>
        <w:t>.</w:t>
      </w:r>
    </w:p>
    <w:p w14:paraId="7E0140D1" w14:textId="258DA5FA" w:rsidR="001C7B49" w:rsidRPr="006F61C8" w:rsidRDefault="00C8522F"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L’esplicitazione di criteri sulla selezione dei provvedimenti da massimare esclude, da un lato, </w:t>
      </w:r>
      <w:r w:rsidR="00293BB0" w:rsidRPr="006F61C8">
        <w:rPr>
          <w:rFonts w:ascii="Garamond" w:hAnsi="Garamond" w:cs="Times New Roman"/>
          <w:sz w:val="24"/>
          <w:szCs w:val="24"/>
        </w:rPr>
        <w:t xml:space="preserve">uno scivoloso </w:t>
      </w:r>
      <w:r w:rsidRPr="006F61C8">
        <w:rPr>
          <w:rFonts w:ascii="Garamond" w:hAnsi="Garamond" w:cs="Times New Roman"/>
          <w:sz w:val="24"/>
          <w:szCs w:val="24"/>
        </w:rPr>
        <w:t xml:space="preserve">“soggettivismo” nella scelta delle sentenze oggetto di </w:t>
      </w:r>
      <w:proofErr w:type="spellStart"/>
      <w:r w:rsidRPr="006F61C8">
        <w:rPr>
          <w:rFonts w:ascii="Garamond" w:hAnsi="Garamond" w:cs="Times New Roman"/>
          <w:sz w:val="24"/>
          <w:szCs w:val="24"/>
        </w:rPr>
        <w:t>massimazione</w:t>
      </w:r>
      <w:proofErr w:type="spellEnd"/>
      <w:r w:rsidR="00293BB0" w:rsidRPr="006F61C8">
        <w:rPr>
          <w:rFonts w:ascii="Garamond" w:hAnsi="Garamond" w:cs="Times New Roman"/>
          <w:sz w:val="24"/>
          <w:szCs w:val="24"/>
        </w:rPr>
        <w:t>, dall’altro consente agli operatori che si confront</w:t>
      </w:r>
      <w:r w:rsidR="00B70753">
        <w:rPr>
          <w:rFonts w:ascii="Garamond" w:hAnsi="Garamond" w:cs="Times New Roman"/>
          <w:sz w:val="24"/>
          <w:szCs w:val="24"/>
        </w:rPr>
        <w:t>ino</w:t>
      </w:r>
      <w:r w:rsidR="00293BB0" w:rsidRPr="006F61C8">
        <w:rPr>
          <w:rFonts w:ascii="Garamond" w:hAnsi="Garamond" w:cs="Times New Roman"/>
          <w:sz w:val="24"/>
          <w:szCs w:val="24"/>
        </w:rPr>
        <w:t xml:space="preserve"> con il materiale oggetto di </w:t>
      </w:r>
      <w:proofErr w:type="spellStart"/>
      <w:r w:rsidR="00293BB0" w:rsidRPr="006F61C8">
        <w:rPr>
          <w:rFonts w:ascii="Garamond" w:hAnsi="Garamond" w:cs="Times New Roman"/>
          <w:sz w:val="24"/>
          <w:szCs w:val="24"/>
        </w:rPr>
        <w:t>massimazione</w:t>
      </w:r>
      <w:proofErr w:type="spellEnd"/>
      <w:r w:rsidR="00293BB0" w:rsidRPr="006F61C8">
        <w:rPr>
          <w:rFonts w:ascii="Garamond" w:hAnsi="Garamond" w:cs="Times New Roman"/>
          <w:sz w:val="24"/>
          <w:szCs w:val="24"/>
        </w:rPr>
        <w:t xml:space="preserve"> di conoscere </w:t>
      </w:r>
      <w:r w:rsidR="00293BB0" w:rsidRPr="00B70753">
        <w:rPr>
          <w:rFonts w:ascii="Garamond" w:hAnsi="Garamond" w:cs="Times New Roman"/>
          <w:i/>
          <w:iCs/>
          <w:sz w:val="24"/>
          <w:szCs w:val="24"/>
        </w:rPr>
        <w:t>ex ante</w:t>
      </w:r>
      <w:r w:rsidR="00293BB0" w:rsidRPr="006F61C8">
        <w:rPr>
          <w:rFonts w:ascii="Garamond" w:hAnsi="Garamond" w:cs="Times New Roman"/>
          <w:sz w:val="24"/>
          <w:szCs w:val="24"/>
        </w:rPr>
        <w:t xml:space="preserve"> quali sentenze</w:t>
      </w:r>
      <w:r w:rsidR="001C7B49" w:rsidRPr="006F61C8">
        <w:rPr>
          <w:rFonts w:ascii="Garamond" w:hAnsi="Garamond" w:cs="Times New Roman"/>
          <w:sz w:val="24"/>
          <w:szCs w:val="24"/>
        </w:rPr>
        <w:t>, nel materiale complessivo, sono state selezionate.</w:t>
      </w:r>
      <w:r w:rsidR="00B70753">
        <w:rPr>
          <w:rFonts w:ascii="Garamond" w:hAnsi="Garamond" w:cs="Times New Roman"/>
          <w:sz w:val="24"/>
          <w:szCs w:val="24"/>
        </w:rPr>
        <w:t xml:space="preserve"> E, </w:t>
      </w:r>
      <w:r w:rsidR="001C7B49" w:rsidRPr="006F61C8">
        <w:rPr>
          <w:rFonts w:ascii="Garamond" w:hAnsi="Garamond" w:cs="Times New Roman"/>
          <w:sz w:val="24"/>
          <w:szCs w:val="24"/>
        </w:rPr>
        <w:t>a contrario e forse ancor più rilevante, quali non sono state selezionat</w:t>
      </w:r>
      <w:r w:rsidR="008034CD" w:rsidRPr="006F61C8">
        <w:rPr>
          <w:rFonts w:ascii="Garamond" w:hAnsi="Garamond" w:cs="Times New Roman"/>
          <w:sz w:val="24"/>
          <w:szCs w:val="24"/>
        </w:rPr>
        <w:t xml:space="preserve">e e dunque, eventualmente, necessitano di un lavoro individuale da parte del singolo operatore del diritto. </w:t>
      </w:r>
    </w:p>
    <w:p w14:paraId="3B13C2DF" w14:textId="4664183A" w:rsidR="008034CD" w:rsidRPr="006F61C8" w:rsidRDefault="008034CD" w:rsidP="005122EC">
      <w:pPr>
        <w:spacing w:line="360" w:lineRule="auto"/>
        <w:jc w:val="both"/>
        <w:rPr>
          <w:rFonts w:ascii="Garamond" w:hAnsi="Garamond" w:cs="Times New Roman"/>
          <w:sz w:val="24"/>
          <w:szCs w:val="24"/>
        </w:rPr>
      </w:pPr>
      <w:r w:rsidRPr="006F61C8">
        <w:rPr>
          <w:rFonts w:ascii="Garamond" w:hAnsi="Garamond" w:cs="Times New Roman"/>
          <w:sz w:val="24"/>
          <w:szCs w:val="24"/>
        </w:rPr>
        <w:t>Il secondo aspetto</w:t>
      </w:r>
      <w:r w:rsidR="007E5386" w:rsidRPr="006F61C8">
        <w:rPr>
          <w:rFonts w:ascii="Garamond" w:hAnsi="Garamond" w:cs="Times New Roman"/>
          <w:sz w:val="24"/>
          <w:szCs w:val="24"/>
        </w:rPr>
        <w:t>, una volta individuato il materiale da massimare,</w:t>
      </w:r>
      <w:r w:rsidRPr="006F61C8">
        <w:rPr>
          <w:rFonts w:ascii="Garamond" w:hAnsi="Garamond" w:cs="Times New Roman"/>
          <w:sz w:val="24"/>
          <w:szCs w:val="24"/>
        </w:rPr>
        <w:t xml:space="preserve"> è quello dei criteri</w:t>
      </w:r>
      <w:r w:rsidR="007E5386" w:rsidRPr="006F61C8">
        <w:rPr>
          <w:rFonts w:ascii="Garamond" w:hAnsi="Garamond" w:cs="Times New Roman"/>
          <w:sz w:val="24"/>
          <w:szCs w:val="24"/>
        </w:rPr>
        <w:t xml:space="preserve"> che guidano la redazione della massima, anch’esso oggetto di specific</w:t>
      </w:r>
      <w:r w:rsidR="00E23F05" w:rsidRPr="006F61C8">
        <w:rPr>
          <w:rFonts w:ascii="Garamond" w:hAnsi="Garamond" w:cs="Times New Roman"/>
          <w:sz w:val="24"/>
          <w:szCs w:val="24"/>
        </w:rPr>
        <w:t xml:space="preserve">he direttive negli </w:t>
      </w:r>
      <w:r w:rsidR="00E23F05" w:rsidRPr="00B70753">
        <w:rPr>
          <w:rFonts w:ascii="Garamond" w:hAnsi="Garamond" w:cs="Times New Roman"/>
          <w:i/>
          <w:iCs/>
          <w:sz w:val="24"/>
          <w:szCs w:val="24"/>
        </w:rPr>
        <w:t>Standard</w:t>
      </w:r>
      <w:r w:rsidR="00E23F05" w:rsidRPr="006F61C8">
        <w:rPr>
          <w:rFonts w:ascii="Garamond" w:hAnsi="Garamond" w:cs="Times New Roman"/>
          <w:sz w:val="24"/>
          <w:szCs w:val="24"/>
        </w:rPr>
        <w:t xml:space="preserve"> già citati.</w:t>
      </w:r>
    </w:p>
    <w:p w14:paraId="4CF6F208" w14:textId="430FC9EF"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I criteri principali sono i seguenti:</w:t>
      </w:r>
    </w:p>
    <w:p w14:paraId="50AF8E1F" w14:textId="77777777"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i) Evitare sempre astratte enunciazioni o mere descrizioni casi concreti.</w:t>
      </w:r>
    </w:p>
    <w:p w14:paraId="79EC09A2" w14:textId="77777777"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ii) Privilegiare la sinteticità eventualmente arricchendo la ratio </w:t>
      </w:r>
      <w:proofErr w:type="spellStart"/>
      <w:r w:rsidRPr="006F61C8">
        <w:rPr>
          <w:rFonts w:ascii="Garamond" w:hAnsi="Garamond" w:cs="Times New Roman"/>
          <w:sz w:val="24"/>
          <w:szCs w:val="24"/>
        </w:rPr>
        <w:t>decidendi</w:t>
      </w:r>
      <w:proofErr w:type="spellEnd"/>
      <w:r w:rsidRPr="006F61C8">
        <w:rPr>
          <w:rFonts w:ascii="Garamond" w:hAnsi="Garamond" w:cs="Times New Roman"/>
          <w:sz w:val="24"/>
          <w:szCs w:val="24"/>
        </w:rPr>
        <w:t xml:space="preserve"> nella “nota a seguire”.</w:t>
      </w:r>
    </w:p>
    <w:p w14:paraId="6F3A8BE7" w14:textId="77777777"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iii) La massima deve essere formulata solo con riferimento alla questione di diritto che il giudice è chiamato a decidere e ha effettivamente deciso; (in casi particolari, se la questione di diritto costituisce un obiter, va esplicitato qualora si rediga una massima ad hoc).</w:t>
      </w:r>
    </w:p>
    <w:p w14:paraId="34160718" w14:textId="77777777"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iv) Mai riportare le argomentazioni giuridiche a sostegno o contro una certa tesi.</w:t>
      </w:r>
    </w:p>
    <w:p w14:paraId="4C1AE608" w14:textId="77777777"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v) In presenza di più questioni di diritto risolte è necessario redigere più massime (ad ogni questione corrisponde una massima).</w:t>
      </w:r>
    </w:p>
    <w:p w14:paraId="3EF7913B" w14:textId="77777777"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vi) In casi particolare è consentito redigere una massima più articolata, recante più principi, con l’impiego della formula: “premesso che”.</w:t>
      </w:r>
    </w:p>
    <w:p w14:paraId="3A8B537C" w14:textId="77777777"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vii) Se per facilitare la comprensione è necessario informare il lettore del caso concreto si possono adottate due soluzioni: i) far seguire ad una massima generica una seconda e conseguenziale massima specifica in cui sia esposta la fattispecie concreta; ii) richiamare tra parentesi il caso concreto con l’uso delle formule: “nella specie” oppure “in motivazione” si precisa che (questa soluzione è da preferirsi perché più semplice).</w:t>
      </w:r>
    </w:p>
    <w:p w14:paraId="5E79AF94" w14:textId="223628A7" w:rsidR="00E23F05" w:rsidRPr="006F61C8" w:rsidRDefault="009613C8" w:rsidP="005122EC">
      <w:pPr>
        <w:spacing w:line="360" w:lineRule="auto"/>
        <w:jc w:val="both"/>
        <w:rPr>
          <w:rFonts w:ascii="Garamond" w:hAnsi="Garamond" w:cs="Times New Roman"/>
          <w:sz w:val="24"/>
          <w:szCs w:val="24"/>
        </w:rPr>
      </w:pPr>
      <w:r w:rsidRPr="006F61C8">
        <w:rPr>
          <w:rFonts w:ascii="Garamond" w:hAnsi="Garamond" w:cs="Times New Roman"/>
          <w:sz w:val="24"/>
          <w:szCs w:val="24"/>
        </w:rPr>
        <w:lastRenderedPageBreak/>
        <w:t>viii</w:t>
      </w:r>
      <w:r w:rsidR="00E23F05" w:rsidRPr="006F61C8">
        <w:rPr>
          <w:rFonts w:ascii="Garamond" w:hAnsi="Garamond" w:cs="Times New Roman"/>
          <w:sz w:val="24"/>
          <w:szCs w:val="24"/>
        </w:rPr>
        <w:t>) per quanto possibile evitare di citare nelle massime disposizioni di legge senza riassumerne il contenuto.</w:t>
      </w:r>
    </w:p>
    <w:p w14:paraId="40514AB6" w14:textId="17CBEF91" w:rsidR="00E23F05" w:rsidRPr="006F61C8" w:rsidRDefault="009613C8" w:rsidP="005122EC">
      <w:pPr>
        <w:spacing w:line="360" w:lineRule="auto"/>
        <w:jc w:val="both"/>
        <w:rPr>
          <w:rFonts w:ascii="Garamond" w:hAnsi="Garamond" w:cs="Times New Roman"/>
          <w:sz w:val="24"/>
          <w:szCs w:val="24"/>
        </w:rPr>
      </w:pPr>
      <w:r w:rsidRPr="006F61C8">
        <w:rPr>
          <w:rFonts w:ascii="Garamond" w:hAnsi="Garamond" w:cs="Times New Roman"/>
          <w:sz w:val="24"/>
          <w:szCs w:val="24"/>
        </w:rPr>
        <w:t>ix</w:t>
      </w:r>
      <w:r w:rsidR="00E23F05" w:rsidRPr="006F61C8">
        <w:rPr>
          <w:rFonts w:ascii="Garamond" w:hAnsi="Garamond" w:cs="Times New Roman"/>
          <w:sz w:val="24"/>
          <w:szCs w:val="24"/>
        </w:rPr>
        <w:t>) In calce alla massima indicare i precedenti difformi/conformi intervenuti negli ultimi 5 anni. Indicare eventualmente se non ci sono precedenti sulla questione specifica risolta con le seguenti formule: Nulla in termini, Non si segnalano precedenti negli esatti termini.</w:t>
      </w:r>
    </w:p>
    <w:p w14:paraId="09AC015C" w14:textId="7687438F" w:rsidR="00E23F05" w:rsidRPr="006F61C8" w:rsidRDefault="00E23F05"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x) In presenza di un giudizio a carattere </w:t>
      </w:r>
      <w:proofErr w:type="spellStart"/>
      <w:r w:rsidRPr="006F61C8">
        <w:rPr>
          <w:rFonts w:ascii="Garamond" w:hAnsi="Garamond" w:cs="Times New Roman"/>
          <w:sz w:val="24"/>
          <w:szCs w:val="24"/>
        </w:rPr>
        <w:t>impugnatorio</w:t>
      </w:r>
      <w:proofErr w:type="spellEnd"/>
      <w:r w:rsidRPr="006F61C8">
        <w:rPr>
          <w:rFonts w:ascii="Garamond" w:hAnsi="Garamond" w:cs="Times New Roman"/>
          <w:sz w:val="24"/>
          <w:szCs w:val="24"/>
        </w:rPr>
        <w:t>, la massima deve iniziare, ove possibile, con “È illegittimo/È legittimo il (provvedimento, la sanzione, il decreto, la dichiarazione ecc.)</w:t>
      </w:r>
      <w:r w:rsidR="009613C8" w:rsidRPr="006F61C8">
        <w:rPr>
          <w:rFonts w:ascii="Garamond" w:hAnsi="Garamond" w:cs="Times New Roman"/>
          <w:sz w:val="24"/>
          <w:szCs w:val="24"/>
        </w:rPr>
        <w:t>”</w:t>
      </w:r>
      <w:r w:rsidR="009613C8" w:rsidRPr="006F61C8">
        <w:rPr>
          <w:rStyle w:val="Rimandonotaapidipagina"/>
          <w:rFonts w:ascii="Garamond" w:hAnsi="Garamond" w:cs="Times New Roman"/>
          <w:sz w:val="24"/>
          <w:szCs w:val="24"/>
        </w:rPr>
        <w:footnoteReference w:id="10"/>
      </w:r>
      <w:r w:rsidRPr="006F61C8">
        <w:rPr>
          <w:rFonts w:ascii="Garamond" w:hAnsi="Garamond" w:cs="Times New Roman"/>
          <w:sz w:val="24"/>
          <w:szCs w:val="24"/>
        </w:rPr>
        <w:t>.</w:t>
      </w:r>
    </w:p>
    <w:p w14:paraId="1EEBA600" w14:textId="13D4460E" w:rsidR="009613C8" w:rsidRPr="006F61C8" w:rsidRDefault="009613C8"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Come si vede, </w:t>
      </w:r>
      <w:r w:rsidR="0034056D" w:rsidRPr="006F61C8">
        <w:rPr>
          <w:rFonts w:ascii="Garamond" w:hAnsi="Garamond" w:cs="Times New Roman"/>
          <w:sz w:val="24"/>
          <w:szCs w:val="24"/>
        </w:rPr>
        <w:t>lo sfor</w:t>
      </w:r>
      <w:r w:rsidR="00FE659E" w:rsidRPr="006F61C8">
        <w:rPr>
          <w:rFonts w:ascii="Garamond" w:hAnsi="Garamond" w:cs="Times New Roman"/>
          <w:sz w:val="24"/>
          <w:szCs w:val="24"/>
        </w:rPr>
        <w:t xml:space="preserve">zo che si è compiuto è stato quello di offrire, anche sotto questo secondo profilo, dei criteri ragionati e rigorosi che consentano al </w:t>
      </w:r>
      <w:proofErr w:type="spellStart"/>
      <w:r w:rsidR="00FE659E" w:rsidRPr="006F61C8">
        <w:rPr>
          <w:rFonts w:ascii="Garamond" w:hAnsi="Garamond" w:cs="Times New Roman"/>
          <w:sz w:val="24"/>
          <w:szCs w:val="24"/>
        </w:rPr>
        <w:t>massimatore</w:t>
      </w:r>
      <w:proofErr w:type="spellEnd"/>
      <w:r w:rsidR="00FE659E" w:rsidRPr="006F61C8">
        <w:rPr>
          <w:rFonts w:ascii="Garamond" w:hAnsi="Garamond" w:cs="Times New Roman"/>
          <w:sz w:val="24"/>
          <w:szCs w:val="24"/>
        </w:rPr>
        <w:t xml:space="preserve"> di estrapolare quello che realmente è il (o sono i) principio di diritto che la sentenza afferma</w:t>
      </w:r>
      <w:r w:rsidR="007A5981" w:rsidRPr="006F61C8">
        <w:rPr>
          <w:rFonts w:ascii="Garamond" w:hAnsi="Garamond" w:cs="Times New Roman"/>
          <w:sz w:val="24"/>
          <w:szCs w:val="24"/>
        </w:rPr>
        <w:t xml:space="preserve">, al fine di evitare quel rischio di manipolazione del testo della sentenza insito nell’attività di </w:t>
      </w:r>
      <w:proofErr w:type="spellStart"/>
      <w:r w:rsidR="007A5981" w:rsidRPr="006F61C8">
        <w:rPr>
          <w:rFonts w:ascii="Garamond" w:hAnsi="Garamond" w:cs="Times New Roman"/>
          <w:sz w:val="24"/>
          <w:szCs w:val="24"/>
        </w:rPr>
        <w:t>massimazione</w:t>
      </w:r>
      <w:proofErr w:type="spellEnd"/>
      <w:r w:rsidR="00B70753">
        <w:rPr>
          <w:rFonts w:ascii="Garamond" w:hAnsi="Garamond" w:cs="Times New Roman"/>
          <w:sz w:val="24"/>
          <w:szCs w:val="24"/>
        </w:rPr>
        <w:t>,</w:t>
      </w:r>
      <w:r w:rsidR="003777B9" w:rsidRPr="006F61C8">
        <w:rPr>
          <w:rFonts w:ascii="Garamond" w:hAnsi="Garamond" w:cs="Times New Roman"/>
          <w:sz w:val="24"/>
          <w:szCs w:val="24"/>
        </w:rPr>
        <w:t xml:space="preserve"> d</w:t>
      </w:r>
      <w:r w:rsidR="00B70753">
        <w:rPr>
          <w:rFonts w:ascii="Garamond" w:hAnsi="Garamond" w:cs="Times New Roman"/>
          <w:sz w:val="24"/>
          <w:szCs w:val="24"/>
        </w:rPr>
        <w:t>a</w:t>
      </w:r>
      <w:r w:rsidR="003777B9" w:rsidRPr="006F61C8">
        <w:rPr>
          <w:rFonts w:ascii="Garamond" w:hAnsi="Garamond" w:cs="Times New Roman"/>
          <w:sz w:val="24"/>
          <w:szCs w:val="24"/>
        </w:rPr>
        <w:t xml:space="preserve"> cui ha avvertito la sopra citata dottrina. </w:t>
      </w:r>
    </w:p>
    <w:p w14:paraId="2F084014" w14:textId="65F4BB8A" w:rsidR="000256BE" w:rsidRPr="006F61C8" w:rsidRDefault="003777B9"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La particolare tecnicità che caratterizza la </w:t>
      </w:r>
      <w:proofErr w:type="spellStart"/>
      <w:r w:rsidRPr="006F61C8">
        <w:rPr>
          <w:rFonts w:ascii="Garamond" w:hAnsi="Garamond" w:cs="Times New Roman"/>
          <w:sz w:val="24"/>
          <w:szCs w:val="24"/>
        </w:rPr>
        <w:t>massimazione</w:t>
      </w:r>
      <w:proofErr w:type="spellEnd"/>
      <w:r w:rsidRPr="006F61C8">
        <w:rPr>
          <w:rFonts w:ascii="Garamond" w:hAnsi="Garamond" w:cs="Times New Roman"/>
          <w:sz w:val="24"/>
          <w:szCs w:val="24"/>
        </w:rPr>
        <w:t xml:space="preserve"> in uno con i rischi che da essa derivino mi pare mostri con chiarezza la necessità di un controllo umano sulla </w:t>
      </w:r>
      <w:proofErr w:type="spellStart"/>
      <w:r w:rsidRPr="006F61C8">
        <w:rPr>
          <w:rFonts w:ascii="Garamond" w:hAnsi="Garamond" w:cs="Times New Roman"/>
          <w:sz w:val="24"/>
          <w:szCs w:val="24"/>
        </w:rPr>
        <w:t>massimazione</w:t>
      </w:r>
      <w:proofErr w:type="spellEnd"/>
      <w:r w:rsidRPr="006F61C8">
        <w:rPr>
          <w:rFonts w:ascii="Garamond" w:hAnsi="Garamond" w:cs="Times New Roman"/>
          <w:sz w:val="24"/>
          <w:szCs w:val="24"/>
        </w:rPr>
        <w:t xml:space="preserve"> e di uno sforzo</w:t>
      </w:r>
      <w:r w:rsidR="0056365C" w:rsidRPr="006F61C8">
        <w:rPr>
          <w:rFonts w:ascii="Garamond" w:hAnsi="Garamond" w:cs="Times New Roman"/>
          <w:sz w:val="24"/>
          <w:szCs w:val="24"/>
        </w:rPr>
        <w:t xml:space="preserve"> intellettivo rilevante per offrire agli operatori un prodotto che consenta di comprendere, con immediatezza, il reale senso della pronuncia oggetto di </w:t>
      </w:r>
      <w:proofErr w:type="spellStart"/>
      <w:r w:rsidR="0056365C" w:rsidRPr="006F61C8">
        <w:rPr>
          <w:rFonts w:ascii="Garamond" w:hAnsi="Garamond" w:cs="Times New Roman"/>
          <w:sz w:val="24"/>
          <w:szCs w:val="24"/>
        </w:rPr>
        <w:t>massimazione</w:t>
      </w:r>
      <w:proofErr w:type="spellEnd"/>
      <w:r w:rsidR="0056365C" w:rsidRPr="006F61C8">
        <w:rPr>
          <w:rFonts w:ascii="Garamond" w:hAnsi="Garamond" w:cs="Times New Roman"/>
          <w:sz w:val="24"/>
          <w:szCs w:val="24"/>
        </w:rPr>
        <w:t>.</w:t>
      </w:r>
    </w:p>
    <w:p w14:paraId="6B71DF36" w14:textId="30E5D543" w:rsidR="003259A5" w:rsidRPr="006F61C8" w:rsidRDefault="009613C8" w:rsidP="005122EC">
      <w:pPr>
        <w:spacing w:line="360" w:lineRule="auto"/>
        <w:jc w:val="both"/>
        <w:rPr>
          <w:rFonts w:ascii="Garamond" w:hAnsi="Garamond" w:cs="Times New Roman"/>
          <w:b/>
          <w:bCs/>
          <w:sz w:val="24"/>
          <w:szCs w:val="24"/>
        </w:rPr>
      </w:pPr>
      <w:r w:rsidRPr="006F61C8">
        <w:rPr>
          <w:rFonts w:ascii="Garamond" w:hAnsi="Garamond" w:cs="Times New Roman"/>
          <w:b/>
          <w:bCs/>
          <w:sz w:val="24"/>
          <w:szCs w:val="24"/>
        </w:rPr>
        <w:t>4</w:t>
      </w:r>
      <w:r w:rsidR="00896A49" w:rsidRPr="006F61C8">
        <w:rPr>
          <w:rFonts w:ascii="Garamond" w:hAnsi="Garamond" w:cs="Times New Roman"/>
          <w:b/>
          <w:bCs/>
          <w:sz w:val="24"/>
          <w:szCs w:val="24"/>
        </w:rPr>
        <w:t>. Rassegne monotematiche di giurisprudenza amministrativa.</w:t>
      </w:r>
    </w:p>
    <w:p w14:paraId="6BAA6FEC" w14:textId="60F8AE85" w:rsidR="00C16B23" w:rsidRPr="006F61C8" w:rsidRDefault="00D31541"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L’altro strumento sui cui intendo spendere alcune considerazioni è </w:t>
      </w:r>
      <w:r w:rsidR="00C94DC9" w:rsidRPr="006F61C8">
        <w:rPr>
          <w:rFonts w:ascii="Garamond" w:hAnsi="Garamond" w:cs="Times New Roman"/>
          <w:sz w:val="24"/>
          <w:szCs w:val="24"/>
        </w:rPr>
        <w:t>quello delle rassegne monotematiche di giurisprudenza, le quali, come sin da subito evidenziat</w:t>
      </w:r>
      <w:r w:rsidR="00C953E5">
        <w:rPr>
          <w:rFonts w:ascii="Garamond" w:hAnsi="Garamond" w:cs="Times New Roman"/>
          <w:sz w:val="24"/>
          <w:szCs w:val="24"/>
        </w:rPr>
        <w:t xml:space="preserve">o </w:t>
      </w:r>
      <w:r w:rsidR="00C94DC9" w:rsidRPr="006F61C8">
        <w:rPr>
          <w:rFonts w:ascii="Garamond" w:hAnsi="Garamond" w:cs="Times New Roman"/>
          <w:sz w:val="24"/>
          <w:szCs w:val="24"/>
        </w:rPr>
        <w:t xml:space="preserve">nei ridetti </w:t>
      </w:r>
      <w:r w:rsidR="00C94DC9" w:rsidRPr="006F61C8">
        <w:rPr>
          <w:rFonts w:ascii="Garamond" w:hAnsi="Garamond" w:cs="Times New Roman"/>
          <w:i/>
          <w:iCs/>
          <w:sz w:val="24"/>
          <w:szCs w:val="24"/>
        </w:rPr>
        <w:t>Standard</w:t>
      </w:r>
      <w:r w:rsidR="00C94DC9" w:rsidRPr="006F61C8">
        <w:rPr>
          <w:rFonts w:ascii="Garamond" w:hAnsi="Garamond" w:cs="Times New Roman"/>
          <w:sz w:val="24"/>
          <w:szCs w:val="24"/>
        </w:rPr>
        <w:t>, hanno, da un lato, l’obiettivo, di «f</w:t>
      </w:r>
      <w:r w:rsidR="00C16B23" w:rsidRPr="006F61C8">
        <w:rPr>
          <w:rFonts w:ascii="Garamond" w:hAnsi="Garamond" w:cs="Times New Roman"/>
          <w:sz w:val="24"/>
          <w:szCs w:val="24"/>
        </w:rPr>
        <w:t>ornire al magistrato amministrativo una sinossi, delle questioni affrontate e risolte dalla giurisprudenza, di immediata consultazione tramite semplice lettura del sommario</w:t>
      </w:r>
      <w:r w:rsidR="00C94DC9" w:rsidRPr="006F61C8">
        <w:rPr>
          <w:rFonts w:ascii="Garamond" w:hAnsi="Garamond" w:cs="Times New Roman"/>
          <w:sz w:val="24"/>
          <w:szCs w:val="24"/>
        </w:rPr>
        <w:t>»; dall’altro, di «i</w:t>
      </w:r>
      <w:r w:rsidR="00C16B23" w:rsidRPr="006F61C8">
        <w:rPr>
          <w:rFonts w:ascii="Garamond" w:hAnsi="Garamond" w:cs="Times New Roman"/>
          <w:sz w:val="24"/>
          <w:szCs w:val="24"/>
        </w:rPr>
        <w:t>llustrare temi di attualità in relazione ai quali si sono sviluppati contrasti rilevanti di giurisprudenza suscettibili di essere deferiti alla Adunanza plenaria del Consiglio di Stato, ovvero alla Corte costituzionale o alla Corte di giustizia UE</w:t>
      </w:r>
      <w:r w:rsidR="00C94DC9" w:rsidRPr="006F61C8">
        <w:rPr>
          <w:rFonts w:ascii="Garamond" w:hAnsi="Garamond" w:cs="Times New Roman"/>
          <w:sz w:val="24"/>
          <w:szCs w:val="24"/>
        </w:rPr>
        <w:t>»</w:t>
      </w:r>
      <w:r w:rsidR="00C94DC9" w:rsidRPr="006F61C8">
        <w:rPr>
          <w:rStyle w:val="Rimandonotaapidipagina"/>
          <w:rFonts w:ascii="Garamond" w:hAnsi="Garamond" w:cs="Times New Roman"/>
          <w:sz w:val="24"/>
          <w:szCs w:val="24"/>
        </w:rPr>
        <w:footnoteReference w:id="11"/>
      </w:r>
      <w:r w:rsidR="00C94DC9" w:rsidRPr="006F61C8">
        <w:rPr>
          <w:rFonts w:ascii="Garamond" w:hAnsi="Garamond" w:cs="Times New Roman"/>
          <w:sz w:val="24"/>
          <w:szCs w:val="24"/>
        </w:rPr>
        <w:t>.</w:t>
      </w:r>
    </w:p>
    <w:p w14:paraId="106FD707" w14:textId="205D3BA5" w:rsidR="00C72400" w:rsidRPr="006F61C8" w:rsidRDefault="00C72400" w:rsidP="005122EC">
      <w:pPr>
        <w:spacing w:line="360" w:lineRule="auto"/>
        <w:jc w:val="both"/>
        <w:rPr>
          <w:rFonts w:ascii="Garamond" w:hAnsi="Garamond" w:cs="Times New Roman"/>
          <w:sz w:val="24"/>
          <w:szCs w:val="24"/>
        </w:rPr>
      </w:pPr>
      <w:r w:rsidRPr="006F61C8">
        <w:rPr>
          <w:rFonts w:ascii="Garamond" w:hAnsi="Garamond" w:cs="Times New Roman"/>
          <w:sz w:val="24"/>
          <w:szCs w:val="24"/>
        </w:rPr>
        <w:lastRenderedPageBreak/>
        <w:t>Le rassegne monotematiche poi ricevono alcune specifiche indicazioni negli Standard sia in punto di metodo di lavoro</w:t>
      </w:r>
      <w:r w:rsidR="00E7376F" w:rsidRPr="006F61C8">
        <w:rPr>
          <w:rStyle w:val="Rimandonotaapidipagina"/>
          <w:rFonts w:ascii="Garamond" w:hAnsi="Garamond" w:cs="Times New Roman"/>
          <w:sz w:val="24"/>
          <w:szCs w:val="24"/>
        </w:rPr>
        <w:footnoteReference w:id="12"/>
      </w:r>
      <w:r w:rsidR="00E7376F" w:rsidRPr="006F61C8">
        <w:rPr>
          <w:rFonts w:ascii="Garamond" w:hAnsi="Garamond" w:cs="Times New Roman"/>
          <w:sz w:val="24"/>
          <w:szCs w:val="24"/>
        </w:rPr>
        <w:t>, che in punto di contenuto delle stesse</w:t>
      </w:r>
      <w:r w:rsidR="00E7376F" w:rsidRPr="006F61C8">
        <w:rPr>
          <w:rStyle w:val="Rimandonotaapidipagina"/>
          <w:rFonts w:ascii="Garamond" w:hAnsi="Garamond" w:cs="Times New Roman"/>
          <w:sz w:val="24"/>
          <w:szCs w:val="24"/>
        </w:rPr>
        <w:footnoteReference w:id="13"/>
      </w:r>
      <w:r w:rsidR="00E7376F" w:rsidRPr="006F61C8">
        <w:rPr>
          <w:rFonts w:ascii="Garamond" w:hAnsi="Garamond" w:cs="Times New Roman"/>
          <w:sz w:val="24"/>
          <w:szCs w:val="24"/>
        </w:rPr>
        <w:t xml:space="preserve">. </w:t>
      </w:r>
    </w:p>
    <w:p w14:paraId="73B20514" w14:textId="07F410A2" w:rsidR="004613DC" w:rsidRPr="006F61C8" w:rsidRDefault="00E7376F"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Ora, </w:t>
      </w:r>
      <w:r w:rsidR="004613DC" w:rsidRPr="006F61C8">
        <w:rPr>
          <w:rFonts w:ascii="Garamond" w:hAnsi="Garamond" w:cs="Times New Roman"/>
          <w:sz w:val="24"/>
          <w:szCs w:val="24"/>
        </w:rPr>
        <w:t xml:space="preserve">soprattutto rispetto al secondo profilo, è assai interessante notare come gli </w:t>
      </w:r>
      <w:r w:rsidR="004613DC" w:rsidRPr="005122EC">
        <w:rPr>
          <w:rFonts w:ascii="Garamond" w:hAnsi="Garamond" w:cs="Times New Roman"/>
          <w:i/>
          <w:iCs/>
          <w:sz w:val="24"/>
          <w:szCs w:val="24"/>
        </w:rPr>
        <w:t>Standard</w:t>
      </w:r>
      <w:r w:rsidR="004613DC" w:rsidRPr="006F61C8">
        <w:rPr>
          <w:rFonts w:ascii="Garamond" w:hAnsi="Garamond" w:cs="Times New Roman"/>
          <w:sz w:val="24"/>
          <w:szCs w:val="24"/>
        </w:rPr>
        <w:t xml:space="preserve"> </w:t>
      </w:r>
      <w:r w:rsidR="0049687D" w:rsidRPr="006F61C8">
        <w:rPr>
          <w:rFonts w:ascii="Garamond" w:hAnsi="Garamond" w:cs="Times New Roman"/>
          <w:sz w:val="24"/>
          <w:szCs w:val="24"/>
        </w:rPr>
        <w:t>forniscano indicazioni sui</w:t>
      </w:r>
      <w:r w:rsidR="004613DC" w:rsidRPr="006F61C8">
        <w:rPr>
          <w:rFonts w:ascii="Garamond" w:hAnsi="Garamond" w:cs="Times New Roman"/>
          <w:sz w:val="24"/>
          <w:szCs w:val="24"/>
        </w:rPr>
        <w:t xml:space="preserve"> passaggi in ordine logico di costruzione della Rassegna</w:t>
      </w:r>
      <w:r w:rsidR="0049687D" w:rsidRPr="006F61C8">
        <w:rPr>
          <w:rFonts w:ascii="Garamond" w:hAnsi="Garamond" w:cs="Times New Roman"/>
          <w:sz w:val="24"/>
          <w:szCs w:val="24"/>
        </w:rPr>
        <w:t>, di gestione del materiale</w:t>
      </w:r>
      <w:r w:rsidR="002A0563" w:rsidRPr="006F61C8">
        <w:rPr>
          <w:rFonts w:ascii="Garamond" w:hAnsi="Garamond" w:cs="Times New Roman"/>
          <w:sz w:val="24"/>
          <w:szCs w:val="24"/>
        </w:rPr>
        <w:t xml:space="preserve"> e sullo stile redazionale. </w:t>
      </w:r>
    </w:p>
    <w:p w14:paraId="3CDB18ED" w14:textId="776D97A5" w:rsidR="00131266" w:rsidRPr="006F61C8" w:rsidRDefault="002A0563" w:rsidP="005122EC">
      <w:pPr>
        <w:spacing w:line="360" w:lineRule="auto"/>
        <w:jc w:val="both"/>
        <w:rPr>
          <w:rFonts w:ascii="Garamond" w:hAnsi="Garamond" w:cs="Times New Roman"/>
          <w:sz w:val="24"/>
          <w:szCs w:val="24"/>
        </w:rPr>
      </w:pPr>
      <w:r w:rsidRPr="006F61C8">
        <w:rPr>
          <w:rFonts w:ascii="Garamond" w:hAnsi="Garamond" w:cs="Times New Roman"/>
          <w:sz w:val="24"/>
          <w:szCs w:val="24"/>
        </w:rPr>
        <w:t>Esemplificando e riportandone unicamente le chiavi fondamentali di costruzione della Rassegna</w:t>
      </w:r>
      <w:r w:rsidR="00131266" w:rsidRPr="006F61C8">
        <w:rPr>
          <w:rFonts w:ascii="Garamond" w:hAnsi="Garamond" w:cs="Times New Roman"/>
          <w:sz w:val="24"/>
          <w:szCs w:val="24"/>
        </w:rPr>
        <w:t>,</w:t>
      </w:r>
      <w:r w:rsidR="005122EC">
        <w:rPr>
          <w:rFonts w:ascii="Garamond" w:hAnsi="Garamond" w:cs="Times New Roman"/>
          <w:sz w:val="24"/>
          <w:szCs w:val="24"/>
        </w:rPr>
        <w:t xml:space="preserve"> può così sintetizzarsi il percorso di lavoro</w:t>
      </w:r>
      <w:r w:rsidR="00131266" w:rsidRPr="006F61C8">
        <w:rPr>
          <w:rFonts w:ascii="Garamond" w:hAnsi="Garamond" w:cs="Times New Roman"/>
          <w:sz w:val="24"/>
          <w:szCs w:val="24"/>
        </w:rPr>
        <w:t>:</w:t>
      </w:r>
    </w:p>
    <w:p w14:paraId="1145EA4F" w14:textId="0F853FB4" w:rsidR="00986F78" w:rsidRPr="006F61C8" w:rsidRDefault="00986F78" w:rsidP="005122EC">
      <w:pPr>
        <w:spacing w:line="360" w:lineRule="auto"/>
        <w:jc w:val="both"/>
        <w:rPr>
          <w:rFonts w:ascii="Garamond" w:hAnsi="Garamond" w:cs="Times New Roman"/>
          <w:sz w:val="24"/>
          <w:szCs w:val="24"/>
        </w:rPr>
      </w:pPr>
      <w:r w:rsidRPr="006F61C8">
        <w:rPr>
          <w:rFonts w:ascii="Garamond" w:hAnsi="Garamond" w:cs="Times New Roman"/>
          <w:sz w:val="24"/>
          <w:szCs w:val="24"/>
        </w:rPr>
        <w:t>a</w:t>
      </w:r>
      <w:r w:rsidR="00C16B23" w:rsidRPr="006F61C8">
        <w:rPr>
          <w:rFonts w:ascii="Garamond" w:hAnsi="Garamond" w:cs="Times New Roman"/>
          <w:sz w:val="24"/>
          <w:szCs w:val="24"/>
        </w:rPr>
        <w:t>) si redige un paragrafo preliminare (Premessa) che delimita il perimetro della ricerca e, se del caso, inquadra il fenomeno nella sua scaturigine (e quindi possibilmente attraverso il richiamo a grandi riforme di settore, o pronunce rilevanti Corte UE, Corte cost. ecc.)</w:t>
      </w:r>
      <w:r w:rsidRPr="006F61C8">
        <w:rPr>
          <w:rFonts w:ascii="Garamond" w:hAnsi="Garamond" w:cs="Times New Roman"/>
          <w:sz w:val="24"/>
          <w:szCs w:val="24"/>
        </w:rPr>
        <w:t>;</w:t>
      </w:r>
    </w:p>
    <w:p w14:paraId="0198D693" w14:textId="748FB6DC" w:rsidR="00C16B23" w:rsidRPr="006F61C8" w:rsidRDefault="00986F78" w:rsidP="005122EC">
      <w:pPr>
        <w:spacing w:line="360" w:lineRule="auto"/>
        <w:jc w:val="both"/>
        <w:rPr>
          <w:rFonts w:ascii="Garamond" w:hAnsi="Garamond" w:cs="Times New Roman"/>
          <w:sz w:val="24"/>
          <w:szCs w:val="24"/>
        </w:rPr>
      </w:pPr>
      <w:r w:rsidRPr="006F61C8">
        <w:rPr>
          <w:rFonts w:ascii="Garamond" w:hAnsi="Garamond" w:cs="Times New Roman"/>
          <w:sz w:val="24"/>
          <w:szCs w:val="24"/>
        </w:rPr>
        <w:t>b</w:t>
      </w:r>
      <w:r w:rsidR="00C16B23" w:rsidRPr="006F61C8">
        <w:rPr>
          <w:rFonts w:ascii="Garamond" w:hAnsi="Garamond" w:cs="Times New Roman"/>
          <w:sz w:val="24"/>
          <w:szCs w:val="24"/>
        </w:rPr>
        <w:t>) a seguire si illustrano, ove possibile, le principali fonti del micro ordinamento settore;</w:t>
      </w:r>
    </w:p>
    <w:p w14:paraId="34C77752" w14:textId="77777777" w:rsidR="00986F78" w:rsidRPr="006F61C8" w:rsidRDefault="00986F78" w:rsidP="005122EC">
      <w:pPr>
        <w:spacing w:line="360" w:lineRule="auto"/>
        <w:jc w:val="both"/>
        <w:rPr>
          <w:rFonts w:ascii="Garamond" w:hAnsi="Garamond" w:cs="Times New Roman"/>
          <w:sz w:val="24"/>
          <w:szCs w:val="24"/>
        </w:rPr>
      </w:pPr>
      <w:r w:rsidRPr="006F61C8">
        <w:rPr>
          <w:rFonts w:ascii="Garamond" w:hAnsi="Garamond" w:cs="Times New Roman"/>
          <w:sz w:val="24"/>
          <w:szCs w:val="24"/>
        </w:rPr>
        <w:t>c</w:t>
      </w:r>
      <w:r w:rsidR="00C16B23" w:rsidRPr="006F61C8">
        <w:rPr>
          <w:rFonts w:ascii="Garamond" w:hAnsi="Garamond" w:cs="Times New Roman"/>
          <w:sz w:val="24"/>
          <w:szCs w:val="24"/>
        </w:rPr>
        <w:t>) quindi si riportano i concetti fondamentali, poi i principi, infine la casistica</w:t>
      </w:r>
      <w:r w:rsidR="00131266" w:rsidRPr="006F61C8">
        <w:rPr>
          <w:rFonts w:ascii="Garamond" w:hAnsi="Garamond" w:cs="Times New Roman"/>
          <w:sz w:val="24"/>
          <w:szCs w:val="24"/>
        </w:rPr>
        <w:t xml:space="preserve">: </w:t>
      </w:r>
    </w:p>
    <w:p w14:paraId="05BE7054" w14:textId="67094846" w:rsidR="00986F78" w:rsidRPr="006F61C8" w:rsidRDefault="00986F78"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c1) </w:t>
      </w:r>
      <w:r w:rsidR="00131266" w:rsidRPr="006F61C8">
        <w:rPr>
          <w:rFonts w:ascii="Garamond" w:hAnsi="Garamond" w:cs="Times New Roman"/>
          <w:sz w:val="24"/>
          <w:szCs w:val="24"/>
        </w:rPr>
        <w:t>sotto questo profilo, le indicazioni di contenuto vanno unite ad alcune indicazioni di gestione del materiale, che</w:t>
      </w:r>
      <w:r w:rsidRPr="006F61C8">
        <w:rPr>
          <w:rFonts w:ascii="Garamond" w:hAnsi="Garamond" w:cs="Times New Roman"/>
          <w:sz w:val="24"/>
          <w:szCs w:val="24"/>
        </w:rPr>
        <w:t>, sinteticamente, si concretano: i) nella lettura a tappeto della casistica per dedurre nozioni e concetti fondamentali da un lato, principi dall’altro; ii) nella declinazione di tutti gli ambiti applicativi; iii) nella ricostruzione della fattispecie concreta;</w:t>
      </w:r>
      <w:r w:rsidR="00A9280A" w:rsidRPr="006F61C8">
        <w:rPr>
          <w:rFonts w:ascii="Garamond" w:hAnsi="Garamond" w:cs="Times New Roman"/>
          <w:sz w:val="24"/>
          <w:szCs w:val="24"/>
        </w:rPr>
        <w:t xml:space="preserve"> </w:t>
      </w:r>
    </w:p>
    <w:p w14:paraId="225D2FAE" w14:textId="77AE6AD7" w:rsidR="00986F78" w:rsidRPr="006F61C8" w:rsidRDefault="00986F78"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d) la rassegna può contenere – e solitamente contiene – un apposito paragrafo dedicato alle questioni processuali connesse alla materia trattata, </w:t>
      </w:r>
      <w:r w:rsidR="00C25CE1" w:rsidRPr="006F61C8">
        <w:rPr>
          <w:rFonts w:ascii="Garamond" w:hAnsi="Garamond" w:cs="Times New Roman"/>
          <w:sz w:val="24"/>
          <w:szCs w:val="24"/>
        </w:rPr>
        <w:t>(giurisdizione, limiti sindacato G.A, legittimazione e interesse ad agire ecc.), in apertura o in chiusura di rassegna;</w:t>
      </w:r>
    </w:p>
    <w:p w14:paraId="668DD093" w14:textId="61FE3357" w:rsidR="004E4B7B" w:rsidRPr="006F61C8" w:rsidRDefault="00C25CE1"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e) </w:t>
      </w:r>
      <w:r w:rsidR="00C16B23" w:rsidRPr="006F61C8">
        <w:rPr>
          <w:rFonts w:ascii="Garamond" w:hAnsi="Garamond" w:cs="Times New Roman"/>
          <w:sz w:val="24"/>
          <w:szCs w:val="24"/>
        </w:rPr>
        <w:t xml:space="preserve">si redige un </w:t>
      </w:r>
      <w:r w:rsidRPr="006F61C8">
        <w:rPr>
          <w:rFonts w:ascii="Garamond" w:hAnsi="Garamond" w:cs="Times New Roman"/>
          <w:sz w:val="24"/>
          <w:szCs w:val="24"/>
        </w:rPr>
        <w:t>paragrafo</w:t>
      </w:r>
      <w:r w:rsidR="00C16B23" w:rsidRPr="006F61C8">
        <w:rPr>
          <w:rFonts w:ascii="Garamond" w:hAnsi="Garamond" w:cs="Times New Roman"/>
          <w:sz w:val="24"/>
          <w:szCs w:val="24"/>
        </w:rPr>
        <w:t xml:space="preserve"> di conclusioni sintetiche (ove possibile).</w:t>
      </w:r>
    </w:p>
    <w:p w14:paraId="1AB8317C" w14:textId="3CFEA8ED" w:rsidR="00C25CE1" w:rsidRPr="006F61C8" w:rsidRDefault="00C25CE1" w:rsidP="005122EC">
      <w:pPr>
        <w:spacing w:line="360" w:lineRule="auto"/>
        <w:jc w:val="both"/>
        <w:rPr>
          <w:rFonts w:ascii="Garamond" w:hAnsi="Garamond" w:cs="Times New Roman"/>
          <w:sz w:val="24"/>
          <w:szCs w:val="24"/>
        </w:rPr>
      </w:pPr>
      <w:r w:rsidRPr="006F61C8">
        <w:rPr>
          <w:rFonts w:ascii="Garamond" w:hAnsi="Garamond" w:cs="Times New Roman"/>
          <w:sz w:val="24"/>
          <w:szCs w:val="24"/>
        </w:rPr>
        <w:t>f) sul piano stilistico</w:t>
      </w:r>
      <w:r w:rsidR="005122EC">
        <w:rPr>
          <w:rFonts w:ascii="Garamond" w:hAnsi="Garamond" w:cs="Times New Roman"/>
          <w:sz w:val="24"/>
          <w:szCs w:val="24"/>
        </w:rPr>
        <w:t xml:space="preserve"> poi</w:t>
      </w:r>
      <w:r w:rsidRPr="006F61C8">
        <w:rPr>
          <w:rFonts w:ascii="Garamond" w:hAnsi="Garamond" w:cs="Times New Roman"/>
          <w:sz w:val="24"/>
          <w:szCs w:val="24"/>
        </w:rPr>
        <w:t xml:space="preserve">, </w:t>
      </w:r>
      <w:r w:rsidR="00A9280A" w:rsidRPr="006F61C8">
        <w:rPr>
          <w:rFonts w:ascii="Garamond" w:hAnsi="Garamond" w:cs="Times New Roman"/>
          <w:sz w:val="24"/>
          <w:szCs w:val="24"/>
        </w:rPr>
        <w:t>si menzionano le seguenti indicazioni:</w:t>
      </w:r>
    </w:p>
    <w:p w14:paraId="527EDB02" w14:textId="7DCAF7ED" w:rsidR="00C16B23" w:rsidRPr="006F61C8" w:rsidRDefault="00A9280A" w:rsidP="005122EC">
      <w:pPr>
        <w:spacing w:line="360" w:lineRule="auto"/>
        <w:jc w:val="both"/>
        <w:rPr>
          <w:rFonts w:ascii="Garamond" w:hAnsi="Garamond" w:cs="Times New Roman"/>
          <w:sz w:val="24"/>
          <w:szCs w:val="24"/>
        </w:rPr>
      </w:pPr>
      <w:r w:rsidRPr="006F61C8">
        <w:rPr>
          <w:rFonts w:ascii="Garamond" w:hAnsi="Garamond" w:cs="Times New Roman"/>
          <w:sz w:val="24"/>
          <w:szCs w:val="24"/>
        </w:rPr>
        <w:lastRenderedPageBreak/>
        <w:t xml:space="preserve">f1) </w:t>
      </w:r>
      <w:r w:rsidR="00C16B23" w:rsidRPr="006F61C8">
        <w:rPr>
          <w:rFonts w:ascii="Garamond" w:hAnsi="Garamond" w:cs="Times New Roman"/>
          <w:sz w:val="24"/>
          <w:szCs w:val="24"/>
        </w:rPr>
        <w:t>nelle rassegne non si esprimono giudizi di valore sulle decisioni esaminate;</w:t>
      </w:r>
    </w:p>
    <w:p w14:paraId="38BE3882" w14:textId="6333DEC0" w:rsidR="00C16B23" w:rsidRDefault="00A9280A" w:rsidP="005122EC">
      <w:pPr>
        <w:spacing w:line="360" w:lineRule="auto"/>
        <w:jc w:val="both"/>
        <w:rPr>
          <w:rFonts w:ascii="Garamond" w:hAnsi="Garamond" w:cs="Times New Roman"/>
          <w:sz w:val="24"/>
          <w:szCs w:val="24"/>
        </w:rPr>
      </w:pPr>
      <w:r w:rsidRPr="006F61C8">
        <w:rPr>
          <w:rFonts w:ascii="Garamond" w:hAnsi="Garamond" w:cs="Times New Roman"/>
          <w:sz w:val="24"/>
          <w:szCs w:val="24"/>
        </w:rPr>
        <w:t>f2</w:t>
      </w:r>
      <w:r w:rsidR="00C16B23" w:rsidRPr="006F61C8">
        <w:rPr>
          <w:rFonts w:ascii="Garamond" w:hAnsi="Garamond" w:cs="Times New Roman"/>
          <w:sz w:val="24"/>
          <w:szCs w:val="24"/>
        </w:rPr>
        <w:t>) nelle rassegne non si danno indicazioni di dottrina</w:t>
      </w:r>
      <w:r w:rsidRPr="006F61C8">
        <w:rPr>
          <w:rFonts w:ascii="Garamond" w:hAnsi="Garamond" w:cs="Times New Roman"/>
          <w:sz w:val="24"/>
          <w:szCs w:val="24"/>
        </w:rPr>
        <w:t>;</w:t>
      </w:r>
    </w:p>
    <w:p w14:paraId="669EC476" w14:textId="536FD2C2" w:rsidR="005122EC" w:rsidRPr="006F61C8" w:rsidRDefault="005122EC" w:rsidP="005122EC">
      <w:pPr>
        <w:spacing w:line="360" w:lineRule="auto"/>
        <w:jc w:val="both"/>
        <w:rPr>
          <w:rFonts w:ascii="Garamond" w:hAnsi="Garamond" w:cs="Times New Roman"/>
          <w:sz w:val="24"/>
          <w:szCs w:val="24"/>
        </w:rPr>
      </w:pPr>
      <w:r>
        <w:rPr>
          <w:rFonts w:ascii="Garamond" w:hAnsi="Garamond" w:cs="Times New Roman"/>
          <w:sz w:val="24"/>
          <w:szCs w:val="24"/>
        </w:rPr>
        <w:t xml:space="preserve">f3) </w:t>
      </w:r>
      <w:r w:rsidRPr="006F61C8">
        <w:rPr>
          <w:rFonts w:ascii="Garamond" w:hAnsi="Garamond" w:cs="Times New Roman"/>
          <w:sz w:val="24"/>
          <w:szCs w:val="24"/>
        </w:rPr>
        <w:t>quando si fa menzione di un rinvio alla Corte cost., alla Corte UE o alla Adunanza plenaria è sempre necessario interrogarsi sulla risposta a tali istanze e, se presente, recepirla in modo ordinato;</w:t>
      </w:r>
    </w:p>
    <w:p w14:paraId="046EEEF0" w14:textId="751CC5F6" w:rsidR="00C16B23" w:rsidRPr="006F61C8" w:rsidRDefault="00A9280A" w:rsidP="005122EC">
      <w:pPr>
        <w:spacing w:line="360" w:lineRule="auto"/>
        <w:jc w:val="both"/>
        <w:rPr>
          <w:rFonts w:ascii="Garamond" w:hAnsi="Garamond" w:cs="Times New Roman"/>
          <w:sz w:val="24"/>
          <w:szCs w:val="24"/>
        </w:rPr>
      </w:pPr>
      <w:r w:rsidRPr="006F61C8">
        <w:rPr>
          <w:rFonts w:ascii="Garamond" w:hAnsi="Garamond" w:cs="Times New Roman"/>
          <w:sz w:val="24"/>
          <w:szCs w:val="24"/>
        </w:rPr>
        <w:t>f</w:t>
      </w:r>
      <w:r w:rsidR="005122EC">
        <w:rPr>
          <w:rFonts w:ascii="Garamond" w:hAnsi="Garamond" w:cs="Times New Roman"/>
          <w:sz w:val="24"/>
          <w:szCs w:val="24"/>
        </w:rPr>
        <w:t>4</w:t>
      </w:r>
      <w:r w:rsidR="00C16B23" w:rsidRPr="006F61C8">
        <w:rPr>
          <w:rFonts w:ascii="Garamond" w:hAnsi="Garamond" w:cs="Times New Roman"/>
          <w:sz w:val="24"/>
          <w:szCs w:val="24"/>
        </w:rPr>
        <w:t xml:space="preserve">) i </w:t>
      </w:r>
      <w:r w:rsidRPr="006F61C8">
        <w:rPr>
          <w:rFonts w:ascii="Garamond" w:hAnsi="Garamond" w:cs="Times New Roman"/>
          <w:sz w:val="24"/>
          <w:szCs w:val="24"/>
        </w:rPr>
        <w:t>par</w:t>
      </w:r>
      <w:r w:rsidR="00F81A32" w:rsidRPr="006F61C8">
        <w:rPr>
          <w:rFonts w:ascii="Garamond" w:hAnsi="Garamond" w:cs="Times New Roman"/>
          <w:sz w:val="24"/>
          <w:szCs w:val="24"/>
        </w:rPr>
        <w:t>a</w:t>
      </w:r>
      <w:r w:rsidRPr="006F61C8">
        <w:rPr>
          <w:rFonts w:ascii="Garamond" w:hAnsi="Garamond" w:cs="Times New Roman"/>
          <w:sz w:val="24"/>
          <w:szCs w:val="24"/>
        </w:rPr>
        <w:t xml:space="preserve">grafi </w:t>
      </w:r>
      <w:r w:rsidR="00C16B23" w:rsidRPr="006F61C8">
        <w:rPr>
          <w:rFonts w:ascii="Garamond" w:hAnsi="Garamond" w:cs="Times New Roman"/>
          <w:sz w:val="24"/>
          <w:szCs w:val="24"/>
        </w:rPr>
        <w:t xml:space="preserve">devono essere brevi e il più possibile sotto ripartiti in modo che evidenzino con facilità al lettore le questioni trattate: da preferirsi la tecnica del </w:t>
      </w:r>
      <w:r w:rsidR="00C16B23" w:rsidRPr="005122EC">
        <w:rPr>
          <w:rFonts w:ascii="Garamond" w:hAnsi="Garamond" w:cs="Times New Roman"/>
          <w:i/>
          <w:iCs/>
          <w:sz w:val="24"/>
          <w:szCs w:val="24"/>
        </w:rPr>
        <w:t>bullet point</w:t>
      </w:r>
      <w:r w:rsidR="00C16B23" w:rsidRPr="006F61C8">
        <w:rPr>
          <w:rFonts w:ascii="Garamond" w:hAnsi="Garamond" w:cs="Times New Roman"/>
          <w:sz w:val="24"/>
          <w:szCs w:val="24"/>
        </w:rPr>
        <w:t>;</w:t>
      </w:r>
    </w:p>
    <w:p w14:paraId="4A6DF6F1" w14:textId="5F3D5E27" w:rsidR="00C16B23" w:rsidRPr="006F61C8" w:rsidRDefault="00A9280A" w:rsidP="005122EC">
      <w:pPr>
        <w:spacing w:line="360" w:lineRule="auto"/>
        <w:jc w:val="both"/>
        <w:rPr>
          <w:rFonts w:ascii="Garamond" w:hAnsi="Garamond" w:cs="Times New Roman"/>
          <w:sz w:val="24"/>
          <w:szCs w:val="24"/>
        </w:rPr>
      </w:pPr>
      <w:r w:rsidRPr="006F61C8">
        <w:rPr>
          <w:rFonts w:ascii="Garamond" w:hAnsi="Garamond" w:cs="Times New Roman"/>
          <w:sz w:val="24"/>
          <w:szCs w:val="24"/>
        </w:rPr>
        <w:t>f</w:t>
      </w:r>
      <w:r w:rsidR="005122EC">
        <w:rPr>
          <w:rFonts w:ascii="Garamond" w:hAnsi="Garamond" w:cs="Times New Roman"/>
          <w:sz w:val="24"/>
          <w:szCs w:val="24"/>
        </w:rPr>
        <w:t>5</w:t>
      </w:r>
      <w:r w:rsidRPr="006F61C8">
        <w:rPr>
          <w:rFonts w:ascii="Garamond" w:hAnsi="Garamond" w:cs="Times New Roman"/>
          <w:sz w:val="24"/>
          <w:szCs w:val="24"/>
        </w:rPr>
        <w:t>)</w:t>
      </w:r>
      <w:r w:rsidR="00C16B23" w:rsidRPr="006F61C8">
        <w:rPr>
          <w:rFonts w:ascii="Garamond" w:hAnsi="Garamond" w:cs="Times New Roman"/>
          <w:sz w:val="24"/>
          <w:szCs w:val="24"/>
        </w:rPr>
        <w:t xml:space="preserve"> redigere periodi il più possibili concisi e assertivi</w:t>
      </w:r>
      <w:r w:rsidR="005122EC">
        <w:rPr>
          <w:rFonts w:ascii="Garamond" w:hAnsi="Garamond" w:cs="Times New Roman"/>
          <w:sz w:val="24"/>
          <w:szCs w:val="24"/>
        </w:rPr>
        <w:t xml:space="preserve">, </w:t>
      </w:r>
      <w:r w:rsidR="00C16B23" w:rsidRPr="006F61C8">
        <w:rPr>
          <w:rFonts w:ascii="Garamond" w:hAnsi="Garamond" w:cs="Times New Roman"/>
          <w:sz w:val="24"/>
          <w:szCs w:val="24"/>
        </w:rPr>
        <w:t>di solito usando la terza persona, solo poi (meglio se fra parentesi) si indicano le decisioni da cui sono estratti e la fattispecie concreta (meglio se sintetizzata fra parentesi).</w:t>
      </w:r>
    </w:p>
    <w:p w14:paraId="0C519192" w14:textId="1021855A" w:rsidR="00A9280A" w:rsidRPr="006F61C8" w:rsidRDefault="00A9280A" w:rsidP="005122EC">
      <w:pPr>
        <w:spacing w:line="360" w:lineRule="auto"/>
        <w:jc w:val="both"/>
        <w:rPr>
          <w:rFonts w:ascii="Garamond" w:hAnsi="Garamond" w:cs="Times New Roman"/>
          <w:sz w:val="24"/>
          <w:szCs w:val="24"/>
        </w:rPr>
      </w:pPr>
      <w:r w:rsidRPr="006F61C8">
        <w:rPr>
          <w:rFonts w:ascii="Garamond" w:hAnsi="Garamond" w:cs="Times New Roman"/>
          <w:sz w:val="24"/>
          <w:szCs w:val="24"/>
        </w:rPr>
        <w:t>A mio avviso</w:t>
      </w:r>
      <w:r w:rsidR="005122EC">
        <w:rPr>
          <w:rFonts w:ascii="Garamond" w:hAnsi="Garamond" w:cs="Times New Roman"/>
          <w:sz w:val="24"/>
          <w:szCs w:val="24"/>
        </w:rPr>
        <w:t>,</w:t>
      </w:r>
      <w:r w:rsidRPr="006F61C8">
        <w:rPr>
          <w:rFonts w:ascii="Garamond" w:hAnsi="Garamond" w:cs="Times New Roman"/>
          <w:sz w:val="24"/>
          <w:szCs w:val="24"/>
        </w:rPr>
        <w:t xml:space="preserve"> da questa breve esposizione sui criteri di redazione delle Rassegne monotematiche</w:t>
      </w:r>
      <w:r w:rsidR="005122EC">
        <w:rPr>
          <w:rFonts w:ascii="Garamond" w:hAnsi="Garamond" w:cs="Times New Roman"/>
          <w:sz w:val="24"/>
          <w:szCs w:val="24"/>
        </w:rPr>
        <w:t xml:space="preserve">, </w:t>
      </w:r>
      <w:r w:rsidRPr="006F61C8">
        <w:rPr>
          <w:rFonts w:ascii="Garamond" w:hAnsi="Garamond" w:cs="Times New Roman"/>
          <w:sz w:val="24"/>
          <w:szCs w:val="24"/>
        </w:rPr>
        <w:t>può trarsi una indicazione generale</w:t>
      </w:r>
      <w:r w:rsidR="00C17561" w:rsidRPr="006F61C8">
        <w:rPr>
          <w:rFonts w:ascii="Garamond" w:hAnsi="Garamond" w:cs="Times New Roman"/>
          <w:sz w:val="24"/>
          <w:szCs w:val="24"/>
        </w:rPr>
        <w:t xml:space="preserve">, tornando alla premessa da cui si è partiti, sull’attualità di questo strumento, che, lungi dall’essere una concatenazione </w:t>
      </w:r>
      <w:r w:rsidR="00865DFF" w:rsidRPr="006F61C8">
        <w:rPr>
          <w:rFonts w:ascii="Garamond" w:hAnsi="Garamond" w:cs="Times New Roman"/>
          <w:sz w:val="24"/>
          <w:szCs w:val="24"/>
        </w:rPr>
        <w:t xml:space="preserve">delle sentenze pubblicate in un dato arco temporale su una data materia – attività certamente surrogabile da sistemi di intelligenza artificiale – si caratterizza per essere una </w:t>
      </w:r>
      <w:r w:rsidR="00CC6F20">
        <w:rPr>
          <w:rFonts w:ascii="Garamond" w:hAnsi="Garamond" w:cs="Times New Roman"/>
          <w:sz w:val="24"/>
          <w:szCs w:val="24"/>
        </w:rPr>
        <w:t>ricomposizione</w:t>
      </w:r>
      <w:r w:rsidR="00865DFF" w:rsidRPr="006F61C8">
        <w:rPr>
          <w:rFonts w:ascii="Garamond" w:hAnsi="Garamond" w:cs="Times New Roman"/>
          <w:sz w:val="24"/>
          <w:szCs w:val="24"/>
        </w:rPr>
        <w:t xml:space="preserve"> </w:t>
      </w:r>
      <w:r w:rsidR="00F81A32" w:rsidRPr="006F61C8">
        <w:rPr>
          <w:rFonts w:ascii="Garamond" w:hAnsi="Garamond" w:cs="Times New Roman"/>
          <w:sz w:val="24"/>
          <w:szCs w:val="24"/>
        </w:rPr>
        <w:t xml:space="preserve">della giurisprudenza che consente al lettore di ricostruire compiutamente una data materia nel rispetto dei canoni di logica giuridica che presiedono, peraltro essi stessi, la redazione di una sentenza. </w:t>
      </w:r>
    </w:p>
    <w:p w14:paraId="6502C0E8" w14:textId="4EDC9336" w:rsidR="00F81A32" w:rsidRPr="006F61C8" w:rsidRDefault="00F81A32" w:rsidP="005122EC">
      <w:pPr>
        <w:spacing w:line="360" w:lineRule="auto"/>
        <w:jc w:val="both"/>
        <w:rPr>
          <w:rFonts w:ascii="Garamond" w:hAnsi="Garamond" w:cs="Times New Roman"/>
          <w:sz w:val="24"/>
          <w:szCs w:val="24"/>
        </w:rPr>
      </w:pPr>
      <w:r w:rsidRPr="006F61C8">
        <w:rPr>
          <w:rFonts w:ascii="Garamond" w:hAnsi="Garamond" w:cs="Times New Roman"/>
          <w:sz w:val="24"/>
          <w:szCs w:val="24"/>
        </w:rPr>
        <w:t>Le questioni vengono infatti affrontate non già in relazione al mero criterio cronologico di pubblicazione delle decisioni o, al più, per ambiti della materia</w:t>
      </w:r>
      <w:r w:rsidR="00753DF1" w:rsidRPr="006F61C8">
        <w:rPr>
          <w:rFonts w:ascii="Garamond" w:hAnsi="Garamond" w:cs="Times New Roman"/>
          <w:sz w:val="24"/>
          <w:szCs w:val="24"/>
        </w:rPr>
        <w:t xml:space="preserve"> assegnando a ciascuna decisione un suo sottosettore e ivi inserendola nella sua compiutezza. </w:t>
      </w:r>
    </w:p>
    <w:p w14:paraId="7CCC2278" w14:textId="03005AAD" w:rsidR="00753DF1" w:rsidRPr="006F61C8" w:rsidRDefault="00753DF1"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L’attività, che muove da un compiuto esame di tutto il materiale giurisprudenziale ricercato in base ai criteri di cui al par. 6.3. degli </w:t>
      </w:r>
      <w:r w:rsidRPr="006F61C8">
        <w:rPr>
          <w:rFonts w:ascii="Garamond" w:hAnsi="Garamond" w:cs="Times New Roman"/>
          <w:i/>
          <w:iCs/>
          <w:sz w:val="24"/>
          <w:szCs w:val="24"/>
        </w:rPr>
        <w:t>Standard</w:t>
      </w:r>
      <w:r w:rsidRPr="006F61C8">
        <w:rPr>
          <w:rFonts w:ascii="Garamond" w:hAnsi="Garamond" w:cs="Times New Roman"/>
          <w:sz w:val="24"/>
          <w:szCs w:val="24"/>
        </w:rPr>
        <w:t xml:space="preserve">, </w:t>
      </w:r>
      <w:r w:rsidR="001871E6" w:rsidRPr="006F61C8">
        <w:rPr>
          <w:rFonts w:ascii="Garamond" w:hAnsi="Garamond" w:cs="Times New Roman"/>
          <w:sz w:val="24"/>
          <w:szCs w:val="24"/>
        </w:rPr>
        <w:t>impone dapprima di estrapolare tutti gli argomenti che la giurisprudenza ha analizzato, ordinarli secondo le regole che governano l’ermeneutica giuridica (se si vuole</w:t>
      </w:r>
      <w:r w:rsidR="004858D5">
        <w:rPr>
          <w:rFonts w:ascii="Garamond" w:hAnsi="Garamond" w:cs="Times New Roman"/>
          <w:sz w:val="24"/>
          <w:szCs w:val="24"/>
        </w:rPr>
        <w:t>:</w:t>
      </w:r>
      <w:r w:rsidR="001871E6" w:rsidRPr="006F61C8">
        <w:rPr>
          <w:rFonts w:ascii="Garamond" w:hAnsi="Garamond" w:cs="Times New Roman"/>
          <w:sz w:val="24"/>
          <w:szCs w:val="24"/>
        </w:rPr>
        <w:t xml:space="preserve"> concetti fondamentali, principi, casistica) e solo poi – qui, si ritiene, il grande lavoro dell’interprete – le decisioni oggetto di </w:t>
      </w:r>
      <w:r w:rsidR="004858D5">
        <w:rPr>
          <w:rFonts w:ascii="Garamond" w:hAnsi="Garamond" w:cs="Times New Roman"/>
          <w:sz w:val="24"/>
          <w:szCs w:val="24"/>
        </w:rPr>
        <w:t>r</w:t>
      </w:r>
      <w:r w:rsidR="001871E6" w:rsidRPr="006F61C8">
        <w:rPr>
          <w:rFonts w:ascii="Garamond" w:hAnsi="Garamond" w:cs="Times New Roman"/>
          <w:sz w:val="24"/>
          <w:szCs w:val="24"/>
        </w:rPr>
        <w:t xml:space="preserve">assegna vengono sostanzialmente destrutturate e ricostruite in seno alla </w:t>
      </w:r>
      <w:r w:rsidR="004858D5">
        <w:rPr>
          <w:rFonts w:ascii="Garamond" w:hAnsi="Garamond" w:cs="Times New Roman"/>
          <w:sz w:val="24"/>
          <w:szCs w:val="24"/>
        </w:rPr>
        <w:t>r</w:t>
      </w:r>
      <w:r w:rsidR="001871E6" w:rsidRPr="006F61C8">
        <w:rPr>
          <w:rFonts w:ascii="Garamond" w:hAnsi="Garamond" w:cs="Times New Roman"/>
          <w:sz w:val="24"/>
          <w:szCs w:val="24"/>
        </w:rPr>
        <w:t>assegna</w:t>
      </w:r>
      <w:r w:rsidR="004858D5">
        <w:rPr>
          <w:rFonts w:ascii="Garamond" w:hAnsi="Garamond" w:cs="Times New Roman"/>
          <w:sz w:val="24"/>
          <w:szCs w:val="24"/>
        </w:rPr>
        <w:t xml:space="preserve"> stessa</w:t>
      </w:r>
      <w:r w:rsidR="001871E6" w:rsidRPr="006F61C8">
        <w:rPr>
          <w:rFonts w:ascii="Garamond" w:hAnsi="Garamond" w:cs="Times New Roman"/>
          <w:sz w:val="24"/>
          <w:szCs w:val="24"/>
        </w:rPr>
        <w:t xml:space="preserve"> secondo i parametri che si sono descritti. </w:t>
      </w:r>
    </w:p>
    <w:p w14:paraId="206B698B" w14:textId="22DD3E40" w:rsidR="001871E6" w:rsidRPr="006F61C8" w:rsidRDefault="001871E6" w:rsidP="005122EC">
      <w:pPr>
        <w:spacing w:line="360" w:lineRule="auto"/>
        <w:jc w:val="both"/>
        <w:rPr>
          <w:rFonts w:ascii="Garamond" w:hAnsi="Garamond" w:cs="Times New Roman"/>
          <w:sz w:val="24"/>
          <w:szCs w:val="24"/>
        </w:rPr>
      </w:pPr>
      <w:r w:rsidRPr="006F61C8">
        <w:rPr>
          <w:rFonts w:ascii="Garamond" w:hAnsi="Garamond" w:cs="Times New Roman"/>
          <w:sz w:val="24"/>
          <w:szCs w:val="24"/>
        </w:rPr>
        <w:t>Viene così a crearsi un nuovo materiale giurisprudenziale, che è altro rispetto</w:t>
      </w:r>
      <w:r w:rsidR="0098589B" w:rsidRPr="006F61C8">
        <w:rPr>
          <w:rFonts w:ascii="Garamond" w:hAnsi="Garamond" w:cs="Times New Roman"/>
          <w:sz w:val="24"/>
          <w:szCs w:val="24"/>
        </w:rPr>
        <w:t xml:space="preserve"> alle stesse decisioni</w:t>
      </w:r>
      <w:r w:rsidR="00697E39" w:rsidRPr="006F61C8">
        <w:rPr>
          <w:rFonts w:ascii="Garamond" w:hAnsi="Garamond" w:cs="Times New Roman"/>
          <w:sz w:val="24"/>
          <w:szCs w:val="24"/>
        </w:rPr>
        <w:t xml:space="preserve"> singolarmente considerate o alla loro mera collazione</w:t>
      </w:r>
      <w:r w:rsidRPr="006F61C8">
        <w:rPr>
          <w:rFonts w:ascii="Garamond" w:hAnsi="Garamond" w:cs="Times New Roman"/>
          <w:sz w:val="24"/>
          <w:szCs w:val="24"/>
        </w:rPr>
        <w:t xml:space="preserve">, ma dovrebbe </w:t>
      </w:r>
      <w:r w:rsidR="00697E39" w:rsidRPr="006F61C8">
        <w:rPr>
          <w:rFonts w:ascii="Garamond" w:hAnsi="Garamond" w:cs="Times New Roman"/>
          <w:sz w:val="24"/>
          <w:szCs w:val="24"/>
        </w:rPr>
        <w:t xml:space="preserve">offrire una visuale “dall’alto”, complessiva e che potrebbe ben essere ignota ai singoli collegi giudicanti al momento dell’assunzione della decisione, della ricostruzione della materia </w:t>
      </w:r>
      <w:r w:rsidR="00B91D1A" w:rsidRPr="006F61C8">
        <w:rPr>
          <w:rFonts w:ascii="Garamond" w:hAnsi="Garamond" w:cs="Times New Roman"/>
          <w:sz w:val="24"/>
          <w:szCs w:val="24"/>
        </w:rPr>
        <w:t xml:space="preserve">che pure costituisce la base di ciascuna delle sentenze. </w:t>
      </w:r>
    </w:p>
    <w:p w14:paraId="3EDAE624" w14:textId="3F82A522" w:rsidR="00B91D1A" w:rsidRPr="006F61C8" w:rsidRDefault="00B91D1A"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In tal modo, si auspica e si crede, si può offrire una lettura coordinata, secondo criteri di logica giuridica, della giurisprudenza, in particolare delle Corti superiori, di una materia, </w:t>
      </w:r>
      <w:r w:rsidR="008F2ED0" w:rsidRPr="006F61C8">
        <w:rPr>
          <w:rFonts w:ascii="Garamond" w:hAnsi="Garamond" w:cs="Times New Roman"/>
          <w:sz w:val="24"/>
          <w:szCs w:val="24"/>
        </w:rPr>
        <w:t xml:space="preserve">che consenta di coglierne i profili fondamentali e la loro applicazione alla più stretta casistica, </w:t>
      </w:r>
      <w:proofErr w:type="spellStart"/>
      <w:r w:rsidR="00EC4DA8">
        <w:rPr>
          <w:rFonts w:ascii="Garamond" w:hAnsi="Garamond" w:cs="Times New Roman"/>
          <w:sz w:val="24"/>
          <w:szCs w:val="24"/>
        </w:rPr>
        <w:t>nonchè</w:t>
      </w:r>
      <w:proofErr w:type="spellEnd"/>
      <w:r w:rsidR="008F2ED0" w:rsidRPr="006F61C8">
        <w:rPr>
          <w:rFonts w:ascii="Garamond" w:hAnsi="Garamond" w:cs="Times New Roman"/>
          <w:sz w:val="24"/>
          <w:szCs w:val="24"/>
        </w:rPr>
        <w:t xml:space="preserve"> eventuali aporie</w:t>
      </w:r>
      <w:r w:rsidR="00EC4DA8">
        <w:rPr>
          <w:rFonts w:ascii="Garamond" w:hAnsi="Garamond" w:cs="Times New Roman"/>
          <w:sz w:val="24"/>
          <w:szCs w:val="24"/>
        </w:rPr>
        <w:t xml:space="preserve"> e contrasti.</w:t>
      </w:r>
      <w:r w:rsidR="008F2ED0" w:rsidRPr="006F61C8">
        <w:rPr>
          <w:rFonts w:ascii="Garamond" w:hAnsi="Garamond" w:cs="Times New Roman"/>
          <w:sz w:val="24"/>
          <w:szCs w:val="24"/>
        </w:rPr>
        <w:t xml:space="preserve"> </w:t>
      </w:r>
    </w:p>
    <w:p w14:paraId="009E2AC6" w14:textId="084E1071" w:rsidR="008F2ED0" w:rsidRPr="006F61C8" w:rsidRDefault="004537CA" w:rsidP="005122EC">
      <w:pPr>
        <w:spacing w:line="360" w:lineRule="auto"/>
        <w:jc w:val="both"/>
        <w:rPr>
          <w:rFonts w:ascii="Garamond" w:hAnsi="Garamond" w:cs="Times New Roman"/>
          <w:sz w:val="24"/>
          <w:szCs w:val="24"/>
        </w:rPr>
      </w:pPr>
      <w:r w:rsidRPr="006F61C8">
        <w:rPr>
          <w:rFonts w:ascii="Garamond" w:hAnsi="Garamond" w:cs="Times New Roman"/>
          <w:sz w:val="24"/>
          <w:szCs w:val="24"/>
        </w:rPr>
        <w:lastRenderedPageBreak/>
        <w:t xml:space="preserve">Volendo esemplificare e prima di illustrare, in chiusura, una particolare Rassegna che l’Ufficio ha costruito e che, si ritiene, ben faccia emergere, al massimo livello, tutti i profili generali qui descritti, </w:t>
      </w:r>
      <w:r w:rsidR="00103AB3" w:rsidRPr="006F61C8">
        <w:rPr>
          <w:rFonts w:ascii="Garamond" w:hAnsi="Garamond" w:cs="Times New Roman"/>
          <w:sz w:val="24"/>
          <w:szCs w:val="24"/>
        </w:rPr>
        <w:t xml:space="preserve">si può porre mente, ad esempio, alla Rassegna monotematica dell’Ufficio del massimario sul </w:t>
      </w:r>
      <w:r w:rsidR="00103AB3" w:rsidRPr="00EC4DA8">
        <w:rPr>
          <w:rFonts w:ascii="Garamond" w:hAnsi="Garamond" w:cs="Times New Roman"/>
          <w:i/>
          <w:iCs/>
          <w:sz w:val="24"/>
          <w:szCs w:val="24"/>
        </w:rPr>
        <w:t xml:space="preserve">Risarcimento del danno </w:t>
      </w:r>
      <w:r w:rsidR="00E7280F" w:rsidRPr="00EC4DA8">
        <w:rPr>
          <w:rFonts w:ascii="Garamond" w:hAnsi="Garamond" w:cs="Times New Roman"/>
          <w:i/>
          <w:iCs/>
          <w:sz w:val="24"/>
          <w:szCs w:val="24"/>
        </w:rPr>
        <w:t>davanti al giudice amministrativo</w:t>
      </w:r>
      <w:r w:rsidR="00E7280F" w:rsidRPr="006F61C8">
        <w:rPr>
          <w:rStyle w:val="Rimandonotaapidipagina"/>
          <w:rFonts w:ascii="Garamond" w:hAnsi="Garamond" w:cs="Times New Roman"/>
          <w:sz w:val="24"/>
          <w:szCs w:val="24"/>
        </w:rPr>
        <w:footnoteReference w:id="14"/>
      </w:r>
      <w:r w:rsidR="00E7280F" w:rsidRPr="006F61C8">
        <w:rPr>
          <w:rFonts w:ascii="Garamond" w:hAnsi="Garamond" w:cs="Times New Roman"/>
          <w:sz w:val="24"/>
          <w:szCs w:val="24"/>
        </w:rPr>
        <w:t xml:space="preserve">, che, proprio a seguire quanto sin qui esposto, si articola in tre Sezioni: </w:t>
      </w:r>
      <w:r w:rsidR="00EC4DA8">
        <w:rPr>
          <w:rFonts w:ascii="Garamond" w:hAnsi="Garamond" w:cs="Times New Roman"/>
          <w:sz w:val="24"/>
          <w:szCs w:val="24"/>
        </w:rPr>
        <w:t>u</w:t>
      </w:r>
      <w:r w:rsidR="00E7280F" w:rsidRPr="006F61C8">
        <w:rPr>
          <w:rFonts w:ascii="Garamond" w:hAnsi="Garamond" w:cs="Times New Roman"/>
          <w:sz w:val="24"/>
          <w:szCs w:val="24"/>
        </w:rPr>
        <w:t xml:space="preserve">na prima, </w:t>
      </w:r>
      <w:r w:rsidR="001360AB" w:rsidRPr="006F61C8">
        <w:rPr>
          <w:rFonts w:ascii="Garamond" w:hAnsi="Garamond" w:cs="Times New Roman"/>
          <w:sz w:val="24"/>
          <w:szCs w:val="24"/>
        </w:rPr>
        <w:t xml:space="preserve">nella quale si ricostruiscono gli elementi fondamentali e costitutivi della responsabilità civile della pubblica amministrazione (natura, elemento oggettivo, nesso di causalità, elemento soggettivo, tipologie di danno evento, danno conseguenza…); una seconda </w:t>
      </w:r>
      <w:r w:rsidR="0084358E" w:rsidRPr="006F61C8">
        <w:rPr>
          <w:rFonts w:ascii="Garamond" w:hAnsi="Garamond" w:cs="Times New Roman"/>
          <w:sz w:val="24"/>
          <w:szCs w:val="24"/>
        </w:rPr>
        <w:t>dedicata alle questioni processuali; una terza sezione, di stretta casistica</w:t>
      </w:r>
      <w:r w:rsidR="00B81A8F" w:rsidRPr="006F61C8">
        <w:rPr>
          <w:rFonts w:ascii="Garamond" w:hAnsi="Garamond" w:cs="Times New Roman"/>
          <w:sz w:val="24"/>
          <w:szCs w:val="24"/>
        </w:rPr>
        <w:t xml:space="preserve"> (responsabilità civile del legislatore, attività di polizia giudiziaria, edilizia e urbanistica, ambiente…).</w:t>
      </w:r>
    </w:p>
    <w:p w14:paraId="6575024B" w14:textId="0213D276" w:rsidR="00B81A8F" w:rsidRPr="006F61C8" w:rsidRDefault="00B81A8F" w:rsidP="005122EC">
      <w:pPr>
        <w:spacing w:line="360" w:lineRule="auto"/>
        <w:jc w:val="both"/>
        <w:rPr>
          <w:rFonts w:ascii="Garamond" w:hAnsi="Garamond" w:cs="Times New Roman"/>
          <w:sz w:val="24"/>
          <w:szCs w:val="24"/>
        </w:rPr>
      </w:pPr>
      <w:r w:rsidRPr="006F61C8">
        <w:rPr>
          <w:rFonts w:ascii="Garamond" w:hAnsi="Garamond" w:cs="Times New Roman"/>
          <w:sz w:val="24"/>
          <w:szCs w:val="24"/>
        </w:rPr>
        <w:t>La tematica viene così analizzata attraverso la destrutturazione delle sentenze prescelte, i cui passaggi riferiti alle singole questioni, generali o di dettaglio da affrontare, vengono</w:t>
      </w:r>
      <w:r w:rsidR="005710DB" w:rsidRPr="006F61C8">
        <w:rPr>
          <w:rFonts w:ascii="Garamond" w:hAnsi="Garamond" w:cs="Times New Roman"/>
          <w:sz w:val="24"/>
          <w:szCs w:val="24"/>
        </w:rPr>
        <w:t xml:space="preserve"> poi ricostruiti attraverso l’inserimento nell’apposito paragrafo in seno alla </w:t>
      </w:r>
      <w:r w:rsidR="00EC4DA8">
        <w:rPr>
          <w:rFonts w:ascii="Garamond" w:hAnsi="Garamond" w:cs="Times New Roman"/>
          <w:sz w:val="24"/>
          <w:szCs w:val="24"/>
        </w:rPr>
        <w:t>r</w:t>
      </w:r>
      <w:r w:rsidR="005710DB" w:rsidRPr="006F61C8">
        <w:rPr>
          <w:rFonts w:ascii="Garamond" w:hAnsi="Garamond" w:cs="Times New Roman"/>
          <w:sz w:val="24"/>
          <w:szCs w:val="24"/>
        </w:rPr>
        <w:t>assegna; in altre parole, ciascuna sentenza potrà essere oggetto di rilievo sotto diversi profili e tendenzialmente questo avviene, in quanto</w:t>
      </w:r>
      <w:r w:rsidR="00EC4DA8">
        <w:rPr>
          <w:rFonts w:ascii="Garamond" w:hAnsi="Garamond" w:cs="Times New Roman"/>
          <w:sz w:val="24"/>
          <w:szCs w:val="24"/>
        </w:rPr>
        <w:t>,</w:t>
      </w:r>
      <w:r w:rsidR="005710DB" w:rsidRPr="006F61C8">
        <w:rPr>
          <w:rFonts w:ascii="Garamond" w:hAnsi="Garamond" w:cs="Times New Roman"/>
          <w:sz w:val="24"/>
          <w:szCs w:val="24"/>
        </w:rPr>
        <w:t xml:space="preserve"> dettate alcune coordinate generali rilevanti, la sentenza poi ne fa applicazione rispetto ad una fattispecie concreta. </w:t>
      </w:r>
    </w:p>
    <w:p w14:paraId="4DAB45EF" w14:textId="2E473A5B" w:rsidR="005710DB" w:rsidRPr="006F61C8" w:rsidRDefault="005710DB"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Ecco che dunque mi pare si possa cogliere la peculiarità di questo strumento e, auspicabilmente, la sua utilità: </w:t>
      </w:r>
      <w:r w:rsidR="001B0FBE" w:rsidRPr="006F61C8">
        <w:rPr>
          <w:rFonts w:ascii="Garamond" w:hAnsi="Garamond" w:cs="Times New Roman"/>
          <w:sz w:val="24"/>
          <w:szCs w:val="24"/>
        </w:rPr>
        <w:t xml:space="preserve">il materiale giurisprudenziale </w:t>
      </w:r>
      <w:r w:rsidR="00EC4DA8">
        <w:rPr>
          <w:rFonts w:ascii="Garamond" w:hAnsi="Garamond" w:cs="Times New Roman"/>
          <w:sz w:val="24"/>
          <w:szCs w:val="24"/>
        </w:rPr>
        <w:t xml:space="preserve">su </w:t>
      </w:r>
      <w:r w:rsidR="001B0FBE" w:rsidRPr="006F61C8">
        <w:rPr>
          <w:rFonts w:ascii="Garamond" w:hAnsi="Garamond" w:cs="Times New Roman"/>
          <w:sz w:val="24"/>
          <w:szCs w:val="24"/>
        </w:rPr>
        <w:t xml:space="preserve">una tematica, spesso informe, viene riorganizzato attraverso </w:t>
      </w:r>
      <w:r w:rsidR="00F43048" w:rsidRPr="006F61C8">
        <w:rPr>
          <w:rFonts w:ascii="Garamond" w:hAnsi="Garamond" w:cs="Times New Roman"/>
          <w:sz w:val="24"/>
          <w:szCs w:val="24"/>
        </w:rPr>
        <w:t>l’individuazione degli elementi rilevanti per l’interprete (appunto</w:t>
      </w:r>
      <w:r w:rsidR="00EC4DA8">
        <w:rPr>
          <w:rFonts w:ascii="Garamond" w:hAnsi="Garamond" w:cs="Times New Roman"/>
          <w:sz w:val="24"/>
          <w:szCs w:val="24"/>
        </w:rPr>
        <w:t>:</w:t>
      </w:r>
      <w:r w:rsidR="00F43048" w:rsidRPr="006F61C8">
        <w:rPr>
          <w:rFonts w:ascii="Garamond" w:hAnsi="Garamond" w:cs="Times New Roman"/>
          <w:sz w:val="24"/>
          <w:szCs w:val="24"/>
        </w:rPr>
        <w:t xml:space="preserve"> concetti fondamentali, principi, casistica) e ricostruito </w:t>
      </w:r>
      <w:r w:rsidR="00537AE4" w:rsidRPr="006F61C8">
        <w:rPr>
          <w:rFonts w:ascii="Garamond" w:hAnsi="Garamond" w:cs="Times New Roman"/>
          <w:sz w:val="24"/>
          <w:szCs w:val="24"/>
        </w:rPr>
        <w:t>attraverso questa nuova forma, che restituisce un prodotto caratterizzato da una sua autonomia.</w:t>
      </w:r>
    </w:p>
    <w:p w14:paraId="32F08BF7" w14:textId="588A1E73" w:rsidR="00896A49" w:rsidRPr="006F61C8" w:rsidRDefault="008F2ED0" w:rsidP="005122EC">
      <w:pPr>
        <w:spacing w:line="360" w:lineRule="auto"/>
        <w:jc w:val="both"/>
        <w:rPr>
          <w:rFonts w:ascii="Garamond" w:hAnsi="Garamond" w:cs="Times New Roman"/>
          <w:b/>
          <w:bCs/>
          <w:sz w:val="24"/>
          <w:szCs w:val="24"/>
        </w:rPr>
      </w:pPr>
      <w:r w:rsidRPr="006F61C8">
        <w:rPr>
          <w:rFonts w:ascii="Garamond" w:hAnsi="Garamond" w:cs="Times New Roman"/>
          <w:b/>
          <w:bCs/>
          <w:sz w:val="24"/>
          <w:szCs w:val="24"/>
        </w:rPr>
        <w:t>4</w:t>
      </w:r>
      <w:r w:rsidR="00896A49" w:rsidRPr="006F61C8">
        <w:rPr>
          <w:rFonts w:ascii="Garamond" w:hAnsi="Garamond" w:cs="Times New Roman"/>
          <w:b/>
          <w:bCs/>
          <w:sz w:val="24"/>
          <w:szCs w:val="24"/>
        </w:rPr>
        <w:t>.1. Rassegne sulla giurisprudenza dell’Adunanza plenaria.</w:t>
      </w:r>
    </w:p>
    <w:p w14:paraId="61E8B407" w14:textId="3E9DD9A1" w:rsidR="006D2E77" w:rsidRPr="006F61C8" w:rsidRDefault="006D2E77" w:rsidP="005122EC">
      <w:pPr>
        <w:spacing w:line="360" w:lineRule="auto"/>
        <w:jc w:val="both"/>
        <w:rPr>
          <w:rFonts w:ascii="Garamond" w:hAnsi="Garamond" w:cs="Times New Roman"/>
          <w:sz w:val="24"/>
          <w:szCs w:val="24"/>
        </w:rPr>
      </w:pPr>
      <w:r w:rsidRPr="006F61C8">
        <w:rPr>
          <w:rFonts w:ascii="Garamond" w:hAnsi="Garamond" w:cs="Times New Roman"/>
          <w:sz w:val="24"/>
          <w:szCs w:val="24"/>
        </w:rPr>
        <w:t>La rilevanza delle attività sin qui descritte è acuita con riferimento alla giurisprudenza dell’organo nomofilattico della giustizia amministrativa, l’Adunanza plenaria del Consiglio di Stato</w:t>
      </w:r>
      <w:r w:rsidR="00443F42" w:rsidRPr="006F61C8">
        <w:rPr>
          <w:rStyle w:val="Rimandonotaapidipagina"/>
          <w:rFonts w:ascii="Garamond" w:hAnsi="Garamond" w:cs="Times New Roman"/>
          <w:sz w:val="24"/>
          <w:szCs w:val="24"/>
        </w:rPr>
        <w:footnoteReference w:id="15"/>
      </w:r>
      <w:r w:rsidRPr="006F61C8">
        <w:rPr>
          <w:rFonts w:ascii="Garamond" w:hAnsi="Garamond" w:cs="Times New Roman"/>
          <w:sz w:val="24"/>
          <w:szCs w:val="24"/>
        </w:rPr>
        <w:t xml:space="preserve">. </w:t>
      </w:r>
    </w:p>
    <w:p w14:paraId="03FCBFAF" w14:textId="62AEC1F7" w:rsidR="00537AE4" w:rsidRPr="006F61C8" w:rsidRDefault="006D2E77"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Ora, </w:t>
      </w:r>
      <w:r w:rsidR="00537AE4" w:rsidRPr="006F61C8">
        <w:rPr>
          <w:rFonts w:ascii="Garamond" w:hAnsi="Garamond" w:cs="Times New Roman"/>
          <w:sz w:val="24"/>
          <w:szCs w:val="24"/>
        </w:rPr>
        <w:t xml:space="preserve">credo che </w:t>
      </w:r>
      <w:r w:rsidR="00443F42" w:rsidRPr="006F61C8">
        <w:rPr>
          <w:rFonts w:ascii="Garamond" w:hAnsi="Garamond" w:cs="Times New Roman"/>
          <w:sz w:val="24"/>
          <w:szCs w:val="24"/>
        </w:rPr>
        <w:t>fung</w:t>
      </w:r>
      <w:r w:rsidR="00537AE4" w:rsidRPr="006F61C8">
        <w:rPr>
          <w:rFonts w:ascii="Garamond" w:hAnsi="Garamond" w:cs="Times New Roman"/>
          <w:sz w:val="24"/>
          <w:szCs w:val="24"/>
        </w:rPr>
        <w:t>a</w:t>
      </w:r>
      <w:r w:rsidR="00443F42" w:rsidRPr="006F61C8">
        <w:rPr>
          <w:rFonts w:ascii="Garamond" w:hAnsi="Garamond" w:cs="Times New Roman"/>
          <w:sz w:val="24"/>
          <w:szCs w:val="24"/>
        </w:rPr>
        <w:t xml:space="preserve"> da cartina al tornasol</w:t>
      </w:r>
      <w:r w:rsidR="00537AE4" w:rsidRPr="006F61C8">
        <w:rPr>
          <w:rFonts w:ascii="Garamond" w:hAnsi="Garamond" w:cs="Times New Roman"/>
          <w:sz w:val="24"/>
          <w:szCs w:val="24"/>
        </w:rPr>
        <w:t>e</w:t>
      </w:r>
      <w:r w:rsidR="00EC4DA8">
        <w:rPr>
          <w:rFonts w:ascii="Garamond" w:hAnsi="Garamond" w:cs="Times New Roman"/>
          <w:sz w:val="24"/>
          <w:szCs w:val="24"/>
        </w:rPr>
        <w:t xml:space="preserve"> di quanto sin qui detto</w:t>
      </w:r>
      <w:r w:rsidR="00537AE4" w:rsidRPr="006F61C8">
        <w:rPr>
          <w:rFonts w:ascii="Garamond" w:hAnsi="Garamond" w:cs="Times New Roman"/>
          <w:sz w:val="24"/>
          <w:szCs w:val="24"/>
        </w:rPr>
        <w:t>, la Rassegna su</w:t>
      </w:r>
      <w:r w:rsidR="00EC4DA8">
        <w:rPr>
          <w:rFonts w:ascii="Garamond" w:hAnsi="Garamond" w:cs="Times New Roman"/>
          <w:sz w:val="24"/>
          <w:szCs w:val="24"/>
        </w:rPr>
        <w:t xml:space="preserve"> </w:t>
      </w:r>
      <w:r w:rsidR="00EC4DA8" w:rsidRPr="00EC4DA8">
        <w:rPr>
          <w:rFonts w:ascii="Garamond" w:hAnsi="Garamond" w:cs="Times New Roman"/>
          <w:i/>
          <w:iCs/>
          <w:sz w:val="24"/>
          <w:szCs w:val="24"/>
        </w:rPr>
        <w:t xml:space="preserve">Il </w:t>
      </w:r>
      <w:r w:rsidR="00537AE4" w:rsidRPr="00EC4DA8">
        <w:rPr>
          <w:rFonts w:ascii="Garamond" w:hAnsi="Garamond" w:cs="Times New Roman"/>
          <w:i/>
          <w:iCs/>
          <w:sz w:val="24"/>
          <w:szCs w:val="24"/>
        </w:rPr>
        <w:t>codice del processo amministrativo nell'elaborazione dell'Adunanza plenaria</w:t>
      </w:r>
      <w:r w:rsidR="00537AE4" w:rsidRPr="006F61C8">
        <w:rPr>
          <w:rStyle w:val="Rimandonotaapidipagina"/>
          <w:rFonts w:ascii="Garamond" w:hAnsi="Garamond" w:cs="Times New Roman"/>
          <w:sz w:val="24"/>
          <w:szCs w:val="24"/>
        </w:rPr>
        <w:footnoteReference w:id="16"/>
      </w:r>
      <w:r w:rsidR="00537AE4" w:rsidRPr="006F61C8">
        <w:rPr>
          <w:rFonts w:ascii="Garamond" w:hAnsi="Garamond" w:cs="Times New Roman"/>
          <w:sz w:val="24"/>
          <w:szCs w:val="24"/>
        </w:rPr>
        <w:t>, la quale credo rappresenti l</w:t>
      </w:r>
      <w:r w:rsidR="00EC4DA8">
        <w:rPr>
          <w:rFonts w:ascii="Garamond" w:hAnsi="Garamond" w:cs="Times New Roman"/>
          <w:sz w:val="24"/>
          <w:szCs w:val="24"/>
        </w:rPr>
        <w:t xml:space="preserve">a massima utilità e </w:t>
      </w:r>
      <w:r w:rsidR="00537AE4" w:rsidRPr="006F61C8">
        <w:rPr>
          <w:rFonts w:ascii="Garamond" w:hAnsi="Garamond" w:cs="Times New Roman"/>
          <w:sz w:val="24"/>
          <w:szCs w:val="24"/>
        </w:rPr>
        <w:t xml:space="preserve">attualità dello strumento, poiché abbina la funzionalità della rassegna alla portata nomofilattica delle pronunce della plenaria. </w:t>
      </w:r>
    </w:p>
    <w:p w14:paraId="1501477A" w14:textId="0C8BB34B" w:rsidR="00D630A8" w:rsidRPr="006F61C8" w:rsidRDefault="00D630A8" w:rsidP="005122EC">
      <w:pPr>
        <w:spacing w:line="360" w:lineRule="auto"/>
        <w:jc w:val="both"/>
        <w:rPr>
          <w:rFonts w:ascii="Garamond" w:hAnsi="Garamond" w:cs="Times New Roman"/>
          <w:sz w:val="24"/>
          <w:szCs w:val="24"/>
        </w:rPr>
      </w:pPr>
      <w:r w:rsidRPr="006F61C8">
        <w:rPr>
          <w:rFonts w:ascii="Garamond" w:hAnsi="Garamond" w:cs="Times New Roman"/>
          <w:sz w:val="24"/>
          <w:szCs w:val="24"/>
        </w:rPr>
        <w:t>Sotto questo profilo, la rassegna si caratterizza per alcuni profili di unicità</w:t>
      </w:r>
      <w:r w:rsidR="00843A3C" w:rsidRPr="006F61C8">
        <w:rPr>
          <w:rFonts w:ascii="Garamond" w:hAnsi="Garamond" w:cs="Times New Roman"/>
          <w:sz w:val="24"/>
          <w:szCs w:val="24"/>
        </w:rPr>
        <w:t>.</w:t>
      </w:r>
    </w:p>
    <w:p w14:paraId="6D1FD0E9" w14:textId="303CFFA3" w:rsidR="00D630A8" w:rsidRPr="006F61C8" w:rsidRDefault="00843A3C" w:rsidP="005122EC">
      <w:pPr>
        <w:spacing w:line="360" w:lineRule="auto"/>
        <w:jc w:val="both"/>
        <w:rPr>
          <w:rFonts w:ascii="Garamond" w:hAnsi="Garamond" w:cs="Times New Roman"/>
          <w:sz w:val="24"/>
          <w:szCs w:val="24"/>
        </w:rPr>
      </w:pPr>
      <w:r w:rsidRPr="006F61C8">
        <w:rPr>
          <w:rFonts w:ascii="Garamond" w:hAnsi="Garamond" w:cs="Times New Roman"/>
          <w:sz w:val="24"/>
          <w:szCs w:val="24"/>
        </w:rPr>
        <w:t>I</w:t>
      </w:r>
      <w:r w:rsidR="00D630A8" w:rsidRPr="006F61C8">
        <w:rPr>
          <w:rFonts w:ascii="Garamond" w:hAnsi="Garamond" w:cs="Times New Roman"/>
          <w:sz w:val="24"/>
          <w:szCs w:val="24"/>
        </w:rPr>
        <w:t>l primo è che affronta gli istituti del processo amministrativo rispettando la tassonomia manualistica, ricostruendo</w:t>
      </w:r>
      <w:r w:rsidR="00EC4DA8">
        <w:rPr>
          <w:rFonts w:ascii="Garamond" w:hAnsi="Garamond" w:cs="Times New Roman"/>
          <w:sz w:val="24"/>
          <w:szCs w:val="24"/>
        </w:rPr>
        <w:t xml:space="preserve"> </w:t>
      </w:r>
      <w:r w:rsidR="00D630A8" w:rsidRPr="006F61C8">
        <w:rPr>
          <w:rFonts w:ascii="Garamond" w:hAnsi="Garamond" w:cs="Times New Roman"/>
          <w:sz w:val="24"/>
          <w:szCs w:val="24"/>
        </w:rPr>
        <w:t xml:space="preserve">ciascuno </w:t>
      </w:r>
      <w:r w:rsidR="00EC4DA8">
        <w:rPr>
          <w:rFonts w:ascii="Garamond" w:hAnsi="Garamond" w:cs="Times New Roman"/>
          <w:sz w:val="24"/>
          <w:szCs w:val="24"/>
        </w:rPr>
        <w:t xml:space="preserve">di essi </w:t>
      </w:r>
      <w:r w:rsidR="00D630A8" w:rsidRPr="006F61C8">
        <w:rPr>
          <w:rFonts w:ascii="Garamond" w:hAnsi="Garamond" w:cs="Times New Roman"/>
          <w:sz w:val="24"/>
          <w:szCs w:val="24"/>
        </w:rPr>
        <w:t xml:space="preserve">attraverso le affermazioni rese dalle diverse plenarie che li hanno trattati; si </w:t>
      </w:r>
      <w:r w:rsidR="00D630A8" w:rsidRPr="006F61C8">
        <w:rPr>
          <w:rFonts w:ascii="Garamond" w:hAnsi="Garamond" w:cs="Times New Roman"/>
          <w:sz w:val="24"/>
          <w:szCs w:val="24"/>
        </w:rPr>
        <w:lastRenderedPageBreak/>
        <w:t xml:space="preserve">coglie perciò come non si passino in rassegna le sentenze cronologicamente o solo per gli argomenti </w:t>
      </w:r>
      <w:r w:rsidR="00CA67B4" w:rsidRPr="006F61C8">
        <w:rPr>
          <w:rFonts w:ascii="Garamond" w:hAnsi="Garamond" w:cs="Times New Roman"/>
          <w:sz w:val="24"/>
          <w:szCs w:val="24"/>
        </w:rPr>
        <w:t>“</w:t>
      </w:r>
      <w:r w:rsidR="00D630A8" w:rsidRPr="006F61C8">
        <w:rPr>
          <w:rFonts w:ascii="Garamond" w:hAnsi="Garamond" w:cs="Times New Roman"/>
          <w:sz w:val="24"/>
          <w:szCs w:val="24"/>
        </w:rPr>
        <w:t>centrali</w:t>
      </w:r>
      <w:r w:rsidR="00CA67B4" w:rsidRPr="006F61C8">
        <w:rPr>
          <w:rFonts w:ascii="Garamond" w:hAnsi="Garamond" w:cs="Times New Roman"/>
          <w:sz w:val="24"/>
          <w:szCs w:val="24"/>
        </w:rPr>
        <w:t>”</w:t>
      </w:r>
      <w:r w:rsidR="00D630A8" w:rsidRPr="006F61C8">
        <w:rPr>
          <w:rFonts w:ascii="Garamond" w:hAnsi="Garamond" w:cs="Times New Roman"/>
          <w:sz w:val="24"/>
          <w:szCs w:val="24"/>
        </w:rPr>
        <w:t xml:space="preserve"> che affrontano, ma le decisioni vengono destrutturate e ricostruite sulla base degli argomenti di interesse: per dirla semplice, un puzzle, che viene scomposto e ricomposto sotto questa diversa angolazione, cioè quella degli istituti e non del tempo o dell'argomento su cui si è pronunciata la plenaria con il principio di diritt</w:t>
      </w:r>
      <w:r w:rsidRPr="006F61C8">
        <w:rPr>
          <w:rFonts w:ascii="Garamond" w:hAnsi="Garamond" w:cs="Times New Roman"/>
          <w:sz w:val="24"/>
          <w:szCs w:val="24"/>
        </w:rPr>
        <w:t>o.</w:t>
      </w:r>
    </w:p>
    <w:p w14:paraId="789E6052" w14:textId="4CB4F385" w:rsidR="00D630A8" w:rsidRPr="006F61C8" w:rsidRDefault="00843A3C" w:rsidP="005122EC">
      <w:pPr>
        <w:spacing w:line="360" w:lineRule="auto"/>
        <w:jc w:val="both"/>
        <w:rPr>
          <w:rFonts w:ascii="Garamond" w:hAnsi="Garamond" w:cs="Times New Roman"/>
          <w:sz w:val="24"/>
          <w:szCs w:val="24"/>
        </w:rPr>
      </w:pPr>
      <w:r w:rsidRPr="006F61C8">
        <w:rPr>
          <w:rFonts w:ascii="Garamond" w:hAnsi="Garamond" w:cs="Times New Roman"/>
          <w:sz w:val="24"/>
          <w:szCs w:val="24"/>
        </w:rPr>
        <w:t>P</w:t>
      </w:r>
      <w:r w:rsidR="00D630A8" w:rsidRPr="006F61C8">
        <w:rPr>
          <w:rFonts w:ascii="Garamond" w:hAnsi="Garamond" w:cs="Times New Roman"/>
          <w:sz w:val="24"/>
          <w:szCs w:val="24"/>
        </w:rPr>
        <w:t xml:space="preserve">roprio sul principio di diritto, in stretta connessione, si coglie l'ulteriore caratteristica: la rassegna distingue i principi c.d. primari, cioè quelli affermati </w:t>
      </w:r>
      <w:r w:rsidR="00D630A8" w:rsidRPr="006F61C8">
        <w:rPr>
          <w:rFonts w:ascii="Garamond" w:hAnsi="Garamond" w:cs="Times New Roman"/>
          <w:i/>
          <w:iCs/>
          <w:sz w:val="24"/>
          <w:szCs w:val="24"/>
        </w:rPr>
        <w:t>ex</w:t>
      </w:r>
      <w:r w:rsidR="00D630A8" w:rsidRPr="006F61C8">
        <w:rPr>
          <w:rFonts w:ascii="Garamond" w:hAnsi="Garamond" w:cs="Times New Roman"/>
          <w:sz w:val="24"/>
          <w:szCs w:val="24"/>
        </w:rPr>
        <w:t xml:space="preserve"> art. 99, commi 4 e 5 </w:t>
      </w:r>
      <w:proofErr w:type="spellStart"/>
      <w:r w:rsidR="00D630A8" w:rsidRPr="006F61C8">
        <w:rPr>
          <w:rFonts w:ascii="Garamond" w:hAnsi="Garamond" w:cs="Times New Roman"/>
          <w:sz w:val="24"/>
          <w:szCs w:val="24"/>
        </w:rPr>
        <w:t>c.p.a</w:t>
      </w:r>
      <w:proofErr w:type="spellEnd"/>
      <w:r w:rsidR="00D630A8" w:rsidRPr="006F61C8">
        <w:rPr>
          <w:rFonts w:ascii="Garamond" w:hAnsi="Garamond" w:cs="Times New Roman"/>
          <w:sz w:val="24"/>
          <w:szCs w:val="24"/>
        </w:rPr>
        <w:t>., dunque vincolanti per le sezioni</w:t>
      </w:r>
      <w:r w:rsidR="00EC4DA8">
        <w:rPr>
          <w:rFonts w:ascii="Garamond" w:hAnsi="Garamond" w:cs="Times New Roman"/>
          <w:sz w:val="24"/>
          <w:szCs w:val="24"/>
        </w:rPr>
        <w:t xml:space="preserve"> semplici</w:t>
      </w:r>
      <w:r w:rsidR="00D630A8" w:rsidRPr="006F61C8">
        <w:rPr>
          <w:rFonts w:ascii="Garamond" w:hAnsi="Garamond" w:cs="Times New Roman"/>
          <w:sz w:val="24"/>
          <w:szCs w:val="24"/>
        </w:rPr>
        <w:t xml:space="preserve"> </w:t>
      </w:r>
      <w:r w:rsidR="00CA67B4" w:rsidRPr="006F61C8">
        <w:rPr>
          <w:rFonts w:ascii="Garamond" w:hAnsi="Garamond" w:cs="Times New Roman"/>
          <w:sz w:val="24"/>
          <w:szCs w:val="24"/>
        </w:rPr>
        <w:t>del Consiglio di Stato</w:t>
      </w:r>
      <w:r w:rsidR="00D630A8" w:rsidRPr="006F61C8">
        <w:rPr>
          <w:rFonts w:ascii="Garamond" w:hAnsi="Garamond" w:cs="Times New Roman"/>
          <w:sz w:val="24"/>
          <w:szCs w:val="24"/>
        </w:rPr>
        <w:t>, e i principi</w:t>
      </w:r>
      <w:r w:rsidR="00EC4DA8">
        <w:rPr>
          <w:rFonts w:ascii="Garamond" w:hAnsi="Garamond" w:cs="Times New Roman"/>
          <w:sz w:val="24"/>
          <w:szCs w:val="24"/>
        </w:rPr>
        <w:t xml:space="preserve">, </w:t>
      </w:r>
      <w:r w:rsidR="00D630A8" w:rsidRPr="006F61C8">
        <w:rPr>
          <w:rFonts w:ascii="Garamond" w:hAnsi="Garamond" w:cs="Times New Roman"/>
          <w:sz w:val="24"/>
          <w:szCs w:val="24"/>
        </w:rPr>
        <w:t xml:space="preserve">che definiamo secondari, che sono tutti quegli argomenti o </w:t>
      </w:r>
      <w:r w:rsidR="00D630A8" w:rsidRPr="006F61C8">
        <w:rPr>
          <w:rFonts w:ascii="Garamond" w:hAnsi="Garamond" w:cs="Times New Roman"/>
          <w:i/>
          <w:iCs/>
          <w:sz w:val="24"/>
          <w:szCs w:val="24"/>
        </w:rPr>
        <w:t>obiter</w:t>
      </w:r>
      <w:r w:rsidR="00D630A8" w:rsidRPr="006F61C8">
        <w:rPr>
          <w:rFonts w:ascii="Garamond" w:hAnsi="Garamond" w:cs="Times New Roman"/>
          <w:sz w:val="24"/>
          <w:szCs w:val="24"/>
        </w:rPr>
        <w:t xml:space="preserve"> su cui si esprimono le sentenze, che non hanno </w:t>
      </w:r>
      <w:r w:rsidR="00CA67B4" w:rsidRPr="006F61C8">
        <w:rPr>
          <w:rFonts w:ascii="Garamond" w:hAnsi="Garamond" w:cs="Times New Roman"/>
          <w:sz w:val="24"/>
          <w:szCs w:val="24"/>
        </w:rPr>
        <w:t>i</w:t>
      </w:r>
      <w:r w:rsidR="00D630A8" w:rsidRPr="006F61C8">
        <w:rPr>
          <w:rFonts w:ascii="Garamond" w:hAnsi="Garamond" w:cs="Times New Roman"/>
          <w:sz w:val="24"/>
          <w:szCs w:val="24"/>
        </w:rPr>
        <w:t xml:space="preserve">n realtà portata vincolante neppure per le sezioni </w:t>
      </w:r>
      <w:r w:rsidR="00CA67B4" w:rsidRPr="006F61C8">
        <w:rPr>
          <w:rFonts w:ascii="Garamond" w:hAnsi="Garamond" w:cs="Times New Roman"/>
          <w:sz w:val="24"/>
          <w:szCs w:val="24"/>
        </w:rPr>
        <w:t>semplici</w:t>
      </w:r>
      <w:r w:rsidR="00D630A8" w:rsidRPr="006F61C8">
        <w:rPr>
          <w:rFonts w:ascii="Garamond" w:hAnsi="Garamond" w:cs="Times New Roman"/>
          <w:sz w:val="24"/>
          <w:szCs w:val="24"/>
        </w:rPr>
        <w:t xml:space="preserve"> e su cui spesso si fa confusione. Sono proprio questi principi poi che consentono di ricostruire tutto il diritto processuale amministrativo secondo i criteri logico-giuridici che gli studiosi ci hanno consegnato, attraverso</w:t>
      </w:r>
      <w:r w:rsidR="00EC4DA8">
        <w:rPr>
          <w:rFonts w:ascii="Garamond" w:hAnsi="Garamond" w:cs="Times New Roman"/>
          <w:sz w:val="24"/>
          <w:szCs w:val="24"/>
        </w:rPr>
        <w:t xml:space="preserve">, </w:t>
      </w:r>
      <w:r w:rsidR="00D630A8" w:rsidRPr="006F61C8">
        <w:rPr>
          <w:rFonts w:ascii="Garamond" w:hAnsi="Garamond" w:cs="Times New Roman"/>
          <w:sz w:val="24"/>
          <w:szCs w:val="24"/>
        </w:rPr>
        <w:t>questa volta</w:t>
      </w:r>
      <w:r w:rsidR="00EC4DA8">
        <w:rPr>
          <w:rFonts w:ascii="Garamond" w:hAnsi="Garamond" w:cs="Times New Roman"/>
          <w:sz w:val="24"/>
          <w:szCs w:val="24"/>
        </w:rPr>
        <w:t>,</w:t>
      </w:r>
      <w:r w:rsidR="00D630A8" w:rsidRPr="006F61C8">
        <w:rPr>
          <w:rFonts w:ascii="Garamond" w:hAnsi="Garamond" w:cs="Times New Roman"/>
          <w:sz w:val="24"/>
          <w:szCs w:val="24"/>
        </w:rPr>
        <w:t xml:space="preserve"> le considerazioni dell'</w:t>
      </w:r>
      <w:r w:rsidR="00E33B56" w:rsidRPr="006F61C8">
        <w:rPr>
          <w:rFonts w:ascii="Garamond" w:hAnsi="Garamond" w:cs="Times New Roman"/>
          <w:sz w:val="24"/>
          <w:szCs w:val="24"/>
        </w:rPr>
        <w:t>A</w:t>
      </w:r>
      <w:r w:rsidR="00D630A8" w:rsidRPr="006F61C8">
        <w:rPr>
          <w:rFonts w:ascii="Garamond" w:hAnsi="Garamond" w:cs="Times New Roman"/>
          <w:sz w:val="24"/>
          <w:szCs w:val="24"/>
        </w:rPr>
        <w:t xml:space="preserve">dunanza plenaria. </w:t>
      </w:r>
    </w:p>
    <w:p w14:paraId="6EE2165C" w14:textId="77777777" w:rsidR="00D630A8" w:rsidRPr="006F61C8" w:rsidRDefault="00D630A8" w:rsidP="005122EC">
      <w:pPr>
        <w:spacing w:line="360" w:lineRule="auto"/>
        <w:jc w:val="both"/>
        <w:rPr>
          <w:rFonts w:ascii="Garamond" w:hAnsi="Garamond" w:cs="Times New Roman"/>
          <w:sz w:val="24"/>
          <w:szCs w:val="24"/>
        </w:rPr>
      </w:pPr>
      <w:r w:rsidRPr="006F61C8">
        <w:rPr>
          <w:rFonts w:ascii="Garamond" w:hAnsi="Garamond" w:cs="Times New Roman"/>
          <w:sz w:val="24"/>
          <w:szCs w:val="24"/>
        </w:rPr>
        <w:t>Chiari esempi di questo modello possono essere:</w:t>
      </w:r>
    </w:p>
    <w:p w14:paraId="7280A8E7" w14:textId="2D3811F2" w:rsidR="00D630A8" w:rsidRPr="006F61C8" w:rsidRDefault="00843A3C" w:rsidP="005122EC">
      <w:pPr>
        <w:spacing w:line="360" w:lineRule="auto"/>
        <w:jc w:val="both"/>
        <w:rPr>
          <w:rFonts w:ascii="Garamond" w:hAnsi="Garamond" w:cs="Times New Roman"/>
          <w:sz w:val="24"/>
          <w:szCs w:val="24"/>
        </w:rPr>
      </w:pPr>
      <w:r w:rsidRPr="006F61C8">
        <w:rPr>
          <w:rFonts w:ascii="Garamond" w:hAnsi="Garamond" w:cs="Times New Roman"/>
          <w:sz w:val="24"/>
          <w:szCs w:val="24"/>
        </w:rPr>
        <w:t>a</w:t>
      </w:r>
      <w:r w:rsidR="00D630A8" w:rsidRPr="006F61C8">
        <w:rPr>
          <w:rFonts w:ascii="Garamond" w:hAnsi="Garamond" w:cs="Times New Roman"/>
          <w:sz w:val="24"/>
          <w:szCs w:val="24"/>
        </w:rPr>
        <w:t xml:space="preserve">) </w:t>
      </w:r>
      <w:r w:rsidR="00E33B56" w:rsidRPr="006F61C8">
        <w:rPr>
          <w:rFonts w:ascii="Garamond" w:hAnsi="Garamond" w:cs="Times New Roman"/>
          <w:sz w:val="24"/>
          <w:szCs w:val="24"/>
        </w:rPr>
        <w:t>i</w:t>
      </w:r>
      <w:r w:rsidR="00D630A8" w:rsidRPr="006F61C8">
        <w:rPr>
          <w:rFonts w:ascii="Garamond" w:hAnsi="Garamond" w:cs="Times New Roman"/>
          <w:sz w:val="24"/>
          <w:szCs w:val="24"/>
        </w:rPr>
        <w:t>l cap. 2 sul rinvio alle disposizioni del c</w:t>
      </w:r>
      <w:r w:rsidR="00E33B56" w:rsidRPr="006F61C8">
        <w:rPr>
          <w:rFonts w:ascii="Garamond" w:hAnsi="Garamond" w:cs="Times New Roman"/>
          <w:sz w:val="24"/>
          <w:szCs w:val="24"/>
        </w:rPr>
        <w:t>odice di procedura civile</w:t>
      </w:r>
      <w:r w:rsidR="00D630A8" w:rsidRPr="006F61C8">
        <w:rPr>
          <w:rFonts w:ascii="Garamond" w:hAnsi="Garamond" w:cs="Times New Roman"/>
          <w:sz w:val="24"/>
          <w:szCs w:val="24"/>
        </w:rPr>
        <w:t>, ove si ricostruisce in termini generali l'istituto e quando può operare, per poi richiamare le diverse sentenze che, solo peraltro con principi secondari e in relazione alle più diverse questioni poi decisorie, hanno ritenuto applicabile o meno una determinata disposizione cpc al processo amministrativo, quindi sul piano casistico</w:t>
      </w:r>
      <w:r w:rsidR="00E33B56" w:rsidRPr="006F61C8">
        <w:rPr>
          <w:rStyle w:val="Rimandonotaapidipagina"/>
          <w:rFonts w:ascii="Garamond" w:hAnsi="Garamond" w:cs="Times New Roman"/>
          <w:sz w:val="24"/>
          <w:szCs w:val="24"/>
        </w:rPr>
        <w:footnoteReference w:id="17"/>
      </w:r>
      <w:r w:rsidR="00D630A8" w:rsidRPr="006F61C8">
        <w:rPr>
          <w:rFonts w:ascii="Garamond" w:hAnsi="Garamond" w:cs="Times New Roman"/>
          <w:sz w:val="24"/>
          <w:szCs w:val="24"/>
        </w:rPr>
        <w:t>;</w:t>
      </w:r>
    </w:p>
    <w:p w14:paraId="4CDC8BE5" w14:textId="661F77D5" w:rsidR="00D630A8" w:rsidRPr="006F61C8" w:rsidRDefault="00335B5D" w:rsidP="005122EC">
      <w:pPr>
        <w:spacing w:line="360" w:lineRule="auto"/>
        <w:jc w:val="both"/>
        <w:rPr>
          <w:rFonts w:ascii="Garamond" w:hAnsi="Garamond" w:cs="Times New Roman"/>
          <w:sz w:val="24"/>
          <w:szCs w:val="24"/>
        </w:rPr>
      </w:pPr>
      <w:r w:rsidRPr="006F61C8">
        <w:rPr>
          <w:rFonts w:ascii="Garamond" w:hAnsi="Garamond" w:cs="Times New Roman"/>
          <w:sz w:val="24"/>
          <w:szCs w:val="24"/>
        </w:rPr>
        <w:lastRenderedPageBreak/>
        <w:t>b</w:t>
      </w:r>
      <w:r w:rsidR="00D630A8" w:rsidRPr="006F61C8">
        <w:rPr>
          <w:rFonts w:ascii="Garamond" w:hAnsi="Garamond" w:cs="Times New Roman"/>
          <w:sz w:val="24"/>
          <w:szCs w:val="24"/>
        </w:rPr>
        <w:t xml:space="preserve">) </w:t>
      </w:r>
      <w:r w:rsidR="00501D2B" w:rsidRPr="006F61C8">
        <w:rPr>
          <w:rFonts w:ascii="Garamond" w:hAnsi="Garamond" w:cs="Times New Roman"/>
          <w:sz w:val="24"/>
          <w:szCs w:val="24"/>
        </w:rPr>
        <w:t>i</w:t>
      </w:r>
      <w:r w:rsidR="00D630A8" w:rsidRPr="006F61C8">
        <w:rPr>
          <w:rFonts w:ascii="Garamond" w:hAnsi="Garamond" w:cs="Times New Roman"/>
          <w:sz w:val="24"/>
          <w:szCs w:val="24"/>
        </w:rPr>
        <w:t>l capitolo 28 sull'intervento nel processo, che unisce diverse visioni, perch</w:t>
      </w:r>
      <w:r w:rsidR="00501D2B" w:rsidRPr="006F61C8">
        <w:rPr>
          <w:rFonts w:ascii="Garamond" w:hAnsi="Garamond" w:cs="Times New Roman"/>
          <w:sz w:val="24"/>
          <w:szCs w:val="24"/>
        </w:rPr>
        <w:t xml:space="preserve">é </w:t>
      </w:r>
      <w:r w:rsidR="00D630A8" w:rsidRPr="006F61C8">
        <w:rPr>
          <w:rFonts w:ascii="Garamond" w:hAnsi="Garamond" w:cs="Times New Roman"/>
          <w:sz w:val="24"/>
          <w:szCs w:val="24"/>
        </w:rPr>
        <w:t>il tema è trattato</w:t>
      </w:r>
      <w:r w:rsidR="00501D2B" w:rsidRPr="006F61C8">
        <w:rPr>
          <w:rFonts w:ascii="Garamond" w:hAnsi="Garamond" w:cs="Times New Roman"/>
          <w:sz w:val="24"/>
          <w:szCs w:val="24"/>
        </w:rPr>
        <w:t>,</w:t>
      </w:r>
      <w:r w:rsidR="00D630A8" w:rsidRPr="006F61C8">
        <w:rPr>
          <w:rFonts w:ascii="Garamond" w:hAnsi="Garamond" w:cs="Times New Roman"/>
          <w:sz w:val="24"/>
          <w:szCs w:val="24"/>
        </w:rPr>
        <w:t xml:space="preserve"> attraverso la ricostruzione di diverse sentenze delle plenarie, sia attraverso principi secondari che primari, essendo stato oggetto sia di analisi</w:t>
      </w:r>
      <w:r w:rsidR="005B4CD9">
        <w:rPr>
          <w:rFonts w:ascii="Garamond" w:hAnsi="Garamond" w:cs="Times New Roman"/>
          <w:sz w:val="24"/>
          <w:szCs w:val="24"/>
        </w:rPr>
        <w:t xml:space="preserve">, per così dire, </w:t>
      </w:r>
      <w:r w:rsidR="00501D2B" w:rsidRPr="006F61C8">
        <w:rPr>
          <w:rFonts w:ascii="Garamond" w:hAnsi="Garamond" w:cs="Times New Roman"/>
          <w:sz w:val="24"/>
          <w:szCs w:val="24"/>
        </w:rPr>
        <w:t>“</w:t>
      </w:r>
      <w:r w:rsidR="00D630A8" w:rsidRPr="006F61C8">
        <w:rPr>
          <w:rFonts w:ascii="Garamond" w:hAnsi="Garamond" w:cs="Times New Roman"/>
          <w:sz w:val="24"/>
          <w:szCs w:val="24"/>
        </w:rPr>
        <w:t>incidentale</w:t>
      </w:r>
      <w:r w:rsidR="00501D2B" w:rsidRPr="006F61C8">
        <w:rPr>
          <w:rFonts w:ascii="Garamond" w:hAnsi="Garamond" w:cs="Times New Roman"/>
          <w:sz w:val="24"/>
          <w:szCs w:val="24"/>
        </w:rPr>
        <w:t>”</w:t>
      </w:r>
      <w:r w:rsidR="00D630A8" w:rsidRPr="006F61C8">
        <w:rPr>
          <w:rFonts w:ascii="Garamond" w:hAnsi="Garamond" w:cs="Times New Roman"/>
          <w:sz w:val="24"/>
          <w:szCs w:val="24"/>
        </w:rPr>
        <w:t xml:space="preserve"> in ordine all'ammissibilit</w:t>
      </w:r>
      <w:r w:rsidR="00501D2B" w:rsidRPr="006F61C8">
        <w:rPr>
          <w:rFonts w:ascii="Garamond" w:hAnsi="Garamond" w:cs="Times New Roman"/>
          <w:sz w:val="24"/>
          <w:szCs w:val="24"/>
        </w:rPr>
        <w:t>à</w:t>
      </w:r>
      <w:r w:rsidR="00D630A8" w:rsidRPr="006F61C8">
        <w:rPr>
          <w:rFonts w:ascii="Garamond" w:hAnsi="Garamond" w:cs="Times New Roman"/>
          <w:sz w:val="24"/>
          <w:szCs w:val="24"/>
        </w:rPr>
        <w:t xml:space="preserve"> di un dato intervento in </w:t>
      </w:r>
      <w:r w:rsidR="005B4CD9">
        <w:rPr>
          <w:rFonts w:ascii="Garamond" w:hAnsi="Garamond" w:cs="Times New Roman"/>
          <w:sz w:val="24"/>
          <w:szCs w:val="24"/>
        </w:rPr>
        <w:t>un</w:t>
      </w:r>
      <w:r w:rsidR="00D630A8" w:rsidRPr="006F61C8">
        <w:rPr>
          <w:rFonts w:ascii="Garamond" w:hAnsi="Garamond" w:cs="Times New Roman"/>
          <w:sz w:val="24"/>
          <w:szCs w:val="24"/>
        </w:rPr>
        <w:t xml:space="preserve"> determinato processo, sia in termini generali</w:t>
      </w:r>
      <w:r w:rsidR="005B4CD9">
        <w:rPr>
          <w:rFonts w:ascii="Garamond" w:hAnsi="Garamond" w:cs="Times New Roman"/>
          <w:sz w:val="24"/>
          <w:szCs w:val="24"/>
        </w:rPr>
        <w:t>,</w:t>
      </w:r>
      <w:r w:rsidR="00D630A8" w:rsidRPr="006F61C8">
        <w:rPr>
          <w:rFonts w:ascii="Garamond" w:hAnsi="Garamond" w:cs="Times New Roman"/>
          <w:sz w:val="24"/>
          <w:szCs w:val="24"/>
        </w:rPr>
        <w:t xml:space="preserve"> attraverso l'enunciazione del principio di diritto vincolante per i futuri giudizi;</w:t>
      </w:r>
    </w:p>
    <w:p w14:paraId="43EFB246" w14:textId="2ABDF6D8" w:rsidR="00D630A8" w:rsidRPr="006F61C8" w:rsidRDefault="00843A3C" w:rsidP="005122EC">
      <w:pPr>
        <w:spacing w:line="360" w:lineRule="auto"/>
        <w:jc w:val="both"/>
        <w:rPr>
          <w:rFonts w:ascii="Garamond" w:hAnsi="Garamond" w:cs="Times New Roman"/>
          <w:sz w:val="24"/>
          <w:szCs w:val="24"/>
        </w:rPr>
      </w:pPr>
      <w:r w:rsidRPr="006F61C8">
        <w:rPr>
          <w:rFonts w:ascii="Garamond" w:hAnsi="Garamond" w:cs="Times New Roman"/>
          <w:sz w:val="24"/>
          <w:szCs w:val="24"/>
        </w:rPr>
        <w:t>c</w:t>
      </w:r>
      <w:r w:rsidR="00D630A8" w:rsidRPr="006F61C8">
        <w:rPr>
          <w:rFonts w:ascii="Garamond" w:hAnsi="Garamond" w:cs="Times New Roman"/>
          <w:sz w:val="24"/>
          <w:szCs w:val="24"/>
        </w:rPr>
        <w:t xml:space="preserve">) </w:t>
      </w:r>
      <w:r w:rsidR="00501D2B" w:rsidRPr="006F61C8">
        <w:rPr>
          <w:rFonts w:ascii="Garamond" w:hAnsi="Garamond" w:cs="Times New Roman"/>
          <w:sz w:val="24"/>
          <w:szCs w:val="24"/>
        </w:rPr>
        <w:t>l</w:t>
      </w:r>
      <w:r w:rsidR="00D630A8" w:rsidRPr="006F61C8">
        <w:rPr>
          <w:rFonts w:ascii="Garamond" w:hAnsi="Garamond" w:cs="Times New Roman"/>
          <w:sz w:val="24"/>
          <w:szCs w:val="24"/>
        </w:rPr>
        <w:t>e condizioni dell'azione, cap. 8, che, stanti le caratteristiche dell'argomento, sfrutta le potenzialità del metodo per affrontare sia profili generali che speciali, attraverso la ricostruzione, anche diacronicamente lunga</w:t>
      </w:r>
      <w:r w:rsidR="00163648" w:rsidRPr="006F61C8">
        <w:rPr>
          <w:rFonts w:ascii="Garamond" w:hAnsi="Garamond" w:cs="Times New Roman"/>
          <w:sz w:val="24"/>
          <w:szCs w:val="24"/>
        </w:rPr>
        <w:t>,</w:t>
      </w:r>
      <w:r w:rsidR="00D630A8" w:rsidRPr="006F61C8">
        <w:rPr>
          <w:rFonts w:ascii="Garamond" w:hAnsi="Garamond" w:cs="Times New Roman"/>
          <w:sz w:val="24"/>
          <w:szCs w:val="24"/>
        </w:rPr>
        <w:t xml:space="preserve"> evidentemente, delle diverse plenarie susseguitesi negli anni e così anche il capitolo sulla competenza</w:t>
      </w:r>
      <w:r w:rsidR="00163648" w:rsidRPr="006F61C8">
        <w:rPr>
          <w:rFonts w:ascii="Garamond" w:hAnsi="Garamond" w:cs="Times New Roman"/>
          <w:sz w:val="24"/>
          <w:szCs w:val="24"/>
        </w:rPr>
        <w:t xml:space="preserve"> (cap. 5)</w:t>
      </w:r>
      <w:r w:rsidR="00D630A8" w:rsidRPr="006F61C8">
        <w:rPr>
          <w:rFonts w:ascii="Garamond" w:hAnsi="Garamond" w:cs="Times New Roman"/>
          <w:sz w:val="24"/>
          <w:szCs w:val="24"/>
        </w:rPr>
        <w:t>;</w:t>
      </w:r>
    </w:p>
    <w:p w14:paraId="5D96F85A" w14:textId="43D67738" w:rsidR="00D630A8" w:rsidRPr="006F61C8" w:rsidRDefault="00843A3C" w:rsidP="005122EC">
      <w:pPr>
        <w:spacing w:line="360" w:lineRule="auto"/>
        <w:jc w:val="both"/>
        <w:rPr>
          <w:rFonts w:ascii="Garamond" w:hAnsi="Garamond" w:cs="Times New Roman"/>
          <w:sz w:val="24"/>
          <w:szCs w:val="24"/>
        </w:rPr>
      </w:pPr>
      <w:r w:rsidRPr="006F61C8">
        <w:rPr>
          <w:rFonts w:ascii="Garamond" w:hAnsi="Garamond" w:cs="Times New Roman"/>
          <w:sz w:val="24"/>
          <w:szCs w:val="24"/>
        </w:rPr>
        <w:t>d</w:t>
      </w:r>
      <w:r w:rsidR="00D630A8" w:rsidRPr="006F61C8">
        <w:rPr>
          <w:rFonts w:ascii="Garamond" w:hAnsi="Garamond" w:cs="Times New Roman"/>
          <w:sz w:val="24"/>
          <w:szCs w:val="24"/>
        </w:rPr>
        <w:t>)</w:t>
      </w:r>
      <w:r w:rsidR="00163648" w:rsidRPr="006F61C8">
        <w:rPr>
          <w:rFonts w:ascii="Garamond" w:hAnsi="Garamond" w:cs="Times New Roman"/>
          <w:sz w:val="24"/>
          <w:szCs w:val="24"/>
        </w:rPr>
        <w:t xml:space="preserve"> </w:t>
      </w:r>
      <w:r w:rsidR="00D630A8" w:rsidRPr="006F61C8">
        <w:rPr>
          <w:rFonts w:ascii="Garamond" w:hAnsi="Garamond" w:cs="Times New Roman"/>
          <w:sz w:val="24"/>
          <w:szCs w:val="24"/>
        </w:rPr>
        <w:t xml:space="preserve">efficace </w:t>
      </w:r>
      <w:r w:rsidR="00163648" w:rsidRPr="006F61C8">
        <w:rPr>
          <w:rFonts w:ascii="Garamond" w:hAnsi="Garamond" w:cs="Times New Roman"/>
          <w:sz w:val="24"/>
          <w:szCs w:val="24"/>
        </w:rPr>
        <w:t xml:space="preserve">esempio </w:t>
      </w:r>
      <w:r w:rsidR="000A5C2F" w:rsidRPr="006F61C8">
        <w:rPr>
          <w:rFonts w:ascii="Garamond" w:hAnsi="Garamond" w:cs="Times New Roman"/>
          <w:sz w:val="24"/>
          <w:szCs w:val="24"/>
        </w:rPr>
        <w:t xml:space="preserve">è </w:t>
      </w:r>
      <w:r w:rsidR="00D630A8" w:rsidRPr="006F61C8">
        <w:rPr>
          <w:rFonts w:ascii="Garamond" w:hAnsi="Garamond" w:cs="Times New Roman"/>
          <w:sz w:val="24"/>
          <w:szCs w:val="24"/>
        </w:rPr>
        <w:t xml:space="preserve">anche il </w:t>
      </w:r>
      <w:r w:rsidR="000A5C2F" w:rsidRPr="006F61C8">
        <w:rPr>
          <w:rFonts w:ascii="Garamond" w:hAnsi="Garamond" w:cs="Times New Roman"/>
          <w:sz w:val="24"/>
          <w:szCs w:val="24"/>
        </w:rPr>
        <w:t>cap. 1, par. 3, dedicato a</w:t>
      </w:r>
      <w:r w:rsidR="00D630A8" w:rsidRPr="006F61C8">
        <w:rPr>
          <w:rFonts w:ascii="Garamond" w:hAnsi="Garamond" w:cs="Times New Roman"/>
          <w:sz w:val="24"/>
          <w:szCs w:val="24"/>
        </w:rPr>
        <w:t>ll</w:t>
      </w:r>
      <w:r w:rsidR="000A5C2F" w:rsidRPr="006F61C8">
        <w:rPr>
          <w:rFonts w:ascii="Garamond" w:hAnsi="Garamond" w:cs="Times New Roman"/>
          <w:sz w:val="24"/>
          <w:szCs w:val="24"/>
        </w:rPr>
        <w:t>’</w:t>
      </w:r>
      <w:r w:rsidR="00D630A8" w:rsidRPr="006F61C8">
        <w:rPr>
          <w:rFonts w:ascii="Garamond" w:hAnsi="Garamond" w:cs="Times New Roman"/>
          <w:sz w:val="24"/>
          <w:szCs w:val="24"/>
        </w:rPr>
        <w:t>effettivit</w:t>
      </w:r>
      <w:r w:rsidR="000A5C2F" w:rsidRPr="006F61C8">
        <w:rPr>
          <w:rFonts w:ascii="Garamond" w:hAnsi="Garamond" w:cs="Times New Roman"/>
          <w:sz w:val="24"/>
          <w:szCs w:val="24"/>
        </w:rPr>
        <w:t>à</w:t>
      </w:r>
      <w:r w:rsidR="00D630A8" w:rsidRPr="006F61C8">
        <w:rPr>
          <w:rFonts w:ascii="Garamond" w:hAnsi="Garamond" w:cs="Times New Roman"/>
          <w:sz w:val="24"/>
          <w:szCs w:val="24"/>
        </w:rPr>
        <w:t xml:space="preserve"> e concentrazione delle tutele, che consente di ricostruire </w:t>
      </w:r>
      <w:r w:rsidR="005B4CD9" w:rsidRPr="006F61C8">
        <w:rPr>
          <w:rFonts w:ascii="Garamond" w:hAnsi="Garamond" w:cs="Times New Roman"/>
          <w:sz w:val="24"/>
          <w:szCs w:val="24"/>
        </w:rPr>
        <w:t>in poche pagine</w:t>
      </w:r>
      <w:r w:rsidR="005B4CD9" w:rsidRPr="006F61C8">
        <w:rPr>
          <w:rFonts w:ascii="Garamond" w:hAnsi="Garamond" w:cs="Times New Roman"/>
          <w:sz w:val="24"/>
          <w:szCs w:val="24"/>
        </w:rPr>
        <w:t xml:space="preserve"> </w:t>
      </w:r>
      <w:r w:rsidR="00D630A8" w:rsidRPr="006F61C8">
        <w:rPr>
          <w:rFonts w:ascii="Garamond" w:hAnsi="Garamond" w:cs="Times New Roman"/>
          <w:sz w:val="24"/>
          <w:szCs w:val="24"/>
        </w:rPr>
        <w:t xml:space="preserve">la portata e l'utilità pratica di principi </w:t>
      </w:r>
      <w:r w:rsidR="000A5C2F" w:rsidRPr="006F61C8">
        <w:rPr>
          <w:rFonts w:ascii="Garamond" w:hAnsi="Garamond" w:cs="Times New Roman"/>
          <w:sz w:val="24"/>
          <w:szCs w:val="24"/>
        </w:rPr>
        <w:t>“</w:t>
      </w:r>
      <w:r w:rsidR="00D630A8" w:rsidRPr="006F61C8">
        <w:rPr>
          <w:rFonts w:ascii="Garamond" w:hAnsi="Garamond" w:cs="Times New Roman"/>
          <w:sz w:val="24"/>
          <w:szCs w:val="24"/>
        </w:rPr>
        <w:t>alti</w:t>
      </w:r>
      <w:r w:rsidR="000A5C2F" w:rsidRPr="006F61C8">
        <w:rPr>
          <w:rFonts w:ascii="Garamond" w:hAnsi="Garamond" w:cs="Times New Roman"/>
          <w:sz w:val="24"/>
          <w:szCs w:val="24"/>
        </w:rPr>
        <w:t>”</w:t>
      </w:r>
      <w:r w:rsidR="00D630A8" w:rsidRPr="006F61C8">
        <w:rPr>
          <w:rFonts w:ascii="Garamond" w:hAnsi="Garamond" w:cs="Times New Roman"/>
          <w:sz w:val="24"/>
          <w:szCs w:val="24"/>
        </w:rPr>
        <w:t xml:space="preserve"> con le parole di ben </w:t>
      </w:r>
      <w:r w:rsidR="000A5C2F" w:rsidRPr="006F61C8">
        <w:rPr>
          <w:rFonts w:ascii="Garamond" w:hAnsi="Garamond" w:cs="Times New Roman"/>
          <w:sz w:val="24"/>
          <w:szCs w:val="24"/>
        </w:rPr>
        <w:t xml:space="preserve">quattordici </w:t>
      </w:r>
      <w:r w:rsidR="00D630A8" w:rsidRPr="006F61C8">
        <w:rPr>
          <w:rFonts w:ascii="Garamond" w:hAnsi="Garamond" w:cs="Times New Roman"/>
          <w:sz w:val="24"/>
          <w:szCs w:val="24"/>
        </w:rPr>
        <w:t>sentenze della plenaria;</w:t>
      </w:r>
    </w:p>
    <w:p w14:paraId="071F4780" w14:textId="77777777" w:rsidR="00843A3C" w:rsidRPr="006F61C8" w:rsidRDefault="00843A3C" w:rsidP="005122EC">
      <w:pPr>
        <w:spacing w:line="360" w:lineRule="auto"/>
        <w:jc w:val="both"/>
        <w:rPr>
          <w:rFonts w:ascii="Garamond" w:hAnsi="Garamond" w:cs="Times New Roman"/>
          <w:sz w:val="24"/>
          <w:szCs w:val="24"/>
        </w:rPr>
      </w:pPr>
      <w:r w:rsidRPr="006F61C8">
        <w:rPr>
          <w:rFonts w:ascii="Garamond" w:hAnsi="Garamond" w:cs="Times New Roman"/>
          <w:sz w:val="24"/>
          <w:szCs w:val="24"/>
        </w:rPr>
        <w:t>e</w:t>
      </w:r>
      <w:r w:rsidR="00D630A8" w:rsidRPr="006F61C8">
        <w:rPr>
          <w:rFonts w:ascii="Garamond" w:hAnsi="Garamond" w:cs="Times New Roman"/>
          <w:sz w:val="24"/>
          <w:szCs w:val="24"/>
        </w:rPr>
        <w:t xml:space="preserve">) </w:t>
      </w:r>
      <w:r w:rsidR="000A5C2F" w:rsidRPr="006F61C8">
        <w:rPr>
          <w:rFonts w:ascii="Garamond" w:hAnsi="Garamond" w:cs="Times New Roman"/>
          <w:sz w:val="24"/>
          <w:szCs w:val="24"/>
        </w:rPr>
        <w:t>d</w:t>
      </w:r>
      <w:r w:rsidR="00D630A8" w:rsidRPr="006F61C8">
        <w:rPr>
          <w:rFonts w:ascii="Garamond" w:hAnsi="Garamond" w:cs="Times New Roman"/>
          <w:sz w:val="24"/>
          <w:szCs w:val="24"/>
        </w:rPr>
        <w:t>a ultimo il cap</w:t>
      </w:r>
      <w:r w:rsidR="00335B5D" w:rsidRPr="006F61C8">
        <w:rPr>
          <w:rFonts w:ascii="Garamond" w:hAnsi="Garamond" w:cs="Times New Roman"/>
          <w:sz w:val="24"/>
          <w:szCs w:val="24"/>
        </w:rPr>
        <w:t>. 31,</w:t>
      </w:r>
      <w:r w:rsidR="00D630A8" w:rsidRPr="006F61C8">
        <w:rPr>
          <w:rFonts w:ascii="Garamond" w:hAnsi="Garamond" w:cs="Times New Roman"/>
          <w:sz w:val="24"/>
          <w:szCs w:val="24"/>
        </w:rPr>
        <w:t xml:space="preserve"> dedicato proprio all</w:t>
      </w:r>
      <w:r w:rsidR="00335B5D" w:rsidRPr="006F61C8">
        <w:rPr>
          <w:rFonts w:ascii="Garamond" w:hAnsi="Garamond" w:cs="Times New Roman"/>
          <w:sz w:val="24"/>
          <w:szCs w:val="24"/>
        </w:rPr>
        <w:t xml:space="preserve">’Adunanza </w:t>
      </w:r>
      <w:r w:rsidR="00D630A8" w:rsidRPr="006F61C8">
        <w:rPr>
          <w:rFonts w:ascii="Garamond" w:hAnsi="Garamond" w:cs="Times New Roman"/>
          <w:sz w:val="24"/>
          <w:szCs w:val="24"/>
        </w:rPr>
        <w:t>plenaria, in cui si ricostruiscono anche tutti i profili, attraverso le diverse affermazioni rese dalla plenaria, spesso con principi secondari, sui presupposti per la rimessione e sulle fattispecie di restituzione degli atti alla sezione (un mini-manuale interno).</w:t>
      </w:r>
    </w:p>
    <w:p w14:paraId="5614440F" w14:textId="5606AF26" w:rsidR="00D630A8" w:rsidRPr="006F61C8" w:rsidRDefault="00843A3C" w:rsidP="005122EC">
      <w:pPr>
        <w:spacing w:line="360" w:lineRule="auto"/>
        <w:jc w:val="both"/>
        <w:rPr>
          <w:rFonts w:ascii="Garamond" w:hAnsi="Garamond" w:cs="Times New Roman"/>
          <w:sz w:val="24"/>
          <w:szCs w:val="24"/>
        </w:rPr>
      </w:pPr>
      <w:r w:rsidRPr="006F61C8">
        <w:rPr>
          <w:rFonts w:ascii="Garamond" w:hAnsi="Garamond" w:cs="Times New Roman"/>
          <w:sz w:val="24"/>
          <w:szCs w:val="24"/>
        </w:rPr>
        <w:t>U</w:t>
      </w:r>
      <w:r w:rsidR="00D630A8" w:rsidRPr="006F61C8">
        <w:rPr>
          <w:rFonts w:ascii="Garamond" w:hAnsi="Garamond" w:cs="Times New Roman"/>
          <w:sz w:val="24"/>
          <w:szCs w:val="24"/>
        </w:rPr>
        <w:t>n terzo e ultimo profilo, di tipo pratico, mi pare da segnalare, alla luce della digitalizzazione e sviluppo degli strumenti informatici: la rassegna</w:t>
      </w:r>
      <w:r w:rsidR="00335B5D" w:rsidRPr="006F61C8">
        <w:rPr>
          <w:rFonts w:ascii="Garamond" w:hAnsi="Garamond" w:cs="Times New Roman"/>
          <w:sz w:val="24"/>
          <w:szCs w:val="24"/>
        </w:rPr>
        <w:t xml:space="preserve"> in parola</w:t>
      </w:r>
      <w:r w:rsidR="00D630A8" w:rsidRPr="006F61C8">
        <w:rPr>
          <w:rFonts w:ascii="Garamond" w:hAnsi="Garamond" w:cs="Times New Roman"/>
          <w:sz w:val="24"/>
          <w:szCs w:val="24"/>
        </w:rPr>
        <w:t xml:space="preserve"> è dotata di un indice generale che, appunto, segue, nella sostanza e per la maggior parte degli argomenti, la tassonomia manualistica. Ad esso però segue anche un indice per articoli del codice, inserendo così una ulteriore funzionalità più vicina a quella di un commentario; e poi è inserito, in apice di ogni capitolo, un indice sommario con i paragrafi di quel capitolo, che consente, nella nostra idea, al lettore di individuare subito magari il sotto argomento di interesse nel macro argomento del capitolo. Il tutto con collegamenti ipertestuali che consentono così di reperire immediatamente il capitolo (indice generale) o il paragrafo (indice sommario del</w:t>
      </w:r>
      <w:r w:rsidRPr="006F61C8">
        <w:rPr>
          <w:rFonts w:ascii="Garamond" w:hAnsi="Garamond" w:cs="Times New Roman"/>
          <w:sz w:val="24"/>
          <w:szCs w:val="24"/>
        </w:rPr>
        <w:t xml:space="preserve"> </w:t>
      </w:r>
      <w:r w:rsidR="00D630A8" w:rsidRPr="006F61C8">
        <w:rPr>
          <w:rFonts w:ascii="Garamond" w:hAnsi="Garamond" w:cs="Times New Roman"/>
          <w:sz w:val="24"/>
          <w:szCs w:val="24"/>
        </w:rPr>
        <w:t>capit</w:t>
      </w:r>
      <w:r w:rsidRPr="006F61C8">
        <w:rPr>
          <w:rFonts w:ascii="Garamond" w:hAnsi="Garamond" w:cs="Times New Roman"/>
          <w:sz w:val="24"/>
          <w:szCs w:val="24"/>
        </w:rPr>
        <w:t>o</w:t>
      </w:r>
      <w:r w:rsidR="00D630A8" w:rsidRPr="006F61C8">
        <w:rPr>
          <w:rFonts w:ascii="Garamond" w:hAnsi="Garamond" w:cs="Times New Roman"/>
          <w:sz w:val="24"/>
          <w:szCs w:val="24"/>
        </w:rPr>
        <w:t>l</w:t>
      </w:r>
      <w:r w:rsidRPr="006F61C8">
        <w:rPr>
          <w:rFonts w:ascii="Garamond" w:hAnsi="Garamond" w:cs="Times New Roman"/>
          <w:sz w:val="24"/>
          <w:szCs w:val="24"/>
        </w:rPr>
        <w:t>o</w:t>
      </w:r>
      <w:r w:rsidR="00D630A8" w:rsidRPr="006F61C8">
        <w:rPr>
          <w:rFonts w:ascii="Garamond" w:hAnsi="Garamond" w:cs="Times New Roman"/>
          <w:sz w:val="24"/>
          <w:szCs w:val="24"/>
        </w:rPr>
        <w:t xml:space="preserve">) di interesse. </w:t>
      </w:r>
    </w:p>
    <w:p w14:paraId="63FAC975" w14:textId="6283E1D1" w:rsidR="00D630A8" w:rsidRPr="006F61C8" w:rsidRDefault="00D630A8" w:rsidP="005122EC">
      <w:pPr>
        <w:spacing w:line="360" w:lineRule="auto"/>
        <w:jc w:val="both"/>
        <w:rPr>
          <w:rFonts w:ascii="Garamond" w:hAnsi="Garamond" w:cs="Times New Roman"/>
          <w:sz w:val="24"/>
          <w:szCs w:val="24"/>
        </w:rPr>
      </w:pPr>
      <w:r w:rsidRPr="006F61C8">
        <w:rPr>
          <w:rFonts w:ascii="Garamond" w:hAnsi="Garamond" w:cs="Times New Roman"/>
          <w:sz w:val="24"/>
          <w:szCs w:val="24"/>
        </w:rPr>
        <w:t>Si cerca così di abbinare la funzionalità della rassegna alla funzionalità del sistema informatico.</w:t>
      </w:r>
    </w:p>
    <w:p w14:paraId="3D46EDFE" w14:textId="650F67CF" w:rsidR="00843A3C" w:rsidRPr="006F61C8" w:rsidRDefault="00843A3C" w:rsidP="005122EC">
      <w:pPr>
        <w:spacing w:line="360" w:lineRule="auto"/>
        <w:jc w:val="both"/>
        <w:rPr>
          <w:rFonts w:ascii="Garamond" w:hAnsi="Garamond" w:cs="Times New Roman"/>
          <w:b/>
          <w:bCs/>
          <w:sz w:val="24"/>
          <w:szCs w:val="24"/>
        </w:rPr>
      </w:pPr>
      <w:r w:rsidRPr="006F61C8">
        <w:rPr>
          <w:rFonts w:ascii="Garamond" w:hAnsi="Garamond" w:cs="Times New Roman"/>
          <w:b/>
          <w:bCs/>
          <w:sz w:val="24"/>
          <w:szCs w:val="24"/>
        </w:rPr>
        <w:t>5. Conclusioni.</w:t>
      </w:r>
    </w:p>
    <w:p w14:paraId="040346DA" w14:textId="23B1AEF3" w:rsidR="005E0C17" w:rsidRPr="006F61C8" w:rsidRDefault="001A00CC" w:rsidP="005122EC">
      <w:pPr>
        <w:spacing w:line="360" w:lineRule="auto"/>
        <w:jc w:val="both"/>
        <w:rPr>
          <w:rFonts w:ascii="Garamond" w:hAnsi="Garamond" w:cs="Times New Roman"/>
          <w:sz w:val="24"/>
          <w:szCs w:val="24"/>
        </w:rPr>
      </w:pPr>
      <w:r w:rsidRPr="006F61C8">
        <w:rPr>
          <w:rFonts w:ascii="Garamond" w:hAnsi="Garamond" w:cs="Times New Roman"/>
          <w:sz w:val="24"/>
          <w:szCs w:val="24"/>
        </w:rPr>
        <w:t>In questo mio breve intervento ho cercato di esporre le ragioni per cui</w:t>
      </w:r>
      <w:r w:rsidR="005E0C17" w:rsidRPr="006F61C8">
        <w:rPr>
          <w:rFonts w:ascii="Garamond" w:hAnsi="Garamond" w:cs="Times New Roman"/>
          <w:sz w:val="24"/>
          <w:szCs w:val="24"/>
        </w:rPr>
        <w:t xml:space="preserve">, anche nell’epoca dell’intelligenza artificiale, </w:t>
      </w:r>
      <w:r w:rsidR="00652078" w:rsidRPr="006F61C8">
        <w:rPr>
          <w:rFonts w:ascii="Garamond" w:hAnsi="Garamond" w:cs="Times New Roman"/>
          <w:sz w:val="24"/>
          <w:szCs w:val="24"/>
        </w:rPr>
        <w:t xml:space="preserve">mantengano a mio avviso rilievo e interesse attività quali quelle di </w:t>
      </w:r>
      <w:proofErr w:type="spellStart"/>
      <w:r w:rsidR="00652078" w:rsidRPr="006F61C8">
        <w:rPr>
          <w:rFonts w:ascii="Garamond" w:hAnsi="Garamond" w:cs="Times New Roman"/>
          <w:sz w:val="24"/>
          <w:szCs w:val="24"/>
        </w:rPr>
        <w:t>massimazione</w:t>
      </w:r>
      <w:proofErr w:type="spellEnd"/>
      <w:r w:rsidR="00652078" w:rsidRPr="006F61C8">
        <w:rPr>
          <w:rFonts w:ascii="Garamond" w:hAnsi="Garamond" w:cs="Times New Roman"/>
          <w:sz w:val="24"/>
          <w:szCs w:val="24"/>
        </w:rPr>
        <w:t xml:space="preserve"> e di costruzione di rassegne di giurisprudenza, soprattutto con riferimento alla giurisprudenza amministrativa. </w:t>
      </w:r>
    </w:p>
    <w:p w14:paraId="4DD952AE" w14:textId="7EF13AE1" w:rsidR="00652078" w:rsidRPr="006F61C8" w:rsidRDefault="00652078" w:rsidP="005122EC">
      <w:pPr>
        <w:spacing w:line="360" w:lineRule="auto"/>
        <w:jc w:val="both"/>
        <w:rPr>
          <w:rFonts w:ascii="Garamond" w:hAnsi="Garamond" w:cs="Times New Roman"/>
          <w:sz w:val="24"/>
          <w:szCs w:val="24"/>
        </w:rPr>
      </w:pPr>
      <w:r w:rsidRPr="006F61C8">
        <w:rPr>
          <w:rFonts w:ascii="Garamond" w:hAnsi="Garamond" w:cs="Times New Roman"/>
          <w:sz w:val="24"/>
          <w:szCs w:val="24"/>
        </w:rPr>
        <w:lastRenderedPageBreak/>
        <w:t xml:space="preserve">Come spero sia emerso </w:t>
      </w:r>
      <w:r w:rsidR="00FD3E94" w:rsidRPr="006F61C8">
        <w:rPr>
          <w:rFonts w:ascii="Garamond" w:hAnsi="Garamond" w:cs="Times New Roman"/>
          <w:sz w:val="24"/>
          <w:szCs w:val="24"/>
        </w:rPr>
        <w:t xml:space="preserve">dall’esposizione, ciò è vero fintanto che l’attività che viene svolta non si limiti alla semplice individuazione di una frase all’interno della sentenza da estrapolare quale massima o, </w:t>
      </w:r>
      <w:r w:rsidR="0098179D" w:rsidRPr="006F61C8">
        <w:rPr>
          <w:rFonts w:ascii="Garamond" w:hAnsi="Garamond" w:cs="Times New Roman"/>
          <w:sz w:val="24"/>
          <w:szCs w:val="24"/>
        </w:rPr>
        <w:t xml:space="preserve">con riferimento alle rassegne, nel quale il punto è ancor più centrale, alla semplice collazione di tutte le sentenze o anche di una selezione di esse in una materia sulla base di un criterio cronologico. </w:t>
      </w:r>
    </w:p>
    <w:p w14:paraId="7197CACC" w14:textId="26AADBEA" w:rsidR="0098179D" w:rsidRPr="006F61C8" w:rsidRDefault="0098179D" w:rsidP="005122EC">
      <w:pPr>
        <w:spacing w:line="360" w:lineRule="auto"/>
        <w:jc w:val="both"/>
        <w:rPr>
          <w:rFonts w:ascii="Garamond" w:hAnsi="Garamond" w:cs="Times New Roman"/>
          <w:sz w:val="24"/>
          <w:szCs w:val="24"/>
        </w:rPr>
      </w:pPr>
      <w:r w:rsidRPr="006F61C8">
        <w:rPr>
          <w:rFonts w:ascii="Garamond" w:hAnsi="Garamond" w:cs="Times New Roman"/>
          <w:sz w:val="24"/>
          <w:szCs w:val="24"/>
        </w:rPr>
        <w:t xml:space="preserve">Una rassegna di giurisprudenza ha oggi una sua </w:t>
      </w:r>
      <w:r w:rsidR="00583AD1" w:rsidRPr="006F61C8">
        <w:rPr>
          <w:rFonts w:ascii="Garamond" w:hAnsi="Garamond" w:cs="Times New Roman"/>
          <w:sz w:val="24"/>
          <w:szCs w:val="24"/>
        </w:rPr>
        <w:t>cittadinanza se viene costruita, so di ripetermi, attraverso</w:t>
      </w:r>
      <w:r w:rsidR="00B6330C" w:rsidRPr="006F61C8">
        <w:rPr>
          <w:rFonts w:ascii="Garamond" w:hAnsi="Garamond" w:cs="Times New Roman"/>
          <w:sz w:val="24"/>
          <w:szCs w:val="24"/>
        </w:rPr>
        <w:t xml:space="preserve">, dapprima, </w:t>
      </w:r>
      <w:r w:rsidR="00583AD1" w:rsidRPr="006F61C8">
        <w:rPr>
          <w:rFonts w:ascii="Garamond" w:hAnsi="Garamond" w:cs="Times New Roman"/>
          <w:sz w:val="24"/>
          <w:szCs w:val="24"/>
        </w:rPr>
        <w:t xml:space="preserve">la ricostruzione autonoma da parte del redattore </w:t>
      </w:r>
      <w:r w:rsidR="009328C8">
        <w:rPr>
          <w:rFonts w:ascii="Garamond" w:hAnsi="Garamond" w:cs="Times New Roman"/>
          <w:sz w:val="24"/>
          <w:szCs w:val="24"/>
        </w:rPr>
        <w:t>de</w:t>
      </w:r>
      <w:r w:rsidR="009328C8" w:rsidRPr="006F61C8">
        <w:rPr>
          <w:rFonts w:ascii="Garamond" w:hAnsi="Garamond" w:cs="Times New Roman"/>
          <w:sz w:val="24"/>
          <w:szCs w:val="24"/>
        </w:rPr>
        <w:t>i profili su cui costruire la rassegna (concetti fondamentali, principi, casistica)</w:t>
      </w:r>
      <w:r w:rsidR="009328C8">
        <w:rPr>
          <w:rFonts w:ascii="Garamond" w:hAnsi="Garamond" w:cs="Times New Roman"/>
          <w:sz w:val="24"/>
          <w:szCs w:val="24"/>
        </w:rPr>
        <w:t>,</w:t>
      </w:r>
      <w:r w:rsidR="009328C8" w:rsidRPr="006F61C8">
        <w:rPr>
          <w:rFonts w:ascii="Garamond" w:hAnsi="Garamond" w:cs="Times New Roman"/>
          <w:sz w:val="24"/>
          <w:szCs w:val="24"/>
        </w:rPr>
        <w:t xml:space="preserve"> </w:t>
      </w:r>
      <w:r w:rsidR="00583AD1" w:rsidRPr="006F61C8">
        <w:rPr>
          <w:rFonts w:ascii="Garamond" w:hAnsi="Garamond" w:cs="Times New Roman"/>
          <w:sz w:val="24"/>
          <w:szCs w:val="24"/>
        </w:rPr>
        <w:t>sulla base del materiale giurisprudenziale amministrativo, la cui mole è in continuo aumento e la sua accessibilità è oggi totale</w:t>
      </w:r>
      <w:r w:rsidR="009328C8">
        <w:rPr>
          <w:rFonts w:ascii="Garamond" w:hAnsi="Garamond" w:cs="Times New Roman"/>
          <w:sz w:val="24"/>
          <w:szCs w:val="24"/>
        </w:rPr>
        <w:t>; successivamente,</w:t>
      </w:r>
      <w:r w:rsidR="00B6330C" w:rsidRPr="006F61C8">
        <w:rPr>
          <w:rFonts w:ascii="Garamond" w:hAnsi="Garamond" w:cs="Times New Roman"/>
          <w:sz w:val="24"/>
          <w:szCs w:val="24"/>
        </w:rPr>
        <w:t xml:space="preserve"> la </w:t>
      </w:r>
      <w:r w:rsidR="00607787" w:rsidRPr="006F61C8">
        <w:rPr>
          <w:rFonts w:ascii="Garamond" w:hAnsi="Garamond" w:cs="Times New Roman"/>
          <w:sz w:val="24"/>
          <w:szCs w:val="24"/>
        </w:rPr>
        <w:t xml:space="preserve">disarticolazione e ricollocazione delle sentenze nella rassegna in ragione di tale nuova forma </w:t>
      </w:r>
      <w:r w:rsidR="00FD7C5E" w:rsidRPr="006F61C8">
        <w:rPr>
          <w:rFonts w:ascii="Garamond" w:hAnsi="Garamond" w:cs="Times New Roman"/>
          <w:sz w:val="24"/>
          <w:szCs w:val="24"/>
        </w:rPr>
        <w:t xml:space="preserve">che ad esse può darsi. </w:t>
      </w:r>
    </w:p>
    <w:p w14:paraId="26567E68" w14:textId="70626565" w:rsidR="00FD7C5E" w:rsidRPr="006F61C8" w:rsidRDefault="001875DD" w:rsidP="005122EC">
      <w:pPr>
        <w:spacing w:line="360" w:lineRule="auto"/>
        <w:jc w:val="both"/>
        <w:rPr>
          <w:rFonts w:ascii="Garamond" w:hAnsi="Garamond" w:cs="Times New Roman"/>
          <w:sz w:val="24"/>
          <w:szCs w:val="24"/>
        </w:rPr>
      </w:pPr>
      <w:r w:rsidRPr="006F61C8">
        <w:rPr>
          <w:rFonts w:ascii="Garamond" w:hAnsi="Garamond" w:cs="Times New Roman"/>
          <w:sz w:val="24"/>
          <w:szCs w:val="24"/>
        </w:rPr>
        <w:t>Data anche la delicatezza</w:t>
      </w:r>
      <w:r w:rsidR="00F82C42" w:rsidRPr="006F61C8">
        <w:rPr>
          <w:rFonts w:ascii="Garamond" w:hAnsi="Garamond" w:cs="Times New Roman"/>
          <w:sz w:val="24"/>
          <w:szCs w:val="24"/>
        </w:rPr>
        <w:t xml:space="preserve"> delle attività di cui abbiamo parlato e dei rischi che esse possono comportare (</w:t>
      </w:r>
      <w:r w:rsidR="00F82C42" w:rsidRPr="006F61C8">
        <w:rPr>
          <w:rFonts w:ascii="Garamond" w:hAnsi="Garamond" w:cs="Times New Roman"/>
          <w:i/>
          <w:iCs/>
          <w:sz w:val="24"/>
          <w:szCs w:val="24"/>
        </w:rPr>
        <w:t>retro</w:t>
      </w:r>
      <w:r w:rsidR="00F82C42" w:rsidRPr="006F61C8">
        <w:rPr>
          <w:rFonts w:ascii="Garamond" w:hAnsi="Garamond" w:cs="Times New Roman"/>
          <w:sz w:val="24"/>
          <w:szCs w:val="24"/>
        </w:rPr>
        <w:t xml:space="preserve"> par. 2), oltre che, a mio avviso, </w:t>
      </w:r>
      <w:r w:rsidR="00790D91">
        <w:rPr>
          <w:rFonts w:ascii="Garamond" w:hAnsi="Garamond" w:cs="Times New Roman"/>
          <w:sz w:val="24"/>
          <w:szCs w:val="24"/>
        </w:rPr>
        <w:t>del</w:t>
      </w:r>
      <w:r w:rsidR="00F82C42" w:rsidRPr="006F61C8">
        <w:rPr>
          <w:rFonts w:ascii="Garamond" w:hAnsi="Garamond" w:cs="Times New Roman"/>
          <w:sz w:val="24"/>
          <w:szCs w:val="24"/>
        </w:rPr>
        <w:t xml:space="preserve">la complessità delle operazioni da compiere, </w:t>
      </w:r>
      <w:r w:rsidR="00B072EC" w:rsidRPr="006F61C8">
        <w:rPr>
          <w:rFonts w:ascii="Garamond" w:hAnsi="Garamond" w:cs="Times New Roman"/>
          <w:sz w:val="24"/>
          <w:szCs w:val="24"/>
        </w:rPr>
        <w:t xml:space="preserve">mi pare che l’apporto del giurista umano sia ancora un elemento imprescindibile per esse che, se rettamente intese, </w:t>
      </w:r>
      <w:r w:rsidR="00ED0962" w:rsidRPr="006F61C8">
        <w:rPr>
          <w:rFonts w:ascii="Garamond" w:hAnsi="Garamond" w:cs="Times New Roman"/>
          <w:sz w:val="24"/>
          <w:szCs w:val="24"/>
        </w:rPr>
        <w:t xml:space="preserve">svolgono ancora – e forse ancora di più – una importante funzione per gli operatori del diritto. </w:t>
      </w:r>
    </w:p>
    <w:p w14:paraId="2F0CB316" w14:textId="77777777" w:rsidR="009C5F2A" w:rsidRPr="006F61C8" w:rsidRDefault="009C5F2A" w:rsidP="005122EC">
      <w:pPr>
        <w:spacing w:line="360" w:lineRule="auto"/>
        <w:jc w:val="both"/>
        <w:rPr>
          <w:rFonts w:ascii="Garamond" w:hAnsi="Garamond" w:cs="Times New Roman"/>
          <w:sz w:val="24"/>
          <w:szCs w:val="24"/>
        </w:rPr>
      </w:pPr>
    </w:p>
    <w:p w14:paraId="5DD6FF54" w14:textId="153F244B" w:rsidR="009C5F2A" w:rsidRPr="006F61C8" w:rsidRDefault="009C5F2A" w:rsidP="00D21C0A">
      <w:pPr>
        <w:spacing w:after="0" w:line="360" w:lineRule="auto"/>
        <w:jc w:val="right"/>
        <w:rPr>
          <w:rFonts w:ascii="Garamond" w:hAnsi="Garamond" w:cs="Times New Roman"/>
          <w:sz w:val="24"/>
          <w:szCs w:val="24"/>
        </w:rPr>
      </w:pPr>
      <w:r w:rsidRPr="006F61C8">
        <w:rPr>
          <w:rFonts w:ascii="Garamond" w:hAnsi="Garamond" w:cs="Times New Roman"/>
          <w:sz w:val="24"/>
          <w:szCs w:val="24"/>
        </w:rPr>
        <w:t>Gabriele Serra</w:t>
      </w:r>
    </w:p>
    <w:p w14:paraId="0CA13216" w14:textId="7B04D195" w:rsidR="009C5F2A" w:rsidRPr="006F61C8" w:rsidRDefault="009C5F2A" w:rsidP="00D21C0A">
      <w:pPr>
        <w:spacing w:after="0" w:line="360" w:lineRule="auto"/>
        <w:jc w:val="right"/>
        <w:rPr>
          <w:rFonts w:ascii="Garamond" w:hAnsi="Garamond" w:cs="Times New Roman"/>
          <w:sz w:val="24"/>
          <w:szCs w:val="24"/>
        </w:rPr>
      </w:pPr>
      <w:r w:rsidRPr="006F61C8">
        <w:rPr>
          <w:rFonts w:ascii="Garamond" w:hAnsi="Garamond" w:cs="Times New Roman"/>
          <w:sz w:val="24"/>
          <w:szCs w:val="24"/>
        </w:rPr>
        <w:t xml:space="preserve">Primo Referendario </w:t>
      </w:r>
      <w:proofErr w:type="spellStart"/>
      <w:r w:rsidRPr="006F61C8">
        <w:rPr>
          <w:rFonts w:ascii="Garamond" w:hAnsi="Garamond" w:cs="Times New Roman"/>
          <w:sz w:val="24"/>
          <w:szCs w:val="24"/>
        </w:rPr>
        <w:t>T.a.r</w:t>
      </w:r>
      <w:proofErr w:type="spellEnd"/>
      <w:r w:rsidRPr="006F61C8">
        <w:rPr>
          <w:rFonts w:ascii="Garamond" w:hAnsi="Garamond" w:cs="Times New Roman"/>
          <w:sz w:val="24"/>
          <w:szCs w:val="24"/>
        </w:rPr>
        <w:t>. Sardegna</w:t>
      </w:r>
    </w:p>
    <w:p w14:paraId="48EC7217" w14:textId="42CBD6C9" w:rsidR="009C5F2A" w:rsidRPr="006F61C8" w:rsidRDefault="009C5F2A" w:rsidP="00D21C0A">
      <w:pPr>
        <w:spacing w:after="0" w:line="360" w:lineRule="auto"/>
        <w:jc w:val="right"/>
        <w:rPr>
          <w:rFonts w:ascii="Garamond" w:hAnsi="Garamond" w:cs="Times New Roman"/>
          <w:sz w:val="24"/>
          <w:szCs w:val="24"/>
        </w:rPr>
      </w:pPr>
      <w:r w:rsidRPr="006F61C8">
        <w:rPr>
          <w:rFonts w:ascii="Garamond" w:hAnsi="Garamond" w:cs="Times New Roman"/>
          <w:sz w:val="24"/>
          <w:szCs w:val="24"/>
        </w:rPr>
        <w:t>Componente dell’Ufficio del massimario della giustizia amministrativa</w:t>
      </w:r>
    </w:p>
    <w:sectPr w:rsidR="009C5F2A" w:rsidRPr="006F61C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FA887" w14:textId="77777777" w:rsidR="00D80175" w:rsidRDefault="00D80175" w:rsidP="0075445F">
      <w:pPr>
        <w:spacing w:after="0" w:line="240" w:lineRule="auto"/>
      </w:pPr>
      <w:r>
        <w:separator/>
      </w:r>
    </w:p>
  </w:endnote>
  <w:endnote w:type="continuationSeparator" w:id="0">
    <w:p w14:paraId="1ED72F94" w14:textId="77777777" w:rsidR="00D80175" w:rsidRDefault="00D80175" w:rsidP="00754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ADECF" w14:textId="77777777" w:rsidR="00D80175" w:rsidRDefault="00D80175" w:rsidP="0075445F">
      <w:pPr>
        <w:spacing w:after="0" w:line="240" w:lineRule="auto"/>
      </w:pPr>
      <w:r>
        <w:separator/>
      </w:r>
    </w:p>
  </w:footnote>
  <w:footnote w:type="continuationSeparator" w:id="0">
    <w:p w14:paraId="4EE191B4" w14:textId="77777777" w:rsidR="00D80175" w:rsidRDefault="00D80175" w:rsidP="0075445F">
      <w:pPr>
        <w:spacing w:after="0" w:line="240" w:lineRule="auto"/>
      </w:pPr>
      <w:r>
        <w:continuationSeparator/>
      </w:r>
    </w:p>
  </w:footnote>
  <w:footnote w:id="1">
    <w:p w14:paraId="7F20D455" w14:textId="12C73A7A" w:rsidR="006347D2" w:rsidRPr="006F61C8" w:rsidRDefault="006347D2" w:rsidP="006347D2">
      <w:pPr>
        <w:pStyle w:val="Testonotaapidipagina"/>
        <w:jc w:val="both"/>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Lo scritto riprende l’intervento che l’Autore avrebbe dovuto svolgere nella Tavola rotonda delle giornate di studio tenutesi a Catania il 27 e 28 marzo 2026, organizzate dall’Ufficio studi e formazione della Giustizia amministrativa, dall’Ufficio del massimario della Giustizia amministrativa e dall’Università degli studi di Catania e a cui non ha potuto partecipare per ragioni di salute.</w:t>
      </w:r>
    </w:p>
  </w:footnote>
  <w:footnote w:id="2">
    <w:p w14:paraId="215AC5FD" w14:textId="1067C829" w:rsidR="001C7570" w:rsidRPr="006F61C8" w:rsidRDefault="001C7570">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Mi riferisco </w:t>
      </w:r>
      <w:r w:rsidR="00287E8E" w:rsidRPr="006F61C8">
        <w:rPr>
          <w:rFonts w:ascii="Garamond" w:hAnsi="Garamond" w:cs="Times New Roman"/>
        </w:rPr>
        <w:t xml:space="preserve">ovviamente </w:t>
      </w:r>
      <w:r w:rsidRPr="006F61C8">
        <w:rPr>
          <w:rFonts w:ascii="Garamond" w:hAnsi="Garamond" w:cs="Times New Roman"/>
        </w:rPr>
        <w:t xml:space="preserve">a </w:t>
      </w:r>
      <w:r w:rsidR="002F2ABB" w:rsidRPr="006F61C8">
        <w:rPr>
          <w:rFonts w:ascii="Garamond" w:hAnsi="Garamond" w:cs="Times New Roman"/>
        </w:rPr>
        <w:t xml:space="preserve">T. Terzani, </w:t>
      </w:r>
      <w:r w:rsidR="002F2ABB" w:rsidRPr="006F61C8">
        <w:rPr>
          <w:rFonts w:ascii="Garamond" w:hAnsi="Garamond" w:cs="Times New Roman"/>
          <w:i/>
          <w:iCs/>
        </w:rPr>
        <w:t>Un indovino mi disse</w:t>
      </w:r>
      <w:r w:rsidR="002F2ABB" w:rsidRPr="006F61C8">
        <w:rPr>
          <w:rFonts w:ascii="Garamond" w:hAnsi="Garamond" w:cs="Times New Roman"/>
        </w:rPr>
        <w:t xml:space="preserve">, </w:t>
      </w:r>
      <w:r w:rsidR="00556F8A" w:rsidRPr="006F61C8">
        <w:rPr>
          <w:rFonts w:ascii="Garamond" w:hAnsi="Garamond" w:cs="Times New Roman"/>
        </w:rPr>
        <w:t>Longanesi, 2024.</w:t>
      </w:r>
    </w:p>
  </w:footnote>
  <w:footnote w:id="3">
    <w:p w14:paraId="5ECBCE2A" w14:textId="27091FBE" w:rsidR="0075445F" w:rsidRPr="006F61C8" w:rsidRDefault="0075445F">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G.F. Licata, </w:t>
      </w:r>
      <w:r w:rsidRPr="006F61C8">
        <w:rPr>
          <w:rFonts w:ascii="Garamond" w:hAnsi="Garamond" w:cs="Times New Roman"/>
          <w:i/>
          <w:iCs/>
        </w:rPr>
        <w:t>Trasformazioni della giustizia amministrativa</w:t>
      </w:r>
      <w:r w:rsidRPr="006F61C8">
        <w:rPr>
          <w:rFonts w:ascii="Garamond" w:hAnsi="Garamond" w:cs="Times New Roman"/>
        </w:rPr>
        <w:t xml:space="preserve">, Torino, 2023, </w:t>
      </w:r>
      <w:r w:rsidR="00837EA0" w:rsidRPr="006F61C8">
        <w:rPr>
          <w:rFonts w:ascii="Garamond" w:hAnsi="Garamond" w:cs="Times New Roman"/>
        </w:rPr>
        <w:t>134-135.</w:t>
      </w:r>
    </w:p>
  </w:footnote>
  <w:footnote w:id="4">
    <w:p w14:paraId="566709F8" w14:textId="19A1EC9B" w:rsidR="000B2BEE" w:rsidRPr="006F61C8" w:rsidRDefault="000B2BEE">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G.F. Licata, </w:t>
      </w:r>
      <w:r w:rsidRPr="006F61C8">
        <w:rPr>
          <w:rFonts w:ascii="Garamond" w:hAnsi="Garamond" w:cs="Times New Roman"/>
          <w:i/>
          <w:iCs/>
        </w:rPr>
        <w:t>op. cit</w:t>
      </w:r>
      <w:r w:rsidRPr="006F61C8">
        <w:rPr>
          <w:rFonts w:ascii="Garamond" w:hAnsi="Garamond" w:cs="Times New Roman"/>
        </w:rPr>
        <w:t>., 136.</w:t>
      </w:r>
    </w:p>
  </w:footnote>
  <w:footnote w:id="5">
    <w:p w14:paraId="3809830B" w14:textId="3E2C0DC8" w:rsidR="0084359E" w:rsidRPr="006F61C8" w:rsidRDefault="0084359E">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G.F. Licata, </w:t>
      </w:r>
      <w:r w:rsidRPr="006F61C8">
        <w:rPr>
          <w:rFonts w:ascii="Garamond" w:hAnsi="Garamond" w:cs="Times New Roman"/>
          <w:i/>
          <w:iCs/>
        </w:rPr>
        <w:t>op. cit</w:t>
      </w:r>
      <w:r w:rsidRPr="006F61C8">
        <w:rPr>
          <w:rFonts w:ascii="Garamond" w:hAnsi="Garamond" w:cs="Times New Roman"/>
        </w:rPr>
        <w:t>., 13</w:t>
      </w:r>
      <w:r w:rsidR="00145CD9" w:rsidRPr="006F61C8">
        <w:rPr>
          <w:rFonts w:ascii="Garamond" w:hAnsi="Garamond" w:cs="Times New Roman"/>
        </w:rPr>
        <w:t>8.</w:t>
      </w:r>
    </w:p>
  </w:footnote>
  <w:footnote w:id="6">
    <w:p w14:paraId="7C2C5CA5" w14:textId="647D8487" w:rsidR="00245AB4" w:rsidRPr="006F61C8" w:rsidRDefault="00245AB4">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G.F. Licata, </w:t>
      </w:r>
      <w:r w:rsidRPr="006F61C8">
        <w:rPr>
          <w:rFonts w:ascii="Garamond" w:hAnsi="Garamond" w:cs="Times New Roman"/>
          <w:i/>
          <w:iCs/>
        </w:rPr>
        <w:t>op. cit</w:t>
      </w:r>
      <w:r w:rsidRPr="006F61C8">
        <w:rPr>
          <w:rFonts w:ascii="Garamond" w:hAnsi="Garamond" w:cs="Times New Roman"/>
        </w:rPr>
        <w:t>., 1</w:t>
      </w:r>
      <w:r w:rsidR="002D189A" w:rsidRPr="006F61C8">
        <w:rPr>
          <w:rFonts w:ascii="Garamond" w:hAnsi="Garamond" w:cs="Times New Roman"/>
        </w:rPr>
        <w:t>50.</w:t>
      </w:r>
    </w:p>
  </w:footnote>
  <w:footnote w:id="7">
    <w:p w14:paraId="63C48DAB" w14:textId="6D456CE0" w:rsidR="00273C52" w:rsidRPr="006F61C8" w:rsidRDefault="00273C52">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w:t>
      </w:r>
      <w:r w:rsidR="00A80855" w:rsidRPr="006F61C8">
        <w:rPr>
          <w:rFonts w:ascii="Garamond" w:hAnsi="Garamond" w:cs="Times New Roman"/>
        </w:rPr>
        <w:t xml:space="preserve">G.F. Licata, </w:t>
      </w:r>
      <w:r w:rsidR="00A80855" w:rsidRPr="006F61C8">
        <w:rPr>
          <w:rFonts w:ascii="Garamond" w:hAnsi="Garamond" w:cs="Times New Roman"/>
          <w:i/>
          <w:iCs/>
        </w:rPr>
        <w:t>op. cit</w:t>
      </w:r>
      <w:r w:rsidR="00293BB0" w:rsidRPr="006F61C8">
        <w:rPr>
          <w:rFonts w:ascii="Garamond" w:hAnsi="Garamond" w:cs="Times New Roman"/>
        </w:rPr>
        <w:t>.</w:t>
      </w:r>
    </w:p>
  </w:footnote>
  <w:footnote w:id="8">
    <w:p w14:paraId="19442F0D" w14:textId="44BA51A8" w:rsidR="004621F8" w:rsidRPr="006F61C8" w:rsidRDefault="004621F8">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Reperibile in </w:t>
      </w:r>
      <w:r w:rsidRPr="006F61C8">
        <w:rPr>
          <w:rFonts w:ascii="Garamond" w:hAnsi="Garamond" w:cs="Times New Roman"/>
          <w:i/>
          <w:iCs/>
        </w:rPr>
        <w:t>www.giustizia-amministrativa.it</w:t>
      </w:r>
      <w:r w:rsidRPr="006F61C8">
        <w:rPr>
          <w:rFonts w:ascii="Garamond" w:hAnsi="Garamond" w:cs="Times New Roman"/>
        </w:rPr>
        <w:t>.</w:t>
      </w:r>
    </w:p>
  </w:footnote>
  <w:footnote w:id="9">
    <w:p w14:paraId="57AF0035" w14:textId="116BC135" w:rsidR="00A85276" w:rsidRPr="006F61C8" w:rsidRDefault="00A85276" w:rsidP="00866A98">
      <w:pPr>
        <w:spacing w:after="0"/>
        <w:rPr>
          <w:rFonts w:ascii="Garamond" w:hAnsi="Garamond" w:cs="Times New Roman"/>
          <w:b/>
          <w:bCs/>
          <w:sz w:val="20"/>
          <w:szCs w:val="20"/>
        </w:rPr>
      </w:pPr>
      <w:r w:rsidRPr="006F61C8">
        <w:rPr>
          <w:rStyle w:val="Rimandonotaapidipagina"/>
          <w:rFonts w:ascii="Garamond" w:hAnsi="Garamond" w:cs="Times New Roman"/>
          <w:sz w:val="20"/>
          <w:szCs w:val="20"/>
        </w:rPr>
        <w:footnoteRef/>
      </w:r>
      <w:r w:rsidRPr="006F61C8">
        <w:rPr>
          <w:rFonts w:ascii="Garamond" w:hAnsi="Garamond" w:cs="Times New Roman"/>
          <w:sz w:val="20"/>
          <w:szCs w:val="20"/>
        </w:rPr>
        <w:t xml:space="preserve"> </w:t>
      </w:r>
      <w:r w:rsidR="00CE2F12" w:rsidRPr="006F61C8">
        <w:rPr>
          <w:rFonts w:ascii="Garamond" w:hAnsi="Garamond" w:cs="Times New Roman"/>
          <w:sz w:val="20"/>
          <w:szCs w:val="20"/>
        </w:rPr>
        <w:t xml:space="preserve">Cfr. par. 4.3. Criteri di </w:t>
      </w:r>
      <w:proofErr w:type="spellStart"/>
      <w:r w:rsidR="00CE2F12" w:rsidRPr="006F61C8">
        <w:rPr>
          <w:rFonts w:ascii="Garamond" w:hAnsi="Garamond" w:cs="Times New Roman"/>
          <w:sz w:val="20"/>
          <w:szCs w:val="20"/>
        </w:rPr>
        <w:t>massimazione</w:t>
      </w:r>
      <w:proofErr w:type="spellEnd"/>
      <w:r w:rsidR="00CE2F12" w:rsidRPr="006F61C8">
        <w:rPr>
          <w:rFonts w:ascii="Garamond" w:hAnsi="Garamond" w:cs="Times New Roman"/>
          <w:sz w:val="20"/>
          <w:szCs w:val="20"/>
        </w:rPr>
        <w:t xml:space="preserve"> delle pronunce rilevanti della giustizia amministrativa</w:t>
      </w:r>
      <w:r w:rsidR="004621F8" w:rsidRPr="006F61C8">
        <w:rPr>
          <w:rFonts w:ascii="Garamond" w:hAnsi="Garamond" w:cs="Times New Roman"/>
          <w:sz w:val="20"/>
          <w:szCs w:val="20"/>
        </w:rPr>
        <w:t>.</w:t>
      </w:r>
    </w:p>
  </w:footnote>
  <w:footnote w:id="10">
    <w:p w14:paraId="48E8C3C8" w14:textId="057E3890" w:rsidR="009613C8" w:rsidRPr="006F61C8" w:rsidRDefault="009613C8" w:rsidP="00866A98">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Cfr. par. 4.4. Criteri di redazione delle massime.</w:t>
      </w:r>
    </w:p>
  </w:footnote>
  <w:footnote w:id="11">
    <w:p w14:paraId="0311AE91" w14:textId="10AD16C7" w:rsidR="00C94DC9" w:rsidRPr="006F61C8" w:rsidRDefault="00C94DC9">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Cfr. par. 6.1. </w:t>
      </w:r>
      <w:r w:rsidR="006C4D28" w:rsidRPr="006F61C8">
        <w:rPr>
          <w:rFonts w:ascii="Garamond" w:hAnsi="Garamond" w:cs="Times New Roman"/>
        </w:rPr>
        <w:t>Obiettivi delle rassegne monotematiche.</w:t>
      </w:r>
    </w:p>
  </w:footnote>
  <w:footnote w:id="12">
    <w:p w14:paraId="07BE2170" w14:textId="6D13E333" w:rsidR="004613DC" w:rsidRPr="006F61C8" w:rsidRDefault="00E7376F" w:rsidP="004613DC">
      <w:pPr>
        <w:spacing w:after="0"/>
        <w:jc w:val="both"/>
        <w:rPr>
          <w:rFonts w:ascii="Garamond" w:hAnsi="Garamond" w:cs="Times New Roman"/>
          <w:sz w:val="20"/>
          <w:szCs w:val="20"/>
        </w:rPr>
      </w:pPr>
      <w:r w:rsidRPr="006F61C8">
        <w:rPr>
          <w:rStyle w:val="Rimandonotaapidipagina"/>
          <w:rFonts w:ascii="Garamond" w:hAnsi="Garamond" w:cs="Times New Roman"/>
          <w:sz w:val="20"/>
          <w:szCs w:val="20"/>
        </w:rPr>
        <w:footnoteRef/>
      </w:r>
      <w:r w:rsidRPr="006F61C8">
        <w:rPr>
          <w:rStyle w:val="Rimandonotaapidipagina"/>
          <w:rFonts w:ascii="Garamond" w:hAnsi="Garamond" w:cs="Times New Roman"/>
          <w:sz w:val="20"/>
          <w:szCs w:val="20"/>
        </w:rPr>
        <w:t xml:space="preserve"> </w:t>
      </w:r>
      <w:r w:rsidRPr="006F61C8">
        <w:rPr>
          <w:rFonts w:ascii="Garamond" w:hAnsi="Garamond" w:cs="Times New Roman"/>
          <w:sz w:val="20"/>
          <w:szCs w:val="20"/>
        </w:rPr>
        <w:t>Cfr. par. 6.3. Metodo di lavoro</w:t>
      </w:r>
      <w:r w:rsidR="004613DC" w:rsidRPr="006F61C8">
        <w:rPr>
          <w:rFonts w:ascii="Garamond" w:hAnsi="Garamond" w:cs="Times New Roman"/>
          <w:sz w:val="20"/>
          <w:szCs w:val="20"/>
        </w:rPr>
        <w:t>, di cui si riporta il contenuto per quanto di interesse: «-In primo luogo acquisire il materiale (di norma giurisprudenza delle Corti supreme: Corte UE, CEDU, Corte cost., Sezioni unite, Consiglio di Stato, Corte dei conti);</w:t>
      </w:r>
    </w:p>
    <w:p w14:paraId="24158A8C" w14:textId="77777777" w:rsidR="004613DC" w:rsidRPr="006F61C8" w:rsidRDefault="004613DC" w:rsidP="004613DC">
      <w:pPr>
        <w:spacing w:after="0"/>
        <w:jc w:val="both"/>
        <w:rPr>
          <w:rFonts w:ascii="Garamond" w:hAnsi="Garamond" w:cs="Times New Roman"/>
          <w:sz w:val="20"/>
          <w:szCs w:val="20"/>
        </w:rPr>
      </w:pPr>
      <w:r w:rsidRPr="006F61C8">
        <w:rPr>
          <w:rFonts w:ascii="Garamond" w:hAnsi="Garamond" w:cs="Times New Roman"/>
          <w:sz w:val="20"/>
          <w:szCs w:val="20"/>
        </w:rPr>
        <w:t>- indagine a ritroso sulla giurisprudenza ad almeno 10 anni antecedenti la rassegna (dipende in concreto dal livello di evoluzione normativa nonché dalla presenza di pronunce della Corte costituzionale, della Corte di giustizia UE e della Adunanza plenaria);</w:t>
      </w:r>
    </w:p>
    <w:p w14:paraId="6970F3ED" w14:textId="77777777" w:rsidR="004613DC" w:rsidRPr="006F61C8" w:rsidRDefault="004613DC" w:rsidP="004613DC">
      <w:pPr>
        <w:spacing w:after="0"/>
        <w:jc w:val="both"/>
        <w:rPr>
          <w:rFonts w:ascii="Garamond" w:hAnsi="Garamond" w:cs="Times New Roman"/>
          <w:sz w:val="20"/>
          <w:szCs w:val="20"/>
        </w:rPr>
      </w:pPr>
      <w:r w:rsidRPr="006F61C8">
        <w:rPr>
          <w:rFonts w:ascii="Garamond" w:hAnsi="Garamond" w:cs="Times New Roman"/>
          <w:sz w:val="20"/>
          <w:szCs w:val="20"/>
        </w:rPr>
        <w:t>- Sono indispensabili per la ricerca, quanto meno:</w:t>
      </w:r>
    </w:p>
    <w:p w14:paraId="2D4AA77C" w14:textId="77777777" w:rsidR="004613DC" w:rsidRPr="006F61C8" w:rsidRDefault="004613DC" w:rsidP="004613DC">
      <w:pPr>
        <w:spacing w:after="0"/>
        <w:jc w:val="both"/>
        <w:rPr>
          <w:rFonts w:ascii="Garamond" w:hAnsi="Garamond" w:cs="Times New Roman"/>
          <w:sz w:val="20"/>
          <w:szCs w:val="20"/>
        </w:rPr>
      </w:pPr>
      <w:r w:rsidRPr="006F61C8">
        <w:rPr>
          <w:rFonts w:ascii="Garamond" w:hAnsi="Garamond" w:cs="Times New Roman"/>
          <w:sz w:val="20"/>
          <w:szCs w:val="20"/>
        </w:rPr>
        <w:t>i) le note del Foro italiano e le News, perché all’interno di entrambe vi sono, di solito, ulteriori riferimenti giurisprudenziali a largo raggio; anche se una stessa pronuncia è stata oggetto sia di nota del Foro che di News, è necessario leggere entrambe perché si estraggono dati ulteriori e diversi;</w:t>
      </w:r>
    </w:p>
    <w:p w14:paraId="24081877" w14:textId="77777777" w:rsidR="004613DC" w:rsidRPr="006F61C8" w:rsidRDefault="004613DC" w:rsidP="004613DC">
      <w:pPr>
        <w:spacing w:after="0"/>
        <w:jc w:val="both"/>
        <w:rPr>
          <w:rFonts w:ascii="Garamond" w:hAnsi="Garamond" w:cs="Times New Roman"/>
          <w:sz w:val="20"/>
          <w:szCs w:val="20"/>
        </w:rPr>
      </w:pPr>
      <w:r w:rsidRPr="006F61C8">
        <w:rPr>
          <w:rFonts w:ascii="Garamond" w:hAnsi="Garamond" w:cs="Times New Roman"/>
          <w:sz w:val="20"/>
          <w:szCs w:val="20"/>
        </w:rPr>
        <w:t>ii) le massime riportate da Leggi d’Italia sotto le singole norme perché ordinate in cronologico e correlate alla evoluzione delle disposizioni;</w:t>
      </w:r>
    </w:p>
    <w:p w14:paraId="659F4D98" w14:textId="77777777" w:rsidR="004613DC" w:rsidRPr="006F61C8" w:rsidRDefault="004613DC" w:rsidP="004613DC">
      <w:pPr>
        <w:spacing w:after="0"/>
        <w:jc w:val="both"/>
        <w:rPr>
          <w:rFonts w:ascii="Garamond" w:hAnsi="Garamond" w:cs="Times New Roman"/>
          <w:sz w:val="20"/>
          <w:szCs w:val="20"/>
        </w:rPr>
      </w:pPr>
      <w:r w:rsidRPr="006F61C8">
        <w:rPr>
          <w:rFonts w:ascii="Garamond" w:hAnsi="Garamond" w:cs="Times New Roman"/>
          <w:sz w:val="20"/>
          <w:szCs w:val="20"/>
        </w:rPr>
        <w:t>iii) le massime reperite nell’Archivio dell’Ufficio del massimario e nelle Newsletter.</w:t>
      </w:r>
    </w:p>
    <w:p w14:paraId="5B9DC454" w14:textId="6A427614" w:rsidR="00E7376F" w:rsidRPr="006F61C8" w:rsidRDefault="004613DC" w:rsidP="004613DC">
      <w:pPr>
        <w:spacing w:after="0"/>
        <w:jc w:val="both"/>
        <w:rPr>
          <w:rFonts w:ascii="Garamond" w:hAnsi="Garamond" w:cs="Times New Roman"/>
          <w:sz w:val="20"/>
          <w:szCs w:val="20"/>
        </w:rPr>
      </w:pPr>
      <w:r w:rsidRPr="006F61C8">
        <w:rPr>
          <w:rFonts w:ascii="Garamond" w:hAnsi="Garamond" w:cs="Times New Roman"/>
          <w:sz w:val="20"/>
          <w:szCs w:val="20"/>
        </w:rPr>
        <w:t>- fare in primo luogo un sommario provvisorio (quello definitivo a conclusione del lavoro) di tutti gli argomenti – ricavabili dalla giurisprudenza – che si intendono analizzare».</w:t>
      </w:r>
    </w:p>
  </w:footnote>
  <w:footnote w:id="13">
    <w:p w14:paraId="33C5EDE0" w14:textId="2E22232D" w:rsidR="00E7376F" w:rsidRPr="006F61C8" w:rsidRDefault="00E7376F">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Cfr. par. 6.4. Impostazione contenuto.</w:t>
      </w:r>
    </w:p>
  </w:footnote>
  <w:footnote w:id="14">
    <w:p w14:paraId="4B8FFF1F" w14:textId="19A6F3F0" w:rsidR="00E7280F" w:rsidRPr="006F61C8" w:rsidRDefault="00E7280F" w:rsidP="00190464">
      <w:pPr>
        <w:pStyle w:val="Testonotaapidipagina"/>
        <w:jc w:val="both"/>
        <w:rPr>
          <w:rFonts w:ascii="Garamond" w:hAnsi="Garamond" w:cs="Times New Roman"/>
        </w:rPr>
      </w:pPr>
      <w:r w:rsidRPr="006F61C8">
        <w:rPr>
          <w:rStyle w:val="Rimandonotaapidipagina"/>
          <w:rFonts w:ascii="Garamond" w:hAnsi="Garamond" w:cs="Times New Roman"/>
        </w:rPr>
        <w:footnoteRef/>
      </w:r>
      <w:r w:rsidR="00190464" w:rsidRPr="006F61C8">
        <w:rPr>
          <w:rFonts w:ascii="Garamond" w:hAnsi="Garamond" w:cs="Times New Roman"/>
        </w:rPr>
        <w:t xml:space="preserve"> Cfr. G. Serra,</w:t>
      </w:r>
      <w:r w:rsidRPr="006F61C8">
        <w:rPr>
          <w:rFonts w:ascii="Garamond" w:hAnsi="Garamond" w:cs="Times New Roman"/>
        </w:rPr>
        <w:t xml:space="preserve"> </w:t>
      </w:r>
      <w:r w:rsidR="00190464" w:rsidRPr="006F61C8">
        <w:rPr>
          <w:rFonts w:ascii="Garamond" w:hAnsi="Garamond" w:cs="Times New Roman"/>
          <w:i/>
          <w:iCs/>
        </w:rPr>
        <w:t>Il risarcimento del danno davanti al giudice amministrativo</w:t>
      </w:r>
      <w:r w:rsidR="00190464" w:rsidRPr="006F61C8">
        <w:rPr>
          <w:rFonts w:ascii="Garamond" w:hAnsi="Garamond" w:cs="Times New Roman"/>
        </w:rPr>
        <w:t xml:space="preserve">, Rassegna monotematica di giurisprudenza, Ufficio del massimario della giustizia amministrativa, 27 settembre 2025, in </w:t>
      </w:r>
      <w:r w:rsidR="00190464" w:rsidRPr="006F61C8">
        <w:rPr>
          <w:rFonts w:ascii="Garamond" w:hAnsi="Garamond" w:cs="Times New Roman"/>
          <w:i/>
          <w:iCs/>
        </w:rPr>
        <w:t>www.giustizia-amministrativa.it</w:t>
      </w:r>
      <w:r w:rsidR="00190464" w:rsidRPr="006F61C8">
        <w:rPr>
          <w:rFonts w:ascii="Garamond" w:hAnsi="Garamond" w:cs="Times New Roman"/>
        </w:rPr>
        <w:t>.</w:t>
      </w:r>
    </w:p>
  </w:footnote>
  <w:footnote w:id="15">
    <w:p w14:paraId="48B2D64C" w14:textId="4297AF11" w:rsidR="00443F42" w:rsidRPr="006F61C8" w:rsidRDefault="00443F42">
      <w:pPr>
        <w:pStyle w:val="Testonotaapidipagina"/>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Cfr. G.F. Licata, </w:t>
      </w:r>
      <w:r w:rsidRPr="006F61C8">
        <w:rPr>
          <w:rFonts w:ascii="Garamond" w:hAnsi="Garamond" w:cs="Times New Roman"/>
          <w:i/>
          <w:iCs/>
        </w:rPr>
        <w:t>op. cit</w:t>
      </w:r>
      <w:r w:rsidRPr="006F61C8">
        <w:rPr>
          <w:rFonts w:ascii="Garamond" w:hAnsi="Garamond" w:cs="Times New Roman"/>
        </w:rPr>
        <w:t>., 161-162.</w:t>
      </w:r>
    </w:p>
  </w:footnote>
  <w:footnote w:id="16">
    <w:p w14:paraId="0D80ED4E" w14:textId="12A8C0E4" w:rsidR="00537AE4" w:rsidRPr="006F61C8" w:rsidRDefault="00537AE4" w:rsidP="00190464">
      <w:pPr>
        <w:pStyle w:val="Testonotaapidipagina"/>
        <w:jc w:val="both"/>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w:t>
      </w:r>
      <w:r w:rsidR="007706AA" w:rsidRPr="006F61C8">
        <w:rPr>
          <w:rFonts w:ascii="Garamond" w:hAnsi="Garamond" w:cs="Times New Roman"/>
        </w:rPr>
        <w:t xml:space="preserve">Cfr. </w:t>
      </w:r>
      <w:r w:rsidR="009560B3" w:rsidRPr="006F61C8">
        <w:rPr>
          <w:rFonts w:ascii="Garamond" w:hAnsi="Garamond" w:cs="Times New Roman"/>
        </w:rPr>
        <w:t xml:space="preserve">V. Poli, G. Serra, </w:t>
      </w:r>
      <w:r w:rsidR="00190464" w:rsidRPr="006F61C8">
        <w:rPr>
          <w:rFonts w:ascii="Garamond" w:hAnsi="Garamond" w:cs="Times New Roman"/>
          <w:i/>
          <w:iCs/>
        </w:rPr>
        <w:t>Il codice del processo amministrativo nella elaborazione dell’Adunanza plenaria</w:t>
      </w:r>
      <w:r w:rsidR="007706AA" w:rsidRPr="006F61C8">
        <w:rPr>
          <w:rFonts w:ascii="Garamond" w:hAnsi="Garamond" w:cs="Times New Roman"/>
        </w:rPr>
        <w:t xml:space="preserve">, Rassegna monotematica di giurisprudenza, Ufficio del massimario della giustizia amministrativa, </w:t>
      </w:r>
      <w:r w:rsidR="009560B3" w:rsidRPr="006F61C8">
        <w:rPr>
          <w:rFonts w:ascii="Garamond" w:hAnsi="Garamond" w:cs="Times New Roman"/>
        </w:rPr>
        <w:t xml:space="preserve">17 luglio 2025, </w:t>
      </w:r>
      <w:r w:rsidRPr="006F61C8">
        <w:rPr>
          <w:rFonts w:ascii="Garamond" w:hAnsi="Garamond" w:cs="Times New Roman"/>
        </w:rPr>
        <w:t xml:space="preserve">in </w:t>
      </w:r>
      <w:r w:rsidRPr="006F61C8">
        <w:rPr>
          <w:rFonts w:ascii="Garamond" w:hAnsi="Garamond" w:cs="Times New Roman"/>
          <w:i/>
          <w:iCs/>
        </w:rPr>
        <w:t>www.giustizia-amministrativa.it</w:t>
      </w:r>
      <w:r w:rsidRPr="006F61C8">
        <w:rPr>
          <w:rFonts w:ascii="Garamond" w:hAnsi="Garamond" w:cs="Times New Roman"/>
        </w:rPr>
        <w:t>.</w:t>
      </w:r>
    </w:p>
  </w:footnote>
  <w:footnote w:id="17">
    <w:p w14:paraId="1F241D9B" w14:textId="40D2E75B" w:rsidR="00501D2B" w:rsidRPr="006F61C8" w:rsidRDefault="00E33B56" w:rsidP="00B345A7">
      <w:pPr>
        <w:pStyle w:val="Testonotaapidipagina"/>
        <w:jc w:val="both"/>
        <w:rPr>
          <w:rFonts w:ascii="Garamond" w:hAnsi="Garamond" w:cs="Times New Roman"/>
        </w:rPr>
      </w:pPr>
      <w:r w:rsidRPr="006F61C8">
        <w:rPr>
          <w:rStyle w:val="Rimandonotaapidipagina"/>
          <w:rFonts w:ascii="Garamond" w:hAnsi="Garamond" w:cs="Times New Roman"/>
        </w:rPr>
        <w:footnoteRef/>
      </w:r>
      <w:r w:rsidRPr="006F61C8">
        <w:rPr>
          <w:rFonts w:ascii="Garamond" w:hAnsi="Garamond" w:cs="Times New Roman"/>
        </w:rPr>
        <w:t xml:space="preserve"> Aiuta </w:t>
      </w:r>
      <w:r w:rsidR="004F326D" w:rsidRPr="006F61C8">
        <w:rPr>
          <w:rFonts w:ascii="Garamond" w:hAnsi="Garamond" w:cs="Times New Roman"/>
        </w:rPr>
        <w:t>a comprendere quanto detto già il sommario del ridetto capitolo: «</w:t>
      </w:r>
      <w:r w:rsidR="00355BF2" w:rsidRPr="006F61C8">
        <w:rPr>
          <w:rFonts w:ascii="Garamond" w:hAnsi="Garamond" w:cs="Times New Roman"/>
        </w:rPr>
        <w:t>§ 1. Principi secondari. § 1.1. Presupposti applicativi: analogia legis e analogia iuris. § 1.2. Il valore della legge delega. § 1.3. Casistica.» e il contenuto del</w:t>
      </w:r>
      <w:r w:rsidR="005B4CD9">
        <w:rPr>
          <w:rFonts w:ascii="Garamond" w:hAnsi="Garamond" w:cs="Times New Roman"/>
        </w:rPr>
        <w:t xml:space="preserve"> primo</w:t>
      </w:r>
      <w:r w:rsidR="007E0EAD">
        <w:rPr>
          <w:rFonts w:ascii="Garamond" w:hAnsi="Garamond" w:cs="Times New Roman"/>
        </w:rPr>
        <w:t xml:space="preserve"> paragrafo</w:t>
      </w:r>
      <w:r w:rsidR="00355BF2" w:rsidRPr="006F61C8">
        <w:rPr>
          <w:rFonts w:ascii="Garamond" w:hAnsi="Garamond" w:cs="Times New Roman"/>
        </w:rPr>
        <w:t>: «</w:t>
      </w:r>
      <w:r w:rsidR="00B345A7" w:rsidRPr="006F61C8">
        <w:rPr>
          <w:rFonts w:ascii="Garamond" w:hAnsi="Garamond" w:cs="Times New Roman"/>
        </w:rPr>
        <w:t xml:space="preserve">Sotto il profilo sistematico, l’applicazione delle disposizioni del codice di procedura civile nel processo amministrativo, per il tramite dell’art. 39 </w:t>
      </w:r>
      <w:proofErr w:type="spellStart"/>
      <w:r w:rsidR="00B345A7" w:rsidRPr="006F61C8">
        <w:rPr>
          <w:rFonts w:ascii="Garamond" w:hAnsi="Garamond" w:cs="Times New Roman"/>
        </w:rPr>
        <w:t>c.p.a</w:t>
      </w:r>
      <w:proofErr w:type="spellEnd"/>
      <w:r w:rsidR="00B345A7" w:rsidRPr="006F61C8">
        <w:rPr>
          <w:rFonts w:ascii="Garamond" w:hAnsi="Garamond" w:cs="Times New Roman"/>
        </w:rPr>
        <w:t xml:space="preserve">., presuppone la doppia verifica che ci sia una lacuna nel </w:t>
      </w:r>
      <w:proofErr w:type="spellStart"/>
      <w:r w:rsidR="00B345A7" w:rsidRPr="006F61C8">
        <w:rPr>
          <w:rFonts w:ascii="Garamond" w:hAnsi="Garamond" w:cs="Times New Roman"/>
        </w:rPr>
        <w:t>c.p.a</w:t>
      </w:r>
      <w:proofErr w:type="spellEnd"/>
      <w:r w:rsidR="00B345A7" w:rsidRPr="006F61C8">
        <w:rPr>
          <w:rFonts w:ascii="Garamond" w:hAnsi="Garamond" w:cs="Times New Roman"/>
        </w:rPr>
        <w:t xml:space="preserve">. e che la disposizione richiamata sia espressione di un principio generale o sia compatibile con il </w:t>
      </w:r>
      <w:proofErr w:type="spellStart"/>
      <w:r w:rsidR="00B345A7" w:rsidRPr="006F61C8">
        <w:rPr>
          <w:rFonts w:ascii="Garamond" w:hAnsi="Garamond" w:cs="Times New Roman"/>
        </w:rPr>
        <w:t>c.p.a</w:t>
      </w:r>
      <w:proofErr w:type="spellEnd"/>
      <w:r w:rsidR="00B345A7" w:rsidRPr="006F61C8">
        <w:rPr>
          <w:rFonts w:ascii="Garamond" w:hAnsi="Garamond" w:cs="Times New Roman"/>
        </w:rPr>
        <w:t xml:space="preserve">. (sentenza 20 novembre 2024, n. 16 </w:t>
      </w:r>
      <w:proofErr w:type="spellStart"/>
      <w:r w:rsidR="00B345A7" w:rsidRPr="006F61C8">
        <w:rPr>
          <w:rFonts w:ascii="Garamond" w:hAnsi="Garamond" w:cs="Times New Roman"/>
        </w:rPr>
        <w:t>pres</w:t>
      </w:r>
      <w:proofErr w:type="spellEnd"/>
      <w:r w:rsidR="00B345A7" w:rsidRPr="006F61C8">
        <w:rPr>
          <w:rFonts w:ascii="Garamond" w:hAnsi="Garamond" w:cs="Times New Roman"/>
        </w:rPr>
        <w:t xml:space="preserve">. Maruotti, est. De Nictolis; sentenza 22 marzo 2024, n. 4, </w:t>
      </w:r>
      <w:proofErr w:type="spellStart"/>
      <w:r w:rsidR="00B345A7" w:rsidRPr="006F61C8">
        <w:rPr>
          <w:rFonts w:ascii="Garamond" w:hAnsi="Garamond" w:cs="Times New Roman"/>
        </w:rPr>
        <w:t>pres</w:t>
      </w:r>
      <w:proofErr w:type="spellEnd"/>
      <w:r w:rsidR="00B345A7" w:rsidRPr="006F61C8">
        <w:rPr>
          <w:rFonts w:ascii="Garamond" w:hAnsi="Garamond" w:cs="Times New Roman"/>
        </w:rPr>
        <w:t xml:space="preserve">. Maruotti, est. De Nictolis). </w:t>
      </w:r>
    </w:p>
    <w:p w14:paraId="0C85CA8E" w14:textId="77777777" w:rsidR="00501D2B" w:rsidRPr="006F61C8" w:rsidRDefault="00B345A7" w:rsidP="00B345A7">
      <w:pPr>
        <w:pStyle w:val="Testonotaapidipagina"/>
        <w:jc w:val="both"/>
        <w:rPr>
          <w:rFonts w:ascii="Garamond" w:hAnsi="Garamond" w:cs="Times New Roman"/>
        </w:rPr>
      </w:pPr>
      <w:r w:rsidRPr="006F61C8">
        <w:rPr>
          <w:rFonts w:ascii="Garamond" w:hAnsi="Garamond" w:cs="Times New Roman"/>
        </w:rPr>
        <w:t xml:space="preserve">Siffatta previsione consente l’applicazione del c.p.c. attraverso gli strumenti dell’analogia legis e dell’analogia iuris di cui all’art. 12, secondo comma, disp. </w:t>
      </w:r>
      <w:proofErr w:type="spellStart"/>
      <w:r w:rsidRPr="006F61C8">
        <w:rPr>
          <w:rFonts w:ascii="Garamond" w:hAnsi="Garamond" w:cs="Times New Roman"/>
        </w:rPr>
        <w:t>prel</w:t>
      </w:r>
      <w:proofErr w:type="spellEnd"/>
      <w:r w:rsidRPr="006F61C8">
        <w:rPr>
          <w:rFonts w:ascii="Garamond" w:hAnsi="Garamond" w:cs="Times New Roman"/>
        </w:rPr>
        <w:t xml:space="preserve">. c.c., ma la circostanza che una disposizione del processo civile sia espressione di un principio generale non giustifica di per sé sola l’estensione del principio </w:t>
      </w:r>
      <w:proofErr w:type="spellStart"/>
      <w:r w:rsidRPr="006F61C8">
        <w:rPr>
          <w:rFonts w:ascii="Garamond" w:hAnsi="Garamond" w:cs="Times New Roman"/>
        </w:rPr>
        <w:t>processualcivilistico</w:t>
      </w:r>
      <w:proofErr w:type="spellEnd"/>
      <w:r w:rsidRPr="006F61C8">
        <w:rPr>
          <w:rFonts w:ascii="Garamond" w:hAnsi="Garamond" w:cs="Times New Roman"/>
        </w:rPr>
        <w:t xml:space="preserve"> al processo amministrativo o il suo utilizzo come criterio ermeneutico. Invero, la regolamentazione di una fattispecie concreta mediante i principi generali piuttosto che mediante disposizioni puntuali, è consentita dall’ordinamento positivo solo: i) quando i principi siano gerarchicamente sovraordinati e siano pertanto prevalenti a prescindere da una lacuna dell’ordinamento (ad es. i principi </w:t>
      </w:r>
      <w:proofErr w:type="spellStart"/>
      <w:r w:rsidRPr="006F61C8">
        <w:rPr>
          <w:rFonts w:ascii="Garamond" w:hAnsi="Garamond" w:cs="Times New Roman"/>
        </w:rPr>
        <w:t>eurounitari</w:t>
      </w:r>
      <w:proofErr w:type="spellEnd"/>
      <w:r w:rsidRPr="006F61C8">
        <w:rPr>
          <w:rFonts w:ascii="Garamond" w:hAnsi="Garamond" w:cs="Times New Roman"/>
        </w:rPr>
        <w:t xml:space="preserve">); ii) quando vi sia una lacuna normativa da colmare (analogia iuris ex art. 12, comma 2, disp. </w:t>
      </w:r>
      <w:proofErr w:type="spellStart"/>
      <w:r w:rsidRPr="006F61C8">
        <w:rPr>
          <w:rFonts w:ascii="Garamond" w:hAnsi="Garamond" w:cs="Times New Roman"/>
        </w:rPr>
        <w:t>prel</w:t>
      </w:r>
      <w:proofErr w:type="spellEnd"/>
      <w:r w:rsidRPr="006F61C8">
        <w:rPr>
          <w:rFonts w:ascii="Garamond" w:hAnsi="Garamond" w:cs="Times New Roman"/>
        </w:rPr>
        <w:t xml:space="preserve">. c.c.); iii) quando una legge stabilisca espressamente che i principi da essa enunciati prevalgono sulle sue regole puntuali o ne costituiscono criterio esegetico, come si verifica, ad esempio, con l’art. 1, comma 4, d.lgs. n. 36/2023 (sentenza 20 novembre 2024, n. 16 </w:t>
      </w:r>
      <w:proofErr w:type="spellStart"/>
      <w:r w:rsidRPr="006F61C8">
        <w:rPr>
          <w:rFonts w:ascii="Garamond" w:hAnsi="Garamond" w:cs="Times New Roman"/>
        </w:rPr>
        <w:t>pres</w:t>
      </w:r>
      <w:proofErr w:type="spellEnd"/>
      <w:r w:rsidRPr="006F61C8">
        <w:rPr>
          <w:rFonts w:ascii="Garamond" w:hAnsi="Garamond" w:cs="Times New Roman"/>
        </w:rPr>
        <w:t xml:space="preserve">. Maruotti, est. De Nictolis). </w:t>
      </w:r>
    </w:p>
    <w:p w14:paraId="16CB139B" w14:textId="77777777" w:rsidR="00501D2B" w:rsidRPr="006F61C8" w:rsidRDefault="00B345A7" w:rsidP="00B345A7">
      <w:pPr>
        <w:pStyle w:val="Testonotaapidipagina"/>
        <w:jc w:val="both"/>
        <w:rPr>
          <w:rFonts w:ascii="Garamond" w:hAnsi="Garamond" w:cs="Times New Roman"/>
        </w:rPr>
      </w:pPr>
      <w:r w:rsidRPr="006F61C8">
        <w:rPr>
          <w:rFonts w:ascii="Garamond" w:hAnsi="Garamond" w:cs="Times New Roman"/>
        </w:rPr>
        <w:t xml:space="preserve">Tanto premesso emerge che il c.p.c. non è una fonte del diritto sovraordinata al </w:t>
      </w:r>
      <w:proofErr w:type="spellStart"/>
      <w:r w:rsidRPr="006F61C8">
        <w:rPr>
          <w:rFonts w:ascii="Garamond" w:hAnsi="Garamond" w:cs="Times New Roman"/>
        </w:rPr>
        <w:t>c.p.a</w:t>
      </w:r>
      <w:proofErr w:type="spellEnd"/>
      <w:r w:rsidRPr="006F61C8">
        <w:rPr>
          <w:rFonts w:ascii="Garamond" w:hAnsi="Garamond" w:cs="Times New Roman"/>
        </w:rPr>
        <w:t xml:space="preserve">. e che nessuna disposizione del </w:t>
      </w:r>
      <w:proofErr w:type="spellStart"/>
      <w:r w:rsidRPr="006F61C8">
        <w:rPr>
          <w:rFonts w:ascii="Garamond" w:hAnsi="Garamond" w:cs="Times New Roman"/>
        </w:rPr>
        <w:t>c.p.a</w:t>
      </w:r>
      <w:proofErr w:type="spellEnd"/>
      <w:r w:rsidRPr="006F61C8">
        <w:rPr>
          <w:rFonts w:ascii="Garamond" w:hAnsi="Garamond" w:cs="Times New Roman"/>
        </w:rPr>
        <w:t xml:space="preserve">. affida ai principi del processo civile una valenza di canone esegetico del </w:t>
      </w:r>
      <w:proofErr w:type="spellStart"/>
      <w:r w:rsidRPr="006F61C8">
        <w:rPr>
          <w:rFonts w:ascii="Garamond" w:hAnsi="Garamond" w:cs="Times New Roman"/>
        </w:rPr>
        <w:t>c.p.a</w:t>
      </w:r>
      <w:proofErr w:type="spellEnd"/>
      <w:r w:rsidRPr="006F61C8">
        <w:rPr>
          <w:rFonts w:ascii="Garamond" w:hAnsi="Garamond" w:cs="Times New Roman"/>
        </w:rPr>
        <w:t xml:space="preserve">. (sentenza 20 novembre 2024, n. 16 </w:t>
      </w:r>
      <w:proofErr w:type="spellStart"/>
      <w:r w:rsidRPr="006F61C8">
        <w:rPr>
          <w:rFonts w:ascii="Garamond" w:hAnsi="Garamond" w:cs="Times New Roman"/>
        </w:rPr>
        <w:t>pres</w:t>
      </w:r>
      <w:proofErr w:type="spellEnd"/>
      <w:r w:rsidRPr="006F61C8">
        <w:rPr>
          <w:rFonts w:ascii="Garamond" w:hAnsi="Garamond" w:cs="Times New Roman"/>
        </w:rPr>
        <w:t xml:space="preserve">. Maruotti, est. De Nictolis, fattispecie relativa all’applicazione dell’art. 105 </w:t>
      </w:r>
      <w:proofErr w:type="spellStart"/>
      <w:r w:rsidRPr="006F61C8">
        <w:rPr>
          <w:rFonts w:ascii="Garamond" w:hAnsi="Garamond" w:cs="Times New Roman"/>
        </w:rPr>
        <w:t>c.p.a</w:t>
      </w:r>
      <w:proofErr w:type="spellEnd"/>
      <w:r w:rsidRPr="006F61C8">
        <w:rPr>
          <w:rFonts w:ascii="Garamond" w:hAnsi="Garamond" w:cs="Times New Roman"/>
        </w:rPr>
        <w:t>., infra cap. 28 § 4).</w:t>
      </w:r>
    </w:p>
    <w:p w14:paraId="4E76F6D1" w14:textId="77777777" w:rsidR="00501D2B" w:rsidRPr="006F61C8" w:rsidRDefault="00B345A7" w:rsidP="00B345A7">
      <w:pPr>
        <w:pStyle w:val="Testonotaapidipagina"/>
        <w:jc w:val="both"/>
        <w:rPr>
          <w:rFonts w:ascii="Garamond" w:hAnsi="Garamond" w:cs="Times New Roman"/>
        </w:rPr>
      </w:pPr>
      <w:r w:rsidRPr="006F61C8">
        <w:rPr>
          <w:rFonts w:ascii="Garamond" w:hAnsi="Garamond" w:cs="Times New Roman"/>
        </w:rPr>
        <w:t xml:space="preserve">In altri termini, la diretta applicabilità delle disposizioni processuali civili al processo amministrativo è consentita nelle sole ipotesi in cui il primo ordinamento esprima principi generali che non rinvengono nel secondo una sufficiente ed esaustiva declinazione regolatoria (sentenza 27 aprile 2015, n. 5, </w:t>
      </w:r>
      <w:proofErr w:type="spellStart"/>
      <w:r w:rsidRPr="006F61C8">
        <w:rPr>
          <w:rFonts w:ascii="Garamond" w:hAnsi="Garamond" w:cs="Times New Roman"/>
        </w:rPr>
        <w:t>pres</w:t>
      </w:r>
      <w:proofErr w:type="spellEnd"/>
      <w:r w:rsidRPr="006F61C8">
        <w:rPr>
          <w:rFonts w:ascii="Garamond" w:hAnsi="Garamond" w:cs="Times New Roman"/>
        </w:rPr>
        <w:t xml:space="preserve">. Giovannini, est. Poli; sentenza 13 aprile 2015, n. 4, </w:t>
      </w:r>
      <w:proofErr w:type="spellStart"/>
      <w:r w:rsidRPr="006F61C8">
        <w:rPr>
          <w:rFonts w:ascii="Garamond" w:hAnsi="Garamond" w:cs="Times New Roman"/>
        </w:rPr>
        <w:t>pres</w:t>
      </w:r>
      <w:proofErr w:type="spellEnd"/>
      <w:r w:rsidRPr="006F61C8">
        <w:rPr>
          <w:rFonts w:ascii="Garamond" w:hAnsi="Garamond" w:cs="Times New Roman"/>
        </w:rPr>
        <w:t xml:space="preserve">. Giovannini, est. De Felice; ordinanza 10 dicembre 2014, n. 33, </w:t>
      </w:r>
      <w:proofErr w:type="spellStart"/>
      <w:r w:rsidRPr="006F61C8">
        <w:rPr>
          <w:rFonts w:ascii="Garamond" w:hAnsi="Garamond" w:cs="Times New Roman"/>
        </w:rPr>
        <w:t>pres</w:t>
      </w:r>
      <w:proofErr w:type="spellEnd"/>
      <w:r w:rsidRPr="006F61C8">
        <w:rPr>
          <w:rFonts w:ascii="Garamond" w:hAnsi="Garamond" w:cs="Times New Roman"/>
        </w:rPr>
        <w:t xml:space="preserve">. Giovannini, est. Deodato). </w:t>
      </w:r>
    </w:p>
    <w:p w14:paraId="36C4F994" w14:textId="07BBE619" w:rsidR="00E33B56" w:rsidRPr="006F61C8" w:rsidRDefault="00B345A7" w:rsidP="00B345A7">
      <w:pPr>
        <w:pStyle w:val="Testonotaapidipagina"/>
        <w:jc w:val="both"/>
        <w:rPr>
          <w:rFonts w:ascii="Garamond" w:hAnsi="Garamond" w:cs="Times New Roman"/>
        </w:rPr>
      </w:pPr>
      <w:r w:rsidRPr="006F61C8">
        <w:rPr>
          <w:rFonts w:ascii="Garamond" w:hAnsi="Garamond" w:cs="Times New Roman"/>
        </w:rPr>
        <w:t xml:space="preserve">In particolare, quando la controversia abbia ad oggetto posizioni di interesse legittimo, l’impianto sistematico del codice di procedura civile non può essere automaticamente trasposto nel processo amministrativo, dovendo i meccanismi di intervento adattarsi alle specificità strutturali di ciascuna tipologia di giudizio. Diversamente, quando è chiesta la tutela di un diritto soggettivo in sede di giurisdizione esclusiva, si applicano senz’altro le regole ed i principi desumibili dal codice di procedura civile (sentenza non definitiva 29 ottobre 2024, n. 15, </w:t>
      </w:r>
      <w:proofErr w:type="spellStart"/>
      <w:r w:rsidRPr="006F61C8">
        <w:rPr>
          <w:rFonts w:ascii="Garamond" w:hAnsi="Garamond" w:cs="Times New Roman"/>
        </w:rPr>
        <w:t>pres</w:t>
      </w:r>
      <w:proofErr w:type="spellEnd"/>
      <w:r w:rsidRPr="006F61C8">
        <w:rPr>
          <w:rFonts w:ascii="Garamond" w:hAnsi="Garamond" w:cs="Times New Roman"/>
        </w:rPr>
        <w:t>. Maruotti, est. Simeoli, fattispecie relativa alla disciplina dell’intervento in giudizio)».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90F8E"/>
    <w:multiLevelType w:val="hybridMultilevel"/>
    <w:tmpl w:val="CE14794C"/>
    <w:lvl w:ilvl="0" w:tplc="A5647B68">
      <w:start w:val="1"/>
      <w:numFmt w:val="lowerRoman"/>
      <w:lvlText w:val="%1)"/>
      <w:lvlJc w:val="left"/>
      <w:pPr>
        <w:ind w:left="1429" w:hanging="720"/>
      </w:pPr>
      <w:rPr>
        <w:rFonts w:hint="default"/>
        <w:i/>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num w:numId="1" w16cid:durableId="1922444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A49"/>
    <w:rsid w:val="000256BE"/>
    <w:rsid w:val="00053BCB"/>
    <w:rsid w:val="00091F22"/>
    <w:rsid w:val="000A3D0C"/>
    <w:rsid w:val="000A5C2F"/>
    <w:rsid w:val="000B2BEE"/>
    <w:rsid w:val="000B663D"/>
    <w:rsid w:val="000C5CC8"/>
    <w:rsid w:val="000F0D44"/>
    <w:rsid w:val="000F4B45"/>
    <w:rsid w:val="00103AB3"/>
    <w:rsid w:val="00131266"/>
    <w:rsid w:val="00131C1A"/>
    <w:rsid w:val="001360AB"/>
    <w:rsid w:val="0014522F"/>
    <w:rsid w:val="00145CD9"/>
    <w:rsid w:val="00155088"/>
    <w:rsid w:val="00163648"/>
    <w:rsid w:val="00166AB7"/>
    <w:rsid w:val="001871E6"/>
    <w:rsid w:val="001875DD"/>
    <w:rsid w:val="00190464"/>
    <w:rsid w:val="001908F2"/>
    <w:rsid w:val="001A00CC"/>
    <w:rsid w:val="001B0FBE"/>
    <w:rsid w:val="001B44D5"/>
    <w:rsid w:val="001B535E"/>
    <w:rsid w:val="001C7570"/>
    <w:rsid w:val="001C7B49"/>
    <w:rsid w:val="001E4792"/>
    <w:rsid w:val="001E62F6"/>
    <w:rsid w:val="00222C19"/>
    <w:rsid w:val="0022374E"/>
    <w:rsid w:val="002412F7"/>
    <w:rsid w:val="00245AB4"/>
    <w:rsid w:val="00246C59"/>
    <w:rsid w:val="002716DE"/>
    <w:rsid w:val="00273C52"/>
    <w:rsid w:val="00287E8E"/>
    <w:rsid w:val="00293BB0"/>
    <w:rsid w:val="00297179"/>
    <w:rsid w:val="002A0563"/>
    <w:rsid w:val="002A3B4E"/>
    <w:rsid w:val="002A4D7A"/>
    <w:rsid w:val="002D189A"/>
    <w:rsid w:val="002D7B06"/>
    <w:rsid w:val="002F2ABB"/>
    <w:rsid w:val="002F533E"/>
    <w:rsid w:val="003259A5"/>
    <w:rsid w:val="003301C5"/>
    <w:rsid w:val="00335B5D"/>
    <w:rsid w:val="0034056D"/>
    <w:rsid w:val="00355BF2"/>
    <w:rsid w:val="00360E6B"/>
    <w:rsid w:val="00365998"/>
    <w:rsid w:val="003777B9"/>
    <w:rsid w:val="00381909"/>
    <w:rsid w:val="0038486B"/>
    <w:rsid w:val="00390469"/>
    <w:rsid w:val="00411CFA"/>
    <w:rsid w:val="004352F3"/>
    <w:rsid w:val="00443F42"/>
    <w:rsid w:val="004537CA"/>
    <w:rsid w:val="004613DC"/>
    <w:rsid w:val="004621F8"/>
    <w:rsid w:val="00477286"/>
    <w:rsid w:val="004858D5"/>
    <w:rsid w:val="00490F22"/>
    <w:rsid w:val="0049352B"/>
    <w:rsid w:val="0049687D"/>
    <w:rsid w:val="004E4B7B"/>
    <w:rsid w:val="004F326D"/>
    <w:rsid w:val="005017DE"/>
    <w:rsid w:val="00501D2B"/>
    <w:rsid w:val="005122EC"/>
    <w:rsid w:val="00537AE4"/>
    <w:rsid w:val="00556F8A"/>
    <w:rsid w:val="0056365C"/>
    <w:rsid w:val="005710DB"/>
    <w:rsid w:val="00583AD1"/>
    <w:rsid w:val="005B4CD9"/>
    <w:rsid w:val="005E0C17"/>
    <w:rsid w:val="005E2F82"/>
    <w:rsid w:val="005F14A4"/>
    <w:rsid w:val="00607787"/>
    <w:rsid w:val="00621AC0"/>
    <w:rsid w:val="006347D2"/>
    <w:rsid w:val="00652078"/>
    <w:rsid w:val="00655F37"/>
    <w:rsid w:val="006708A3"/>
    <w:rsid w:val="006965CE"/>
    <w:rsid w:val="0069793E"/>
    <w:rsid w:val="00697E39"/>
    <w:rsid w:val="006A32DD"/>
    <w:rsid w:val="006C4D28"/>
    <w:rsid w:val="006D2E77"/>
    <w:rsid w:val="006F61C8"/>
    <w:rsid w:val="00753DF1"/>
    <w:rsid w:val="0075445F"/>
    <w:rsid w:val="00756E59"/>
    <w:rsid w:val="007706AA"/>
    <w:rsid w:val="00790D91"/>
    <w:rsid w:val="007A130C"/>
    <w:rsid w:val="007A460D"/>
    <w:rsid w:val="007A5981"/>
    <w:rsid w:val="007C2744"/>
    <w:rsid w:val="007E0EAD"/>
    <w:rsid w:val="007E5386"/>
    <w:rsid w:val="007F7D94"/>
    <w:rsid w:val="008034CD"/>
    <w:rsid w:val="00837EA0"/>
    <w:rsid w:val="0084358E"/>
    <w:rsid w:val="0084359E"/>
    <w:rsid w:val="00843A3C"/>
    <w:rsid w:val="00846C93"/>
    <w:rsid w:val="00857AE0"/>
    <w:rsid w:val="00862D73"/>
    <w:rsid w:val="00865DFF"/>
    <w:rsid w:val="00866A98"/>
    <w:rsid w:val="008806A6"/>
    <w:rsid w:val="00896A49"/>
    <w:rsid w:val="008F2ED0"/>
    <w:rsid w:val="00900020"/>
    <w:rsid w:val="009328C8"/>
    <w:rsid w:val="009560B3"/>
    <w:rsid w:val="009613C8"/>
    <w:rsid w:val="00977AA5"/>
    <w:rsid w:val="0098179D"/>
    <w:rsid w:val="0098589B"/>
    <w:rsid w:val="00986F78"/>
    <w:rsid w:val="009A2B6A"/>
    <w:rsid w:val="009C5F2A"/>
    <w:rsid w:val="00A444D3"/>
    <w:rsid w:val="00A74CF1"/>
    <w:rsid w:val="00A80855"/>
    <w:rsid w:val="00A85276"/>
    <w:rsid w:val="00A9280A"/>
    <w:rsid w:val="00AB1BB6"/>
    <w:rsid w:val="00AC0414"/>
    <w:rsid w:val="00AE3DB9"/>
    <w:rsid w:val="00AE3E6C"/>
    <w:rsid w:val="00B044B4"/>
    <w:rsid w:val="00B072EC"/>
    <w:rsid w:val="00B323FB"/>
    <w:rsid w:val="00B345A7"/>
    <w:rsid w:val="00B6330C"/>
    <w:rsid w:val="00B70753"/>
    <w:rsid w:val="00B81A8F"/>
    <w:rsid w:val="00B91D1A"/>
    <w:rsid w:val="00C046E8"/>
    <w:rsid w:val="00C15B20"/>
    <w:rsid w:val="00C16B23"/>
    <w:rsid w:val="00C17561"/>
    <w:rsid w:val="00C25CE1"/>
    <w:rsid w:val="00C51B22"/>
    <w:rsid w:val="00C520C0"/>
    <w:rsid w:val="00C72400"/>
    <w:rsid w:val="00C8522F"/>
    <w:rsid w:val="00C94DC9"/>
    <w:rsid w:val="00C953E5"/>
    <w:rsid w:val="00CA67B4"/>
    <w:rsid w:val="00CC5DE7"/>
    <w:rsid w:val="00CC6F20"/>
    <w:rsid w:val="00CC7F12"/>
    <w:rsid w:val="00CE2F12"/>
    <w:rsid w:val="00D21C0A"/>
    <w:rsid w:val="00D31541"/>
    <w:rsid w:val="00D53169"/>
    <w:rsid w:val="00D630A8"/>
    <w:rsid w:val="00D80175"/>
    <w:rsid w:val="00E06E3C"/>
    <w:rsid w:val="00E129BF"/>
    <w:rsid w:val="00E15612"/>
    <w:rsid w:val="00E23F05"/>
    <w:rsid w:val="00E33B56"/>
    <w:rsid w:val="00E7280F"/>
    <w:rsid w:val="00E7376F"/>
    <w:rsid w:val="00E91040"/>
    <w:rsid w:val="00EB2053"/>
    <w:rsid w:val="00EC4DA8"/>
    <w:rsid w:val="00ED0962"/>
    <w:rsid w:val="00EE1522"/>
    <w:rsid w:val="00F36669"/>
    <w:rsid w:val="00F43048"/>
    <w:rsid w:val="00F71CA4"/>
    <w:rsid w:val="00F81A32"/>
    <w:rsid w:val="00F82C42"/>
    <w:rsid w:val="00F93877"/>
    <w:rsid w:val="00FA4668"/>
    <w:rsid w:val="00FC5325"/>
    <w:rsid w:val="00FD3E94"/>
    <w:rsid w:val="00FD7C5E"/>
    <w:rsid w:val="00FE65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B56A1"/>
  <w15:chartTrackingRefBased/>
  <w15:docId w15:val="{37B95129-4523-4BE0-9AD5-A7A0C5412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96A4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896A4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896A49"/>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896A49"/>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896A49"/>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896A4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96A4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96A4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96A4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96A49"/>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896A49"/>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896A49"/>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896A49"/>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896A49"/>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896A4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96A4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96A4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96A49"/>
    <w:rPr>
      <w:rFonts w:eastAsiaTheme="majorEastAsia" w:cstheme="majorBidi"/>
      <w:color w:val="272727" w:themeColor="text1" w:themeTint="D8"/>
    </w:rPr>
  </w:style>
  <w:style w:type="paragraph" w:styleId="Titolo">
    <w:name w:val="Title"/>
    <w:basedOn w:val="Normale"/>
    <w:next w:val="Normale"/>
    <w:link w:val="TitoloCarattere"/>
    <w:uiPriority w:val="10"/>
    <w:qFormat/>
    <w:rsid w:val="00896A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96A4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96A4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96A4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96A4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96A49"/>
    <w:rPr>
      <w:i/>
      <w:iCs/>
      <w:color w:val="404040" w:themeColor="text1" w:themeTint="BF"/>
    </w:rPr>
  </w:style>
  <w:style w:type="paragraph" w:styleId="Paragrafoelenco">
    <w:name w:val="List Paragraph"/>
    <w:basedOn w:val="Normale"/>
    <w:uiPriority w:val="34"/>
    <w:qFormat/>
    <w:rsid w:val="00896A49"/>
    <w:pPr>
      <w:ind w:left="720"/>
      <w:contextualSpacing/>
    </w:pPr>
  </w:style>
  <w:style w:type="character" w:styleId="Enfasiintensa">
    <w:name w:val="Intense Emphasis"/>
    <w:basedOn w:val="Carpredefinitoparagrafo"/>
    <w:uiPriority w:val="21"/>
    <w:qFormat/>
    <w:rsid w:val="00896A49"/>
    <w:rPr>
      <w:i/>
      <w:iCs/>
      <w:color w:val="2E74B5" w:themeColor="accent1" w:themeShade="BF"/>
    </w:rPr>
  </w:style>
  <w:style w:type="paragraph" w:styleId="Citazioneintensa">
    <w:name w:val="Intense Quote"/>
    <w:basedOn w:val="Normale"/>
    <w:next w:val="Normale"/>
    <w:link w:val="CitazioneintensaCarattere"/>
    <w:uiPriority w:val="30"/>
    <w:qFormat/>
    <w:rsid w:val="00896A4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896A49"/>
    <w:rPr>
      <w:i/>
      <w:iCs/>
      <w:color w:val="2E74B5" w:themeColor="accent1" w:themeShade="BF"/>
    </w:rPr>
  </w:style>
  <w:style w:type="character" w:styleId="Riferimentointenso">
    <w:name w:val="Intense Reference"/>
    <w:basedOn w:val="Carpredefinitoparagrafo"/>
    <w:uiPriority w:val="32"/>
    <w:qFormat/>
    <w:rsid w:val="00896A49"/>
    <w:rPr>
      <w:b/>
      <w:bCs/>
      <w:smallCaps/>
      <w:color w:val="2E74B5" w:themeColor="accent1" w:themeShade="BF"/>
      <w:spacing w:val="5"/>
    </w:rPr>
  </w:style>
  <w:style w:type="paragraph" w:styleId="Nessunaspaziatura">
    <w:name w:val="No Spacing"/>
    <w:uiPriority w:val="1"/>
    <w:qFormat/>
    <w:rsid w:val="00490F22"/>
    <w:pPr>
      <w:spacing w:after="0" w:line="240" w:lineRule="auto"/>
    </w:pPr>
    <w:rPr>
      <w:kern w:val="0"/>
      <w14:ligatures w14:val="none"/>
    </w:rPr>
  </w:style>
  <w:style w:type="paragraph" w:styleId="Testonotaapidipagina">
    <w:name w:val="footnote text"/>
    <w:basedOn w:val="Normale"/>
    <w:link w:val="TestonotaapidipaginaCarattere"/>
    <w:uiPriority w:val="99"/>
    <w:semiHidden/>
    <w:unhideWhenUsed/>
    <w:rsid w:val="0075445F"/>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5445F"/>
    <w:rPr>
      <w:sz w:val="20"/>
      <w:szCs w:val="20"/>
    </w:rPr>
  </w:style>
  <w:style w:type="character" w:styleId="Rimandonotaapidipagina">
    <w:name w:val="footnote reference"/>
    <w:basedOn w:val="Carpredefinitoparagrafo"/>
    <w:uiPriority w:val="99"/>
    <w:semiHidden/>
    <w:unhideWhenUsed/>
    <w:rsid w:val="007544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984178">
      <w:bodyDiv w:val="1"/>
      <w:marLeft w:val="0"/>
      <w:marRight w:val="0"/>
      <w:marTop w:val="0"/>
      <w:marBottom w:val="0"/>
      <w:divBdr>
        <w:top w:val="none" w:sz="0" w:space="0" w:color="auto"/>
        <w:left w:val="none" w:sz="0" w:space="0" w:color="auto"/>
        <w:bottom w:val="none" w:sz="0" w:space="0" w:color="auto"/>
        <w:right w:val="none" w:sz="0" w:space="0" w:color="auto"/>
      </w:divBdr>
    </w:div>
    <w:div w:id="176961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38B34-DEF3-4108-AFB4-4663817C8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1510</TotalTime>
  <Pages>11</Pages>
  <Words>3716</Words>
  <Characters>21184</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SERRA Gabriele</dc:creator>
  <cp:keywords/>
  <dc:description/>
  <cp:lastModifiedBy>SERRA Gabriele</cp:lastModifiedBy>
  <cp:revision>174</cp:revision>
  <dcterms:created xsi:type="dcterms:W3CDTF">2026-03-20T12:08:00Z</dcterms:created>
  <dcterms:modified xsi:type="dcterms:W3CDTF">2026-09-14T10:58:00Z</dcterms:modified>
</cp:coreProperties>
</file>