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36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Spacing"/>
        <w:spacing w:lineRule="auto" w:line="360"/>
        <w:jc w:val="center"/>
        <w:rPr>
          <w:rFonts w:ascii="Times New Roman" w:hAnsi="Times New Roman" w:cs="Times New Roman"/>
          <w:b/>
          <w:b/>
          <w:i/>
          <w:i/>
          <w:sz w:val="28"/>
          <w:szCs w:val="28"/>
        </w:rPr>
      </w:pPr>
      <w:r>
        <w:rPr>
          <w:rFonts w:cs="Times New Roman" w:ascii="Times New Roman" w:hAnsi="Times New Roman"/>
          <w:b/>
          <w:i/>
          <w:sz w:val="28"/>
          <w:szCs w:val="28"/>
        </w:rPr>
        <w:t xml:space="preserve">Pianificazione attuativa, strumento urbanistico sopravvenuto e </w:t>
      </w:r>
    </w:p>
    <w:p>
      <w:pPr>
        <w:pStyle w:val="NoSpacing"/>
        <w:spacing w:lineRule="auto" w:line="360"/>
        <w:jc w:val="center"/>
        <w:rPr>
          <w:rFonts w:ascii="Times New Roman" w:hAnsi="Times New Roman" w:cs="Times New Roman"/>
          <w:b/>
          <w:b/>
          <w:i/>
          <w:i/>
          <w:sz w:val="28"/>
          <w:szCs w:val="28"/>
        </w:rPr>
      </w:pPr>
      <w:r>
        <w:rPr>
          <w:rFonts w:cs="Times New Roman" w:ascii="Times New Roman" w:hAnsi="Times New Roman"/>
          <w:b/>
          <w:i/>
          <w:sz w:val="28"/>
          <w:szCs w:val="28"/>
        </w:rPr>
        <w:t>lesione del legittimo affidamento</w:t>
      </w:r>
      <w:r>
        <w:rPr>
          <w:rStyle w:val="Richiamoallanotaapidipagina"/>
          <w:rFonts w:cs="Times New Roman" w:ascii="Times New Roman" w:hAnsi="Times New Roman"/>
          <w:b/>
          <w:i/>
          <w:sz w:val="28"/>
          <w:szCs w:val="28"/>
        </w:rPr>
        <w:footnoteReference w:id="2"/>
      </w:r>
    </w:p>
    <w:p>
      <w:pPr>
        <w:pStyle w:val="Normal"/>
        <w:spacing w:lineRule="auto" w:line="360"/>
        <w:jc w:val="right"/>
        <w:rPr>
          <w:rFonts w:ascii="Times New Roman" w:hAnsi="Times New Roman" w:cs="Times New Roman"/>
          <w:smallCaps/>
        </w:rPr>
      </w:pPr>
      <w:r>
        <w:rPr>
          <w:rFonts w:cs="Times New Roman" w:ascii="Times New Roman" w:hAnsi="Times New Roman"/>
          <w:smallCaps/>
        </w:rPr>
        <w:t>Giovanni Giuseppe Antonio Dato</w:t>
      </w:r>
    </w:p>
    <w:p>
      <w:pPr>
        <w:pStyle w:val="Normal"/>
        <w:spacing w:lineRule="auto" w:line="360"/>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mallCaps/>
          <w:sz w:val="24"/>
          <w:szCs w:val="24"/>
        </w:rPr>
        <w:t>Sommario:</w:t>
      </w:r>
      <w:r>
        <w:rPr>
          <w:rFonts w:cs="Times New Roman" w:ascii="Times New Roman" w:hAnsi="Times New Roman"/>
          <w:sz w:val="24"/>
          <w:szCs w:val="24"/>
        </w:rPr>
        <w:t xml:space="preserve"> 1. I principi generali in materia di pianificazione urbanistica generale (sintesi); 2. La motivazione delle scelte di piano; 3. Il legittimo affidamento rispetto ai poteri di pianificazione urbanistica: il punto di equilibrio; 4. Il piano di lottizzazione e la convenzione di lottizzazione (sintesi); 5. Piano regolatore sopravvenuto e pianificazione attuativa; 6. Il caso della mancata sottoscrizione della convenzione di lottizzazione.</w:t>
      </w:r>
    </w:p>
    <w:p>
      <w:pPr>
        <w:pStyle w:val="NoSpacing"/>
        <w:jc w:val="both"/>
        <w:rPr>
          <w:sz w:val="24"/>
          <w:szCs w:val="24"/>
        </w:rPr>
      </w:pPr>
      <w:r>
        <w:rPr>
          <w:sz w:val="24"/>
          <w:szCs w:val="24"/>
        </w:rPr>
      </w:r>
    </w:p>
    <w:p>
      <w:pPr>
        <w:pStyle w:val="NoSpacing"/>
        <w:jc w:val="both"/>
        <w:rPr>
          <w:sz w:val="24"/>
          <w:szCs w:val="24"/>
        </w:rPr>
      </w:pPr>
      <w:r>
        <w:rPr>
          <w:rFonts w:cs="Times New Roman" w:ascii="Times New Roman" w:hAnsi="Times New Roman"/>
          <w:sz w:val="24"/>
          <w:szCs w:val="24"/>
        </w:rPr>
        <w:t xml:space="preserve">Abstract: Il contributo si sofferma </w:t>
      </w:r>
      <w:r>
        <w:rPr>
          <w:rFonts w:eastAsia="Calibri" w:cs="Times New Roman" w:ascii="Times New Roman" w:hAnsi="Times New Roman" w:eastAsiaTheme="minorHAnsi"/>
          <w:kern w:val="0"/>
          <w:sz w:val="24"/>
          <w:szCs w:val="24"/>
          <w:lang w:eastAsia="en-US" w:bidi="ar-SA"/>
        </w:rPr>
        <w:t>sulla ricostruzione giurisprudenziale relativa</w:t>
      </w:r>
      <w:r>
        <w:rPr>
          <w:rFonts w:cs="Times New Roman" w:ascii="Times New Roman" w:hAnsi="Times New Roman"/>
          <w:sz w:val="24"/>
          <w:szCs w:val="24"/>
        </w:rPr>
        <w:t xml:space="preserve"> </w:t>
      </w:r>
      <w:r>
        <w:rPr>
          <w:rFonts w:eastAsia="Calibri" w:cs="Times New Roman" w:ascii="Times New Roman" w:hAnsi="Times New Roman" w:eastAsiaTheme="minorHAnsi"/>
          <w:kern w:val="0"/>
          <w:sz w:val="24"/>
          <w:szCs w:val="24"/>
          <w:lang w:eastAsia="en-US" w:bidi="ar-SA"/>
        </w:rPr>
        <w:t>a</w:t>
      </w:r>
      <w:r>
        <w:rPr>
          <w:rFonts w:cs="Times New Roman" w:ascii="Times New Roman" w:hAnsi="Times New Roman"/>
          <w:sz w:val="24"/>
          <w:szCs w:val="24"/>
        </w:rPr>
        <w:t xml:space="preserve">ll’“inesauribile” potere di pianificazione territoriale comunale e sul “limite” costituito dalla tutela del legittimo affidamento del privato. </w:t>
      </w:r>
    </w:p>
    <w:p>
      <w:pPr>
        <w:pStyle w:val="NoSpacing"/>
        <w:jc w:val="both"/>
        <w:rPr>
          <w:i/>
          <w:i/>
          <w:iCs/>
          <w:sz w:val="24"/>
          <w:szCs w:val="24"/>
        </w:rPr>
      </w:pPr>
      <w:r>
        <w:rPr>
          <w:rFonts w:cs="Times New Roman" w:ascii="Times New Roman" w:hAnsi="Times New Roman"/>
          <w:i/>
          <w:iCs/>
          <w:sz w:val="24"/>
          <w:szCs w:val="24"/>
        </w:rPr>
        <w:t xml:space="preserve">Abstract: The article focuses on </w:t>
      </w:r>
      <w:r>
        <w:rPr>
          <w:rFonts w:cs="Times New Roman" w:ascii="Times New Roman" w:hAnsi="Times New Roman"/>
          <w:i/>
          <w:iCs/>
          <w:sz w:val="24"/>
          <w:szCs w:val="24"/>
        </w:rPr>
        <w:t>jurisprudential interpretation of “inexhaustible” urban planning power and on limit constituted by the protection of legitimate expectations.</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1. I principi generali in materia di pianificazione urbanistica generale (sintesi).</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Costituisce </w:t>
      </w:r>
      <w:r>
        <w:rPr>
          <w:rFonts w:cs="Times New Roman" w:ascii="Times New Roman" w:hAnsi="Times New Roman"/>
          <w:i/>
          <w:sz w:val="24"/>
          <w:szCs w:val="24"/>
        </w:rPr>
        <w:t>jus receptum</w:t>
      </w:r>
      <w:r>
        <w:rPr>
          <w:rFonts w:cs="Times New Roman" w:ascii="Times New Roman" w:hAnsi="Times New Roman"/>
          <w:sz w:val="24"/>
          <w:szCs w:val="24"/>
        </w:rPr>
        <w:t xml:space="preserve"> nella giurisprudenza amministrativa il principio secondo il quale il disegno urbanistico manifestato da uno strumento di pianificazione generale, o sua variante, rappresenta l’espressione del potere pianificatorio caratterizzato da ampia discrezionalità che raffigura, oltre che scelte strettamente riguardanti l’organizzazione edilizia del territorio, anche scelte più ampie che si riferiscono al comprensivo quadro delle possibili opzioni inerenti allo sviluppo socioeconomico</w:t>
      </w:r>
      <w:r>
        <w:rPr>
          <w:rStyle w:val="Richiamoallanotaapidipagina"/>
          <w:rFonts w:cs="Times New Roman" w:ascii="Times New Roman" w:hAnsi="Times New Roman"/>
          <w:sz w:val="24"/>
          <w:szCs w:val="24"/>
        </w:rPr>
        <w:footnoteReference w:id="3"/>
      </w:r>
      <w:r>
        <w:rPr>
          <w:rFonts w:cs="Times New Roman" w:ascii="Times New Roman" w:hAnsi="Times New Roman"/>
          <w:sz w:val="24"/>
          <w:szCs w:val="24"/>
        </w:rPr>
        <w:t xml:space="preserv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Ed ancora, sempre per costante insegnamento giurisprudenziale, le scelte urbanistiche costituiscono valutazioni di merito sottratte al sindacato giurisdizionale di legittimità, salvo che risultino inficiate da errori di fatto, abnormi illogicità, violazioni procedurali, ovvero che, per quanto riguarda la destinazione di specifiche aree, risultino confliggenti con particolari situazioni che abbiano ingenerato affidamenti e aspettative qualificate</w:t>
      </w:r>
      <w:r>
        <w:rPr>
          <w:rStyle w:val="Richiamoallanotaapidipagina"/>
          <w:rFonts w:cs="Times New Roman" w:ascii="Times New Roman" w:hAnsi="Times New Roman"/>
          <w:sz w:val="24"/>
          <w:szCs w:val="24"/>
        </w:rPr>
        <w:footnoteReference w:id="4"/>
      </w:r>
      <w:r>
        <w:rPr>
          <w:rFonts w:cs="Times New Roman" w:ascii="Times New Roman" w:hAnsi="Times New Roman"/>
          <w:sz w:val="24"/>
          <w:szCs w:val="24"/>
        </w:rPr>
        <w:t xml:space="preserve"> (sulle quali cfr. </w:t>
      </w:r>
      <w:r>
        <w:rPr>
          <w:rFonts w:cs="Times New Roman" w:ascii="Times New Roman" w:hAnsi="Times New Roman"/>
          <w:i/>
          <w:sz w:val="24"/>
          <w:szCs w:val="24"/>
        </w:rPr>
        <w:t>infra</w:t>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Peculiare connotazione del potere in questione è costituito dal “</w:t>
      </w:r>
      <w:r>
        <w:rPr>
          <w:rFonts w:cs="Times New Roman" w:ascii="Times New Roman" w:hAnsi="Times New Roman"/>
          <w:i/>
          <w:sz w:val="24"/>
          <w:szCs w:val="24"/>
        </w:rPr>
        <w:t>principio di inesauribilità della funzione di pianificazione urbanistica</w:t>
      </w:r>
      <w:r>
        <w:rPr>
          <w:rFonts w:cs="Times New Roman" w:ascii="Times New Roman" w:hAnsi="Times New Roman"/>
          <w:sz w:val="24"/>
          <w:szCs w:val="24"/>
        </w:rPr>
        <w:t>” la cui attribuzione spetta ai Comuni</w:t>
      </w:r>
      <w:r>
        <w:rPr>
          <w:rStyle w:val="Richiamoallanotaapidipagina"/>
          <w:rFonts w:cs="Times New Roman" w:ascii="Times New Roman" w:hAnsi="Times New Roman"/>
          <w:sz w:val="24"/>
          <w:szCs w:val="24"/>
        </w:rPr>
        <w:footnoteReference w:id="5"/>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Inoltre, per consolidato orientamento interpretativo, le scelte di pianificazione sono espressione di un’amplissima valutazione discrezionale, insindacabile nel merito, e non sono condizionate dalla pregressa indicazione, nel precedente strumento urbanistico, di destinazioni d’uso edificatorie diverse e più favorevoli, essendo sfornita di tutela la generica aspettativa di fatto alla </w:t>
      </w:r>
      <w:r>
        <w:rPr>
          <w:rFonts w:cs="Times New Roman" w:ascii="Times New Roman" w:hAnsi="Times New Roman"/>
          <w:i/>
          <w:sz w:val="24"/>
          <w:szCs w:val="24"/>
        </w:rPr>
        <w:t>non reformatio in peius</w:t>
      </w:r>
      <w:r>
        <w:rPr>
          <w:rFonts w:cs="Times New Roman" w:ascii="Times New Roman" w:hAnsi="Times New Roman"/>
          <w:sz w:val="24"/>
          <w:szCs w:val="24"/>
        </w:rPr>
        <w:t xml:space="preserve"> o alla </w:t>
      </w:r>
      <w:r>
        <w:rPr>
          <w:rFonts w:cs="Times New Roman" w:ascii="Times New Roman" w:hAnsi="Times New Roman"/>
          <w:i/>
          <w:sz w:val="24"/>
          <w:szCs w:val="24"/>
        </w:rPr>
        <w:t>reformatio in melius</w:t>
      </w:r>
      <w:r>
        <w:rPr>
          <w:rFonts w:cs="Times New Roman" w:ascii="Times New Roman" w:hAnsi="Times New Roman"/>
          <w:sz w:val="24"/>
          <w:szCs w:val="24"/>
        </w:rPr>
        <w:t xml:space="preserve"> delle destinazioni impresse da un previgente piano regolatore</w:t>
      </w:r>
      <w:r>
        <w:rPr>
          <w:rStyle w:val="Richiamoallanotaapidipagina"/>
          <w:rFonts w:cs="Times New Roman" w:ascii="Times New Roman" w:hAnsi="Times New Roman"/>
          <w:sz w:val="24"/>
          <w:szCs w:val="24"/>
        </w:rPr>
        <w:footnoteReference w:id="6"/>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2. La motivazione delle scelte di piano.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ordine alla motivazione delle scelte pianificatorie, la giurisprudenza amministrativa, sin dalla fondamentale decisione del Consiglio di Stato, Adunanza Plenaria, 22 dicembre 1999, n. 24, ha ritenuto che la destinazione data alle singole aree non necessiti di apposita motivazione (c.d. polverizzazione della motivazione), oltre quella che si può evincere dai criteri generali di ordine tecnico discrezionale, seguiti nell’impostazione del piano stesso, essendo sufficiente l’espresso riferimento alla relazione di accompagnamento al progetto di modificazione allo strumento urbanistico generale</w:t>
      </w:r>
      <w:r>
        <w:rPr>
          <w:rStyle w:val="Richiamoallanotaapidipagina"/>
          <w:rFonts w:cs="Times New Roman" w:ascii="Times New Roman" w:hAnsi="Times New Roman"/>
          <w:sz w:val="24"/>
          <w:szCs w:val="24"/>
        </w:rPr>
        <w:footnoteReference w:id="7"/>
      </w:r>
      <w:r>
        <w:rPr>
          <w:rFonts w:cs="Times New Roman" w:ascii="Times New Roman" w:hAnsi="Times New Roman"/>
          <w:sz w:val="24"/>
          <w:szCs w:val="24"/>
        </w:rPr>
        <w:t>, a meno che particolari situazioni non abbiano creato aspettative o affidamenti in favore di soggetti le cui posizioni appaiano meritevoli di specifiche considerazioni</w:t>
      </w:r>
      <w:r>
        <w:rPr>
          <w:rStyle w:val="Richiamoallanotaapidipagina"/>
          <w:rFonts w:cs="Times New Roman" w:ascii="Times New Roman" w:hAnsi="Times New Roman"/>
          <w:sz w:val="24"/>
          <w:szCs w:val="24"/>
        </w:rPr>
        <w:footnoteReference w:id="8"/>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La giurisprudenza amministrativa, invero, ha segnalato che in determinate evenienze anche lo strumento urbanistico generale deve recare una motivazione specifica di certe scelte: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 una prima evenienza è quella del superamento degli </w:t>
      </w:r>
      <w:r>
        <w:rPr>
          <w:rFonts w:cs="Times New Roman" w:ascii="Times New Roman" w:hAnsi="Times New Roman"/>
          <w:i/>
          <w:sz w:val="24"/>
          <w:szCs w:val="24"/>
        </w:rPr>
        <w:t>standards</w:t>
      </w:r>
      <w:r>
        <w:rPr>
          <w:rFonts w:cs="Times New Roman" w:ascii="Times New Roman" w:hAnsi="Times New Roman"/>
          <w:sz w:val="24"/>
          <w:szCs w:val="24"/>
        </w:rPr>
        <w:t xml:space="preserve"> minimi di cui al D.M. 2 aprile 1968 (con la precisazione che in detta fattispecie, però, la motivazione specifica va riferita alle previsioni urbanistiche complessive di “sovradimensionamento”, indipendentemente dal riferimento alla destinazione di zona di determinate aree</w:t>
      </w:r>
      <w:r>
        <w:rPr>
          <w:rStyle w:val="Richiamoallanotaapidipagina"/>
          <w:rFonts w:cs="Times New Roman" w:ascii="Times New Roman" w:hAnsi="Times New Roman"/>
          <w:sz w:val="24"/>
          <w:szCs w:val="24"/>
        </w:rPr>
        <w:footnoteReference w:id="9"/>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b) l’obbligo della motivazione specifica degli strumenti urbanistici generali è stato individuato in ipotesi nelle quali vi è un affidamento qualificato del privato.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Tale non è il caso dell’interesse correlato ad una precedente previsione urbanistica che consenta un utilizzo dell’area in modo più proficuo, per il quale vale il principio generale della non necessità di motivazione ulteriore rispetto a quelle che si possono evincere dai criteri di ordine tecnico-urbanistico seguiti per la redazione del progetto di strumento; in questo caso, infatti, viene in considerazione una aspettativa generica del privato alla non </w:t>
      </w:r>
      <w:r>
        <w:rPr>
          <w:rFonts w:cs="Times New Roman" w:ascii="Times New Roman" w:hAnsi="Times New Roman"/>
          <w:i/>
          <w:sz w:val="24"/>
          <w:szCs w:val="24"/>
        </w:rPr>
        <w:t>reformatio in peius</w:t>
      </w:r>
      <w:r>
        <w:rPr>
          <w:rFonts w:cs="Times New Roman" w:ascii="Times New Roman" w:hAnsi="Times New Roman"/>
          <w:sz w:val="24"/>
          <w:szCs w:val="24"/>
        </w:rPr>
        <w:t xml:space="preserve"> delle destinazioni di zona edificabili, cedevole dinanzi alla discrezionalità del potere pubblico di pianificazione urbanistica, per ragioni analoghe a quelle per cui il divieto della </w:t>
      </w:r>
      <w:r>
        <w:rPr>
          <w:rFonts w:cs="Times New Roman" w:ascii="Times New Roman" w:hAnsi="Times New Roman"/>
          <w:i/>
          <w:sz w:val="24"/>
          <w:szCs w:val="24"/>
        </w:rPr>
        <w:t>reformatio in peius</w:t>
      </w:r>
      <w:r>
        <w:rPr>
          <w:rFonts w:cs="Times New Roman" w:ascii="Times New Roman" w:hAnsi="Times New Roman"/>
          <w:sz w:val="24"/>
          <w:szCs w:val="24"/>
        </w:rPr>
        <w:t xml:space="preserve"> è un criterio del tutto inidoneo, atteso il difetto di qualsivoglia copertura costituzionale, a vincolare il </w:t>
      </w:r>
      <w:r>
        <w:rPr>
          <w:rFonts w:eastAsia="Calibri" w:cs="Times New Roman" w:ascii="Times New Roman" w:hAnsi="Times New Roman" w:eastAsiaTheme="minorHAnsi"/>
          <w:kern w:val="0"/>
          <w:sz w:val="24"/>
          <w:szCs w:val="24"/>
          <w:lang w:eastAsia="en-US" w:bidi="ar-SA"/>
        </w:rPr>
        <w:t>L</w:t>
      </w:r>
      <w:r>
        <w:rPr>
          <w:rFonts w:cs="Times New Roman" w:ascii="Times New Roman" w:hAnsi="Times New Roman"/>
          <w:sz w:val="24"/>
          <w:szCs w:val="24"/>
        </w:rPr>
        <w:t>egislatore.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Tali sono, invece, le ipotesi di precedente convenzione di lottizzazione o di accordi di diritto privato intercorsi tra il comune e i proprietari delle aree, ove la situazione del privato rimane “consolidata” da atti – convenzionali – di attuazione degli strumenti urbanistici generali, in forza dei quali si genera l’affidamento, cioè l’aspettativa che il successivo comportamento dell’affidante sia coerente con quello che, in precedenza, ha generato l’altrui fiducia.</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Tale è, altresì, la situazione del privato che abbia ottenuto un giudicato di annullamento di un diniego di concessione edilizia o di un silenzio-rifiuto su una domanda edilizia, in ordine alla pretesa di variante di nuove previsioni urbanistiche rilevanti in quanto sopravvenute nel corso del giudizio</w:t>
      </w:r>
      <w:r>
        <w:rPr>
          <w:rStyle w:val="Richiamoallanotaapidipagina"/>
          <w:rFonts w:cs="Times New Roman" w:ascii="Times New Roman" w:hAnsi="Times New Roman"/>
          <w:sz w:val="24"/>
          <w:szCs w:val="24"/>
        </w:rPr>
        <w:footnoteReference w:id="10"/>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Qui, la rilevanza della situazione del privato è data dall’intervenuto accertamento giurisdizionale della illegittimità del diniego di concessione edilizia o del silenzio-rifiuto sulla domanda edilizia in relazione alle previgenti indicazioni di piano.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entrambi i casi, l’obbligo di una motivazione specifica, riferita nel primo caso alla destinazione di zona delle singola area difforme dagli accordi intercorsi, nel secondo caso all’interesse pretensivo del privato ad una variante di adeguamento delle previsioni urbanistiche al giudicato, attua il bilanciamento degli interessi, pubblici e privati, e la garanzia del proprietario inciso</w:t>
      </w:r>
      <w:r>
        <w:rPr>
          <w:rStyle w:val="Richiamoallanotaapidipagina"/>
          <w:rFonts w:cs="Times New Roman" w:ascii="Times New Roman" w:hAnsi="Times New Roman"/>
          <w:sz w:val="24"/>
          <w:szCs w:val="24"/>
        </w:rPr>
        <w:footnoteReference w:id="11"/>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c) ulteriore ipotesi che impone una motivazione specifica della scelta pianificatoria è quella della </w:t>
      </w:r>
      <w:r>
        <w:rPr>
          <w:rFonts w:cs="Times New Roman" w:ascii="Times New Roman" w:hAnsi="Times New Roman"/>
          <w:color w:val="000000"/>
          <w:sz w:val="24"/>
          <w:szCs w:val="24"/>
        </w:rPr>
        <w:t>modificazione in zona agricola della destinazione di un’area limitata, interclusa da fondi edificati in modo non abusivo</w:t>
      </w:r>
      <w:r>
        <w:rPr>
          <w:rStyle w:val="Richiamoallanotaapidipagina"/>
          <w:rFonts w:cs="Times New Roman" w:ascii="Times New Roman" w:hAnsi="Times New Roman"/>
          <w:color w:val="000000"/>
          <w:sz w:val="24"/>
          <w:szCs w:val="24"/>
        </w:rPr>
        <w:footnoteReference w:id="12"/>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d) infine, ultima ipotesi è quella dell’avvenuta conclusione di un contratto di vendita di un bene comunale che, al tempo della stipulazione, aveva una più favorevole disciplina urbanistica, mentre, subito dopo, ha visto mutata quella disciplina in senso deteriore, per l’effetto dell’attività pianificatoria del medesimo Ente locale, il quale aveva però impostato le trattative sul presupposto del più favorevole regime urbanistico</w:t>
      </w:r>
      <w:r>
        <w:rPr>
          <w:rStyle w:val="Richiamoallanotaapidipagina"/>
          <w:rFonts w:cs="Times New Roman" w:ascii="Times New Roman" w:hAnsi="Times New Roman"/>
          <w:sz w:val="24"/>
          <w:szCs w:val="24"/>
        </w:rPr>
        <w:footnoteReference w:id="13"/>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presenza di una delle suddette ipotesi, il potere pianificatorio dell’amministrazione non risulta comunque precluso, ma sorge in capo all’amministrazione solamente un obbligo di motivazione rafforzata, in deroga alla regola generale secondo cui non è necessaria una puntuale motivazione in relazione alle singole zone</w:t>
      </w:r>
      <w:r>
        <w:rPr>
          <w:rStyle w:val="Richiamoallanotaapidipagina"/>
          <w:rFonts w:cs="Times New Roman" w:ascii="Times New Roman" w:hAnsi="Times New Roman"/>
          <w:sz w:val="24"/>
          <w:szCs w:val="24"/>
        </w:rPr>
        <w:footnoteReference w:id="14"/>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3. Il legittimo affidamento rispetto ai poteri di pianificazione urbanistica: il punto di equilibrio.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Nel diritto civile, la nozione di affidamento - secondo autorevole dottrina - ha riguardo a “fenomeni distinti”, accomunati dalla necessità di risolvere il conflitto ingenerato dalla divergenza fra realtà e apparenza; essa, nell’età contemporanea, tende ad essere ricondotta al dovere di solidarietà cui devono essere improntate le relazioni intersoggettive.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La giurisprudenza ricollega (le ragioni de) la rilevanza della c.d. buona fede oggettiva, e le regole che ne discendono, alla figura dell’abuso del diritto, vale a dire alla deviazione funzionale dallo scopo per il quale il diritto è stato attribuito.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L’istituto, e le regole che ne discendono, hanno pertanto la funzione di adeguare, sul piano delle regole di validità, l’assetto d’interessi all’apparenza creata da fatti, comportamenti e dichiarazioni, in modo da conformare le vicende relative alla circolazione dei beni all’impronta solidaristica.</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diritto amministrativo la nozione ha un fondamento analogo, ma un ambito più circoscritto.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Il fondamento analogo è dato dal fatto che il destinatario del provvedimento favorevole ripone un affidamento sulla validità ed efficacia dello stesso (sempre che tale affidamento sia autorizzato dal regime del provvedimento): il problema della divergenza fra realtà ed apparenza si pone allorché tale provvedimento, e i relativi effetti ampliativi, vengano rimossi (in autotutela, o a seguito di ricorso giurisdizionale).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Con due importanti precisazioni: la prima è che il procedimento amministrativo non è un’attività relazionale a forma libera; la pretesa di ritenere </w:t>
      </w:r>
      <w:r>
        <w:rPr>
          <w:rFonts w:cs="Times New Roman" w:ascii="Times New Roman" w:hAnsi="Times New Roman"/>
          <w:i/>
          <w:sz w:val="24"/>
          <w:szCs w:val="24"/>
        </w:rPr>
        <w:t>non iure</w:t>
      </w:r>
      <w:r>
        <w:rPr>
          <w:rFonts w:cs="Times New Roman" w:ascii="Times New Roman" w:hAnsi="Times New Roman"/>
          <w:sz w:val="24"/>
          <w:szCs w:val="24"/>
        </w:rPr>
        <w:t xml:space="preserve"> la condotta dell’amministrazione passa inevitabilmente per l’accertamento dell’illegittimità dei suoi atti; la seconda è che la valutazione dell’ordinamento sul grado di affidamento configurabile a seguito di un provvedimento favorevole è già contenuta nel regime di stabilità del provvedimento medesimo</w:t>
      </w:r>
      <w:r>
        <w:rPr>
          <w:rStyle w:val="Richiamoallanotaapidipagina"/>
          <w:rFonts w:cs="Times New Roman" w:ascii="Times New Roman" w:hAnsi="Times New Roman"/>
          <w:sz w:val="24"/>
          <w:szCs w:val="24"/>
        </w:rPr>
        <w:footnoteReference w:id="15"/>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Orbene, secondo la giurisprudenza amministrativa, l’affidamento costituisce un “</w:t>
      </w:r>
      <w:r>
        <w:rPr>
          <w:rFonts w:cs="Times New Roman" w:ascii="Times New Roman" w:hAnsi="Times New Roman"/>
          <w:i/>
          <w:sz w:val="24"/>
          <w:szCs w:val="24"/>
        </w:rPr>
        <w:t>principio regolatore di ogni rapporto giuridico</w:t>
      </w:r>
      <w:r>
        <w:rPr>
          <w:rFonts w:cs="Times New Roman" w:ascii="Times New Roman" w:hAnsi="Times New Roman"/>
          <w:sz w:val="24"/>
          <w:szCs w:val="24"/>
        </w:rPr>
        <w:t>”, compresi quelli di diritto amministrativo, “</w:t>
      </w:r>
      <w:r>
        <w:rPr>
          <w:rFonts w:cs="Times New Roman" w:ascii="Times New Roman" w:hAnsi="Times New Roman"/>
          <w:i/>
          <w:sz w:val="24"/>
          <w:szCs w:val="24"/>
        </w:rPr>
        <w:t>che trae origine nei rapporti di diritto civile e che risponde all’esigenza di riconoscere tutela alla fiducia ragionevolmente riposta sull’esistenza di una situazione apparentemente corrispondente a quella reale, da altri creata</w:t>
      </w:r>
      <w:r>
        <w:rPr>
          <w:rFonts w:cs="Times New Roman" w:ascii="Times New Roman" w:hAnsi="Times New Roman"/>
          <w:sz w:val="24"/>
          <w:szCs w:val="24"/>
        </w:rPr>
        <w:t>”</w:t>
      </w:r>
      <w:r>
        <w:rPr>
          <w:rStyle w:val="Richiamoallanotaapidipagina"/>
          <w:rFonts w:cs="Times New Roman" w:ascii="Times New Roman" w:hAnsi="Times New Roman"/>
          <w:sz w:val="24"/>
          <w:szCs w:val="24"/>
        </w:rPr>
        <w:footnoteReference w:id="16"/>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Il principio </w:t>
      </w:r>
      <w:r>
        <w:rPr>
          <w:rFonts w:cs="Times New Roman" w:ascii="Times New Roman" w:hAnsi="Times New Roman"/>
          <w:i/>
          <w:sz w:val="24"/>
          <w:szCs w:val="24"/>
        </w:rPr>
        <w:t>de quo</w:t>
      </w:r>
      <w:r>
        <w:rPr>
          <w:rFonts w:cs="Times New Roman" w:ascii="Times New Roman" w:hAnsi="Times New Roman"/>
          <w:sz w:val="24"/>
          <w:szCs w:val="24"/>
        </w:rPr>
        <w:t xml:space="preserve"> viene anche definito e identificato: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a) con il “</w:t>
      </w:r>
      <w:r>
        <w:rPr>
          <w:rFonts w:cs="Times New Roman" w:ascii="Times New Roman" w:hAnsi="Times New Roman"/>
          <w:i/>
          <w:sz w:val="24"/>
          <w:szCs w:val="24"/>
        </w:rPr>
        <w:t>convincimento ragionevole</w:t>
      </w:r>
      <w:r>
        <w:rPr>
          <w:rFonts w:cs="Times New Roman" w:ascii="Times New Roman" w:hAnsi="Times New Roman"/>
          <w:sz w:val="24"/>
          <w:szCs w:val="24"/>
        </w:rPr>
        <w:t>” della spettanza di un bene della vita</w:t>
      </w:r>
      <w:r>
        <w:rPr>
          <w:rStyle w:val="Richiamoallanotaapidipagina"/>
          <w:rFonts w:cs="Times New Roman" w:ascii="Times New Roman" w:hAnsi="Times New Roman"/>
          <w:sz w:val="24"/>
          <w:szCs w:val="24"/>
        </w:rPr>
        <w:footnoteReference w:id="17"/>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b) come l’“</w:t>
      </w:r>
      <w:r>
        <w:rPr>
          <w:rFonts w:cs="Times New Roman" w:ascii="Times New Roman" w:hAnsi="Times New Roman"/>
          <w:i/>
          <w:sz w:val="24"/>
          <w:szCs w:val="24"/>
        </w:rPr>
        <w:t>aspettativa al mantenimento nel tempo del rapporto giuridico sorto a seguito</w:t>
      </w:r>
      <w:r>
        <w:rPr>
          <w:rFonts w:cs="Times New Roman" w:ascii="Times New Roman" w:hAnsi="Times New Roman"/>
          <w:sz w:val="24"/>
          <w:szCs w:val="24"/>
        </w:rPr>
        <w:t>” dell’attività della pubblica amministrazione</w:t>
      </w:r>
      <w:r>
        <w:rPr>
          <w:rStyle w:val="Richiamoallanotaapidipagina"/>
          <w:rFonts w:cs="Times New Roman" w:ascii="Times New Roman" w:hAnsi="Times New Roman"/>
          <w:sz w:val="24"/>
          <w:szCs w:val="24"/>
        </w:rPr>
        <w:footnoteReference w:id="18"/>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c) come l’“</w:t>
      </w:r>
      <w:r>
        <w:rPr>
          <w:rFonts w:cs="Times New Roman" w:ascii="Times New Roman" w:hAnsi="Times New Roman"/>
          <w:i/>
          <w:sz w:val="24"/>
          <w:szCs w:val="24"/>
        </w:rPr>
        <w:t>aspettativa del privato alla legittimità del provvedimento amministrativo rilasciato</w:t>
      </w:r>
      <w:r>
        <w:rPr>
          <w:rFonts w:cs="Times New Roman" w:ascii="Times New Roman" w:hAnsi="Times New Roman"/>
          <w:sz w:val="24"/>
          <w:szCs w:val="24"/>
        </w:rPr>
        <w:t>”</w:t>
      </w:r>
      <w:r>
        <w:rPr>
          <w:rStyle w:val="Richiamoallanotaapidipagina"/>
          <w:rFonts w:cs="Times New Roman" w:ascii="Times New Roman" w:hAnsi="Times New Roman"/>
          <w:sz w:val="24"/>
          <w:szCs w:val="24"/>
        </w:rPr>
        <w:footnoteReference w:id="19"/>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L’affidamento del privato si configura, dunque, in ragione del convincimento ragionevole del legittimo esercizio del potere pubblico e del convincimento ragionevole dell’operato dell’amministrazione conforme ai principi di correttezza e buona fede, individuandosi in ciò il duplice parametro “</w:t>
      </w:r>
      <w:r>
        <w:rPr>
          <w:rFonts w:cs="Times New Roman" w:ascii="Times New Roman" w:hAnsi="Times New Roman"/>
          <w:i/>
          <w:sz w:val="24"/>
          <w:szCs w:val="24"/>
        </w:rPr>
        <w:t>al quale ancorare</w:t>
      </w:r>
      <w:r>
        <w:rPr>
          <w:rFonts w:cs="Times New Roman" w:ascii="Times New Roman" w:hAnsi="Times New Roman"/>
          <w:sz w:val="24"/>
          <w:szCs w:val="24"/>
        </w:rPr>
        <w:t>” “</w:t>
      </w:r>
      <w:r>
        <w:rPr>
          <w:rFonts w:cs="Times New Roman" w:ascii="Times New Roman" w:hAnsi="Times New Roman"/>
          <w:i/>
          <w:sz w:val="24"/>
          <w:szCs w:val="24"/>
        </w:rPr>
        <w:t>la fiducia</w:t>
      </w:r>
      <w:r>
        <w:rPr>
          <w:rFonts w:cs="Times New Roman" w:ascii="Times New Roman" w:hAnsi="Times New Roman"/>
          <w:sz w:val="24"/>
          <w:szCs w:val="24"/>
        </w:rPr>
        <w:t>”, “</w:t>
      </w:r>
      <w:r>
        <w:rPr>
          <w:rFonts w:cs="Times New Roman" w:ascii="Times New Roman" w:hAnsi="Times New Roman"/>
          <w:i/>
          <w:sz w:val="24"/>
          <w:szCs w:val="24"/>
        </w:rPr>
        <w:t>il convincimento</w:t>
      </w:r>
      <w:r>
        <w:rPr>
          <w:rFonts w:cs="Times New Roman" w:ascii="Times New Roman" w:hAnsi="Times New Roman"/>
          <w:sz w:val="24"/>
          <w:szCs w:val="24"/>
        </w:rPr>
        <w:t>” o “</w:t>
      </w:r>
      <w:r>
        <w:rPr>
          <w:rFonts w:cs="Times New Roman" w:ascii="Times New Roman" w:hAnsi="Times New Roman"/>
          <w:i/>
          <w:sz w:val="24"/>
          <w:szCs w:val="24"/>
        </w:rPr>
        <w:t>l’aspettativa</w:t>
      </w:r>
      <w:r>
        <w:rPr>
          <w:rFonts w:cs="Times New Roman" w:ascii="Times New Roman" w:hAnsi="Times New Roman"/>
          <w:sz w:val="24"/>
          <w:szCs w:val="24"/>
        </w:rPr>
        <w:t>” del privato</w:t>
      </w:r>
      <w:r>
        <w:rPr>
          <w:rStyle w:val="Richiamoallanotaapidipagina"/>
          <w:rFonts w:cs="Times New Roman" w:ascii="Times New Roman" w:hAnsi="Times New Roman"/>
          <w:sz w:val="24"/>
          <w:szCs w:val="24"/>
        </w:rPr>
        <w:footnoteReference w:id="20"/>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Nella tutela dell’affidamento risulta centrale la “dimensione soggettiva”, fermi però i “limiti fisiologici” alla tutela dell’affidamento, riconducibili alle caratteristiche del rapporto amministrativo ed alla esigenza di proteggere anche altri principi ritenuti pari-ordinati o superiori alle aspettative dei singoli</w:t>
      </w:r>
      <w:r>
        <w:rPr>
          <w:rStyle w:val="Richiamoallanotaapidipagina"/>
          <w:rFonts w:cs="Times New Roman" w:ascii="Times New Roman" w:hAnsi="Times New Roman"/>
          <w:sz w:val="24"/>
          <w:szCs w:val="24"/>
        </w:rPr>
        <w:footnoteReference w:id="21"/>
      </w:r>
      <w:r>
        <w:rPr>
          <w:rFonts w:cs="Times New Roman" w:ascii="Times New Roman" w:hAnsi="Times New Roman"/>
          <w:sz w:val="24"/>
          <w:szCs w:val="24"/>
        </w:rPr>
        <w:t xml:space="preserv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Proprio la materia della pianificazione urbanistica e l’esercizio dei relativi poteri, da parte delle amministrazioni coinvolte, hanno costituito </w:t>
      </w:r>
      <w:r>
        <w:rPr>
          <w:rFonts w:cs="Times New Roman" w:ascii="Times New Roman" w:hAnsi="Times New Roman"/>
          <w:i/>
          <w:iCs/>
          <w:sz w:val="24"/>
          <w:szCs w:val="24"/>
        </w:rPr>
        <w:t>ab antiquo</w:t>
      </w:r>
      <w:r>
        <w:rPr>
          <w:rFonts w:cs="Times New Roman" w:ascii="Times New Roman" w:hAnsi="Times New Roman"/>
          <w:sz w:val="24"/>
          <w:szCs w:val="24"/>
        </w:rPr>
        <w:t xml:space="preserve"> un “banco di prova” della tutela del principio </w:t>
      </w:r>
      <w:r>
        <w:rPr>
          <w:rFonts w:cs="Times New Roman" w:ascii="Times New Roman" w:hAnsi="Times New Roman"/>
          <w:i/>
          <w:sz w:val="24"/>
          <w:szCs w:val="24"/>
        </w:rPr>
        <w:t>de quo</w:t>
      </w:r>
      <w:r>
        <w:rPr>
          <w:rFonts w:cs="Times New Roman" w:ascii="Times New Roman" w:hAnsi="Times New Roman"/>
          <w:sz w:val="24"/>
          <w:szCs w:val="24"/>
        </w:rPr>
        <w:t xml:space="preserve"> e dei suoi limiti; un ambito dove contemperare la “dimensione soggettiva” con i valori “super-individuali” contemplati nella pianificazione.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La “misura” scaturente da questo bilanciamento è stata fissata nella necessità di un’adeguata ponderazione dei diversi interessi in conflitto, senza che l’uno o l’altro “polo” (il potere di pianificazione, da un lato, e la tutela del legittimo affidamento, dall’altro) risultassero </w:t>
      </w:r>
      <w:r>
        <w:rPr>
          <w:rFonts w:cs="Times New Roman" w:ascii="Times New Roman" w:hAnsi="Times New Roman"/>
          <w:i/>
          <w:sz w:val="24"/>
          <w:szCs w:val="24"/>
        </w:rPr>
        <w:t>a priori</w:t>
      </w:r>
      <w:r>
        <w:rPr>
          <w:rFonts w:cs="Times New Roman" w:ascii="Times New Roman" w:hAnsi="Times New Roman"/>
          <w:sz w:val="24"/>
          <w:szCs w:val="24"/>
        </w:rPr>
        <w:t xml:space="preserve"> prevalenti</w:t>
      </w:r>
      <w:r>
        <w:rPr>
          <w:rStyle w:val="Richiamoallanotaapidipagina"/>
          <w:rFonts w:cs="Times New Roman" w:ascii="Times New Roman" w:hAnsi="Times New Roman"/>
          <w:sz w:val="24"/>
          <w:szCs w:val="24"/>
        </w:rPr>
        <w:footnoteReference w:id="22"/>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Come sopra visto, infatti, la tutela del legittimo affidamento rispetto all’esercizio dei poteri di pianificazione viene effettuata attraverso l’obbligo di motivazione di quelle scelte dello strumento urbanistico che costituiscono “casi specifici”; in questo caso, l’obbligo di (puntuale) motivazione costituisce il “punto di equilibrio” per salvaguardare l’affidamento legittimamente configuratosi in capo al privato titolare dell’interesse legittimo proprietario e l’attribuzione del potere di pianificazione dell’amministrazione da parte dell’ordinamento.</w:t>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4. Il piano di lottizzazione e la convenzione di lottizzazione (sintesi).</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Per costante giurisprudenza</w:t>
      </w:r>
      <w:r>
        <w:rPr>
          <w:rStyle w:val="Richiamoallanotaapidipagina"/>
          <w:rFonts w:cs="Times New Roman" w:ascii="Times New Roman" w:hAnsi="Times New Roman"/>
          <w:sz w:val="24"/>
          <w:szCs w:val="24"/>
        </w:rPr>
        <w:footnoteReference w:id="23"/>
      </w:r>
      <w:r>
        <w:rPr>
          <w:rFonts w:cs="Times New Roman" w:ascii="Times New Roman" w:hAnsi="Times New Roman"/>
          <w:sz w:val="24"/>
          <w:szCs w:val="24"/>
        </w:rPr>
        <w:t>, ai sensi dell’art. 28 della legge urbanistica 17 agosto 1942, n. 1150, come modificato dall’art. 8 della c.d. legge ponte 6 agosto 1967, n. 765, il piano di lottizzazione è uno strumento urbanistico equiordinato al piano particolareggiato e ad esso sostanzialmente alternativo.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Il piano di lottizzazione assume innanzitutto la valenza di piano urbanistico di attuazione, ossia di pianificazione di dettaglio, con la finalità di riservare essenzialmente le aree ed i tracciati per la viabilità e per le opere di interesse pubblico del nuovo insediamento non individuate già nello strumento generale.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Esso, inoltre, è piano esecutivo di urbanizzazione, costituente cioè, mediante il convenzionamento, un programma di realizzazione concreta delle relative opere per mezzo del pagamento di contributi o dell’esecuzione diretta delle opere stesse, e, altresì, mediante la cessione delle aree in tutto o in parte necessarie all’urbanizzazione.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Infine, è pre - concessione edilizia, in quanto nei piani di lottizzazione vengono, di norma, ad essere individuati elementi di maggiore dettaglio di quelli previsti dallo strumento urbanistico generale. L’esigenza della redazione di un piano di lottizzazione per la realizzazione di un insediamento edilizio lascia tuttavia integra la potestà pubblicistica del Comune in materia di disciplina del territorio e di regolamentazione urbanistica.</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Circa la durata massima di efficacia dei piani di lottizzazione, la giurisprudenza è consolidata nel ritenere che ess</w:t>
      </w:r>
      <w:r>
        <w:rPr>
          <w:rFonts w:eastAsia="Calibri" w:cs="Times New Roman" w:ascii="Times New Roman" w:hAnsi="Times New Roman" w:eastAsiaTheme="minorHAnsi"/>
          <w:kern w:val="0"/>
          <w:sz w:val="24"/>
          <w:szCs w:val="24"/>
          <w:lang w:eastAsia="en-US" w:bidi="ar-SA"/>
        </w:rPr>
        <w:t>a</w:t>
      </w:r>
      <w:r>
        <w:rPr>
          <w:rFonts w:cs="Times New Roman" w:ascii="Times New Roman" w:hAnsi="Times New Roman"/>
          <w:sz w:val="24"/>
          <w:szCs w:val="24"/>
        </w:rPr>
        <w:t xml:space="preserve"> vada mutuat</w:t>
      </w:r>
      <w:r>
        <w:rPr>
          <w:rFonts w:cs="Times New Roman" w:ascii="Times New Roman" w:hAnsi="Times New Roman"/>
          <w:sz w:val="24"/>
          <w:szCs w:val="24"/>
        </w:rPr>
        <w:t xml:space="preserve">a </w:t>
      </w:r>
      <w:r>
        <w:rPr>
          <w:rFonts w:cs="Times New Roman" w:ascii="Times New Roman" w:hAnsi="Times New Roman"/>
          <w:sz w:val="24"/>
          <w:szCs w:val="24"/>
        </w:rPr>
        <w:t>dall’art. 16, comma 5, della legge urbanistica 17 agosto 1942, n. 1150 (concernente i piani particolareggiati), rispondendo ciò ad un preminente interesse pubblico non soltanto per l’esecuzione delle opere di urbanizzazione, ma anche per l’edificazione dei lotti.</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Il disegno di fissazione di un termine di decadenza per le concessioni edilizie, diretto ad assicurare l’effettività e l’attualità delle nuove previsioni urbanistiche, sarebbe infatti incompleto alla fonte se, prima del rilascio della concessione edilizia, le lottizzazioni convenzionate avessero l’efficacia di condizionare a tempo indeterminato, con l’affidamento dei suoi titolari, la pianificazione urbanistica futura.</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In tale contesto le nuove scelte urbanistiche non sono impedite dall’affidamento riposto dal lottizzante sulla intangibilità della destinazione urbanistica delle aree oggetto di lottizzazione convenzionata; esse, inoltre, non richiedono nemmeno una particolare motivazione allorché la perdita di efficacia della lottizzazione per scadenza del termine decennale abbia determinato il venir meno dei presupposti dello </w:t>
      </w:r>
      <w:r>
        <w:rPr>
          <w:rFonts w:cs="Times New Roman" w:ascii="Times New Roman" w:hAnsi="Times New Roman"/>
          <w:i/>
          <w:sz w:val="24"/>
          <w:szCs w:val="24"/>
        </w:rPr>
        <w:t>ius aedificandi</w:t>
      </w:r>
      <w:r>
        <w:rPr>
          <w:rFonts w:cs="Times New Roman" w:ascii="Times New Roman" w:hAnsi="Times New Roman"/>
          <w:sz w:val="24"/>
          <w:szCs w:val="24"/>
        </w:rPr>
        <w:t xml:space="preserve"> e della posizione qualificata del lottizzante.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Il termine massimo di dieci anni di validità del piano di lottizzazione non è quindi suscettibile di deroga, neppure sull’accordo delle parti ed eventuali diverse pattuizioni risulterebbero nulle e sarebbero automaticamente sostituite, </w:t>
      </w:r>
      <w:r>
        <w:rPr>
          <w:rFonts w:cs="Times New Roman" w:ascii="Times New Roman" w:hAnsi="Times New Roman"/>
          <w:i/>
          <w:sz w:val="24"/>
          <w:szCs w:val="24"/>
        </w:rPr>
        <w:t>ex lege</w:t>
      </w:r>
      <w:r>
        <w:rPr>
          <w:rFonts w:cs="Times New Roman" w:ascii="Times New Roman" w:hAnsi="Times New Roman"/>
          <w:sz w:val="24"/>
          <w:szCs w:val="24"/>
        </w:rPr>
        <w:t>, dal termine legale (</w:t>
      </w:r>
      <w:r>
        <w:rPr>
          <w:rFonts w:cs="Times New Roman" w:ascii="Times New Roman" w:hAnsi="Times New Roman"/>
          <w:i/>
          <w:iCs/>
          <w:sz w:val="24"/>
          <w:szCs w:val="24"/>
        </w:rPr>
        <w:t>ex</w:t>
      </w:r>
      <w:r>
        <w:rPr>
          <w:rFonts w:cs="Times New Roman" w:ascii="Times New Roman" w:hAnsi="Times New Roman"/>
          <w:sz w:val="24"/>
          <w:szCs w:val="24"/>
        </w:rPr>
        <w:t xml:space="preserve"> art. 1339 c</w:t>
      </w:r>
      <w:r>
        <w:rPr>
          <w:rFonts w:cs="Times New Roman" w:ascii="Times New Roman" w:hAnsi="Times New Roman"/>
          <w:sz w:val="24"/>
          <w:szCs w:val="24"/>
        </w:rPr>
        <w:t>od</w:t>
      </w:r>
      <w:r>
        <w:rPr>
          <w:rFonts w:cs="Times New Roman" w:ascii="Times New Roman" w:hAnsi="Times New Roman"/>
          <w:sz w:val="24"/>
          <w:szCs w:val="24"/>
        </w:rPr>
        <w:t>. c</w:t>
      </w:r>
      <w:r>
        <w:rPr>
          <w:rFonts w:cs="Times New Roman" w:ascii="Times New Roman" w:hAnsi="Times New Roman"/>
          <w:sz w:val="24"/>
          <w:szCs w:val="24"/>
        </w:rPr>
        <w:t>iv</w:t>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Peraltro è irrilevante (ai fini delle conseguenze connesse alla scadenza del termine decennale di efficacia del piano di lottizzazione) stabilire se la mancata attuazione sia dovuta alla pubblica amministrazione o al privato lottizzante.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Diversamente opinando verrebbe irragionevolmente vulnerato il potere del Comune di imprimere al proprio territorio – in caso di piani rimasti inattuati – l’assetto voluto, corrispondente all’indirizzo politico – amministrativo sopravvenuto e attuale.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Sempre per la giurisprudenza</w:t>
      </w:r>
      <w:r>
        <w:rPr>
          <w:rStyle w:val="Richiamoallanotaapidipagina"/>
          <w:rFonts w:cs="Times New Roman" w:ascii="Times New Roman" w:hAnsi="Times New Roman"/>
          <w:sz w:val="24"/>
          <w:szCs w:val="24"/>
        </w:rPr>
        <w:footnoteReference w:id="24"/>
      </w:r>
      <w:r>
        <w:rPr>
          <w:rFonts w:cs="Times New Roman" w:ascii="Times New Roman" w:hAnsi="Times New Roman"/>
          <w:sz w:val="24"/>
          <w:szCs w:val="24"/>
        </w:rPr>
        <w:t>, relativamente ai rapporti che intercorrono tra il piano di lottizzazione e la convenzione</w:t>
      </w:r>
      <w:r>
        <w:rPr>
          <w:rStyle w:val="Richiamoallanotaapidipagina"/>
          <w:rFonts w:cs="Times New Roman" w:ascii="Times New Roman" w:hAnsi="Times New Roman"/>
          <w:sz w:val="24"/>
          <w:szCs w:val="24"/>
        </w:rPr>
        <w:footnoteReference w:id="25"/>
      </w:r>
      <w:r>
        <w:rPr>
          <w:rFonts w:cs="Times New Roman" w:ascii="Times New Roman" w:hAnsi="Times New Roman"/>
          <w:sz w:val="24"/>
          <w:szCs w:val="24"/>
        </w:rPr>
        <w:t xml:space="preserve">, nella logica della pianificazione urbanistica di attuazione, il piano di lottizzazione (o altro strumento di pianificazione attuativa) e lo schema di convenzione ad esso allegato costituiscono atti distinti ma giuridicamente connessi.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Mentre piano urbanistico attuativo e schema di convenzione formano oggetto di un unico atto di approvazione, la convenzione propriamente detta (cioè il contratto ad oggetto pubblico successivamente stipulato) costituisce un atto negoziale autonomo (nel senso di essere giuridicamente distinto dal provvedimento - atto unilaterale di approvazione).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Da ciò consegue che termine di efficacia del piano attuativo (strumento urbanistico secondario) e termini di adempimento delle singole obbligazioni contemplate nella convenzione non devono necessariamente coincidere, poiché i secondi rispondono a quanto specificamente previsto nel cronoprogramma indicato nella convenzione medesima. Ovviamente, da un lato, i termini di realizzazione del programma incontrano un limite massimo di previsione del termine di efficacia del piano attuativo; dall'altro lato, laddove non sia specificamente disposto, occorre intendere tale termine di efficacia del piano anche quale termine di adempimento delle obbligazioni.</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sostanza, il rapporto che avvince piano e convenzione è di carattere funzionale poiché la seconda determina la nascita del vincolo negoziale che traduce in realtà l’idea espressa dal piano.</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5. Piano regolatore sopravvenuto e pianificazione attuativa.</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Particolare interesse ha suscitato - nella dottrina</w:t>
      </w:r>
      <w:r>
        <w:rPr>
          <w:rStyle w:val="Richiamoallanotaapidipagina"/>
          <w:rFonts w:cs="Times New Roman" w:ascii="Times New Roman" w:hAnsi="Times New Roman"/>
          <w:sz w:val="24"/>
          <w:szCs w:val="24"/>
        </w:rPr>
        <w:footnoteReference w:id="26"/>
      </w:r>
      <w:r>
        <w:rPr>
          <w:rFonts w:cs="Times New Roman" w:ascii="Times New Roman" w:hAnsi="Times New Roman"/>
          <w:sz w:val="24"/>
          <w:szCs w:val="24"/>
        </w:rPr>
        <w:t xml:space="preserve"> e in giurisprudenza - la questione della sussistenza (e della latitudine)</w:t>
      </w:r>
      <w:bookmarkStart w:id="0" w:name="_GoBack"/>
      <w:bookmarkEnd w:id="0"/>
      <w:r>
        <w:rPr>
          <w:rFonts w:cs="Times New Roman" w:ascii="Times New Roman" w:hAnsi="Times New Roman"/>
          <w:sz w:val="24"/>
          <w:szCs w:val="24"/>
        </w:rPr>
        <w:t xml:space="preserve"> dello </w:t>
      </w:r>
      <w:r>
        <w:rPr>
          <w:rFonts w:cs="Times New Roman" w:ascii="Times New Roman" w:hAnsi="Times New Roman"/>
          <w:i/>
          <w:sz w:val="24"/>
          <w:szCs w:val="24"/>
        </w:rPr>
        <w:t xml:space="preserve">ius variandi </w:t>
      </w:r>
      <w:r>
        <w:rPr>
          <w:rFonts w:cs="Times New Roman" w:ascii="Times New Roman" w:hAnsi="Times New Roman"/>
          <w:sz w:val="24"/>
          <w:szCs w:val="24"/>
        </w:rPr>
        <w:t>dell’amministrazione a fronte di un perfezionato disegno urbanistico esecutivo relativo allo strumento attuativo (“contrattualizzato”)</w:t>
      </w:r>
      <w:r>
        <w:rPr>
          <w:rStyle w:val="Richiamoallanotaapidipagina"/>
          <w:rFonts w:cs="Times New Roman" w:ascii="Times New Roman" w:hAnsi="Times New Roman"/>
          <w:sz w:val="24"/>
          <w:szCs w:val="24"/>
        </w:rPr>
        <w:footnoteReference w:id="27"/>
      </w:r>
      <w:r>
        <w:rPr>
          <w:rFonts w:cs="Times New Roman" w:ascii="Times New Roman" w:hAnsi="Times New Roman"/>
          <w:sz w:val="24"/>
          <w:szCs w:val="24"/>
        </w:rPr>
        <w:t xml:space="preserv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particolare, circa gli effetti dell’adozione e dell’approvazione di un nuovo piano regolatore nei confronti dei piani di lottizzazione già approvati, la giurisprudenza ha elaborato due diversi orientamenti interpretativi.</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Una </w:t>
      </w:r>
      <w:r>
        <w:rPr>
          <w:rFonts w:cs="Times New Roman" w:ascii="Times New Roman" w:hAnsi="Times New Roman"/>
          <w:sz w:val="24"/>
          <w:szCs w:val="24"/>
        </w:rPr>
        <w:t>prima</w:t>
      </w:r>
      <w:r>
        <w:rPr>
          <w:rFonts w:cs="Times New Roman" w:ascii="Times New Roman" w:hAnsi="Times New Roman"/>
          <w:sz w:val="24"/>
          <w:szCs w:val="24"/>
        </w:rPr>
        <w:t xml:space="preserve"> tesi attribuisce al piano regolatore sopravvenuto contrastante con la convenzione di lottizzazione natura di provvedimento di secondo grado, con cui l'amministrazione manifesta, anche non esplicitamente, l'intenzione di recedere dalla precedente convenzione di lottizzazione</w:t>
      </w:r>
      <w:r>
        <w:rPr>
          <w:rStyle w:val="Richiamoallanotaapidipagina"/>
          <w:rFonts w:cs="Times New Roman" w:ascii="Times New Roman" w:hAnsi="Times New Roman"/>
          <w:sz w:val="24"/>
          <w:szCs w:val="24"/>
        </w:rPr>
        <w:footnoteReference w:id="28"/>
      </w:r>
      <w:r>
        <w:rPr>
          <w:rFonts w:cs="Times New Roman" w:ascii="Times New Roman" w:hAnsi="Times New Roman"/>
          <w:sz w:val="24"/>
          <w:szCs w:val="24"/>
        </w:rPr>
        <w:t xml:space="preserv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Ciò comporta che “</w:t>
      </w:r>
      <w:r>
        <w:rPr>
          <w:rFonts w:cs="Times New Roman" w:ascii="Times New Roman" w:hAnsi="Times New Roman"/>
          <w:i/>
          <w:sz w:val="24"/>
          <w:szCs w:val="24"/>
        </w:rPr>
        <w:t>a tutela delle legittime aspettative dei proprietari, la relativa delibera va motivata specificamente con la valutazione comparativa tra l'interesse pubblico alla nuova destinazione e la situazione soggettiva del privato, anche prefigurando se esistano possibilità di conseguire l'obiettivo di pubblico interesse con soluzioni alternative, capaci di escludere o di contenere la lesione dell'affidamento suscitato dalla lottizzazione</w:t>
      </w:r>
      <w:r>
        <w:rPr>
          <w:rFonts w:cs="Times New Roman" w:ascii="Times New Roman" w:hAnsi="Times New Roman"/>
          <w:sz w:val="24"/>
          <w:szCs w:val="24"/>
        </w:rPr>
        <w:t>”</w:t>
      </w:r>
      <w:r>
        <w:rPr>
          <w:rStyle w:val="Richiamoallanotaapidipagina"/>
          <w:rFonts w:cs="Times New Roman" w:ascii="Times New Roman" w:hAnsi="Times New Roman"/>
          <w:sz w:val="24"/>
          <w:szCs w:val="24"/>
        </w:rPr>
        <w:footnoteReference w:id="29"/>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Secondo altro indirizzo</w:t>
      </w:r>
      <w:r>
        <w:rPr>
          <w:rStyle w:val="Richiamoallanotaapidipagina"/>
          <w:rFonts w:cs="Times New Roman" w:ascii="Times New Roman" w:hAnsi="Times New Roman"/>
          <w:sz w:val="24"/>
          <w:szCs w:val="24"/>
        </w:rPr>
        <w:footnoteReference w:id="30"/>
      </w:r>
      <w:r>
        <w:rPr>
          <w:rFonts w:cs="Times New Roman" w:ascii="Times New Roman" w:hAnsi="Times New Roman"/>
          <w:sz w:val="24"/>
          <w:szCs w:val="24"/>
        </w:rPr>
        <w:t>, invece, i rapporti tra piano di lottizzazione e piano regolatore generale sopravvenuto sono disciplinati dall’art. 17, primo comma, della legge 17 agosto 1942, n. 1150, per il quale, “</w:t>
      </w:r>
      <w:r>
        <w:rPr>
          <w:rFonts w:cs="Times New Roman" w:ascii="Times New Roman" w:hAnsi="Times New Roman"/>
          <w:i/>
          <w:sz w:val="24"/>
          <w:szCs w:val="24"/>
        </w:rPr>
        <w:t>decorso il termine stabilito per l’esecuzione del piano particolareggiato, questo diventa inefficace per la parte in cui non abbia avuto attuazione, rimanendo soltanto fermo a tempo indeterminato l’obbligo di osservare, nella costruzione di nuovi edifici e nella modificazione di quelli esistenti, gli allineamenti e le prescrizioni di zona stabiliti dal piano stesso</w:t>
      </w:r>
      <w:r>
        <w:rPr>
          <w:rFonts w:cs="Times New Roman" w:ascii="Times New Roman" w:hAnsi="Times New Roman"/>
          <w:sz w:val="24"/>
          <w:szCs w:val="24"/>
        </w:rPr>
        <w:t xml:space="preserv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Da tale norme sarebbe possibile desumere un ulteriore principio riguardante il caso in cui le previsioni di un sopravvenuto piano regolatore generale vadano a “sovrapporsi” a quelle del precedente piano attuativo.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Secondo tale orientamento, l’Autorità urbanistica può modificare le specifiche prescrizioni dello strumento attuativo, in base a una motivata valutazione dello stato dei luoghi e delle posizioni venutesi a consolidare e su cui si va ad incidere: se tale modifica è effettuata con una variante speciale, </w:t>
      </w:r>
      <w:r>
        <w:rPr>
          <w:rFonts w:cs="Times New Roman" w:ascii="Times New Roman" w:hAnsi="Times New Roman"/>
          <w:i/>
          <w:sz w:val="24"/>
          <w:szCs w:val="24"/>
        </w:rPr>
        <w:t>nulla quaestio</w:t>
      </w:r>
      <w:r>
        <w:rPr>
          <w:rFonts w:cs="Times New Roman" w:ascii="Times New Roman" w:hAnsi="Times New Roman"/>
          <w:sz w:val="24"/>
          <w:szCs w:val="24"/>
        </w:rPr>
        <w:t xml:space="preserve"> (prevalgono le prescrizioni disposte con la variante al piano regolatore, approvata proprio per incidere su quelle desumibili dallo strumento attuativo); nel caso di approvazione di una variante generale al piano regolatore generale, o vi è un espresso e specifico richiamo alle prescrizioni del precedente strumento attuativo su cui si intenda incidere, oppure - in assenza di tale richiamo - tale approvazione è irrilevante per la perdurante efficacia delle prescrizioni del piano attuativo. </w:t>
      </w:r>
    </w:p>
    <w:p>
      <w:pPr>
        <w:pStyle w:val="NoSpacing"/>
        <w:spacing w:lineRule="auto" w:line="360"/>
        <w:jc w:val="both"/>
        <w:rPr>
          <w:rFonts w:ascii="Times New Roman" w:hAnsi="Times New Roman" w:cs="Times New Roman"/>
          <w:sz w:val="24"/>
          <w:szCs w:val="24"/>
        </w:rPr>
      </w:pPr>
      <w:r>
        <w:rPr>
          <w:rFonts w:eastAsia="Calibri" w:cs="Times New Roman" w:ascii="Times New Roman" w:hAnsi="Times New Roman" w:eastAsiaTheme="minorHAnsi"/>
          <w:kern w:val="0"/>
          <w:sz w:val="24"/>
          <w:szCs w:val="24"/>
          <w:lang w:eastAsia="en-US" w:bidi="ar-SA"/>
        </w:rPr>
        <w:t>Per tale ultimo indirizzo</w:t>
      </w:r>
      <w:r>
        <w:rPr>
          <w:rFonts w:cs="Times New Roman" w:ascii="Times New Roman" w:hAnsi="Times New Roman"/>
          <w:sz w:val="24"/>
          <w:szCs w:val="24"/>
        </w:rPr>
        <w:t>, il piano regolatore generale – nel riferirsi in senso dinamico alle parti del territorio da pianificare in dettaglio – di per sé non incide sulle previsioni del precedente strumento attuativo (anche se non più eseguibile per il decorso del tempo), poiché quest’ultimo ha stabilmente determinato l’assetto definitivo e di dettaglio della parte del territorio in considerazione; pertanto, anche per la localizzazione degli edifici, le prescrizioni del piano esecutivo (malgrado la scadenza del termine decennale) continuano ad essere rilevanti per coloro che – non avendo ancora realizzato le costruzioni - intendano tardivamente chiedere il titolo abilitativo (nel vigore dello strumento urbanistico sopravvenuto, ove questo ugualmente consenta la nuova costruzione)</w:t>
      </w:r>
      <w:r>
        <w:rPr>
          <w:rStyle w:val="Richiamoallanotaapidipagina"/>
          <w:rFonts w:cs="Times New Roman" w:ascii="Times New Roman" w:hAnsi="Times New Roman"/>
          <w:sz w:val="24"/>
          <w:szCs w:val="24"/>
        </w:rPr>
        <w:footnoteReference w:id="31"/>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sz w:val="24"/>
          <w:szCs w:val="24"/>
        </w:rPr>
      </w:pPr>
      <w:r>
        <w:rPr>
          <w:rFonts w:cs="Times New Roman" w:ascii="Times New Roman" w:hAnsi="Times New Roman"/>
          <w:b/>
          <w:sz w:val="24"/>
          <w:szCs w:val="24"/>
        </w:rPr>
        <w:t>6. Il caso della mancata sottoscrizione della convenzione di lottizzazione.</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La giurisprudenza ha chiarito che il piano di lottizzazione, mai divenuto efficace per la mancata stipula della convenzione, è </w:t>
      </w:r>
      <w:r>
        <w:rPr>
          <w:rFonts w:cs="Times New Roman" w:ascii="Times New Roman" w:hAnsi="Times New Roman"/>
          <w:i/>
          <w:sz w:val="24"/>
          <w:szCs w:val="24"/>
        </w:rPr>
        <w:t>tamquam non esset</w:t>
      </w:r>
      <w:r>
        <w:rPr>
          <w:rStyle w:val="Richiamoallanotaapidipagina"/>
          <w:rFonts w:cs="Times New Roman" w:ascii="Times New Roman" w:hAnsi="Times New Roman"/>
          <w:i/>
          <w:sz w:val="24"/>
          <w:szCs w:val="24"/>
        </w:rPr>
        <w:footnoteReference w:id="32"/>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E’ stato chiarito</w:t>
      </w:r>
      <w:r>
        <w:rPr>
          <w:rStyle w:val="Richiamoallanotaapidipagina"/>
          <w:rFonts w:cs="Times New Roman" w:ascii="Times New Roman" w:hAnsi="Times New Roman"/>
          <w:sz w:val="24"/>
          <w:szCs w:val="24"/>
        </w:rPr>
        <w:footnoteReference w:id="33"/>
      </w:r>
      <w:r>
        <w:rPr>
          <w:rFonts w:cs="Times New Roman" w:ascii="Times New Roman" w:hAnsi="Times New Roman"/>
          <w:sz w:val="24"/>
          <w:szCs w:val="24"/>
        </w:rPr>
        <w:t xml:space="preserve">, inoltre, che la sottoscrizione della convenzione urbanistica costituisce presupposto necessario per il rilascio del permesso di costruire: solo dopo la stipula della convenzione di lottizzazione, infatti, si perfeziona lo strumento urbanistico attuativo e l’area interessata riceve una disciplina urbanistica che consente di procedere all’edificazione, in concorso con la dotazione dell’area delle necessarie opere di urbanizzazione; il rilascio dei singoli titoli edilizi, infatti, è espressamente subordinato dal Legislatore, ai sensi dell’art. 28, quinto comma, della legge 17 agosto 1942, n. 1150, all’impegno a realizzare, contemporaneamente ai fabbricati, le opere di urbanizzazione. </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 altri termini, il piano di lottizzazione convenzionata acquista efficacia non per effetto dell’approvazione del relativo progetto da parte del consiglio comunale, ma con le successive stipulazioni e trascrizioni della convenzione: ne consegue che il piano di lottizzazione approvato dal Comune non acquisisce efficacia per mancata sottoscrizione della convenzione a esso accessiva</w:t>
      </w:r>
      <w:r>
        <w:rPr>
          <w:rStyle w:val="Richiamoallanotaapidipagina"/>
          <w:rFonts w:cs="Times New Roman" w:ascii="Times New Roman" w:hAnsi="Times New Roman"/>
          <w:sz w:val="24"/>
          <w:szCs w:val="24"/>
        </w:rPr>
        <w:footnoteReference w:id="34"/>
      </w:r>
      <w:r>
        <w:rPr>
          <w:rFonts w:cs="Times New Roman" w:ascii="Times New Roman" w:hAnsi="Times New Roman"/>
          <w:sz w:val="24"/>
          <w:szCs w:val="24"/>
        </w:rPr>
        <w:t>.</w:t>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t>Inoltre, ben può l’Amministrazione, dopo aver approvato un piano di lottizzazione e prima della stipula della relativa convenzione, rivedere le proprie determinazioni pianificatorie sulla medesima area (e quindi, conseguentemente, decidere di non stipulare più la convenzione di lottizzazione): ciò discende, a tacer d’altro, dalla natura meramente programmatoria del piano di lottizzazione, che è di per sé inidoneo a far sorgere in capo ai privati aspettative giuridicamente qualificate in ordine al regime urbanistico delle aree ricomprese nello strumento attuativo, nonché dalla separatezza tra la fase della approvazione del piano e quella della stipula della convenzione (non casualmente rimesse a organi istituzionali diversi, essendo la prima atto di pianificazione e programmazione e la seconda atto di gestione).</w:t>
      </w:r>
    </w:p>
    <w:sectPr>
      <w:footnotePr>
        <w:numFmt w:val="decimal"/>
      </w:footnote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Versione riveduta e corretta della relazione tenuta al corso di formazione - organizzato dall’Ufficio Studi e Formazione della Giustizia amministrativa, in collaborazione con l’Unione nazionale Segretari comunali e provinciali - “</w:t>
      </w:r>
      <w:r>
        <w:rPr>
          <w:rFonts w:cs="Times New Roman" w:ascii="Times New Roman" w:hAnsi="Times New Roman"/>
          <w:i/>
          <w:sz w:val="22"/>
          <w:szCs w:val="22"/>
        </w:rPr>
        <w:t>Ottemperanza ed esecuzione negli enti locali, tra scelte amministrative e poteri del giudice</w:t>
      </w:r>
      <w:r>
        <w:rPr>
          <w:rFonts w:cs="Times New Roman" w:ascii="Times New Roman" w:hAnsi="Times New Roman"/>
          <w:sz w:val="22"/>
          <w:szCs w:val="22"/>
        </w:rPr>
        <w:t>”, Siracusa, 3 e 4 ottobre 2025.</w:t>
      </w:r>
    </w:p>
    <w:p>
      <w:pPr>
        <w:pStyle w:val="Notaapidipagina"/>
        <w:jc w:val="both"/>
        <w:rPr>
          <w:rFonts w:ascii="Times New Roman" w:hAnsi="Times New Roman" w:cs="Times New Roman"/>
          <w:sz w:val="22"/>
          <w:szCs w:val="22"/>
        </w:rPr>
      </w:pPr>
      <w:r>
        <w:rPr>
          <w:rFonts w:cs="Times New Roman" w:ascii="Times New Roman" w:hAnsi="Times New Roman"/>
          <w:sz w:val="22"/>
          <w:szCs w:val="22"/>
        </w:rPr>
        <w:t>Le tesi esposte sono opinioni personali dell’autore e non impegnano l’Istituto cui appartiene.</w:t>
      </w:r>
    </w:p>
  </w:footnote>
  <w:footnote w:id="3">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22 settembre 2025, n. 7441,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4">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12 febbraio 2025, n. 1158,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5">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T.A.R. Lombardia, Milano, sez. IV, 20 gennaio 2025, n. 188, in </w:t>
      </w:r>
      <w:r>
        <w:rPr>
          <w:rFonts w:cs="Times New Roman" w:ascii="Times New Roman" w:hAnsi="Times New Roman"/>
          <w:i/>
          <w:sz w:val="22"/>
          <w:szCs w:val="22"/>
        </w:rPr>
        <w:t>www.giustizia-amministrativa.it</w:t>
      </w:r>
      <w:r>
        <w:rPr>
          <w:rFonts w:cs="Times New Roman" w:ascii="Times New Roman" w:hAnsi="Times New Roman"/>
          <w:sz w:val="22"/>
          <w:szCs w:val="22"/>
        </w:rPr>
        <w:t xml:space="preserve">, che ha richiamato la fondamentale sentenza della Corte costituzionale, 16 luglio 2019, n. 179, </w:t>
      </w:r>
      <w:r>
        <w:rPr>
          <w:rFonts w:cs="Times New Roman" w:ascii="Times New Roman" w:hAnsi="Times New Roman"/>
          <w:sz w:val="22"/>
          <w:szCs w:val="22"/>
        </w:rPr>
        <w:t>in</w:t>
      </w:r>
      <w:r>
        <w:rPr>
          <w:rFonts w:cs="Times New Roman" w:ascii="Times New Roman" w:hAnsi="Times New Roman"/>
          <w:i/>
          <w:iCs/>
          <w:sz w:val="22"/>
          <w:szCs w:val="22"/>
        </w:rPr>
        <w:t xml:space="preserve"> www.cortecostituzionale.it</w:t>
      </w:r>
      <w:r>
        <w:rPr>
          <w:rFonts w:cs="Times New Roman" w:ascii="Times New Roman" w:hAnsi="Times New Roman"/>
          <w:sz w:val="22"/>
          <w:szCs w:val="22"/>
        </w:rPr>
        <w:t>.</w:t>
      </w:r>
    </w:p>
  </w:footnote>
  <w:footnote w:id="6">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18 luglio 2025, n. 6359,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7">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Si ricordi che già in precedenza la decisione del Consiglio di Stato, Adunanza Plenaria, sentenza 21 ottobre 1980, n. 37, in </w:t>
      </w:r>
      <w:r>
        <w:rPr>
          <w:rFonts w:cs="Times New Roman" w:ascii="Times New Roman" w:hAnsi="Times New Roman"/>
          <w:i/>
          <w:sz w:val="22"/>
          <w:szCs w:val="22"/>
        </w:rPr>
        <w:t>www.giustizia-amministrativa.it</w:t>
      </w:r>
      <w:r>
        <w:rPr>
          <w:rFonts w:cs="Times New Roman" w:ascii="Times New Roman" w:hAnsi="Times New Roman"/>
          <w:sz w:val="22"/>
          <w:szCs w:val="22"/>
        </w:rPr>
        <w:t>, aveva puntualizzato che, se “</w:t>
      </w:r>
      <w:r>
        <w:rPr>
          <w:rFonts w:cs="Times New Roman" w:ascii="Times New Roman" w:hAnsi="Times New Roman"/>
          <w:i/>
          <w:sz w:val="22"/>
          <w:szCs w:val="22"/>
        </w:rPr>
        <w:t>la motivazione non occorre per gli atti a contenuto generale almeno con altrettanto vigore che per quelli a contenuto determinato</w:t>
      </w:r>
      <w:r>
        <w:rPr>
          <w:rFonts w:cs="Times New Roman" w:ascii="Times New Roman" w:hAnsi="Times New Roman"/>
          <w:sz w:val="22"/>
          <w:szCs w:val="22"/>
        </w:rPr>
        <w:t>”, costituisce, correlativamente, ragione di deroga alla regola dell’insussistenza di un obbligo di motivazione c.d. “polverizzata” delle scelte di piano proprio “</w:t>
      </w:r>
      <w:r>
        <w:rPr>
          <w:rFonts w:cs="Times New Roman" w:ascii="Times New Roman" w:hAnsi="Times New Roman"/>
          <w:i/>
          <w:sz w:val="22"/>
          <w:szCs w:val="22"/>
        </w:rPr>
        <w:t>la specificità ed occasionalità</w:t>
      </w:r>
      <w:r>
        <w:rPr>
          <w:rFonts w:cs="Times New Roman" w:ascii="Times New Roman" w:hAnsi="Times New Roman"/>
          <w:sz w:val="22"/>
          <w:szCs w:val="22"/>
        </w:rPr>
        <w:t>” della decisione, come avviene, ad esempio, nel caso di una variante specifica.</w:t>
      </w:r>
    </w:p>
  </w:footnote>
  <w:footnote w:id="8">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25 giugno 2025, n. 5536,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9">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Ad. Plen., 22 dicembre 1999, n. 24,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0">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Ad. Plen., 8 gennaio 1986, n. 1,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1">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Ad. Plen., 22 dicembre 1999, n. 24,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2">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3 luglio 2025, n. 5748,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3">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22 luglio 2025, n. 6482, in </w:t>
      </w:r>
      <w:r>
        <w:rPr>
          <w:rFonts w:cs="Times New Roman" w:ascii="Times New Roman" w:hAnsi="Times New Roman"/>
          <w:i/>
          <w:sz w:val="22"/>
          <w:szCs w:val="22"/>
        </w:rPr>
        <w:t>www.giustizia-amministrativa.it</w:t>
      </w:r>
      <w:r>
        <w:rPr>
          <w:rFonts w:cs="Times New Roman" w:ascii="Times New Roman" w:hAnsi="Times New Roman"/>
          <w:sz w:val="22"/>
          <w:szCs w:val="22"/>
        </w:rPr>
        <w:t xml:space="preserve">, che richiama Cons. Stato, sez. IV, 18 dicembre 2023, n. 10976,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4">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25 giugno 2025, n. 5536, in </w:t>
      </w:r>
      <w:r>
        <w:rPr>
          <w:rFonts w:cs="Times New Roman" w:ascii="Times New Roman" w:hAnsi="Times New Roman"/>
          <w:i/>
          <w:sz w:val="22"/>
          <w:szCs w:val="22"/>
        </w:rPr>
        <w:t>www.giustizia-amministrativa.it</w:t>
      </w:r>
      <w:r>
        <w:rPr>
          <w:rFonts w:cs="Times New Roman" w:ascii="Times New Roman" w:hAnsi="Times New Roman"/>
          <w:sz w:val="22"/>
          <w:szCs w:val="22"/>
        </w:rPr>
        <w:t>.</w:t>
      </w:r>
    </w:p>
    <w:p>
      <w:pPr>
        <w:pStyle w:val="Notaapidipagina"/>
        <w:jc w:val="both"/>
        <w:rPr>
          <w:rFonts w:ascii="Times New Roman" w:hAnsi="Times New Roman" w:cs="Times New Roman"/>
          <w:sz w:val="22"/>
          <w:szCs w:val="22"/>
        </w:rPr>
      </w:pPr>
      <w:r>
        <w:rPr>
          <w:rFonts w:cs="Times New Roman" w:ascii="Times New Roman" w:hAnsi="Times New Roman"/>
          <w:color w:val="000000"/>
          <w:sz w:val="22"/>
          <w:szCs w:val="22"/>
        </w:rPr>
        <w:t>In definitiva, in tema di pianificazione urbanistica, la tutela dell'affidamento si concretizza nel dovere di puntuale motivazione delle scelte pianificatorie, con la quale si dia conto del contemperamento dell'interesse pubblico con la </w:t>
      </w:r>
      <w:r>
        <w:rPr>
          <w:rFonts w:cs="Times New Roman" w:ascii="Times New Roman" w:hAnsi="Times New Roman"/>
          <w:sz w:val="22"/>
          <w:szCs w:val="22"/>
        </w:rPr>
        <w:t>particolare condizione del privato</w:t>
      </w:r>
      <w:r>
        <w:rPr>
          <w:rFonts w:cs="Times New Roman" w:ascii="Times New Roman" w:hAnsi="Times New Roman"/>
          <w:color w:val="000000"/>
          <w:sz w:val="22"/>
          <w:szCs w:val="22"/>
        </w:rPr>
        <w:t>, nei predetti casi eccezionali: cfr. Cons. Stato, sez. IV, 25 giugno 2025, n. 5542</w:t>
      </w:r>
      <w:r>
        <w:rPr>
          <w:rFonts w:cs="Times New Roman" w:ascii="Times New Roman" w:hAnsi="Times New Roman"/>
          <w:sz w:val="22"/>
          <w:szCs w:val="22"/>
        </w:rPr>
        <w:t xml:space="preserve">, in </w:t>
      </w:r>
      <w:r>
        <w:rPr>
          <w:rFonts w:cs="Times New Roman" w:ascii="Times New Roman" w:hAnsi="Times New Roman"/>
          <w:i/>
          <w:sz w:val="22"/>
          <w:szCs w:val="22"/>
        </w:rPr>
        <w:t>www.giustizia-amministrativa.it</w:t>
      </w:r>
      <w:r>
        <w:rPr>
          <w:rFonts w:cs="Times New Roman" w:ascii="Times New Roman" w:hAnsi="Times New Roman"/>
          <w:sz w:val="22"/>
          <w:szCs w:val="22"/>
        </w:rPr>
        <w:t>.</w:t>
      </w:r>
    </w:p>
    <w:p>
      <w:pPr>
        <w:pStyle w:val="Notaapidipagina"/>
        <w:jc w:val="both"/>
        <w:rPr>
          <w:rFonts w:ascii="Times New Roman" w:hAnsi="Times New Roman" w:cs="Times New Roman"/>
          <w:sz w:val="22"/>
          <w:szCs w:val="22"/>
        </w:rPr>
      </w:pPr>
      <w:r>
        <w:rPr>
          <w:rFonts w:cs="Times New Roman" w:ascii="Times New Roman" w:hAnsi="Times New Roman"/>
          <w:sz w:val="22"/>
          <w:szCs w:val="22"/>
        </w:rPr>
        <w:t xml:space="preserve">Sul punto, la giurisprudenza ha osservato che la completezza della motivazione costituisce lo strumento dal quale deve emergere la avvenuta comparazione tra il pubblico interesse cui si finalizza la nuova scelta e quello del privato, assistito appunto da una aspettativa tutelata: </w:t>
      </w:r>
      <w:r>
        <w:rPr>
          <w:rFonts w:cs="Times New Roman" w:ascii="Times New Roman" w:hAnsi="Times New Roman"/>
          <w:bCs/>
          <w:color w:val="000000"/>
          <w:sz w:val="22"/>
          <w:szCs w:val="22"/>
          <w:shd w:fill="FFFFFF" w:val="clear"/>
        </w:rPr>
        <w:t>T.A.R. Lombardia, Brescia, sez. I, 10 dicembre 2020, n. 874</w:t>
      </w:r>
      <w:r>
        <w:rPr>
          <w:rFonts w:cs="Times New Roman" w:ascii="Times New Roman" w:hAnsi="Times New Roman"/>
          <w:sz w:val="22"/>
          <w:szCs w:val="22"/>
        </w:rPr>
        <w:t xml:space="preserve">, in </w:t>
      </w:r>
      <w:r>
        <w:rPr>
          <w:rFonts w:cs="Times New Roman" w:ascii="Times New Roman" w:hAnsi="Times New Roman"/>
          <w:i/>
          <w:sz w:val="22"/>
          <w:szCs w:val="22"/>
        </w:rPr>
        <w:t>www.giustizia-amministrativa.it</w:t>
      </w:r>
      <w:r>
        <w:rPr>
          <w:rFonts w:cs="Times New Roman" w:ascii="Times New Roman" w:hAnsi="Times New Roman"/>
          <w:sz w:val="22"/>
          <w:szCs w:val="22"/>
        </w:rPr>
        <w:t>.</w:t>
      </w:r>
    </w:p>
    <w:p>
      <w:pPr>
        <w:pStyle w:val="Notaapidipagina"/>
        <w:jc w:val="both"/>
        <w:rPr>
          <w:rFonts w:ascii="Times New Roman" w:hAnsi="Times New Roman" w:cs="Times New Roman"/>
          <w:sz w:val="22"/>
          <w:szCs w:val="22"/>
        </w:rPr>
      </w:pPr>
      <w:r>
        <w:rPr/>
      </w:r>
    </w:p>
  </w:footnote>
  <w:footnote w:id="15">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III, 4 agosto 2021, n. 5758, in </w:t>
      </w:r>
      <w:r>
        <w:rPr>
          <w:rFonts w:cs="Times New Roman" w:ascii="Times New Roman" w:hAnsi="Times New Roman"/>
          <w:i/>
          <w:sz w:val="22"/>
          <w:szCs w:val="22"/>
        </w:rPr>
        <w:t>www.giustizia-amministrativa.it</w:t>
      </w:r>
      <w:r>
        <w:rPr>
          <w:rFonts w:cs="Times New Roman" w:ascii="Times New Roman" w:hAnsi="Times New Roman"/>
          <w:sz w:val="22"/>
          <w:szCs w:val="22"/>
        </w:rPr>
        <w:t xml:space="preserve">. </w:t>
      </w:r>
    </w:p>
  </w:footnote>
  <w:footnote w:id="16">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Ad. plen., 29 novembre 2021, n. 20, in </w:t>
      </w:r>
      <w:r>
        <w:rPr>
          <w:rFonts w:cs="Times New Roman" w:ascii="Times New Roman" w:hAnsi="Times New Roman"/>
          <w:i/>
          <w:sz w:val="22"/>
          <w:szCs w:val="22"/>
        </w:rPr>
        <w:t>www.giustizia-amministrativa.it</w:t>
      </w:r>
      <w:r>
        <w:rPr>
          <w:rFonts w:cs="Times New Roman" w:ascii="Times New Roman" w:hAnsi="Times New Roman"/>
          <w:sz w:val="22"/>
          <w:szCs w:val="22"/>
        </w:rPr>
        <w:t xml:space="preserve">; nelle sentenze Cons. Stato, Ad. Plen., 29 novembre 2021, nn. 19 e 21, in </w:t>
      </w:r>
      <w:r>
        <w:rPr>
          <w:rFonts w:cs="Times New Roman" w:ascii="Times New Roman" w:hAnsi="Times New Roman"/>
          <w:i/>
          <w:sz w:val="22"/>
          <w:szCs w:val="22"/>
        </w:rPr>
        <w:t>www.giustizia-amministrativa.it</w:t>
      </w:r>
      <w:r>
        <w:rPr>
          <w:rFonts w:cs="Times New Roman" w:ascii="Times New Roman" w:hAnsi="Times New Roman"/>
          <w:sz w:val="22"/>
          <w:szCs w:val="22"/>
        </w:rPr>
        <w:t>, si parla di tutela della “</w:t>
      </w:r>
      <w:r>
        <w:rPr>
          <w:rFonts w:cs="Times New Roman" w:ascii="Times New Roman" w:hAnsi="Times New Roman"/>
          <w:i/>
          <w:sz w:val="22"/>
          <w:szCs w:val="22"/>
        </w:rPr>
        <w:t>buona fede ragionevolmente riposta sull’esistenza di una situazione apparentemente corrispondente a quella reale, da altri creata</w:t>
      </w:r>
      <w:r>
        <w:rPr>
          <w:rFonts w:cs="Times New Roman" w:ascii="Times New Roman" w:hAnsi="Times New Roman"/>
          <w:sz w:val="22"/>
          <w:szCs w:val="22"/>
        </w:rPr>
        <w:t>”.</w:t>
      </w:r>
    </w:p>
  </w:footnote>
  <w:footnote w:id="17">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II, 19 marzo 2025, n. 2252,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8">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15 gennaio 2025, n. 275,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19">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15 gennaio 2025, n. 274,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0">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Ad. Plen., 29 novembre 2021, n. 19,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1">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La citata Cons. Stato, sez. IV, 18 dicembre 2023, n. 10976, in </w:t>
      </w:r>
      <w:r>
        <w:rPr>
          <w:rFonts w:cs="Times New Roman" w:ascii="Times New Roman" w:hAnsi="Times New Roman"/>
          <w:i/>
          <w:sz w:val="22"/>
          <w:szCs w:val="22"/>
        </w:rPr>
        <w:t>www.giustizia-amministrativa.it</w:t>
      </w:r>
      <w:r>
        <w:rPr>
          <w:rFonts w:cs="Times New Roman" w:ascii="Times New Roman" w:hAnsi="Times New Roman"/>
          <w:sz w:val="22"/>
          <w:szCs w:val="22"/>
        </w:rPr>
        <w:t xml:space="preserve">, richiama all’uopo: a) le evenienze legate alla durata del rapporto nel tempo, il venire meno dell’elemento fiduciario, la necessità di tenere conto di sopravvenienze normative, l’esercizio di poteri pianificatori e programmatori; b) la prevalenza del principio di neutralità in sede di procedure </w:t>
      </w:r>
      <w:r>
        <w:rPr>
          <w:rFonts w:cs="Times New Roman" w:ascii="Times New Roman" w:hAnsi="Times New Roman"/>
          <w:i/>
          <w:sz w:val="22"/>
          <w:szCs w:val="22"/>
        </w:rPr>
        <w:t>lato sensu</w:t>
      </w:r>
      <w:r>
        <w:rPr>
          <w:rFonts w:cs="Times New Roman" w:ascii="Times New Roman" w:hAnsi="Times New Roman"/>
          <w:sz w:val="22"/>
          <w:szCs w:val="22"/>
        </w:rPr>
        <w:t xml:space="preserve"> comparative; le scelte di politica economica; la necessità di superare prassi amministrative illegittime sia pure reiterate nel tempo.</w:t>
      </w:r>
    </w:p>
  </w:footnote>
  <w:footnote w:id="22">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In particolare, la tutela del legittimo affidamento del proprietario non può declinarsi come preclusione al pieno dispiegarsi del potere di pianificazione urbanistica: cit. Cons. Stato, sez. IV, 18 dicembre 2023, n. 10976,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3">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8 luglio 2025, n. 5931 e Cons. Stato, sez. IV, 1 febbraio 2024, n. 1058,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4">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19 luglio 2023, n. 7068,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5">
    <w:p>
      <w:pPr>
        <w:pStyle w:val="Notaapidipagina"/>
        <w:jc w:val="both"/>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La convenzione di lottizzazione è riconducibile al paradigma normativo dell’art. 11 della legge 7 agosto 1990, n. 241, quale accordo sostitutivo di provvedimento e, pertanto, le relative controversie sono riconducibili all’art. 133, comma 1, lett. a), n. 2, cod. proc. amm., laddove attribuisce al giudice amministrativo la giurisdizione esclusiva sulle controversie riguardanti l’adempimento degli obblighi contenuti nelle convenzioni urbanistiche, ricomprese tra le vertenze in tema di formazione, conclusione ed esecuzione degli accordi sostitutivi di provvedimento amministrativo: Cons. Stato, sez. II, 30 giugno 2021, n. 5004,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26">
    <w:p>
      <w:pPr>
        <w:pStyle w:val="Normal"/>
        <w:widowControl/>
        <w:suppressAutoHyphens w:val="false"/>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Nella letteratura giuridica: </w:t>
      </w:r>
      <w:r>
        <w:rPr>
          <w:rFonts w:cs="Times New Roman" w:ascii="Times New Roman" w:hAnsi="Times New Roman"/>
          <w:smallCaps/>
          <w:sz w:val="22"/>
          <w:szCs w:val="22"/>
        </w:rPr>
        <w:t>A. Clini</w:t>
      </w:r>
      <w:r>
        <w:rPr>
          <w:rFonts w:cs="Times New Roman" w:ascii="Times New Roman" w:hAnsi="Times New Roman"/>
          <w:sz w:val="22"/>
          <w:szCs w:val="22"/>
        </w:rPr>
        <w:t xml:space="preserve">, </w:t>
      </w:r>
      <w:r>
        <w:rPr>
          <w:rFonts w:cs="Times New Roman" w:ascii="Times New Roman" w:hAnsi="Times New Roman"/>
          <w:i/>
          <w:sz w:val="22"/>
          <w:szCs w:val="22"/>
        </w:rPr>
        <w:t xml:space="preserve">Obbligo di motivazione </w:t>
      </w:r>
      <w:r>
        <w:rPr>
          <w:rStyle w:val="Enfasi"/>
          <w:rFonts w:cs="Times New Roman" w:ascii="Times New Roman" w:hAnsi="Times New Roman"/>
          <w:sz w:val="22"/>
          <w:szCs w:val="22"/>
        </w:rPr>
        <w:t>e affidamento del privato nella pianificazione urbanistica</w:t>
      </w:r>
      <w:r>
        <w:rPr>
          <w:rFonts w:cs="Times New Roman" w:ascii="Times New Roman" w:hAnsi="Times New Roman"/>
          <w:sz w:val="22"/>
          <w:szCs w:val="22"/>
        </w:rPr>
        <w:t xml:space="preserve">, in </w:t>
      </w:r>
      <w:r>
        <w:rPr>
          <w:rFonts w:cs="Times New Roman" w:ascii="Times New Roman" w:hAnsi="Times New Roman"/>
          <w:i/>
          <w:sz w:val="22"/>
          <w:szCs w:val="22"/>
        </w:rPr>
        <w:t>Foro Amministrativo - Consiglio di Stato</w:t>
      </w:r>
      <w:r>
        <w:rPr>
          <w:rFonts w:cs="Times New Roman" w:ascii="Times New Roman" w:hAnsi="Times New Roman"/>
          <w:sz w:val="22"/>
          <w:szCs w:val="22"/>
        </w:rPr>
        <w:t xml:space="preserve">, f. 1, 116; </w:t>
      </w:r>
      <w:r>
        <w:rPr>
          <w:rFonts w:cs="Times New Roman" w:ascii="Times New Roman" w:hAnsi="Times New Roman"/>
          <w:smallCaps/>
          <w:sz w:val="22"/>
          <w:szCs w:val="22"/>
        </w:rPr>
        <w:t>A. Clini</w:t>
      </w:r>
      <w:r>
        <w:rPr>
          <w:rFonts w:cs="Times New Roman" w:ascii="Times New Roman" w:hAnsi="Times New Roman"/>
          <w:sz w:val="22"/>
          <w:szCs w:val="22"/>
        </w:rPr>
        <w:t xml:space="preserve">, </w:t>
      </w:r>
      <w:r>
        <w:rPr>
          <w:rStyle w:val="Enfasi"/>
          <w:rFonts w:cs="Times New Roman" w:ascii="Times New Roman" w:hAnsi="Times New Roman"/>
          <w:sz w:val="22"/>
          <w:szCs w:val="22"/>
        </w:rPr>
        <w:t>Potestas variandi e tutela del privato titolare di convenzione urbanistica</w:t>
      </w:r>
      <w:r>
        <w:rPr>
          <w:rFonts w:cs="Times New Roman" w:ascii="Times New Roman" w:hAnsi="Times New Roman"/>
          <w:sz w:val="22"/>
          <w:szCs w:val="22"/>
        </w:rPr>
        <w:t xml:space="preserve">, in </w:t>
      </w:r>
      <w:r>
        <w:rPr>
          <w:rFonts w:cs="Times New Roman" w:ascii="Times New Roman" w:hAnsi="Times New Roman"/>
          <w:i/>
          <w:sz w:val="22"/>
          <w:szCs w:val="22"/>
        </w:rPr>
        <w:t xml:space="preserve">II procedimento e le responsabilità, </w:t>
      </w:r>
      <w:r>
        <w:rPr>
          <w:rFonts w:cs="Times New Roman" w:ascii="Times New Roman" w:hAnsi="Times New Roman"/>
          <w:sz w:val="22"/>
          <w:szCs w:val="22"/>
        </w:rPr>
        <w:t xml:space="preserve">Atti del Convegno, Fano 8 e 9 maggio 2008; </w:t>
      </w:r>
      <w:r>
        <w:rPr>
          <w:rFonts w:cs="Times New Roman" w:ascii="Times New Roman" w:hAnsi="Times New Roman"/>
          <w:smallCaps/>
          <w:sz w:val="22"/>
          <w:szCs w:val="22"/>
        </w:rPr>
        <w:t>P. Tanda</w:t>
      </w:r>
      <w:r>
        <w:rPr>
          <w:rFonts w:cs="Times New Roman" w:ascii="Times New Roman" w:hAnsi="Times New Roman"/>
          <w:sz w:val="22"/>
          <w:szCs w:val="22"/>
        </w:rPr>
        <w:t xml:space="preserve">, </w:t>
      </w:r>
      <w:r>
        <w:rPr>
          <w:rFonts w:cs="Times New Roman" w:ascii="Times New Roman" w:hAnsi="Times New Roman"/>
          <w:i/>
          <w:sz w:val="22"/>
          <w:szCs w:val="22"/>
        </w:rPr>
        <w:t>Piano di lottizzazione convenzionato e successiva variante al p.r.g.</w:t>
      </w:r>
      <w:r>
        <w:rPr>
          <w:rFonts w:cs="Times New Roman" w:ascii="Times New Roman" w:hAnsi="Times New Roman"/>
          <w:sz w:val="22"/>
          <w:szCs w:val="22"/>
        </w:rPr>
        <w:t xml:space="preserve">, in </w:t>
      </w:r>
      <w:r>
        <w:rPr>
          <w:rFonts w:cs="Times New Roman" w:ascii="Times New Roman" w:hAnsi="Times New Roman"/>
          <w:i/>
          <w:sz w:val="22"/>
          <w:szCs w:val="22"/>
        </w:rPr>
        <w:t>Riv. Giur. edilizia</w:t>
      </w:r>
      <w:r>
        <w:rPr>
          <w:rFonts w:cs="Times New Roman" w:ascii="Times New Roman" w:hAnsi="Times New Roman"/>
          <w:sz w:val="22"/>
          <w:szCs w:val="22"/>
        </w:rPr>
        <w:t xml:space="preserve">, fasc. 2, 2003, 389; </w:t>
      </w:r>
      <w:r>
        <w:rPr>
          <w:rFonts w:cs="Times New Roman" w:ascii="Times New Roman" w:hAnsi="Times New Roman"/>
          <w:smallCaps/>
          <w:kern w:val="0"/>
          <w:sz w:val="22"/>
          <w:szCs w:val="22"/>
          <w:lang w:bidi="ar-SA"/>
        </w:rPr>
        <w:t>L. Marotta</w:t>
      </w:r>
      <w:r>
        <w:rPr>
          <w:rFonts w:cs="Times New Roman" w:ascii="Times New Roman" w:hAnsi="Times New Roman"/>
          <w:kern w:val="0"/>
          <w:sz w:val="22"/>
          <w:szCs w:val="22"/>
          <w:lang w:bidi="ar-SA"/>
        </w:rPr>
        <w:t xml:space="preserve">, </w:t>
      </w:r>
      <w:r>
        <w:rPr>
          <w:rFonts w:cs="Times New Roman" w:ascii="Times New Roman" w:hAnsi="Times New Roman"/>
          <w:i/>
          <w:iCs/>
          <w:kern w:val="0"/>
          <w:sz w:val="22"/>
          <w:szCs w:val="22"/>
          <w:lang w:bidi="ar-SA"/>
        </w:rPr>
        <w:t>Pianificazione urbanistica e discrezionalità amministrativa</w:t>
      </w:r>
      <w:r>
        <w:rPr>
          <w:rFonts w:cs="Times New Roman" w:ascii="Times New Roman" w:hAnsi="Times New Roman"/>
          <w:kern w:val="0"/>
          <w:sz w:val="22"/>
          <w:szCs w:val="22"/>
          <w:lang w:bidi="ar-SA"/>
        </w:rPr>
        <w:t xml:space="preserve">, Padova, 1988, 104; </w:t>
      </w:r>
      <w:r>
        <w:rPr>
          <w:rFonts w:cs="Times New Roman" w:ascii="Times New Roman" w:hAnsi="Times New Roman"/>
          <w:smallCaps/>
          <w:kern w:val="0"/>
          <w:sz w:val="22"/>
          <w:szCs w:val="22"/>
          <w:lang w:bidi="ar-SA"/>
        </w:rPr>
        <w:t>A. Candian – A. Gambaro</w:t>
      </w:r>
      <w:r>
        <w:rPr>
          <w:rFonts w:cs="Times New Roman" w:ascii="Times New Roman" w:hAnsi="Times New Roman"/>
          <w:kern w:val="0"/>
          <w:sz w:val="22"/>
          <w:szCs w:val="22"/>
          <w:lang w:bidi="ar-SA"/>
        </w:rPr>
        <w:t xml:space="preserve">, </w:t>
      </w:r>
      <w:r>
        <w:rPr>
          <w:rFonts w:cs="Times New Roman" w:ascii="Times New Roman" w:hAnsi="Times New Roman"/>
          <w:i/>
          <w:iCs/>
          <w:kern w:val="0"/>
          <w:sz w:val="22"/>
          <w:szCs w:val="22"/>
          <w:lang w:bidi="ar-SA"/>
        </w:rPr>
        <w:t>Le convenzioni urbanistiche</w:t>
      </w:r>
      <w:r>
        <w:rPr>
          <w:rFonts w:cs="Times New Roman" w:ascii="Times New Roman" w:hAnsi="Times New Roman"/>
          <w:kern w:val="0"/>
          <w:sz w:val="22"/>
          <w:szCs w:val="22"/>
          <w:lang w:bidi="ar-SA"/>
        </w:rPr>
        <w:t xml:space="preserve">, Milano, 1992, 64; </w:t>
      </w:r>
      <w:r>
        <w:rPr>
          <w:rFonts w:cs="Times New Roman" w:ascii="Times New Roman" w:hAnsi="Times New Roman"/>
          <w:smallCaps/>
          <w:kern w:val="0"/>
          <w:sz w:val="22"/>
          <w:szCs w:val="22"/>
          <w:lang w:bidi="ar-SA"/>
        </w:rPr>
        <w:t>E. Bruti Liberati</w:t>
      </w:r>
      <w:r>
        <w:rPr>
          <w:rFonts w:cs="Times New Roman" w:ascii="Times New Roman" w:hAnsi="Times New Roman"/>
          <w:kern w:val="0"/>
          <w:sz w:val="22"/>
          <w:szCs w:val="22"/>
          <w:lang w:bidi="ar-SA"/>
        </w:rPr>
        <w:t xml:space="preserve">, </w:t>
      </w:r>
      <w:r>
        <w:rPr>
          <w:rFonts w:cs="Times New Roman" w:ascii="Times New Roman" w:hAnsi="Times New Roman"/>
          <w:i/>
          <w:iCs/>
          <w:kern w:val="0"/>
          <w:sz w:val="22"/>
          <w:szCs w:val="22"/>
          <w:lang w:bidi="ar-SA"/>
        </w:rPr>
        <w:t>Consenso e funzione nei contratti di diritto pubblico</w:t>
      </w:r>
      <w:r>
        <w:rPr>
          <w:rFonts w:cs="Times New Roman" w:ascii="Times New Roman" w:hAnsi="Times New Roman"/>
          <w:kern w:val="0"/>
          <w:sz w:val="22"/>
          <w:szCs w:val="22"/>
          <w:lang w:bidi="ar-SA"/>
        </w:rPr>
        <w:t>, Milano, 1996, 285.</w:t>
      </w:r>
    </w:p>
  </w:footnote>
  <w:footnote w:id="27">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Cit. </w:t>
      </w:r>
      <w:r>
        <w:rPr>
          <w:rFonts w:cs="Times New Roman" w:ascii="Times New Roman" w:hAnsi="Times New Roman"/>
          <w:smallCaps/>
          <w:sz w:val="22"/>
          <w:szCs w:val="22"/>
        </w:rPr>
        <w:t>A. Clini</w:t>
      </w:r>
      <w:r>
        <w:rPr>
          <w:rFonts w:cs="Times New Roman" w:ascii="Times New Roman" w:hAnsi="Times New Roman"/>
          <w:sz w:val="22"/>
          <w:szCs w:val="22"/>
        </w:rPr>
        <w:t xml:space="preserve">, </w:t>
      </w:r>
      <w:r>
        <w:rPr>
          <w:rStyle w:val="Enfasi"/>
          <w:rFonts w:cs="Times New Roman" w:ascii="Times New Roman" w:hAnsi="Times New Roman"/>
          <w:sz w:val="22"/>
          <w:szCs w:val="22"/>
        </w:rPr>
        <w:t>Potestas variandi e tutela del privato titolare di convenzione urbanistica</w:t>
      </w:r>
      <w:r>
        <w:rPr>
          <w:rFonts w:cs="Times New Roman" w:ascii="Times New Roman" w:hAnsi="Times New Roman"/>
          <w:sz w:val="22"/>
          <w:szCs w:val="22"/>
        </w:rPr>
        <w:t xml:space="preserve">, in </w:t>
      </w:r>
      <w:r>
        <w:rPr>
          <w:rFonts w:cs="Times New Roman" w:ascii="Times New Roman" w:hAnsi="Times New Roman"/>
          <w:i/>
          <w:sz w:val="22"/>
          <w:szCs w:val="22"/>
        </w:rPr>
        <w:t xml:space="preserve">II procedimento e le responsabilità, </w:t>
      </w:r>
      <w:r>
        <w:rPr>
          <w:rFonts w:cs="Times New Roman" w:ascii="Times New Roman" w:hAnsi="Times New Roman"/>
          <w:sz w:val="22"/>
          <w:szCs w:val="22"/>
        </w:rPr>
        <w:t>Atti del Convegno, Fano 8 e 9 maggio 2008.</w:t>
      </w:r>
    </w:p>
  </w:footnote>
  <w:footnote w:id="28">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VI, 14 gennaio 2002, n. 173, in </w:t>
      </w:r>
      <w:r>
        <w:rPr>
          <w:rFonts w:cs="Times New Roman" w:ascii="Times New Roman" w:hAnsi="Times New Roman"/>
          <w:i/>
          <w:sz w:val="22"/>
          <w:szCs w:val="22"/>
        </w:rPr>
        <w:t>www.giustizia-amministrativa.it</w:t>
      </w:r>
      <w:r>
        <w:rPr>
          <w:rFonts w:cs="Times New Roman" w:ascii="Times New Roman" w:hAnsi="Times New Roman"/>
          <w:sz w:val="22"/>
          <w:szCs w:val="22"/>
        </w:rPr>
        <w:t>, secondo il quale “</w:t>
      </w:r>
      <w:r>
        <w:rPr>
          <w:rFonts w:cs="Times New Roman" w:ascii="Times New Roman" w:hAnsi="Times New Roman"/>
          <w:i/>
          <w:sz w:val="22"/>
          <w:szCs w:val="22"/>
        </w:rPr>
        <w:t>una variante al piano regolatore che muti la destinazione di parti di aree interessate da una lottizzazione equivale ad una revoca unilaterale della convenzione</w:t>
      </w:r>
      <w:r>
        <w:rPr>
          <w:rFonts w:cs="Times New Roman" w:ascii="Times New Roman" w:hAnsi="Times New Roman"/>
          <w:sz w:val="22"/>
          <w:szCs w:val="22"/>
        </w:rPr>
        <w:t>”.</w:t>
      </w:r>
    </w:p>
  </w:footnote>
  <w:footnote w:id="29">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Cit. Cons. Stato, sez. VI, 14 gennaio 2002, n. 173; Cons. Stato, sez. IV, 26 maggio 2003, n. 2827, in </w:t>
      </w:r>
      <w:r>
        <w:rPr>
          <w:rFonts w:cs="Times New Roman" w:ascii="Times New Roman" w:hAnsi="Times New Roman"/>
          <w:i/>
          <w:sz w:val="22"/>
          <w:szCs w:val="22"/>
        </w:rPr>
        <w:t>www.giustizia-amministrativa.it</w:t>
      </w:r>
      <w:r>
        <w:rPr>
          <w:rFonts w:cs="Times New Roman" w:ascii="Times New Roman" w:hAnsi="Times New Roman"/>
          <w:sz w:val="22"/>
          <w:szCs w:val="22"/>
        </w:rPr>
        <w:t>.</w:t>
      </w:r>
    </w:p>
    <w:p>
      <w:pPr>
        <w:pStyle w:val="Notaapidipagina"/>
        <w:jc w:val="both"/>
        <w:rPr>
          <w:rFonts w:ascii="Times New Roman" w:hAnsi="Times New Roman" w:cs="Times New Roman"/>
          <w:sz w:val="22"/>
          <w:szCs w:val="22"/>
        </w:rPr>
      </w:pPr>
      <w:r>
        <w:rPr>
          <w:rFonts w:cs="Times New Roman" w:ascii="Times New Roman" w:hAnsi="Times New Roman"/>
          <w:sz w:val="22"/>
          <w:szCs w:val="22"/>
        </w:rPr>
        <w:t xml:space="preserve">In applicazione di tale orientamento, la giurisprudenza ha ritenuto che il titolo edilizio rilasciato dopo l’adozione del nuovo piano ed in contrasto con le nuove previsioni urbanistiche è illegittimo: T.A.R. Lombardia, Milano, sez. II, 7 luglio 2008, n. 2882,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30">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4 dicembre 2007, n. 6170,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31">
    <w:p>
      <w:pPr>
        <w:pStyle w:val="NoSpacing"/>
        <w:jc w:val="both"/>
        <w:rPr>
          <w:rFonts w:ascii="Times New Roman" w:hAnsi="Times New Roman" w:cs="Times New Roman"/>
        </w:rPr>
      </w:pPr>
      <w:r>
        <w:rPr>
          <w:rStyle w:val="Caratterinotaapidipagina"/>
        </w:rPr>
        <w:footnoteRef/>
      </w:r>
      <w:r>
        <w:rPr>
          <w:rFonts w:cs="Times New Roman" w:ascii="Times New Roman" w:hAnsi="Times New Roman"/>
        </w:rPr>
        <w:t xml:space="preserve"> </w:t>
      </w:r>
      <w:r>
        <w:rPr>
          <w:rFonts w:cs="Times New Roman" w:ascii="Times New Roman" w:hAnsi="Times New Roman"/>
        </w:rPr>
        <w:t>In caso di mancanza di nuova pianificazione urbanistica è stato osservato che “</w:t>
      </w:r>
      <w:r>
        <w:rPr>
          <w:rFonts w:cs="Times New Roman" w:ascii="Times New Roman" w:hAnsi="Times New Roman"/>
          <w:i/>
        </w:rPr>
        <w:t>la decadenza del piano di lottizzazione non costituisce motivo ostativo al rilascio del titolo edilizio laddove la nuova costruzione sia conforme alle vigenti previsioni di P.R.G. e alle prescrizioni del piano attuativo, ancorché decaduto</w:t>
      </w:r>
      <w:r>
        <w:rPr>
          <w:rFonts w:cs="Times New Roman" w:ascii="Times New Roman" w:hAnsi="Times New Roman"/>
        </w:rPr>
        <w:t xml:space="preserve">”: Cons. Stato, sez. IV, 8 luglio 2025, n. 5931, in </w:t>
      </w:r>
      <w:r>
        <w:rPr>
          <w:rFonts w:cs="Times New Roman" w:ascii="Times New Roman" w:hAnsi="Times New Roman"/>
          <w:i/>
        </w:rPr>
        <w:t>www.giustizia-amministrativa.it</w:t>
      </w:r>
      <w:r>
        <w:rPr>
          <w:rFonts w:cs="Times New Roman" w:ascii="Times New Roman" w:hAnsi="Times New Roman"/>
        </w:rPr>
        <w:t>.</w:t>
      </w:r>
    </w:p>
  </w:footnote>
  <w:footnote w:id="32">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Cons. Stato, sez. IV, 12 luglio 2018, n. 4271,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33">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T.A.R. Puglia, Bari, sez. I, 12 novembre 2022, n. 1529,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 w:id="34">
    <w:p>
      <w:pPr>
        <w:pStyle w:val="Notaapidipagina"/>
        <w:jc w:val="both"/>
        <w:rPr>
          <w:rFonts w:ascii="Times New Roman" w:hAnsi="Times New Roman" w:cs="Times New Roman"/>
          <w:sz w:val="22"/>
          <w:szCs w:val="22"/>
        </w:rPr>
      </w:pPr>
      <w:r>
        <w:rPr>
          <w:rStyle w:val="Caratterinotaapidipagina"/>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Ne discende che laddove la convenzione non sia nemmeno stipulata nel termine decennale, ciò impedisce l’attuazione del piano, determinandone la decadenza e privandolo, altresì, anche dei potenziali c.d. effetti ultrattivi stabiliti dall’art. 17, comma 1, legge 17 agosto 1942, n. 1150: cfr. Cons. Stato, sez. IV, 19 luglio 2023, n. 7068 e Cons. Stato, sez. IV, 17 luglio 2023, n. 6955, in </w:t>
      </w:r>
      <w:r>
        <w:rPr>
          <w:rFonts w:cs="Times New Roman" w:ascii="Times New Roman" w:hAnsi="Times New Roman"/>
          <w:i/>
          <w:sz w:val="22"/>
          <w:szCs w:val="22"/>
        </w:rPr>
        <w:t>www.giustizia-amministrativa.it</w:t>
      </w:r>
      <w:r>
        <w:rPr>
          <w:rFonts w:cs="Times New Roman" w:ascii="Times New Roman" w:hAnsi="Times New Roman"/>
          <w:sz w:val="22"/>
          <w:szCs w:val="22"/>
        </w:rPr>
        <w:t>.</w:t>
      </w:r>
    </w:p>
  </w:footnote>
</w:footnotes>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2"/>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uiPriority w:val="99"/>
    <w:semiHidden/>
    <w:qFormat/>
    <w:rsid w:val="00d822e2"/>
    <w:rPr>
      <w:rFonts w:ascii="Calibri" w:hAnsi="Calibri" w:eastAsia="Calibri" w:cs="" w:asciiTheme="minorHAnsi" w:cstheme="minorBidi" w:eastAsiaTheme="minorHAnsi" w:hAnsiTheme="minorHAnsi"/>
      <w:kern w:val="0"/>
      <w:sz w:val="20"/>
      <w:szCs w:val="20"/>
      <w:lang w:eastAsia="en-US" w:bidi="ar-SA"/>
    </w:rPr>
  </w:style>
  <w:style w:type="character" w:styleId="Richiamoallanotaapidipagina" w:customStyle="1">
    <w:name w:val="Richiamo alla nota a piè di pagina"/>
    <w:rsid w:val="00d822e2"/>
    <w:rPr>
      <w:vertAlign w:val="superscript"/>
    </w:rPr>
  </w:style>
  <w:style w:type="character" w:styleId="Caratterinotaapidipagina" w:customStyle="1">
    <w:name w:val="Caratteri nota a piè di pagina"/>
    <w:qFormat/>
    <w:rsid w:val="00d822e2"/>
    <w:rPr/>
  </w:style>
  <w:style w:type="character" w:styleId="Enfasi" w:customStyle="1">
    <w:name w:val="Enfasi"/>
    <w:qFormat/>
    <w:rsid w:val="00d822e2"/>
    <w:rPr>
      <w:i/>
      <w:iCs/>
    </w:rPr>
  </w:style>
  <w:style w:type="character" w:styleId="FootnoteCharacters">
    <w:name w:val="Footnote Characters"/>
    <w:basedOn w:val="DefaultParagraphFont"/>
    <w:uiPriority w:val="99"/>
    <w:semiHidden/>
    <w:unhideWhenUsed/>
    <w:qFormat/>
    <w:rsid w:val="00b43236"/>
    <w:rPr>
      <w:vertAlign w:val="superscript"/>
    </w:rPr>
  </w:style>
  <w:style w:type="character" w:styleId="CollegamentoInternet">
    <w:name w:val="Collegamento Internet"/>
    <w:basedOn w:val="DefaultParagraphFont"/>
    <w:uiPriority w:val="99"/>
    <w:unhideWhenUsed/>
    <w:rsid w:val="00992996"/>
    <w:rPr>
      <w:color w:val="0563C1" w:themeColor="hyperlink"/>
      <w:u w:val="single"/>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Notaapidipagina">
    <w:name w:val="Footnote Text"/>
    <w:basedOn w:val="Normal"/>
    <w:link w:val="TestonotaapidipaginaCarattere"/>
    <w:uiPriority w:val="99"/>
    <w:semiHidden/>
    <w:unhideWhenUsed/>
    <w:rsid w:val="00d822e2"/>
    <w:pPr>
      <w:widowControl/>
    </w:pPr>
    <w:rPr>
      <w:rFonts w:ascii="Calibri" w:hAnsi="Calibri" w:eastAsia="Calibri" w:cs="" w:asciiTheme="minorHAnsi" w:cstheme="minorBidi" w:eastAsiaTheme="minorHAnsi" w:hAnsiTheme="minorHAnsi"/>
      <w:kern w:val="0"/>
      <w:sz w:val="20"/>
      <w:szCs w:val="20"/>
      <w:lang w:eastAsia="en-US" w:bidi="ar-SA"/>
    </w:rPr>
  </w:style>
  <w:style w:type="paragraph" w:styleId="NoSpacing">
    <w:name w:val="No Spacing"/>
    <w:uiPriority w:val="1"/>
    <w:qFormat/>
    <w:rsid w:val="00d822e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eastAsia="en-US" w:bidi="ar-SA" w:val="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82BF-FEA8-4635-B317-509252AB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Application>LibreOffice/7.2.1.2$Windows_X86_64 LibreOffice_project/87b77fad49947c1441b67c559c339af8f3517e22</Application>
  <AppVersion>15.0000</AppVersion>
  <Pages>12</Pages>
  <Words>4227</Words>
  <Characters>26963</Characters>
  <CharactersWithSpaces>31140</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2026-01-20T20:21:00Z</dcterms:created>
  <dc:creator/>
  <dc:description/>
  <dc:language>it-IT</dc:language>
  <cp:lastModifiedBy/>
  <dcterms:modified xsi:type="dcterms:W3CDTF">2026-01-20T23:47:41Z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