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6DF3" w14:textId="3365D6D8" w:rsidR="00AB418E" w:rsidRPr="00B3696F" w:rsidRDefault="00AB418E" w:rsidP="00D05C01">
      <w:pPr>
        <w:pStyle w:val="Nessunaspaziatura"/>
        <w:pBdr>
          <w:top w:val="single" w:sz="4" w:space="1" w:color="auto"/>
          <w:left w:val="single" w:sz="4" w:space="4" w:color="auto"/>
          <w:bottom w:val="single" w:sz="4" w:space="1" w:color="auto"/>
          <w:right w:val="single" w:sz="4" w:space="4" w:color="auto"/>
        </w:pBdr>
        <w:spacing w:line="360" w:lineRule="auto"/>
        <w:ind w:firstLine="567"/>
        <w:jc w:val="center"/>
        <w:rPr>
          <w:rFonts w:cs="Times New Roman"/>
          <w:b/>
          <w:bCs/>
          <w:szCs w:val="24"/>
        </w:rPr>
      </w:pPr>
      <w:r w:rsidRPr="00B3696F">
        <w:rPr>
          <w:rFonts w:cs="Times New Roman"/>
          <w:b/>
          <w:bCs/>
          <w:szCs w:val="24"/>
        </w:rPr>
        <w:t>Nicola Durante</w:t>
      </w:r>
    </w:p>
    <w:p w14:paraId="5FEF8DAC" w14:textId="659C91D1" w:rsidR="00464DB4" w:rsidRPr="00B3696F" w:rsidRDefault="00C678B1" w:rsidP="00D05C01">
      <w:pPr>
        <w:pStyle w:val="Nessunaspaziatura"/>
        <w:pBdr>
          <w:top w:val="single" w:sz="4" w:space="1" w:color="auto"/>
          <w:left w:val="single" w:sz="4" w:space="4" w:color="auto"/>
          <w:bottom w:val="single" w:sz="4" w:space="1" w:color="auto"/>
          <w:right w:val="single" w:sz="4" w:space="4" w:color="auto"/>
        </w:pBdr>
        <w:spacing w:line="360" w:lineRule="auto"/>
        <w:ind w:firstLine="567"/>
        <w:jc w:val="center"/>
        <w:rPr>
          <w:rFonts w:cs="Times New Roman"/>
          <w:b/>
          <w:bCs/>
          <w:szCs w:val="24"/>
        </w:rPr>
      </w:pPr>
      <w:r>
        <w:rPr>
          <w:rFonts w:cs="Times New Roman"/>
          <w:b/>
          <w:bCs/>
          <w:szCs w:val="24"/>
        </w:rPr>
        <w:t>A</w:t>
      </w:r>
      <w:r w:rsidR="002649BD" w:rsidRPr="00B3696F">
        <w:rPr>
          <w:rFonts w:cs="Times New Roman"/>
          <w:b/>
          <w:bCs/>
          <w:szCs w:val="24"/>
        </w:rPr>
        <w:t>ccesso</w:t>
      </w:r>
      <w:r w:rsidR="004E1FF0" w:rsidRPr="00B3696F">
        <w:rPr>
          <w:rFonts w:cs="Times New Roman"/>
          <w:b/>
          <w:bCs/>
          <w:szCs w:val="24"/>
        </w:rPr>
        <w:t>,</w:t>
      </w:r>
      <w:r w:rsidR="002649BD" w:rsidRPr="00B3696F">
        <w:rPr>
          <w:rFonts w:cs="Times New Roman"/>
          <w:b/>
          <w:bCs/>
          <w:szCs w:val="24"/>
        </w:rPr>
        <w:t xml:space="preserve"> riservatezza </w:t>
      </w:r>
      <w:r w:rsidR="004E1FF0" w:rsidRPr="00B3696F">
        <w:rPr>
          <w:rFonts w:cs="Times New Roman"/>
          <w:b/>
          <w:bCs/>
          <w:szCs w:val="24"/>
        </w:rPr>
        <w:t>e</w:t>
      </w:r>
      <w:r w:rsidR="002649BD" w:rsidRPr="00B3696F">
        <w:rPr>
          <w:rFonts w:cs="Times New Roman"/>
          <w:b/>
          <w:bCs/>
          <w:szCs w:val="24"/>
        </w:rPr>
        <w:t xml:space="preserve"> sicurezza digitale</w:t>
      </w:r>
      <w:r w:rsidR="00A36A21">
        <w:rPr>
          <w:rStyle w:val="Rimandonotaapidipagina"/>
          <w:rFonts w:cs="Times New Roman"/>
          <w:b/>
          <w:bCs/>
          <w:szCs w:val="24"/>
        </w:rPr>
        <w:footnoteReference w:id="1"/>
      </w:r>
    </w:p>
    <w:p w14:paraId="736EC01C" w14:textId="77777777" w:rsidR="002649BD" w:rsidRPr="00B3696F" w:rsidRDefault="002649BD" w:rsidP="00F90AC2">
      <w:pPr>
        <w:pStyle w:val="Nessunaspaziatura"/>
        <w:spacing w:line="360" w:lineRule="auto"/>
        <w:ind w:firstLine="567"/>
        <w:rPr>
          <w:rFonts w:cs="Times New Roman"/>
          <w:szCs w:val="24"/>
        </w:rPr>
      </w:pPr>
    </w:p>
    <w:p w14:paraId="3B166B88" w14:textId="6E09AAE0" w:rsidR="00C03B5F" w:rsidRPr="00C03B5F" w:rsidRDefault="00C03B5F" w:rsidP="00C03B5F">
      <w:pPr>
        <w:pStyle w:val="Paragrafoelenco"/>
        <w:numPr>
          <w:ilvl w:val="0"/>
          <w:numId w:val="6"/>
        </w:numPr>
        <w:rPr>
          <w:rFonts w:cs="Times New Roman"/>
          <w:b/>
          <w:bCs/>
          <w:szCs w:val="24"/>
        </w:rPr>
      </w:pPr>
      <w:r w:rsidRPr="00C03B5F">
        <w:rPr>
          <w:rFonts w:cs="Times New Roman"/>
          <w:b/>
          <w:bCs/>
          <w:szCs w:val="24"/>
        </w:rPr>
        <w:t>La trasparenza e l’accesso</w:t>
      </w:r>
      <w:r w:rsidR="00CE3BF9">
        <w:rPr>
          <w:rFonts w:cs="Times New Roman"/>
          <w:b/>
          <w:bCs/>
          <w:szCs w:val="24"/>
        </w:rPr>
        <w:t>.</w:t>
      </w:r>
    </w:p>
    <w:p w14:paraId="346380F7" w14:textId="62F5CA79" w:rsidR="002649BD" w:rsidRPr="00B3696F" w:rsidRDefault="009F1EC9" w:rsidP="00F90AC2">
      <w:pPr>
        <w:ind w:firstLine="567"/>
        <w:rPr>
          <w:rFonts w:cs="Times New Roman"/>
          <w:szCs w:val="24"/>
        </w:rPr>
      </w:pPr>
      <w:r>
        <w:rPr>
          <w:rFonts w:cs="Times New Roman"/>
          <w:szCs w:val="24"/>
        </w:rPr>
        <w:t>L</w:t>
      </w:r>
      <w:r w:rsidR="002649BD" w:rsidRPr="00B3696F">
        <w:rPr>
          <w:rFonts w:cs="Times New Roman"/>
          <w:szCs w:val="24"/>
        </w:rPr>
        <w:t>a trasparenza</w:t>
      </w:r>
      <w:r w:rsidRPr="009F1EC9">
        <w:rPr>
          <w:rFonts w:cs="Times New Roman"/>
          <w:szCs w:val="24"/>
        </w:rPr>
        <w:t xml:space="preserve"> </w:t>
      </w:r>
      <w:r>
        <w:rPr>
          <w:rFonts w:cs="Times New Roman"/>
          <w:szCs w:val="24"/>
        </w:rPr>
        <w:t>è u</w:t>
      </w:r>
      <w:r w:rsidRPr="00B3696F">
        <w:rPr>
          <w:rFonts w:cs="Times New Roman"/>
          <w:szCs w:val="24"/>
        </w:rPr>
        <w:t>n</w:t>
      </w:r>
      <w:r>
        <w:rPr>
          <w:rFonts w:cs="Times New Roman"/>
          <w:szCs w:val="24"/>
        </w:rPr>
        <w:t xml:space="preserve"> </w:t>
      </w:r>
      <w:r w:rsidRPr="00B3696F">
        <w:rPr>
          <w:rFonts w:cs="Times New Roman"/>
          <w:szCs w:val="24"/>
        </w:rPr>
        <w:t>princ</w:t>
      </w:r>
      <w:r>
        <w:rPr>
          <w:rFonts w:cs="Times New Roman"/>
          <w:szCs w:val="24"/>
        </w:rPr>
        <w:t>i</w:t>
      </w:r>
      <w:r w:rsidRPr="00B3696F">
        <w:rPr>
          <w:rFonts w:cs="Times New Roman"/>
          <w:szCs w:val="24"/>
        </w:rPr>
        <w:t>pi</w:t>
      </w:r>
      <w:r>
        <w:rPr>
          <w:rFonts w:cs="Times New Roman"/>
          <w:szCs w:val="24"/>
        </w:rPr>
        <w:t>o</w:t>
      </w:r>
      <w:r w:rsidRPr="00B3696F">
        <w:rPr>
          <w:rFonts w:cs="Times New Roman"/>
          <w:szCs w:val="24"/>
        </w:rPr>
        <w:t xml:space="preserve"> </w:t>
      </w:r>
      <w:r>
        <w:rPr>
          <w:rFonts w:cs="Times New Roman"/>
          <w:szCs w:val="24"/>
        </w:rPr>
        <w:t>fondamental</w:t>
      </w:r>
      <w:r w:rsidR="008F7C1B">
        <w:rPr>
          <w:rFonts w:cs="Times New Roman"/>
          <w:szCs w:val="24"/>
        </w:rPr>
        <w:t>e</w:t>
      </w:r>
      <w:r>
        <w:rPr>
          <w:rFonts w:cs="Times New Roman"/>
          <w:szCs w:val="24"/>
        </w:rPr>
        <w:t xml:space="preserve"> </w:t>
      </w:r>
      <w:r w:rsidRPr="00B3696F">
        <w:rPr>
          <w:rFonts w:cs="Times New Roman"/>
          <w:szCs w:val="24"/>
        </w:rPr>
        <w:t>dell’azione amministrativa</w:t>
      </w:r>
      <w:r w:rsidR="005F5D2D" w:rsidRPr="00B3696F">
        <w:rPr>
          <w:rStyle w:val="Rimandonotaapidipagina"/>
          <w:rFonts w:cs="Times New Roman"/>
          <w:szCs w:val="24"/>
        </w:rPr>
        <w:footnoteReference w:id="2"/>
      </w:r>
      <w:r w:rsidR="00C53A30">
        <w:rPr>
          <w:rFonts w:cs="Times New Roman"/>
          <w:szCs w:val="24"/>
        </w:rPr>
        <w:t>,</w:t>
      </w:r>
      <w:r w:rsidR="007B187A" w:rsidRPr="00B3696F">
        <w:rPr>
          <w:rFonts w:cs="Times New Roman"/>
          <w:szCs w:val="24"/>
        </w:rPr>
        <w:t xml:space="preserve"> </w:t>
      </w:r>
      <w:r w:rsidR="00C53A30" w:rsidRPr="00B3696F">
        <w:rPr>
          <w:rFonts w:cs="Times New Roman"/>
          <w:szCs w:val="24"/>
        </w:rPr>
        <w:t>funzionale alla partecipazione dei cittadini al processo decisionale pubblico, nonché alla legittimità, efficienza e responsabilità dell’amministrazione</w:t>
      </w:r>
      <w:r w:rsidR="00C53A30" w:rsidRPr="00B3696F">
        <w:rPr>
          <w:rStyle w:val="Rimandonotaapidipagina"/>
          <w:rFonts w:cs="Times New Roman"/>
          <w:szCs w:val="24"/>
        </w:rPr>
        <w:footnoteReference w:id="3"/>
      </w:r>
      <w:r w:rsidR="00C53A30">
        <w:rPr>
          <w:rFonts w:cs="Times New Roman"/>
          <w:szCs w:val="24"/>
        </w:rPr>
        <w:t xml:space="preserve">, </w:t>
      </w:r>
      <w:r w:rsidR="00385C3C" w:rsidRPr="00B3696F">
        <w:rPr>
          <w:rFonts w:cs="Times New Roman"/>
          <w:szCs w:val="24"/>
        </w:rPr>
        <w:t xml:space="preserve">che </w:t>
      </w:r>
      <w:r w:rsidR="0042551B">
        <w:rPr>
          <w:rFonts w:cs="Times New Roman"/>
          <w:szCs w:val="24"/>
        </w:rPr>
        <w:t>si fonda</w:t>
      </w:r>
      <w:r w:rsidR="00AC2E42" w:rsidRPr="00B3696F">
        <w:rPr>
          <w:rFonts w:cs="Times New Roman"/>
          <w:szCs w:val="24"/>
        </w:rPr>
        <w:t>, a livello interno,</w:t>
      </w:r>
      <w:r w:rsidR="000F39A0" w:rsidRPr="00B3696F">
        <w:rPr>
          <w:rFonts w:cs="Times New Roman"/>
          <w:szCs w:val="24"/>
        </w:rPr>
        <w:t xml:space="preserve"> </w:t>
      </w:r>
      <w:r w:rsidR="0042551B">
        <w:rPr>
          <w:rFonts w:cs="Times New Roman"/>
          <w:szCs w:val="24"/>
        </w:rPr>
        <w:t>su</w:t>
      </w:r>
      <w:r w:rsidR="00AC2E42" w:rsidRPr="00B3696F">
        <w:rPr>
          <w:rFonts w:cs="Times New Roman"/>
          <w:szCs w:val="24"/>
        </w:rPr>
        <w:t xml:space="preserve">gli </w:t>
      </w:r>
      <w:r w:rsidR="000F39A0" w:rsidRPr="00B3696F">
        <w:rPr>
          <w:rFonts w:cs="Times New Roman"/>
          <w:szCs w:val="24"/>
        </w:rPr>
        <w:t>a</w:t>
      </w:r>
      <w:r w:rsidR="00AC2E42" w:rsidRPr="00B3696F">
        <w:rPr>
          <w:rFonts w:cs="Times New Roman"/>
          <w:szCs w:val="24"/>
        </w:rPr>
        <w:t>rt. 21 e 97</w:t>
      </w:r>
      <w:r w:rsidR="000F39A0" w:rsidRPr="00B3696F">
        <w:rPr>
          <w:rFonts w:cs="Times New Roman"/>
          <w:szCs w:val="24"/>
        </w:rPr>
        <w:t xml:space="preserve"> Cost</w:t>
      </w:r>
      <w:r w:rsidR="00AC2E42" w:rsidRPr="00B3696F">
        <w:rPr>
          <w:rFonts w:cs="Times New Roman"/>
          <w:szCs w:val="24"/>
        </w:rPr>
        <w:t>.</w:t>
      </w:r>
      <w:r w:rsidR="000F39A0" w:rsidRPr="00B3696F">
        <w:rPr>
          <w:rStyle w:val="Rimandonotaapidipagina"/>
          <w:rFonts w:cs="Times New Roman"/>
          <w:szCs w:val="24"/>
        </w:rPr>
        <w:footnoteReference w:id="4"/>
      </w:r>
      <w:r w:rsidR="00AC2E42" w:rsidRPr="00B3696F">
        <w:rPr>
          <w:rFonts w:cs="Times New Roman"/>
          <w:szCs w:val="24"/>
        </w:rPr>
        <w:t xml:space="preserve"> e, a livello europeo, </w:t>
      </w:r>
      <w:r w:rsidR="0042551B">
        <w:rPr>
          <w:rFonts w:cs="Times New Roman"/>
          <w:szCs w:val="24"/>
        </w:rPr>
        <w:t>su</w:t>
      </w:r>
      <w:r w:rsidR="00AC2E42" w:rsidRPr="00B3696F">
        <w:rPr>
          <w:rFonts w:cs="Times New Roman"/>
          <w:szCs w:val="24"/>
        </w:rPr>
        <w:t>gli artt. 1 e 10 del T.U.E. e dall</w:t>
      </w:r>
      <w:r w:rsidR="00C241A0" w:rsidRPr="00B3696F">
        <w:rPr>
          <w:rFonts w:cs="Times New Roman"/>
          <w:szCs w:val="24"/>
        </w:rPr>
        <w:t>’</w:t>
      </w:r>
      <w:r w:rsidR="00AC2E42" w:rsidRPr="00B3696F">
        <w:rPr>
          <w:rFonts w:cs="Times New Roman"/>
          <w:szCs w:val="24"/>
        </w:rPr>
        <w:t xml:space="preserve">art. 15 del </w:t>
      </w:r>
      <w:r w:rsidR="000F39A0" w:rsidRPr="00B3696F">
        <w:rPr>
          <w:rFonts w:cs="Times New Roman"/>
          <w:szCs w:val="24"/>
        </w:rPr>
        <w:t>T</w:t>
      </w:r>
      <w:r w:rsidR="00AC2E42" w:rsidRPr="00B3696F">
        <w:rPr>
          <w:rFonts w:cs="Times New Roman"/>
          <w:szCs w:val="24"/>
        </w:rPr>
        <w:t>.</w:t>
      </w:r>
      <w:r w:rsidR="000F39A0" w:rsidRPr="00B3696F">
        <w:rPr>
          <w:rFonts w:cs="Times New Roman"/>
          <w:szCs w:val="24"/>
        </w:rPr>
        <w:t>F</w:t>
      </w:r>
      <w:r w:rsidR="00AC2E42" w:rsidRPr="00B3696F">
        <w:rPr>
          <w:rFonts w:cs="Times New Roman"/>
          <w:szCs w:val="24"/>
        </w:rPr>
        <w:t>.</w:t>
      </w:r>
      <w:r w:rsidR="000F39A0" w:rsidRPr="00B3696F">
        <w:rPr>
          <w:rFonts w:cs="Times New Roman"/>
          <w:szCs w:val="24"/>
        </w:rPr>
        <w:t>U</w:t>
      </w:r>
      <w:r w:rsidR="00AC2E42" w:rsidRPr="00B3696F">
        <w:rPr>
          <w:rFonts w:cs="Times New Roman"/>
          <w:szCs w:val="24"/>
        </w:rPr>
        <w:t>.</w:t>
      </w:r>
      <w:r w:rsidR="000F39A0" w:rsidRPr="00B3696F">
        <w:rPr>
          <w:rFonts w:cs="Times New Roman"/>
          <w:szCs w:val="24"/>
        </w:rPr>
        <w:t>E</w:t>
      </w:r>
      <w:r w:rsidR="00AC2E42" w:rsidRPr="00B3696F">
        <w:rPr>
          <w:rFonts w:cs="Times New Roman"/>
          <w:szCs w:val="24"/>
        </w:rPr>
        <w:t>.</w:t>
      </w:r>
      <w:r w:rsidR="000F39A0" w:rsidRPr="00B3696F">
        <w:rPr>
          <w:rStyle w:val="Rimandonotaapidipagina"/>
          <w:rFonts w:cs="Times New Roman"/>
          <w:szCs w:val="24"/>
        </w:rPr>
        <w:footnoteReference w:id="5"/>
      </w:r>
      <w:r w:rsidR="002649BD" w:rsidRPr="00B3696F">
        <w:rPr>
          <w:rFonts w:cs="Times New Roman"/>
          <w:szCs w:val="24"/>
        </w:rPr>
        <w:t>.</w:t>
      </w:r>
    </w:p>
    <w:p w14:paraId="43344BC9" w14:textId="780319A1" w:rsidR="0078238D" w:rsidRDefault="0011794A" w:rsidP="00F90AC2">
      <w:pPr>
        <w:ind w:firstLine="567"/>
        <w:rPr>
          <w:rFonts w:cs="Times New Roman"/>
          <w:szCs w:val="24"/>
        </w:rPr>
      </w:pPr>
      <w:r>
        <w:rPr>
          <w:rFonts w:cs="Times New Roman"/>
          <w:szCs w:val="24"/>
        </w:rPr>
        <w:t>N</w:t>
      </w:r>
      <w:r w:rsidRPr="00B3696F">
        <w:rPr>
          <w:rFonts w:cs="Times New Roman"/>
          <w:szCs w:val="24"/>
        </w:rPr>
        <w:t>el nostro ordinamento</w:t>
      </w:r>
      <w:r>
        <w:rPr>
          <w:rFonts w:cs="Times New Roman"/>
          <w:szCs w:val="24"/>
        </w:rPr>
        <w:t>, l</w:t>
      </w:r>
      <w:r w:rsidR="002649BD" w:rsidRPr="00B3696F">
        <w:rPr>
          <w:rFonts w:cs="Times New Roman"/>
          <w:szCs w:val="24"/>
        </w:rPr>
        <w:t xml:space="preserve">o strumento </w:t>
      </w:r>
      <w:r w:rsidR="000F39A0" w:rsidRPr="00B3696F">
        <w:rPr>
          <w:rFonts w:cs="Times New Roman"/>
          <w:szCs w:val="24"/>
        </w:rPr>
        <w:t xml:space="preserve">primario </w:t>
      </w:r>
      <w:r w:rsidR="004E1FF0" w:rsidRPr="00B3696F">
        <w:rPr>
          <w:rFonts w:cs="Times New Roman"/>
          <w:szCs w:val="24"/>
        </w:rPr>
        <w:t>trami</w:t>
      </w:r>
      <w:r w:rsidR="002649BD" w:rsidRPr="00B3696F">
        <w:rPr>
          <w:rFonts w:cs="Times New Roman"/>
          <w:szCs w:val="24"/>
        </w:rPr>
        <w:t xml:space="preserve">te cui </w:t>
      </w:r>
      <w:r w:rsidR="0078238D">
        <w:rPr>
          <w:rFonts w:cs="Times New Roman"/>
          <w:szCs w:val="24"/>
        </w:rPr>
        <w:t>e</w:t>
      </w:r>
      <w:r w:rsidR="0078238D" w:rsidRPr="00B3696F">
        <w:rPr>
          <w:rFonts w:cs="Times New Roman"/>
          <w:szCs w:val="24"/>
        </w:rPr>
        <w:t xml:space="preserve">ssa </w:t>
      </w:r>
      <w:r w:rsidR="004F62FB" w:rsidRPr="00B3696F">
        <w:rPr>
          <w:rFonts w:cs="Times New Roman"/>
          <w:szCs w:val="24"/>
        </w:rPr>
        <w:t xml:space="preserve">si realizza </w:t>
      </w:r>
      <w:r w:rsidR="002649BD" w:rsidRPr="00B3696F">
        <w:rPr>
          <w:rFonts w:cs="Times New Roman"/>
          <w:szCs w:val="24"/>
        </w:rPr>
        <w:t>è l</w:t>
      </w:r>
      <w:r w:rsidR="00C241A0" w:rsidRPr="00B3696F">
        <w:rPr>
          <w:rFonts w:cs="Times New Roman"/>
          <w:szCs w:val="24"/>
        </w:rPr>
        <w:t>’</w:t>
      </w:r>
      <w:r w:rsidR="002649BD" w:rsidRPr="00B3696F">
        <w:rPr>
          <w:rFonts w:cs="Times New Roman"/>
          <w:szCs w:val="24"/>
        </w:rPr>
        <w:t>accesso</w:t>
      </w:r>
      <w:r w:rsidR="0078238D">
        <w:rPr>
          <w:rFonts w:cs="Times New Roman"/>
          <w:szCs w:val="24"/>
        </w:rPr>
        <w:t>, nelle sue forme</w:t>
      </w:r>
      <w:r w:rsidR="00CF4F72">
        <w:rPr>
          <w:rFonts w:cs="Times New Roman"/>
          <w:szCs w:val="24"/>
        </w:rPr>
        <w:t xml:space="preserve"> di accesso</w:t>
      </w:r>
      <w:r w:rsidR="0078238D">
        <w:rPr>
          <w:rFonts w:cs="Times New Roman"/>
          <w:szCs w:val="24"/>
        </w:rPr>
        <w:t>:</w:t>
      </w:r>
      <w:r w:rsidR="0078238D" w:rsidRPr="0078238D">
        <w:rPr>
          <w:rFonts w:cs="Times New Roman"/>
          <w:szCs w:val="24"/>
        </w:rPr>
        <w:t xml:space="preserve"> </w:t>
      </w:r>
      <w:r w:rsidR="001C2797">
        <w:rPr>
          <w:rFonts w:cs="Times New Roman"/>
          <w:szCs w:val="24"/>
        </w:rPr>
        <w:t xml:space="preserve">- </w:t>
      </w:r>
      <w:r w:rsidR="005E26C0" w:rsidRPr="00B3696F">
        <w:rPr>
          <w:rFonts w:cs="Times New Roman"/>
          <w:szCs w:val="24"/>
        </w:rPr>
        <w:t xml:space="preserve">documentale </w:t>
      </w:r>
      <w:r w:rsidR="0078238D" w:rsidRPr="00B3696F">
        <w:rPr>
          <w:rFonts w:cs="Times New Roman"/>
          <w:szCs w:val="24"/>
        </w:rPr>
        <w:t>(o</w:t>
      </w:r>
      <w:r w:rsidR="005E26C0" w:rsidRPr="005E26C0">
        <w:rPr>
          <w:rFonts w:cs="Times New Roman"/>
          <w:szCs w:val="24"/>
        </w:rPr>
        <w:t xml:space="preserve"> </w:t>
      </w:r>
      <w:r w:rsidR="005E26C0" w:rsidRPr="00B3696F">
        <w:rPr>
          <w:rFonts w:cs="Times New Roman"/>
          <w:szCs w:val="24"/>
        </w:rPr>
        <w:t>procedimentale</w:t>
      </w:r>
      <w:r w:rsidR="0078238D" w:rsidRPr="00B3696F">
        <w:rPr>
          <w:rFonts w:cs="Times New Roman"/>
          <w:szCs w:val="24"/>
        </w:rPr>
        <w:t>), di cui agli artt. 22 e segg. della legge n. 241 del 1990</w:t>
      </w:r>
      <w:r w:rsidR="001C2797">
        <w:rPr>
          <w:rFonts w:cs="Times New Roman"/>
          <w:szCs w:val="24"/>
        </w:rPr>
        <w:t>; -</w:t>
      </w:r>
      <w:r w:rsidR="0078238D" w:rsidRPr="00B3696F">
        <w:rPr>
          <w:rFonts w:cs="Times New Roman"/>
          <w:szCs w:val="24"/>
        </w:rPr>
        <w:t xml:space="preserve"> civico</w:t>
      </w:r>
      <w:r w:rsidR="0078238D">
        <w:rPr>
          <w:rFonts w:cs="Times New Roman"/>
          <w:szCs w:val="24"/>
        </w:rPr>
        <w:t>,</w:t>
      </w:r>
      <w:r w:rsidR="0078238D" w:rsidRPr="00B3696F">
        <w:rPr>
          <w:rFonts w:cs="Times New Roman"/>
          <w:szCs w:val="24"/>
        </w:rPr>
        <w:t xml:space="preserve"> semplice e generalizzato (conosciut</w:t>
      </w:r>
      <w:r w:rsidR="0078238D">
        <w:rPr>
          <w:rFonts w:cs="Times New Roman"/>
          <w:szCs w:val="24"/>
        </w:rPr>
        <w:t>o</w:t>
      </w:r>
      <w:r w:rsidR="0078238D" w:rsidRPr="00B3696F">
        <w:rPr>
          <w:rFonts w:cs="Times New Roman"/>
          <w:szCs w:val="24"/>
        </w:rPr>
        <w:t xml:space="preserve"> anche con l’acronimo </w:t>
      </w:r>
      <w:r w:rsidR="0078238D">
        <w:rPr>
          <w:rFonts w:cs="Times New Roman"/>
          <w:szCs w:val="24"/>
        </w:rPr>
        <w:t xml:space="preserve">di </w:t>
      </w:r>
      <w:r w:rsidR="0078238D" w:rsidRPr="00B3696F">
        <w:rPr>
          <w:rFonts w:cs="Times New Roman"/>
          <w:szCs w:val="24"/>
        </w:rPr>
        <w:t>FOIA), di cui all’art. 5 del d.lgs. n. 33 del 2013</w:t>
      </w:r>
      <w:r w:rsidR="0078238D">
        <w:rPr>
          <w:rFonts w:cs="Times New Roman"/>
          <w:szCs w:val="24"/>
        </w:rPr>
        <w:t>.</w:t>
      </w:r>
    </w:p>
    <w:p w14:paraId="4BE2572A" w14:textId="7C788437" w:rsidR="000F39A0" w:rsidRPr="00B3696F" w:rsidRDefault="0078238D" w:rsidP="00B61A88">
      <w:pPr>
        <w:ind w:firstLine="567"/>
        <w:rPr>
          <w:rFonts w:cs="Times New Roman"/>
          <w:szCs w:val="24"/>
        </w:rPr>
      </w:pPr>
      <w:r>
        <w:rPr>
          <w:rFonts w:cs="Times New Roman"/>
          <w:szCs w:val="24"/>
        </w:rPr>
        <w:t>L’accesso d</w:t>
      </w:r>
      <w:r w:rsidR="005E26C0">
        <w:rPr>
          <w:rFonts w:cs="Times New Roman"/>
          <w:szCs w:val="24"/>
        </w:rPr>
        <w:t>ocu</w:t>
      </w:r>
      <w:r>
        <w:rPr>
          <w:rFonts w:cs="Times New Roman"/>
          <w:szCs w:val="24"/>
        </w:rPr>
        <w:t>mentale</w:t>
      </w:r>
      <w:r w:rsidR="002649BD" w:rsidRPr="00B3696F">
        <w:rPr>
          <w:rFonts w:cs="Times New Roman"/>
          <w:szCs w:val="24"/>
        </w:rPr>
        <w:t xml:space="preserve"> consente </w:t>
      </w:r>
      <w:r w:rsidR="00B61A88">
        <w:rPr>
          <w:rFonts w:cs="Times New Roman"/>
          <w:szCs w:val="24"/>
        </w:rPr>
        <w:t>di</w:t>
      </w:r>
      <w:r w:rsidR="002649BD" w:rsidRPr="00B3696F">
        <w:rPr>
          <w:rFonts w:cs="Times New Roman"/>
          <w:szCs w:val="24"/>
        </w:rPr>
        <w:t xml:space="preserve"> conosce</w:t>
      </w:r>
      <w:r w:rsidR="00B61A88">
        <w:rPr>
          <w:rFonts w:cs="Times New Roman"/>
          <w:szCs w:val="24"/>
        </w:rPr>
        <w:t>r</w:t>
      </w:r>
      <w:r w:rsidR="000F39A0" w:rsidRPr="00B3696F">
        <w:rPr>
          <w:rFonts w:cs="Times New Roman"/>
          <w:szCs w:val="24"/>
        </w:rPr>
        <w:t>e</w:t>
      </w:r>
      <w:r w:rsidR="00B61A88">
        <w:rPr>
          <w:rFonts w:cs="Times New Roman"/>
          <w:szCs w:val="24"/>
        </w:rPr>
        <w:t xml:space="preserve"> </w:t>
      </w:r>
      <w:r w:rsidR="000F39A0" w:rsidRPr="00B3696F">
        <w:rPr>
          <w:rFonts w:cs="Times New Roman"/>
          <w:szCs w:val="24"/>
        </w:rPr>
        <w:t>i documenti detenuti dalla pubblica amministrazione</w:t>
      </w:r>
      <w:r w:rsidR="002649BD" w:rsidRPr="00B3696F">
        <w:rPr>
          <w:rFonts w:cs="Times New Roman"/>
          <w:szCs w:val="24"/>
        </w:rPr>
        <w:t xml:space="preserve">, </w:t>
      </w:r>
      <w:r w:rsidR="000F39A0" w:rsidRPr="00B3696F">
        <w:rPr>
          <w:rFonts w:cs="Times New Roman"/>
          <w:szCs w:val="24"/>
        </w:rPr>
        <w:t>a</w:t>
      </w:r>
      <w:r w:rsidR="002649BD" w:rsidRPr="00B3696F">
        <w:rPr>
          <w:rFonts w:cs="Times New Roman"/>
          <w:szCs w:val="24"/>
        </w:rPr>
        <w:t xml:space="preserve"> tutela e garanzia de</w:t>
      </w:r>
      <w:r w:rsidR="00B61A88">
        <w:rPr>
          <w:rFonts w:cs="Times New Roman"/>
          <w:szCs w:val="24"/>
        </w:rPr>
        <w:t>gl</w:t>
      </w:r>
      <w:r w:rsidR="002649BD" w:rsidRPr="00B3696F">
        <w:rPr>
          <w:rFonts w:cs="Times New Roman"/>
          <w:szCs w:val="24"/>
        </w:rPr>
        <w:t xml:space="preserve">i interessi </w:t>
      </w:r>
      <w:r w:rsidR="000D656D">
        <w:rPr>
          <w:rFonts w:cs="Times New Roman"/>
          <w:szCs w:val="24"/>
        </w:rPr>
        <w:t xml:space="preserve">del richiedente </w:t>
      </w:r>
      <w:r w:rsidR="002649BD" w:rsidRPr="00B3696F">
        <w:rPr>
          <w:rFonts w:cs="Times New Roman"/>
          <w:szCs w:val="24"/>
        </w:rPr>
        <w:t>coinvolti nell</w:t>
      </w:r>
      <w:r w:rsidR="00C241A0" w:rsidRPr="00B3696F">
        <w:rPr>
          <w:rFonts w:cs="Times New Roman"/>
          <w:szCs w:val="24"/>
        </w:rPr>
        <w:t>’</w:t>
      </w:r>
      <w:r w:rsidR="002649BD" w:rsidRPr="00B3696F">
        <w:rPr>
          <w:rFonts w:cs="Times New Roman"/>
          <w:szCs w:val="24"/>
        </w:rPr>
        <w:t>azione amministrativa</w:t>
      </w:r>
      <w:r w:rsidR="00521517" w:rsidRPr="00B3696F">
        <w:rPr>
          <w:rStyle w:val="Rimandonotaapidipagina"/>
          <w:rFonts w:cs="Times New Roman"/>
          <w:szCs w:val="24"/>
        </w:rPr>
        <w:footnoteReference w:id="6"/>
      </w:r>
      <w:r w:rsidR="00B61A88">
        <w:rPr>
          <w:rFonts w:cs="Times New Roman"/>
          <w:szCs w:val="24"/>
        </w:rPr>
        <w:t xml:space="preserve">. Esso </w:t>
      </w:r>
      <w:r w:rsidR="000F39A0" w:rsidRPr="00B3696F">
        <w:rPr>
          <w:rFonts w:cs="Times New Roman"/>
          <w:szCs w:val="24"/>
        </w:rPr>
        <w:t>presuppone</w:t>
      </w:r>
      <w:r w:rsidR="00B61A88">
        <w:rPr>
          <w:rFonts w:cs="Times New Roman"/>
          <w:szCs w:val="24"/>
        </w:rPr>
        <w:t>, quindi,</w:t>
      </w:r>
      <w:r w:rsidR="000F39A0" w:rsidRPr="00B3696F">
        <w:rPr>
          <w:rFonts w:cs="Times New Roman"/>
          <w:szCs w:val="24"/>
        </w:rPr>
        <w:t xml:space="preserve"> un rapporto giuridico </w:t>
      </w:r>
      <w:r w:rsidR="004E1FF0" w:rsidRPr="00B3696F">
        <w:rPr>
          <w:rFonts w:cs="Times New Roman"/>
          <w:szCs w:val="24"/>
        </w:rPr>
        <w:t xml:space="preserve">qualificato </w:t>
      </w:r>
      <w:r w:rsidR="00B61A88">
        <w:rPr>
          <w:rFonts w:cs="Times New Roman"/>
          <w:szCs w:val="24"/>
        </w:rPr>
        <w:t>in capo</w:t>
      </w:r>
      <w:r w:rsidR="000F39A0" w:rsidRPr="00B3696F">
        <w:rPr>
          <w:rFonts w:cs="Times New Roman"/>
          <w:szCs w:val="24"/>
        </w:rPr>
        <w:t xml:space="preserve"> </w:t>
      </w:r>
      <w:r w:rsidR="00B61A88">
        <w:rPr>
          <w:rFonts w:cs="Times New Roman"/>
          <w:szCs w:val="24"/>
        </w:rPr>
        <w:t>all’</w:t>
      </w:r>
      <w:r w:rsidR="000F39A0" w:rsidRPr="00B3696F">
        <w:rPr>
          <w:rFonts w:cs="Times New Roman"/>
          <w:szCs w:val="24"/>
        </w:rPr>
        <w:t>istante</w:t>
      </w:r>
      <w:r w:rsidR="000F39A0" w:rsidRPr="00B3696F">
        <w:rPr>
          <w:rStyle w:val="Rimandonotaapidipagina"/>
          <w:rFonts w:cs="Times New Roman"/>
          <w:szCs w:val="24"/>
        </w:rPr>
        <w:footnoteReference w:id="7"/>
      </w:r>
      <w:r w:rsidR="000F39A0" w:rsidRPr="00B3696F">
        <w:rPr>
          <w:rFonts w:cs="Times New Roman"/>
          <w:szCs w:val="24"/>
        </w:rPr>
        <w:t xml:space="preserve">, </w:t>
      </w:r>
      <w:r w:rsidR="005F5D2D" w:rsidRPr="00B3696F">
        <w:rPr>
          <w:rFonts w:cs="Times New Roman"/>
          <w:szCs w:val="24"/>
        </w:rPr>
        <w:t xml:space="preserve">essendo </w:t>
      </w:r>
      <w:r w:rsidR="000F39A0" w:rsidRPr="00B3696F">
        <w:rPr>
          <w:rFonts w:cs="Times New Roman"/>
          <w:szCs w:val="24"/>
        </w:rPr>
        <w:t>preclu</w:t>
      </w:r>
      <w:r w:rsidR="005F5D2D" w:rsidRPr="00B3696F">
        <w:rPr>
          <w:rFonts w:cs="Times New Roman"/>
          <w:szCs w:val="24"/>
        </w:rPr>
        <w:t>sa</w:t>
      </w:r>
      <w:r w:rsidR="000F39A0" w:rsidRPr="00B3696F">
        <w:rPr>
          <w:rFonts w:cs="Times New Roman"/>
          <w:szCs w:val="24"/>
        </w:rPr>
        <w:t xml:space="preserve"> in radice la legittimazione del </w:t>
      </w:r>
      <w:proofErr w:type="spellStart"/>
      <w:r w:rsidR="000F39A0" w:rsidRPr="00B3696F">
        <w:rPr>
          <w:rFonts w:cs="Times New Roman"/>
          <w:i/>
          <w:iCs/>
          <w:szCs w:val="24"/>
        </w:rPr>
        <w:t>quisque</w:t>
      </w:r>
      <w:proofErr w:type="spellEnd"/>
      <w:r w:rsidR="000F39A0" w:rsidRPr="00B3696F">
        <w:rPr>
          <w:rFonts w:cs="Times New Roman"/>
          <w:i/>
          <w:iCs/>
          <w:szCs w:val="24"/>
        </w:rPr>
        <w:t xml:space="preserve"> de </w:t>
      </w:r>
      <w:proofErr w:type="spellStart"/>
      <w:r w:rsidR="000F39A0" w:rsidRPr="00B3696F">
        <w:rPr>
          <w:rFonts w:cs="Times New Roman"/>
          <w:i/>
          <w:iCs/>
          <w:szCs w:val="24"/>
        </w:rPr>
        <w:t>populo</w:t>
      </w:r>
      <w:proofErr w:type="spellEnd"/>
      <w:r w:rsidR="000C677C" w:rsidRPr="00B3696F">
        <w:rPr>
          <w:rStyle w:val="Rimandonotaapidipagina"/>
          <w:rFonts w:cs="Times New Roman"/>
          <w:szCs w:val="24"/>
        </w:rPr>
        <w:footnoteReference w:id="8"/>
      </w:r>
      <w:r w:rsidR="000F39A0" w:rsidRPr="00B3696F">
        <w:rPr>
          <w:rFonts w:cs="Times New Roman"/>
          <w:szCs w:val="24"/>
        </w:rPr>
        <w:t>.</w:t>
      </w:r>
    </w:p>
    <w:p w14:paraId="571C1E82" w14:textId="77777777" w:rsidR="000D656D" w:rsidRDefault="0078238D" w:rsidP="00F90AC2">
      <w:pPr>
        <w:ind w:firstLine="567"/>
        <w:rPr>
          <w:rFonts w:cs="Times New Roman"/>
          <w:szCs w:val="24"/>
        </w:rPr>
      </w:pPr>
      <w:r>
        <w:rPr>
          <w:rFonts w:cs="Times New Roman"/>
          <w:szCs w:val="24"/>
        </w:rPr>
        <w:t>L</w:t>
      </w:r>
      <w:r w:rsidR="00C241A0" w:rsidRPr="00B3696F">
        <w:rPr>
          <w:rFonts w:cs="Times New Roman"/>
          <w:szCs w:val="24"/>
        </w:rPr>
        <w:t>’</w:t>
      </w:r>
      <w:r w:rsidR="008B6623" w:rsidRPr="00B3696F">
        <w:rPr>
          <w:rFonts w:cs="Times New Roman"/>
          <w:szCs w:val="24"/>
        </w:rPr>
        <w:t xml:space="preserve">accesso </w:t>
      </w:r>
      <w:r>
        <w:rPr>
          <w:rFonts w:cs="Times New Roman"/>
          <w:szCs w:val="24"/>
        </w:rPr>
        <w:t xml:space="preserve">civico </w:t>
      </w:r>
      <w:r w:rsidR="000D656D">
        <w:rPr>
          <w:rFonts w:cs="Times New Roman"/>
          <w:szCs w:val="24"/>
        </w:rPr>
        <w:t>serve a</w:t>
      </w:r>
      <w:r w:rsidR="000D656D" w:rsidRPr="00B3696F">
        <w:rPr>
          <w:rFonts w:cs="Times New Roman"/>
          <w:szCs w:val="24"/>
        </w:rPr>
        <w:t xml:space="preserve"> “favorire forme diffuse di controllo sul perseguimento delle funzioni istituzionali e sull’utilizzo delle risorse pubbliche e di promuovere la partecipazione al dibattito pubblico”</w:t>
      </w:r>
      <w:r w:rsidR="000D656D" w:rsidRPr="00B3696F">
        <w:rPr>
          <w:rStyle w:val="Rimandonotaapidipagina"/>
          <w:rFonts w:eastAsia="New Baskerville" w:cs="Times New Roman"/>
          <w:szCs w:val="24"/>
          <w:lang w:eastAsia="it-IT"/>
        </w:rPr>
        <w:footnoteReference w:id="9"/>
      </w:r>
      <w:r w:rsidR="000D656D" w:rsidRPr="00B3696F">
        <w:rPr>
          <w:rFonts w:cs="Times New Roman"/>
          <w:szCs w:val="24"/>
        </w:rPr>
        <w:t>.</w:t>
      </w:r>
    </w:p>
    <w:p w14:paraId="0B3A8A97" w14:textId="7AC24A2B" w:rsidR="00105400" w:rsidRPr="00B3696F" w:rsidRDefault="00105400" w:rsidP="00105400">
      <w:pPr>
        <w:ind w:firstLine="567"/>
        <w:rPr>
          <w:rFonts w:eastAsia="New Baskerville" w:cs="Times New Roman"/>
          <w:szCs w:val="24"/>
          <w:lang w:eastAsia="it-IT"/>
        </w:rPr>
      </w:pPr>
      <w:r>
        <w:rPr>
          <w:rFonts w:cs="Times New Roman"/>
          <w:szCs w:val="24"/>
        </w:rPr>
        <w:t>Esso è dunque</w:t>
      </w:r>
      <w:r w:rsidRPr="00B3696F">
        <w:rPr>
          <w:rFonts w:cs="Times New Roman"/>
          <w:szCs w:val="24"/>
        </w:rPr>
        <w:t xml:space="preserve"> </w:t>
      </w:r>
      <w:r w:rsidRPr="00B3696F">
        <w:rPr>
          <w:rFonts w:eastAsia="New Baskerville" w:cs="Times New Roman"/>
          <w:szCs w:val="24"/>
          <w:lang w:eastAsia="it-IT"/>
        </w:rPr>
        <w:t>azionabil</w:t>
      </w:r>
      <w:r>
        <w:rPr>
          <w:rFonts w:eastAsia="New Baskerville" w:cs="Times New Roman"/>
          <w:szCs w:val="24"/>
          <w:lang w:eastAsia="it-IT"/>
        </w:rPr>
        <w:t>e</w:t>
      </w:r>
      <w:r w:rsidRPr="00B3696F">
        <w:rPr>
          <w:rFonts w:eastAsia="New Baskerville" w:cs="Times New Roman"/>
          <w:szCs w:val="24"/>
          <w:lang w:eastAsia="it-IT"/>
        </w:rPr>
        <w:t xml:space="preserve"> da chiunque</w:t>
      </w:r>
      <w:r w:rsidRPr="00B3696F">
        <w:rPr>
          <w:rStyle w:val="Rimandonotaapidipagina"/>
          <w:rFonts w:cs="Times New Roman"/>
          <w:szCs w:val="24"/>
        </w:rPr>
        <w:footnoteReference w:id="10"/>
      </w:r>
      <w:r w:rsidRPr="00B3696F">
        <w:rPr>
          <w:rFonts w:eastAsia="New Baskerville" w:cs="Times New Roman"/>
          <w:szCs w:val="24"/>
          <w:lang w:eastAsia="it-IT"/>
        </w:rPr>
        <w:t xml:space="preserve">, </w:t>
      </w:r>
      <w:r>
        <w:rPr>
          <w:rFonts w:eastAsia="New Baskerville" w:cs="Times New Roman"/>
          <w:szCs w:val="24"/>
          <w:lang w:eastAsia="it-IT"/>
        </w:rPr>
        <w:t xml:space="preserve">a prescindere </w:t>
      </w:r>
      <w:r w:rsidRPr="00B3696F">
        <w:rPr>
          <w:rFonts w:eastAsia="New Baskerville" w:cs="Times New Roman"/>
          <w:szCs w:val="24"/>
          <w:lang w:eastAsia="it-IT"/>
        </w:rPr>
        <w:t>d</w:t>
      </w:r>
      <w:r>
        <w:rPr>
          <w:rFonts w:eastAsia="New Baskerville" w:cs="Times New Roman"/>
          <w:szCs w:val="24"/>
          <w:lang w:eastAsia="it-IT"/>
        </w:rPr>
        <w:t>a</w:t>
      </w:r>
      <w:r w:rsidRPr="00B3696F">
        <w:rPr>
          <w:rFonts w:eastAsia="New Baskerville" w:cs="Times New Roman"/>
          <w:szCs w:val="24"/>
          <w:lang w:eastAsia="it-IT"/>
        </w:rPr>
        <w:t>ll</w:t>
      </w:r>
      <w:r>
        <w:rPr>
          <w:rFonts w:eastAsia="New Baskerville" w:cs="Times New Roman"/>
          <w:szCs w:val="24"/>
          <w:lang w:eastAsia="it-IT"/>
        </w:rPr>
        <w:t xml:space="preserve">a titolarità di un </w:t>
      </w:r>
      <w:r w:rsidRPr="00B3696F">
        <w:rPr>
          <w:rFonts w:eastAsia="New Baskerville" w:cs="Times New Roman"/>
          <w:szCs w:val="24"/>
          <w:lang w:eastAsia="it-IT"/>
        </w:rPr>
        <w:t xml:space="preserve">interesse </w:t>
      </w:r>
      <w:r>
        <w:rPr>
          <w:rFonts w:eastAsia="New Baskerville" w:cs="Times New Roman"/>
          <w:szCs w:val="24"/>
          <w:lang w:eastAsia="it-IT"/>
        </w:rPr>
        <w:t xml:space="preserve">differenziato e </w:t>
      </w:r>
      <w:r w:rsidRPr="00B3696F">
        <w:rPr>
          <w:rFonts w:eastAsia="New Baskerville" w:cs="Times New Roman"/>
          <w:szCs w:val="24"/>
          <w:lang w:eastAsia="it-IT"/>
        </w:rPr>
        <w:t xml:space="preserve">qualificato e senza obbligo di </w:t>
      </w:r>
      <w:r>
        <w:rPr>
          <w:rFonts w:eastAsia="New Baskerville" w:cs="Times New Roman"/>
          <w:szCs w:val="24"/>
          <w:lang w:eastAsia="it-IT"/>
        </w:rPr>
        <w:t xml:space="preserve">una precisa </w:t>
      </w:r>
      <w:r w:rsidRPr="00B3696F">
        <w:rPr>
          <w:rFonts w:eastAsia="New Baskerville" w:cs="Times New Roman"/>
          <w:szCs w:val="24"/>
          <w:lang w:eastAsia="it-IT"/>
        </w:rPr>
        <w:t xml:space="preserve">motivazione della richiesta, venendo </w:t>
      </w:r>
      <w:r w:rsidRPr="00B3696F">
        <w:rPr>
          <w:rFonts w:eastAsia="New Baskerville" w:cs="Times New Roman"/>
          <w:szCs w:val="24"/>
          <w:lang w:eastAsia="it-IT"/>
        </w:rPr>
        <w:lastRenderedPageBreak/>
        <w:t xml:space="preserve">in rilievo la finalità di consentire la pubblicità diffusa dei dati pubblici che, come tali, devono </w:t>
      </w:r>
      <w:r>
        <w:rPr>
          <w:rFonts w:eastAsia="New Baskerville" w:cs="Times New Roman"/>
          <w:szCs w:val="24"/>
          <w:lang w:eastAsia="it-IT"/>
        </w:rPr>
        <w:t xml:space="preserve">poter </w:t>
      </w:r>
      <w:r w:rsidRPr="00B3696F">
        <w:rPr>
          <w:rFonts w:eastAsia="New Baskerville" w:cs="Times New Roman"/>
          <w:szCs w:val="24"/>
          <w:lang w:eastAsia="it-IT"/>
        </w:rPr>
        <w:t>essere conoscibili da tutti.</w:t>
      </w:r>
    </w:p>
    <w:p w14:paraId="2A86A114" w14:textId="028A6F8A" w:rsidR="008B6623" w:rsidRDefault="00105400" w:rsidP="00F90AC2">
      <w:pPr>
        <w:ind w:firstLine="567"/>
        <w:rPr>
          <w:rFonts w:cs="Times New Roman"/>
          <w:szCs w:val="24"/>
        </w:rPr>
      </w:pPr>
      <w:r>
        <w:rPr>
          <w:rFonts w:cs="Times New Roman"/>
          <w:szCs w:val="24"/>
        </w:rPr>
        <w:t>L’accesso civico</w:t>
      </w:r>
      <w:r w:rsidR="000D656D">
        <w:rPr>
          <w:rFonts w:cs="Times New Roman"/>
          <w:szCs w:val="24"/>
        </w:rPr>
        <w:t xml:space="preserve"> è </w:t>
      </w:r>
      <w:r w:rsidR="0078238D">
        <w:rPr>
          <w:rFonts w:cs="Times New Roman"/>
          <w:szCs w:val="24"/>
        </w:rPr>
        <w:t>semplice</w:t>
      </w:r>
      <w:r w:rsidR="000D656D">
        <w:rPr>
          <w:rFonts w:cs="Times New Roman"/>
          <w:szCs w:val="24"/>
        </w:rPr>
        <w:t xml:space="preserve">, </w:t>
      </w:r>
      <w:r w:rsidR="000D656D" w:rsidRPr="00B3696F">
        <w:rPr>
          <w:rFonts w:cs="Times New Roman"/>
          <w:szCs w:val="24"/>
        </w:rPr>
        <w:t xml:space="preserve">quando </w:t>
      </w:r>
      <w:r w:rsidR="0078238D">
        <w:rPr>
          <w:rFonts w:cs="Times New Roman"/>
          <w:szCs w:val="24"/>
        </w:rPr>
        <w:t>riguarda</w:t>
      </w:r>
      <w:r w:rsidR="0078238D" w:rsidRPr="0078238D">
        <w:rPr>
          <w:rFonts w:cs="Times New Roman"/>
          <w:szCs w:val="24"/>
        </w:rPr>
        <w:t xml:space="preserve"> </w:t>
      </w:r>
      <w:r w:rsidR="0078238D" w:rsidRPr="00B3696F">
        <w:rPr>
          <w:rFonts w:cs="Times New Roman"/>
          <w:szCs w:val="24"/>
        </w:rPr>
        <w:t xml:space="preserve">la pretesa di ottenere la pubblicazione dei documenti nei siti istituzionali delle amministrazioni, </w:t>
      </w:r>
      <w:r w:rsidR="000D656D">
        <w:rPr>
          <w:rFonts w:cs="Times New Roman"/>
          <w:szCs w:val="24"/>
        </w:rPr>
        <w:t xml:space="preserve">se </w:t>
      </w:r>
      <w:r w:rsidR="0078238D" w:rsidRPr="00B3696F">
        <w:rPr>
          <w:rFonts w:cs="Times New Roman"/>
          <w:szCs w:val="24"/>
        </w:rPr>
        <w:t>questa è obbligatoria ed è stata omessa</w:t>
      </w:r>
      <w:r>
        <w:rPr>
          <w:rFonts w:cs="Times New Roman"/>
          <w:szCs w:val="24"/>
        </w:rPr>
        <w:t>;</w:t>
      </w:r>
      <w:r w:rsidR="000D656D">
        <w:rPr>
          <w:rFonts w:cs="Times New Roman"/>
          <w:szCs w:val="24"/>
        </w:rPr>
        <w:t xml:space="preserve"> è </w:t>
      </w:r>
      <w:r w:rsidR="0078238D">
        <w:rPr>
          <w:rFonts w:cs="Times New Roman"/>
          <w:szCs w:val="24"/>
        </w:rPr>
        <w:t>generalizzato</w:t>
      </w:r>
      <w:r w:rsidR="000D656D">
        <w:rPr>
          <w:rFonts w:cs="Times New Roman"/>
          <w:szCs w:val="24"/>
        </w:rPr>
        <w:t xml:space="preserve">, </w:t>
      </w:r>
      <w:r w:rsidR="000D656D" w:rsidRPr="00B3696F">
        <w:rPr>
          <w:rFonts w:cs="Times New Roman"/>
          <w:szCs w:val="24"/>
        </w:rPr>
        <w:t xml:space="preserve">quando </w:t>
      </w:r>
      <w:r w:rsidR="0078238D">
        <w:rPr>
          <w:rFonts w:cs="Times New Roman"/>
          <w:szCs w:val="24"/>
        </w:rPr>
        <w:t>riguarda</w:t>
      </w:r>
      <w:r w:rsidR="004E1FF0" w:rsidRPr="00B3696F">
        <w:rPr>
          <w:rFonts w:cs="Times New Roman"/>
          <w:szCs w:val="24"/>
        </w:rPr>
        <w:t xml:space="preserve"> </w:t>
      </w:r>
      <w:r w:rsidR="005F5D2D" w:rsidRPr="00B3696F">
        <w:rPr>
          <w:rFonts w:cs="Times New Roman"/>
          <w:szCs w:val="24"/>
        </w:rPr>
        <w:t xml:space="preserve">la pretesa </w:t>
      </w:r>
      <w:r w:rsidR="004E1FF0" w:rsidRPr="00B3696F">
        <w:rPr>
          <w:rFonts w:cs="Times New Roman"/>
          <w:szCs w:val="24"/>
        </w:rPr>
        <w:t>di</w:t>
      </w:r>
      <w:r w:rsidR="008B6623" w:rsidRPr="00B3696F">
        <w:rPr>
          <w:rFonts w:cs="Times New Roman"/>
          <w:szCs w:val="24"/>
        </w:rPr>
        <w:t xml:space="preserve"> conoscere documenti ulteriori</w:t>
      </w:r>
      <w:r w:rsidR="00A13646" w:rsidRPr="00B3696F">
        <w:rPr>
          <w:rStyle w:val="Rimandonotaapidipagina"/>
          <w:rFonts w:cs="Times New Roman"/>
          <w:szCs w:val="24"/>
        </w:rPr>
        <w:footnoteReference w:id="11"/>
      </w:r>
      <w:r w:rsidR="008B6623" w:rsidRPr="00B3696F">
        <w:rPr>
          <w:rFonts w:cs="Times New Roman"/>
          <w:szCs w:val="24"/>
        </w:rPr>
        <w:t>.</w:t>
      </w:r>
    </w:p>
    <w:p w14:paraId="52750247" w14:textId="2FFF9298" w:rsidR="00DF1A0C" w:rsidRPr="00B3696F" w:rsidRDefault="00DF1A0C" w:rsidP="00F90AC2">
      <w:pPr>
        <w:ind w:firstLine="567"/>
        <w:rPr>
          <w:rFonts w:cs="Times New Roman"/>
          <w:szCs w:val="24"/>
        </w:rPr>
      </w:pPr>
      <w:r>
        <w:rPr>
          <w:rFonts w:cs="Times New Roman"/>
          <w:szCs w:val="24"/>
        </w:rPr>
        <w:t xml:space="preserve">Riguardo quest’ultima forma, risulta tuttavia necessario che </w:t>
      </w:r>
      <w:r w:rsidRPr="00DF1A0C">
        <w:rPr>
          <w:rFonts w:cs="Times New Roman"/>
          <w:szCs w:val="24"/>
        </w:rPr>
        <w:t xml:space="preserve">risulti in modo chiaro ed inequivoco l’esclusiva rispondenza </w:t>
      </w:r>
      <w:r w:rsidR="00835BCC">
        <w:rPr>
          <w:rFonts w:cs="Times New Roman"/>
          <w:szCs w:val="24"/>
        </w:rPr>
        <w:t xml:space="preserve">dell’istanza </w:t>
      </w:r>
      <w:r w:rsidRPr="00DF1A0C">
        <w:rPr>
          <w:rFonts w:cs="Times New Roman"/>
          <w:szCs w:val="24"/>
        </w:rPr>
        <w:t xml:space="preserve">al soddisfacimento di un interesse </w:t>
      </w:r>
      <w:r w:rsidR="00835BCC">
        <w:rPr>
          <w:rFonts w:cs="Times New Roman"/>
          <w:szCs w:val="24"/>
        </w:rPr>
        <w:t>avente</w:t>
      </w:r>
      <w:r w:rsidRPr="00DF1A0C">
        <w:rPr>
          <w:rFonts w:cs="Times New Roman"/>
          <w:szCs w:val="24"/>
        </w:rPr>
        <w:t xml:space="preserve"> valenza pubblica, essendo del tutto estrane</w:t>
      </w:r>
      <w:r w:rsidR="00835BCC">
        <w:rPr>
          <w:rFonts w:cs="Times New Roman"/>
          <w:szCs w:val="24"/>
        </w:rPr>
        <w:t>a</w:t>
      </w:r>
      <w:r w:rsidRPr="00DF1A0C">
        <w:rPr>
          <w:rFonts w:cs="Times New Roman"/>
          <w:szCs w:val="24"/>
        </w:rPr>
        <w:t xml:space="preserve"> al perimetro normativo della</w:t>
      </w:r>
      <w:r>
        <w:rPr>
          <w:rFonts w:cs="Times New Roman"/>
          <w:szCs w:val="24"/>
        </w:rPr>
        <w:t xml:space="preserve"> </w:t>
      </w:r>
      <w:r w:rsidRPr="00DF1A0C">
        <w:rPr>
          <w:rFonts w:cs="Times New Roman"/>
          <w:szCs w:val="24"/>
        </w:rPr>
        <w:t>fattispecie la strumentalità (anche solo concorrente) ad un bisogno conoscitivo privato</w:t>
      </w:r>
      <w:r w:rsidR="005A69D4">
        <w:rPr>
          <w:rStyle w:val="Rimandonotaapidipagina"/>
          <w:rFonts w:cs="Times New Roman"/>
          <w:szCs w:val="24"/>
        </w:rPr>
        <w:footnoteReference w:id="12"/>
      </w:r>
      <w:r>
        <w:rPr>
          <w:rFonts w:cs="Times New Roman"/>
          <w:szCs w:val="24"/>
        </w:rPr>
        <w:t>.</w:t>
      </w:r>
    </w:p>
    <w:p w14:paraId="62809587" w14:textId="77777777" w:rsidR="00223035" w:rsidRPr="00C03B5F" w:rsidRDefault="00223035" w:rsidP="00223035">
      <w:pPr>
        <w:pStyle w:val="Paragrafoelenco"/>
        <w:numPr>
          <w:ilvl w:val="0"/>
          <w:numId w:val="6"/>
        </w:numPr>
        <w:rPr>
          <w:rFonts w:cs="Times New Roman"/>
          <w:b/>
          <w:bCs/>
          <w:szCs w:val="24"/>
        </w:rPr>
      </w:pPr>
      <w:r w:rsidRPr="00C03B5F">
        <w:rPr>
          <w:rFonts w:cs="Times New Roman"/>
          <w:b/>
          <w:bCs/>
          <w:szCs w:val="24"/>
        </w:rPr>
        <w:t>Il bilanciamento tra accesso e riservatezza.</w:t>
      </w:r>
    </w:p>
    <w:p w14:paraId="721DE736" w14:textId="7AA792B4" w:rsidR="00AC2E42" w:rsidRPr="00B3696F" w:rsidRDefault="00C03B5F" w:rsidP="00F90AC2">
      <w:pPr>
        <w:ind w:firstLine="567"/>
        <w:rPr>
          <w:rFonts w:cs="Times New Roman"/>
          <w:szCs w:val="24"/>
        </w:rPr>
      </w:pPr>
      <w:r>
        <w:rPr>
          <w:rFonts w:cs="Times New Roman"/>
          <w:szCs w:val="24"/>
        </w:rPr>
        <w:t>L</w:t>
      </w:r>
      <w:r w:rsidR="00AC2E42" w:rsidRPr="00B3696F">
        <w:rPr>
          <w:rFonts w:cs="Times New Roman"/>
          <w:szCs w:val="24"/>
        </w:rPr>
        <w:t>a presentazione di un</w:t>
      </w:r>
      <w:r w:rsidR="00C241A0" w:rsidRPr="00B3696F">
        <w:rPr>
          <w:rFonts w:cs="Times New Roman"/>
          <w:szCs w:val="24"/>
        </w:rPr>
        <w:t>’</w:t>
      </w:r>
      <w:r w:rsidR="00AC2E42" w:rsidRPr="00B3696F">
        <w:rPr>
          <w:rFonts w:cs="Times New Roman"/>
          <w:szCs w:val="24"/>
        </w:rPr>
        <w:t xml:space="preserve">istanza di accesso a documenti contenenti dati </w:t>
      </w:r>
      <w:r w:rsidR="000A2487">
        <w:rPr>
          <w:rFonts w:cs="Times New Roman"/>
          <w:szCs w:val="24"/>
        </w:rPr>
        <w:t>d</w:t>
      </w:r>
      <w:r>
        <w:rPr>
          <w:rFonts w:cs="Times New Roman"/>
          <w:szCs w:val="24"/>
        </w:rPr>
        <w:t>i</w:t>
      </w:r>
      <w:r w:rsidR="00AC2E42" w:rsidRPr="00B3696F">
        <w:rPr>
          <w:rFonts w:cs="Times New Roman"/>
          <w:szCs w:val="24"/>
        </w:rPr>
        <w:t xml:space="preserve"> terzi</w:t>
      </w:r>
      <w:r>
        <w:rPr>
          <w:rFonts w:cs="Times New Roman"/>
          <w:szCs w:val="24"/>
        </w:rPr>
        <w:t xml:space="preserve"> </w:t>
      </w:r>
      <w:r w:rsidR="00AC2E42" w:rsidRPr="00B3696F">
        <w:rPr>
          <w:rFonts w:cs="Times New Roman"/>
          <w:szCs w:val="24"/>
        </w:rPr>
        <w:t>comporta, per ciò s</w:t>
      </w:r>
      <w:r>
        <w:rPr>
          <w:rFonts w:cs="Times New Roman"/>
          <w:szCs w:val="24"/>
        </w:rPr>
        <w:t>tesso</w:t>
      </w:r>
      <w:r w:rsidR="00AC2E42" w:rsidRPr="00B3696F">
        <w:rPr>
          <w:rFonts w:cs="Times New Roman"/>
          <w:szCs w:val="24"/>
        </w:rPr>
        <w:t>, un conflitto, potenziale o reale, col diritto alla riservatezza</w:t>
      </w:r>
      <w:r w:rsidR="00A13646" w:rsidRPr="00B3696F">
        <w:rPr>
          <w:rStyle w:val="Rimandonotaapidipagina"/>
          <w:rFonts w:cs="Times New Roman"/>
          <w:szCs w:val="24"/>
        </w:rPr>
        <w:footnoteReference w:id="13"/>
      </w:r>
      <w:r w:rsidR="00AC2E42" w:rsidRPr="00B3696F">
        <w:rPr>
          <w:rFonts w:cs="Times New Roman"/>
          <w:szCs w:val="24"/>
        </w:rPr>
        <w:t>.</w:t>
      </w:r>
    </w:p>
    <w:p w14:paraId="08791D6C" w14:textId="3A3C8F87" w:rsidR="001759FF" w:rsidRPr="00B3696F" w:rsidRDefault="006A52F6" w:rsidP="00F90AC2">
      <w:pPr>
        <w:ind w:firstLine="567"/>
        <w:rPr>
          <w:rFonts w:cs="Times New Roman"/>
          <w:szCs w:val="24"/>
        </w:rPr>
      </w:pPr>
      <w:r w:rsidRPr="00B3696F">
        <w:rPr>
          <w:rFonts w:cs="Times New Roman"/>
          <w:szCs w:val="24"/>
        </w:rPr>
        <w:t>Si t</w:t>
      </w:r>
      <w:r w:rsidR="00AC2E42" w:rsidRPr="00B3696F">
        <w:rPr>
          <w:rFonts w:cs="Times New Roman"/>
          <w:szCs w:val="24"/>
        </w:rPr>
        <w:t>ratta</w:t>
      </w:r>
      <w:r w:rsidRPr="00B3696F">
        <w:rPr>
          <w:rFonts w:cs="Times New Roman"/>
          <w:szCs w:val="24"/>
        </w:rPr>
        <w:t xml:space="preserve"> </w:t>
      </w:r>
      <w:r w:rsidR="00AC2E42" w:rsidRPr="00B3696F">
        <w:rPr>
          <w:rFonts w:cs="Times New Roman"/>
          <w:szCs w:val="24"/>
        </w:rPr>
        <w:t xml:space="preserve">di </w:t>
      </w:r>
      <w:r w:rsidR="008A2EB8" w:rsidRPr="00B3696F">
        <w:rPr>
          <w:rFonts w:cs="Times New Roman"/>
          <w:szCs w:val="24"/>
        </w:rPr>
        <w:t xml:space="preserve">un </w:t>
      </w:r>
      <w:r w:rsidR="00AC2E42" w:rsidRPr="00B3696F">
        <w:rPr>
          <w:rFonts w:cs="Times New Roman"/>
          <w:szCs w:val="24"/>
        </w:rPr>
        <w:t xml:space="preserve">conflitto tra beni costituzionalmente rilevanti, atteso che </w:t>
      </w:r>
      <w:r w:rsidR="00232A55">
        <w:rPr>
          <w:rFonts w:cs="Times New Roman"/>
          <w:szCs w:val="24"/>
        </w:rPr>
        <w:t>i</w:t>
      </w:r>
      <w:r w:rsidR="00232A55" w:rsidRPr="00B3696F">
        <w:rPr>
          <w:rFonts w:cs="Times New Roman"/>
          <w:szCs w:val="24"/>
        </w:rPr>
        <w:t xml:space="preserve">l diritto </w:t>
      </w:r>
      <w:r w:rsidR="00232A55">
        <w:rPr>
          <w:rFonts w:cs="Times New Roman"/>
          <w:szCs w:val="24"/>
        </w:rPr>
        <w:t>al</w:t>
      </w:r>
      <w:r w:rsidR="00AC2E42" w:rsidRPr="00B3696F">
        <w:rPr>
          <w:rFonts w:cs="Times New Roman"/>
          <w:szCs w:val="24"/>
        </w:rPr>
        <w:t xml:space="preserve">la riservatezza </w:t>
      </w:r>
      <w:r w:rsidR="00715381" w:rsidRPr="00B3696F">
        <w:rPr>
          <w:rFonts w:cs="Times New Roman"/>
          <w:szCs w:val="24"/>
        </w:rPr>
        <w:t>p</w:t>
      </w:r>
      <w:r w:rsidR="00A61206" w:rsidRPr="00B3696F">
        <w:rPr>
          <w:rFonts w:cs="Times New Roman"/>
          <w:szCs w:val="24"/>
        </w:rPr>
        <w:t>o</w:t>
      </w:r>
      <w:r w:rsidR="00715381" w:rsidRPr="00B3696F">
        <w:rPr>
          <w:rFonts w:cs="Times New Roman"/>
          <w:szCs w:val="24"/>
        </w:rPr>
        <w:t>ggia</w:t>
      </w:r>
      <w:r w:rsidR="00AC2E42" w:rsidRPr="00B3696F">
        <w:rPr>
          <w:rFonts w:cs="Times New Roman"/>
          <w:szCs w:val="24"/>
        </w:rPr>
        <w:t xml:space="preserve"> </w:t>
      </w:r>
      <w:r w:rsidR="00715381" w:rsidRPr="00B3696F">
        <w:rPr>
          <w:rFonts w:cs="Times New Roman"/>
          <w:szCs w:val="24"/>
        </w:rPr>
        <w:t>su</w:t>
      </w:r>
      <w:r w:rsidR="00AC2E42" w:rsidRPr="00B3696F">
        <w:rPr>
          <w:rFonts w:cs="Times New Roman"/>
          <w:szCs w:val="24"/>
        </w:rPr>
        <w:t>gli artt. 2, 13, 14, 15 Cost.</w:t>
      </w:r>
      <w:r w:rsidR="00174792">
        <w:rPr>
          <w:rFonts w:cs="Times New Roman"/>
          <w:szCs w:val="24"/>
        </w:rPr>
        <w:t>,</w:t>
      </w:r>
      <w:r w:rsidR="007B187A" w:rsidRPr="00B3696F">
        <w:rPr>
          <w:rFonts w:cs="Times New Roman"/>
          <w:szCs w:val="24"/>
        </w:rPr>
        <w:t xml:space="preserve"> </w:t>
      </w:r>
      <w:r w:rsidR="00232A55">
        <w:rPr>
          <w:rFonts w:cs="Times New Roman"/>
          <w:szCs w:val="24"/>
        </w:rPr>
        <w:t>attribue</w:t>
      </w:r>
      <w:r w:rsidR="00174792">
        <w:rPr>
          <w:rFonts w:cs="Times New Roman"/>
          <w:szCs w:val="24"/>
        </w:rPr>
        <w:t>ndo</w:t>
      </w:r>
      <w:r w:rsidR="00232A55">
        <w:rPr>
          <w:rFonts w:cs="Times New Roman"/>
          <w:szCs w:val="24"/>
        </w:rPr>
        <w:t xml:space="preserve"> a</w:t>
      </w:r>
      <w:r w:rsidR="007B187A" w:rsidRPr="00B3696F">
        <w:rPr>
          <w:rFonts w:cs="Times New Roman"/>
          <w:szCs w:val="24"/>
        </w:rPr>
        <w:t>ll</w:t>
      </w:r>
      <w:r w:rsidR="00C241A0" w:rsidRPr="00B3696F">
        <w:rPr>
          <w:rFonts w:cs="Times New Roman"/>
          <w:szCs w:val="24"/>
        </w:rPr>
        <w:t>’</w:t>
      </w:r>
      <w:r w:rsidR="007B187A" w:rsidRPr="00B3696F">
        <w:rPr>
          <w:rFonts w:cs="Times New Roman"/>
          <w:szCs w:val="24"/>
        </w:rPr>
        <w:t xml:space="preserve">interessato </w:t>
      </w:r>
      <w:r w:rsidR="00232A55">
        <w:rPr>
          <w:rFonts w:cs="Times New Roman"/>
          <w:szCs w:val="24"/>
        </w:rPr>
        <w:t xml:space="preserve">il potere di </w:t>
      </w:r>
      <w:r w:rsidR="007B187A" w:rsidRPr="00B3696F">
        <w:rPr>
          <w:rFonts w:cs="Times New Roman"/>
          <w:szCs w:val="24"/>
        </w:rPr>
        <w:t>completa gestione delle proprie informazioni personali</w:t>
      </w:r>
      <w:r w:rsidR="00232A55">
        <w:rPr>
          <w:rFonts w:cs="Times New Roman"/>
          <w:szCs w:val="24"/>
        </w:rPr>
        <w:t>,</w:t>
      </w:r>
      <w:r w:rsidR="007B187A" w:rsidRPr="00B3696F">
        <w:rPr>
          <w:rFonts w:cs="Times New Roman"/>
          <w:szCs w:val="24"/>
        </w:rPr>
        <w:t xml:space="preserve"> </w:t>
      </w:r>
      <w:r w:rsidR="00232A55">
        <w:rPr>
          <w:rFonts w:cs="Times New Roman"/>
          <w:szCs w:val="24"/>
        </w:rPr>
        <w:t>vi</w:t>
      </w:r>
      <w:r w:rsidR="007B187A" w:rsidRPr="00B3696F">
        <w:rPr>
          <w:rFonts w:cs="Times New Roman"/>
          <w:szCs w:val="24"/>
        </w:rPr>
        <w:t>e</w:t>
      </w:r>
      <w:r w:rsidR="00232A55">
        <w:rPr>
          <w:rFonts w:cs="Times New Roman"/>
          <w:szCs w:val="24"/>
        </w:rPr>
        <w:t>tando</w:t>
      </w:r>
      <w:r w:rsidR="007B187A" w:rsidRPr="00B3696F">
        <w:rPr>
          <w:rFonts w:cs="Times New Roman"/>
          <w:szCs w:val="24"/>
        </w:rPr>
        <w:t xml:space="preserve"> </w:t>
      </w:r>
      <w:r w:rsidR="00232A55">
        <w:rPr>
          <w:rFonts w:cs="Times New Roman"/>
          <w:szCs w:val="24"/>
        </w:rPr>
        <w:t>a</w:t>
      </w:r>
      <w:r w:rsidR="007B187A" w:rsidRPr="00B3696F">
        <w:rPr>
          <w:rFonts w:cs="Times New Roman"/>
          <w:szCs w:val="24"/>
        </w:rPr>
        <w:t>i terzi</w:t>
      </w:r>
      <w:r w:rsidR="00AC2E42" w:rsidRPr="00B3696F">
        <w:rPr>
          <w:rFonts w:cs="Times New Roman"/>
          <w:szCs w:val="24"/>
        </w:rPr>
        <w:t xml:space="preserve"> d</w:t>
      </w:r>
      <w:r w:rsidR="00C241A0" w:rsidRPr="00B3696F">
        <w:rPr>
          <w:rFonts w:cs="Times New Roman"/>
          <w:szCs w:val="24"/>
        </w:rPr>
        <w:t>’</w:t>
      </w:r>
      <w:r w:rsidR="00AC2E42" w:rsidRPr="00B3696F">
        <w:rPr>
          <w:rFonts w:cs="Times New Roman"/>
          <w:szCs w:val="24"/>
        </w:rPr>
        <w:t>inger</w:t>
      </w:r>
      <w:r w:rsidR="007B187A" w:rsidRPr="00B3696F">
        <w:rPr>
          <w:rFonts w:cs="Times New Roman"/>
          <w:szCs w:val="24"/>
        </w:rPr>
        <w:t>ir</w:t>
      </w:r>
      <w:r w:rsidR="00AC2E42" w:rsidRPr="00B3696F">
        <w:rPr>
          <w:rFonts w:cs="Times New Roman"/>
          <w:szCs w:val="24"/>
        </w:rPr>
        <w:t>e</w:t>
      </w:r>
      <w:r w:rsidR="007B187A" w:rsidRPr="00B3696F">
        <w:rPr>
          <w:rFonts w:cs="Times New Roman"/>
          <w:szCs w:val="24"/>
        </w:rPr>
        <w:t xml:space="preserve"> </w:t>
      </w:r>
      <w:r w:rsidR="00AC2E42" w:rsidRPr="00B3696F">
        <w:rPr>
          <w:rFonts w:cs="Times New Roman"/>
          <w:szCs w:val="24"/>
        </w:rPr>
        <w:t>nel</w:t>
      </w:r>
      <w:r w:rsidR="007B187A" w:rsidRPr="00B3696F">
        <w:rPr>
          <w:rFonts w:cs="Times New Roman"/>
          <w:szCs w:val="24"/>
        </w:rPr>
        <w:t>l</w:t>
      </w:r>
      <w:r w:rsidR="00AC2E42" w:rsidRPr="00B3696F">
        <w:rPr>
          <w:rFonts w:cs="Times New Roman"/>
          <w:szCs w:val="24"/>
        </w:rPr>
        <w:t xml:space="preserve">o spazio privato </w:t>
      </w:r>
      <w:r w:rsidR="007B187A" w:rsidRPr="00B3696F">
        <w:rPr>
          <w:rFonts w:cs="Times New Roman"/>
          <w:szCs w:val="24"/>
        </w:rPr>
        <w:t>altrui</w:t>
      </w:r>
      <w:r w:rsidR="00A13646" w:rsidRPr="00B3696F">
        <w:rPr>
          <w:rStyle w:val="Rimandonotaapidipagina"/>
          <w:rFonts w:cs="Times New Roman"/>
          <w:szCs w:val="24"/>
        </w:rPr>
        <w:footnoteReference w:id="14"/>
      </w:r>
      <w:r w:rsidR="001759FF" w:rsidRPr="00B3696F">
        <w:rPr>
          <w:rFonts w:cs="Times New Roman"/>
          <w:szCs w:val="24"/>
        </w:rPr>
        <w:t>.</w:t>
      </w:r>
    </w:p>
    <w:p w14:paraId="72D6B711" w14:textId="58908042" w:rsidR="00A61206" w:rsidRPr="00B3696F" w:rsidRDefault="00232A55" w:rsidP="00F90AC2">
      <w:pPr>
        <w:ind w:firstLine="567"/>
        <w:rPr>
          <w:rFonts w:cs="Times New Roman"/>
          <w:szCs w:val="24"/>
        </w:rPr>
      </w:pPr>
      <w:r>
        <w:rPr>
          <w:rFonts w:cs="Times New Roman"/>
          <w:szCs w:val="24"/>
        </w:rPr>
        <w:t xml:space="preserve">Per altro, mentre </w:t>
      </w:r>
      <w:r w:rsidR="00A00949" w:rsidRPr="00B3696F">
        <w:rPr>
          <w:rFonts w:cs="Times New Roman"/>
          <w:szCs w:val="24"/>
        </w:rPr>
        <w:t xml:space="preserve">l’accesso </w:t>
      </w:r>
      <w:r w:rsidR="00C40D5D">
        <w:rPr>
          <w:rFonts w:cs="Times New Roman"/>
          <w:szCs w:val="24"/>
        </w:rPr>
        <w:t xml:space="preserve">si </w:t>
      </w:r>
      <w:r w:rsidR="00C40D5D" w:rsidRPr="00B3696F">
        <w:rPr>
          <w:rFonts w:cs="Times New Roman"/>
          <w:szCs w:val="24"/>
        </w:rPr>
        <w:t>configura</w:t>
      </w:r>
      <w:r w:rsidR="00C40D5D">
        <w:rPr>
          <w:rFonts w:cs="Times New Roman"/>
          <w:szCs w:val="24"/>
        </w:rPr>
        <w:t xml:space="preserve"> </w:t>
      </w:r>
      <w:r w:rsidR="00A00949" w:rsidRPr="00B3696F">
        <w:rPr>
          <w:rFonts w:cs="Times New Roman"/>
          <w:szCs w:val="24"/>
        </w:rPr>
        <w:t xml:space="preserve">come </w:t>
      </w:r>
      <w:r w:rsidR="00C40D5D">
        <w:rPr>
          <w:rFonts w:cs="Times New Roman"/>
          <w:szCs w:val="24"/>
        </w:rPr>
        <w:t>posizione giuridica d’</w:t>
      </w:r>
      <w:r w:rsidR="00A00949" w:rsidRPr="00B3696F">
        <w:rPr>
          <w:rFonts w:cs="Times New Roman"/>
          <w:szCs w:val="24"/>
        </w:rPr>
        <w:t xml:space="preserve">interesse legittimo </w:t>
      </w:r>
      <w:r w:rsidR="00174FDD" w:rsidRPr="00174FDD">
        <w:rPr>
          <w:rFonts w:cs="Times New Roman"/>
          <w:szCs w:val="24"/>
        </w:rPr>
        <w:t>strumentale per la tutela di situazioni sostanziali</w:t>
      </w:r>
      <w:r w:rsidR="00174FDD" w:rsidRPr="00B3696F">
        <w:rPr>
          <w:rStyle w:val="Rimandonotaapidipagina"/>
          <w:rFonts w:cs="Times New Roman"/>
          <w:szCs w:val="24"/>
        </w:rPr>
        <w:footnoteReference w:id="15"/>
      </w:r>
      <w:r w:rsidR="00174FDD">
        <w:rPr>
          <w:rFonts w:cs="Times New Roman"/>
          <w:szCs w:val="24"/>
        </w:rPr>
        <w:t xml:space="preserve">, </w:t>
      </w:r>
      <w:r w:rsidR="00A5619C" w:rsidRPr="00B3696F">
        <w:rPr>
          <w:rFonts w:cs="Times New Roman"/>
          <w:szCs w:val="24"/>
        </w:rPr>
        <w:t>devolu</w:t>
      </w:r>
      <w:r w:rsidR="00A00949" w:rsidRPr="00B3696F">
        <w:rPr>
          <w:rFonts w:cs="Times New Roman"/>
          <w:szCs w:val="24"/>
        </w:rPr>
        <w:t>t</w:t>
      </w:r>
      <w:r w:rsidR="00C40D5D">
        <w:rPr>
          <w:rFonts w:cs="Times New Roman"/>
          <w:szCs w:val="24"/>
        </w:rPr>
        <w:t>a</w:t>
      </w:r>
      <w:r w:rsidR="00A00949" w:rsidRPr="00B3696F">
        <w:rPr>
          <w:rFonts w:cs="Times New Roman"/>
          <w:szCs w:val="24"/>
        </w:rPr>
        <w:t xml:space="preserve"> alla giurisdizione amministrativa</w:t>
      </w:r>
      <w:r w:rsidR="00174792" w:rsidRPr="00174792">
        <w:rPr>
          <w:rFonts w:cs="Times New Roman"/>
          <w:szCs w:val="24"/>
        </w:rPr>
        <w:t xml:space="preserve"> </w:t>
      </w:r>
      <w:r w:rsidR="00174792">
        <w:rPr>
          <w:rFonts w:cs="Times New Roman"/>
          <w:szCs w:val="24"/>
        </w:rPr>
        <w:t>esclusiva</w:t>
      </w:r>
      <w:r w:rsidR="00A00949" w:rsidRPr="00B3696F">
        <w:rPr>
          <w:rFonts w:cs="Times New Roman"/>
          <w:szCs w:val="24"/>
        </w:rPr>
        <w:t>, l</w:t>
      </w:r>
      <w:r w:rsidR="00A61206" w:rsidRPr="00B3696F">
        <w:rPr>
          <w:rFonts w:cs="Times New Roman"/>
          <w:szCs w:val="24"/>
        </w:rPr>
        <w:t xml:space="preserve">a riservatezza </w:t>
      </w:r>
      <w:r>
        <w:rPr>
          <w:rFonts w:cs="Times New Roman"/>
          <w:szCs w:val="24"/>
        </w:rPr>
        <w:t>integra un</w:t>
      </w:r>
      <w:r w:rsidR="008B4BFA" w:rsidRPr="00B3696F">
        <w:rPr>
          <w:rFonts w:cs="Times New Roman"/>
          <w:szCs w:val="24"/>
        </w:rPr>
        <w:t xml:space="preserve"> diritto soggettivo devoluto alla cognizione</w:t>
      </w:r>
      <w:r w:rsidR="00772F79" w:rsidRPr="00B3696F">
        <w:rPr>
          <w:rFonts w:cs="Times New Roman"/>
          <w:szCs w:val="24"/>
        </w:rPr>
        <w:t xml:space="preserve"> </w:t>
      </w:r>
      <w:r w:rsidR="00880F56" w:rsidRPr="00B3696F">
        <w:rPr>
          <w:rFonts w:cs="Times New Roman"/>
          <w:szCs w:val="24"/>
        </w:rPr>
        <w:t xml:space="preserve">di un’apposita autorità </w:t>
      </w:r>
      <w:r w:rsidR="00724960" w:rsidRPr="00B3696F">
        <w:rPr>
          <w:rFonts w:cs="Times New Roman"/>
          <w:szCs w:val="24"/>
        </w:rPr>
        <w:t xml:space="preserve">garante o, in alternativa, </w:t>
      </w:r>
      <w:r w:rsidR="008B4BFA" w:rsidRPr="00B3696F">
        <w:rPr>
          <w:rFonts w:cs="Times New Roman"/>
          <w:szCs w:val="24"/>
        </w:rPr>
        <w:t xml:space="preserve">del giudice </w:t>
      </w:r>
      <w:r w:rsidR="00724960" w:rsidRPr="00B3696F">
        <w:rPr>
          <w:rFonts w:cs="Times New Roman"/>
          <w:szCs w:val="24"/>
        </w:rPr>
        <w:t>civile</w:t>
      </w:r>
      <w:r w:rsidR="00165749" w:rsidRPr="00B3696F">
        <w:rPr>
          <w:rFonts w:cs="Times New Roman"/>
          <w:szCs w:val="24"/>
        </w:rPr>
        <w:t>,</w:t>
      </w:r>
      <w:r w:rsidR="00D36422" w:rsidRPr="00B3696F">
        <w:rPr>
          <w:rFonts w:cs="Times New Roman"/>
          <w:szCs w:val="24"/>
        </w:rPr>
        <w:t xml:space="preserve"> fermo restando che la decisione dell’autorità garante non può mai vincolare il giudice, essendo priva dello </w:t>
      </w:r>
      <w:r w:rsidR="00D36422" w:rsidRPr="00B3696F">
        <w:rPr>
          <w:rFonts w:cs="Times New Roman"/>
          <w:i/>
          <w:iCs/>
          <w:szCs w:val="24"/>
        </w:rPr>
        <w:t>status</w:t>
      </w:r>
      <w:r w:rsidR="00D36422" w:rsidRPr="00B3696F">
        <w:rPr>
          <w:rFonts w:cs="Times New Roman"/>
          <w:szCs w:val="24"/>
        </w:rPr>
        <w:t xml:space="preserve"> e degli effetti di cosa giudicata</w:t>
      </w:r>
      <w:r w:rsidR="00165749" w:rsidRPr="00B3696F">
        <w:rPr>
          <w:rStyle w:val="Rimandonotaapidipagina"/>
          <w:rFonts w:cs="Times New Roman"/>
          <w:szCs w:val="24"/>
        </w:rPr>
        <w:footnoteReference w:id="16"/>
      </w:r>
      <w:r w:rsidR="00A61206" w:rsidRPr="00B3696F">
        <w:rPr>
          <w:rFonts w:cs="Times New Roman"/>
          <w:szCs w:val="24"/>
        </w:rPr>
        <w:t>.</w:t>
      </w:r>
    </w:p>
    <w:p w14:paraId="50F7D2B3" w14:textId="51AC54D1" w:rsidR="00A61206" w:rsidRDefault="00682093" w:rsidP="00F90AC2">
      <w:pPr>
        <w:ind w:firstLine="567"/>
        <w:rPr>
          <w:rFonts w:cs="Times New Roman"/>
          <w:szCs w:val="24"/>
        </w:rPr>
      </w:pPr>
      <w:r>
        <w:rPr>
          <w:rFonts w:cs="Times New Roman"/>
          <w:szCs w:val="24"/>
        </w:rPr>
        <w:lastRenderedPageBreak/>
        <w:t>I</w:t>
      </w:r>
      <w:r w:rsidR="00232A55">
        <w:rPr>
          <w:rFonts w:cs="Times New Roman"/>
          <w:szCs w:val="24"/>
        </w:rPr>
        <w:t>l</w:t>
      </w:r>
      <w:r w:rsidR="00A61206" w:rsidRPr="00B3696F">
        <w:rPr>
          <w:rFonts w:cs="Times New Roman"/>
          <w:szCs w:val="24"/>
        </w:rPr>
        <w:t xml:space="preserve"> bilanciamento tra interesse all</w:t>
      </w:r>
      <w:r w:rsidR="00C241A0" w:rsidRPr="00B3696F">
        <w:rPr>
          <w:rFonts w:cs="Times New Roman"/>
          <w:szCs w:val="24"/>
        </w:rPr>
        <w:t>’</w:t>
      </w:r>
      <w:r w:rsidR="00A61206" w:rsidRPr="00B3696F">
        <w:rPr>
          <w:rFonts w:cs="Times New Roman"/>
          <w:szCs w:val="24"/>
        </w:rPr>
        <w:t xml:space="preserve">accesso </w:t>
      </w:r>
      <w:r>
        <w:rPr>
          <w:rFonts w:cs="Times New Roman"/>
          <w:szCs w:val="24"/>
        </w:rPr>
        <w:t xml:space="preserve">procedimentale </w:t>
      </w:r>
      <w:r w:rsidR="00A61206" w:rsidRPr="00B3696F">
        <w:rPr>
          <w:rFonts w:cs="Times New Roman"/>
          <w:szCs w:val="24"/>
        </w:rPr>
        <w:t>e diritto alla riservatezza</w:t>
      </w:r>
      <w:r w:rsidR="008B4BFA" w:rsidRPr="00B3696F">
        <w:rPr>
          <w:rFonts w:cs="Times New Roman"/>
          <w:szCs w:val="24"/>
        </w:rPr>
        <w:t xml:space="preserve"> </w:t>
      </w:r>
      <w:r>
        <w:rPr>
          <w:rFonts w:cs="Times New Roman"/>
          <w:szCs w:val="24"/>
        </w:rPr>
        <w:t xml:space="preserve">è </w:t>
      </w:r>
      <w:r w:rsidR="00174792">
        <w:rPr>
          <w:rFonts w:cs="Times New Roman"/>
          <w:szCs w:val="24"/>
        </w:rPr>
        <w:t>regol</w:t>
      </w:r>
      <w:r>
        <w:rPr>
          <w:rFonts w:cs="Times New Roman"/>
          <w:szCs w:val="24"/>
        </w:rPr>
        <w:t>ato</w:t>
      </w:r>
      <w:r w:rsidR="00232A55">
        <w:rPr>
          <w:rFonts w:cs="Times New Roman"/>
          <w:szCs w:val="24"/>
        </w:rPr>
        <w:t xml:space="preserve"> da</w:t>
      </w:r>
      <w:r w:rsidR="00A5619C" w:rsidRPr="00B3696F">
        <w:rPr>
          <w:rFonts w:cs="Times New Roman"/>
          <w:szCs w:val="24"/>
        </w:rPr>
        <w:t xml:space="preserve"> </w:t>
      </w:r>
      <w:r w:rsidR="00174792">
        <w:rPr>
          <w:rFonts w:cs="Times New Roman"/>
          <w:szCs w:val="24"/>
        </w:rPr>
        <w:t>norm</w:t>
      </w:r>
      <w:r w:rsidR="00435138" w:rsidRPr="00B3696F">
        <w:rPr>
          <w:rFonts w:cs="Times New Roman"/>
          <w:szCs w:val="24"/>
        </w:rPr>
        <w:t>e</w:t>
      </w:r>
      <w:r w:rsidR="003D3FFF">
        <w:rPr>
          <w:rFonts w:cs="Times New Roman"/>
          <w:szCs w:val="24"/>
        </w:rPr>
        <w:t xml:space="preserve"> generali</w:t>
      </w:r>
      <w:r w:rsidR="008B4BFA" w:rsidRPr="00B3696F">
        <w:rPr>
          <w:rFonts w:cs="Times New Roman"/>
          <w:szCs w:val="24"/>
        </w:rPr>
        <w:t xml:space="preserve"> </w:t>
      </w:r>
      <w:r w:rsidR="003D3FFF">
        <w:rPr>
          <w:rFonts w:cs="Times New Roman"/>
          <w:szCs w:val="24"/>
        </w:rPr>
        <w:t xml:space="preserve">che tengono conto </w:t>
      </w:r>
      <w:r w:rsidR="008B4BFA" w:rsidRPr="00B3696F">
        <w:rPr>
          <w:rFonts w:cs="Times New Roman"/>
          <w:szCs w:val="24"/>
        </w:rPr>
        <w:t>della rilevanza</w:t>
      </w:r>
      <w:r w:rsidR="00A5619C" w:rsidRPr="00B3696F">
        <w:rPr>
          <w:rFonts w:cs="Times New Roman"/>
          <w:szCs w:val="24"/>
        </w:rPr>
        <w:t xml:space="preserve"> assiologica</w:t>
      </w:r>
      <w:r w:rsidR="008B4BFA" w:rsidRPr="00B3696F">
        <w:rPr>
          <w:rFonts w:cs="Times New Roman"/>
          <w:szCs w:val="24"/>
        </w:rPr>
        <w:t xml:space="preserve"> </w:t>
      </w:r>
      <w:r w:rsidR="00A5619C" w:rsidRPr="00B3696F">
        <w:rPr>
          <w:rFonts w:cs="Times New Roman"/>
          <w:szCs w:val="24"/>
        </w:rPr>
        <w:t>de</w:t>
      </w:r>
      <w:r w:rsidR="008B4BFA" w:rsidRPr="00B3696F">
        <w:rPr>
          <w:rFonts w:cs="Times New Roman"/>
          <w:szCs w:val="24"/>
        </w:rPr>
        <w:t>lle posizioni giuridiche</w:t>
      </w:r>
      <w:r w:rsidR="00A5619C" w:rsidRPr="00B3696F">
        <w:rPr>
          <w:rFonts w:cs="Times New Roman"/>
          <w:szCs w:val="24"/>
        </w:rPr>
        <w:t xml:space="preserve"> </w:t>
      </w:r>
      <w:r w:rsidR="003D3FFF">
        <w:rPr>
          <w:rFonts w:cs="Times New Roman"/>
          <w:szCs w:val="24"/>
        </w:rPr>
        <w:t>con</w:t>
      </w:r>
      <w:r w:rsidR="005E26C0">
        <w:rPr>
          <w:rFonts w:cs="Times New Roman"/>
          <w:szCs w:val="24"/>
        </w:rPr>
        <w:t>trapposte</w:t>
      </w:r>
      <w:r w:rsidR="00715381" w:rsidRPr="00B3696F">
        <w:rPr>
          <w:rStyle w:val="Rimandonotaapidipagina"/>
          <w:rFonts w:cs="Times New Roman"/>
          <w:szCs w:val="24"/>
        </w:rPr>
        <w:footnoteReference w:id="17"/>
      </w:r>
      <w:r w:rsidR="008B4BFA" w:rsidRPr="00B3696F">
        <w:rPr>
          <w:rFonts w:cs="Times New Roman"/>
          <w:szCs w:val="24"/>
        </w:rPr>
        <w:t>.</w:t>
      </w:r>
    </w:p>
    <w:p w14:paraId="47FF6CE9" w14:textId="0D04F727" w:rsidR="002F2EB7" w:rsidRDefault="002F2EB7" w:rsidP="002F2EB7">
      <w:pPr>
        <w:ind w:firstLine="567"/>
        <w:rPr>
          <w:rFonts w:cs="Times New Roman"/>
          <w:szCs w:val="24"/>
        </w:rPr>
      </w:pPr>
      <w:r>
        <w:rPr>
          <w:rFonts w:cs="Times New Roman"/>
          <w:szCs w:val="24"/>
        </w:rPr>
        <w:t>Perché si possa procedere a</w:t>
      </w:r>
      <w:r w:rsidR="005E26C0">
        <w:rPr>
          <w:rFonts w:cs="Times New Roman"/>
          <w:szCs w:val="24"/>
        </w:rPr>
        <w:t>ll’accesso documentale</w:t>
      </w:r>
      <w:r w:rsidR="005E26C0" w:rsidRPr="00B3696F">
        <w:rPr>
          <w:rFonts w:cs="Times New Roman"/>
          <w:szCs w:val="24"/>
        </w:rPr>
        <w:t xml:space="preserve">, </w:t>
      </w:r>
      <w:r w:rsidRPr="00B3696F">
        <w:rPr>
          <w:rFonts w:cs="Times New Roman"/>
          <w:szCs w:val="24"/>
        </w:rPr>
        <w:t>la legge n. 241</w:t>
      </w:r>
      <w:r w:rsidR="00EF0EC1">
        <w:rPr>
          <w:rFonts w:cs="Times New Roman"/>
          <w:szCs w:val="24"/>
        </w:rPr>
        <w:t xml:space="preserve"> del </w:t>
      </w:r>
      <w:r w:rsidRPr="00B3696F">
        <w:rPr>
          <w:rFonts w:cs="Times New Roman"/>
          <w:szCs w:val="24"/>
        </w:rPr>
        <w:t>1990</w:t>
      </w:r>
      <w:r>
        <w:rPr>
          <w:rFonts w:cs="Times New Roman"/>
          <w:szCs w:val="24"/>
        </w:rPr>
        <w:t xml:space="preserve"> pone tre condizioni</w:t>
      </w:r>
      <w:r w:rsidR="00D2763E" w:rsidRPr="00D2763E">
        <w:rPr>
          <w:rFonts w:cs="Times New Roman"/>
          <w:szCs w:val="24"/>
        </w:rPr>
        <w:t xml:space="preserve"> </w:t>
      </w:r>
      <w:r w:rsidR="00D2763E">
        <w:rPr>
          <w:rFonts w:cs="Times New Roman"/>
          <w:szCs w:val="24"/>
        </w:rPr>
        <w:t>di base</w:t>
      </w:r>
      <w:r>
        <w:rPr>
          <w:rFonts w:cs="Times New Roman"/>
          <w:szCs w:val="24"/>
        </w:rPr>
        <w:t>:</w:t>
      </w:r>
    </w:p>
    <w:p w14:paraId="46B65772" w14:textId="71A7DEDD" w:rsidR="002F2EB7" w:rsidRPr="00B3696F" w:rsidRDefault="002F2EB7" w:rsidP="002F2EB7">
      <w:pPr>
        <w:ind w:firstLine="567"/>
        <w:rPr>
          <w:rFonts w:cs="Times New Roman"/>
          <w:szCs w:val="24"/>
        </w:rPr>
      </w:pPr>
      <w:r>
        <w:rPr>
          <w:rFonts w:cs="Times New Roman"/>
          <w:szCs w:val="24"/>
        </w:rPr>
        <w:t>-</w:t>
      </w:r>
      <w:r w:rsidRPr="00B3696F">
        <w:rPr>
          <w:rFonts w:cs="Times New Roman"/>
          <w:szCs w:val="24"/>
        </w:rPr>
        <w:t xml:space="preserve"> “la richiesta di accesso ai documenti deve essere motivata”</w:t>
      </w:r>
      <w:r>
        <w:rPr>
          <w:rFonts w:cs="Times New Roman"/>
          <w:szCs w:val="24"/>
        </w:rPr>
        <w:t xml:space="preserve"> (</w:t>
      </w:r>
      <w:r w:rsidRPr="00B3696F">
        <w:rPr>
          <w:rFonts w:cs="Times New Roman"/>
          <w:szCs w:val="24"/>
        </w:rPr>
        <w:t>art. 25, comma 2</w:t>
      </w:r>
      <w:r>
        <w:rPr>
          <w:rFonts w:cs="Times New Roman"/>
          <w:szCs w:val="24"/>
        </w:rPr>
        <w:t>);</w:t>
      </w:r>
    </w:p>
    <w:p w14:paraId="5DEDA511" w14:textId="0C426E52" w:rsidR="002F2EB7" w:rsidRPr="002F2EB7" w:rsidRDefault="002F2EB7" w:rsidP="002F2EB7">
      <w:pPr>
        <w:ind w:firstLine="567"/>
        <w:rPr>
          <w:rFonts w:cs="Times New Roman"/>
          <w:szCs w:val="24"/>
        </w:rPr>
      </w:pPr>
      <w:r>
        <w:rPr>
          <w:rFonts w:cs="Times New Roman"/>
          <w:szCs w:val="24"/>
        </w:rPr>
        <w:t xml:space="preserve">- </w:t>
      </w:r>
      <w:r w:rsidRPr="002F2EB7">
        <w:rPr>
          <w:rFonts w:cs="Times New Roman"/>
          <w:szCs w:val="24"/>
        </w:rPr>
        <w:t>“non sono ammissibili istanze di accesso preordinate ad un controllo generalizzato dell’operato delle pubbliche amministrazioni”</w:t>
      </w:r>
      <w:r>
        <w:rPr>
          <w:rFonts w:cs="Times New Roman"/>
          <w:szCs w:val="24"/>
        </w:rPr>
        <w:t xml:space="preserve"> (</w:t>
      </w:r>
      <w:r w:rsidRPr="00B3696F">
        <w:rPr>
          <w:rFonts w:cs="Times New Roman"/>
          <w:szCs w:val="24"/>
        </w:rPr>
        <w:t>art. 24, comma 3</w:t>
      </w:r>
      <w:r>
        <w:rPr>
          <w:rFonts w:cs="Times New Roman"/>
          <w:szCs w:val="24"/>
        </w:rPr>
        <w:t>)</w:t>
      </w:r>
      <w:r w:rsidRPr="002F2EB7">
        <w:rPr>
          <w:rFonts w:cs="Times New Roman"/>
          <w:szCs w:val="24"/>
        </w:rPr>
        <w:t>;</w:t>
      </w:r>
    </w:p>
    <w:p w14:paraId="0A419750" w14:textId="515741E4" w:rsidR="002F2EB7" w:rsidRPr="00B3696F" w:rsidRDefault="002F2EB7" w:rsidP="002F2EB7">
      <w:pPr>
        <w:ind w:firstLine="567"/>
        <w:rPr>
          <w:rFonts w:cs="Times New Roman"/>
          <w:szCs w:val="24"/>
        </w:rPr>
      </w:pPr>
      <w:r>
        <w:rPr>
          <w:rFonts w:cs="Times New Roman"/>
          <w:szCs w:val="24"/>
        </w:rPr>
        <w:t>-</w:t>
      </w:r>
      <w:r w:rsidRPr="00B3696F">
        <w:rPr>
          <w:rFonts w:cs="Times New Roman"/>
          <w:szCs w:val="24"/>
        </w:rPr>
        <w:t xml:space="preserve"> “non sono accessibili le informazioni in possesso di una pubblica amministrazione che non abbiano forma di documento amministrativo, salvo quanto previsto dal d.lgs. n. 196 del 2003, in materia di accesso a dati personali da parte della persona cui i dati si riferiscono”</w:t>
      </w:r>
      <w:r>
        <w:rPr>
          <w:rFonts w:cs="Times New Roman"/>
          <w:szCs w:val="24"/>
        </w:rPr>
        <w:t xml:space="preserve"> (</w:t>
      </w:r>
      <w:r w:rsidRPr="00B3696F">
        <w:rPr>
          <w:rFonts w:cs="Times New Roman"/>
          <w:szCs w:val="24"/>
        </w:rPr>
        <w:t>art. 22, comma 4</w:t>
      </w:r>
      <w:r>
        <w:rPr>
          <w:rFonts w:cs="Times New Roman"/>
          <w:szCs w:val="24"/>
        </w:rPr>
        <w:t>)</w:t>
      </w:r>
      <w:r w:rsidRPr="00B3696F">
        <w:rPr>
          <w:rFonts w:cs="Times New Roman"/>
          <w:szCs w:val="24"/>
        </w:rPr>
        <w:t>.</w:t>
      </w:r>
    </w:p>
    <w:p w14:paraId="11568F70" w14:textId="0EEA7115" w:rsidR="002F2EB7" w:rsidRPr="00B3696F" w:rsidRDefault="002F2EB7" w:rsidP="002F2EB7">
      <w:pPr>
        <w:ind w:firstLine="567"/>
        <w:rPr>
          <w:rFonts w:cs="Times New Roman"/>
          <w:szCs w:val="24"/>
        </w:rPr>
      </w:pPr>
      <w:r w:rsidRPr="00B3696F">
        <w:rPr>
          <w:rFonts w:cs="Times New Roman"/>
          <w:szCs w:val="24"/>
        </w:rPr>
        <w:t>Il combinato disposto di queste norme pone in luce come</w:t>
      </w:r>
      <w:r w:rsidRPr="00204C2F">
        <w:rPr>
          <w:rFonts w:cs="Times New Roman"/>
          <w:szCs w:val="24"/>
        </w:rPr>
        <w:t xml:space="preserve"> </w:t>
      </w:r>
      <w:r>
        <w:rPr>
          <w:rFonts w:cs="Times New Roman"/>
          <w:szCs w:val="24"/>
        </w:rPr>
        <w:t>l’</w:t>
      </w:r>
      <w:r w:rsidRPr="00B3696F">
        <w:rPr>
          <w:rFonts w:cs="Times New Roman"/>
          <w:szCs w:val="24"/>
        </w:rPr>
        <w:t>istanz</w:t>
      </w:r>
      <w:r>
        <w:rPr>
          <w:rFonts w:cs="Times New Roman"/>
          <w:szCs w:val="24"/>
        </w:rPr>
        <w:t>a</w:t>
      </w:r>
      <w:r w:rsidRPr="00B3696F">
        <w:rPr>
          <w:rFonts w:cs="Times New Roman"/>
          <w:szCs w:val="24"/>
        </w:rPr>
        <w:t xml:space="preserve"> di accesso</w:t>
      </w:r>
      <w:r>
        <w:rPr>
          <w:rFonts w:cs="Times New Roman"/>
          <w:szCs w:val="24"/>
        </w:rPr>
        <w:t>, per essere ammissibile e, conseguentemente, posta in comparazione con i</w:t>
      </w:r>
      <w:r w:rsidRPr="00B3696F">
        <w:rPr>
          <w:rFonts w:cs="Times New Roman"/>
          <w:szCs w:val="24"/>
        </w:rPr>
        <w:t>l</w:t>
      </w:r>
      <w:r>
        <w:rPr>
          <w:rFonts w:cs="Times New Roman"/>
          <w:szCs w:val="24"/>
        </w:rPr>
        <w:t xml:space="preserve"> diritto all</w:t>
      </w:r>
      <w:r w:rsidRPr="00B3696F">
        <w:rPr>
          <w:rFonts w:cs="Times New Roman"/>
          <w:szCs w:val="24"/>
        </w:rPr>
        <w:t>a riservatezza</w:t>
      </w:r>
      <w:r>
        <w:rPr>
          <w:rFonts w:cs="Times New Roman"/>
          <w:szCs w:val="24"/>
        </w:rPr>
        <w:t>,</w:t>
      </w:r>
      <w:r w:rsidRPr="00B3696F">
        <w:rPr>
          <w:rFonts w:cs="Times New Roman"/>
          <w:szCs w:val="24"/>
        </w:rPr>
        <w:t xml:space="preserve"> </w:t>
      </w:r>
      <w:r>
        <w:rPr>
          <w:rFonts w:cs="Times New Roman"/>
          <w:szCs w:val="24"/>
        </w:rPr>
        <w:t>de</w:t>
      </w:r>
      <w:r w:rsidR="00174792">
        <w:rPr>
          <w:rFonts w:cs="Times New Roman"/>
          <w:szCs w:val="24"/>
        </w:rPr>
        <w:t>ve</w:t>
      </w:r>
      <w:r>
        <w:rPr>
          <w:rFonts w:cs="Times New Roman"/>
          <w:szCs w:val="24"/>
        </w:rPr>
        <w:t xml:space="preserve"> rispondere a requisiti di serietà</w:t>
      </w:r>
      <w:r w:rsidRPr="00B3696F">
        <w:rPr>
          <w:rFonts w:cs="Times New Roman"/>
          <w:szCs w:val="24"/>
        </w:rPr>
        <w:t xml:space="preserve">, </w:t>
      </w:r>
      <w:r>
        <w:rPr>
          <w:rFonts w:cs="Times New Roman"/>
          <w:szCs w:val="24"/>
        </w:rPr>
        <w:t xml:space="preserve">in quanto: </w:t>
      </w:r>
      <w:r w:rsidRPr="005116E6">
        <w:rPr>
          <w:rFonts w:cs="Times New Roman"/>
          <w:i/>
          <w:iCs/>
          <w:szCs w:val="24"/>
        </w:rPr>
        <w:t>a)</w:t>
      </w:r>
      <w:r>
        <w:rPr>
          <w:rFonts w:cs="Times New Roman"/>
          <w:szCs w:val="24"/>
        </w:rPr>
        <w:t xml:space="preserve"> </w:t>
      </w:r>
      <w:r w:rsidRPr="00B3696F">
        <w:rPr>
          <w:rFonts w:cs="Times New Roman"/>
          <w:szCs w:val="24"/>
        </w:rPr>
        <w:t>funzional</w:t>
      </w:r>
      <w:r>
        <w:rPr>
          <w:rFonts w:cs="Times New Roman"/>
          <w:szCs w:val="24"/>
        </w:rPr>
        <w:t>e</w:t>
      </w:r>
      <w:r w:rsidRPr="00B3696F">
        <w:rPr>
          <w:rFonts w:cs="Times New Roman"/>
          <w:szCs w:val="24"/>
        </w:rPr>
        <w:t xml:space="preserve"> alla tutela di interessi qualificati </w:t>
      </w:r>
      <w:r w:rsidR="00F15E3B">
        <w:rPr>
          <w:rFonts w:cs="Times New Roman"/>
          <w:szCs w:val="24"/>
        </w:rPr>
        <w:t>(</w:t>
      </w:r>
      <w:r w:rsidRPr="00B3696F">
        <w:rPr>
          <w:rFonts w:cs="Times New Roman"/>
          <w:szCs w:val="24"/>
        </w:rPr>
        <w:t>e non adespoti o di mero fatto</w:t>
      </w:r>
      <w:r w:rsidR="00F15E3B">
        <w:rPr>
          <w:rFonts w:cs="Times New Roman"/>
          <w:szCs w:val="24"/>
        </w:rPr>
        <w:t>)</w:t>
      </w:r>
      <w:r>
        <w:rPr>
          <w:rFonts w:cs="Times New Roman"/>
          <w:szCs w:val="24"/>
        </w:rPr>
        <w:t xml:space="preserve">; </w:t>
      </w:r>
      <w:r w:rsidRPr="005116E6">
        <w:rPr>
          <w:rFonts w:cs="Times New Roman"/>
          <w:i/>
          <w:iCs/>
          <w:szCs w:val="24"/>
        </w:rPr>
        <w:t>b)</w:t>
      </w:r>
      <w:r>
        <w:rPr>
          <w:rFonts w:cs="Times New Roman"/>
          <w:szCs w:val="24"/>
        </w:rPr>
        <w:t xml:space="preserve"> argomentata e non </w:t>
      </w:r>
      <w:r w:rsidRPr="00B3696F">
        <w:rPr>
          <w:rFonts w:cs="Times New Roman"/>
          <w:szCs w:val="24"/>
        </w:rPr>
        <w:t>generic</w:t>
      </w:r>
      <w:r>
        <w:rPr>
          <w:rFonts w:cs="Times New Roman"/>
          <w:szCs w:val="24"/>
        </w:rPr>
        <w:t xml:space="preserve">a; </w:t>
      </w:r>
      <w:r w:rsidRPr="005116E6">
        <w:rPr>
          <w:rFonts w:cs="Times New Roman"/>
          <w:i/>
          <w:iCs/>
          <w:szCs w:val="24"/>
        </w:rPr>
        <w:t>c)</w:t>
      </w:r>
      <w:r>
        <w:rPr>
          <w:rFonts w:cs="Times New Roman"/>
          <w:szCs w:val="24"/>
        </w:rPr>
        <w:t xml:space="preserve"> riguardante </w:t>
      </w:r>
      <w:r w:rsidRPr="00B3696F">
        <w:rPr>
          <w:rFonts w:cs="Times New Roman"/>
          <w:szCs w:val="24"/>
        </w:rPr>
        <w:t xml:space="preserve">documenti precostituiti e non </w:t>
      </w:r>
      <w:r>
        <w:rPr>
          <w:rFonts w:cs="Times New Roman"/>
          <w:szCs w:val="24"/>
        </w:rPr>
        <w:t xml:space="preserve">semplici </w:t>
      </w:r>
      <w:r w:rsidRPr="00B3696F">
        <w:rPr>
          <w:rFonts w:cs="Times New Roman"/>
          <w:szCs w:val="24"/>
        </w:rPr>
        <w:t>dati grezzi</w:t>
      </w:r>
      <w:r w:rsidRPr="00B3696F">
        <w:rPr>
          <w:rStyle w:val="Rimandonotaapidipagina"/>
          <w:rFonts w:cs="Times New Roman"/>
          <w:szCs w:val="24"/>
        </w:rPr>
        <w:footnoteReference w:id="18"/>
      </w:r>
      <w:r w:rsidRPr="00B3696F">
        <w:rPr>
          <w:rFonts w:cs="Times New Roman"/>
          <w:szCs w:val="24"/>
        </w:rPr>
        <w:t>.</w:t>
      </w:r>
    </w:p>
    <w:p w14:paraId="3968F56C" w14:textId="35D301C7" w:rsidR="005E26C0" w:rsidRDefault="002F2EB7" w:rsidP="005E26C0">
      <w:pPr>
        <w:ind w:firstLine="567"/>
        <w:rPr>
          <w:rFonts w:cs="Times New Roman"/>
          <w:szCs w:val="24"/>
        </w:rPr>
      </w:pPr>
      <w:r>
        <w:rPr>
          <w:rFonts w:cs="Times New Roman"/>
          <w:szCs w:val="24"/>
        </w:rPr>
        <w:t xml:space="preserve">Superata </w:t>
      </w:r>
      <w:r w:rsidR="00C03B5F">
        <w:rPr>
          <w:rFonts w:cs="Times New Roman"/>
          <w:szCs w:val="24"/>
        </w:rPr>
        <w:t xml:space="preserve">la </w:t>
      </w:r>
      <w:r>
        <w:rPr>
          <w:rFonts w:cs="Times New Roman"/>
          <w:szCs w:val="24"/>
        </w:rPr>
        <w:t>verifica</w:t>
      </w:r>
      <w:r w:rsidR="00C03B5F">
        <w:rPr>
          <w:rFonts w:cs="Times New Roman"/>
          <w:szCs w:val="24"/>
        </w:rPr>
        <w:t xml:space="preserve"> sull’ammissibilità dell’istanza di accesso</w:t>
      </w:r>
      <w:r>
        <w:rPr>
          <w:rFonts w:cs="Times New Roman"/>
          <w:szCs w:val="24"/>
        </w:rPr>
        <w:t xml:space="preserve">, </w:t>
      </w:r>
      <w:r w:rsidR="00C03B5F">
        <w:rPr>
          <w:rFonts w:cs="Times New Roman"/>
          <w:szCs w:val="24"/>
        </w:rPr>
        <w:t xml:space="preserve">l’amministrazione deve </w:t>
      </w:r>
      <w:r>
        <w:rPr>
          <w:rFonts w:cs="Times New Roman"/>
          <w:szCs w:val="24"/>
        </w:rPr>
        <w:t>procedere al</w:t>
      </w:r>
      <w:r w:rsidR="005E26C0">
        <w:rPr>
          <w:rFonts w:cs="Times New Roman"/>
          <w:szCs w:val="24"/>
        </w:rPr>
        <w:t xml:space="preserve"> bilanciamento</w:t>
      </w:r>
      <w:r w:rsidR="00F15E3B">
        <w:rPr>
          <w:rFonts w:cs="Times New Roman"/>
          <w:szCs w:val="24"/>
        </w:rPr>
        <w:t xml:space="preserve"> </w:t>
      </w:r>
      <w:r w:rsidR="00C03B5F">
        <w:rPr>
          <w:rFonts w:cs="Times New Roman"/>
          <w:szCs w:val="24"/>
        </w:rPr>
        <w:t>tra le posizioni giuridiche soggettive</w:t>
      </w:r>
      <w:r>
        <w:rPr>
          <w:rFonts w:cs="Times New Roman"/>
          <w:szCs w:val="24"/>
        </w:rPr>
        <w:t>, che</w:t>
      </w:r>
      <w:r w:rsidR="005E26C0">
        <w:rPr>
          <w:rFonts w:cs="Times New Roman"/>
          <w:szCs w:val="24"/>
        </w:rPr>
        <w:t xml:space="preserve"> </w:t>
      </w:r>
      <w:r w:rsidR="00F15E3B">
        <w:rPr>
          <w:rFonts w:cs="Times New Roman"/>
          <w:szCs w:val="24"/>
        </w:rPr>
        <w:t>sconta</w:t>
      </w:r>
      <w:r>
        <w:rPr>
          <w:rFonts w:cs="Times New Roman"/>
          <w:szCs w:val="24"/>
        </w:rPr>
        <w:t xml:space="preserve"> una disciplina differenziata, a seconda che il </w:t>
      </w:r>
      <w:r w:rsidR="005E26C0" w:rsidRPr="00B3696F">
        <w:rPr>
          <w:rFonts w:cs="Times New Roman"/>
          <w:szCs w:val="24"/>
        </w:rPr>
        <w:t>document</w:t>
      </w:r>
      <w:r>
        <w:rPr>
          <w:rFonts w:cs="Times New Roman"/>
          <w:szCs w:val="24"/>
        </w:rPr>
        <w:t>o r</w:t>
      </w:r>
      <w:r w:rsidR="005E26C0" w:rsidRPr="00B3696F">
        <w:rPr>
          <w:rFonts w:cs="Times New Roman"/>
          <w:szCs w:val="24"/>
        </w:rPr>
        <w:t>i</w:t>
      </w:r>
      <w:r>
        <w:rPr>
          <w:rFonts w:cs="Times New Roman"/>
          <w:szCs w:val="24"/>
        </w:rPr>
        <w:t>chiesto</w:t>
      </w:r>
      <w:r w:rsidR="005E26C0" w:rsidRPr="00020128">
        <w:rPr>
          <w:rFonts w:cs="Times New Roman"/>
          <w:szCs w:val="24"/>
        </w:rPr>
        <w:t xml:space="preserve"> </w:t>
      </w:r>
      <w:r>
        <w:rPr>
          <w:rFonts w:cs="Times New Roman"/>
          <w:szCs w:val="24"/>
        </w:rPr>
        <w:t>contenga</w:t>
      </w:r>
      <w:r w:rsidR="0027773B" w:rsidRPr="0027773B">
        <w:rPr>
          <w:rFonts w:cs="Times New Roman"/>
          <w:szCs w:val="24"/>
        </w:rPr>
        <w:t xml:space="preserve"> </w:t>
      </w:r>
      <w:r w:rsidR="0027773B" w:rsidRPr="00B3696F">
        <w:rPr>
          <w:rFonts w:cs="Times New Roman"/>
          <w:szCs w:val="24"/>
        </w:rPr>
        <w:t xml:space="preserve">meri dati </w:t>
      </w:r>
      <w:r w:rsidR="0027773B" w:rsidRPr="00B3696F">
        <w:rPr>
          <w:rFonts w:cs="Times New Roman"/>
          <w:i/>
          <w:iCs/>
          <w:szCs w:val="24"/>
        </w:rPr>
        <w:t>personali</w:t>
      </w:r>
      <w:r w:rsidR="0027773B">
        <w:rPr>
          <w:rFonts w:cs="Times New Roman"/>
          <w:szCs w:val="24"/>
        </w:rPr>
        <w:t xml:space="preserve">, </w:t>
      </w:r>
      <w:r w:rsidR="0027773B" w:rsidRPr="00B3696F">
        <w:rPr>
          <w:rFonts w:cs="Times New Roman"/>
          <w:szCs w:val="24"/>
        </w:rPr>
        <w:t xml:space="preserve">dati </w:t>
      </w:r>
      <w:r w:rsidR="0027773B" w:rsidRPr="00B3696F">
        <w:rPr>
          <w:rFonts w:cs="Times New Roman"/>
          <w:i/>
          <w:iCs/>
          <w:szCs w:val="24"/>
        </w:rPr>
        <w:t>sensibili</w:t>
      </w:r>
      <w:r w:rsidR="00F15E3B">
        <w:rPr>
          <w:rFonts w:cs="Times New Roman"/>
          <w:szCs w:val="24"/>
        </w:rPr>
        <w:t>, o</w:t>
      </w:r>
      <w:r w:rsidR="0027773B">
        <w:rPr>
          <w:rFonts w:cs="Times New Roman"/>
          <w:szCs w:val="24"/>
        </w:rPr>
        <w:t>vvero</w:t>
      </w:r>
      <w:r w:rsidR="0027773B" w:rsidRPr="0027773B">
        <w:rPr>
          <w:rFonts w:cs="Times New Roman"/>
          <w:szCs w:val="24"/>
        </w:rPr>
        <w:t xml:space="preserve"> </w:t>
      </w:r>
      <w:r w:rsidR="0027773B" w:rsidRPr="00B3696F">
        <w:rPr>
          <w:rFonts w:cs="Times New Roman"/>
          <w:szCs w:val="24"/>
        </w:rPr>
        <w:t xml:space="preserve">dati </w:t>
      </w:r>
      <w:r w:rsidR="0027773B" w:rsidRPr="00B3696F">
        <w:rPr>
          <w:rFonts w:cs="Times New Roman"/>
          <w:i/>
          <w:iCs/>
          <w:szCs w:val="24"/>
        </w:rPr>
        <w:t>super</w:t>
      </w:r>
      <w:r w:rsidR="00223035">
        <w:rPr>
          <w:rFonts w:cs="Times New Roman"/>
          <w:i/>
          <w:iCs/>
          <w:szCs w:val="24"/>
        </w:rPr>
        <w:t>-</w:t>
      </w:r>
      <w:r w:rsidR="0027773B" w:rsidRPr="00B3696F">
        <w:rPr>
          <w:rFonts w:cs="Times New Roman"/>
          <w:i/>
          <w:iCs/>
          <w:szCs w:val="24"/>
        </w:rPr>
        <w:t>sensibili</w:t>
      </w:r>
      <w:r w:rsidR="0027773B" w:rsidRPr="00B3696F">
        <w:rPr>
          <w:rFonts w:cs="Times New Roman"/>
          <w:szCs w:val="24"/>
        </w:rPr>
        <w:t xml:space="preserve"> </w:t>
      </w:r>
      <w:r w:rsidR="0027773B">
        <w:rPr>
          <w:rFonts w:cs="Times New Roman"/>
          <w:szCs w:val="24"/>
        </w:rPr>
        <w:t>o</w:t>
      </w:r>
      <w:r w:rsidR="0027773B" w:rsidRPr="00B3696F">
        <w:rPr>
          <w:rFonts w:cs="Times New Roman"/>
          <w:szCs w:val="24"/>
        </w:rPr>
        <w:t xml:space="preserve"> </w:t>
      </w:r>
      <w:r w:rsidR="0027773B" w:rsidRPr="00B3696F">
        <w:rPr>
          <w:rFonts w:cs="Times New Roman"/>
          <w:i/>
          <w:iCs/>
          <w:szCs w:val="24"/>
        </w:rPr>
        <w:t>giudiziari</w:t>
      </w:r>
      <w:r w:rsidR="0027773B" w:rsidRPr="0027773B">
        <w:rPr>
          <w:rFonts w:cs="Times New Roman"/>
          <w:szCs w:val="24"/>
        </w:rPr>
        <w:t>.</w:t>
      </w:r>
    </w:p>
    <w:p w14:paraId="490553BC" w14:textId="1683F9A2" w:rsidR="00AD5DF0" w:rsidRDefault="00AD5DF0" w:rsidP="005E26C0">
      <w:pPr>
        <w:ind w:firstLine="567"/>
        <w:rPr>
          <w:rFonts w:cs="Times New Roman"/>
          <w:szCs w:val="24"/>
        </w:rPr>
      </w:pPr>
      <w:r>
        <w:rPr>
          <w:rFonts w:cs="Times New Roman"/>
          <w:szCs w:val="24"/>
        </w:rPr>
        <w:t xml:space="preserve">Le regole </w:t>
      </w:r>
      <w:r w:rsidR="00223035">
        <w:rPr>
          <w:rFonts w:cs="Times New Roman"/>
          <w:szCs w:val="24"/>
        </w:rPr>
        <w:t>che presidiano il</w:t>
      </w:r>
      <w:r>
        <w:rPr>
          <w:rFonts w:cs="Times New Roman"/>
          <w:szCs w:val="24"/>
        </w:rPr>
        <w:t xml:space="preserve"> bilanciamento </w:t>
      </w:r>
      <w:r w:rsidR="00223035">
        <w:rPr>
          <w:rFonts w:cs="Times New Roman"/>
          <w:szCs w:val="24"/>
        </w:rPr>
        <w:t xml:space="preserve">trovano </w:t>
      </w:r>
      <w:r w:rsidR="00463825">
        <w:rPr>
          <w:rFonts w:cs="Times New Roman"/>
          <w:szCs w:val="24"/>
        </w:rPr>
        <w:t xml:space="preserve">la loro </w:t>
      </w:r>
      <w:r w:rsidR="00223035">
        <w:rPr>
          <w:rFonts w:cs="Times New Roman"/>
          <w:szCs w:val="24"/>
        </w:rPr>
        <w:t xml:space="preserve">fonte </w:t>
      </w:r>
      <w:r w:rsidR="00463825">
        <w:rPr>
          <w:rFonts w:cs="Times New Roman"/>
          <w:szCs w:val="24"/>
        </w:rPr>
        <w:t xml:space="preserve">principale </w:t>
      </w:r>
      <w:r w:rsidR="00223035">
        <w:rPr>
          <w:rFonts w:cs="Times New Roman"/>
          <w:szCs w:val="24"/>
        </w:rPr>
        <w:t xml:space="preserve">nella legge n. 241/1990 e </w:t>
      </w:r>
      <w:r>
        <w:rPr>
          <w:rFonts w:cs="Times New Roman"/>
          <w:szCs w:val="24"/>
        </w:rPr>
        <w:t>possono essere riassunte come segue.</w:t>
      </w:r>
    </w:p>
    <w:p w14:paraId="0A9C0296" w14:textId="600C66C9" w:rsidR="005E26C0" w:rsidRDefault="0027773B" w:rsidP="005E26C0">
      <w:pPr>
        <w:ind w:firstLine="567"/>
        <w:rPr>
          <w:rFonts w:cs="Times New Roman"/>
          <w:szCs w:val="24"/>
        </w:rPr>
      </w:pPr>
      <w:r>
        <w:rPr>
          <w:rFonts w:cs="Times New Roman"/>
          <w:szCs w:val="24"/>
        </w:rPr>
        <w:t xml:space="preserve">Ai fini del rilascio di documenti recanti </w:t>
      </w:r>
      <w:r w:rsidRPr="00B3696F">
        <w:rPr>
          <w:rFonts w:cs="Times New Roman"/>
          <w:szCs w:val="24"/>
        </w:rPr>
        <w:t xml:space="preserve">meri dati </w:t>
      </w:r>
      <w:r w:rsidRPr="00B3696F">
        <w:rPr>
          <w:rFonts w:cs="Times New Roman"/>
          <w:i/>
          <w:iCs/>
          <w:szCs w:val="24"/>
        </w:rPr>
        <w:t>personali</w:t>
      </w:r>
      <w:r w:rsidR="005E26C0" w:rsidRPr="00B3696F">
        <w:rPr>
          <w:rFonts w:cs="Times New Roman"/>
          <w:szCs w:val="24"/>
        </w:rPr>
        <w:t xml:space="preserve">, </w:t>
      </w:r>
      <w:r w:rsidR="00F15E3B">
        <w:rPr>
          <w:rFonts w:cs="Times New Roman"/>
          <w:szCs w:val="24"/>
        </w:rPr>
        <w:t xml:space="preserve">al richiedente </w:t>
      </w:r>
      <w:r>
        <w:rPr>
          <w:rFonts w:cs="Times New Roman"/>
          <w:szCs w:val="24"/>
        </w:rPr>
        <w:t xml:space="preserve">è sufficiente </w:t>
      </w:r>
      <w:r w:rsidR="005E26C0" w:rsidRPr="00B3696F">
        <w:rPr>
          <w:rFonts w:cs="Times New Roman"/>
          <w:szCs w:val="24"/>
        </w:rPr>
        <w:t>dimostrare un interesse diretto</w:t>
      </w:r>
      <w:r w:rsidR="0007382D" w:rsidRPr="00B3696F">
        <w:rPr>
          <w:rFonts w:cs="Times New Roman"/>
          <w:szCs w:val="24"/>
        </w:rPr>
        <w:t>, concreto e</w:t>
      </w:r>
      <w:r w:rsidR="00463825">
        <w:rPr>
          <w:rFonts w:cs="Times New Roman"/>
          <w:szCs w:val="24"/>
        </w:rPr>
        <w:t>d</w:t>
      </w:r>
      <w:r w:rsidR="0007382D" w:rsidRPr="00B3696F">
        <w:rPr>
          <w:rFonts w:cs="Times New Roman"/>
          <w:szCs w:val="24"/>
        </w:rPr>
        <w:t xml:space="preserve"> attuale</w:t>
      </w:r>
      <w:r w:rsidR="0007382D">
        <w:rPr>
          <w:rFonts w:cs="Times New Roman"/>
          <w:szCs w:val="24"/>
        </w:rPr>
        <w:t xml:space="preserve"> alla conoscenza dell’atto</w:t>
      </w:r>
      <w:r w:rsidR="005E26C0" w:rsidRPr="00B3696F">
        <w:rPr>
          <w:rFonts w:cs="Times New Roman"/>
          <w:szCs w:val="24"/>
        </w:rPr>
        <w:t>, corrispondente ad una situazione giuridicamente tutelata</w:t>
      </w:r>
      <w:r>
        <w:rPr>
          <w:rFonts w:cs="Times New Roman"/>
          <w:szCs w:val="24"/>
        </w:rPr>
        <w:t>.</w:t>
      </w:r>
    </w:p>
    <w:p w14:paraId="07DBFC4E" w14:textId="322A4E54" w:rsidR="0027773B" w:rsidRPr="00B3696F" w:rsidRDefault="00AD5DF0" w:rsidP="0027773B">
      <w:pPr>
        <w:ind w:firstLine="567"/>
        <w:rPr>
          <w:rFonts w:cs="Times New Roman"/>
          <w:szCs w:val="24"/>
        </w:rPr>
      </w:pPr>
      <w:r>
        <w:rPr>
          <w:rFonts w:cs="Times New Roman"/>
          <w:szCs w:val="24"/>
        </w:rPr>
        <w:t xml:space="preserve">Se </w:t>
      </w:r>
      <w:r w:rsidR="00223035">
        <w:rPr>
          <w:rFonts w:cs="Times New Roman"/>
          <w:szCs w:val="24"/>
        </w:rPr>
        <w:t>s</w:t>
      </w:r>
      <w:r w:rsidR="0027773B">
        <w:rPr>
          <w:rFonts w:cs="Times New Roman"/>
          <w:szCs w:val="24"/>
        </w:rPr>
        <w:t>i</w:t>
      </w:r>
      <w:r w:rsidR="00223035">
        <w:rPr>
          <w:rFonts w:cs="Times New Roman"/>
          <w:szCs w:val="24"/>
        </w:rPr>
        <w:t xml:space="preserve"> tratta di</w:t>
      </w:r>
      <w:r w:rsidR="0027773B">
        <w:rPr>
          <w:rFonts w:cs="Times New Roman"/>
          <w:szCs w:val="24"/>
        </w:rPr>
        <w:t xml:space="preserve"> </w:t>
      </w:r>
      <w:r w:rsidR="005E26C0" w:rsidRPr="00B3696F">
        <w:rPr>
          <w:rFonts w:cs="Times New Roman"/>
          <w:szCs w:val="24"/>
        </w:rPr>
        <w:t xml:space="preserve">dati </w:t>
      </w:r>
      <w:r w:rsidR="005E26C0" w:rsidRPr="00B3696F">
        <w:rPr>
          <w:rFonts w:cs="Times New Roman"/>
          <w:i/>
          <w:iCs/>
          <w:szCs w:val="24"/>
        </w:rPr>
        <w:t>sensibil</w:t>
      </w:r>
      <w:r w:rsidR="00223035">
        <w:rPr>
          <w:rFonts w:cs="Times New Roman"/>
          <w:i/>
          <w:iCs/>
          <w:szCs w:val="24"/>
        </w:rPr>
        <w:t>i</w:t>
      </w:r>
      <w:r w:rsidR="005E26C0" w:rsidRPr="00B3696F">
        <w:rPr>
          <w:rStyle w:val="Rimandonotaapidipagina"/>
          <w:rFonts w:cs="Times New Roman"/>
          <w:szCs w:val="24"/>
        </w:rPr>
        <w:footnoteReference w:id="19"/>
      </w:r>
      <w:r w:rsidR="005E26C0" w:rsidRPr="00B3696F">
        <w:rPr>
          <w:rFonts w:cs="Times New Roman"/>
          <w:szCs w:val="24"/>
        </w:rPr>
        <w:t xml:space="preserve">, </w:t>
      </w:r>
      <w:r w:rsidR="00F15E3B">
        <w:rPr>
          <w:rFonts w:cs="Times New Roman"/>
          <w:szCs w:val="24"/>
        </w:rPr>
        <w:t>l’</w:t>
      </w:r>
      <w:r w:rsidR="00223035">
        <w:rPr>
          <w:rFonts w:cs="Times New Roman"/>
          <w:szCs w:val="24"/>
        </w:rPr>
        <w:t>art. 24, comma 7</w:t>
      </w:r>
      <w:r w:rsidR="0007382D">
        <w:rPr>
          <w:rFonts w:cs="Times New Roman"/>
          <w:szCs w:val="24"/>
        </w:rPr>
        <w:t>,</w:t>
      </w:r>
      <w:r w:rsidR="00223035">
        <w:rPr>
          <w:rFonts w:cs="Times New Roman"/>
          <w:szCs w:val="24"/>
        </w:rPr>
        <w:t xml:space="preserve"> stabilisce che l’</w:t>
      </w:r>
      <w:r w:rsidR="00F15E3B">
        <w:rPr>
          <w:rFonts w:cs="Times New Roman"/>
          <w:szCs w:val="24"/>
        </w:rPr>
        <w:t xml:space="preserve">interesse all’accesso </w:t>
      </w:r>
      <w:r w:rsidR="00F15E3B" w:rsidRPr="00B3696F">
        <w:rPr>
          <w:rFonts w:cs="Times New Roman"/>
          <w:szCs w:val="24"/>
        </w:rPr>
        <w:t>prevale sul</w:t>
      </w:r>
      <w:r w:rsidR="00F15E3B">
        <w:rPr>
          <w:rFonts w:cs="Times New Roman"/>
          <w:szCs w:val="24"/>
        </w:rPr>
        <w:t xml:space="preserve"> diritto al</w:t>
      </w:r>
      <w:r w:rsidR="00F15E3B" w:rsidRPr="00B3696F">
        <w:rPr>
          <w:rFonts w:cs="Times New Roman"/>
          <w:szCs w:val="24"/>
        </w:rPr>
        <w:t>la riservatezza</w:t>
      </w:r>
      <w:r w:rsidR="00F15E3B">
        <w:rPr>
          <w:rFonts w:cs="Times New Roman"/>
          <w:szCs w:val="24"/>
        </w:rPr>
        <w:t xml:space="preserve"> </w:t>
      </w:r>
      <w:r>
        <w:rPr>
          <w:rFonts w:cs="Times New Roman"/>
          <w:szCs w:val="24"/>
        </w:rPr>
        <w:t>per</w:t>
      </w:r>
      <w:r w:rsidR="00F15E3B">
        <w:rPr>
          <w:rFonts w:cs="Times New Roman"/>
          <w:szCs w:val="24"/>
        </w:rPr>
        <w:t xml:space="preserve"> </w:t>
      </w:r>
      <w:r w:rsidR="0027773B" w:rsidRPr="00B3696F">
        <w:rPr>
          <w:rFonts w:cs="Times New Roman"/>
          <w:szCs w:val="24"/>
        </w:rPr>
        <w:t>i documenti “la cui conoscenza sia necessaria per curare o per difendere i propri interessi giuridici”</w:t>
      </w:r>
      <w:r w:rsidR="0027773B">
        <w:rPr>
          <w:rFonts w:cs="Times New Roman"/>
          <w:szCs w:val="24"/>
        </w:rPr>
        <w:t>.</w:t>
      </w:r>
    </w:p>
    <w:p w14:paraId="1E1BD982" w14:textId="56D009EE" w:rsidR="005E26C0" w:rsidRDefault="0007382D" w:rsidP="0027773B">
      <w:pPr>
        <w:ind w:firstLine="567"/>
        <w:rPr>
          <w:rFonts w:cs="Times New Roman"/>
          <w:szCs w:val="24"/>
        </w:rPr>
      </w:pPr>
      <w:r>
        <w:rPr>
          <w:rFonts w:cs="Times New Roman"/>
          <w:szCs w:val="24"/>
        </w:rPr>
        <w:t>I</w:t>
      </w:r>
      <w:r w:rsidR="005E26C0" w:rsidRPr="00B3696F">
        <w:rPr>
          <w:rFonts w:cs="Times New Roman"/>
          <w:szCs w:val="24"/>
        </w:rPr>
        <w:t>l richiedente</w:t>
      </w:r>
      <w:r w:rsidRPr="0007382D">
        <w:rPr>
          <w:rFonts w:cs="Times New Roman"/>
          <w:szCs w:val="24"/>
        </w:rPr>
        <w:t xml:space="preserve"> </w:t>
      </w:r>
      <w:r>
        <w:rPr>
          <w:rFonts w:cs="Times New Roman"/>
          <w:szCs w:val="24"/>
        </w:rPr>
        <w:t>deve</w:t>
      </w:r>
      <w:r w:rsidR="0027773B">
        <w:rPr>
          <w:rFonts w:cs="Times New Roman"/>
          <w:szCs w:val="24"/>
        </w:rPr>
        <w:t xml:space="preserve"> pertanto</w:t>
      </w:r>
      <w:r w:rsidR="005E26C0" w:rsidRPr="00B3696F">
        <w:rPr>
          <w:rFonts w:cs="Times New Roman"/>
          <w:szCs w:val="24"/>
        </w:rPr>
        <w:t xml:space="preserve"> </w:t>
      </w:r>
      <w:r>
        <w:rPr>
          <w:rFonts w:cs="Times New Roman"/>
          <w:szCs w:val="24"/>
        </w:rPr>
        <w:t>vantare un interesse qualificato</w:t>
      </w:r>
      <w:r w:rsidR="00463825">
        <w:rPr>
          <w:rFonts w:cs="Times New Roman"/>
          <w:szCs w:val="24"/>
        </w:rPr>
        <w:t>,</w:t>
      </w:r>
      <w:r>
        <w:rPr>
          <w:rFonts w:cs="Times New Roman"/>
          <w:szCs w:val="24"/>
        </w:rPr>
        <w:t xml:space="preserve"> </w:t>
      </w:r>
      <w:r w:rsidRPr="00B3696F">
        <w:rPr>
          <w:rFonts w:cs="Times New Roman"/>
          <w:szCs w:val="24"/>
        </w:rPr>
        <w:t>la</w:t>
      </w:r>
      <w:r>
        <w:rPr>
          <w:rFonts w:cs="Times New Roman"/>
          <w:szCs w:val="24"/>
        </w:rPr>
        <w:t xml:space="preserve"> cui cura o</w:t>
      </w:r>
      <w:r w:rsidRPr="00B3696F">
        <w:rPr>
          <w:rFonts w:cs="Times New Roman"/>
          <w:szCs w:val="24"/>
        </w:rPr>
        <w:t xml:space="preserve"> difesa </w:t>
      </w:r>
      <w:r>
        <w:rPr>
          <w:rFonts w:cs="Times New Roman"/>
          <w:szCs w:val="24"/>
        </w:rPr>
        <w:t>dipende dalla conoscenza del documento; deve cioè dimostrare l’esistenza di un</w:t>
      </w:r>
      <w:r w:rsidR="005E26C0" w:rsidRPr="00B3696F">
        <w:rPr>
          <w:rFonts w:cs="Times New Roman"/>
          <w:szCs w:val="24"/>
        </w:rPr>
        <w:t xml:space="preserve"> nesso di strumentalità </w:t>
      </w:r>
      <w:r w:rsidR="00F15E3B">
        <w:rPr>
          <w:rFonts w:cs="Times New Roman"/>
          <w:szCs w:val="24"/>
        </w:rPr>
        <w:t xml:space="preserve">tra </w:t>
      </w:r>
      <w:r>
        <w:rPr>
          <w:rFonts w:cs="Times New Roman"/>
          <w:szCs w:val="24"/>
        </w:rPr>
        <w:t>la conoscenza</w:t>
      </w:r>
      <w:r w:rsidR="00F15E3B">
        <w:rPr>
          <w:rFonts w:cs="Times New Roman"/>
          <w:szCs w:val="24"/>
        </w:rPr>
        <w:t xml:space="preserve"> </w:t>
      </w:r>
      <w:r>
        <w:rPr>
          <w:rFonts w:cs="Times New Roman"/>
          <w:szCs w:val="24"/>
        </w:rPr>
        <w:t xml:space="preserve">del dato sensibile </w:t>
      </w:r>
      <w:r w:rsidR="00F15E3B">
        <w:rPr>
          <w:rFonts w:cs="Times New Roman"/>
          <w:szCs w:val="24"/>
        </w:rPr>
        <w:t xml:space="preserve">e </w:t>
      </w:r>
      <w:r>
        <w:rPr>
          <w:rFonts w:cs="Times New Roman"/>
          <w:szCs w:val="24"/>
        </w:rPr>
        <w:t>l’</w:t>
      </w:r>
      <w:r w:rsidR="005E26C0" w:rsidRPr="00B3696F">
        <w:rPr>
          <w:rFonts w:cs="Times New Roman"/>
          <w:szCs w:val="24"/>
        </w:rPr>
        <w:t>interess</w:t>
      </w:r>
      <w:r w:rsidR="00F15E3B">
        <w:rPr>
          <w:rFonts w:cs="Times New Roman"/>
          <w:szCs w:val="24"/>
        </w:rPr>
        <w:t>e</w:t>
      </w:r>
      <w:r w:rsidR="005E26C0" w:rsidRPr="00B3696F">
        <w:rPr>
          <w:rFonts w:cs="Times New Roman"/>
          <w:szCs w:val="24"/>
        </w:rPr>
        <w:t xml:space="preserve"> </w:t>
      </w:r>
      <w:r>
        <w:rPr>
          <w:rFonts w:cs="Times New Roman"/>
          <w:szCs w:val="24"/>
        </w:rPr>
        <w:t>protetto</w:t>
      </w:r>
      <w:r w:rsidR="0027773B">
        <w:rPr>
          <w:rFonts w:cs="Times New Roman"/>
          <w:szCs w:val="24"/>
        </w:rPr>
        <w:t>.</w:t>
      </w:r>
    </w:p>
    <w:p w14:paraId="7BCE771E" w14:textId="0619D24C" w:rsidR="00C03B5F" w:rsidRDefault="00AD5DF0" w:rsidP="00C03B5F">
      <w:pPr>
        <w:ind w:firstLine="567"/>
        <w:rPr>
          <w:rFonts w:cs="Times New Roman"/>
          <w:szCs w:val="24"/>
        </w:rPr>
      </w:pPr>
      <w:r>
        <w:rPr>
          <w:rFonts w:cs="Times New Roman"/>
          <w:szCs w:val="24"/>
        </w:rPr>
        <w:t>Da</w:t>
      </w:r>
      <w:r w:rsidR="00C03B5F">
        <w:rPr>
          <w:rFonts w:cs="Times New Roman"/>
          <w:szCs w:val="24"/>
        </w:rPr>
        <w:t xml:space="preserve">i </w:t>
      </w:r>
      <w:r w:rsidR="00C03B5F" w:rsidRPr="00B3696F">
        <w:rPr>
          <w:rFonts w:cs="Times New Roman"/>
          <w:szCs w:val="24"/>
        </w:rPr>
        <w:t xml:space="preserve">dati </w:t>
      </w:r>
      <w:r w:rsidR="00C03B5F">
        <w:rPr>
          <w:rFonts w:cs="Times New Roman"/>
          <w:szCs w:val="24"/>
        </w:rPr>
        <w:t>sensibili</w:t>
      </w:r>
      <w:r w:rsidR="00463825">
        <w:rPr>
          <w:rFonts w:cs="Times New Roman"/>
          <w:szCs w:val="24"/>
        </w:rPr>
        <w:t>,</w:t>
      </w:r>
      <w:r w:rsidR="00C03B5F">
        <w:rPr>
          <w:rFonts w:cs="Times New Roman"/>
          <w:szCs w:val="24"/>
        </w:rPr>
        <w:t xml:space="preserve"> </w:t>
      </w:r>
      <w:r>
        <w:rPr>
          <w:rFonts w:cs="Times New Roman"/>
          <w:szCs w:val="24"/>
        </w:rPr>
        <w:t xml:space="preserve">il legislatore </w:t>
      </w:r>
      <w:r w:rsidR="00C03B5F">
        <w:rPr>
          <w:rFonts w:cs="Times New Roman"/>
          <w:szCs w:val="24"/>
        </w:rPr>
        <w:t xml:space="preserve">estrapola </w:t>
      </w:r>
      <w:r w:rsidR="00223035">
        <w:rPr>
          <w:rFonts w:cs="Times New Roman"/>
          <w:szCs w:val="24"/>
        </w:rPr>
        <w:t>l</w:t>
      </w:r>
      <w:r w:rsidR="00C03B5F">
        <w:rPr>
          <w:rFonts w:cs="Times New Roman"/>
          <w:szCs w:val="24"/>
        </w:rPr>
        <w:t>e sottocategori</w:t>
      </w:r>
      <w:r>
        <w:rPr>
          <w:rFonts w:cs="Times New Roman"/>
          <w:szCs w:val="24"/>
        </w:rPr>
        <w:t>e</w:t>
      </w:r>
      <w:r w:rsidR="00C03B5F">
        <w:rPr>
          <w:rFonts w:cs="Times New Roman"/>
          <w:szCs w:val="24"/>
        </w:rPr>
        <w:t xml:space="preserve"> d</w:t>
      </w:r>
      <w:r w:rsidR="00223035">
        <w:rPr>
          <w:rFonts w:cs="Times New Roman"/>
          <w:szCs w:val="24"/>
        </w:rPr>
        <w:t>e</w:t>
      </w:r>
      <w:r w:rsidR="00C03B5F">
        <w:rPr>
          <w:rFonts w:cs="Times New Roman"/>
          <w:szCs w:val="24"/>
        </w:rPr>
        <w:t xml:space="preserve">i </w:t>
      </w:r>
      <w:r w:rsidR="00C03B5F" w:rsidRPr="00B3696F">
        <w:rPr>
          <w:rFonts w:cs="Times New Roman"/>
          <w:i/>
          <w:iCs/>
          <w:szCs w:val="24"/>
        </w:rPr>
        <w:t>super</w:t>
      </w:r>
      <w:r w:rsidR="00223035">
        <w:rPr>
          <w:rFonts w:cs="Times New Roman"/>
          <w:i/>
          <w:iCs/>
          <w:szCs w:val="24"/>
        </w:rPr>
        <w:t>-</w:t>
      </w:r>
      <w:r w:rsidR="00C03B5F" w:rsidRPr="00B3696F">
        <w:rPr>
          <w:rFonts w:cs="Times New Roman"/>
          <w:i/>
          <w:iCs/>
          <w:szCs w:val="24"/>
        </w:rPr>
        <w:t>sensibili</w:t>
      </w:r>
      <w:r w:rsidR="00C03B5F">
        <w:rPr>
          <w:rStyle w:val="Rimandonotaapidipagina"/>
          <w:rFonts w:cs="Times New Roman"/>
          <w:szCs w:val="24"/>
        </w:rPr>
        <w:footnoteReference w:id="20"/>
      </w:r>
      <w:r w:rsidR="00C03B5F" w:rsidRPr="00B3696F">
        <w:rPr>
          <w:rFonts w:cs="Times New Roman"/>
          <w:szCs w:val="24"/>
        </w:rPr>
        <w:t>e</w:t>
      </w:r>
      <w:r w:rsidR="00C03B5F">
        <w:rPr>
          <w:rFonts w:cs="Times New Roman"/>
          <w:szCs w:val="24"/>
        </w:rPr>
        <w:t xml:space="preserve"> d</w:t>
      </w:r>
      <w:r w:rsidR="00223035">
        <w:rPr>
          <w:rFonts w:cs="Times New Roman"/>
          <w:szCs w:val="24"/>
        </w:rPr>
        <w:t>e</w:t>
      </w:r>
      <w:r w:rsidR="00C03B5F">
        <w:rPr>
          <w:rFonts w:cs="Times New Roman"/>
          <w:szCs w:val="24"/>
        </w:rPr>
        <w:t>i dati</w:t>
      </w:r>
      <w:r w:rsidR="00C03B5F" w:rsidRPr="00B3696F">
        <w:rPr>
          <w:rFonts w:cs="Times New Roman"/>
          <w:szCs w:val="24"/>
        </w:rPr>
        <w:t xml:space="preserve"> </w:t>
      </w:r>
      <w:r w:rsidR="00C03B5F" w:rsidRPr="00B3696F">
        <w:rPr>
          <w:rFonts w:cs="Times New Roman"/>
          <w:i/>
          <w:iCs/>
          <w:szCs w:val="24"/>
        </w:rPr>
        <w:t>giudiziari</w:t>
      </w:r>
      <w:r w:rsidR="00C03B5F">
        <w:rPr>
          <w:rFonts w:cs="Times New Roman"/>
          <w:szCs w:val="24"/>
        </w:rPr>
        <w:t xml:space="preserve">, </w:t>
      </w:r>
      <w:r>
        <w:rPr>
          <w:rFonts w:cs="Times New Roman"/>
          <w:szCs w:val="24"/>
        </w:rPr>
        <w:t xml:space="preserve">stabilendo che </w:t>
      </w:r>
      <w:r w:rsidR="00C03B5F">
        <w:rPr>
          <w:rFonts w:cs="Times New Roman"/>
          <w:szCs w:val="24"/>
        </w:rPr>
        <w:t>rispetto a</w:t>
      </w:r>
      <w:r>
        <w:rPr>
          <w:rFonts w:cs="Times New Roman"/>
          <w:szCs w:val="24"/>
        </w:rPr>
        <w:t>d essi</w:t>
      </w:r>
      <w:r w:rsidR="00C03B5F">
        <w:rPr>
          <w:rFonts w:cs="Times New Roman"/>
          <w:szCs w:val="24"/>
        </w:rPr>
        <w:t xml:space="preserve"> l’accesso documentale </w:t>
      </w:r>
      <w:r w:rsidR="00C03B5F" w:rsidRPr="00B3696F">
        <w:rPr>
          <w:rFonts w:cs="Times New Roman"/>
          <w:szCs w:val="24"/>
        </w:rPr>
        <w:t>“è consentito nei limiti in cui sia strettamente indispensabile e nei termini previsti dall’art. 60 del d.lgs. n. 196 del 2003”</w:t>
      </w:r>
      <w:r w:rsidR="00C03B5F">
        <w:rPr>
          <w:rFonts w:cs="Times New Roman"/>
          <w:szCs w:val="24"/>
        </w:rPr>
        <w:t>.</w:t>
      </w:r>
    </w:p>
    <w:p w14:paraId="3ABCA9FE" w14:textId="73EDA59A" w:rsidR="00C03B5F" w:rsidRDefault="00C03B5F" w:rsidP="00C03B5F">
      <w:pPr>
        <w:ind w:firstLine="567"/>
        <w:rPr>
          <w:rFonts w:cs="Times New Roman"/>
          <w:szCs w:val="24"/>
        </w:rPr>
      </w:pPr>
      <w:r>
        <w:rPr>
          <w:rFonts w:cs="Times New Roman"/>
          <w:szCs w:val="24"/>
        </w:rPr>
        <w:t xml:space="preserve">Esso può </w:t>
      </w:r>
      <w:r w:rsidR="00AD5DF0">
        <w:rPr>
          <w:rFonts w:cs="Times New Roman"/>
          <w:szCs w:val="24"/>
        </w:rPr>
        <w:t>quindi</w:t>
      </w:r>
      <w:r>
        <w:rPr>
          <w:rFonts w:cs="Times New Roman"/>
          <w:szCs w:val="24"/>
        </w:rPr>
        <w:t xml:space="preserve"> </w:t>
      </w:r>
      <w:r w:rsidRPr="00B3696F">
        <w:rPr>
          <w:rFonts w:cs="Times New Roman"/>
          <w:szCs w:val="24"/>
        </w:rPr>
        <w:t>avvenire se “la situazione giuridicamente rilevante che si intende tutelare con la richiesta di accesso ai documenti amministrativi è di rango almeno pari ai diritti dell’interessato, ovvero consiste in un diritto della personalità o in un altro diritto o libertà fondamentale”.</w:t>
      </w:r>
    </w:p>
    <w:p w14:paraId="72D244EB" w14:textId="406C0D97" w:rsidR="00C03B5F" w:rsidRDefault="00AD5DF0" w:rsidP="00C03B5F">
      <w:pPr>
        <w:ind w:firstLine="567"/>
        <w:rPr>
          <w:rFonts w:cs="Times New Roman"/>
          <w:szCs w:val="24"/>
        </w:rPr>
      </w:pPr>
      <w:r>
        <w:rPr>
          <w:rFonts w:cs="Times New Roman"/>
          <w:szCs w:val="24"/>
        </w:rPr>
        <w:t>A</w:t>
      </w:r>
      <w:r w:rsidR="00C03B5F" w:rsidRPr="00B3696F">
        <w:rPr>
          <w:rFonts w:cs="Times New Roman"/>
          <w:szCs w:val="24"/>
        </w:rPr>
        <w:t>l richiedente</w:t>
      </w:r>
      <w:r>
        <w:rPr>
          <w:rFonts w:cs="Times New Roman"/>
          <w:szCs w:val="24"/>
        </w:rPr>
        <w:t>, dunque,</w:t>
      </w:r>
      <w:r w:rsidR="00C03B5F" w:rsidRPr="00B3696F">
        <w:rPr>
          <w:rFonts w:cs="Times New Roman"/>
          <w:szCs w:val="24"/>
        </w:rPr>
        <w:t xml:space="preserve"> </w:t>
      </w:r>
      <w:r>
        <w:rPr>
          <w:rFonts w:cs="Times New Roman"/>
          <w:szCs w:val="24"/>
        </w:rPr>
        <w:t xml:space="preserve">non basta </w:t>
      </w:r>
      <w:r w:rsidR="00C03B5F" w:rsidRPr="00B3696F">
        <w:rPr>
          <w:rFonts w:cs="Times New Roman"/>
          <w:szCs w:val="24"/>
        </w:rPr>
        <w:t xml:space="preserve">dimostrare il nesso di stretta indispensabilità </w:t>
      </w:r>
      <w:r w:rsidR="0007382D">
        <w:rPr>
          <w:rFonts w:cs="Times New Roman"/>
          <w:szCs w:val="24"/>
        </w:rPr>
        <w:t xml:space="preserve">del documento richiesto </w:t>
      </w:r>
      <w:r w:rsidR="00C03B5F" w:rsidRPr="00B3696F">
        <w:rPr>
          <w:rFonts w:cs="Times New Roman"/>
          <w:szCs w:val="24"/>
        </w:rPr>
        <w:t>rispetto alla cura di situazioni giuridiche</w:t>
      </w:r>
      <w:r>
        <w:rPr>
          <w:rFonts w:cs="Times New Roman"/>
          <w:szCs w:val="24"/>
        </w:rPr>
        <w:t>, d</w:t>
      </w:r>
      <w:r w:rsidR="0007382D">
        <w:rPr>
          <w:rFonts w:cs="Times New Roman"/>
          <w:szCs w:val="24"/>
        </w:rPr>
        <w:t>o</w:t>
      </w:r>
      <w:r>
        <w:rPr>
          <w:rFonts w:cs="Times New Roman"/>
          <w:szCs w:val="24"/>
        </w:rPr>
        <w:t>ve</w:t>
      </w:r>
      <w:r w:rsidR="0007382D">
        <w:rPr>
          <w:rFonts w:cs="Times New Roman"/>
          <w:szCs w:val="24"/>
        </w:rPr>
        <w:t>ndo</w:t>
      </w:r>
      <w:r>
        <w:rPr>
          <w:rFonts w:cs="Times New Roman"/>
          <w:szCs w:val="24"/>
        </w:rPr>
        <w:t xml:space="preserve"> </w:t>
      </w:r>
      <w:r w:rsidR="00463825">
        <w:rPr>
          <w:rFonts w:cs="Times New Roman"/>
          <w:szCs w:val="24"/>
        </w:rPr>
        <w:t xml:space="preserve">altresì </w:t>
      </w:r>
      <w:r>
        <w:rPr>
          <w:rFonts w:cs="Times New Roman"/>
          <w:szCs w:val="24"/>
        </w:rPr>
        <w:t>allegare che queste ultime rivestono natura</w:t>
      </w:r>
      <w:r w:rsidR="00C03B5F" w:rsidRPr="00B3696F">
        <w:rPr>
          <w:rFonts w:cs="Times New Roman"/>
          <w:szCs w:val="24"/>
        </w:rPr>
        <w:t xml:space="preserve"> almeno di pari rango</w:t>
      </w:r>
      <w:r>
        <w:rPr>
          <w:rFonts w:cs="Times New Roman"/>
          <w:szCs w:val="24"/>
        </w:rPr>
        <w:t xml:space="preserve"> rispetto a quelle tutelate con la riservatezza,</w:t>
      </w:r>
      <w:r w:rsidR="00C03B5F">
        <w:rPr>
          <w:rFonts w:cs="Times New Roman"/>
          <w:szCs w:val="24"/>
        </w:rPr>
        <w:t xml:space="preserve"> o </w:t>
      </w:r>
      <w:r>
        <w:rPr>
          <w:rFonts w:cs="Times New Roman"/>
          <w:szCs w:val="24"/>
        </w:rPr>
        <w:t>riguardano</w:t>
      </w:r>
      <w:r w:rsidR="00C03B5F">
        <w:rPr>
          <w:rFonts w:cs="Times New Roman"/>
          <w:szCs w:val="24"/>
        </w:rPr>
        <w:t xml:space="preserve"> diritti fondamentali</w:t>
      </w:r>
      <w:r w:rsidR="00C03B5F" w:rsidRPr="00B3696F">
        <w:rPr>
          <w:rFonts w:cs="Times New Roman"/>
          <w:szCs w:val="24"/>
        </w:rPr>
        <w:t>.</w:t>
      </w:r>
    </w:p>
    <w:p w14:paraId="10471A62" w14:textId="374D6650" w:rsidR="00223035" w:rsidRDefault="00223035" w:rsidP="00C03B5F">
      <w:pPr>
        <w:ind w:firstLine="567"/>
        <w:rPr>
          <w:rFonts w:cs="Times New Roman"/>
          <w:szCs w:val="24"/>
        </w:rPr>
      </w:pPr>
      <w:r>
        <w:rPr>
          <w:rFonts w:cs="Times New Roman"/>
          <w:szCs w:val="24"/>
        </w:rPr>
        <w:t xml:space="preserve">Esistono, infine, i dati </w:t>
      </w:r>
      <w:r w:rsidRPr="00223035">
        <w:rPr>
          <w:rFonts w:cs="Times New Roman"/>
          <w:i/>
          <w:iCs/>
          <w:szCs w:val="24"/>
        </w:rPr>
        <w:t>segreti</w:t>
      </w:r>
      <w:r w:rsidR="00F14DCF">
        <w:rPr>
          <w:rFonts w:cs="Times New Roman"/>
          <w:szCs w:val="24"/>
        </w:rPr>
        <w:t>, che riguardano i documenti di cui all’art. 24, comma 1 e 5</w:t>
      </w:r>
      <w:r>
        <w:rPr>
          <w:rFonts w:cs="Times New Roman"/>
          <w:szCs w:val="24"/>
        </w:rPr>
        <w:t>, per i quali i</w:t>
      </w:r>
      <w:r w:rsidRPr="0098564C">
        <w:rPr>
          <w:rFonts w:cs="Times New Roman"/>
          <w:szCs w:val="24"/>
        </w:rPr>
        <w:t>l diritto di accesso è escluso</w:t>
      </w:r>
      <w:r>
        <w:rPr>
          <w:rFonts w:cs="Times New Roman"/>
          <w:szCs w:val="24"/>
        </w:rPr>
        <w:t xml:space="preserve"> per legge.</w:t>
      </w:r>
    </w:p>
    <w:p w14:paraId="1C361129" w14:textId="4A3D5A71" w:rsidR="00223035" w:rsidRPr="00B3696F" w:rsidRDefault="00223035" w:rsidP="00C03B5F">
      <w:pPr>
        <w:ind w:firstLine="567"/>
        <w:rPr>
          <w:rFonts w:cs="Times New Roman"/>
          <w:szCs w:val="24"/>
        </w:rPr>
      </w:pPr>
      <w:r>
        <w:rPr>
          <w:rFonts w:cs="Times New Roman"/>
          <w:szCs w:val="24"/>
        </w:rPr>
        <w:t xml:space="preserve"> Il comma 6 prevede che l</w:t>
      </w:r>
      <w:r w:rsidR="00463825">
        <w:rPr>
          <w:rFonts w:cs="Times New Roman"/>
          <w:szCs w:val="24"/>
        </w:rPr>
        <w:t>a</w:t>
      </w:r>
      <w:r>
        <w:rPr>
          <w:rFonts w:cs="Times New Roman"/>
          <w:szCs w:val="24"/>
        </w:rPr>
        <w:t xml:space="preserve"> P.A. possa introdurre </w:t>
      </w:r>
      <w:r w:rsidR="00F14DCF">
        <w:rPr>
          <w:rFonts w:cs="Times New Roman"/>
          <w:szCs w:val="24"/>
        </w:rPr>
        <w:t xml:space="preserve">ulteriori </w:t>
      </w:r>
      <w:r>
        <w:rPr>
          <w:rFonts w:cs="Times New Roman"/>
          <w:szCs w:val="24"/>
        </w:rPr>
        <w:t xml:space="preserve">ipotesi regolamentari di documenti </w:t>
      </w:r>
      <w:r w:rsidR="00F14DCF">
        <w:rPr>
          <w:rFonts w:cs="Times New Roman"/>
          <w:szCs w:val="24"/>
        </w:rPr>
        <w:t>secretati</w:t>
      </w:r>
      <w:r>
        <w:rPr>
          <w:rFonts w:cs="Times New Roman"/>
          <w:szCs w:val="24"/>
        </w:rPr>
        <w:t>, ma per essi</w:t>
      </w:r>
      <w:r w:rsidR="00C72466">
        <w:rPr>
          <w:rFonts w:cs="Times New Roman"/>
          <w:szCs w:val="24"/>
        </w:rPr>
        <w:t xml:space="preserve">, come per i dati </w:t>
      </w:r>
      <w:r w:rsidR="00C72466" w:rsidRPr="00C72466">
        <w:rPr>
          <w:rFonts w:cs="Times New Roman"/>
          <w:i/>
          <w:iCs/>
          <w:szCs w:val="24"/>
        </w:rPr>
        <w:t>sensibili</w:t>
      </w:r>
      <w:r w:rsidR="00C72466">
        <w:rPr>
          <w:rFonts w:cs="Times New Roman"/>
          <w:szCs w:val="24"/>
        </w:rPr>
        <w:t xml:space="preserve">, </w:t>
      </w:r>
      <w:r w:rsidR="00F14DCF">
        <w:rPr>
          <w:rFonts w:cs="Times New Roman"/>
          <w:szCs w:val="24"/>
        </w:rPr>
        <w:t>opera</w:t>
      </w:r>
      <w:r>
        <w:rPr>
          <w:rFonts w:cs="Times New Roman"/>
          <w:szCs w:val="24"/>
        </w:rPr>
        <w:t xml:space="preserve"> la regola del comma 7</w:t>
      </w:r>
      <w:r w:rsidR="00C72466">
        <w:rPr>
          <w:rFonts w:cs="Times New Roman"/>
          <w:szCs w:val="24"/>
        </w:rPr>
        <w:t xml:space="preserve">, </w:t>
      </w:r>
      <w:r w:rsidR="00F14DCF">
        <w:rPr>
          <w:rFonts w:cs="Times New Roman"/>
          <w:szCs w:val="24"/>
        </w:rPr>
        <w:t xml:space="preserve">circa </w:t>
      </w:r>
      <w:r>
        <w:rPr>
          <w:rFonts w:cs="Times New Roman"/>
          <w:szCs w:val="24"/>
        </w:rPr>
        <w:t>la prevalenza dell’interesse difensivo.</w:t>
      </w:r>
    </w:p>
    <w:p w14:paraId="5033A828" w14:textId="5D68AA5D" w:rsidR="00C03B5F" w:rsidRDefault="00C03B5F" w:rsidP="00C03B5F">
      <w:pPr>
        <w:ind w:firstLine="567"/>
        <w:rPr>
          <w:rFonts w:cs="Times New Roman"/>
          <w:szCs w:val="24"/>
        </w:rPr>
      </w:pPr>
      <w:r>
        <w:rPr>
          <w:rFonts w:cs="Times New Roman"/>
          <w:szCs w:val="24"/>
        </w:rPr>
        <w:t xml:space="preserve">Le </w:t>
      </w:r>
      <w:r w:rsidRPr="00B3696F">
        <w:rPr>
          <w:rFonts w:cs="Times New Roman"/>
          <w:szCs w:val="24"/>
        </w:rPr>
        <w:t xml:space="preserve">regole </w:t>
      </w:r>
      <w:r>
        <w:rPr>
          <w:rFonts w:cs="Times New Roman"/>
          <w:szCs w:val="24"/>
        </w:rPr>
        <w:t xml:space="preserve">dettate per i dati </w:t>
      </w:r>
      <w:r w:rsidRPr="00A9249D">
        <w:rPr>
          <w:rFonts w:cs="Times New Roman"/>
          <w:i/>
          <w:iCs/>
          <w:szCs w:val="24"/>
        </w:rPr>
        <w:t>sensibili</w:t>
      </w:r>
      <w:r>
        <w:rPr>
          <w:rFonts w:cs="Times New Roman"/>
          <w:szCs w:val="24"/>
        </w:rPr>
        <w:t xml:space="preserve"> e </w:t>
      </w:r>
      <w:r w:rsidRPr="00A9249D">
        <w:rPr>
          <w:rFonts w:cs="Times New Roman"/>
          <w:i/>
          <w:iCs/>
          <w:szCs w:val="24"/>
        </w:rPr>
        <w:t>super</w:t>
      </w:r>
      <w:r w:rsidR="00223035">
        <w:rPr>
          <w:rFonts w:cs="Times New Roman"/>
          <w:i/>
          <w:iCs/>
          <w:szCs w:val="24"/>
        </w:rPr>
        <w:t>-</w:t>
      </w:r>
      <w:r w:rsidRPr="00A9249D">
        <w:rPr>
          <w:rFonts w:cs="Times New Roman"/>
          <w:i/>
          <w:iCs/>
          <w:szCs w:val="24"/>
        </w:rPr>
        <w:t>sensibili</w:t>
      </w:r>
      <w:r>
        <w:rPr>
          <w:rFonts w:cs="Times New Roman"/>
          <w:szCs w:val="24"/>
        </w:rPr>
        <w:t xml:space="preserve"> </w:t>
      </w:r>
      <w:r w:rsidRPr="00B3696F">
        <w:rPr>
          <w:rFonts w:cs="Times New Roman"/>
          <w:szCs w:val="24"/>
        </w:rPr>
        <w:t xml:space="preserve">valgono anche per l’accesso civico, </w:t>
      </w:r>
      <w:r>
        <w:rPr>
          <w:rFonts w:cs="Times New Roman"/>
          <w:szCs w:val="24"/>
        </w:rPr>
        <w:t>esse</w:t>
      </w:r>
      <w:r w:rsidRPr="00B3696F">
        <w:rPr>
          <w:rFonts w:cs="Times New Roman"/>
          <w:szCs w:val="24"/>
        </w:rPr>
        <w:t>n</w:t>
      </w:r>
      <w:r>
        <w:rPr>
          <w:rFonts w:cs="Times New Roman"/>
          <w:szCs w:val="24"/>
        </w:rPr>
        <w:t>do</w:t>
      </w:r>
      <w:r w:rsidRPr="00682093">
        <w:rPr>
          <w:rFonts w:cs="Times New Roman"/>
          <w:szCs w:val="24"/>
        </w:rPr>
        <w:t xml:space="preserve"> </w:t>
      </w:r>
      <w:r w:rsidRPr="00B3696F">
        <w:rPr>
          <w:rFonts w:cs="Times New Roman"/>
          <w:szCs w:val="24"/>
        </w:rPr>
        <w:t xml:space="preserve">l’amministrazione tenuta, </w:t>
      </w:r>
      <w:r>
        <w:rPr>
          <w:rFonts w:cs="Times New Roman"/>
          <w:szCs w:val="24"/>
        </w:rPr>
        <w:t xml:space="preserve">in forza </w:t>
      </w:r>
      <w:r w:rsidRPr="00B3696F">
        <w:rPr>
          <w:rFonts w:cs="Times New Roman"/>
          <w:szCs w:val="24"/>
        </w:rPr>
        <w:t>degli artt. 5 e 5-</w:t>
      </w:r>
      <w:r w:rsidRPr="00B3696F">
        <w:rPr>
          <w:rFonts w:cs="Times New Roman"/>
          <w:i/>
          <w:iCs/>
          <w:szCs w:val="24"/>
        </w:rPr>
        <w:t>bis</w:t>
      </w:r>
      <w:r w:rsidRPr="00B3696F">
        <w:rPr>
          <w:rFonts w:cs="Times New Roman"/>
          <w:szCs w:val="24"/>
        </w:rPr>
        <w:t xml:space="preserve"> del d.lgs. n. 33 del 2013, ad operare un bilanciamento concreto dei contrapposti interessi all’ostensione ed alla riservatezza, non potendo consentirsi la divulgazione di informazioni </w:t>
      </w:r>
      <w:r w:rsidRPr="00B3696F">
        <w:rPr>
          <w:rFonts w:cs="Times New Roman"/>
          <w:i/>
          <w:iCs/>
          <w:szCs w:val="24"/>
        </w:rPr>
        <w:t>sensibili</w:t>
      </w:r>
      <w:r w:rsidRPr="00B3696F">
        <w:rPr>
          <w:rFonts w:cs="Times New Roman"/>
          <w:szCs w:val="24"/>
        </w:rPr>
        <w:t xml:space="preserve"> </w:t>
      </w:r>
      <w:r>
        <w:rPr>
          <w:rFonts w:cs="Times New Roman"/>
          <w:szCs w:val="24"/>
        </w:rPr>
        <w:t>(</w:t>
      </w:r>
      <w:r w:rsidRPr="00B3696F">
        <w:rPr>
          <w:rFonts w:cs="Times New Roman"/>
          <w:szCs w:val="24"/>
        </w:rPr>
        <w:t>quali, ad esempio, quelle lesive del segreto commerciale dell’aggiudicatario di un appalto</w:t>
      </w:r>
      <w:r>
        <w:rPr>
          <w:rFonts w:cs="Times New Roman"/>
          <w:szCs w:val="24"/>
        </w:rPr>
        <w:t>)</w:t>
      </w:r>
      <w:r w:rsidRPr="00B3696F">
        <w:rPr>
          <w:rStyle w:val="Rimandonotaapidipagina"/>
          <w:rFonts w:cs="Times New Roman"/>
          <w:szCs w:val="24"/>
        </w:rPr>
        <w:footnoteReference w:id="21"/>
      </w:r>
      <w:r w:rsidRPr="00B3696F">
        <w:rPr>
          <w:rFonts w:cs="Times New Roman"/>
          <w:szCs w:val="24"/>
        </w:rPr>
        <w:t>.</w:t>
      </w:r>
    </w:p>
    <w:p w14:paraId="19BA5850" w14:textId="4722A424" w:rsidR="00405DF5" w:rsidRDefault="00DA2D66" w:rsidP="00AD5DF0">
      <w:pPr>
        <w:ind w:firstLine="567"/>
        <w:rPr>
          <w:rFonts w:cs="Times New Roman"/>
          <w:szCs w:val="24"/>
        </w:rPr>
      </w:pPr>
      <w:r>
        <w:rPr>
          <w:rFonts w:cs="Times New Roman"/>
          <w:szCs w:val="24"/>
        </w:rPr>
        <w:t>S</w:t>
      </w:r>
      <w:r w:rsidR="00AD5DF0">
        <w:rPr>
          <w:rFonts w:cs="Times New Roman"/>
          <w:szCs w:val="24"/>
        </w:rPr>
        <w:t>u</w:t>
      </w:r>
      <w:r>
        <w:rPr>
          <w:rFonts w:cs="Times New Roman"/>
          <w:szCs w:val="24"/>
        </w:rPr>
        <w:t xml:space="preserve">ll’accesso </w:t>
      </w:r>
      <w:r w:rsidR="00AD5DF0">
        <w:rPr>
          <w:rFonts w:cs="Times New Roman"/>
          <w:szCs w:val="24"/>
        </w:rPr>
        <w:t>dife</w:t>
      </w:r>
      <w:r>
        <w:rPr>
          <w:rFonts w:cs="Times New Roman"/>
          <w:szCs w:val="24"/>
        </w:rPr>
        <w:t>n</w:t>
      </w:r>
      <w:r w:rsidR="00AD5DF0">
        <w:rPr>
          <w:rFonts w:cs="Times New Roman"/>
          <w:szCs w:val="24"/>
        </w:rPr>
        <w:t>s</w:t>
      </w:r>
      <w:r>
        <w:rPr>
          <w:rFonts w:cs="Times New Roman"/>
          <w:szCs w:val="24"/>
        </w:rPr>
        <w:t>ivo</w:t>
      </w:r>
      <w:r w:rsidR="00AD5DF0">
        <w:rPr>
          <w:rFonts w:cs="Times New Roman"/>
          <w:szCs w:val="24"/>
        </w:rPr>
        <w:t xml:space="preserve"> si è </w:t>
      </w:r>
      <w:r w:rsidR="00463825">
        <w:rPr>
          <w:rFonts w:cs="Times New Roman"/>
          <w:szCs w:val="24"/>
        </w:rPr>
        <w:t xml:space="preserve">più volte </w:t>
      </w:r>
      <w:r w:rsidR="00AD5DF0">
        <w:rPr>
          <w:rFonts w:cs="Times New Roman"/>
          <w:szCs w:val="24"/>
        </w:rPr>
        <w:t>soffermata l’Adunanza plenaria del Consiglio di Stato,</w:t>
      </w:r>
      <w:r w:rsidR="00405DF5">
        <w:rPr>
          <w:rFonts w:cs="Times New Roman"/>
          <w:szCs w:val="24"/>
        </w:rPr>
        <w:t xml:space="preserve"> affermando, </w:t>
      </w:r>
      <w:r w:rsidR="00174FDD">
        <w:rPr>
          <w:rFonts w:cs="Times New Roman"/>
          <w:szCs w:val="24"/>
        </w:rPr>
        <w:t>i</w:t>
      </w:r>
      <w:r w:rsidR="00405DF5">
        <w:rPr>
          <w:rFonts w:cs="Times New Roman"/>
          <w:szCs w:val="24"/>
        </w:rPr>
        <w:t xml:space="preserve">n una </w:t>
      </w:r>
      <w:r w:rsidR="00463825">
        <w:rPr>
          <w:rFonts w:cs="Times New Roman"/>
          <w:szCs w:val="24"/>
        </w:rPr>
        <w:t xml:space="preserve">prima </w:t>
      </w:r>
      <w:r w:rsidR="00174FDD">
        <w:rPr>
          <w:rFonts w:cs="Times New Roman"/>
          <w:szCs w:val="24"/>
        </w:rPr>
        <w:t xml:space="preserve">serie di </w:t>
      </w:r>
      <w:r w:rsidR="00405DF5">
        <w:rPr>
          <w:rFonts w:cs="Times New Roman"/>
          <w:szCs w:val="24"/>
        </w:rPr>
        <w:t>decision</w:t>
      </w:r>
      <w:r w:rsidR="00174FDD">
        <w:rPr>
          <w:rFonts w:cs="Times New Roman"/>
          <w:szCs w:val="24"/>
        </w:rPr>
        <w:t>i</w:t>
      </w:r>
      <w:r w:rsidR="00405DF5">
        <w:rPr>
          <w:rStyle w:val="Rimandonotaapidipagina"/>
          <w:rFonts w:cs="Times New Roman"/>
          <w:szCs w:val="24"/>
        </w:rPr>
        <w:footnoteReference w:id="22"/>
      </w:r>
      <w:r w:rsidR="00405DF5">
        <w:rPr>
          <w:rFonts w:cs="Times New Roman"/>
          <w:szCs w:val="24"/>
        </w:rPr>
        <w:t>, che esso</w:t>
      </w:r>
      <w:r w:rsidR="00405DF5" w:rsidRPr="00405DF5">
        <w:rPr>
          <w:rFonts w:cs="Times New Roman"/>
          <w:szCs w:val="24"/>
        </w:rPr>
        <w:t xml:space="preserve"> ricomprende tutte quelle pertinenze utili a dimostrare i fatti costitutivi, impeditivi, modificativi o estintivi delle situazioni giuridiche in generale, anche </w:t>
      </w:r>
      <w:r w:rsidR="00A879DC">
        <w:rPr>
          <w:rFonts w:cs="Times New Roman"/>
          <w:szCs w:val="24"/>
        </w:rPr>
        <w:t>in sede stragiudiziale ovvero</w:t>
      </w:r>
      <w:r w:rsidR="00405DF5" w:rsidRPr="00405DF5">
        <w:rPr>
          <w:rFonts w:cs="Times New Roman"/>
          <w:szCs w:val="24"/>
        </w:rPr>
        <w:t xml:space="preserve"> in una lite </w:t>
      </w:r>
      <w:r w:rsidR="00A879DC">
        <w:rPr>
          <w:rFonts w:cs="Times New Roman"/>
          <w:szCs w:val="24"/>
        </w:rPr>
        <w:t xml:space="preserve">che coinvolge solo soggetti </w:t>
      </w:r>
      <w:r w:rsidR="00405DF5" w:rsidRPr="00405DF5">
        <w:rPr>
          <w:rFonts w:cs="Times New Roman"/>
          <w:szCs w:val="24"/>
        </w:rPr>
        <w:t>privati.</w:t>
      </w:r>
    </w:p>
    <w:p w14:paraId="493AD86E" w14:textId="1BF0D09D" w:rsidR="00E72F68" w:rsidRDefault="00E72F68" w:rsidP="00835BCC">
      <w:pPr>
        <w:ind w:firstLine="567"/>
        <w:rPr>
          <w:rFonts w:cs="Times New Roman"/>
          <w:szCs w:val="24"/>
        </w:rPr>
      </w:pPr>
      <w:r>
        <w:rPr>
          <w:rFonts w:cs="Times New Roman"/>
          <w:szCs w:val="24"/>
        </w:rPr>
        <w:t>S</w:t>
      </w:r>
      <w:r w:rsidRPr="00E72F68">
        <w:rPr>
          <w:rFonts w:cs="Times New Roman"/>
          <w:szCs w:val="24"/>
        </w:rPr>
        <w:t xml:space="preserve">ono </w:t>
      </w:r>
      <w:r>
        <w:rPr>
          <w:rFonts w:cs="Times New Roman"/>
          <w:szCs w:val="24"/>
        </w:rPr>
        <w:t xml:space="preserve">infatti </w:t>
      </w:r>
      <w:r w:rsidRPr="00E72F68">
        <w:rPr>
          <w:rFonts w:cs="Times New Roman"/>
          <w:szCs w:val="24"/>
        </w:rPr>
        <w:t>indifferenti la natura e la consistenza della situazione giuridica finale</w:t>
      </w:r>
      <w:r w:rsidR="00835BCC">
        <w:rPr>
          <w:rFonts w:cs="Times New Roman"/>
          <w:szCs w:val="24"/>
        </w:rPr>
        <w:t xml:space="preserve"> – che </w:t>
      </w:r>
      <w:r w:rsidRPr="00E72F68">
        <w:rPr>
          <w:rFonts w:cs="Times New Roman"/>
          <w:szCs w:val="24"/>
        </w:rPr>
        <w:t>può essere di diritto soggettivo, di interesse legittimo, di aspettativa</w:t>
      </w:r>
      <w:r w:rsidR="00835BCC">
        <w:rPr>
          <w:rFonts w:cs="Times New Roman"/>
          <w:szCs w:val="24"/>
        </w:rPr>
        <w:t>,</w:t>
      </w:r>
      <w:r w:rsidRPr="00E72F68">
        <w:rPr>
          <w:rFonts w:cs="Times New Roman"/>
          <w:szCs w:val="24"/>
        </w:rPr>
        <w:t xml:space="preserve"> o di altro tipo</w:t>
      </w:r>
      <w:r w:rsidR="00835BCC">
        <w:rPr>
          <w:rFonts w:cs="Times New Roman"/>
          <w:szCs w:val="24"/>
        </w:rPr>
        <w:t xml:space="preserve"> –,</w:t>
      </w:r>
      <w:r w:rsidRPr="00E72F68">
        <w:rPr>
          <w:rFonts w:cs="Times New Roman"/>
          <w:szCs w:val="24"/>
        </w:rPr>
        <w:t xml:space="preserve"> purché </w:t>
      </w:r>
      <w:r w:rsidR="005D41F2">
        <w:rPr>
          <w:rFonts w:cs="Times New Roman"/>
          <w:szCs w:val="24"/>
        </w:rPr>
        <w:t>questa sia</w:t>
      </w:r>
      <w:r w:rsidRPr="00E72F68">
        <w:rPr>
          <w:rFonts w:cs="Times New Roman"/>
          <w:szCs w:val="24"/>
        </w:rPr>
        <w:t xml:space="preserve"> astrattamente azionabile in caso di lesione.</w:t>
      </w:r>
    </w:p>
    <w:p w14:paraId="0E1E49AD" w14:textId="24822E08" w:rsidR="00405DF5" w:rsidRDefault="00B427BF" w:rsidP="00AD5DF0">
      <w:pPr>
        <w:ind w:firstLine="567"/>
        <w:rPr>
          <w:rFonts w:cs="Times New Roman"/>
          <w:szCs w:val="24"/>
        </w:rPr>
      </w:pPr>
      <w:r>
        <w:rPr>
          <w:rFonts w:cs="Times New Roman"/>
          <w:szCs w:val="24"/>
        </w:rPr>
        <w:t>Quanto al</w:t>
      </w:r>
      <w:r w:rsidR="00E72F68">
        <w:rPr>
          <w:rFonts w:cs="Times New Roman"/>
          <w:szCs w:val="24"/>
        </w:rPr>
        <w:t>l</w:t>
      </w:r>
      <w:r w:rsidR="00E72F68" w:rsidRPr="00E72F68">
        <w:rPr>
          <w:rFonts w:cs="Times New Roman"/>
          <w:szCs w:val="24"/>
        </w:rPr>
        <w:t xml:space="preserve">a tutela del terzo </w:t>
      </w:r>
      <w:r w:rsidR="00E72F68">
        <w:rPr>
          <w:rFonts w:cs="Times New Roman"/>
          <w:szCs w:val="24"/>
        </w:rPr>
        <w:t>portatore del dato</w:t>
      </w:r>
      <w:r w:rsidR="00E72F68" w:rsidRPr="00E72F68">
        <w:rPr>
          <w:rFonts w:cs="Times New Roman"/>
          <w:szCs w:val="24"/>
        </w:rPr>
        <w:t xml:space="preserve"> </w:t>
      </w:r>
      <w:r w:rsidR="00463825">
        <w:rPr>
          <w:rFonts w:cs="Times New Roman"/>
          <w:szCs w:val="24"/>
        </w:rPr>
        <w:t>sensibile</w:t>
      </w:r>
      <w:r>
        <w:rPr>
          <w:rFonts w:cs="Times New Roman"/>
          <w:szCs w:val="24"/>
        </w:rPr>
        <w:t>, essa</w:t>
      </w:r>
      <w:r w:rsidR="00463825">
        <w:rPr>
          <w:rFonts w:cs="Times New Roman"/>
          <w:szCs w:val="24"/>
        </w:rPr>
        <w:t xml:space="preserve"> </w:t>
      </w:r>
      <w:r w:rsidR="00E72F68">
        <w:rPr>
          <w:rFonts w:cs="Times New Roman"/>
          <w:szCs w:val="24"/>
        </w:rPr>
        <w:t>si realizza</w:t>
      </w:r>
      <w:r w:rsidR="00E72F68" w:rsidRPr="00E72F68">
        <w:rPr>
          <w:rFonts w:cs="Times New Roman"/>
          <w:szCs w:val="24"/>
        </w:rPr>
        <w:t xml:space="preserve"> </w:t>
      </w:r>
      <w:r w:rsidR="005D41F2">
        <w:rPr>
          <w:rFonts w:cs="Times New Roman"/>
          <w:szCs w:val="24"/>
        </w:rPr>
        <w:t>nelle specifiche forme del</w:t>
      </w:r>
      <w:r w:rsidR="00A66F83">
        <w:rPr>
          <w:rFonts w:cs="Times New Roman"/>
          <w:szCs w:val="24"/>
        </w:rPr>
        <w:t>l</w:t>
      </w:r>
      <w:r>
        <w:rPr>
          <w:rFonts w:cs="Times New Roman"/>
          <w:szCs w:val="24"/>
        </w:rPr>
        <w:t>’opposizione in sede</w:t>
      </w:r>
      <w:r w:rsidR="00E72F68" w:rsidRPr="00E72F68">
        <w:rPr>
          <w:rFonts w:cs="Times New Roman"/>
          <w:szCs w:val="24"/>
        </w:rPr>
        <w:t xml:space="preserve"> </w:t>
      </w:r>
      <w:r>
        <w:rPr>
          <w:rFonts w:cs="Times New Roman"/>
          <w:szCs w:val="24"/>
        </w:rPr>
        <w:t>amministrativa (stante l’obbligo della comunicazione di avvio del procedimento)</w:t>
      </w:r>
      <w:r w:rsidR="00EF0EC1">
        <w:rPr>
          <w:rFonts w:cs="Times New Roman"/>
          <w:szCs w:val="24"/>
        </w:rPr>
        <w:t xml:space="preserve"> ed</w:t>
      </w:r>
      <w:r>
        <w:rPr>
          <w:rFonts w:cs="Times New Roman"/>
          <w:szCs w:val="24"/>
        </w:rPr>
        <w:t xml:space="preserve"> in sede giudiziaria (avverso la domanda d’accesso eventualmente proposta dal ricorrente)</w:t>
      </w:r>
      <w:r w:rsidR="00E72F68" w:rsidRPr="00E72F68">
        <w:rPr>
          <w:rFonts w:cs="Times New Roman"/>
          <w:szCs w:val="24"/>
        </w:rPr>
        <w:t>.</w:t>
      </w:r>
    </w:p>
    <w:p w14:paraId="3A2511C9" w14:textId="273A718F" w:rsidR="00F05B4D" w:rsidRDefault="00835BCC" w:rsidP="00AD5DF0">
      <w:pPr>
        <w:ind w:firstLine="567"/>
        <w:rPr>
          <w:rFonts w:cs="Times New Roman"/>
          <w:szCs w:val="24"/>
        </w:rPr>
      </w:pPr>
      <w:r>
        <w:rPr>
          <w:rFonts w:cs="Times New Roman"/>
          <w:szCs w:val="24"/>
        </w:rPr>
        <w:t xml:space="preserve">Resta </w:t>
      </w:r>
      <w:r w:rsidR="00B427BF">
        <w:rPr>
          <w:rFonts w:cs="Times New Roman"/>
          <w:szCs w:val="24"/>
        </w:rPr>
        <w:t>inoltre fermo</w:t>
      </w:r>
      <w:r>
        <w:rPr>
          <w:rFonts w:cs="Times New Roman"/>
          <w:szCs w:val="24"/>
        </w:rPr>
        <w:t xml:space="preserve"> che</w:t>
      </w:r>
      <w:r w:rsidR="00F05B4D">
        <w:rPr>
          <w:rFonts w:cs="Times New Roman"/>
          <w:szCs w:val="24"/>
        </w:rPr>
        <w:t xml:space="preserve"> </w:t>
      </w:r>
      <w:r>
        <w:rPr>
          <w:rFonts w:cs="Times New Roman"/>
          <w:szCs w:val="24"/>
        </w:rPr>
        <w:t xml:space="preserve">il </w:t>
      </w:r>
      <w:r w:rsidR="00F05B4D">
        <w:rPr>
          <w:rFonts w:cs="Times New Roman"/>
          <w:szCs w:val="24"/>
        </w:rPr>
        <w:t>terzo</w:t>
      </w:r>
      <w:r w:rsidR="00EF0EC1">
        <w:rPr>
          <w:rFonts w:cs="Times New Roman"/>
          <w:szCs w:val="24"/>
        </w:rPr>
        <w:t>,</w:t>
      </w:r>
      <w:r w:rsidR="00F05B4D">
        <w:rPr>
          <w:rFonts w:cs="Times New Roman"/>
          <w:szCs w:val="24"/>
        </w:rPr>
        <w:t xml:space="preserve"> </w:t>
      </w:r>
      <w:r w:rsidR="00EF0EC1">
        <w:rPr>
          <w:rFonts w:cs="Times New Roman"/>
          <w:szCs w:val="24"/>
        </w:rPr>
        <w:t>il qual</w:t>
      </w:r>
      <w:r w:rsidR="004F4EFB">
        <w:rPr>
          <w:rFonts w:cs="Times New Roman"/>
          <w:szCs w:val="24"/>
        </w:rPr>
        <w:t>e</w:t>
      </w:r>
      <w:r w:rsidR="004F4EFB" w:rsidRPr="00F05B4D">
        <w:rPr>
          <w:rFonts w:cs="Times New Roman"/>
          <w:szCs w:val="24"/>
        </w:rPr>
        <w:t xml:space="preserve"> lament</w:t>
      </w:r>
      <w:r w:rsidR="004F4EFB">
        <w:rPr>
          <w:rFonts w:cs="Times New Roman"/>
          <w:szCs w:val="24"/>
        </w:rPr>
        <w:t>i</w:t>
      </w:r>
      <w:r w:rsidR="004F4EFB" w:rsidRPr="00F05B4D">
        <w:rPr>
          <w:rFonts w:cs="Times New Roman"/>
          <w:szCs w:val="24"/>
        </w:rPr>
        <w:t xml:space="preserve"> </w:t>
      </w:r>
      <w:r w:rsidR="004F4EFB">
        <w:rPr>
          <w:rFonts w:cs="Times New Roman"/>
          <w:szCs w:val="24"/>
        </w:rPr>
        <w:t>l</w:t>
      </w:r>
      <w:r w:rsidR="004F4EFB" w:rsidRPr="00F05B4D">
        <w:rPr>
          <w:rFonts w:cs="Times New Roman"/>
          <w:szCs w:val="24"/>
        </w:rPr>
        <w:t>a violazione della disciplina in materia di protezione dei dati personali</w:t>
      </w:r>
      <w:r w:rsidR="004F4EFB">
        <w:rPr>
          <w:rFonts w:cs="Times New Roman"/>
          <w:szCs w:val="24"/>
        </w:rPr>
        <w:t xml:space="preserve"> </w:t>
      </w:r>
      <w:r w:rsidR="00F05B4D">
        <w:rPr>
          <w:rFonts w:cs="Times New Roman"/>
          <w:szCs w:val="24"/>
        </w:rPr>
        <w:t>p</w:t>
      </w:r>
      <w:r>
        <w:rPr>
          <w:rFonts w:cs="Times New Roman"/>
          <w:szCs w:val="24"/>
        </w:rPr>
        <w:t>uò sempre</w:t>
      </w:r>
      <w:r w:rsidR="00F05B4D" w:rsidRPr="00F05B4D">
        <w:rPr>
          <w:rFonts w:cs="Times New Roman"/>
          <w:szCs w:val="24"/>
        </w:rPr>
        <w:t xml:space="preserve"> </w:t>
      </w:r>
      <w:r w:rsidR="004F4EFB">
        <w:rPr>
          <w:rFonts w:cs="Times New Roman"/>
          <w:szCs w:val="24"/>
        </w:rPr>
        <w:t>opporsi al trattamento,</w:t>
      </w:r>
      <w:r w:rsidR="00F05B4D" w:rsidRPr="00F05B4D">
        <w:rPr>
          <w:rFonts w:cs="Times New Roman"/>
          <w:szCs w:val="24"/>
        </w:rPr>
        <w:t xml:space="preserve"> </w:t>
      </w:r>
      <w:r w:rsidR="004F4EFB">
        <w:rPr>
          <w:rFonts w:cs="Times New Roman"/>
          <w:szCs w:val="24"/>
        </w:rPr>
        <w:t xml:space="preserve">rivolgendosi, anche in via d’urgenza, </w:t>
      </w:r>
      <w:r w:rsidR="002021B3">
        <w:rPr>
          <w:rFonts w:cs="Times New Roman"/>
          <w:szCs w:val="24"/>
        </w:rPr>
        <w:t xml:space="preserve">alternativamente </w:t>
      </w:r>
      <w:r w:rsidR="004F4EFB">
        <w:rPr>
          <w:rFonts w:cs="Times New Roman"/>
          <w:szCs w:val="24"/>
        </w:rPr>
        <w:t xml:space="preserve">all’autorità giudiziaria ordinaria ovvero </w:t>
      </w:r>
      <w:r w:rsidR="00F05B4D" w:rsidRPr="00F05B4D">
        <w:rPr>
          <w:rFonts w:cs="Times New Roman"/>
          <w:szCs w:val="24"/>
        </w:rPr>
        <w:t>a</w:t>
      </w:r>
      <w:r w:rsidR="00F05B4D">
        <w:rPr>
          <w:rFonts w:cs="Times New Roman"/>
          <w:szCs w:val="24"/>
        </w:rPr>
        <w:t>l</w:t>
      </w:r>
      <w:r w:rsidR="00F05B4D" w:rsidRPr="00F05B4D">
        <w:rPr>
          <w:rFonts w:cs="Times New Roman"/>
          <w:szCs w:val="24"/>
        </w:rPr>
        <w:t>l</w:t>
      </w:r>
      <w:r w:rsidR="00F05B4D">
        <w:rPr>
          <w:rFonts w:cs="Times New Roman"/>
          <w:szCs w:val="24"/>
        </w:rPr>
        <w:t>’</w:t>
      </w:r>
      <w:r w:rsidR="004F4EFB">
        <w:rPr>
          <w:rFonts w:cs="Times New Roman"/>
          <w:szCs w:val="24"/>
        </w:rPr>
        <w:t>a</w:t>
      </w:r>
      <w:r w:rsidR="00F05B4D">
        <w:rPr>
          <w:rFonts w:cs="Times New Roman"/>
          <w:szCs w:val="24"/>
        </w:rPr>
        <w:t>utorità g</w:t>
      </w:r>
      <w:r w:rsidR="00F05B4D" w:rsidRPr="00F05B4D">
        <w:rPr>
          <w:rFonts w:cs="Times New Roman"/>
          <w:szCs w:val="24"/>
        </w:rPr>
        <w:t>arante</w:t>
      </w:r>
      <w:r w:rsidR="00F05B4D">
        <w:rPr>
          <w:rFonts w:cs="Times New Roman"/>
          <w:szCs w:val="24"/>
        </w:rPr>
        <w:t>, ai sensi dell’</w:t>
      </w:r>
      <w:r w:rsidR="00F05B4D" w:rsidRPr="00F05B4D">
        <w:rPr>
          <w:rFonts w:cs="Times New Roman"/>
          <w:szCs w:val="24"/>
        </w:rPr>
        <w:t>art. 77 del </w:t>
      </w:r>
      <w:hyperlink r:id="rId8" w:history="1">
        <w:r w:rsidR="00F05B4D" w:rsidRPr="00F05B4D">
          <w:t>Regolamento U</w:t>
        </w:r>
        <w:r w:rsidR="00F05B4D">
          <w:t>.E. n.</w:t>
        </w:r>
        <w:r w:rsidR="00F05B4D" w:rsidRPr="00F05B4D">
          <w:t xml:space="preserve"> 2016/679</w:t>
        </w:r>
      </w:hyperlink>
      <w:r w:rsidR="00F05B4D" w:rsidRPr="00F05B4D">
        <w:rPr>
          <w:rFonts w:cs="Times New Roman"/>
          <w:szCs w:val="24"/>
        </w:rPr>
        <w:t> e </w:t>
      </w:r>
      <w:r w:rsidR="00F05B4D">
        <w:rPr>
          <w:rFonts w:cs="Times New Roman"/>
          <w:szCs w:val="24"/>
        </w:rPr>
        <w:t xml:space="preserve">degli </w:t>
      </w:r>
      <w:r w:rsidR="00F05B4D" w:rsidRPr="00F05B4D">
        <w:rPr>
          <w:rFonts w:cs="Times New Roman"/>
          <w:szCs w:val="24"/>
        </w:rPr>
        <w:t>artt. 140-</w:t>
      </w:r>
      <w:r w:rsidR="00F05B4D" w:rsidRPr="00F05B4D">
        <w:rPr>
          <w:rFonts w:cs="Times New Roman"/>
          <w:i/>
          <w:iCs/>
          <w:szCs w:val="24"/>
        </w:rPr>
        <w:t>bis</w:t>
      </w:r>
      <w:r w:rsidR="00F05B4D" w:rsidRPr="00F05B4D">
        <w:rPr>
          <w:rFonts w:cs="Times New Roman"/>
          <w:szCs w:val="24"/>
        </w:rPr>
        <w:t xml:space="preserve"> </w:t>
      </w:r>
      <w:r w:rsidR="00F05B4D">
        <w:rPr>
          <w:rFonts w:cs="Times New Roman"/>
          <w:szCs w:val="24"/>
        </w:rPr>
        <w:t xml:space="preserve">e segg. </w:t>
      </w:r>
      <w:r w:rsidR="00F05B4D" w:rsidRPr="00F05B4D">
        <w:rPr>
          <w:rFonts w:cs="Times New Roman"/>
          <w:szCs w:val="24"/>
        </w:rPr>
        <w:t>del </w:t>
      </w:r>
      <w:hyperlink r:id="rId9" w:history="1">
        <w:r w:rsidR="00F05B4D" w:rsidRPr="00F05B4D">
          <w:t>codice </w:t>
        </w:r>
      </w:hyperlink>
      <w:r w:rsidR="00F05B4D">
        <w:rPr>
          <w:rFonts w:cs="Times New Roman"/>
          <w:szCs w:val="24"/>
        </w:rPr>
        <w:t>sulla</w:t>
      </w:r>
      <w:r w:rsidR="00F05B4D" w:rsidRPr="00F05B4D">
        <w:rPr>
          <w:rFonts w:cs="Times New Roman"/>
          <w:szCs w:val="24"/>
        </w:rPr>
        <w:t xml:space="preserve"> protezione dei dati personali.</w:t>
      </w:r>
    </w:p>
    <w:p w14:paraId="5A426207" w14:textId="1F612059" w:rsidR="00C03B5F" w:rsidRPr="00B3696F" w:rsidRDefault="002021B3" w:rsidP="00AD5DF0">
      <w:pPr>
        <w:ind w:firstLine="567"/>
        <w:rPr>
          <w:rFonts w:cs="Times New Roman"/>
          <w:szCs w:val="24"/>
        </w:rPr>
      </w:pPr>
      <w:r>
        <w:rPr>
          <w:rFonts w:cs="Times New Roman"/>
          <w:szCs w:val="24"/>
        </w:rPr>
        <w:t>La disciplina dell’accesso difensivo è stata ulteriormente definita</w:t>
      </w:r>
      <w:r w:rsidR="00E72F68">
        <w:rPr>
          <w:rFonts w:cs="Times New Roman"/>
          <w:szCs w:val="24"/>
        </w:rPr>
        <w:t xml:space="preserve"> </w:t>
      </w:r>
      <w:r>
        <w:rPr>
          <w:rFonts w:cs="Times New Roman"/>
          <w:szCs w:val="24"/>
        </w:rPr>
        <w:t>dal</w:t>
      </w:r>
      <w:r w:rsidR="00E72F68">
        <w:rPr>
          <w:rFonts w:cs="Times New Roman"/>
          <w:szCs w:val="24"/>
        </w:rPr>
        <w:t>l’Adunanza plenaria</w:t>
      </w:r>
      <w:r w:rsidR="00E75DCF">
        <w:rPr>
          <w:rFonts w:cs="Times New Roman"/>
          <w:szCs w:val="24"/>
        </w:rPr>
        <w:t>,</w:t>
      </w:r>
      <w:r w:rsidR="00AD5DF0">
        <w:rPr>
          <w:rFonts w:cs="Times New Roman"/>
          <w:szCs w:val="24"/>
        </w:rPr>
        <w:t xml:space="preserve"> </w:t>
      </w:r>
      <w:r>
        <w:rPr>
          <w:rFonts w:cs="Times New Roman"/>
          <w:szCs w:val="24"/>
        </w:rPr>
        <w:t>in</w:t>
      </w:r>
      <w:r w:rsidR="00AD5DF0">
        <w:rPr>
          <w:rFonts w:cs="Times New Roman"/>
          <w:szCs w:val="24"/>
        </w:rPr>
        <w:t xml:space="preserve"> </w:t>
      </w:r>
      <w:r w:rsidR="00B427BF">
        <w:rPr>
          <w:rFonts w:cs="Times New Roman"/>
          <w:szCs w:val="24"/>
        </w:rPr>
        <w:t xml:space="preserve">relazione ad </w:t>
      </w:r>
      <w:r w:rsidR="004757F5">
        <w:rPr>
          <w:rFonts w:cs="Times New Roman"/>
          <w:szCs w:val="24"/>
        </w:rPr>
        <w:t>una fattispecie</w:t>
      </w:r>
      <w:r w:rsidR="00AD5DF0">
        <w:rPr>
          <w:rFonts w:cs="Times New Roman"/>
          <w:szCs w:val="24"/>
        </w:rPr>
        <w:t xml:space="preserve"> </w:t>
      </w:r>
      <w:r w:rsidR="00DE38D8">
        <w:rPr>
          <w:rFonts w:cs="Times New Roman"/>
          <w:szCs w:val="24"/>
        </w:rPr>
        <w:t>rigu</w:t>
      </w:r>
      <w:r w:rsidR="00C03B5F" w:rsidRPr="00B3696F">
        <w:rPr>
          <w:rFonts w:cs="Times New Roman"/>
          <w:szCs w:val="24"/>
        </w:rPr>
        <w:t>a</w:t>
      </w:r>
      <w:r w:rsidR="00DE38D8">
        <w:rPr>
          <w:rFonts w:cs="Times New Roman"/>
          <w:szCs w:val="24"/>
        </w:rPr>
        <w:t>rdante</w:t>
      </w:r>
      <w:r w:rsidR="00C03B5F" w:rsidRPr="00B3696F">
        <w:rPr>
          <w:rFonts w:cs="Times New Roman"/>
          <w:szCs w:val="24"/>
        </w:rPr>
        <w:t xml:space="preserve"> </w:t>
      </w:r>
      <w:r w:rsidR="00A92FE9">
        <w:rPr>
          <w:rFonts w:cs="Times New Roman"/>
          <w:szCs w:val="24"/>
        </w:rPr>
        <w:t xml:space="preserve">la </w:t>
      </w:r>
      <w:r w:rsidR="00C03B5F" w:rsidRPr="00B3696F">
        <w:rPr>
          <w:rFonts w:cs="Times New Roman"/>
          <w:szCs w:val="24"/>
        </w:rPr>
        <w:t>document</w:t>
      </w:r>
      <w:r w:rsidR="00A92FE9">
        <w:rPr>
          <w:rFonts w:cs="Times New Roman"/>
          <w:szCs w:val="24"/>
        </w:rPr>
        <w:t>az</w:t>
      </w:r>
      <w:r w:rsidR="00C03B5F" w:rsidRPr="00B3696F">
        <w:rPr>
          <w:rFonts w:cs="Times New Roman"/>
          <w:szCs w:val="24"/>
        </w:rPr>
        <w:t>i</w:t>
      </w:r>
      <w:r w:rsidR="00A92FE9">
        <w:rPr>
          <w:rFonts w:cs="Times New Roman"/>
          <w:szCs w:val="24"/>
        </w:rPr>
        <w:t>one sul</w:t>
      </w:r>
      <w:r w:rsidR="00C03B5F" w:rsidRPr="00B3696F">
        <w:rPr>
          <w:rFonts w:cs="Times New Roman"/>
          <w:szCs w:val="24"/>
        </w:rPr>
        <w:t xml:space="preserve">la posizione finanziaria ed economica </w:t>
      </w:r>
      <w:r w:rsidR="00B427BF">
        <w:rPr>
          <w:rFonts w:cs="Times New Roman"/>
          <w:szCs w:val="24"/>
        </w:rPr>
        <w:t>d</w:t>
      </w:r>
      <w:r w:rsidR="00F14DCF">
        <w:rPr>
          <w:rFonts w:cs="Times New Roman"/>
          <w:szCs w:val="24"/>
        </w:rPr>
        <w:t>i</w:t>
      </w:r>
      <w:r w:rsidR="00B427BF">
        <w:rPr>
          <w:rFonts w:cs="Times New Roman"/>
          <w:szCs w:val="24"/>
        </w:rPr>
        <w:t xml:space="preserve"> un coniuge</w:t>
      </w:r>
      <w:r w:rsidR="00DE38D8">
        <w:rPr>
          <w:rFonts w:cs="Times New Roman"/>
          <w:szCs w:val="24"/>
        </w:rPr>
        <w:t xml:space="preserve">, </w:t>
      </w:r>
      <w:r w:rsidR="00B427BF">
        <w:rPr>
          <w:rFonts w:cs="Times New Roman"/>
          <w:szCs w:val="24"/>
        </w:rPr>
        <w:t>richiest</w:t>
      </w:r>
      <w:r w:rsidR="00A92FE9">
        <w:rPr>
          <w:rFonts w:cs="Times New Roman"/>
          <w:szCs w:val="24"/>
        </w:rPr>
        <w:t>a</w:t>
      </w:r>
      <w:r w:rsidR="00B427BF">
        <w:rPr>
          <w:rFonts w:cs="Times New Roman"/>
          <w:szCs w:val="24"/>
        </w:rPr>
        <w:t xml:space="preserve"> </w:t>
      </w:r>
      <w:r w:rsidR="00A92FE9">
        <w:rPr>
          <w:rFonts w:cs="Times New Roman"/>
          <w:szCs w:val="24"/>
        </w:rPr>
        <w:t xml:space="preserve">all’agenzia fiscale </w:t>
      </w:r>
      <w:r w:rsidR="00B427BF">
        <w:rPr>
          <w:rFonts w:cs="Times New Roman"/>
          <w:szCs w:val="24"/>
        </w:rPr>
        <w:t>dall’altro coniuge</w:t>
      </w:r>
      <w:r w:rsidR="00A92FE9">
        <w:rPr>
          <w:rFonts w:cs="Times New Roman"/>
          <w:szCs w:val="24"/>
        </w:rPr>
        <w:t>,</w:t>
      </w:r>
      <w:r w:rsidR="00B427BF">
        <w:rPr>
          <w:rFonts w:cs="Times New Roman"/>
          <w:szCs w:val="24"/>
        </w:rPr>
        <w:t xml:space="preserve"> </w:t>
      </w:r>
      <w:r w:rsidR="004440B6">
        <w:rPr>
          <w:rFonts w:cs="Times New Roman"/>
          <w:szCs w:val="24"/>
        </w:rPr>
        <w:t>per l’esibizione</w:t>
      </w:r>
      <w:r w:rsidR="00DE38D8">
        <w:rPr>
          <w:rFonts w:cs="Times New Roman"/>
          <w:szCs w:val="24"/>
        </w:rPr>
        <w:t xml:space="preserve"> i</w:t>
      </w:r>
      <w:r w:rsidR="00EF0EC1">
        <w:rPr>
          <w:rFonts w:cs="Times New Roman"/>
          <w:szCs w:val="24"/>
        </w:rPr>
        <w:t>n</w:t>
      </w:r>
      <w:r w:rsidR="00DE38D8">
        <w:rPr>
          <w:rFonts w:cs="Times New Roman"/>
          <w:szCs w:val="24"/>
        </w:rPr>
        <w:t xml:space="preserve"> un giudizio di separazione</w:t>
      </w:r>
      <w:r w:rsidR="00C03B5F" w:rsidRPr="00B3696F">
        <w:rPr>
          <w:rStyle w:val="Rimandonotaapidipagina"/>
          <w:rFonts w:cs="Times New Roman"/>
          <w:szCs w:val="24"/>
        </w:rPr>
        <w:footnoteReference w:id="23"/>
      </w:r>
      <w:r w:rsidR="00C03B5F" w:rsidRPr="00B3696F">
        <w:rPr>
          <w:rFonts w:cs="Times New Roman"/>
          <w:szCs w:val="24"/>
        </w:rPr>
        <w:t>.</w:t>
      </w:r>
    </w:p>
    <w:p w14:paraId="3FB78793" w14:textId="12161F16" w:rsidR="00C03B5F" w:rsidRPr="00B3696F" w:rsidRDefault="00C03B5F" w:rsidP="00C03B5F">
      <w:pPr>
        <w:ind w:firstLine="567"/>
        <w:rPr>
          <w:rFonts w:cs="Times New Roman"/>
          <w:i/>
          <w:iCs/>
          <w:szCs w:val="24"/>
        </w:rPr>
      </w:pPr>
      <w:r w:rsidRPr="00B3696F">
        <w:rPr>
          <w:rFonts w:cs="Times New Roman"/>
          <w:szCs w:val="24"/>
        </w:rPr>
        <w:t>La pronuncia</w:t>
      </w:r>
      <w:r w:rsidR="00AD5DF0">
        <w:rPr>
          <w:rFonts w:cs="Times New Roman"/>
          <w:szCs w:val="24"/>
        </w:rPr>
        <w:t>, dopo aver</w:t>
      </w:r>
      <w:r w:rsidR="00A92FE9">
        <w:rPr>
          <w:rFonts w:cs="Times New Roman"/>
          <w:szCs w:val="24"/>
        </w:rPr>
        <w:t>e</w:t>
      </w:r>
      <w:r w:rsidR="00AD5DF0">
        <w:rPr>
          <w:rFonts w:cs="Times New Roman"/>
          <w:szCs w:val="24"/>
        </w:rPr>
        <w:t xml:space="preserve"> </w:t>
      </w:r>
      <w:r>
        <w:rPr>
          <w:rFonts w:cs="Times New Roman"/>
          <w:szCs w:val="24"/>
        </w:rPr>
        <w:t>qualifica</w:t>
      </w:r>
      <w:r w:rsidR="00AD5DF0">
        <w:rPr>
          <w:rFonts w:cs="Times New Roman"/>
          <w:szCs w:val="24"/>
        </w:rPr>
        <w:t>t</w:t>
      </w:r>
      <w:r>
        <w:rPr>
          <w:rFonts w:cs="Times New Roman"/>
          <w:szCs w:val="24"/>
        </w:rPr>
        <w:t xml:space="preserve">o </w:t>
      </w:r>
      <w:r w:rsidRPr="00B3696F">
        <w:rPr>
          <w:rFonts w:cs="Times New Roman"/>
          <w:szCs w:val="24"/>
        </w:rPr>
        <w:t xml:space="preserve">i dati </w:t>
      </w:r>
      <w:r>
        <w:rPr>
          <w:rFonts w:cs="Times New Roman"/>
          <w:szCs w:val="24"/>
        </w:rPr>
        <w:t xml:space="preserve">come </w:t>
      </w:r>
      <w:r w:rsidRPr="00B3696F">
        <w:rPr>
          <w:rFonts w:cs="Times New Roman"/>
          <w:i/>
          <w:iCs/>
          <w:szCs w:val="24"/>
        </w:rPr>
        <w:t>sensibili</w:t>
      </w:r>
      <w:r w:rsidRPr="00B3696F">
        <w:rPr>
          <w:rFonts w:cs="Times New Roman"/>
          <w:szCs w:val="24"/>
        </w:rPr>
        <w:t xml:space="preserve"> e non </w:t>
      </w:r>
      <w:r w:rsidR="00DA2D66">
        <w:rPr>
          <w:rFonts w:cs="Times New Roman"/>
          <w:szCs w:val="24"/>
        </w:rPr>
        <w:t xml:space="preserve">come </w:t>
      </w:r>
      <w:r w:rsidRPr="00B3696F">
        <w:rPr>
          <w:rFonts w:cs="Times New Roman"/>
          <w:i/>
          <w:iCs/>
          <w:szCs w:val="24"/>
        </w:rPr>
        <w:t>super</w:t>
      </w:r>
      <w:r w:rsidR="00DA2D66">
        <w:rPr>
          <w:rFonts w:cs="Times New Roman"/>
          <w:i/>
          <w:iCs/>
          <w:szCs w:val="24"/>
        </w:rPr>
        <w:t>-</w:t>
      </w:r>
      <w:r w:rsidRPr="00B3696F">
        <w:rPr>
          <w:rFonts w:cs="Times New Roman"/>
          <w:i/>
          <w:iCs/>
          <w:szCs w:val="24"/>
        </w:rPr>
        <w:t>sensibili</w:t>
      </w:r>
      <w:r w:rsidRPr="00B3696F">
        <w:rPr>
          <w:rFonts w:cs="Times New Roman"/>
          <w:szCs w:val="24"/>
        </w:rPr>
        <w:t xml:space="preserve">, </w:t>
      </w:r>
      <w:r w:rsidR="00AD5DF0">
        <w:rPr>
          <w:rFonts w:cs="Times New Roman"/>
          <w:szCs w:val="24"/>
        </w:rPr>
        <w:t xml:space="preserve">ha </w:t>
      </w:r>
      <w:r w:rsidR="00A92FE9">
        <w:rPr>
          <w:rFonts w:cs="Times New Roman"/>
          <w:szCs w:val="24"/>
        </w:rPr>
        <w:t>esclus</w:t>
      </w:r>
      <w:r w:rsidR="00AD5DF0">
        <w:rPr>
          <w:rFonts w:cs="Times New Roman"/>
          <w:szCs w:val="24"/>
        </w:rPr>
        <w:t>o che</w:t>
      </w:r>
      <w:r w:rsidR="002021B3">
        <w:rPr>
          <w:rFonts w:cs="Times New Roman"/>
          <w:szCs w:val="24"/>
        </w:rPr>
        <w:t xml:space="preserve"> per essi</w:t>
      </w:r>
      <w:r w:rsidR="00AD5DF0">
        <w:rPr>
          <w:rFonts w:cs="Times New Roman"/>
          <w:szCs w:val="24"/>
        </w:rPr>
        <w:t xml:space="preserve"> </w:t>
      </w:r>
      <w:r w:rsidR="00F14DCF">
        <w:rPr>
          <w:rFonts w:cs="Times New Roman"/>
          <w:szCs w:val="24"/>
        </w:rPr>
        <w:t xml:space="preserve">operino </w:t>
      </w:r>
      <w:r w:rsidRPr="00B3696F">
        <w:rPr>
          <w:rFonts w:cs="Times New Roman"/>
          <w:szCs w:val="24"/>
        </w:rPr>
        <w:t xml:space="preserve">i criteri dell’indispensabilità e della parità di rango, </w:t>
      </w:r>
      <w:r w:rsidR="00AD5DF0">
        <w:rPr>
          <w:rFonts w:cs="Times New Roman"/>
          <w:szCs w:val="24"/>
        </w:rPr>
        <w:t xml:space="preserve">dovendosi applicare </w:t>
      </w:r>
      <w:r w:rsidRPr="00B3696F">
        <w:rPr>
          <w:rFonts w:cs="Times New Roman"/>
          <w:szCs w:val="24"/>
        </w:rPr>
        <w:t xml:space="preserve">il criterio generale della </w:t>
      </w:r>
      <w:r>
        <w:rPr>
          <w:rFonts w:cs="Times New Roman"/>
          <w:szCs w:val="24"/>
        </w:rPr>
        <w:t>funzionalità al</w:t>
      </w:r>
      <w:r w:rsidRPr="00B3696F">
        <w:rPr>
          <w:rFonts w:cs="Times New Roman"/>
          <w:szCs w:val="24"/>
        </w:rPr>
        <w:t>la cura e difesa di un interesse giuridico, ritenuto dal legislatore tendenzialmente prevalente sulla tutela della riservatezza.</w:t>
      </w:r>
    </w:p>
    <w:p w14:paraId="7ED8F4DB" w14:textId="0111C1BB" w:rsidR="00C03B5F" w:rsidRDefault="004757F5" w:rsidP="00E75DCF">
      <w:pPr>
        <w:ind w:firstLine="567"/>
        <w:rPr>
          <w:rFonts w:cs="Times New Roman"/>
          <w:szCs w:val="24"/>
        </w:rPr>
      </w:pPr>
      <w:r>
        <w:rPr>
          <w:rFonts w:cs="Times New Roman"/>
          <w:szCs w:val="24"/>
        </w:rPr>
        <w:t>Ta</w:t>
      </w:r>
      <w:r w:rsidR="00AD5DF0">
        <w:rPr>
          <w:rFonts w:cs="Times New Roman"/>
          <w:szCs w:val="24"/>
        </w:rPr>
        <w:t>l</w:t>
      </w:r>
      <w:r>
        <w:rPr>
          <w:rFonts w:cs="Times New Roman"/>
          <w:szCs w:val="24"/>
        </w:rPr>
        <w:t>e</w:t>
      </w:r>
      <w:r w:rsidR="00AD5DF0">
        <w:rPr>
          <w:rFonts w:cs="Times New Roman"/>
          <w:szCs w:val="24"/>
        </w:rPr>
        <w:t xml:space="preserve"> </w:t>
      </w:r>
      <w:r w:rsidR="00C03B5F" w:rsidRPr="00B3696F">
        <w:rPr>
          <w:rFonts w:cs="Times New Roman"/>
          <w:szCs w:val="24"/>
        </w:rPr>
        <w:t xml:space="preserve">nesso di strumentalità </w:t>
      </w:r>
      <w:r w:rsidR="00E75DCF">
        <w:rPr>
          <w:rFonts w:cs="Times New Roman"/>
          <w:szCs w:val="24"/>
        </w:rPr>
        <w:t xml:space="preserve">– </w:t>
      </w:r>
      <w:r w:rsidR="00C03B5F" w:rsidRPr="00B3696F">
        <w:rPr>
          <w:rFonts w:cs="Times New Roman"/>
          <w:szCs w:val="24"/>
        </w:rPr>
        <w:t>tra la documentazione richiesta e la situazione finale che l’istante intende curare o tutelare</w:t>
      </w:r>
      <w:r w:rsidR="00C03B5F">
        <w:rPr>
          <w:rFonts w:cs="Times New Roman"/>
          <w:szCs w:val="24"/>
        </w:rPr>
        <w:t xml:space="preserve"> </w:t>
      </w:r>
      <w:r w:rsidR="00E75DCF">
        <w:rPr>
          <w:rFonts w:cs="Times New Roman"/>
          <w:szCs w:val="24"/>
        </w:rPr>
        <w:t xml:space="preserve">– </w:t>
      </w:r>
      <w:r w:rsidR="00C03B5F" w:rsidRPr="00B3696F">
        <w:rPr>
          <w:rFonts w:cs="Times New Roman"/>
          <w:szCs w:val="24"/>
        </w:rPr>
        <w:t>de</w:t>
      </w:r>
      <w:r w:rsidR="00AD5DF0">
        <w:rPr>
          <w:rFonts w:cs="Times New Roman"/>
          <w:szCs w:val="24"/>
        </w:rPr>
        <w:t>v</w:t>
      </w:r>
      <w:r w:rsidR="00791E76">
        <w:rPr>
          <w:rFonts w:cs="Times New Roman"/>
          <w:szCs w:val="24"/>
        </w:rPr>
        <w:t>’</w:t>
      </w:r>
      <w:r w:rsidR="00C03B5F" w:rsidRPr="00B3696F">
        <w:rPr>
          <w:rFonts w:cs="Times New Roman"/>
          <w:szCs w:val="24"/>
        </w:rPr>
        <w:t>essere oggetto di un vaglio rigoroso e motivato</w:t>
      </w:r>
      <w:r w:rsidR="00C03B5F" w:rsidRPr="00DA3414">
        <w:rPr>
          <w:rFonts w:cs="Times New Roman"/>
          <w:szCs w:val="24"/>
        </w:rPr>
        <w:t xml:space="preserve"> </w:t>
      </w:r>
      <w:r w:rsidR="00C03B5F">
        <w:rPr>
          <w:rFonts w:cs="Times New Roman"/>
          <w:szCs w:val="24"/>
        </w:rPr>
        <w:t>d</w:t>
      </w:r>
      <w:r w:rsidR="00C03B5F" w:rsidRPr="00B3696F">
        <w:rPr>
          <w:rFonts w:cs="Times New Roman"/>
          <w:szCs w:val="24"/>
        </w:rPr>
        <w:t>a</w:t>
      </w:r>
      <w:r w:rsidR="00C03B5F">
        <w:rPr>
          <w:rFonts w:cs="Times New Roman"/>
          <w:szCs w:val="24"/>
        </w:rPr>
        <w:t xml:space="preserve"> parte de</w:t>
      </w:r>
      <w:r w:rsidR="00C03B5F" w:rsidRPr="00B3696F">
        <w:rPr>
          <w:rFonts w:cs="Times New Roman"/>
          <w:szCs w:val="24"/>
        </w:rPr>
        <w:t xml:space="preserve">lla P.A., </w:t>
      </w:r>
      <w:r w:rsidR="00AD5DF0">
        <w:rPr>
          <w:rFonts w:cs="Times New Roman"/>
          <w:szCs w:val="24"/>
        </w:rPr>
        <w:t xml:space="preserve">che </w:t>
      </w:r>
      <w:r w:rsidR="00E75DCF">
        <w:rPr>
          <w:rFonts w:cs="Times New Roman"/>
          <w:szCs w:val="24"/>
        </w:rPr>
        <w:t>comunque</w:t>
      </w:r>
      <w:r w:rsidR="002021B3">
        <w:rPr>
          <w:rFonts w:cs="Times New Roman"/>
          <w:szCs w:val="24"/>
        </w:rPr>
        <w:t xml:space="preserve"> </w:t>
      </w:r>
      <w:r w:rsidR="00AD5DF0">
        <w:rPr>
          <w:rFonts w:cs="Times New Roman"/>
          <w:szCs w:val="24"/>
        </w:rPr>
        <w:t>non può spingersi fino a</w:t>
      </w:r>
      <w:r w:rsidR="00791E76">
        <w:rPr>
          <w:rFonts w:cs="Times New Roman"/>
          <w:szCs w:val="24"/>
        </w:rPr>
        <w:t>ll</w:t>
      </w:r>
      <w:r w:rsidR="00C03B5F" w:rsidRPr="00B3696F">
        <w:rPr>
          <w:rFonts w:cs="Times New Roman"/>
          <w:szCs w:val="24"/>
        </w:rPr>
        <w:t>a v</w:t>
      </w:r>
      <w:r w:rsidR="00AD5DF0">
        <w:rPr>
          <w:rFonts w:cs="Times New Roman"/>
          <w:szCs w:val="24"/>
        </w:rPr>
        <w:t>erific</w:t>
      </w:r>
      <w:r w:rsidR="00C03B5F" w:rsidRPr="00B3696F">
        <w:rPr>
          <w:rFonts w:cs="Times New Roman"/>
          <w:szCs w:val="24"/>
        </w:rPr>
        <w:t>a</w:t>
      </w:r>
      <w:r w:rsidR="00AD5DF0">
        <w:rPr>
          <w:rFonts w:cs="Times New Roman"/>
          <w:szCs w:val="24"/>
        </w:rPr>
        <w:t xml:space="preserve"> </w:t>
      </w:r>
      <w:r w:rsidR="00791E76">
        <w:rPr>
          <w:rFonts w:cs="Times New Roman"/>
          <w:szCs w:val="24"/>
        </w:rPr>
        <w:t>del</w:t>
      </w:r>
      <w:r w:rsidR="00C03B5F" w:rsidRPr="00B3696F">
        <w:rPr>
          <w:rFonts w:cs="Times New Roman"/>
          <w:szCs w:val="24"/>
        </w:rPr>
        <w:t xml:space="preserve">l’ammissibilità, influenza o decisività del documento </w:t>
      </w:r>
      <w:r w:rsidR="00C03B5F">
        <w:rPr>
          <w:rFonts w:cs="Times New Roman"/>
          <w:szCs w:val="24"/>
        </w:rPr>
        <w:t>i</w:t>
      </w:r>
      <w:r w:rsidR="00C03B5F" w:rsidRPr="00B3696F">
        <w:rPr>
          <w:rFonts w:cs="Times New Roman"/>
          <w:szCs w:val="24"/>
        </w:rPr>
        <w:t>n</w:t>
      </w:r>
      <w:r w:rsidR="00C03B5F">
        <w:rPr>
          <w:rFonts w:cs="Times New Roman"/>
          <w:szCs w:val="24"/>
        </w:rPr>
        <w:t xml:space="preserve"> sede </w:t>
      </w:r>
      <w:r w:rsidR="00C03B5F" w:rsidRPr="00B3696F">
        <w:rPr>
          <w:rFonts w:cs="Times New Roman"/>
          <w:szCs w:val="24"/>
        </w:rPr>
        <w:t>giudizi</w:t>
      </w:r>
      <w:r w:rsidR="00C03B5F">
        <w:rPr>
          <w:rFonts w:cs="Times New Roman"/>
          <w:szCs w:val="24"/>
        </w:rPr>
        <w:t>aria</w:t>
      </w:r>
      <w:r w:rsidR="00C03B5F" w:rsidRPr="00B3696F">
        <w:rPr>
          <w:rFonts w:cs="Times New Roman"/>
          <w:szCs w:val="24"/>
        </w:rPr>
        <w:t>, poiché un simile apprezzamento compete, se del caso, solo all’autorità giudiziaria investita.</w:t>
      </w:r>
    </w:p>
    <w:p w14:paraId="64366952" w14:textId="2ABDF428" w:rsidR="00C03B5F" w:rsidRPr="00EE0BF0" w:rsidRDefault="00722FBB" w:rsidP="00C03B5F">
      <w:pPr>
        <w:ind w:firstLine="567"/>
        <w:rPr>
          <w:rFonts w:cs="Times New Roman"/>
          <w:szCs w:val="24"/>
        </w:rPr>
      </w:pPr>
      <w:r>
        <w:rPr>
          <w:rFonts w:cs="Times New Roman"/>
          <w:szCs w:val="24"/>
        </w:rPr>
        <w:t xml:space="preserve">Sempre in materia di dati fiscali, </w:t>
      </w:r>
      <w:r w:rsidR="00E75DCF">
        <w:rPr>
          <w:rFonts w:cs="Times New Roman"/>
          <w:szCs w:val="24"/>
        </w:rPr>
        <w:t xml:space="preserve">si segnala </w:t>
      </w:r>
      <w:r>
        <w:rPr>
          <w:rFonts w:cs="Times New Roman"/>
          <w:szCs w:val="24"/>
        </w:rPr>
        <w:t>una recente pronuncia</w:t>
      </w:r>
      <w:r w:rsidR="002021B3" w:rsidRPr="002021B3">
        <w:rPr>
          <w:rFonts w:cs="Times New Roman"/>
          <w:szCs w:val="24"/>
        </w:rPr>
        <w:t xml:space="preserve"> </w:t>
      </w:r>
      <w:r w:rsidR="002021B3">
        <w:rPr>
          <w:rFonts w:cs="Times New Roman"/>
          <w:szCs w:val="24"/>
        </w:rPr>
        <w:t>de</w:t>
      </w:r>
      <w:r w:rsidR="002021B3" w:rsidRPr="00EE0BF0">
        <w:rPr>
          <w:rFonts w:cs="Times New Roman"/>
          <w:szCs w:val="24"/>
        </w:rPr>
        <w:t>l giudice amministrativo</w:t>
      </w:r>
      <w:r w:rsidR="00E75DCF">
        <w:rPr>
          <w:rFonts w:cs="Times New Roman"/>
          <w:szCs w:val="24"/>
        </w:rPr>
        <w:t xml:space="preserve"> che</w:t>
      </w:r>
      <w:r>
        <w:rPr>
          <w:rFonts w:cs="Times New Roman"/>
          <w:szCs w:val="24"/>
        </w:rPr>
        <w:t>, nel ritenere l</w:t>
      </w:r>
      <w:r w:rsidR="00C03B5F">
        <w:rPr>
          <w:rFonts w:cs="Times New Roman"/>
          <w:szCs w:val="24"/>
        </w:rPr>
        <w:t xml:space="preserve">a </w:t>
      </w:r>
      <w:r w:rsidR="00C03B5F" w:rsidRPr="00EE0BF0">
        <w:rPr>
          <w:rFonts w:cs="Times New Roman"/>
          <w:szCs w:val="24"/>
        </w:rPr>
        <w:t xml:space="preserve">giurisdizione </w:t>
      </w:r>
      <w:r>
        <w:rPr>
          <w:rFonts w:cs="Times New Roman"/>
          <w:szCs w:val="24"/>
        </w:rPr>
        <w:t xml:space="preserve">esclusiva </w:t>
      </w:r>
      <w:r w:rsidR="00C03B5F">
        <w:rPr>
          <w:rFonts w:cs="Times New Roman"/>
          <w:szCs w:val="24"/>
        </w:rPr>
        <w:t xml:space="preserve">anche </w:t>
      </w:r>
      <w:r w:rsidR="00791E76">
        <w:rPr>
          <w:rFonts w:cs="Times New Roman"/>
          <w:szCs w:val="24"/>
        </w:rPr>
        <w:t>per</w:t>
      </w:r>
      <w:r w:rsidR="00C03B5F" w:rsidRPr="001C2797">
        <w:rPr>
          <w:rFonts w:cs="Times New Roman"/>
          <w:szCs w:val="24"/>
        </w:rPr>
        <w:t xml:space="preserve"> </w:t>
      </w:r>
      <w:r w:rsidR="00C03B5F" w:rsidRPr="00EE0BF0">
        <w:rPr>
          <w:rFonts w:cs="Times New Roman"/>
          <w:szCs w:val="24"/>
        </w:rPr>
        <w:t xml:space="preserve">l’accesso di cui </w:t>
      </w:r>
      <w:r w:rsidR="00C03B5F">
        <w:rPr>
          <w:rFonts w:cs="Times New Roman"/>
          <w:szCs w:val="24"/>
        </w:rPr>
        <w:t>a</w:t>
      </w:r>
      <w:r w:rsidR="00C03B5F" w:rsidRPr="00EE0BF0">
        <w:rPr>
          <w:rFonts w:cs="Times New Roman"/>
          <w:szCs w:val="24"/>
        </w:rPr>
        <w:t>ll</w:t>
      </w:r>
      <w:r w:rsidR="00C03B5F">
        <w:rPr>
          <w:rFonts w:cs="Times New Roman"/>
          <w:szCs w:val="24"/>
        </w:rPr>
        <w:t>’</w:t>
      </w:r>
      <w:r w:rsidR="00C03B5F" w:rsidRPr="00EE0BF0">
        <w:rPr>
          <w:rFonts w:cs="Times New Roman"/>
          <w:szCs w:val="24"/>
        </w:rPr>
        <w:t>art. 6-</w:t>
      </w:r>
      <w:r w:rsidR="00C03B5F" w:rsidRPr="00EE0BF0">
        <w:rPr>
          <w:rFonts w:cs="Times New Roman"/>
          <w:i/>
          <w:iCs/>
          <w:szCs w:val="24"/>
        </w:rPr>
        <w:t>bis</w:t>
      </w:r>
      <w:r w:rsidR="00C03B5F">
        <w:rPr>
          <w:rFonts w:cs="Times New Roman"/>
          <w:szCs w:val="24"/>
        </w:rPr>
        <w:t xml:space="preserve">, </w:t>
      </w:r>
      <w:r w:rsidR="00C03B5F" w:rsidRPr="00EE0BF0">
        <w:rPr>
          <w:rFonts w:cs="Times New Roman"/>
          <w:szCs w:val="24"/>
        </w:rPr>
        <w:t>comma 3</w:t>
      </w:r>
      <w:r w:rsidR="00C03B5F">
        <w:rPr>
          <w:rFonts w:cs="Times New Roman"/>
          <w:szCs w:val="24"/>
        </w:rPr>
        <w:t>,</w:t>
      </w:r>
      <w:r w:rsidR="00C03B5F" w:rsidRPr="00EE0BF0">
        <w:rPr>
          <w:rFonts w:cs="Times New Roman"/>
          <w:szCs w:val="24"/>
        </w:rPr>
        <w:t xml:space="preserve"> dell</w:t>
      </w:r>
      <w:r w:rsidR="00C03B5F">
        <w:rPr>
          <w:rFonts w:cs="Times New Roman"/>
          <w:szCs w:val="24"/>
        </w:rPr>
        <w:t>o S</w:t>
      </w:r>
      <w:r w:rsidR="00C03B5F" w:rsidRPr="00EE0BF0">
        <w:rPr>
          <w:rFonts w:cs="Times New Roman"/>
          <w:szCs w:val="24"/>
        </w:rPr>
        <w:t>tatuto dei diritti del contribuente</w:t>
      </w:r>
      <w:r>
        <w:rPr>
          <w:rFonts w:cs="Times New Roman"/>
          <w:szCs w:val="24"/>
        </w:rPr>
        <w:t xml:space="preserve"> (</w:t>
      </w:r>
      <w:r w:rsidR="00C03B5F" w:rsidRPr="00EE0BF0">
        <w:rPr>
          <w:rFonts w:cs="Times New Roman"/>
          <w:szCs w:val="24"/>
        </w:rPr>
        <w:t>che consente al contribuente di visionare gli atti del fascicolo dopo la notifica dello schema di provvedimento</w:t>
      </w:r>
      <w:r>
        <w:rPr>
          <w:rFonts w:cs="Times New Roman"/>
          <w:szCs w:val="24"/>
        </w:rPr>
        <w:t>),</w:t>
      </w:r>
      <w:r w:rsidRPr="00722FBB">
        <w:rPr>
          <w:rFonts w:cs="Times New Roman"/>
          <w:szCs w:val="24"/>
        </w:rPr>
        <w:t xml:space="preserve"> </w:t>
      </w:r>
      <w:r>
        <w:rPr>
          <w:rFonts w:cs="Times New Roman"/>
          <w:szCs w:val="24"/>
        </w:rPr>
        <w:t xml:space="preserve">ha limitato tale forma di </w:t>
      </w:r>
      <w:r w:rsidRPr="00EE0BF0">
        <w:rPr>
          <w:rFonts w:cs="Times New Roman"/>
          <w:szCs w:val="24"/>
        </w:rPr>
        <w:t xml:space="preserve">accesso ai </w:t>
      </w:r>
      <w:r w:rsidR="002021B3">
        <w:rPr>
          <w:rFonts w:cs="Times New Roman"/>
          <w:szCs w:val="24"/>
        </w:rPr>
        <w:t xml:space="preserve">soli </w:t>
      </w:r>
      <w:r w:rsidRPr="00EE0BF0">
        <w:rPr>
          <w:rFonts w:cs="Times New Roman"/>
          <w:szCs w:val="24"/>
        </w:rPr>
        <w:t>documenti su cui si fonda l</w:t>
      </w:r>
      <w:r>
        <w:rPr>
          <w:rFonts w:cs="Times New Roman"/>
          <w:szCs w:val="24"/>
        </w:rPr>
        <w:t>’</w:t>
      </w:r>
      <w:r w:rsidRPr="00EE0BF0">
        <w:rPr>
          <w:rFonts w:cs="Times New Roman"/>
          <w:szCs w:val="24"/>
        </w:rPr>
        <w:t>accertamento specifico</w:t>
      </w:r>
      <w:r>
        <w:rPr>
          <w:rFonts w:cs="Times New Roman"/>
          <w:szCs w:val="24"/>
        </w:rPr>
        <w:t>,</w:t>
      </w:r>
      <w:r w:rsidRPr="00EE0BF0">
        <w:rPr>
          <w:rFonts w:cs="Times New Roman"/>
          <w:szCs w:val="24"/>
        </w:rPr>
        <w:t xml:space="preserve"> </w:t>
      </w:r>
      <w:r>
        <w:rPr>
          <w:rFonts w:cs="Times New Roman"/>
          <w:szCs w:val="24"/>
        </w:rPr>
        <w:t>s</w:t>
      </w:r>
      <w:r w:rsidRPr="00EE0BF0">
        <w:rPr>
          <w:rFonts w:cs="Times New Roman"/>
          <w:szCs w:val="24"/>
        </w:rPr>
        <w:t>e</w:t>
      </w:r>
      <w:r>
        <w:rPr>
          <w:rFonts w:cs="Times New Roman"/>
          <w:szCs w:val="24"/>
        </w:rPr>
        <w:t>nza</w:t>
      </w:r>
      <w:r w:rsidRPr="00EE0BF0">
        <w:rPr>
          <w:rFonts w:cs="Times New Roman"/>
          <w:szCs w:val="24"/>
        </w:rPr>
        <w:t xml:space="preserve"> </w:t>
      </w:r>
      <w:r w:rsidR="002021B3">
        <w:rPr>
          <w:rFonts w:cs="Times New Roman"/>
          <w:szCs w:val="24"/>
        </w:rPr>
        <w:t>estenderla</w:t>
      </w:r>
      <w:r w:rsidRPr="00EE0BF0">
        <w:rPr>
          <w:rFonts w:cs="Times New Roman"/>
          <w:szCs w:val="24"/>
        </w:rPr>
        <w:t xml:space="preserve"> </w:t>
      </w:r>
      <w:r w:rsidR="002021B3">
        <w:rPr>
          <w:rFonts w:cs="Times New Roman"/>
          <w:szCs w:val="24"/>
        </w:rPr>
        <w:t>a</w:t>
      </w:r>
      <w:r w:rsidRPr="00EE0BF0">
        <w:rPr>
          <w:rFonts w:cs="Times New Roman"/>
          <w:szCs w:val="24"/>
        </w:rPr>
        <w:t>gli atti relativi a soggetti terzi</w:t>
      </w:r>
      <w:r>
        <w:rPr>
          <w:rStyle w:val="Rimandonotaapidipagina"/>
          <w:rFonts w:cs="Times New Roman"/>
          <w:szCs w:val="24"/>
        </w:rPr>
        <w:t xml:space="preserve"> </w:t>
      </w:r>
      <w:r w:rsidR="00C03B5F">
        <w:rPr>
          <w:rStyle w:val="Rimandonotaapidipagina"/>
          <w:rFonts w:cs="Times New Roman"/>
          <w:szCs w:val="24"/>
        </w:rPr>
        <w:footnoteReference w:id="24"/>
      </w:r>
      <w:r w:rsidR="00C03B5F" w:rsidRPr="00EE0BF0">
        <w:rPr>
          <w:rFonts w:cs="Times New Roman"/>
          <w:szCs w:val="24"/>
        </w:rPr>
        <w:t>.</w:t>
      </w:r>
    </w:p>
    <w:p w14:paraId="635F3000" w14:textId="0732C940" w:rsidR="00C03B5F" w:rsidRPr="00B3696F" w:rsidRDefault="00791E76" w:rsidP="00C03B5F">
      <w:pPr>
        <w:ind w:firstLine="567"/>
        <w:rPr>
          <w:rFonts w:cs="Times New Roman"/>
          <w:szCs w:val="24"/>
        </w:rPr>
      </w:pPr>
      <w:r>
        <w:rPr>
          <w:rFonts w:cs="Times New Roman"/>
          <w:szCs w:val="24"/>
        </w:rPr>
        <w:t>S</w:t>
      </w:r>
      <w:r w:rsidR="00C03B5F" w:rsidRPr="00B3696F">
        <w:rPr>
          <w:rFonts w:cs="Times New Roman"/>
          <w:szCs w:val="24"/>
        </w:rPr>
        <w:t xml:space="preserve">ulla </w:t>
      </w:r>
      <w:r w:rsidR="00722FBB">
        <w:rPr>
          <w:rFonts w:cs="Times New Roman"/>
          <w:szCs w:val="24"/>
        </w:rPr>
        <w:t xml:space="preserve">scorta </w:t>
      </w:r>
      <w:r w:rsidR="00C03B5F" w:rsidRPr="00B3696F">
        <w:rPr>
          <w:rFonts w:cs="Times New Roman"/>
          <w:szCs w:val="24"/>
        </w:rPr>
        <w:t xml:space="preserve">di </w:t>
      </w:r>
      <w:r w:rsidR="00722FBB">
        <w:rPr>
          <w:rFonts w:cs="Times New Roman"/>
          <w:szCs w:val="24"/>
        </w:rPr>
        <w:t>queste</w:t>
      </w:r>
      <w:r w:rsidR="00C03B5F" w:rsidRPr="00B3696F">
        <w:rPr>
          <w:rFonts w:cs="Times New Roman"/>
          <w:szCs w:val="24"/>
        </w:rPr>
        <w:t xml:space="preserve"> coordinate, la giurisprudenza </w:t>
      </w:r>
      <w:r w:rsidR="00C03B5F">
        <w:rPr>
          <w:rFonts w:cs="Times New Roman"/>
          <w:szCs w:val="24"/>
        </w:rPr>
        <w:t xml:space="preserve">amministrativa </w:t>
      </w:r>
      <w:r w:rsidR="00C03B5F" w:rsidRPr="00B3696F">
        <w:rPr>
          <w:rFonts w:cs="Times New Roman"/>
          <w:szCs w:val="24"/>
        </w:rPr>
        <w:t xml:space="preserve">ha ritenuto ostensibili svariate tipologie di documenti </w:t>
      </w:r>
      <w:r w:rsidR="00C03B5F" w:rsidRPr="00DA3414">
        <w:rPr>
          <w:rFonts w:cs="Times New Roman"/>
          <w:i/>
          <w:iCs/>
          <w:szCs w:val="24"/>
        </w:rPr>
        <w:t>sensibili</w:t>
      </w:r>
      <w:r w:rsidR="00C03B5F" w:rsidRPr="00B3696F">
        <w:rPr>
          <w:rFonts w:cs="Times New Roman"/>
          <w:szCs w:val="24"/>
        </w:rPr>
        <w:t>, quali, ad esempio:</w:t>
      </w:r>
    </w:p>
    <w:p w14:paraId="55C148A4" w14:textId="77777777" w:rsidR="00C03B5F" w:rsidRPr="00B3696F" w:rsidRDefault="00C03B5F" w:rsidP="00C03B5F">
      <w:pPr>
        <w:ind w:firstLine="567"/>
        <w:rPr>
          <w:rFonts w:cs="Times New Roman"/>
          <w:szCs w:val="24"/>
        </w:rPr>
      </w:pPr>
      <w:r w:rsidRPr="00B3696F">
        <w:rPr>
          <w:rFonts w:cs="Times New Roman"/>
          <w:szCs w:val="24"/>
        </w:rPr>
        <w:t xml:space="preserve">- le fatture ed i dati di produzione di un impianto </w:t>
      </w:r>
      <w:r>
        <w:rPr>
          <w:rFonts w:cs="Times New Roman"/>
          <w:szCs w:val="24"/>
        </w:rPr>
        <w:t xml:space="preserve">per </w:t>
      </w:r>
      <w:r w:rsidRPr="00B3696F">
        <w:rPr>
          <w:rFonts w:cs="Times New Roman"/>
          <w:szCs w:val="24"/>
        </w:rPr>
        <w:t xml:space="preserve">energia alternativa, al fine di </w:t>
      </w:r>
      <w:r>
        <w:rPr>
          <w:rFonts w:cs="Times New Roman"/>
          <w:szCs w:val="24"/>
        </w:rPr>
        <w:t xml:space="preserve">poter </w:t>
      </w:r>
      <w:r w:rsidRPr="00B3696F">
        <w:rPr>
          <w:rFonts w:cs="Times New Roman"/>
          <w:szCs w:val="24"/>
        </w:rPr>
        <w:t xml:space="preserve">esercitare un </w:t>
      </w:r>
      <w:r>
        <w:rPr>
          <w:rFonts w:cs="Times New Roman"/>
          <w:szCs w:val="24"/>
        </w:rPr>
        <w:t xml:space="preserve">diritto di </w:t>
      </w:r>
      <w:r w:rsidRPr="00B3696F">
        <w:rPr>
          <w:rFonts w:cs="Times New Roman"/>
          <w:szCs w:val="24"/>
        </w:rPr>
        <w:t>credito verso il suo titolare</w:t>
      </w:r>
      <w:r w:rsidRPr="00B3696F">
        <w:rPr>
          <w:rStyle w:val="Rimandonotaapidipagina"/>
          <w:rFonts w:cs="Times New Roman"/>
          <w:szCs w:val="24"/>
        </w:rPr>
        <w:footnoteReference w:id="25"/>
      </w:r>
      <w:r w:rsidRPr="00B3696F">
        <w:rPr>
          <w:rFonts w:cs="Times New Roman"/>
          <w:szCs w:val="24"/>
        </w:rPr>
        <w:t>;</w:t>
      </w:r>
    </w:p>
    <w:p w14:paraId="730C90D8" w14:textId="77777777" w:rsidR="00C03B5F" w:rsidRPr="00B3696F" w:rsidRDefault="00C03B5F" w:rsidP="00C03B5F">
      <w:pPr>
        <w:ind w:firstLine="567"/>
        <w:rPr>
          <w:rFonts w:cs="Times New Roman"/>
          <w:szCs w:val="24"/>
        </w:rPr>
      </w:pPr>
      <w:r w:rsidRPr="00B3696F">
        <w:rPr>
          <w:rFonts w:cs="Times New Roman"/>
          <w:szCs w:val="24"/>
        </w:rPr>
        <w:t xml:space="preserve">- </w:t>
      </w:r>
      <w:r>
        <w:rPr>
          <w:rFonts w:cs="Times New Roman"/>
          <w:szCs w:val="24"/>
        </w:rPr>
        <w:t>gli</w:t>
      </w:r>
      <w:r w:rsidRPr="00B3696F">
        <w:rPr>
          <w:rFonts w:cs="Times New Roman"/>
          <w:szCs w:val="24"/>
        </w:rPr>
        <w:t xml:space="preserve"> </w:t>
      </w:r>
      <w:r>
        <w:rPr>
          <w:rFonts w:cs="Times New Roman"/>
          <w:szCs w:val="24"/>
        </w:rPr>
        <w:t>att</w:t>
      </w:r>
      <w:r w:rsidRPr="00B3696F">
        <w:rPr>
          <w:rFonts w:cs="Times New Roman"/>
          <w:szCs w:val="24"/>
        </w:rPr>
        <w:t xml:space="preserve">i </w:t>
      </w:r>
      <w:r>
        <w:rPr>
          <w:rFonts w:cs="Times New Roman"/>
          <w:szCs w:val="24"/>
        </w:rPr>
        <w:t xml:space="preserve">utili </w:t>
      </w:r>
      <w:r w:rsidRPr="00B3696F">
        <w:rPr>
          <w:rFonts w:cs="Times New Roman"/>
          <w:szCs w:val="24"/>
        </w:rPr>
        <w:t>al</w:t>
      </w:r>
      <w:r>
        <w:rPr>
          <w:rFonts w:cs="Times New Roman"/>
          <w:szCs w:val="24"/>
        </w:rPr>
        <w:t xml:space="preserve"> richiedente per </w:t>
      </w:r>
      <w:r w:rsidRPr="00B3696F">
        <w:rPr>
          <w:rFonts w:cs="Times New Roman"/>
          <w:szCs w:val="24"/>
        </w:rPr>
        <w:t>dife</w:t>
      </w:r>
      <w:r>
        <w:rPr>
          <w:rFonts w:cs="Times New Roman"/>
          <w:szCs w:val="24"/>
        </w:rPr>
        <w:t>ndersi</w:t>
      </w:r>
      <w:r w:rsidRPr="00B3696F">
        <w:rPr>
          <w:rFonts w:cs="Times New Roman"/>
          <w:szCs w:val="24"/>
        </w:rPr>
        <w:t xml:space="preserve"> in un giudizio per inadempimento contrattuale instaurato </w:t>
      </w:r>
      <w:r>
        <w:rPr>
          <w:rFonts w:cs="Times New Roman"/>
          <w:szCs w:val="24"/>
        </w:rPr>
        <w:t xml:space="preserve">contro di lui </w:t>
      </w:r>
      <w:r w:rsidRPr="00B3696F">
        <w:rPr>
          <w:rFonts w:cs="Times New Roman"/>
          <w:szCs w:val="24"/>
        </w:rPr>
        <w:t>dalla P.A.</w:t>
      </w:r>
      <w:r>
        <w:rPr>
          <w:rFonts w:cs="Times New Roman"/>
          <w:szCs w:val="24"/>
        </w:rPr>
        <w:t xml:space="preserve"> che li detiene</w:t>
      </w:r>
      <w:r w:rsidRPr="00B3696F">
        <w:rPr>
          <w:rStyle w:val="Rimandonotaapidipagina"/>
          <w:rFonts w:cs="Times New Roman"/>
          <w:szCs w:val="24"/>
        </w:rPr>
        <w:footnoteReference w:id="26"/>
      </w:r>
      <w:r w:rsidRPr="00B3696F">
        <w:rPr>
          <w:rFonts w:cs="Times New Roman"/>
          <w:szCs w:val="24"/>
        </w:rPr>
        <w:t>;</w:t>
      </w:r>
    </w:p>
    <w:p w14:paraId="441DA36F" w14:textId="77777777" w:rsidR="00C03B5F" w:rsidRPr="00B3696F" w:rsidRDefault="00C03B5F" w:rsidP="00C03B5F">
      <w:pPr>
        <w:ind w:firstLine="567"/>
        <w:rPr>
          <w:rFonts w:cs="Times New Roman"/>
          <w:szCs w:val="24"/>
        </w:rPr>
      </w:pPr>
      <w:r w:rsidRPr="00B3696F">
        <w:rPr>
          <w:rFonts w:cs="Times New Roman"/>
          <w:szCs w:val="24"/>
        </w:rPr>
        <w:t>- le diffide rivolte all’aggiudicatario inadempiente dalla stazione appaltante, a</w:t>
      </w:r>
      <w:r>
        <w:rPr>
          <w:rFonts w:cs="Times New Roman"/>
          <w:szCs w:val="24"/>
        </w:rPr>
        <w:t xml:space="preserve">l </w:t>
      </w:r>
      <w:r w:rsidRPr="00B3696F">
        <w:rPr>
          <w:rFonts w:cs="Times New Roman"/>
          <w:szCs w:val="24"/>
        </w:rPr>
        <w:t xml:space="preserve">fine di </w:t>
      </w:r>
      <w:r>
        <w:rPr>
          <w:rFonts w:cs="Times New Roman"/>
          <w:szCs w:val="24"/>
        </w:rPr>
        <w:t>consentire al</w:t>
      </w:r>
      <w:r w:rsidRPr="00B3696F">
        <w:rPr>
          <w:rFonts w:cs="Times New Roman"/>
          <w:szCs w:val="24"/>
        </w:rPr>
        <w:t xml:space="preserve"> secondo graduato </w:t>
      </w:r>
      <w:r>
        <w:rPr>
          <w:rFonts w:cs="Times New Roman"/>
          <w:szCs w:val="24"/>
        </w:rPr>
        <w:t xml:space="preserve">di </w:t>
      </w:r>
      <w:r w:rsidRPr="00B3696F">
        <w:rPr>
          <w:rFonts w:cs="Times New Roman"/>
          <w:szCs w:val="24"/>
        </w:rPr>
        <w:t xml:space="preserve">esercitare il </w:t>
      </w:r>
      <w:r>
        <w:rPr>
          <w:rFonts w:cs="Times New Roman"/>
          <w:szCs w:val="24"/>
        </w:rPr>
        <w:t xml:space="preserve">proprio </w:t>
      </w:r>
      <w:r w:rsidRPr="00B3696F">
        <w:rPr>
          <w:rFonts w:cs="Times New Roman"/>
          <w:szCs w:val="24"/>
        </w:rPr>
        <w:t>diritto al subentro nel contratto</w:t>
      </w:r>
      <w:r w:rsidRPr="00B3696F">
        <w:rPr>
          <w:rStyle w:val="Rimandonotaapidipagina"/>
          <w:rFonts w:cs="Times New Roman"/>
          <w:szCs w:val="24"/>
        </w:rPr>
        <w:footnoteReference w:id="27"/>
      </w:r>
      <w:r w:rsidRPr="00B3696F">
        <w:rPr>
          <w:rFonts w:cs="Times New Roman"/>
          <w:szCs w:val="24"/>
        </w:rPr>
        <w:t>;</w:t>
      </w:r>
    </w:p>
    <w:p w14:paraId="4013A1A1" w14:textId="77777777" w:rsidR="00C03B5F" w:rsidRPr="00B3696F" w:rsidRDefault="00C03B5F" w:rsidP="00C03B5F">
      <w:pPr>
        <w:ind w:firstLine="567"/>
        <w:rPr>
          <w:rFonts w:cs="Times New Roman"/>
          <w:szCs w:val="24"/>
        </w:rPr>
      </w:pPr>
      <w:r w:rsidRPr="00B3696F">
        <w:rPr>
          <w:rFonts w:cs="Times New Roman"/>
          <w:szCs w:val="24"/>
        </w:rPr>
        <w:t xml:space="preserve">- gli atti del procedimento disciplinare riguardante terzi, al fine di esercitare il diritto di difesa in un analogo procedimento dinanzi alla Corte dei </w:t>
      </w:r>
      <w:r>
        <w:rPr>
          <w:rFonts w:cs="Times New Roman"/>
          <w:szCs w:val="24"/>
        </w:rPr>
        <w:t>c</w:t>
      </w:r>
      <w:r w:rsidRPr="00B3696F">
        <w:rPr>
          <w:rFonts w:cs="Times New Roman"/>
          <w:szCs w:val="24"/>
        </w:rPr>
        <w:t>onti</w:t>
      </w:r>
      <w:r w:rsidRPr="00B3696F">
        <w:rPr>
          <w:rStyle w:val="Rimandonotaapidipagina"/>
          <w:rFonts w:cs="Times New Roman"/>
          <w:szCs w:val="24"/>
        </w:rPr>
        <w:footnoteReference w:id="28"/>
      </w:r>
      <w:r w:rsidRPr="00B3696F">
        <w:rPr>
          <w:rFonts w:cs="Times New Roman"/>
          <w:szCs w:val="24"/>
        </w:rPr>
        <w:t>.</w:t>
      </w:r>
    </w:p>
    <w:p w14:paraId="13239762" w14:textId="36773C42" w:rsidR="002021B3" w:rsidRDefault="002021B3" w:rsidP="002021B3">
      <w:pPr>
        <w:ind w:firstLine="567"/>
        <w:rPr>
          <w:rFonts w:cs="Times New Roman"/>
          <w:szCs w:val="24"/>
        </w:rPr>
      </w:pPr>
      <w:r>
        <w:rPr>
          <w:rFonts w:cs="Times New Roman"/>
          <w:szCs w:val="24"/>
        </w:rPr>
        <w:t>L</w:t>
      </w:r>
      <w:r w:rsidR="00722FBB">
        <w:rPr>
          <w:rFonts w:cs="Times New Roman"/>
          <w:szCs w:val="24"/>
        </w:rPr>
        <w:t xml:space="preserve">a finalità </w:t>
      </w:r>
      <w:r w:rsidR="00A92FE9">
        <w:rPr>
          <w:rFonts w:cs="Times New Roman"/>
          <w:szCs w:val="24"/>
        </w:rPr>
        <w:t xml:space="preserve">della cura e </w:t>
      </w:r>
      <w:r w:rsidR="00722FBB">
        <w:rPr>
          <w:rFonts w:cs="Times New Roman"/>
          <w:szCs w:val="24"/>
        </w:rPr>
        <w:t>dife</w:t>
      </w:r>
      <w:r w:rsidR="00A92FE9">
        <w:rPr>
          <w:rFonts w:cs="Times New Roman"/>
          <w:szCs w:val="24"/>
        </w:rPr>
        <w:t>s</w:t>
      </w:r>
      <w:r w:rsidR="00722FBB">
        <w:rPr>
          <w:rFonts w:cs="Times New Roman"/>
          <w:szCs w:val="24"/>
        </w:rPr>
        <w:t xml:space="preserve">a </w:t>
      </w:r>
      <w:r w:rsidR="00A92FE9">
        <w:rPr>
          <w:rFonts w:cs="Times New Roman"/>
          <w:szCs w:val="24"/>
        </w:rPr>
        <w:t xml:space="preserve">dell’interesse </w:t>
      </w:r>
      <w:r>
        <w:rPr>
          <w:rFonts w:cs="Times New Roman"/>
          <w:szCs w:val="24"/>
        </w:rPr>
        <w:t xml:space="preserve">non rappresenta </w:t>
      </w:r>
      <w:r w:rsidR="00722FBB">
        <w:rPr>
          <w:rFonts w:cs="Times New Roman"/>
          <w:szCs w:val="24"/>
        </w:rPr>
        <w:t xml:space="preserve">l’unica causale </w:t>
      </w:r>
      <w:r>
        <w:rPr>
          <w:rFonts w:cs="Times New Roman"/>
          <w:szCs w:val="24"/>
        </w:rPr>
        <w:t xml:space="preserve">rispetto alla quale </w:t>
      </w:r>
      <w:r w:rsidR="00722FBB">
        <w:rPr>
          <w:rFonts w:cs="Times New Roman"/>
          <w:szCs w:val="24"/>
        </w:rPr>
        <w:t xml:space="preserve">l’accesso prevale sulla riservatezza dei dati </w:t>
      </w:r>
      <w:r w:rsidR="00722FBB" w:rsidRPr="00722FBB">
        <w:rPr>
          <w:rFonts w:cs="Times New Roman"/>
          <w:i/>
          <w:iCs/>
          <w:szCs w:val="24"/>
        </w:rPr>
        <w:t>sensibili</w:t>
      </w:r>
      <w:r>
        <w:rPr>
          <w:rFonts w:cs="Times New Roman"/>
          <w:szCs w:val="24"/>
        </w:rPr>
        <w:t xml:space="preserve">, esistendo altre </w:t>
      </w:r>
      <w:r w:rsidR="005C69C4">
        <w:rPr>
          <w:rFonts w:cs="Times New Roman"/>
          <w:szCs w:val="24"/>
        </w:rPr>
        <w:t>ipotesi individuate d</w:t>
      </w:r>
      <w:r w:rsidR="00A92FE9">
        <w:rPr>
          <w:rFonts w:cs="Times New Roman"/>
          <w:szCs w:val="24"/>
        </w:rPr>
        <w:t>a</w:t>
      </w:r>
      <w:r w:rsidR="005C69C4">
        <w:rPr>
          <w:rFonts w:cs="Times New Roman"/>
          <w:szCs w:val="24"/>
        </w:rPr>
        <w:t xml:space="preserve"> legg</w:t>
      </w:r>
      <w:r>
        <w:rPr>
          <w:rFonts w:cs="Times New Roman"/>
          <w:szCs w:val="24"/>
        </w:rPr>
        <w:t>i</w:t>
      </w:r>
      <w:r w:rsidRPr="002021B3">
        <w:rPr>
          <w:rFonts w:cs="Times New Roman"/>
          <w:szCs w:val="24"/>
        </w:rPr>
        <w:t xml:space="preserve"> </w:t>
      </w:r>
      <w:r>
        <w:rPr>
          <w:rFonts w:cs="Times New Roman"/>
          <w:szCs w:val="24"/>
        </w:rPr>
        <w:t>speciali.</w:t>
      </w:r>
    </w:p>
    <w:p w14:paraId="1D126F81" w14:textId="7A801BC5" w:rsidR="005C69C4" w:rsidRDefault="002021B3" w:rsidP="002021B3">
      <w:pPr>
        <w:ind w:firstLine="567"/>
        <w:rPr>
          <w:rFonts w:cs="Times New Roman"/>
          <w:szCs w:val="24"/>
        </w:rPr>
      </w:pPr>
      <w:r>
        <w:rPr>
          <w:rFonts w:cs="Times New Roman"/>
          <w:szCs w:val="24"/>
        </w:rPr>
        <w:t>Tanto, si verifica</w:t>
      </w:r>
      <w:r w:rsidR="005C69C4">
        <w:rPr>
          <w:rFonts w:cs="Times New Roman"/>
          <w:szCs w:val="24"/>
        </w:rPr>
        <w:t xml:space="preserve"> nel caso dell’accesso agli atti da parte del consigliere comunale</w:t>
      </w:r>
      <w:r w:rsidR="00A070F1">
        <w:rPr>
          <w:rFonts w:cs="Times New Roman"/>
          <w:szCs w:val="24"/>
        </w:rPr>
        <w:t xml:space="preserve"> </w:t>
      </w:r>
      <w:r w:rsidR="00A070F1" w:rsidRPr="00A070F1">
        <w:rPr>
          <w:rFonts w:cs="Times New Roman"/>
          <w:i/>
          <w:iCs/>
          <w:szCs w:val="24"/>
        </w:rPr>
        <w:t>ex</w:t>
      </w:r>
      <w:r w:rsidR="00A070F1">
        <w:rPr>
          <w:rFonts w:cs="Times New Roman"/>
          <w:szCs w:val="24"/>
        </w:rPr>
        <w:t xml:space="preserve"> </w:t>
      </w:r>
      <w:r w:rsidR="005C69C4">
        <w:rPr>
          <w:rFonts w:cs="Times New Roman"/>
          <w:szCs w:val="24"/>
        </w:rPr>
        <w:t xml:space="preserve">art. 43 del T.U.E.L., </w:t>
      </w:r>
      <w:r>
        <w:rPr>
          <w:rFonts w:cs="Times New Roman"/>
          <w:szCs w:val="24"/>
        </w:rPr>
        <w:t xml:space="preserve">che è </w:t>
      </w:r>
      <w:r w:rsidR="00A070F1">
        <w:rPr>
          <w:rFonts w:cs="Times New Roman"/>
          <w:szCs w:val="24"/>
        </w:rPr>
        <w:t>garantito nella misura in cui sia strumentale</w:t>
      </w:r>
      <w:r w:rsidR="005C69C4" w:rsidRPr="005C69C4">
        <w:rPr>
          <w:rFonts w:cs="Times New Roman"/>
          <w:szCs w:val="24"/>
        </w:rPr>
        <w:t xml:space="preserve"> </w:t>
      </w:r>
      <w:r w:rsidR="00A070F1">
        <w:rPr>
          <w:rFonts w:cs="Times New Roman"/>
          <w:szCs w:val="24"/>
        </w:rPr>
        <w:t>al</w:t>
      </w:r>
      <w:r w:rsidR="005C69C4" w:rsidRPr="005C69C4">
        <w:rPr>
          <w:rFonts w:cs="Times New Roman"/>
          <w:szCs w:val="24"/>
        </w:rPr>
        <w:t>l</w:t>
      </w:r>
      <w:r w:rsidR="005C69C4">
        <w:rPr>
          <w:rFonts w:cs="Times New Roman"/>
          <w:szCs w:val="24"/>
        </w:rPr>
        <w:t>’</w:t>
      </w:r>
      <w:r w:rsidR="005C69C4" w:rsidRPr="005C69C4">
        <w:rPr>
          <w:rFonts w:cs="Times New Roman"/>
          <w:szCs w:val="24"/>
        </w:rPr>
        <w:t>esercizio delle funzioni</w:t>
      </w:r>
      <w:r w:rsidR="00A070F1">
        <w:rPr>
          <w:rFonts w:cs="Times New Roman"/>
          <w:szCs w:val="24"/>
        </w:rPr>
        <w:t xml:space="preserve"> e</w:t>
      </w:r>
      <w:r w:rsidR="005C69C4">
        <w:rPr>
          <w:rFonts w:cs="Times New Roman"/>
          <w:szCs w:val="24"/>
        </w:rPr>
        <w:t xml:space="preserve"> può essere negato</w:t>
      </w:r>
      <w:r w:rsidR="005C69C4" w:rsidRPr="005C69C4">
        <w:rPr>
          <w:rFonts w:cs="Times New Roman"/>
          <w:szCs w:val="24"/>
        </w:rPr>
        <w:t xml:space="preserve"> </w:t>
      </w:r>
      <w:r w:rsidR="00DF1A0C">
        <w:rPr>
          <w:rFonts w:cs="Times New Roman"/>
          <w:szCs w:val="24"/>
        </w:rPr>
        <w:t xml:space="preserve">se la </w:t>
      </w:r>
      <w:r w:rsidR="005C69C4" w:rsidRPr="005C69C4">
        <w:rPr>
          <w:rFonts w:cs="Times New Roman"/>
          <w:szCs w:val="24"/>
        </w:rPr>
        <w:t>richiest</w:t>
      </w:r>
      <w:r w:rsidR="00DF1A0C">
        <w:rPr>
          <w:rFonts w:cs="Times New Roman"/>
          <w:szCs w:val="24"/>
        </w:rPr>
        <w:t>a è</w:t>
      </w:r>
      <w:r w:rsidR="005C69C4" w:rsidRPr="005C69C4">
        <w:rPr>
          <w:rFonts w:cs="Times New Roman"/>
          <w:szCs w:val="24"/>
        </w:rPr>
        <w:t xml:space="preserve"> pretestuos</w:t>
      </w:r>
      <w:r w:rsidR="00DF1A0C">
        <w:rPr>
          <w:rFonts w:cs="Times New Roman"/>
          <w:szCs w:val="24"/>
        </w:rPr>
        <w:t>a</w:t>
      </w:r>
      <w:r w:rsidR="005C69C4" w:rsidRPr="005C69C4">
        <w:rPr>
          <w:rFonts w:cs="Times New Roman"/>
          <w:szCs w:val="24"/>
        </w:rPr>
        <w:t xml:space="preserve"> o emulativ</w:t>
      </w:r>
      <w:r w:rsidR="00DF1A0C">
        <w:rPr>
          <w:rFonts w:cs="Times New Roman"/>
          <w:szCs w:val="24"/>
        </w:rPr>
        <w:t>a</w:t>
      </w:r>
      <w:r w:rsidR="005C69C4" w:rsidRPr="005C69C4">
        <w:rPr>
          <w:rFonts w:cs="Times New Roman"/>
          <w:szCs w:val="24"/>
        </w:rPr>
        <w:t xml:space="preserve">, </w:t>
      </w:r>
      <w:r w:rsidR="00A070F1">
        <w:rPr>
          <w:rFonts w:cs="Times New Roman"/>
          <w:szCs w:val="24"/>
        </w:rPr>
        <w:t xml:space="preserve">ma </w:t>
      </w:r>
      <w:r w:rsidR="005C69C4" w:rsidRPr="005C69C4">
        <w:rPr>
          <w:rFonts w:cs="Times New Roman"/>
          <w:szCs w:val="24"/>
        </w:rPr>
        <w:t>non per la tutela della riservatezza dei dati personal</w:t>
      </w:r>
      <w:r w:rsidR="005C69C4">
        <w:rPr>
          <w:rFonts w:cs="Times New Roman"/>
          <w:szCs w:val="24"/>
        </w:rPr>
        <w:t>i</w:t>
      </w:r>
      <w:r w:rsidR="005C69C4" w:rsidRPr="005C69C4">
        <w:rPr>
          <w:rFonts w:cs="Times New Roman"/>
          <w:szCs w:val="24"/>
        </w:rPr>
        <w:t xml:space="preserve">, </w:t>
      </w:r>
      <w:r w:rsidR="005C69C4">
        <w:rPr>
          <w:rFonts w:cs="Times New Roman"/>
          <w:szCs w:val="24"/>
        </w:rPr>
        <w:t xml:space="preserve">fermo restando gli obblighi </w:t>
      </w:r>
      <w:r>
        <w:rPr>
          <w:rFonts w:cs="Times New Roman"/>
          <w:szCs w:val="24"/>
        </w:rPr>
        <w:t xml:space="preserve">in capo al richiedente </w:t>
      </w:r>
      <w:r w:rsidR="00A070F1" w:rsidRPr="005C69C4">
        <w:rPr>
          <w:rFonts w:cs="Times New Roman"/>
          <w:szCs w:val="24"/>
        </w:rPr>
        <w:t>di u</w:t>
      </w:r>
      <w:r>
        <w:rPr>
          <w:rFonts w:cs="Times New Roman"/>
          <w:szCs w:val="24"/>
        </w:rPr>
        <w:t>tilizz</w:t>
      </w:r>
      <w:r w:rsidR="00A070F1" w:rsidRPr="005C69C4">
        <w:rPr>
          <w:rFonts w:cs="Times New Roman"/>
          <w:szCs w:val="24"/>
        </w:rPr>
        <w:t>are i dati solo per fini istituzionali</w:t>
      </w:r>
      <w:r w:rsidR="00A070F1">
        <w:rPr>
          <w:rFonts w:cs="Times New Roman"/>
          <w:szCs w:val="24"/>
        </w:rPr>
        <w:t xml:space="preserve"> </w:t>
      </w:r>
      <w:r w:rsidR="00A070F1" w:rsidRPr="005C69C4">
        <w:rPr>
          <w:rFonts w:cs="Times New Roman"/>
          <w:szCs w:val="24"/>
        </w:rPr>
        <w:t>e</w:t>
      </w:r>
      <w:r w:rsidR="00A070F1">
        <w:rPr>
          <w:rFonts w:cs="Times New Roman"/>
          <w:szCs w:val="24"/>
        </w:rPr>
        <w:t xml:space="preserve"> </w:t>
      </w:r>
      <w:r w:rsidR="005C69C4">
        <w:rPr>
          <w:rFonts w:cs="Times New Roman"/>
          <w:szCs w:val="24"/>
        </w:rPr>
        <w:t>di mantenere il</w:t>
      </w:r>
      <w:r w:rsidR="005C69C4" w:rsidRPr="005C69C4">
        <w:rPr>
          <w:rFonts w:cs="Times New Roman"/>
          <w:szCs w:val="24"/>
        </w:rPr>
        <w:t xml:space="preserve"> segreto d</w:t>
      </w:r>
      <w:r w:rsidR="00A070F1">
        <w:rPr>
          <w:rFonts w:cs="Times New Roman"/>
          <w:szCs w:val="24"/>
        </w:rPr>
        <w:t>’</w:t>
      </w:r>
      <w:r w:rsidR="005C69C4" w:rsidRPr="005C69C4">
        <w:rPr>
          <w:rFonts w:cs="Times New Roman"/>
          <w:szCs w:val="24"/>
        </w:rPr>
        <w:t>ufficio</w:t>
      </w:r>
      <w:r w:rsidR="00A070F1">
        <w:rPr>
          <w:rStyle w:val="Rimandonotaapidipagina"/>
          <w:rFonts w:cs="Times New Roman"/>
          <w:szCs w:val="24"/>
        </w:rPr>
        <w:footnoteReference w:id="29"/>
      </w:r>
      <w:r w:rsidR="005C69C4">
        <w:rPr>
          <w:rFonts w:cs="Times New Roman"/>
          <w:szCs w:val="24"/>
        </w:rPr>
        <w:t>.</w:t>
      </w:r>
    </w:p>
    <w:p w14:paraId="5D523622" w14:textId="7B632B66" w:rsidR="00167F73" w:rsidRDefault="00CE3BF9" w:rsidP="00EC13E6">
      <w:pPr>
        <w:ind w:firstLine="567"/>
        <w:rPr>
          <w:rFonts w:cs="Times New Roman"/>
          <w:szCs w:val="24"/>
        </w:rPr>
      </w:pPr>
      <w:r>
        <w:rPr>
          <w:rFonts w:cs="Times New Roman"/>
          <w:szCs w:val="24"/>
        </w:rPr>
        <w:t>A</w:t>
      </w:r>
      <w:r w:rsidR="00DF1A0C">
        <w:rPr>
          <w:rFonts w:cs="Times New Roman"/>
          <w:szCs w:val="24"/>
        </w:rPr>
        <w:t>ltra ip</w:t>
      </w:r>
      <w:r w:rsidR="005C69C4">
        <w:rPr>
          <w:rFonts w:cs="Times New Roman"/>
          <w:szCs w:val="24"/>
        </w:rPr>
        <w:t>o</w:t>
      </w:r>
      <w:r w:rsidR="00DF1A0C">
        <w:rPr>
          <w:rFonts w:cs="Times New Roman"/>
          <w:szCs w:val="24"/>
        </w:rPr>
        <w:t xml:space="preserve">tesi </w:t>
      </w:r>
      <w:r w:rsidR="002021B3">
        <w:rPr>
          <w:rFonts w:cs="Times New Roman"/>
          <w:szCs w:val="24"/>
        </w:rPr>
        <w:t xml:space="preserve">concerne </w:t>
      </w:r>
      <w:r w:rsidR="005C69C4">
        <w:rPr>
          <w:rFonts w:cs="Times New Roman"/>
          <w:szCs w:val="24"/>
        </w:rPr>
        <w:t>l</w:t>
      </w:r>
      <w:r w:rsidR="00DF1A0C">
        <w:rPr>
          <w:rFonts w:cs="Times New Roman"/>
          <w:szCs w:val="24"/>
        </w:rPr>
        <w:t xml:space="preserve">’accesso alle </w:t>
      </w:r>
      <w:r w:rsidR="005C69C4">
        <w:rPr>
          <w:rFonts w:cs="Times New Roman"/>
          <w:szCs w:val="24"/>
        </w:rPr>
        <w:t>informazioni ambientali</w:t>
      </w:r>
      <w:r w:rsidR="00E75DCF">
        <w:rPr>
          <w:rStyle w:val="Rimandonotaapidipagina"/>
          <w:rFonts w:cs="Times New Roman"/>
          <w:szCs w:val="24"/>
        </w:rPr>
        <w:footnoteReference w:id="30"/>
      </w:r>
      <w:r w:rsidR="00FC07DC">
        <w:rPr>
          <w:rFonts w:cs="Times New Roman"/>
          <w:szCs w:val="24"/>
        </w:rPr>
        <w:t>,</w:t>
      </w:r>
      <w:r w:rsidR="005C69C4" w:rsidRPr="005C69C4">
        <w:rPr>
          <w:rFonts w:cs="Times New Roman"/>
          <w:szCs w:val="24"/>
        </w:rPr>
        <w:t xml:space="preserve"> </w:t>
      </w:r>
      <w:r w:rsidR="00FC07DC">
        <w:rPr>
          <w:rFonts w:cs="Times New Roman"/>
          <w:szCs w:val="24"/>
        </w:rPr>
        <w:t>previsto d</w:t>
      </w:r>
      <w:r w:rsidR="005C69C4">
        <w:rPr>
          <w:rFonts w:cs="Times New Roman"/>
          <w:szCs w:val="24"/>
        </w:rPr>
        <w:t xml:space="preserve">all’art. </w:t>
      </w:r>
      <w:r w:rsidR="00CA2A78">
        <w:rPr>
          <w:rFonts w:cs="Times New Roman"/>
          <w:szCs w:val="24"/>
        </w:rPr>
        <w:t>40</w:t>
      </w:r>
      <w:r w:rsidR="00DF1A0C">
        <w:rPr>
          <w:rFonts w:cs="Times New Roman"/>
          <w:szCs w:val="24"/>
        </w:rPr>
        <w:t xml:space="preserve"> </w:t>
      </w:r>
      <w:r w:rsidR="005C69C4">
        <w:rPr>
          <w:rFonts w:cs="Times New Roman"/>
          <w:szCs w:val="24"/>
        </w:rPr>
        <w:t>del d.lgs. n. 195</w:t>
      </w:r>
      <w:r w:rsidR="00E75DCF">
        <w:rPr>
          <w:rFonts w:cs="Times New Roman"/>
          <w:szCs w:val="24"/>
        </w:rPr>
        <w:t xml:space="preserve"> del </w:t>
      </w:r>
      <w:r w:rsidR="005C69C4">
        <w:rPr>
          <w:rFonts w:cs="Times New Roman"/>
          <w:szCs w:val="24"/>
        </w:rPr>
        <w:t>2005</w:t>
      </w:r>
      <w:r w:rsidR="00DF1A0C">
        <w:rPr>
          <w:rFonts w:cs="Times New Roman"/>
          <w:szCs w:val="24"/>
        </w:rPr>
        <w:t>, che</w:t>
      </w:r>
      <w:r w:rsidR="00DF1A0C" w:rsidRPr="00DF1A0C">
        <w:rPr>
          <w:rFonts w:cs="Times New Roman"/>
          <w:szCs w:val="24"/>
        </w:rPr>
        <w:t xml:space="preserve"> </w:t>
      </w:r>
      <w:r w:rsidR="0074639A">
        <w:rPr>
          <w:rFonts w:cs="Times New Roman"/>
          <w:szCs w:val="24"/>
        </w:rPr>
        <w:t>prescinde</w:t>
      </w:r>
      <w:r w:rsidR="00EC13E6" w:rsidRPr="00EC13E6">
        <w:rPr>
          <w:rFonts w:cs="Times New Roman"/>
          <w:szCs w:val="24"/>
        </w:rPr>
        <w:t xml:space="preserve"> dalla titolarità di situazioni giuridicamente rilevanti</w:t>
      </w:r>
      <w:r w:rsidR="00EC13E6">
        <w:rPr>
          <w:rFonts w:cs="Times New Roman"/>
          <w:szCs w:val="24"/>
        </w:rPr>
        <w:t xml:space="preserve"> e</w:t>
      </w:r>
      <w:r w:rsidR="00DF1A0C" w:rsidRPr="00DF1A0C">
        <w:rPr>
          <w:rFonts w:cs="Times New Roman"/>
          <w:szCs w:val="24"/>
        </w:rPr>
        <w:t xml:space="preserve"> </w:t>
      </w:r>
      <w:r w:rsidR="00EC13E6" w:rsidRPr="00DF1A0C">
        <w:rPr>
          <w:rFonts w:cs="Times New Roman"/>
          <w:szCs w:val="24"/>
        </w:rPr>
        <w:t xml:space="preserve">consente </w:t>
      </w:r>
      <w:r w:rsidR="00167F73">
        <w:rPr>
          <w:rFonts w:cs="Times New Roman"/>
          <w:szCs w:val="24"/>
        </w:rPr>
        <w:t xml:space="preserve">a chiunque </w:t>
      </w:r>
      <w:r w:rsidR="00DF1A0C" w:rsidRPr="00DF1A0C">
        <w:rPr>
          <w:rFonts w:cs="Times New Roman"/>
          <w:szCs w:val="24"/>
        </w:rPr>
        <w:t>di accedere a</w:t>
      </w:r>
      <w:r w:rsidR="002021B3">
        <w:rPr>
          <w:rFonts w:cs="Times New Roman"/>
          <w:szCs w:val="24"/>
        </w:rPr>
        <w:t>gli</w:t>
      </w:r>
      <w:r w:rsidR="00DF1A0C" w:rsidRPr="00DF1A0C">
        <w:rPr>
          <w:rFonts w:cs="Times New Roman"/>
          <w:szCs w:val="24"/>
        </w:rPr>
        <w:t xml:space="preserve"> atti che possano incidere sull’ambiente, </w:t>
      </w:r>
      <w:r w:rsidR="00FC07DC">
        <w:rPr>
          <w:rFonts w:cs="Times New Roman"/>
          <w:szCs w:val="24"/>
        </w:rPr>
        <w:t>con esclusione</w:t>
      </w:r>
      <w:r w:rsidR="00DF1A0C" w:rsidRPr="00DF1A0C">
        <w:rPr>
          <w:rFonts w:cs="Times New Roman"/>
          <w:szCs w:val="24"/>
        </w:rPr>
        <w:t xml:space="preserve"> </w:t>
      </w:r>
      <w:r w:rsidR="00FC07DC">
        <w:rPr>
          <w:rFonts w:cs="Times New Roman"/>
          <w:szCs w:val="24"/>
        </w:rPr>
        <w:t>del</w:t>
      </w:r>
      <w:r w:rsidR="00DF1A0C" w:rsidRPr="00DF1A0C">
        <w:rPr>
          <w:rFonts w:cs="Times New Roman"/>
          <w:szCs w:val="24"/>
        </w:rPr>
        <w:t xml:space="preserve">le </w:t>
      </w:r>
      <w:r w:rsidR="00E75DCF">
        <w:rPr>
          <w:rFonts w:cs="Times New Roman"/>
          <w:szCs w:val="24"/>
        </w:rPr>
        <w:t xml:space="preserve">sole </w:t>
      </w:r>
      <w:r w:rsidR="00DF1A0C" w:rsidRPr="00DF1A0C">
        <w:rPr>
          <w:rFonts w:cs="Times New Roman"/>
          <w:szCs w:val="24"/>
        </w:rPr>
        <w:t>richieste estremamente generiche</w:t>
      </w:r>
      <w:r w:rsidR="00EC13E6">
        <w:rPr>
          <w:rFonts w:cs="Times New Roman"/>
          <w:szCs w:val="24"/>
        </w:rPr>
        <w:t xml:space="preserve">, </w:t>
      </w:r>
      <w:r w:rsidR="00167F73">
        <w:rPr>
          <w:rFonts w:cs="Times New Roman"/>
          <w:szCs w:val="24"/>
        </w:rPr>
        <w:t xml:space="preserve">di quelle che </w:t>
      </w:r>
      <w:r w:rsidR="00167F73" w:rsidRPr="00EC13E6">
        <w:rPr>
          <w:rFonts w:cs="Times New Roman"/>
          <w:szCs w:val="24"/>
        </w:rPr>
        <w:t>rec</w:t>
      </w:r>
      <w:r w:rsidR="00167F73">
        <w:rPr>
          <w:rFonts w:cs="Times New Roman"/>
          <w:szCs w:val="24"/>
        </w:rPr>
        <w:t xml:space="preserve">hino un </w:t>
      </w:r>
      <w:r w:rsidR="00167F73" w:rsidRPr="00EC13E6">
        <w:rPr>
          <w:rFonts w:cs="Times New Roman"/>
          <w:szCs w:val="24"/>
        </w:rPr>
        <w:t>pregiudizio</w:t>
      </w:r>
      <w:r w:rsidR="00167F73">
        <w:rPr>
          <w:rFonts w:cs="Times New Roman"/>
          <w:szCs w:val="24"/>
        </w:rPr>
        <w:t xml:space="preserve"> concreto</w:t>
      </w:r>
      <w:r w:rsidR="00167F73" w:rsidRPr="00EC13E6">
        <w:rPr>
          <w:rFonts w:cs="Times New Roman"/>
          <w:szCs w:val="24"/>
        </w:rPr>
        <w:t>, tra gli altri, ai diritti di proprietà intellettuale</w:t>
      </w:r>
      <w:r w:rsidR="00167F73">
        <w:rPr>
          <w:rFonts w:cs="Times New Roman"/>
          <w:szCs w:val="24"/>
        </w:rPr>
        <w:t xml:space="preserve"> e </w:t>
      </w:r>
      <w:r w:rsidR="00FC07DC">
        <w:rPr>
          <w:rFonts w:cs="Times New Roman"/>
          <w:szCs w:val="24"/>
        </w:rPr>
        <w:t xml:space="preserve">di </w:t>
      </w:r>
      <w:r w:rsidR="00EC13E6">
        <w:rPr>
          <w:rFonts w:cs="Times New Roman"/>
          <w:szCs w:val="24"/>
        </w:rPr>
        <w:t xml:space="preserve">quelle formulate per </w:t>
      </w:r>
      <w:r w:rsidR="00EC13E6" w:rsidRPr="00EC13E6">
        <w:rPr>
          <w:rFonts w:cs="Times New Roman"/>
          <w:szCs w:val="24"/>
        </w:rPr>
        <w:t xml:space="preserve">interessi </w:t>
      </w:r>
      <w:r w:rsidR="0074639A">
        <w:rPr>
          <w:rFonts w:cs="Times New Roman"/>
          <w:szCs w:val="24"/>
        </w:rPr>
        <w:t xml:space="preserve">del tutto </w:t>
      </w:r>
      <w:r w:rsidR="00EC13E6" w:rsidRPr="00EC13E6">
        <w:rPr>
          <w:rFonts w:cs="Times New Roman"/>
          <w:szCs w:val="24"/>
        </w:rPr>
        <w:t>estranei alla tutela delle matrici ambientali</w:t>
      </w:r>
      <w:r w:rsidR="00167F73">
        <w:rPr>
          <w:rStyle w:val="Rimandonotaapidipagina"/>
          <w:rFonts w:cs="Times New Roman"/>
          <w:szCs w:val="24"/>
        </w:rPr>
        <w:footnoteReference w:id="31"/>
      </w:r>
      <w:r w:rsidR="00167F73">
        <w:rPr>
          <w:rFonts w:cs="Times New Roman"/>
          <w:szCs w:val="24"/>
        </w:rPr>
        <w:t>.</w:t>
      </w:r>
    </w:p>
    <w:p w14:paraId="2D5AC0F9" w14:textId="2FF0E33B" w:rsidR="00167F73" w:rsidRPr="00167F73" w:rsidRDefault="00E75DCF" w:rsidP="00167F73">
      <w:pPr>
        <w:ind w:firstLine="567"/>
        <w:rPr>
          <w:rFonts w:cs="Times New Roman"/>
          <w:szCs w:val="24"/>
        </w:rPr>
      </w:pPr>
      <w:r>
        <w:rPr>
          <w:rFonts w:cs="Times New Roman"/>
          <w:szCs w:val="24"/>
        </w:rPr>
        <w:t>Come per l’accesso documentale classico, a</w:t>
      </w:r>
      <w:r w:rsidR="00A028FB">
        <w:rPr>
          <w:rFonts w:cs="Times New Roman"/>
          <w:szCs w:val="24"/>
        </w:rPr>
        <w:t>nche in ta</w:t>
      </w:r>
      <w:r w:rsidR="00167F73">
        <w:rPr>
          <w:rFonts w:cs="Times New Roman"/>
          <w:szCs w:val="24"/>
        </w:rPr>
        <w:t>l</w:t>
      </w:r>
      <w:r>
        <w:rPr>
          <w:rFonts w:cs="Times New Roman"/>
          <w:szCs w:val="24"/>
        </w:rPr>
        <w:t>e</w:t>
      </w:r>
      <w:r w:rsidR="00A028FB">
        <w:rPr>
          <w:rFonts w:cs="Times New Roman"/>
          <w:szCs w:val="24"/>
        </w:rPr>
        <w:t xml:space="preserve"> </w:t>
      </w:r>
      <w:r>
        <w:rPr>
          <w:rFonts w:cs="Times New Roman"/>
          <w:szCs w:val="24"/>
        </w:rPr>
        <w:t>ipotesi</w:t>
      </w:r>
      <w:r w:rsidR="00A028FB">
        <w:rPr>
          <w:rFonts w:cs="Times New Roman"/>
          <w:szCs w:val="24"/>
        </w:rPr>
        <w:t xml:space="preserve"> il</w:t>
      </w:r>
      <w:r w:rsidR="00167F73">
        <w:rPr>
          <w:rFonts w:cs="Times New Roman"/>
          <w:szCs w:val="24"/>
        </w:rPr>
        <w:t xml:space="preserve"> </w:t>
      </w:r>
      <w:r w:rsidR="00167F73" w:rsidRPr="00167F73">
        <w:rPr>
          <w:rFonts w:cs="Times New Roman"/>
          <w:szCs w:val="24"/>
        </w:rPr>
        <w:t>contraddittorio</w:t>
      </w:r>
      <w:r w:rsidR="00167F73">
        <w:rPr>
          <w:rFonts w:cs="Times New Roman"/>
          <w:szCs w:val="24"/>
        </w:rPr>
        <w:t>, prima</w:t>
      </w:r>
      <w:r w:rsidR="00167F73" w:rsidRPr="00167F73">
        <w:rPr>
          <w:rFonts w:cs="Times New Roman"/>
          <w:szCs w:val="24"/>
        </w:rPr>
        <w:t xml:space="preserve"> procedimentale e </w:t>
      </w:r>
      <w:r w:rsidR="00167F73">
        <w:rPr>
          <w:rFonts w:cs="Times New Roman"/>
          <w:szCs w:val="24"/>
        </w:rPr>
        <w:t xml:space="preserve">poi </w:t>
      </w:r>
      <w:r w:rsidR="00167F73" w:rsidRPr="00167F73">
        <w:rPr>
          <w:rFonts w:cs="Times New Roman"/>
          <w:szCs w:val="24"/>
        </w:rPr>
        <w:t>giudiziale</w:t>
      </w:r>
      <w:r w:rsidR="00167F73">
        <w:rPr>
          <w:rFonts w:cs="Times New Roman"/>
          <w:szCs w:val="24"/>
        </w:rPr>
        <w:t xml:space="preserve">, </w:t>
      </w:r>
      <w:r>
        <w:rPr>
          <w:rFonts w:cs="Times New Roman"/>
          <w:szCs w:val="24"/>
        </w:rPr>
        <w:t>è</w:t>
      </w:r>
      <w:r w:rsidR="00167F73">
        <w:rPr>
          <w:rFonts w:cs="Times New Roman"/>
          <w:szCs w:val="24"/>
        </w:rPr>
        <w:t xml:space="preserve"> il luogo in cui il terzo titolare del dato può opporre </w:t>
      </w:r>
      <w:r w:rsidR="00167F73" w:rsidRPr="00167F73">
        <w:rPr>
          <w:rFonts w:cs="Times New Roman"/>
          <w:szCs w:val="24"/>
        </w:rPr>
        <w:t xml:space="preserve">una legittima causa di esclusione, </w:t>
      </w:r>
      <w:r>
        <w:rPr>
          <w:rFonts w:cs="Times New Roman"/>
          <w:szCs w:val="24"/>
        </w:rPr>
        <w:t>in presenza della quale</w:t>
      </w:r>
      <w:r w:rsidR="00167F73">
        <w:rPr>
          <w:rFonts w:cs="Times New Roman"/>
          <w:szCs w:val="24"/>
        </w:rPr>
        <w:t xml:space="preserve"> </w:t>
      </w:r>
      <w:r w:rsidR="00167F73" w:rsidRPr="00167F73">
        <w:rPr>
          <w:rFonts w:cs="Times New Roman"/>
          <w:szCs w:val="24"/>
        </w:rPr>
        <w:t xml:space="preserve">l’istante </w:t>
      </w:r>
      <w:r>
        <w:rPr>
          <w:rFonts w:cs="Times New Roman"/>
          <w:szCs w:val="24"/>
        </w:rPr>
        <w:t xml:space="preserve">è tenuto a </w:t>
      </w:r>
      <w:r w:rsidR="00167F73" w:rsidRPr="00167F73">
        <w:rPr>
          <w:rFonts w:cs="Times New Roman"/>
          <w:szCs w:val="24"/>
        </w:rPr>
        <w:t>dimostr</w:t>
      </w:r>
      <w:r>
        <w:rPr>
          <w:rFonts w:cs="Times New Roman"/>
          <w:szCs w:val="24"/>
        </w:rPr>
        <w:t>are</w:t>
      </w:r>
      <w:r w:rsidR="00167F73" w:rsidRPr="00167F73">
        <w:rPr>
          <w:rFonts w:cs="Times New Roman"/>
          <w:szCs w:val="24"/>
        </w:rPr>
        <w:t xml:space="preserve"> la consistenza e la specifica rilevanza dell’interesse all</w:t>
      </w:r>
      <w:r w:rsidR="00167F73">
        <w:rPr>
          <w:rFonts w:cs="Times New Roman"/>
          <w:szCs w:val="24"/>
        </w:rPr>
        <w:t>’</w:t>
      </w:r>
      <w:r w:rsidR="00167F73" w:rsidRPr="00167F73">
        <w:rPr>
          <w:rFonts w:cs="Times New Roman"/>
          <w:szCs w:val="24"/>
        </w:rPr>
        <w:t>ostensione per consentire a</w:t>
      </w:r>
      <w:r w:rsidR="00167F73">
        <w:rPr>
          <w:rFonts w:cs="Times New Roman"/>
          <w:szCs w:val="24"/>
        </w:rPr>
        <w:t xml:space="preserve">ll’amministrazione </w:t>
      </w:r>
      <w:r w:rsidR="00167F73" w:rsidRPr="00167F73">
        <w:rPr>
          <w:rFonts w:cs="Times New Roman"/>
          <w:szCs w:val="24"/>
        </w:rPr>
        <w:t>di ponderare gli interessi in conflitto e, successivamente, al giudice di sindacare la congruità di tale giudizio rispetto al parametro generale di ragionevolezza</w:t>
      </w:r>
      <w:r w:rsidR="00ED0274">
        <w:rPr>
          <w:rStyle w:val="Rimandonotaapidipagina"/>
          <w:rFonts w:cs="Times New Roman"/>
          <w:szCs w:val="24"/>
        </w:rPr>
        <w:footnoteReference w:id="32"/>
      </w:r>
      <w:r w:rsidR="00167F73">
        <w:rPr>
          <w:rFonts w:cs="Times New Roman"/>
          <w:szCs w:val="24"/>
        </w:rPr>
        <w:t>.</w:t>
      </w:r>
    </w:p>
    <w:p w14:paraId="5889F47E" w14:textId="474A256D" w:rsidR="000E2523" w:rsidRDefault="000E2523" w:rsidP="00C03B5F">
      <w:pPr>
        <w:ind w:firstLine="567"/>
        <w:rPr>
          <w:rFonts w:cs="Times New Roman"/>
          <w:szCs w:val="24"/>
        </w:rPr>
      </w:pPr>
      <w:r>
        <w:rPr>
          <w:rFonts w:cs="Times New Roman"/>
          <w:szCs w:val="24"/>
        </w:rPr>
        <w:t>Si è discusso se</w:t>
      </w:r>
      <w:r w:rsidR="00791E76">
        <w:rPr>
          <w:rFonts w:cs="Times New Roman"/>
          <w:szCs w:val="24"/>
        </w:rPr>
        <w:t xml:space="preserve"> </w:t>
      </w:r>
      <w:r w:rsidR="00A028FB">
        <w:rPr>
          <w:rFonts w:cs="Times New Roman"/>
          <w:szCs w:val="24"/>
        </w:rPr>
        <w:t xml:space="preserve">l’accesso a dati </w:t>
      </w:r>
      <w:r w:rsidR="00A028FB" w:rsidRPr="000E2523">
        <w:rPr>
          <w:rFonts w:cs="Times New Roman"/>
          <w:i/>
          <w:iCs/>
          <w:szCs w:val="24"/>
        </w:rPr>
        <w:t>sensibil</w:t>
      </w:r>
      <w:r w:rsidR="00A028FB">
        <w:rPr>
          <w:rFonts w:cs="Times New Roman"/>
          <w:i/>
          <w:iCs/>
          <w:szCs w:val="24"/>
        </w:rPr>
        <w:t>i</w:t>
      </w:r>
      <w:r w:rsidR="00A028FB">
        <w:rPr>
          <w:rFonts w:cs="Times New Roman"/>
          <w:szCs w:val="24"/>
        </w:rPr>
        <w:t xml:space="preserve"> sia</w:t>
      </w:r>
      <w:r>
        <w:rPr>
          <w:rFonts w:cs="Times New Roman"/>
          <w:szCs w:val="24"/>
        </w:rPr>
        <w:t xml:space="preserve"> consentito ai fini del</w:t>
      </w:r>
      <w:r w:rsidR="00791E76" w:rsidRPr="00B3696F">
        <w:rPr>
          <w:rFonts w:cs="Times New Roman"/>
          <w:szCs w:val="24"/>
        </w:rPr>
        <w:t>l’esercizio del diritto di cronaca del giornalista</w:t>
      </w:r>
      <w:r>
        <w:rPr>
          <w:rFonts w:cs="Times New Roman"/>
          <w:szCs w:val="24"/>
        </w:rPr>
        <w:t>.</w:t>
      </w:r>
    </w:p>
    <w:p w14:paraId="4C2C8231" w14:textId="0AA83D71" w:rsidR="00C03B5F" w:rsidRPr="00B3696F" w:rsidRDefault="000E2523" w:rsidP="00C03B5F">
      <w:pPr>
        <w:ind w:firstLine="567"/>
        <w:rPr>
          <w:rFonts w:cs="Times New Roman"/>
          <w:szCs w:val="24"/>
        </w:rPr>
      </w:pPr>
      <w:r>
        <w:rPr>
          <w:rFonts w:cs="Times New Roman"/>
          <w:szCs w:val="24"/>
        </w:rPr>
        <w:t>S</w:t>
      </w:r>
      <w:r w:rsidR="00791E76">
        <w:rPr>
          <w:rFonts w:cs="Times New Roman"/>
          <w:szCs w:val="24"/>
        </w:rPr>
        <w:t xml:space="preserve">ul </w:t>
      </w:r>
      <w:r>
        <w:rPr>
          <w:rFonts w:cs="Times New Roman"/>
          <w:szCs w:val="24"/>
        </w:rPr>
        <w:t xml:space="preserve">punto, </w:t>
      </w:r>
      <w:r w:rsidR="00722FBB">
        <w:rPr>
          <w:rFonts w:cs="Times New Roman"/>
          <w:szCs w:val="24"/>
        </w:rPr>
        <w:t>l</w:t>
      </w:r>
      <w:r w:rsidR="00722FBB" w:rsidRPr="00B3696F">
        <w:rPr>
          <w:rFonts w:cs="Times New Roman"/>
          <w:szCs w:val="24"/>
        </w:rPr>
        <w:t xml:space="preserve">a giurisprudenza </w:t>
      </w:r>
      <w:r w:rsidR="00E75DCF">
        <w:rPr>
          <w:rFonts w:cs="Times New Roman"/>
          <w:szCs w:val="24"/>
        </w:rPr>
        <w:t xml:space="preserve">amministrativa </w:t>
      </w:r>
      <w:r w:rsidR="00C03B5F" w:rsidRPr="00B3696F">
        <w:rPr>
          <w:rFonts w:cs="Times New Roman"/>
          <w:szCs w:val="24"/>
        </w:rPr>
        <w:t>è attestata in senso altalenante, potendosi riscontrare p</w:t>
      </w:r>
      <w:r w:rsidR="00C03B5F">
        <w:rPr>
          <w:rFonts w:cs="Times New Roman"/>
          <w:szCs w:val="24"/>
        </w:rPr>
        <w:t>ronunce</w:t>
      </w:r>
      <w:r w:rsidR="00C03B5F" w:rsidRPr="00B3696F">
        <w:rPr>
          <w:rFonts w:cs="Times New Roman"/>
          <w:szCs w:val="24"/>
        </w:rPr>
        <w:t>:</w:t>
      </w:r>
    </w:p>
    <w:p w14:paraId="628B706F" w14:textId="77777777" w:rsidR="00C03B5F" w:rsidRPr="00B3696F" w:rsidRDefault="00C03B5F" w:rsidP="00C03B5F">
      <w:pPr>
        <w:ind w:firstLine="567"/>
        <w:rPr>
          <w:rFonts w:cs="Times New Roman"/>
          <w:szCs w:val="24"/>
        </w:rPr>
      </w:pPr>
      <w:r w:rsidRPr="00B3696F">
        <w:rPr>
          <w:rFonts w:cs="Times New Roman"/>
          <w:szCs w:val="24"/>
        </w:rPr>
        <w:t>- favorevoli per principio</w:t>
      </w:r>
      <w:r w:rsidRPr="00B3696F">
        <w:rPr>
          <w:rStyle w:val="Rimandonotaapidipagina"/>
          <w:rFonts w:cs="Times New Roman"/>
          <w:szCs w:val="24"/>
        </w:rPr>
        <w:footnoteReference w:id="33"/>
      </w:r>
      <w:r w:rsidRPr="00B3696F">
        <w:rPr>
          <w:rFonts w:cs="Times New Roman"/>
          <w:szCs w:val="24"/>
        </w:rPr>
        <w:t>, in considerazione del ruolo fondamentale svolto dalla stampa</w:t>
      </w:r>
      <w:r>
        <w:rPr>
          <w:rFonts w:cs="Times New Roman"/>
          <w:szCs w:val="24"/>
        </w:rPr>
        <w:t>,</w:t>
      </w:r>
      <w:r w:rsidRPr="00B3696F">
        <w:rPr>
          <w:rFonts w:cs="Times New Roman"/>
          <w:szCs w:val="24"/>
        </w:rPr>
        <w:t xml:space="preserve"> come strumento essenziale della libertà d’informazione;</w:t>
      </w:r>
    </w:p>
    <w:p w14:paraId="1A653BFA" w14:textId="7349BC03" w:rsidR="00C03B5F" w:rsidRPr="00B3696F" w:rsidRDefault="00C03B5F" w:rsidP="00C03B5F">
      <w:pPr>
        <w:ind w:firstLine="567"/>
        <w:rPr>
          <w:rFonts w:cs="Times New Roman"/>
          <w:szCs w:val="24"/>
        </w:rPr>
      </w:pPr>
      <w:r w:rsidRPr="00B3696F">
        <w:rPr>
          <w:rFonts w:cs="Times New Roman"/>
          <w:szCs w:val="24"/>
        </w:rPr>
        <w:t>- favorevoli</w:t>
      </w:r>
      <w:r w:rsidR="00E75DCF">
        <w:rPr>
          <w:rFonts w:cs="Times New Roman"/>
          <w:szCs w:val="24"/>
        </w:rPr>
        <w:t>,</w:t>
      </w:r>
      <w:r w:rsidRPr="00B3696F">
        <w:rPr>
          <w:rFonts w:cs="Times New Roman"/>
          <w:szCs w:val="24"/>
        </w:rPr>
        <w:t xml:space="preserve"> a condizione che il richiedente dimostri un proprio e personale interesse (non di terzi, non della collettività indifferenziata) a conoscere gli atti e i documenti richiesti</w:t>
      </w:r>
      <w:r w:rsidRPr="00B3696F">
        <w:rPr>
          <w:rFonts w:cs="Times New Roman"/>
          <w:szCs w:val="24"/>
          <w:vertAlign w:val="superscript"/>
        </w:rPr>
        <w:footnoteReference w:id="34"/>
      </w:r>
      <w:r w:rsidRPr="00B3696F">
        <w:rPr>
          <w:rFonts w:cs="Times New Roman"/>
          <w:szCs w:val="24"/>
        </w:rPr>
        <w:t>.</w:t>
      </w:r>
    </w:p>
    <w:p w14:paraId="4B59B9AA" w14:textId="49A3A307" w:rsidR="00722FBB" w:rsidRPr="00722FBB" w:rsidRDefault="00722FBB" w:rsidP="00722FBB">
      <w:pPr>
        <w:pStyle w:val="Paragrafoelenco"/>
        <w:numPr>
          <w:ilvl w:val="0"/>
          <w:numId w:val="6"/>
        </w:numPr>
        <w:rPr>
          <w:rFonts w:cs="Times New Roman"/>
          <w:b/>
          <w:bCs/>
          <w:szCs w:val="24"/>
        </w:rPr>
      </w:pPr>
      <w:r w:rsidRPr="00722FBB">
        <w:rPr>
          <w:rFonts w:cs="Times New Roman"/>
          <w:b/>
          <w:bCs/>
          <w:szCs w:val="24"/>
        </w:rPr>
        <w:t>L’accesso ai segreti tecnici o commerciali</w:t>
      </w:r>
      <w:r w:rsidR="00450576">
        <w:rPr>
          <w:rFonts w:cs="Times New Roman"/>
          <w:b/>
          <w:bCs/>
          <w:szCs w:val="24"/>
        </w:rPr>
        <w:t xml:space="preserve"> nelle procedure d’appalto</w:t>
      </w:r>
      <w:r w:rsidRPr="00722FBB">
        <w:rPr>
          <w:rFonts w:cs="Times New Roman"/>
          <w:b/>
          <w:bCs/>
          <w:szCs w:val="24"/>
        </w:rPr>
        <w:t>.</w:t>
      </w:r>
    </w:p>
    <w:p w14:paraId="0D71D444" w14:textId="4DEFC104" w:rsidR="004217F9" w:rsidRPr="00B3696F" w:rsidRDefault="004217F9" w:rsidP="00F90AC2">
      <w:pPr>
        <w:ind w:firstLine="567"/>
        <w:rPr>
          <w:rFonts w:cs="Times New Roman"/>
          <w:szCs w:val="24"/>
        </w:rPr>
      </w:pPr>
      <w:r w:rsidRPr="00B3696F">
        <w:rPr>
          <w:rFonts w:cs="Times New Roman"/>
          <w:szCs w:val="24"/>
        </w:rPr>
        <w:t xml:space="preserve">Una </w:t>
      </w:r>
      <w:r w:rsidR="00C862C1" w:rsidRPr="00B3696F">
        <w:rPr>
          <w:rFonts w:cs="Times New Roman"/>
          <w:szCs w:val="24"/>
        </w:rPr>
        <w:t xml:space="preserve">disciplina </w:t>
      </w:r>
      <w:r w:rsidRPr="00B3696F">
        <w:rPr>
          <w:rFonts w:cs="Times New Roman"/>
          <w:szCs w:val="24"/>
        </w:rPr>
        <w:t xml:space="preserve">speciale </w:t>
      </w:r>
      <w:r w:rsidR="00E77F95" w:rsidRPr="00B3696F">
        <w:rPr>
          <w:rFonts w:cs="Times New Roman"/>
          <w:szCs w:val="24"/>
        </w:rPr>
        <w:t>è</w:t>
      </w:r>
      <w:r w:rsidR="00A9249D">
        <w:rPr>
          <w:rFonts w:cs="Times New Roman"/>
          <w:szCs w:val="24"/>
        </w:rPr>
        <w:t xml:space="preserve"> </w:t>
      </w:r>
      <w:r w:rsidR="00E77F95" w:rsidRPr="00B3696F">
        <w:rPr>
          <w:rFonts w:cs="Times New Roman"/>
          <w:szCs w:val="24"/>
        </w:rPr>
        <w:t>dettat</w:t>
      </w:r>
      <w:r w:rsidRPr="00B3696F">
        <w:rPr>
          <w:rFonts w:cs="Times New Roman"/>
          <w:szCs w:val="24"/>
        </w:rPr>
        <w:t xml:space="preserve">a </w:t>
      </w:r>
      <w:r w:rsidR="00204C2F">
        <w:rPr>
          <w:rFonts w:cs="Times New Roman"/>
          <w:szCs w:val="24"/>
        </w:rPr>
        <w:t xml:space="preserve">per </w:t>
      </w:r>
      <w:r w:rsidR="00E77F95" w:rsidRPr="00B3696F">
        <w:rPr>
          <w:rFonts w:cs="Times New Roman"/>
          <w:szCs w:val="24"/>
        </w:rPr>
        <w:t>l</w:t>
      </w:r>
      <w:r w:rsidRPr="00B3696F">
        <w:rPr>
          <w:rFonts w:cs="Times New Roman"/>
          <w:szCs w:val="24"/>
        </w:rPr>
        <w:t xml:space="preserve">e procedure </w:t>
      </w:r>
      <w:r w:rsidR="00204C2F">
        <w:rPr>
          <w:rFonts w:cs="Times New Roman"/>
          <w:szCs w:val="24"/>
        </w:rPr>
        <w:t xml:space="preserve">di </w:t>
      </w:r>
      <w:r w:rsidRPr="00B3696F">
        <w:rPr>
          <w:rFonts w:cs="Times New Roman"/>
          <w:szCs w:val="24"/>
        </w:rPr>
        <w:t>affidamento d</w:t>
      </w:r>
      <w:r w:rsidR="00204C2F">
        <w:rPr>
          <w:rFonts w:cs="Times New Roman"/>
          <w:szCs w:val="24"/>
        </w:rPr>
        <w:t>e</w:t>
      </w:r>
      <w:r w:rsidRPr="00B3696F">
        <w:rPr>
          <w:rFonts w:cs="Times New Roman"/>
          <w:szCs w:val="24"/>
        </w:rPr>
        <w:t>i contatti pubblic</w:t>
      </w:r>
      <w:r w:rsidR="00204C2F">
        <w:rPr>
          <w:rFonts w:cs="Times New Roman"/>
          <w:szCs w:val="24"/>
        </w:rPr>
        <w:t>i</w:t>
      </w:r>
      <w:r w:rsidR="00E77F95" w:rsidRPr="00B3696F">
        <w:rPr>
          <w:rStyle w:val="Rimandonotaapidipagina"/>
          <w:rFonts w:cs="Times New Roman"/>
          <w:szCs w:val="24"/>
        </w:rPr>
        <w:footnoteReference w:id="35"/>
      </w:r>
      <w:r w:rsidRPr="00B3696F">
        <w:rPr>
          <w:rFonts w:cs="Times New Roman"/>
          <w:szCs w:val="24"/>
        </w:rPr>
        <w:t>, dove l’art. 35, comma 4, del d.lgs. n. 36 del 2023, d</w:t>
      </w:r>
      <w:r w:rsidR="004440D6">
        <w:rPr>
          <w:rFonts w:cs="Times New Roman"/>
          <w:szCs w:val="24"/>
        </w:rPr>
        <w:t>ispon</w:t>
      </w:r>
      <w:r w:rsidRPr="00B3696F">
        <w:rPr>
          <w:rFonts w:cs="Times New Roman"/>
          <w:szCs w:val="24"/>
        </w:rPr>
        <w:t xml:space="preserve">e che il diritto di accesso ed ogni </w:t>
      </w:r>
      <w:r w:rsidR="004440D6">
        <w:rPr>
          <w:rFonts w:cs="Times New Roman"/>
          <w:szCs w:val="24"/>
        </w:rPr>
        <w:t xml:space="preserve">altra </w:t>
      </w:r>
      <w:r w:rsidRPr="00B3696F">
        <w:rPr>
          <w:rFonts w:cs="Times New Roman"/>
          <w:szCs w:val="24"/>
        </w:rPr>
        <w:t>forma di divulgazione:</w:t>
      </w:r>
    </w:p>
    <w:p w14:paraId="62E8F13E" w14:textId="249CDB09" w:rsidR="004217F9" w:rsidRPr="00B3696F" w:rsidRDefault="004217F9" w:rsidP="00F90AC2">
      <w:pPr>
        <w:ind w:firstLine="567"/>
        <w:rPr>
          <w:rFonts w:cs="Times New Roman"/>
          <w:szCs w:val="24"/>
        </w:rPr>
      </w:pPr>
      <w:r w:rsidRPr="00204C2F">
        <w:rPr>
          <w:rFonts w:cs="Times New Roman"/>
          <w:i/>
          <w:iCs/>
          <w:szCs w:val="24"/>
        </w:rPr>
        <w:t>a)</w:t>
      </w:r>
      <w:r w:rsidRPr="00B3696F">
        <w:rPr>
          <w:rFonts w:cs="Times New Roman"/>
          <w:szCs w:val="24"/>
        </w:rPr>
        <w:t xml:space="preserve">  possono essere esclusi in relazione ai segreti tecnici o commerciali;</w:t>
      </w:r>
    </w:p>
    <w:p w14:paraId="1D7BCEBD" w14:textId="308BAFAD" w:rsidR="004217F9" w:rsidRPr="00B3696F" w:rsidRDefault="004217F9" w:rsidP="00F90AC2">
      <w:pPr>
        <w:ind w:firstLine="567"/>
        <w:rPr>
          <w:rFonts w:cs="Times New Roman"/>
          <w:szCs w:val="24"/>
        </w:rPr>
      </w:pPr>
      <w:r w:rsidRPr="00204C2F">
        <w:rPr>
          <w:rFonts w:cs="Times New Roman"/>
          <w:i/>
          <w:iCs/>
          <w:szCs w:val="24"/>
        </w:rPr>
        <w:t>b)</w:t>
      </w:r>
      <w:r w:rsidRPr="00B3696F">
        <w:rPr>
          <w:rFonts w:cs="Times New Roman"/>
          <w:szCs w:val="24"/>
        </w:rPr>
        <w:t xml:space="preserve"> sono esclusi in relazione: 1) ai pareri legali acquisiti per la soluzione di liti, potenziali o in atto, relative ai contratti pubblici; 2) alle relazioni riservate; 3) alle piattaforme digitali e alle infrastrutture informatiche utilizzate dalla stazione appaltante o dall’ente concedente, ove coperte da diritti di privativa intellettuale.</w:t>
      </w:r>
    </w:p>
    <w:p w14:paraId="5B6D5C11" w14:textId="35DD96B2" w:rsidR="004217F9" w:rsidRPr="00B3696F" w:rsidRDefault="00682093" w:rsidP="00F90AC2">
      <w:pPr>
        <w:ind w:firstLine="567"/>
        <w:rPr>
          <w:rFonts w:cs="Times New Roman"/>
          <w:szCs w:val="24"/>
        </w:rPr>
      </w:pPr>
      <w:r>
        <w:rPr>
          <w:rFonts w:cs="Times New Roman"/>
          <w:szCs w:val="24"/>
        </w:rPr>
        <w:t>Purtuttavia</w:t>
      </w:r>
      <w:r w:rsidR="004217F9" w:rsidRPr="00B3696F">
        <w:rPr>
          <w:rFonts w:cs="Times New Roman"/>
          <w:szCs w:val="24"/>
        </w:rPr>
        <w:t>, a mente del comma 5, “in relazione alle ipotesi di cui al comma 4, lettere a) e b), n. 3), è consentito l’accesso al concorrente, se indispensabile ai fini della difesa in giudizio dei propri interessi giuridici rappresentati in relazione alla procedura di gara”.</w:t>
      </w:r>
    </w:p>
    <w:p w14:paraId="74EC4D05" w14:textId="6EBEC67C" w:rsidR="00F15E3B" w:rsidRDefault="00F15E3B" w:rsidP="00CF72F9">
      <w:pPr>
        <w:ind w:firstLine="567"/>
        <w:rPr>
          <w:rFonts w:cs="Times New Roman"/>
          <w:szCs w:val="24"/>
        </w:rPr>
      </w:pPr>
      <w:r>
        <w:rPr>
          <w:rFonts w:cs="Times New Roman"/>
          <w:szCs w:val="24"/>
        </w:rPr>
        <w:t xml:space="preserve">Pertanto, per tali documenti la riservatezza può essere superata dimostrando la </w:t>
      </w:r>
      <w:r w:rsidR="00C862C1">
        <w:rPr>
          <w:rFonts w:cs="Times New Roman"/>
          <w:szCs w:val="24"/>
        </w:rPr>
        <w:t>strumentalità del documento risp</w:t>
      </w:r>
      <w:r w:rsidR="00C03B5F">
        <w:rPr>
          <w:rFonts w:cs="Times New Roman"/>
          <w:szCs w:val="24"/>
        </w:rPr>
        <w:t>e</w:t>
      </w:r>
      <w:r w:rsidR="00C862C1">
        <w:rPr>
          <w:rFonts w:cs="Times New Roman"/>
          <w:szCs w:val="24"/>
        </w:rPr>
        <w:t>tto a</w:t>
      </w:r>
      <w:r w:rsidR="00C03B5F">
        <w:rPr>
          <w:rFonts w:cs="Times New Roman"/>
          <w:szCs w:val="24"/>
        </w:rPr>
        <w:t>ll</w:t>
      </w:r>
      <w:r w:rsidR="00A028FB">
        <w:rPr>
          <w:rFonts w:cs="Times New Roman"/>
          <w:szCs w:val="24"/>
        </w:rPr>
        <w:t>e esigenze di</w:t>
      </w:r>
      <w:r>
        <w:rPr>
          <w:rFonts w:cs="Times New Roman"/>
          <w:szCs w:val="24"/>
        </w:rPr>
        <w:t xml:space="preserve"> </w:t>
      </w:r>
      <w:r w:rsidR="00A028FB">
        <w:rPr>
          <w:rFonts w:cs="Times New Roman"/>
          <w:szCs w:val="24"/>
        </w:rPr>
        <w:t>tutel</w:t>
      </w:r>
      <w:r>
        <w:rPr>
          <w:rFonts w:cs="Times New Roman"/>
          <w:szCs w:val="24"/>
        </w:rPr>
        <w:t xml:space="preserve">a </w:t>
      </w:r>
      <w:r w:rsidR="00A028FB">
        <w:rPr>
          <w:rFonts w:cs="Times New Roman"/>
          <w:szCs w:val="24"/>
        </w:rPr>
        <w:t xml:space="preserve">giudiziaria avverso gli atti </w:t>
      </w:r>
      <w:r w:rsidR="00A028FB" w:rsidRPr="00B3696F">
        <w:rPr>
          <w:rFonts w:cs="Times New Roman"/>
          <w:szCs w:val="24"/>
        </w:rPr>
        <w:t>di gara</w:t>
      </w:r>
      <w:r w:rsidR="00C03B5F">
        <w:rPr>
          <w:rFonts w:cs="Times New Roman"/>
          <w:szCs w:val="24"/>
        </w:rPr>
        <w:t>.</w:t>
      </w:r>
    </w:p>
    <w:p w14:paraId="4926B0E0" w14:textId="3866317B" w:rsidR="000A2E48" w:rsidRDefault="000A2E48" w:rsidP="000A2E48">
      <w:pPr>
        <w:ind w:firstLine="567"/>
        <w:rPr>
          <w:rFonts w:cs="Times New Roman"/>
          <w:szCs w:val="24"/>
        </w:rPr>
      </w:pPr>
      <w:r>
        <w:rPr>
          <w:rFonts w:cs="Times New Roman"/>
          <w:szCs w:val="24"/>
        </w:rPr>
        <w:t xml:space="preserve">Alla stregua di ciò, la giurisprudenza amministrativa ha ritenuto che, </w:t>
      </w:r>
      <w:r w:rsidRPr="00DE33B8">
        <w:rPr>
          <w:rFonts w:cs="Times New Roman"/>
          <w:szCs w:val="24"/>
        </w:rPr>
        <w:t xml:space="preserve">per esercitare il diritto di accesso riguardo ad informazioni contenenti eventuali segreti tecnici o commerciali, è essenziale dimostrare </w:t>
      </w:r>
      <w:r>
        <w:rPr>
          <w:rFonts w:cs="Times New Roman"/>
          <w:szCs w:val="24"/>
        </w:rPr>
        <w:t>l</w:t>
      </w:r>
      <w:r w:rsidRPr="00DE33B8">
        <w:rPr>
          <w:rFonts w:cs="Times New Roman"/>
          <w:szCs w:val="24"/>
        </w:rPr>
        <w:t>o stretto collegamento o nesso di strumentalità tra la documentazione e le occorrenze difensive</w:t>
      </w:r>
      <w:r>
        <w:rPr>
          <w:rFonts w:cs="Times New Roman"/>
          <w:szCs w:val="24"/>
        </w:rPr>
        <w:t>,</w:t>
      </w:r>
      <w:r w:rsidRPr="007D2ACE">
        <w:rPr>
          <w:rFonts w:cs="Times New Roman"/>
          <w:szCs w:val="24"/>
        </w:rPr>
        <w:t xml:space="preserve"> </w:t>
      </w:r>
      <w:r>
        <w:rPr>
          <w:rFonts w:cs="Times New Roman"/>
          <w:szCs w:val="24"/>
        </w:rPr>
        <w:t xml:space="preserve">da </w:t>
      </w:r>
      <w:r w:rsidRPr="007D2ACE">
        <w:rPr>
          <w:rFonts w:cs="Times New Roman"/>
          <w:szCs w:val="24"/>
        </w:rPr>
        <w:t>inte</w:t>
      </w:r>
      <w:r>
        <w:rPr>
          <w:rFonts w:cs="Times New Roman"/>
          <w:szCs w:val="24"/>
        </w:rPr>
        <w:t>nder</w:t>
      </w:r>
      <w:r w:rsidRPr="007D2ACE">
        <w:rPr>
          <w:rFonts w:cs="Times New Roman"/>
          <w:szCs w:val="24"/>
        </w:rPr>
        <w:t>s</w:t>
      </w:r>
      <w:r>
        <w:rPr>
          <w:rFonts w:cs="Times New Roman"/>
          <w:szCs w:val="24"/>
        </w:rPr>
        <w:t>i</w:t>
      </w:r>
      <w:r w:rsidRPr="007D2ACE">
        <w:rPr>
          <w:rFonts w:cs="Times New Roman"/>
          <w:szCs w:val="24"/>
        </w:rPr>
        <w:t xml:space="preserve"> come insussistenza di altri mezzi di prova idonei a dimostrare i fatti oggetto di contesa tra le parti</w:t>
      </w:r>
      <w:r>
        <w:rPr>
          <w:rFonts w:cs="Times New Roman"/>
          <w:szCs w:val="24"/>
        </w:rPr>
        <w:t>; difettando ciò, l</w:t>
      </w:r>
      <w:r w:rsidRPr="007D2ACE">
        <w:rPr>
          <w:rFonts w:cs="Times New Roman"/>
          <w:szCs w:val="24"/>
        </w:rPr>
        <w:t xml:space="preserve">a semplice volontà di verificare e sondare </w:t>
      </w:r>
      <w:r>
        <w:rPr>
          <w:rFonts w:cs="Times New Roman"/>
          <w:szCs w:val="24"/>
        </w:rPr>
        <w:t>si sostanzierebbe in</w:t>
      </w:r>
      <w:r w:rsidRPr="007D2ACE">
        <w:rPr>
          <w:rFonts w:cs="Times New Roman"/>
          <w:szCs w:val="24"/>
        </w:rPr>
        <w:t xml:space="preserve"> un accesso meramente esplorativo alle informazioni riservate</w:t>
      </w:r>
      <w:r>
        <w:rPr>
          <w:rStyle w:val="Rimandonotaapidipagina"/>
          <w:rFonts w:cs="Times New Roman"/>
          <w:szCs w:val="24"/>
        </w:rPr>
        <w:footnoteReference w:id="36"/>
      </w:r>
      <w:r w:rsidRPr="00DE33B8">
        <w:rPr>
          <w:rFonts w:cs="Times New Roman"/>
          <w:szCs w:val="24"/>
        </w:rPr>
        <w:t>.</w:t>
      </w:r>
    </w:p>
    <w:p w14:paraId="499A6544" w14:textId="2732B336" w:rsidR="00CF72F9" w:rsidRDefault="00C03B5F" w:rsidP="00C03B5F">
      <w:pPr>
        <w:ind w:firstLine="567"/>
        <w:rPr>
          <w:rFonts w:cs="Times New Roman"/>
          <w:szCs w:val="24"/>
        </w:rPr>
      </w:pPr>
      <w:r>
        <w:rPr>
          <w:rFonts w:cs="Times New Roman"/>
          <w:szCs w:val="24"/>
        </w:rPr>
        <w:t xml:space="preserve">Recentemente, </w:t>
      </w:r>
      <w:r w:rsidR="000B3373">
        <w:rPr>
          <w:rFonts w:cs="Times New Roman"/>
          <w:szCs w:val="24"/>
        </w:rPr>
        <w:t>però</w:t>
      </w:r>
      <w:r>
        <w:rPr>
          <w:rFonts w:cs="Times New Roman"/>
          <w:szCs w:val="24"/>
        </w:rPr>
        <w:t>, la Corte di giustizia dell’UE</w:t>
      </w:r>
      <w:r w:rsidR="00CF72F9">
        <w:rPr>
          <w:rFonts w:cs="Times New Roman"/>
          <w:szCs w:val="24"/>
        </w:rPr>
        <w:t xml:space="preserve"> </w:t>
      </w:r>
      <w:r>
        <w:rPr>
          <w:rFonts w:cs="Times New Roman"/>
          <w:szCs w:val="24"/>
        </w:rPr>
        <w:t>ha affermato il principio secondo cui “</w:t>
      </w:r>
      <w:r w:rsidRPr="005E26C0">
        <w:t>l’art. 39 della direttiva 2014/25/UE del Parlamento europeo e del Consiglio, del 26 febbraio 2014, sulle procedure d’appalto degli enti erogatori nei settori dell’acqua, dell’energia, dei trasporti e dei servizi postali e che abroga la direttiva 2004/17/CE, in combinato disposto con gli artt. 70 e 75 di tale direttiva, deve essere interpretato nel senso che esso osta a una disciplina nazionale in materia di aggiudicazione di appalti pubblici, che richiede che l’accesso alla documentazione contenente segreti tecnici o commerciali trasmessa da un offerente sia concesso a un altro offerente, qualora tale accesso sia necessario al fine di garantire il diritto alla tutela giurisdizionale effettiva di quest’ultimo nell’ambito di una procedura connessa all’aggiudicazione dell’appalto, senza che tale disciplina consenta agli enti aggiudicatori di procedere a un bilanciamento tra tale diritto e le esigenze relative alla tutela dei segreti tecnici o commerciali”</w:t>
      </w:r>
      <w:r w:rsidR="00CF72F9">
        <w:rPr>
          <w:rStyle w:val="Rimandonotaapidipagina"/>
          <w:rFonts w:cs="Times New Roman"/>
          <w:szCs w:val="24"/>
        </w:rPr>
        <w:footnoteReference w:id="37"/>
      </w:r>
      <w:r w:rsidR="001C2797">
        <w:rPr>
          <w:rFonts w:cs="Times New Roman"/>
          <w:szCs w:val="24"/>
        </w:rPr>
        <w:t>.</w:t>
      </w:r>
    </w:p>
    <w:p w14:paraId="78CB04CA" w14:textId="07DD98EC" w:rsidR="00C03B5F" w:rsidRDefault="0033667F" w:rsidP="000B3373">
      <w:pPr>
        <w:ind w:firstLine="567"/>
      </w:pPr>
      <w:r>
        <w:t>A</w:t>
      </w:r>
      <w:r w:rsidR="00CE3BF9">
        <w:t>deguandosi</w:t>
      </w:r>
      <w:r w:rsidR="00791E76">
        <w:t xml:space="preserve"> </w:t>
      </w:r>
      <w:r w:rsidR="00CE3BF9">
        <w:t>a</w:t>
      </w:r>
      <w:r w:rsidR="00791E76">
        <w:t xml:space="preserve"> tale decisione, </w:t>
      </w:r>
      <w:r>
        <w:t xml:space="preserve">la giurisprudenza </w:t>
      </w:r>
      <w:r w:rsidR="00E75DCF">
        <w:t xml:space="preserve">nazionale </w:t>
      </w:r>
      <w:r w:rsidR="00CE3BF9">
        <w:t xml:space="preserve">ha </w:t>
      </w:r>
      <w:r w:rsidR="00E75DCF">
        <w:t xml:space="preserve">quindi </w:t>
      </w:r>
      <w:r>
        <w:t>precisa</w:t>
      </w:r>
      <w:r w:rsidR="00CE3BF9">
        <w:t>to</w:t>
      </w:r>
      <w:r w:rsidR="00791E76">
        <w:t xml:space="preserve"> </w:t>
      </w:r>
      <w:r w:rsidR="000A2E48">
        <w:t xml:space="preserve">che l’interesse </w:t>
      </w:r>
      <w:r w:rsidR="000A2E48" w:rsidRPr="000B3373">
        <w:t>dell’istante</w:t>
      </w:r>
      <w:r w:rsidR="000A2E48">
        <w:t xml:space="preserve"> a difendersi</w:t>
      </w:r>
      <w:r w:rsidR="000A2E48" w:rsidRPr="000B3373">
        <w:t xml:space="preserve"> non p</w:t>
      </w:r>
      <w:r w:rsidR="000A2E48">
        <w:t>uò</w:t>
      </w:r>
      <w:r w:rsidR="000A2E48" w:rsidRPr="000B3373">
        <w:t xml:space="preserve"> spingersi sino a prefigurare un diritto di accesso illimitato e</w:t>
      </w:r>
      <w:r>
        <w:t>d</w:t>
      </w:r>
      <w:r w:rsidR="000A2E48" w:rsidRPr="000B3373">
        <w:t xml:space="preserve"> assoluto, dovendo </w:t>
      </w:r>
      <w:r>
        <w:t xml:space="preserve">la P.A. </w:t>
      </w:r>
      <w:r w:rsidRPr="000B3373">
        <w:t xml:space="preserve">tenere </w:t>
      </w:r>
      <w:r w:rsidR="000A2E48" w:rsidRPr="000B3373">
        <w:t>adeguatamente in considerazione l’esistenza d</w:t>
      </w:r>
      <w:r w:rsidR="000A2E48">
        <w:t>e</w:t>
      </w:r>
      <w:r w:rsidR="000A2E48" w:rsidRPr="000B3373">
        <w:t>i segreti tecnico</w:t>
      </w:r>
      <w:r w:rsidR="00E75DCF">
        <w:t>-</w:t>
      </w:r>
      <w:r w:rsidR="000A2E48" w:rsidRPr="000B3373">
        <w:t>commerciali dell’operatore avversario</w:t>
      </w:r>
      <w:r w:rsidR="000A2E48">
        <w:t xml:space="preserve">, </w:t>
      </w:r>
      <w:r>
        <w:t xml:space="preserve">al fine di </w:t>
      </w:r>
      <w:r w:rsidR="000B3373" w:rsidRPr="000B3373">
        <w:t>garant</w:t>
      </w:r>
      <w:r>
        <w:t>ir</w:t>
      </w:r>
      <w:r w:rsidR="000B3373" w:rsidRPr="000B3373">
        <w:t xml:space="preserve">e </w:t>
      </w:r>
      <w:r>
        <w:t>l</w:t>
      </w:r>
      <w:r w:rsidR="000B3373" w:rsidRPr="000B3373">
        <w:t>a ponderazione degli interessi coinvolti, pena la violazione del principio di proporzionalità e della tutela effettiva delle informazioni riservate</w:t>
      </w:r>
      <w:r w:rsidR="000B3373">
        <w:rPr>
          <w:rStyle w:val="Rimandonotaapidipagina"/>
        </w:rPr>
        <w:footnoteReference w:id="38"/>
      </w:r>
      <w:r w:rsidR="000B3373" w:rsidRPr="000B3373">
        <w:t>.</w:t>
      </w:r>
    </w:p>
    <w:p w14:paraId="316D9B6C" w14:textId="5D121C23" w:rsidR="00DB69F6" w:rsidRPr="00DB69F6" w:rsidRDefault="0033667F" w:rsidP="00DB69F6">
      <w:pPr>
        <w:ind w:firstLine="567"/>
      </w:pPr>
      <w:r>
        <w:t xml:space="preserve">Tale ponderazione è però da escludere </w:t>
      </w:r>
      <w:r w:rsidR="00DB69F6" w:rsidRPr="00DB69F6">
        <w:t>la</w:t>
      </w:r>
      <w:r>
        <w:t>ddove</w:t>
      </w:r>
      <w:r w:rsidR="00DB69F6" w:rsidRPr="00DB69F6">
        <w:t xml:space="preserve"> </w:t>
      </w:r>
      <w:r>
        <w:t>il controinteressato si sia limitato</w:t>
      </w:r>
      <w:r w:rsidR="00DB69F6" w:rsidRPr="00DB69F6">
        <w:t xml:space="preserve"> </w:t>
      </w:r>
      <w:r>
        <w:t>a</w:t>
      </w:r>
      <w:r w:rsidR="00E75DCF">
        <w:t>lla mera</w:t>
      </w:r>
      <w:r>
        <w:t xml:space="preserve"> </w:t>
      </w:r>
      <w:r w:rsidR="00DB69F6" w:rsidRPr="00DB69F6">
        <w:t>afferma</w:t>
      </w:r>
      <w:r w:rsidR="00E75DCF">
        <w:t>zion</w:t>
      </w:r>
      <w:r w:rsidR="00DB69F6" w:rsidRPr="00DB69F6">
        <w:t>e che i</w:t>
      </w:r>
      <w:r w:rsidR="00DB69F6">
        <w:t>l</w:t>
      </w:r>
      <w:r w:rsidR="00DB69F6" w:rsidRPr="00DB69F6">
        <w:t xml:space="preserve"> </w:t>
      </w:r>
      <w:r w:rsidR="00DB69F6">
        <w:t xml:space="preserve">documento richiesto </w:t>
      </w:r>
      <w:r w:rsidR="00DB69F6" w:rsidRPr="00DB69F6">
        <w:t>att</w:t>
      </w:r>
      <w:r>
        <w:t>i</w:t>
      </w:r>
      <w:r w:rsidR="00DB69F6" w:rsidRPr="00DB69F6">
        <w:t>en</w:t>
      </w:r>
      <w:r>
        <w:t>e</w:t>
      </w:r>
      <w:r w:rsidR="00DB69F6" w:rsidRPr="00DB69F6">
        <w:t xml:space="preserve"> al proprio </w:t>
      </w:r>
      <w:r w:rsidR="00DB69F6" w:rsidRPr="0033667F">
        <w:rPr>
          <w:i/>
          <w:iCs/>
        </w:rPr>
        <w:t>know-how</w:t>
      </w:r>
      <w:r w:rsidR="00DB69F6">
        <w:t>,</w:t>
      </w:r>
      <w:r w:rsidR="00DB69F6" w:rsidRPr="00DB69F6">
        <w:t xml:space="preserve"> </w:t>
      </w:r>
      <w:r>
        <w:t>senza</w:t>
      </w:r>
      <w:r w:rsidR="00DB69F6" w:rsidRPr="00DB69F6">
        <w:t xml:space="preserve"> indi</w:t>
      </w:r>
      <w:r w:rsidR="00DB69F6">
        <w:t>ca</w:t>
      </w:r>
      <w:r>
        <w:t>r</w:t>
      </w:r>
      <w:r w:rsidR="00DB69F6">
        <w:t>e</w:t>
      </w:r>
      <w:r>
        <w:t>,</w:t>
      </w:r>
      <w:r w:rsidR="00DB69F6" w:rsidRPr="00DB69F6">
        <w:t xml:space="preserve"> in modo chiaro e specifico, le particolari competenze e conoscenze dell’attività professionale che </w:t>
      </w:r>
      <w:r w:rsidR="00DB69F6">
        <w:t>s’</w:t>
      </w:r>
      <w:r w:rsidR="00DB69F6" w:rsidRPr="00DB69F6">
        <w:t>intend</w:t>
      </w:r>
      <w:r w:rsidR="00DB69F6">
        <w:t>ono</w:t>
      </w:r>
      <w:r w:rsidR="00DB69F6" w:rsidRPr="00DB69F6">
        <w:t xml:space="preserve"> mantenere riservate</w:t>
      </w:r>
      <w:r w:rsidR="00E75DCF">
        <w:t>,</w:t>
      </w:r>
      <w:r w:rsidR="00DB69F6" w:rsidRPr="00DB69F6">
        <w:t xml:space="preserve"> in quanto idonee a garantire il successo e la competitività nel mercato di riferimento</w:t>
      </w:r>
      <w:r w:rsidR="00DB69F6">
        <w:rPr>
          <w:rStyle w:val="Rimandonotaapidipagina"/>
        </w:rPr>
        <w:footnoteReference w:id="39"/>
      </w:r>
      <w:r w:rsidR="00DB69F6" w:rsidRPr="00DB69F6">
        <w:t>.</w:t>
      </w:r>
    </w:p>
    <w:p w14:paraId="64B16066" w14:textId="78173703" w:rsidR="00DB69F6" w:rsidRDefault="00DB69F6" w:rsidP="000B3373">
      <w:pPr>
        <w:ind w:firstLine="567"/>
      </w:pPr>
      <w:r>
        <w:t xml:space="preserve">Tale </w:t>
      </w:r>
      <w:r w:rsidRPr="00DB69F6">
        <w:t xml:space="preserve">indicazione, </w:t>
      </w:r>
      <w:r>
        <w:t xml:space="preserve">inoltre, </w:t>
      </w:r>
      <w:r w:rsidR="0033667F">
        <w:t xml:space="preserve">se non è </w:t>
      </w:r>
      <w:r w:rsidRPr="00DB69F6">
        <w:t>offerta in sede procedimentale</w:t>
      </w:r>
      <w:r w:rsidR="0033667F">
        <w:t>,</w:t>
      </w:r>
      <w:r w:rsidRPr="00DB69F6">
        <w:t xml:space="preserve"> </w:t>
      </w:r>
      <w:r w:rsidR="0033667F">
        <w:t>non</w:t>
      </w:r>
      <w:r w:rsidRPr="00DB69F6">
        <w:t xml:space="preserve"> </w:t>
      </w:r>
      <w:r w:rsidR="0033667F">
        <w:t xml:space="preserve">può essere effettuata in </w:t>
      </w:r>
      <w:r w:rsidRPr="00DB69F6">
        <w:t>sede giurisdizionale</w:t>
      </w:r>
      <w:r w:rsidR="00E75DCF">
        <w:t>,</w:t>
      </w:r>
      <w:r w:rsidR="0033667F">
        <w:t xml:space="preserve"> nel ricorso proposto avverso</w:t>
      </w:r>
      <w:r w:rsidRPr="00DB69F6">
        <w:t xml:space="preserve"> le decisioni </w:t>
      </w:r>
      <w:r w:rsidR="0033667F">
        <w:t>assunte dalla P.A.</w:t>
      </w:r>
      <w:r>
        <w:t>, essendo</w:t>
      </w:r>
      <w:r w:rsidRPr="00DB69F6">
        <w:t> inammissibile</w:t>
      </w:r>
      <w:r w:rsidR="0033667F">
        <w:t xml:space="preserve"> </w:t>
      </w:r>
      <w:r w:rsidRPr="00DB69F6">
        <w:t>l’integrazione postuma delle ragioni non esp</w:t>
      </w:r>
      <w:r w:rsidR="00900893">
        <w:t>ress</w:t>
      </w:r>
      <w:r w:rsidRPr="00DB69F6">
        <w:t xml:space="preserve">e </w:t>
      </w:r>
      <w:r w:rsidR="00900893">
        <w:t>i</w:t>
      </w:r>
      <w:r w:rsidRPr="00DB69F6">
        <w:t xml:space="preserve">n </w:t>
      </w:r>
      <w:r w:rsidR="0033667F">
        <w:t>fas</w:t>
      </w:r>
      <w:r w:rsidRPr="00DB69F6">
        <w:t xml:space="preserve">e </w:t>
      </w:r>
      <w:r w:rsidR="0033667F">
        <w:t>amministrativa</w:t>
      </w:r>
      <w:r>
        <w:rPr>
          <w:rStyle w:val="Rimandonotaapidipagina"/>
        </w:rPr>
        <w:footnoteReference w:id="40"/>
      </w:r>
      <w:r>
        <w:t>.</w:t>
      </w:r>
    </w:p>
    <w:p w14:paraId="1FB51855" w14:textId="607534C0" w:rsidR="00C862C1" w:rsidRPr="00C862C1" w:rsidRDefault="00A73EFA" w:rsidP="00C862C1">
      <w:pPr>
        <w:pStyle w:val="Paragrafoelenco"/>
        <w:numPr>
          <w:ilvl w:val="0"/>
          <w:numId w:val="6"/>
        </w:numPr>
        <w:rPr>
          <w:b/>
          <w:bCs/>
        </w:rPr>
      </w:pPr>
      <w:r>
        <w:rPr>
          <w:b/>
          <w:bCs/>
        </w:rPr>
        <w:t>Gli obblighi di sicur</w:t>
      </w:r>
      <w:r w:rsidR="0009673A">
        <w:rPr>
          <w:b/>
          <w:bCs/>
        </w:rPr>
        <w:t>e</w:t>
      </w:r>
      <w:r>
        <w:rPr>
          <w:b/>
          <w:bCs/>
        </w:rPr>
        <w:t>zza</w:t>
      </w:r>
      <w:r w:rsidR="0009673A">
        <w:rPr>
          <w:b/>
          <w:bCs/>
        </w:rPr>
        <w:t xml:space="preserve"> </w:t>
      </w:r>
      <w:r w:rsidR="009955A9">
        <w:rPr>
          <w:b/>
          <w:bCs/>
        </w:rPr>
        <w:t>digitale</w:t>
      </w:r>
      <w:r w:rsidR="00CE3BF9">
        <w:rPr>
          <w:b/>
          <w:bCs/>
        </w:rPr>
        <w:t>.</w:t>
      </w:r>
    </w:p>
    <w:p w14:paraId="7D26A584" w14:textId="377CFD0B" w:rsidR="003D2A46" w:rsidRPr="00B3696F" w:rsidRDefault="00682093" w:rsidP="00F90AC2">
      <w:pPr>
        <w:ind w:firstLine="567"/>
        <w:rPr>
          <w:rFonts w:cs="Times New Roman"/>
          <w:szCs w:val="24"/>
        </w:rPr>
      </w:pPr>
      <w:r>
        <w:rPr>
          <w:rFonts w:cs="Times New Roman"/>
          <w:szCs w:val="24"/>
        </w:rPr>
        <w:t>Il trattamento dei dati</w:t>
      </w:r>
      <w:r w:rsidR="00DE653C" w:rsidRPr="00B3696F">
        <w:rPr>
          <w:rFonts w:cs="Times New Roman"/>
          <w:szCs w:val="24"/>
        </w:rPr>
        <w:t xml:space="preserve"> </w:t>
      </w:r>
      <w:r>
        <w:rPr>
          <w:rFonts w:cs="Times New Roman"/>
          <w:szCs w:val="24"/>
        </w:rPr>
        <w:t>personali deve avven</w:t>
      </w:r>
      <w:r w:rsidR="00157118" w:rsidRPr="00B3696F">
        <w:rPr>
          <w:rFonts w:cs="Times New Roman"/>
          <w:szCs w:val="24"/>
        </w:rPr>
        <w:t>i</w:t>
      </w:r>
      <w:r>
        <w:rPr>
          <w:rFonts w:cs="Times New Roman"/>
          <w:szCs w:val="24"/>
        </w:rPr>
        <w:t>re</w:t>
      </w:r>
      <w:r w:rsidR="00157118" w:rsidRPr="00B3696F">
        <w:rPr>
          <w:rFonts w:cs="Times New Roman"/>
          <w:szCs w:val="24"/>
        </w:rPr>
        <w:t xml:space="preserve"> </w:t>
      </w:r>
      <w:r>
        <w:rPr>
          <w:rFonts w:cs="Times New Roman"/>
          <w:szCs w:val="24"/>
        </w:rPr>
        <w:t xml:space="preserve">nel rispetto degli obblighi </w:t>
      </w:r>
      <w:r w:rsidR="00157118" w:rsidRPr="00B3696F">
        <w:rPr>
          <w:rFonts w:cs="Times New Roman"/>
          <w:szCs w:val="24"/>
        </w:rPr>
        <w:t>d</w:t>
      </w:r>
      <w:r>
        <w:rPr>
          <w:rFonts w:cs="Times New Roman"/>
          <w:szCs w:val="24"/>
        </w:rPr>
        <w:t>i</w:t>
      </w:r>
      <w:r w:rsidR="00157118" w:rsidRPr="00B3696F">
        <w:rPr>
          <w:rFonts w:cs="Times New Roman"/>
          <w:szCs w:val="24"/>
        </w:rPr>
        <w:t xml:space="preserve"> </w:t>
      </w:r>
      <w:r w:rsidR="003D2A46" w:rsidRPr="00B3696F">
        <w:rPr>
          <w:rFonts w:cs="Times New Roman"/>
          <w:szCs w:val="24"/>
        </w:rPr>
        <w:t>sicurezza digitale</w:t>
      </w:r>
      <w:r w:rsidR="00157118" w:rsidRPr="00B3696F">
        <w:rPr>
          <w:rFonts w:cs="Times New Roman"/>
          <w:szCs w:val="24"/>
        </w:rPr>
        <w:t xml:space="preserve">, </w:t>
      </w:r>
      <w:r w:rsidR="00020128">
        <w:rPr>
          <w:rFonts w:cs="Times New Roman"/>
          <w:szCs w:val="24"/>
        </w:rPr>
        <w:t>che attengono a</w:t>
      </w:r>
      <w:r w:rsidR="00157118" w:rsidRPr="00B3696F">
        <w:rPr>
          <w:rFonts w:cs="Times New Roman"/>
          <w:szCs w:val="24"/>
        </w:rPr>
        <w:t>i</w:t>
      </w:r>
      <w:r w:rsidR="003D2A46" w:rsidRPr="00B3696F">
        <w:rPr>
          <w:rFonts w:cs="Times New Roman"/>
          <w:szCs w:val="24"/>
        </w:rPr>
        <w:t xml:space="preserve"> </w:t>
      </w:r>
      <w:r w:rsidR="00DE653C" w:rsidRPr="00B3696F">
        <w:rPr>
          <w:rFonts w:cs="Times New Roman"/>
          <w:szCs w:val="24"/>
        </w:rPr>
        <w:t>presìd</w:t>
      </w:r>
      <w:r w:rsidR="00157118" w:rsidRPr="00B3696F">
        <w:rPr>
          <w:rFonts w:cs="Times New Roman"/>
          <w:szCs w:val="24"/>
        </w:rPr>
        <w:t xml:space="preserve">i </w:t>
      </w:r>
      <w:r w:rsidR="004F39F7">
        <w:rPr>
          <w:rFonts w:cs="Times New Roman"/>
          <w:szCs w:val="24"/>
        </w:rPr>
        <w:t>prepost</w:t>
      </w:r>
      <w:r w:rsidR="00DE653C" w:rsidRPr="00B3696F">
        <w:rPr>
          <w:rFonts w:cs="Times New Roman"/>
          <w:szCs w:val="24"/>
        </w:rPr>
        <w:t>i</w:t>
      </w:r>
      <w:r w:rsidR="003D2A46" w:rsidRPr="00B3696F">
        <w:rPr>
          <w:rFonts w:cs="Times New Roman"/>
          <w:szCs w:val="24"/>
        </w:rPr>
        <w:t xml:space="preserve"> </w:t>
      </w:r>
      <w:r w:rsidR="00DE653C" w:rsidRPr="00B3696F">
        <w:rPr>
          <w:rFonts w:cs="Times New Roman"/>
          <w:szCs w:val="24"/>
        </w:rPr>
        <w:t>a</w:t>
      </w:r>
      <w:r w:rsidR="003D2A46" w:rsidRPr="00B3696F">
        <w:rPr>
          <w:rFonts w:cs="Times New Roman"/>
          <w:szCs w:val="24"/>
        </w:rPr>
        <w:t xml:space="preserve"> proteggere i dati e le informazioni personali</w:t>
      </w:r>
      <w:r w:rsidR="00DE653C" w:rsidRPr="00B3696F">
        <w:rPr>
          <w:rFonts w:cs="Times New Roman"/>
          <w:szCs w:val="24"/>
        </w:rPr>
        <w:t>,</w:t>
      </w:r>
      <w:r w:rsidR="003D2A46" w:rsidRPr="00B3696F">
        <w:rPr>
          <w:rFonts w:cs="Times New Roman"/>
          <w:szCs w:val="24"/>
        </w:rPr>
        <w:t xml:space="preserve"> </w:t>
      </w:r>
      <w:r w:rsidR="00DE653C" w:rsidRPr="00B3696F">
        <w:rPr>
          <w:rFonts w:cs="Times New Roman"/>
          <w:szCs w:val="24"/>
        </w:rPr>
        <w:t xml:space="preserve">quali i </w:t>
      </w:r>
      <w:r w:rsidR="003D2A46" w:rsidRPr="00B3696F">
        <w:rPr>
          <w:rFonts w:cs="Times New Roman"/>
          <w:i/>
          <w:iCs/>
          <w:szCs w:val="24"/>
        </w:rPr>
        <w:t>software</w:t>
      </w:r>
      <w:r w:rsidR="003D2A46" w:rsidRPr="00B3696F">
        <w:rPr>
          <w:rFonts w:cs="Times New Roman"/>
          <w:szCs w:val="24"/>
        </w:rPr>
        <w:t xml:space="preserve"> </w:t>
      </w:r>
      <w:r w:rsidR="003D2A46" w:rsidRPr="00B3696F">
        <w:rPr>
          <w:rFonts w:cs="Times New Roman"/>
          <w:i/>
          <w:iCs/>
          <w:szCs w:val="24"/>
        </w:rPr>
        <w:t>antivirus</w:t>
      </w:r>
      <w:r w:rsidR="003D2A46" w:rsidRPr="00B3696F">
        <w:rPr>
          <w:rFonts w:cs="Times New Roman"/>
          <w:szCs w:val="24"/>
        </w:rPr>
        <w:t xml:space="preserve">, </w:t>
      </w:r>
      <w:r w:rsidR="00DE653C" w:rsidRPr="00B3696F">
        <w:rPr>
          <w:rFonts w:cs="Times New Roman"/>
          <w:szCs w:val="24"/>
        </w:rPr>
        <w:t xml:space="preserve">la </w:t>
      </w:r>
      <w:r w:rsidR="003D2A46" w:rsidRPr="00B3696F">
        <w:rPr>
          <w:rFonts w:cs="Times New Roman"/>
          <w:szCs w:val="24"/>
        </w:rPr>
        <w:t>biometria</w:t>
      </w:r>
      <w:r w:rsidR="00DE653C" w:rsidRPr="00B3696F">
        <w:rPr>
          <w:rFonts w:cs="Times New Roman"/>
          <w:szCs w:val="24"/>
        </w:rPr>
        <w:t>, i</w:t>
      </w:r>
      <w:r w:rsidR="003D2A46" w:rsidRPr="00B3696F">
        <w:rPr>
          <w:rFonts w:cs="Times New Roman"/>
          <w:szCs w:val="24"/>
        </w:rPr>
        <w:t xml:space="preserve"> dispositivi personali protetti.</w:t>
      </w:r>
    </w:p>
    <w:p w14:paraId="238EEF09" w14:textId="305DA890" w:rsidR="00DE653C" w:rsidRPr="00B3696F" w:rsidRDefault="00682093" w:rsidP="00F90AC2">
      <w:pPr>
        <w:ind w:firstLine="567"/>
        <w:rPr>
          <w:rFonts w:cs="Times New Roman"/>
          <w:szCs w:val="24"/>
        </w:rPr>
      </w:pPr>
      <w:r>
        <w:rPr>
          <w:rFonts w:cs="Times New Roman"/>
          <w:szCs w:val="24"/>
        </w:rPr>
        <w:t>A</w:t>
      </w:r>
      <w:r w:rsidR="00DE653C" w:rsidRPr="00B3696F">
        <w:rPr>
          <w:rFonts w:cs="Times New Roman"/>
          <w:szCs w:val="24"/>
        </w:rPr>
        <w:t xml:space="preserve"> tali strumenti </w:t>
      </w:r>
      <w:r w:rsidR="0052774F">
        <w:rPr>
          <w:rFonts w:cs="Times New Roman"/>
          <w:szCs w:val="24"/>
        </w:rPr>
        <w:t xml:space="preserve">si </w:t>
      </w:r>
      <w:r>
        <w:rPr>
          <w:rFonts w:cs="Times New Roman"/>
          <w:szCs w:val="24"/>
        </w:rPr>
        <w:t>richiama</w:t>
      </w:r>
      <w:r w:rsidR="00DE653C" w:rsidRPr="00B3696F">
        <w:rPr>
          <w:rFonts w:cs="Times New Roman"/>
          <w:szCs w:val="24"/>
        </w:rPr>
        <w:t xml:space="preserve"> l’art. 51 del codice dell’amministrazione digitale, in base al quale “con le regole tecniche adottate ai sensi dell’art. 71 sono individuate le soluzioni tecniche idonee a garantire la protezione, la disponibilità, l’accessibilità, l’integrità e la riservatezza dei dati e la continuità operativa dei sistemi e delle infrastrutture”.</w:t>
      </w:r>
    </w:p>
    <w:p w14:paraId="753ADC8A" w14:textId="5961A9EA" w:rsidR="00C67B1D" w:rsidRPr="00B3696F" w:rsidRDefault="00DE653C" w:rsidP="00F90AC2">
      <w:pPr>
        <w:ind w:firstLine="567"/>
        <w:rPr>
          <w:rFonts w:cs="Times New Roman"/>
          <w:szCs w:val="24"/>
        </w:rPr>
      </w:pPr>
      <w:r w:rsidRPr="00B3696F">
        <w:rPr>
          <w:rFonts w:cs="Times New Roman"/>
          <w:szCs w:val="24"/>
        </w:rPr>
        <w:t xml:space="preserve">Una disciplina </w:t>
      </w:r>
      <w:r w:rsidRPr="00B3696F">
        <w:rPr>
          <w:rFonts w:cs="Times New Roman"/>
          <w:i/>
          <w:iCs/>
          <w:szCs w:val="24"/>
        </w:rPr>
        <w:t>ad hoc</w:t>
      </w:r>
      <w:r w:rsidRPr="00B3696F">
        <w:rPr>
          <w:rFonts w:cs="Times New Roman"/>
          <w:szCs w:val="24"/>
        </w:rPr>
        <w:t xml:space="preserve"> </w:t>
      </w:r>
      <w:r w:rsidR="00682093">
        <w:rPr>
          <w:rFonts w:cs="Times New Roman"/>
          <w:szCs w:val="24"/>
        </w:rPr>
        <w:t>è prevista</w:t>
      </w:r>
      <w:r w:rsidRPr="00B3696F">
        <w:rPr>
          <w:rFonts w:cs="Times New Roman"/>
          <w:szCs w:val="24"/>
        </w:rPr>
        <w:t xml:space="preserve"> in materia di contratti pubblici, dove l</w:t>
      </w:r>
      <w:r w:rsidR="00C67B1D" w:rsidRPr="00B3696F">
        <w:rPr>
          <w:rFonts w:cs="Times New Roman"/>
          <w:szCs w:val="24"/>
        </w:rPr>
        <w:t>’art</w:t>
      </w:r>
      <w:r w:rsidR="00C67B1D" w:rsidRPr="00C67B1D">
        <w:rPr>
          <w:rFonts w:cs="Times New Roman"/>
          <w:szCs w:val="24"/>
        </w:rPr>
        <w:t>. 19</w:t>
      </w:r>
      <w:r w:rsidR="00C67B1D" w:rsidRPr="00B3696F">
        <w:rPr>
          <w:rFonts w:cs="Times New Roman"/>
          <w:szCs w:val="24"/>
        </w:rPr>
        <w:t xml:space="preserve"> del d.lgs. n. 36 del 2023 prevede che </w:t>
      </w:r>
      <w:r w:rsidR="008211FC" w:rsidRPr="00B3696F">
        <w:rPr>
          <w:rFonts w:cs="Times New Roman"/>
          <w:szCs w:val="24"/>
        </w:rPr>
        <w:t>l</w:t>
      </w:r>
      <w:r w:rsidR="008211FC" w:rsidRPr="00C67B1D">
        <w:rPr>
          <w:rFonts w:cs="Times New Roman"/>
          <w:szCs w:val="24"/>
        </w:rPr>
        <w:t xml:space="preserve">e stazioni appaltanti e gli enti concedenti </w:t>
      </w:r>
      <w:r w:rsidR="00C67B1D" w:rsidRPr="00C67B1D">
        <w:rPr>
          <w:rFonts w:cs="Times New Roman"/>
          <w:szCs w:val="24"/>
        </w:rPr>
        <w:t>“operano secondo i princ</w:t>
      </w:r>
      <w:r w:rsidR="00FD274E" w:rsidRPr="00B3696F">
        <w:rPr>
          <w:rFonts w:cs="Times New Roman"/>
          <w:szCs w:val="24"/>
        </w:rPr>
        <w:t>ì</w:t>
      </w:r>
      <w:r w:rsidR="00C67B1D" w:rsidRPr="00C67B1D">
        <w:rPr>
          <w:rFonts w:cs="Times New Roman"/>
          <w:szCs w:val="24"/>
        </w:rPr>
        <w:t xml:space="preserve">pi </w:t>
      </w:r>
      <w:r w:rsidR="008211FC" w:rsidRPr="00B3696F">
        <w:rPr>
          <w:rFonts w:cs="Times New Roman"/>
          <w:szCs w:val="24"/>
        </w:rPr>
        <w:t xml:space="preserve">… </w:t>
      </w:r>
      <w:r w:rsidR="00C67B1D" w:rsidRPr="00C67B1D">
        <w:rPr>
          <w:rFonts w:cs="Times New Roman"/>
          <w:szCs w:val="24"/>
        </w:rPr>
        <w:t>di protezione dei dati personali e di sicurezza informatica</w:t>
      </w:r>
      <w:r w:rsidR="00C67B1D" w:rsidRPr="00B3696F">
        <w:rPr>
          <w:rFonts w:cs="Times New Roman"/>
          <w:szCs w:val="24"/>
        </w:rPr>
        <w:t xml:space="preserve">” </w:t>
      </w:r>
      <w:r w:rsidR="008211FC" w:rsidRPr="00B3696F">
        <w:rPr>
          <w:rFonts w:cs="Times New Roman"/>
          <w:szCs w:val="24"/>
        </w:rPr>
        <w:t>(comma 1)</w:t>
      </w:r>
      <w:r w:rsidR="00044DB2">
        <w:rPr>
          <w:rFonts w:cs="Times New Roman"/>
          <w:szCs w:val="24"/>
        </w:rPr>
        <w:t>,</w:t>
      </w:r>
      <w:r w:rsidR="008211FC" w:rsidRPr="00B3696F">
        <w:rPr>
          <w:rFonts w:cs="Times New Roman"/>
          <w:szCs w:val="24"/>
        </w:rPr>
        <w:t xml:space="preserve"> “</w:t>
      </w:r>
      <w:r w:rsidR="00C67B1D" w:rsidRPr="00C67B1D">
        <w:rPr>
          <w:rFonts w:cs="Times New Roman"/>
          <w:szCs w:val="24"/>
        </w:rPr>
        <w:t>adottano misure tecniche e</w:t>
      </w:r>
      <w:r w:rsidR="00C67B1D" w:rsidRPr="00B3696F">
        <w:rPr>
          <w:rFonts w:cs="Times New Roman"/>
          <w:szCs w:val="24"/>
        </w:rPr>
        <w:t xml:space="preserve"> </w:t>
      </w:r>
      <w:r w:rsidR="00C67B1D" w:rsidRPr="00C67B1D">
        <w:rPr>
          <w:rFonts w:cs="Times New Roman"/>
          <w:szCs w:val="24"/>
        </w:rPr>
        <w:t>organizzative a presidio della sicurezza informatica e della protezione dei dati personali</w:t>
      </w:r>
      <w:r w:rsidR="008211FC" w:rsidRPr="00B3696F">
        <w:rPr>
          <w:rFonts w:cs="Times New Roman"/>
          <w:szCs w:val="24"/>
        </w:rPr>
        <w:t xml:space="preserve">” </w:t>
      </w:r>
      <w:r w:rsidR="00044DB2">
        <w:rPr>
          <w:rFonts w:cs="Times New Roman"/>
          <w:szCs w:val="24"/>
        </w:rPr>
        <w:t xml:space="preserve">ed </w:t>
      </w:r>
      <w:r w:rsidR="008211FC" w:rsidRPr="00B3696F">
        <w:rPr>
          <w:rFonts w:cs="Times New Roman"/>
          <w:szCs w:val="24"/>
        </w:rPr>
        <w:t>“</w:t>
      </w:r>
      <w:r w:rsidR="00C67B1D" w:rsidRPr="00C67B1D">
        <w:rPr>
          <w:rFonts w:cs="Times New Roman"/>
          <w:szCs w:val="24"/>
        </w:rPr>
        <w:t>assicurano la formazione del personale addetto,</w:t>
      </w:r>
      <w:r w:rsidR="00C67B1D" w:rsidRPr="00B3696F">
        <w:rPr>
          <w:rFonts w:cs="Times New Roman"/>
          <w:szCs w:val="24"/>
        </w:rPr>
        <w:t xml:space="preserve"> garantendone il costante aggiornamento”</w:t>
      </w:r>
      <w:r w:rsidR="008211FC" w:rsidRPr="00B3696F">
        <w:rPr>
          <w:rFonts w:cs="Times New Roman"/>
          <w:szCs w:val="24"/>
        </w:rPr>
        <w:t xml:space="preserve"> (comma </w:t>
      </w:r>
      <w:r w:rsidR="008211FC" w:rsidRPr="00C67B1D">
        <w:rPr>
          <w:rFonts w:cs="Times New Roman"/>
          <w:szCs w:val="24"/>
        </w:rPr>
        <w:t>5</w:t>
      </w:r>
      <w:r w:rsidR="008211FC" w:rsidRPr="00B3696F">
        <w:rPr>
          <w:rFonts w:cs="Times New Roman"/>
          <w:szCs w:val="24"/>
        </w:rPr>
        <w:t>)</w:t>
      </w:r>
      <w:r w:rsidR="00C67B1D" w:rsidRPr="00B3696F">
        <w:rPr>
          <w:rFonts w:cs="Times New Roman"/>
          <w:szCs w:val="24"/>
        </w:rPr>
        <w:t>.</w:t>
      </w:r>
    </w:p>
    <w:p w14:paraId="039E794F" w14:textId="2DA65B90" w:rsidR="00DE0E7E" w:rsidRPr="00B3696F" w:rsidRDefault="00DE0E7E" w:rsidP="00F90AC2">
      <w:pPr>
        <w:ind w:firstLine="567"/>
        <w:rPr>
          <w:rFonts w:cs="Times New Roman"/>
          <w:szCs w:val="24"/>
        </w:rPr>
      </w:pPr>
      <w:r w:rsidRPr="00B3696F">
        <w:rPr>
          <w:rFonts w:cs="Times New Roman"/>
          <w:szCs w:val="24"/>
        </w:rPr>
        <w:t>Lo scopo perseguito è</w:t>
      </w:r>
      <w:r w:rsidR="00044DB2">
        <w:rPr>
          <w:rFonts w:cs="Times New Roman"/>
          <w:szCs w:val="24"/>
        </w:rPr>
        <w:t>, ovviamente,</w:t>
      </w:r>
      <w:r w:rsidRPr="00B3696F">
        <w:rPr>
          <w:rFonts w:cs="Times New Roman"/>
          <w:szCs w:val="24"/>
        </w:rPr>
        <w:t xml:space="preserve"> quello di prevenire</w:t>
      </w:r>
      <w:r w:rsidR="004F39F7">
        <w:rPr>
          <w:rFonts w:cs="Times New Roman"/>
          <w:szCs w:val="24"/>
        </w:rPr>
        <w:t>, accertare</w:t>
      </w:r>
      <w:r w:rsidR="00B24780">
        <w:rPr>
          <w:rFonts w:cs="Times New Roman"/>
          <w:szCs w:val="24"/>
        </w:rPr>
        <w:t>, rimediare</w:t>
      </w:r>
      <w:r w:rsidRPr="00B3696F">
        <w:rPr>
          <w:rFonts w:cs="Times New Roman"/>
          <w:szCs w:val="24"/>
        </w:rPr>
        <w:t xml:space="preserve"> e sanziona</w:t>
      </w:r>
      <w:r w:rsidR="00DE653C" w:rsidRPr="00B3696F">
        <w:rPr>
          <w:rFonts w:cs="Times New Roman"/>
          <w:szCs w:val="24"/>
        </w:rPr>
        <w:t>r</w:t>
      </w:r>
      <w:r w:rsidRPr="00B3696F">
        <w:rPr>
          <w:rFonts w:cs="Times New Roman"/>
          <w:szCs w:val="24"/>
        </w:rPr>
        <w:t>e le violazioni</w:t>
      </w:r>
      <w:r w:rsidR="00B24780">
        <w:rPr>
          <w:rFonts w:cs="Times New Roman"/>
          <w:szCs w:val="24"/>
        </w:rPr>
        <w:t xml:space="preserve"> </w:t>
      </w:r>
      <w:r w:rsidRPr="00B3696F">
        <w:rPr>
          <w:rFonts w:cs="Times New Roman"/>
          <w:szCs w:val="24"/>
        </w:rPr>
        <w:t>– fortuite o</w:t>
      </w:r>
      <w:r w:rsidR="00E75DCF">
        <w:rPr>
          <w:rFonts w:cs="Times New Roman"/>
          <w:szCs w:val="24"/>
        </w:rPr>
        <w:t>d</w:t>
      </w:r>
      <w:r w:rsidRPr="00B3696F">
        <w:rPr>
          <w:rFonts w:cs="Times New Roman"/>
          <w:szCs w:val="24"/>
        </w:rPr>
        <w:t xml:space="preserve"> illec</w:t>
      </w:r>
      <w:r w:rsidR="00044DB2">
        <w:rPr>
          <w:rFonts w:cs="Times New Roman"/>
          <w:szCs w:val="24"/>
        </w:rPr>
        <w:t>i</w:t>
      </w:r>
      <w:r w:rsidRPr="00B3696F">
        <w:rPr>
          <w:rFonts w:cs="Times New Roman"/>
          <w:szCs w:val="24"/>
        </w:rPr>
        <w:t>te –</w:t>
      </w:r>
      <w:r w:rsidR="00020128">
        <w:rPr>
          <w:rFonts w:cs="Times New Roman"/>
          <w:szCs w:val="24"/>
        </w:rPr>
        <w:t xml:space="preserve"> </w:t>
      </w:r>
      <w:r w:rsidR="00044DB2" w:rsidRPr="00B3696F">
        <w:rPr>
          <w:rFonts w:cs="Times New Roman"/>
          <w:szCs w:val="24"/>
        </w:rPr>
        <w:t>che comport</w:t>
      </w:r>
      <w:r w:rsidR="00044DB2">
        <w:rPr>
          <w:rFonts w:cs="Times New Roman"/>
          <w:szCs w:val="24"/>
        </w:rPr>
        <w:t>ino</w:t>
      </w:r>
      <w:r w:rsidR="00044DB2" w:rsidRPr="00B3696F">
        <w:rPr>
          <w:rFonts w:cs="Times New Roman"/>
          <w:szCs w:val="24"/>
        </w:rPr>
        <w:t xml:space="preserve"> </w:t>
      </w:r>
      <w:r w:rsidRPr="00B3696F">
        <w:rPr>
          <w:rFonts w:cs="Times New Roman"/>
          <w:szCs w:val="24"/>
        </w:rPr>
        <w:t xml:space="preserve">la distruzione, la perdita, la modifica, la divulgazione </w:t>
      </w:r>
      <w:r w:rsidR="004F39F7" w:rsidRPr="00B3696F">
        <w:rPr>
          <w:rFonts w:cs="Times New Roman"/>
          <w:szCs w:val="24"/>
        </w:rPr>
        <w:t xml:space="preserve">o l’accesso </w:t>
      </w:r>
      <w:r w:rsidRPr="00B3696F">
        <w:rPr>
          <w:rFonts w:cs="Times New Roman"/>
          <w:szCs w:val="24"/>
        </w:rPr>
        <w:t>non autorizzat</w:t>
      </w:r>
      <w:r w:rsidR="004F39F7">
        <w:rPr>
          <w:rFonts w:cs="Times New Roman"/>
          <w:szCs w:val="24"/>
        </w:rPr>
        <w:t>i</w:t>
      </w:r>
      <w:r w:rsidRPr="00B3696F">
        <w:rPr>
          <w:rFonts w:cs="Times New Roman"/>
          <w:szCs w:val="24"/>
        </w:rPr>
        <w:t xml:space="preserve"> ai dati </w:t>
      </w:r>
      <w:r w:rsidRPr="00B24780">
        <w:rPr>
          <w:rFonts w:cs="Times New Roman"/>
          <w:szCs w:val="24"/>
        </w:rPr>
        <w:t>personali</w:t>
      </w:r>
      <w:r w:rsidRPr="00B3696F">
        <w:rPr>
          <w:rFonts w:cs="Times New Roman"/>
          <w:szCs w:val="24"/>
        </w:rPr>
        <w:t xml:space="preserve"> trasmessi, conservati o comunque trattati.</w:t>
      </w:r>
    </w:p>
    <w:p w14:paraId="71EA12C3" w14:textId="62136553" w:rsidR="003D2A46" w:rsidRPr="00B3696F" w:rsidRDefault="00DE0E7E" w:rsidP="00F90AC2">
      <w:pPr>
        <w:ind w:firstLine="567"/>
        <w:rPr>
          <w:rFonts w:cs="Times New Roman"/>
          <w:szCs w:val="24"/>
        </w:rPr>
      </w:pPr>
      <w:r w:rsidRPr="00B3696F">
        <w:rPr>
          <w:rFonts w:cs="Times New Roman"/>
          <w:szCs w:val="24"/>
        </w:rPr>
        <w:t xml:space="preserve">Ciò in quanto </w:t>
      </w:r>
      <w:r w:rsidR="00020128">
        <w:rPr>
          <w:rFonts w:cs="Times New Roman"/>
          <w:szCs w:val="24"/>
        </w:rPr>
        <w:t>l</w:t>
      </w:r>
      <w:r w:rsidR="00682093">
        <w:rPr>
          <w:rFonts w:cs="Times New Roman"/>
          <w:szCs w:val="24"/>
        </w:rPr>
        <w:t>a</w:t>
      </w:r>
      <w:r w:rsidR="003D2A46" w:rsidRPr="00B3696F">
        <w:rPr>
          <w:rFonts w:cs="Times New Roman"/>
          <w:szCs w:val="24"/>
        </w:rPr>
        <w:t xml:space="preserve"> violazion</w:t>
      </w:r>
      <w:r w:rsidR="00682093">
        <w:rPr>
          <w:rFonts w:cs="Times New Roman"/>
          <w:szCs w:val="24"/>
        </w:rPr>
        <w:t>e</w:t>
      </w:r>
      <w:r w:rsidR="003D2A46" w:rsidRPr="00B3696F">
        <w:rPr>
          <w:rFonts w:cs="Times New Roman"/>
          <w:szCs w:val="24"/>
        </w:rPr>
        <w:t xml:space="preserve"> dei dati </w:t>
      </w:r>
      <w:r w:rsidR="003D2A46" w:rsidRPr="00B24780">
        <w:rPr>
          <w:rFonts w:cs="Times New Roman"/>
          <w:szCs w:val="24"/>
        </w:rPr>
        <w:t>personali</w:t>
      </w:r>
      <w:r w:rsidR="003D2A46" w:rsidRPr="00B3696F">
        <w:rPr>
          <w:rFonts w:cs="Times New Roman"/>
          <w:szCs w:val="24"/>
        </w:rPr>
        <w:t xml:space="preserve"> p</w:t>
      </w:r>
      <w:r w:rsidR="00682093">
        <w:rPr>
          <w:rFonts w:cs="Times New Roman"/>
          <w:szCs w:val="24"/>
        </w:rPr>
        <w:t xml:space="preserve">uò </w:t>
      </w:r>
      <w:r w:rsidR="003D2A46" w:rsidRPr="00B3696F">
        <w:rPr>
          <w:rFonts w:cs="Times New Roman"/>
          <w:szCs w:val="24"/>
        </w:rPr>
        <w:t>compromettere la riservatezza, l’integrità o la disponibilità d</w:t>
      </w:r>
      <w:r w:rsidR="00C522D3">
        <w:rPr>
          <w:rFonts w:cs="Times New Roman"/>
          <w:szCs w:val="24"/>
        </w:rPr>
        <w:t>egl</w:t>
      </w:r>
      <w:r w:rsidR="003D2A46" w:rsidRPr="00B3696F">
        <w:rPr>
          <w:rFonts w:cs="Times New Roman"/>
          <w:szCs w:val="24"/>
        </w:rPr>
        <w:t xml:space="preserve">i </w:t>
      </w:r>
      <w:r w:rsidR="00C522D3">
        <w:rPr>
          <w:rFonts w:cs="Times New Roman"/>
          <w:szCs w:val="24"/>
        </w:rPr>
        <w:t>s</w:t>
      </w:r>
      <w:r w:rsidR="003D2A46" w:rsidRPr="00B3696F">
        <w:rPr>
          <w:rFonts w:cs="Times New Roman"/>
          <w:szCs w:val="24"/>
        </w:rPr>
        <w:t>t</w:t>
      </w:r>
      <w:r w:rsidR="00C522D3">
        <w:rPr>
          <w:rFonts w:cs="Times New Roman"/>
          <w:szCs w:val="24"/>
        </w:rPr>
        <w:t>ess</w:t>
      </w:r>
      <w:r w:rsidR="003D2A46" w:rsidRPr="00B3696F">
        <w:rPr>
          <w:rFonts w:cs="Times New Roman"/>
          <w:szCs w:val="24"/>
        </w:rPr>
        <w:t>i.</w:t>
      </w:r>
    </w:p>
    <w:p w14:paraId="0A4CF49B" w14:textId="2D514074" w:rsidR="00422EBA" w:rsidRDefault="0052774F" w:rsidP="00F90AC2">
      <w:pPr>
        <w:ind w:firstLine="567"/>
        <w:rPr>
          <w:rFonts w:cs="Times New Roman"/>
          <w:szCs w:val="24"/>
        </w:rPr>
      </w:pPr>
      <w:r>
        <w:rPr>
          <w:rFonts w:cs="Times New Roman"/>
          <w:szCs w:val="24"/>
        </w:rPr>
        <w:t>D</w:t>
      </w:r>
      <w:r w:rsidR="00422EBA">
        <w:rPr>
          <w:rFonts w:cs="Times New Roman"/>
          <w:szCs w:val="24"/>
        </w:rPr>
        <w:t>elle violazion</w:t>
      </w:r>
      <w:r w:rsidR="00C1416C">
        <w:rPr>
          <w:rFonts w:cs="Times New Roman"/>
          <w:szCs w:val="24"/>
        </w:rPr>
        <w:t>i</w:t>
      </w:r>
      <w:r w:rsidR="00422EBA">
        <w:rPr>
          <w:rFonts w:cs="Times New Roman"/>
          <w:szCs w:val="24"/>
        </w:rPr>
        <w:t xml:space="preserve"> in </w:t>
      </w:r>
      <w:r w:rsidR="00942258">
        <w:rPr>
          <w:rFonts w:cs="Times New Roman"/>
          <w:szCs w:val="24"/>
        </w:rPr>
        <w:t>te</w:t>
      </w:r>
      <w:r w:rsidR="00422EBA">
        <w:rPr>
          <w:rFonts w:cs="Times New Roman"/>
          <w:szCs w:val="24"/>
        </w:rPr>
        <w:t>ma</w:t>
      </w:r>
      <w:r w:rsidR="00942258">
        <w:rPr>
          <w:rFonts w:cs="Times New Roman"/>
          <w:szCs w:val="24"/>
        </w:rPr>
        <w:t xml:space="preserve"> </w:t>
      </w:r>
      <w:r w:rsidR="00422EBA">
        <w:rPr>
          <w:rFonts w:cs="Times New Roman"/>
          <w:szCs w:val="24"/>
        </w:rPr>
        <w:t>di tr</w:t>
      </w:r>
      <w:r w:rsidR="00422EBA" w:rsidRPr="00B3696F">
        <w:rPr>
          <w:rFonts w:cs="Times New Roman"/>
          <w:szCs w:val="24"/>
        </w:rPr>
        <w:t>a</w:t>
      </w:r>
      <w:r w:rsidR="00422EBA">
        <w:rPr>
          <w:rFonts w:cs="Times New Roman"/>
          <w:szCs w:val="24"/>
        </w:rPr>
        <w:t>ttamento de</w:t>
      </w:r>
      <w:r w:rsidR="00422EBA" w:rsidRPr="00B3696F">
        <w:rPr>
          <w:rFonts w:cs="Times New Roman"/>
          <w:szCs w:val="24"/>
        </w:rPr>
        <w:t xml:space="preserve">i dati </w:t>
      </w:r>
      <w:r w:rsidR="00422EBA" w:rsidRPr="00B24780">
        <w:rPr>
          <w:rFonts w:cs="Times New Roman"/>
          <w:szCs w:val="24"/>
        </w:rPr>
        <w:t>personali</w:t>
      </w:r>
      <w:r w:rsidRPr="0052774F">
        <w:rPr>
          <w:rFonts w:cs="Times New Roman"/>
          <w:szCs w:val="24"/>
        </w:rPr>
        <w:t xml:space="preserve"> </w:t>
      </w:r>
      <w:r>
        <w:rPr>
          <w:rFonts w:cs="Times New Roman"/>
          <w:szCs w:val="24"/>
        </w:rPr>
        <w:t>si occupa</w:t>
      </w:r>
      <w:r w:rsidRPr="0052774F">
        <w:rPr>
          <w:rFonts w:cs="Times New Roman"/>
          <w:szCs w:val="24"/>
        </w:rPr>
        <w:t xml:space="preserve"> </w:t>
      </w:r>
      <w:r>
        <w:rPr>
          <w:rFonts w:cs="Times New Roman"/>
          <w:szCs w:val="24"/>
        </w:rPr>
        <w:t xml:space="preserve">il </w:t>
      </w:r>
      <w:r w:rsidRPr="00B3696F">
        <w:rPr>
          <w:rFonts w:cs="Times New Roman"/>
          <w:szCs w:val="24"/>
        </w:rPr>
        <w:t>regolamento UE 2016/679</w:t>
      </w:r>
      <w:r w:rsidR="00422EBA">
        <w:rPr>
          <w:rFonts w:cs="Times New Roman"/>
          <w:szCs w:val="24"/>
        </w:rPr>
        <w:t>.</w:t>
      </w:r>
    </w:p>
    <w:p w14:paraId="2BBC0419" w14:textId="3190E2CC" w:rsidR="00942258" w:rsidRDefault="00C1416C" w:rsidP="00F90AC2">
      <w:pPr>
        <w:ind w:firstLine="567"/>
        <w:rPr>
          <w:rFonts w:cs="Times New Roman"/>
          <w:szCs w:val="24"/>
        </w:rPr>
      </w:pPr>
      <w:r>
        <w:rPr>
          <w:rFonts w:cs="Times New Roman"/>
          <w:szCs w:val="24"/>
        </w:rPr>
        <w:t>L</w:t>
      </w:r>
      <w:r w:rsidR="005F7E53" w:rsidRPr="00B3696F">
        <w:rPr>
          <w:rFonts w:cs="Times New Roman"/>
          <w:szCs w:val="24"/>
        </w:rPr>
        <w:t xml:space="preserve">’art. 33 </w:t>
      </w:r>
      <w:r>
        <w:rPr>
          <w:rFonts w:cs="Times New Roman"/>
          <w:szCs w:val="24"/>
        </w:rPr>
        <w:t>fa obbligo</w:t>
      </w:r>
      <w:r w:rsidR="00DE0E7E" w:rsidRPr="00B3696F">
        <w:rPr>
          <w:rFonts w:cs="Times New Roman"/>
          <w:szCs w:val="24"/>
        </w:rPr>
        <w:t xml:space="preserve"> </w:t>
      </w:r>
      <w:r>
        <w:rPr>
          <w:rFonts w:cs="Times New Roman"/>
          <w:szCs w:val="24"/>
        </w:rPr>
        <w:t>a</w:t>
      </w:r>
      <w:r w:rsidR="003D2A46" w:rsidRPr="00B3696F">
        <w:rPr>
          <w:rFonts w:cs="Times New Roman"/>
          <w:szCs w:val="24"/>
        </w:rPr>
        <w:t xml:space="preserve">l titolare del trattamento </w:t>
      </w:r>
      <w:r w:rsidR="00DE0E7E" w:rsidRPr="00B3696F">
        <w:rPr>
          <w:rFonts w:cs="Times New Roman"/>
          <w:szCs w:val="24"/>
        </w:rPr>
        <w:t>d</w:t>
      </w:r>
      <w:r>
        <w:rPr>
          <w:rFonts w:cs="Times New Roman"/>
          <w:szCs w:val="24"/>
        </w:rPr>
        <w:t>i</w:t>
      </w:r>
      <w:r w:rsidR="00F26B49" w:rsidRPr="00F26B49">
        <w:rPr>
          <w:rFonts w:cs="Times New Roman"/>
          <w:szCs w:val="24"/>
        </w:rPr>
        <w:t xml:space="preserve"> </w:t>
      </w:r>
      <w:r w:rsidR="00F26B49" w:rsidRPr="00B3696F">
        <w:rPr>
          <w:rFonts w:cs="Times New Roman"/>
          <w:szCs w:val="24"/>
        </w:rPr>
        <w:t>notificare</w:t>
      </w:r>
      <w:r w:rsidR="00DE0E7E" w:rsidRPr="00B3696F">
        <w:rPr>
          <w:rFonts w:cs="Times New Roman"/>
          <w:szCs w:val="24"/>
        </w:rPr>
        <w:t xml:space="preserve"> </w:t>
      </w:r>
      <w:r w:rsidR="003D2A46" w:rsidRPr="00B3696F">
        <w:rPr>
          <w:rFonts w:cs="Times New Roman"/>
          <w:szCs w:val="24"/>
        </w:rPr>
        <w:t>senza ritardo, al</w:t>
      </w:r>
      <w:r w:rsidR="00FD274E" w:rsidRPr="00B3696F">
        <w:rPr>
          <w:rFonts w:cs="Times New Roman"/>
          <w:szCs w:val="24"/>
        </w:rPr>
        <w:t>l’autorità g</w:t>
      </w:r>
      <w:r w:rsidR="003D2A46" w:rsidRPr="00B3696F">
        <w:rPr>
          <w:rFonts w:cs="Times New Roman"/>
          <w:szCs w:val="24"/>
        </w:rPr>
        <w:t xml:space="preserve">arante </w:t>
      </w:r>
      <w:r w:rsidR="00FD274E" w:rsidRPr="00B3696F">
        <w:rPr>
          <w:rFonts w:cs="Times New Roman"/>
          <w:szCs w:val="24"/>
        </w:rPr>
        <w:t xml:space="preserve">nazionale </w:t>
      </w:r>
      <w:r w:rsidR="003D2A46" w:rsidRPr="00B3696F">
        <w:rPr>
          <w:rFonts w:cs="Times New Roman"/>
          <w:szCs w:val="24"/>
        </w:rPr>
        <w:t>per la protezione dei dati personali</w:t>
      </w:r>
      <w:r w:rsidR="00F26B49">
        <w:rPr>
          <w:rFonts w:cs="Times New Roman"/>
          <w:szCs w:val="24"/>
        </w:rPr>
        <w:t>,</w:t>
      </w:r>
      <w:r w:rsidR="003D2A46" w:rsidRPr="00B3696F">
        <w:rPr>
          <w:rFonts w:cs="Times New Roman"/>
          <w:szCs w:val="24"/>
        </w:rPr>
        <w:t xml:space="preserve"> </w:t>
      </w:r>
      <w:r w:rsidR="00DE0E7E" w:rsidRPr="00B3696F">
        <w:rPr>
          <w:rFonts w:cs="Times New Roman"/>
          <w:szCs w:val="24"/>
        </w:rPr>
        <w:t>le violazioni che possono avere </w:t>
      </w:r>
      <w:r w:rsidR="00942258" w:rsidRPr="00B3696F">
        <w:rPr>
          <w:rFonts w:cs="Times New Roman"/>
          <w:szCs w:val="24"/>
        </w:rPr>
        <w:t>significativi </w:t>
      </w:r>
      <w:r w:rsidR="00DE0E7E" w:rsidRPr="00B3696F">
        <w:rPr>
          <w:rFonts w:cs="Times New Roman"/>
          <w:szCs w:val="24"/>
        </w:rPr>
        <w:t xml:space="preserve">effetti avversi sugli individui, causando </w:t>
      </w:r>
      <w:r w:rsidR="00942258">
        <w:rPr>
          <w:rFonts w:cs="Times New Roman"/>
          <w:szCs w:val="24"/>
        </w:rPr>
        <w:t xml:space="preserve">loro </w:t>
      </w:r>
      <w:r w:rsidR="00DE0E7E" w:rsidRPr="00B3696F">
        <w:rPr>
          <w:rFonts w:cs="Times New Roman"/>
          <w:szCs w:val="24"/>
        </w:rPr>
        <w:t>danni fisici, materiali o immateriali</w:t>
      </w:r>
      <w:r w:rsidR="003D2A46" w:rsidRPr="00B3696F">
        <w:rPr>
          <w:rFonts w:cs="Times New Roman"/>
          <w:szCs w:val="24"/>
        </w:rPr>
        <w:t>.</w:t>
      </w:r>
    </w:p>
    <w:p w14:paraId="083D840D" w14:textId="77777777" w:rsidR="00BD2989" w:rsidRDefault="00BD2989" w:rsidP="00BD2989">
      <w:pPr>
        <w:ind w:firstLine="567"/>
        <w:rPr>
          <w:rFonts w:cs="Times New Roman"/>
          <w:szCs w:val="24"/>
        </w:rPr>
      </w:pPr>
      <w:r>
        <w:rPr>
          <w:rFonts w:cs="Times New Roman"/>
          <w:szCs w:val="24"/>
        </w:rPr>
        <w:t xml:space="preserve">Il termine per la </w:t>
      </w:r>
      <w:r w:rsidRPr="00B3696F">
        <w:rPr>
          <w:rFonts w:cs="Times New Roman"/>
          <w:szCs w:val="24"/>
        </w:rPr>
        <w:t>notific</w:t>
      </w:r>
      <w:r>
        <w:rPr>
          <w:rFonts w:cs="Times New Roman"/>
          <w:szCs w:val="24"/>
        </w:rPr>
        <w:t>a è di</w:t>
      </w:r>
      <w:r w:rsidRPr="00B3696F">
        <w:rPr>
          <w:rFonts w:cs="Times New Roman"/>
          <w:szCs w:val="24"/>
        </w:rPr>
        <w:t xml:space="preserve"> 72 ore </w:t>
      </w:r>
      <w:r>
        <w:rPr>
          <w:rFonts w:cs="Times New Roman"/>
          <w:szCs w:val="24"/>
        </w:rPr>
        <w:t>dall’accertamento della violazione e, in caso di suo superamento, va</w:t>
      </w:r>
      <w:r w:rsidRPr="00B3696F">
        <w:rPr>
          <w:rFonts w:cs="Times New Roman"/>
          <w:szCs w:val="24"/>
        </w:rPr>
        <w:t> </w:t>
      </w:r>
      <w:r>
        <w:rPr>
          <w:rFonts w:cs="Times New Roman"/>
          <w:szCs w:val="24"/>
        </w:rPr>
        <w:t xml:space="preserve">adeguatamente </w:t>
      </w:r>
      <w:r w:rsidRPr="00B3696F">
        <w:rPr>
          <w:rFonts w:cs="Times New Roman"/>
          <w:szCs w:val="24"/>
        </w:rPr>
        <w:t>motiv</w:t>
      </w:r>
      <w:r>
        <w:rPr>
          <w:rFonts w:cs="Times New Roman"/>
          <w:szCs w:val="24"/>
        </w:rPr>
        <w:t>ata</w:t>
      </w:r>
      <w:r w:rsidRPr="00942258">
        <w:rPr>
          <w:rFonts w:cs="Times New Roman"/>
          <w:szCs w:val="24"/>
        </w:rPr>
        <w:t xml:space="preserve"> </w:t>
      </w:r>
      <w:r>
        <w:rPr>
          <w:rFonts w:cs="Times New Roman"/>
          <w:szCs w:val="24"/>
        </w:rPr>
        <w:t>la ragione</w:t>
      </w:r>
      <w:r w:rsidRPr="00B3696F">
        <w:rPr>
          <w:rFonts w:cs="Times New Roman"/>
          <w:szCs w:val="24"/>
        </w:rPr>
        <w:t xml:space="preserve"> del ritardo.</w:t>
      </w:r>
    </w:p>
    <w:p w14:paraId="019921FD" w14:textId="2E2CA533" w:rsidR="00C70310" w:rsidRPr="00B3696F" w:rsidRDefault="00C70310" w:rsidP="00C70310">
      <w:pPr>
        <w:ind w:firstLine="567"/>
        <w:rPr>
          <w:rFonts w:cs="Times New Roman"/>
          <w:szCs w:val="24"/>
        </w:rPr>
      </w:pPr>
      <w:r w:rsidRPr="00B3696F">
        <w:rPr>
          <w:rFonts w:cs="Times New Roman"/>
          <w:szCs w:val="24"/>
        </w:rPr>
        <w:t xml:space="preserve">In forza dell’art. 58, </w:t>
      </w:r>
      <w:r>
        <w:rPr>
          <w:rFonts w:cs="Times New Roman"/>
          <w:szCs w:val="24"/>
        </w:rPr>
        <w:t>l’autorità</w:t>
      </w:r>
      <w:r w:rsidRPr="00B3696F">
        <w:rPr>
          <w:rFonts w:cs="Times New Roman"/>
          <w:szCs w:val="24"/>
        </w:rPr>
        <w:t xml:space="preserve"> garante può prescrivere misure correttive, anche </w:t>
      </w:r>
      <w:r>
        <w:rPr>
          <w:rFonts w:cs="Times New Roman"/>
          <w:szCs w:val="24"/>
        </w:rPr>
        <w:t>sul</w:t>
      </w:r>
      <w:r w:rsidRPr="00B3696F">
        <w:rPr>
          <w:rFonts w:cs="Times New Roman"/>
          <w:szCs w:val="24"/>
        </w:rPr>
        <w:t>l’adeguatezza delle misure di sicurezza tecniche e organizzative applicate ai dati oggetto di violazione</w:t>
      </w:r>
      <w:r>
        <w:rPr>
          <w:rFonts w:cs="Times New Roman"/>
          <w:szCs w:val="24"/>
        </w:rPr>
        <w:t>,</w:t>
      </w:r>
      <w:r w:rsidRPr="00B3696F">
        <w:rPr>
          <w:rFonts w:cs="Times New Roman"/>
          <w:szCs w:val="24"/>
        </w:rPr>
        <w:t xml:space="preserve"> </w:t>
      </w:r>
      <w:r>
        <w:rPr>
          <w:rFonts w:cs="Times New Roman"/>
          <w:szCs w:val="24"/>
        </w:rPr>
        <w:t>nonché</w:t>
      </w:r>
      <w:r w:rsidRPr="00B3696F">
        <w:rPr>
          <w:rFonts w:cs="Times New Roman"/>
          <w:szCs w:val="24"/>
        </w:rPr>
        <w:t xml:space="preserve"> comminare </w:t>
      </w:r>
      <w:r w:rsidR="00E75DCF">
        <w:rPr>
          <w:rFonts w:cs="Times New Roman"/>
          <w:szCs w:val="24"/>
        </w:rPr>
        <w:t>pes</w:t>
      </w:r>
      <w:r>
        <w:rPr>
          <w:rFonts w:cs="Times New Roman"/>
          <w:szCs w:val="24"/>
        </w:rPr>
        <w:t xml:space="preserve">anti </w:t>
      </w:r>
      <w:r w:rsidRPr="00B3696F">
        <w:rPr>
          <w:rFonts w:cs="Times New Roman"/>
          <w:szCs w:val="24"/>
        </w:rPr>
        <w:t>sanzioni pecuniarie.</w:t>
      </w:r>
    </w:p>
    <w:p w14:paraId="7440A263" w14:textId="7D65095A" w:rsidR="00C70310" w:rsidRPr="00B3696F" w:rsidRDefault="00C70310" w:rsidP="00C70310">
      <w:pPr>
        <w:ind w:firstLine="567"/>
        <w:rPr>
          <w:rFonts w:cs="Times New Roman"/>
          <w:szCs w:val="24"/>
        </w:rPr>
      </w:pPr>
      <w:r w:rsidRPr="00B3696F">
        <w:rPr>
          <w:rFonts w:cs="Times New Roman"/>
          <w:szCs w:val="24"/>
        </w:rPr>
        <w:t>Se</w:t>
      </w:r>
      <w:r>
        <w:rPr>
          <w:rFonts w:cs="Times New Roman"/>
          <w:szCs w:val="24"/>
        </w:rPr>
        <w:t xml:space="preserve"> </w:t>
      </w:r>
      <w:r w:rsidRPr="00B3696F">
        <w:rPr>
          <w:rFonts w:cs="Times New Roman"/>
          <w:szCs w:val="24"/>
        </w:rPr>
        <w:t xml:space="preserve">la violazione </w:t>
      </w:r>
      <w:r>
        <w:rPr>
          <w:rFonts w:cs="Times New Roman"/>
          <w:szCs w:val="24"/>
        </w:rPr>
        <w:t>determin</w:t>
      </w:r>
      <w:r w:rsidRPr="00B3696F">
        <w:rPr>
          <w:rFonts w:cs="Times New Roman"/>
          <w:szCs w:val="24"/>
        </w:rPr>
        <w:t xml:space="preserve">a un rischio elevato </w:t>
      </w:r>
      <w:r>
        <w:rPr>
          <w:rFonts w:cs="Times New Roman"/>
          <w:szCs w:val="24"/>
        </w:rPr>
        <w:t>di compromissione de</w:t>
      </w:r>
      <w:r w:rsidRPr="00B3696F">
        <w:rPr>
          <w:rFonts w:cs="Times New Roman"/>
          <w:szCs w:val="24"/>
        </w:rPr>
        <w:t xml:space="preserve">i diritti delle persone, </w:t>
      </w:r>
      <w:r>
        <w:rPr>
          <w:rFonts w:cs="Times New Roman"/>
          <w:szCs w:val="24"/>
        </w:rPr>
        <w:t>la notifica va effettuata</w:t>
      </w:r>
      <w:r w:rsidRPr="00B3696F">
        <w:rPr>
          <w:rFonts w:cs="Times New Roman"/>
          <w:szCs w:val="24"/>
        </w:rPr>
        <w:t xml:space="preserve"> </w:t>
      </w:r>
      <w:r w:rsidR="0052774F">
        <w:rPr>
          <w:rFonts w:cs="Times New Roman"/>
          <w:szCs w:val="24"/>
        </w:rPr>
        <w:t xml:space="preserve">anche </w:t>
      </w:r>
      <w:r>
        <w:rPr>
          <w:rFonts w:cs="Times New Roman"/>
          <w:szCs w:val="24"/>
        </w:rPr>
        <w:t>nei confronti</w:t>
      </w:r>
      <w:r w:rsidRPr="00B3696F">
        <w:rPr>
          <w:rFonts w:cs="Times New Roman"/>
          <w:szCs w:val="24"/>
        </w:rPr>
        <w:t xml:space="preserve"> </w:t>
      </w:r>
      <w:r>
        <w:rPr>
          <w:rFonts w:cs="Times New Roman"/>
          <w:szCs w:val="24"/>
        </w:rPr>
        <w:t xml:space="preserve">di tutti </w:t>
      </w:r>
      <w:r w:rsidRPr="00B3696F">
        <w:rPr>
          <w:rFonts w:cs="Times New Roman"/>
          <w:szCs w:val="24"/>
        </w:rPr>
        <w:t xml:space="preserve">gli interessati, utilizzando i canali più idonei, </w:t>
      </w:r>
      <w:r>
        <w:rPr>
          <w:rFonts w:cs="Times New Roman"/>
          <w:szCs w:val="24"/>
        </w:rPr>
        <w:t>a men</w:t>
      </w:r>
      <w:r w:rsidRPr="00B3696F">
        <w:rPr>
          <w:rFonts w:cs="Times New Roman"/>
          <w:szCs w:val="24"/>
        </w:rPr>
        <w:t>o che</w:t>
      </w:r>
      <w:r>
        <w:rPr>
          <w:rFonts w:cs="Times New Roman"/>
          <w:szCs w:val="24"/>
        </w:rPr>
        <w:t xml:space="preserve"> il titolare</w:t>
      </w:r>
      <w:r w:rsidRPr="00B3696F">
        <w:rPr>
          <w:rFonts w:cs="Times New Roman"/>
          <w:szCs w:val="24"/>
        </w:rPr>
        <w:t xml:space="preserve"> abbia già preso misure tali da ridur</w:t>
      </w:r>
      <w:r>
        <w:rPr>
          <w:rFonts w:cs="Times New Roman"/>
          <w:szCs w:val="24"/>
        </w:rPr>
        <w:t>r</w:t>
      </w:r>
      <w:r w:rsidRPr="00B3696F">
        <w:rPr>
          <w:rFonts w:cs="Times New Roman"/>
          <w:szCs w:val="24"/>
        </w:rPr>
        <w:t>e l’impatto</w:t>
      </w:r>
      <w:r>
        <w:rPr>
          <w:rFonts w:cs="Times New Roman"/>
          <w:szCs w:val="24"/>
        </w:rPr>
        <w:t xml:space="preserve"> stesso</w:t>
      </w:r>
      <w:r w:rsidRPr="00B3696F">
        <w:rPr>
          <w:rFonts w:cs="Times New Roman"/>
          <w:szCs w:val="24"/>
        </w:rPr>
        <w:t>.</w:t>
      </w:r>
    </w:p>
    <w:p w14:paraId="3DE6D5A7" w14:textId="74FB11CF" w:rsidR="00C70310" w:rsidRDefault="0052774F" w:rsidP="00B24780">
      <w:pPr>
        <w:ind w:firstLine="567"/>
        <w:rPr>
          <w:rFonts w:cs="Times New Roman"/>
          <w:szCs w:val="24"/>
        </w:rPr>
      </w:pPr>
      <w:r>
        <w:rPr>
          <w:rFonts w:cs="Times New Roman"/>
          <w:szCs w:val="24"/>
        </w:rPr>
        <w:t>Infine, a</w:t>
      </w:r>
      <w:r w:rsidR="00BD2989" w:rsidRPr="00B3696F">
        <w:rPr>
          <w:rFonts w:cs="Times New Roman"/>
          <w:szCs w:val="24"/>
        </w:rPr>
        <w:t xml:space="preserve"> prescindere dall’</w:t>
      </w:r>
      <w:r w:rsidR="00BD2989">
        <w:rPr>
          <w:rFonts w:cs="Times New Roman"/>
          <w:szCs w:val="24"/>
        </w:rPr>
        <w:t xml:space="preserve">esistenza di un </w:t>
      </w:r>
      <w:r w:rsidR="00BD2989" w:rsidRPr="00B3696F">
        <w:rPr>
          <w:rFonts w:cs="Times New Roman"/>
          <w:szCs w:val="24"/>
        </w:rPr>
        <w:t xml:space="preserve">obbligo di notifica, il titolare del trattamento è tenuto a </w:t>
      </w:r>
      <w:r w:rsidR="00BD2989">
        <w:rPr>
          <w:rFonts w:cs="Times New Roman"/>
          <w:szCs w:val="24"/>
        </w:rPr>
        <w:t>registr</w:t>
      </w:r>
      <w:r w:rsidR="00BD2989" w:rsidRPr="00B3696F">
        <w:rPr>
          <w:rFonts w:cs="Times New Roman"/>
          <w:szCs w:val="24"/>
        </w:rPr>
        <w:t>are </w:t>
      </w:r>
      <w:r w:rsidR="00B24780">
        <w:rPr>
          <w:rFonts w:cs="Times New Roman"/>
          <w:szCs w:val="24"/>
        </w:rPr>
        <w:t>ogni</w:t>
      </w:r>
      <w:r w:rsidR="00BD2989" w:rsidRPr="00B3696F">
        <w:rPr>
          <w:rFonts w:cs="Times New Roman"/>
          <w:szCs w:val="24"/>
        </w:rPr>
        <w:t xml:space="preserve"> </w:t>
      </w:r>
      <w:r w:rsidR="00BD2989">
        <w:rPr>
          <w:rFonts w:cs="Times New Roman"/>
          <w:szCs w:val="24"/>
        </w:rPr>
        <w:t xml:space="preserve">ipotesi di </w:t>
      </w:r>
      <w:r w:rsidR="00BD2989" w:rsidRPr="00B3696F">
        <w:rPr>
          <w:rFonts w:cs="Times New Roman"/>
          <w:szCs w:val="24"/>
        </w:rPr>
        <w:t>violazion</w:t>
      </w:r>
      <w:r>
        <w:rPr>
          <w:rFonts w:cs="Times New Roman"/>
          <w:szCs w:val="24"/>
        </w:rPr>
        <w:t>e</w:t>
      </w:r>
      <w:r w:rsidR="00BD2989" w:rsidRPr="00B3696F">
        <w:rPr>
          <w:rFonts w:cs="Times New Roman"/>
          <w:szCs w:val="24"/>
        </w:rPr>
        <w:t xml:space="preserve"> d</w:t>
      </w:r>
      <w:r>
        <w:rPr>
          <w:rFonts w:cs="Times New Roman"/>
          <w:szCs w:val="24"/>
        </w:rPr>
        <w:t>e</w:t>
      </w:r>
      <w:r w:rsidR="00BD2989" w:rsidRPr="00B3696F">
        <w:rPr>
          <w:rFonts w:cs="Times New Roman"/>
          <w:szCs w:val="24"/>
        </w:rPr>
        <w:t>i dati personali.</w:t>
      </w:r>
    </w:p>
    <w:p w14:paraId="4292DF83" w14:textId="77777777" w:rsidR="000022F6" w:rsidRDefault="000022F6" w:rsidP="00B24780">
      <w:pPr>
        <w:ind w:firstLine="567"/>
        <w:rPr>
          <w:rFonts w:cs="Times New Roman"/>
          <w:szCs w:val="24"/>
        </w:rPr>
      </w:pPr>
    </w:p>
    <w:p w14:paraId="05247C2F" w14:textId="63BCC288" w:rsidR="000022F6" w:rsidRPr="00B3696F" w:rsidRDefault="000022F6" w:rsidP="00B24780">
      <w:pPr>
        <w:ind w:firstLine="567"/>
        <w:rPr>
          <w:rFonts w:cs="Times New Roman"/>
          <w:szCs w:val="24"/>
        </w:rPr>
      </w:pPr>
      <w:r w:rsidRPr="00BC0499">
        <w:rPr>
          <w:rFonts w:cs="Times New Roman"/>
          <w:i/>
          <w:iCs/>
        </w:rPr>
        <w:t>Le opinioni di cui al presente contributo sono espresse dall’Autore a titolo personale; esse non impegnano l'Ufficio studi della Giustizia amministrativa, né quest'ultima quale Istituzione.</w:t>
      </w:r>
    </w:p>
    <w:sectPr w:rsidR="000022F6" w:rsidRPr="00B3696F" w:rsidSect="00A36A21">
      <w:footerReference w:type="default" r:id="rId10"/>
      <w:pgSz w:w="11906" w:h="16838"/>
      <w:pgMar w:top="1417" w:right="1558" w:bottom="1418" w:left="1418"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30C2" w14:textId="77777777" w:rsidR="00DF4C38" w:rsidRDefault="00DF4C38" w:rsidP="002649BD">
      <w:pPr>
        <w:spacing w:after="0" w:line="240" w:lineRule="auto"/>
      </w:pPr>
      <w:r>
        <w:separator/>
      </w:r>
    </w:p>
  </w:endnote>
  <w:endnote w:type="continuationSeparator" w:id="0">
    <w:p w14:paraId="48776A86" w14:textId="77777777" w:rsidR="00DF4C38" w:rsidRDefault="00DF4C38" w:rsidP="0026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ew Baskervill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364177"/>
      <w:docPartObj>
        <w:docPartGallery w:val="Page Numbers (Bottom of Page)"/>
        <w:docPartUnique/>
      </w:docPartObj>
    </w:sdtPr>
    <w:sdtEndPr>
      <w:rPr>
        <w:sz w:val="16"/>
        <w:szCs w:val="16"/>
      </w:rPr>
    </w:sdtEndPr>
    <w:sdtContent>
      <w:p w14:paraId="3066229F" w14:textId="12B561A5" w:rsidR="00AC75E0" w:rsidRPr="00AC75E0" w:rsidRDefault="00AC75E0">
        <w:pPr>
          <w:pStyle w:val="Pidipagina"/>
          <w:jc w:val="center"/>
          <w:rPr>
            <w:sz w:val="16"/>
            <w:szCs w:val="16"/>
          </w:rPr>
        </w:pPr>
        <w:r w:rsidRPr="00AC75E0">
          <w:rPr>
            <w:sz w:val="16"/>
            <w:szCs w:val="16"/>
          </w:rPr>
          <w:fldChar w:fldCharType="begin"/>
        </w:r>
        <w:r w:rsidRPr="00AC75E0">
          <w:rPr>
            <w:sz w:val="16"/>
            <w:szCs w:val="16"/>
          </w:rPr>
          <w:instrText>PAGE   \* MERGEFORMAT</w:instrText>
        </w:r>
        <w:r w:rsidRPr="00AC75E0">
          <w:rPr>
            <w:sz w:val="16"/>
            <w:szCs w:val="16"/>
          </w:rPr>
          <w:fldChar w:fldCharType="separate"/>
        </w:r>
        <w:r w:rsidRPr="00AC75E0">
          <w:rPr>
            <w:sz w:val="16"/>
            <w:szCs w:val="16"/>
          </w:rPr>
          <w:t>2</w:t>
        </w:r>
        <w:r w:rsidRPr="00AC75E0">
          <w:rPr>
            <w:sz w:val="16"/>
            <w:szCs w:val="16"/>
          </w:rPr>
          <w:fldChar w:fldCharType="end"/>
        </w:r>
      </w:p>
    </w:sdtContent>
  </w:sdt>
  <w:p w14:paraId="1A397B5C" w14:textId="77777777" w:rsidR="00AC75E0" w:rsidRDefault="00AC75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F572" w14:textId="77777777" w:rsidR="00DF4C38" w:rsidRDefault="00DF4C38" w:rsidP="002649BD">
      <w:pPr>
        <w:spacing w:after="0" w:line="240" w:lineRule="auto"/>
      </w:pPr>
      <w:r>
        <w:separator/>
      </w:r>
    </w:p>
  </w:footnote>
  <w:footnote w:type="continuationSeparator" w:id="0">
    <w:p w14:paraId="02210087" w14:textId="77777777" w:rsidR="00DF4C38" w:rsidRDefault="00DF4C38" w:rsidP="002649BD">
      <w:pPr>
        <w:spacing w:after="0" w:line="240" w:lineRule="auto"/>
      </w:pPr>
      <w:r>
        <w:continuationSeparator/>
      </w:r>
    </w:p>
  </w:footnote>
  <w:footnote w:id="1">
    <w:p w14:paraId="4292E846" w14:textId="4B4FDBB4" w:rsidR="00A36A21" w:rsidRDefault="00A36A21">
      <w:pPr>
        <w:pStyle w:val="Testonotaapidipagina"/>
      </w:pPr>
      <w:r w:rsidRPr="00A36A21">
        <w:rPr>
          <w:vertAlign w:val="superscript"/>
        </w:rPr>
        <w:footnoteRef/>
      </w:r>
      <w:r>
        <w:t xml:space="preserve"> </w:t>
      </w:r>
      <w:r w:rsidRPr="00A36A21">
        <w:t>Relazione svolta al convegno di studi sul tema “Accesso agli atti e misure di garanzia della legalità”, organizzato dall’Università degli studi di Reggio Calabria il 2 febbraio 2026</w:t>
      </w:r>
      <w:r>
        <w:t>.</w:t>
      </w:r>
    </w:p>
  </w:footnote>
  <w:footnote w:id="2">
    <w:p w14:paraId="0CE03380" w14:textId="4F800466" w:rsidR="005F5D2D" w:rsidRPr="005E26C0" w:rsidRDefault="005F5D2D" w:rsidP="005F5D2D">
      <w:pPr>
        <w:pStyle w:val="Testonotaapidipagina"/>
      </w:pPr>
      <w:r w:rsidRPr="005E26C0">
        <w:rPr>
          <w:rStyle w:val="Rimandonotaapidipagina"/>
        </w:rPr>
        <w:footnoteRef/>
      </w:r>
      <w:r w:rsidRPr="005E26C0">
        <w:t xml:space="preserve"> </w:t>
      </w:r>
      <w:r w:rsidR="00A849C8" w:rsidRPr="005E26C0">
        <w:t>S</w:t>
      </w:r>
      <w:r w:rsidR="001D0AD9" w:rsidRPr="005E26C0">
        <w:t>ul principio di trasparenza</w:t>
      </w:r>
      <w:r w:rsidRPr="005E26C0">
        <w:t xml:space="preserve">: C. COLAPIETRO, </w:t>
      </w:r>
      <w:r w:rsidRPr="005E26C0">
        <w:rPr>
          <w:i/>
          <w:iCs/>
        </w:rPr>
        <w:t>La terza generazione della trasparenza amministrativa</w:t>
      </w:r>
      <w:r w:rsidRPr="005E26C0">
        <w:t>, Napoli, 2016</w:t>
      </w:r>
      <w:r w:rsidR="000C677C" w:rsidRPr="005E26C0">
        <w:t>; M.R. SPASIANO, </w:t>
      </w:r>
      <w:r w:rsidR="000C677C" w:rsidRPr="005E26C0">
        <w:rPr>
          <w:i/>
          <w:iCs/>
        </w:rPr>
        <w:t>Qualità e strumentalità del diritto di informazione</w:t>
      </w:r>
      <w:r w:rsidR="000C677C" w:rsidRPr="005E26C0">
        <w:t>, in AA.VV., </w:t>
      </w:r>
      <w:r w:rsidR="000C677C" w:rsidRPr="005E26C0">
        <w:rPr>
          <w:i/>
          <w:iCs/>
        </w:rPr>
        <w:t>I nuovi diritti di cittadinanza: il diritto di informazione</w:t>
      </w:r>
      <w:r w:rsidR="000C677C" w:rsidRPr="005E26C0">
        <w:t>, a cura di F. MANGANARO, A. ROMANO TASSONE, Torino, 2005</w:t>
      </w:r>
      <w:r w:rsidRPr="005E26C0">
        <w:t>.</w:t>
      </w:r>
    </w:p>
  </w:footnote>
  <w:footnote w:id="3">
    <w:p w14:paraId="1C36547D" w14:textId="77777777" w:rsidR="00C53A30" w:rsidRPr="005E26C0" w:rsidRDefault="00C53A30" w:rsidP="00C53A30">
      <w:pPr>
        <w:pStyle w:val="Testonotaapidipagina"/>
      </w:pPr>
      <w:r w:rsidRPr="005E26C0">
        <w:rPr>
          <w:rStyle w:val="Rimandonotaapidipagina"/>
        </w:rPr>
        <w:footnoteRef/>
      </w:r>
      <w:r w:rsidRPr="005E26C0">
        <w:t xml:space="preserve"> F. </w:t>
      </w:r>
      <w:r w:rsidRPr="005E26C0">
        <w:rPr>
          <w:rFonts w:eastAsia="New Baskerville" w:cs="Times New Roman"/>
          <w:lang w:eastAsia="it-IT"/>
        </w:rPr>
        <w:t xml:space="preserve">MANGANARO, </w:t>
      </w:r>
      <w:r w:rsidRPr="005E26C0">
        <w:rPr>
          <w:rFonts w:eastAsia="New Baskerville" w:cs="Times New Roman"/>
          <w:i/>
          <w:lang w:eastAsia="it-IT"/>
        </w:rPr>
        <w:t>L’evoluzione del principio di trasparenza amministrativa</w:t>
      </w:r>
      <w:r w:rsidRPr="005E26C0">
        <w:rPr>
          <w:rFonts w:eastAsia="New Baskerville" w:cs="Times New Roman"/>
          <w:lang w:eastAsia="it-IT"/>
        </w:rPr>
        <w:t xml:space="preserve">, in </w:t>
      </w:r>
      <w:r w:rsidRPr="005E26C0">
        <w:rPr>
          <w:rFonts w:eastAsia="New Baskerville" w:cs="Times New Roman"/>
          <w:i/>
          <w:iCs/>
          <w:lang w:eastAsia="it-IT"/>
        </w:rPr>
        <w:t>Astridonline</w:t>
      </w:r>
      <w:r w:rsidRPr="005E26C0">
        <w:rPr>
          <w:rFonts w:eastAsia="New Baskerville" w:cs="Times New Roman"/>
          <w:lang w:eastAsia="it-IT"/>
        </w:rPr>
        <w:t>.it, 2009.</w:t>
      </w:r>
    </w:p>
  </w:footnote>
  <w:footnote w:id="4">
    <w:p w14:paraId="0C7FCC14" w14:textId="185EA828" w:rsidR="000F39A0" w:rsidRPr="005E26C0" w:rsidRDefault="000F39A0">
      <w:pPr>
        <w:pStyle w:val="Testonotaapidipagina"/>
      </w:pPr>
      <w:r w:rsidRPr="005E26C0">
        <w:rPr>
          <w:rStyle w:val="Rimandonotaapidipagina"/>
        </w:rPr>
        <w:footnoteRef/>
      </w:r>
      <w:r w:rsidRPr="005E26C0">
        <w:t xml:space="preserve"> Corte cost., 15 giugno 1972, n. 105</w:t>
      </w:r>
    </w:p>
  </w:footnote>
  <w:footnote w:id="5">
    <w:p w14:paraId="2FFD363A" w14:textId="385BA3CD" w:rsidR="000F39A0" w:rsidRPr="005E26C0" w:rsidRDefault="000F39A0" w:rsidP="000F39A0">
      <w:pPr>
        <w:pStyle w:val="Testonotaapidipagina"/>
      </w:pPr>
      <w:r w:rsidRPr="005E26C0">
        <w:rPr>
          <w:rStyle w:val="Rimandonotaapidipagina"/>
        </w:rPr>
        <w:footnoteRef/>
      </w:r>
      <w:r w:rsidRPr="005E26C0">
        <w:t xml:space="preserve"> CGUE, Gr</w:t>
      </w:r>
      <w:r w:rsidR="00CE3BF9">
        <w:t>ande</w:t>
      </w:r>
      <w:r w:rsidRPr="005E26C0">
        <w:t xml:space="preserve"> Sez., 9 novembre 2010, C-92/09, </w:t>
      </w:r>
      <w:r w:rsidRPr="005E26C0">
        <w:rPr>
          <w:i/>
          <w:iCs/>
        </w:rPr>
        <w:t xml:space="preserve">Volker und Markus </w:t>
      </w:r>
      <w:proofErr w:type="spellStart"/>
      <w:r w:rsidRPr="005E26C0">
        <w:rPr>
          <w:i/>
          <w:iCs/>
        </w:rPr>
        <w:t>Schecke</w:t>
      </w:r>
      <w:proofErr w:type="spellEnd"/>
      <w:r w:rsidRPr="005E26C0">
        <w:rPr>
          <w:i/>
          <w:iCs/>
        </w:rPr>
        <w:t xml:space="preserve"> </w:t>
      </w:r>
      <w:proofErr w:type="spellStart"/>
      <w:r w:rsidRPr="005E26C0">
        <w:rPr>
          <w:i/>
          <w:iCs/>
        </w:rPr>
        <w:t>GbR</w:t>
      </w:r>
      <w:proofErr w:type="spellEnd"/>
      <w:r w:rsidRPr="005E26C0">
        <w:t xml:space="preserve"> e</w:t>
      </w:r>
      <w:r w:rsidR="005F5D2D" w:rsidRPr="005E26C0">
        <w:t>d</w:t>
      </w:r>
      <w:r w:rsidRPr="005E26C0">
        <w:t xml:space="preserve"> altri.</w:t>
      </w:r>
    </w:p>
  </w:footnote>
  <w:footnote w:id="6">
    <w:p w14:paraId="2EF8A9E4" w14:textId="3B2E875F" w:rsidR="00521517" w:rsidRPr="005E26C0" w:rsidRDefault="00521517" w:rsidP="00521517">
      <w:pPr>
        <w:pStyle w:val="Testonotaapidipagina"/>
      </w:pPr>
      <w:r w:rsidRPr="005E26C0">
        <w:rPr>
          <w:rStyle w:val="Rimandonotaapidipagina"/>
        </w:rPr>
        <w:footnoteRef/>
      </w:r>
      <w:r w:rsidRPr="005E26C0">
        <w:t xml:space="preserve"> </w:t>
      </w:r>
      <w:r w:rsidR="002F502D" w:rsidRPr="005E26C0">
        <w:t xml:space="preserve">F.M. NICOSIA, </w:t>
      </w:r>
      <w:r w:rsidR="002F502D" w:rsidRPr="005E26C0">
        <w:rPr>
          <w:i/>
          <w:iCs/>
        </w:rPr>
        <w:t>Principio di trasparenza dell’azione amministrativa ed obbligo di motivazione. Il diritto di accesso</w:t>
      </w:r>
      <w:r w:rsidR="002F502D" w:rsidRPr="005E26C0">
        <w:t>, Napoli, 1992.</w:t>
      </w:r>
    </w:p>
  </w:footnote>
  <w:footnote w:id="7">
    <w:p w14:paraId="66642620" w14:textId="0751908B" w:rsidR="000F39A0" w:rsidRPr="005E26C0" w:rsidRDefault="000F39A0">
      <w:pPr>
        <w:pStyle w:val="Testonotaapidipagina"/>
      </w:pPr>
      <w:r w:rsidRPr="005E26C0">
        <w:rPr>
          <w:rStyle w:val="Rimandonotaapidipagina"/>
        </w:rPr>
        <w:footnoteRef/>
      </w:r>
      <w:r w:rsidRPr="005E26C0">
        <w:t xml:space="preserve"> Cons. Stato, Sez. IV, 19 ottobre 2017, n. 4838.</w:t>
      </w:r>
    </w:p>
  </w:footnote>
  <w:footnote w:id="8">
    <w:p w14:paraId="73290AFC" w14:textId="7893D6C8" w:rsidR="000C677C" w:rsidRPr="005E26C0" w:rsidRDefault="000C677C">
      <w:pPr>
        <w:pStyle w:val="Testonotaapidipagina"/>
      </w:pPr>
      <w:r w:rsidRPr="005E26C0">
        <w:rPr>
          <w:rStyle w:val="Rimandonotaapidipagina"/>
        </w:rPr>
        <w:footnoteRef/>
      </w:r>
      <w:r w:rsidRPr="005E26C0">
        <w:t xml:space="preserve"> Cons. Stato, Sez. VII, 11 luglio 2025, n. 6054.</w:t>
      </w:r>
    </w:p>
  </w:footnote>
  <w:footnote w:id="9">
    <w:p w14:paraId="7D631840" w14:textId="77777777" w:rsidR="000D656D" w:rsidRPr="005E26C0" w:rsidRDefault="000D656D" w:rsidP="000D656D">
      <w:pPr>
        <w:pStyle w:val="Testonotaapidipagina"/>
        <w:rPr>
          <w:rFonts w:cs="Times New Roman"/>
        </w:rPr>
      </w:pPr>
      <w:r w:rsidRPr="005E26C0">
        <w:rPr>
          <w:rStyle w:val="Rimandonotaapidipagina"/>
          <w:rFonts w:cs="Times New Roman"/>
        </w:rPr>
        <w:footnoteRef/>
      </w:r>
      <w:r w:rsidRPr="005E26C0">
        <w:rPr>
          <w:rFonts w:cs="Times New Roman"/>
        </w:rPr>
        <w:t xml:space="preserve"> </w:t>
      </w:r>
      <w:r w:rsidRPr="005E26C0">
        <w:rPr>
          <w:rFonts w:eastAsia="New Baskerville" w:cs="Times New Roman"/>
          <w:lang w:eastAsia="it-IT"/>
        </w:rPr>
        <w:t>Cons. Stato, Sez. VI, 20 novembre 2013, n. 5515.</w:t>
      </w:r>
    </w:p>
  </w:footnote>
  <w:footnote w:id="10">
    <w:p w14:paraId="5FE36A0B" w14:textId="77777777" w:rsidR="00105400" w:rsidRPr="005E26C0" w:rsidRDefault="00105400" w:rsidP="00105400">
      <w:pPr>
        <w:pStyle w:val="Testonotaapidipagina"/>
      </w:pPr>
      <w:r w:rsidRPr="005E26C0">
        <w:rPr>
          <w:rStyle w:val="Rimandonotaapidipagina"/>
        </w:rPr>
        <w:footnoteRef/>
      </w:r>
      <w:r w:rsidRPr="005E26C0">
        <w:t xml:space="preserve"> Cons. Stato, Sez. V, 3 febbraio 2023, n. 1195.</w:t>
      </w:r>
    </w:p>
  </w:footnote>
  <w:footnote w:id="11">
    <w:p w14:paraId="15C66B69" w14:textId="5976873D" w:rsidR="00A13646" w:rsidRPr="005E26C0" w:rsidRDefault="00A13646" w:rsidP="00E77F95">
      <w:pPr>
        <w:pStyle w:val="Testonotaapidipagina"/>
      </w:pPr>
      <w:r w:rsidRPr="005E26C0">
        <w:rPr>
          <w:rStyle w:val="Rimandonotaapidipagina"/>
        </w:rPr>
        <w:footnoteRef/>
      </w:r>
      <w:r w:rsidRPr="005E26C0">
        <w:t xml:space="preserve"> N. DURANTE, </w:t>
      </w:r>
      <w:r w:rsidRPr="005E26C0">
        <w:rPr>
          <w:i/>
          <w:iCs/>
        </w:rPr>
        <w:t>Pubblicità, trasparenza e FOIA: indicazioni operative</w:t>
      </w:r>
      <w:r w:rsidRPr="005E26C0">
        <w:t xml:space="preserve">, in </w:t>
      </w:r>
      <w:r w:rsidRPr="005E26C0">
        <w:rPr>
          <w:i/>
          <w:iCs/>
        </w:rPr>
        <w:t>ItaliAppalti.it</w:t>
      </w:r>
      <w:r w:rsidRPr="005E26C0">
        <w:t>, 2018</w:t>
      </w:r>
      <w:r w:rsidR="00E77F95" w:rsidRPr="005E26C0">
        <w:t xml:space="preserve">; S. TOSCHEI, </w:t>
      </w:r>
      <w:r w:rsidR="00E77F95" w:rsidRPr="005E26C0">
        <w:rPr>
          <w:i/>
          <w:iCs/>
        </w:rPr>
        <w:t>Accesso civico e accesso ai documenti amministrativi: due volti del nuovo sistema amministrativo</w:t>
      </w:r>
      <w:r w:rsidR="00E77F95" w:rsidRPr="005E26C0">
        <w:t xml:space="preserve">, in </w:t>
      </w:r>
      <w:r w:rsidR="00E77F95" w:rsidRPr="005E26C0">
        <w:rPr>
          <w:i/>
          <w:iCs/>
        </w:rPr>
        <w:t>Comuni</w:t>
      </w:r>
      <w:r w:rsidR="00A0314D" w:rsidRPr="005E26C0">
        <w:rPr>
          <w:i/>
          <w:iCs/>
        </w:rPr>
        <w:t xml:space="preserve"> </w:t>
      </w:r>
      <w:r w:rsidR="00E77F95" w:rsidRPr="005E26C0">
        <w:rPr>
          <w:i/>
          <w:iCs/>
        </w:rPr>
        <w:t>d’Italia</w:t>
      </w:r>
      <w:r w:rsidR="00E77F95" w:rsidRPr="005E26C0">
        <w:t>, 2013</w:t>
      </w:r>
      <w:r w:rsidRPr="005E26C0">
        <w:t>.</w:t>
      </w:r>
    </w:p>
  </w:footnote>
  <w:footnote w:id="12">
    <w:p w14:paraId="61F48674" w14:textId="453EC007" w:rsidR="005A69D4" w:rsidRDefault="005A69D4" w:rsidP="005A69D4">
      <w:pPr>
        <w:pStyle w:val="Testonotaapidipagina"/>
      </w:pPr>
      <w:r>
        <w:rPr>
          <w:rStyle w:val="Rimandonotaapidipagina"/>
        </w:rPr>
        <w:footnoteRef/>
      </w:r>
      <w:r>
        <w:t xml:space="preserve"> </w:t>
      </w:r>
      <w:r w:rsidRPr="00DF1A0C">
        <w:rPr>
          <w:rFonts w:cs="Times New Roman"/>
          <w:szCs w:val="24"/>
        </w:rPr>
        <w:t xml:space="preserve">Cons. Stato, </w:t>
      </w:r>
      <w:r w:rsidR="00D2763E">
        <w:rPr>
          <w:rFonts w:cs="Times New Roman"/>
          <w:szCs w:val="24"/>
        </w:rPr>
        <w:t xml:space="preserve">Sez. </w:t>
      </w:r>
      <w:r w:rsidRPr="00DF1A0C">
        <w:rPr>
          <w:rFonts w:cs="Times New Roman"/>
          <w:szCs w:val="24"/>
        </w:rPr>
        <w:t>V, 12 febbraio 2020, n. 1121</w:t>
      </w:r>
      <w:r>
        <w:rPr>
          <w:rFonts w:cs="Times New Roman"/>
          <w:szCs w:val="24"/>
        </w:rPr>
        <w:t>.</w:t>
      </w:r>
    </w:p>
  </w:footnote>
  <w:footnote w:id="13">
    <w:p w14:paraId="07CDFDC5" w14:textId="1904CD4F" w:rsidR="00A13646" w:rsidRPr="005E26C0" w:rsidRDefault="00A13646">
      <w:pPr>
        <w:pStyle w:val="Testonotaapidipagina"/>
      </w:pPr>
      <w:r w:rsidRPr="005E26C0">
        <w:rPr>
          <w:rStyle w:val="Rimandonotaapidipagina"/>
        </w:rPr>
        <w:footnoteRef/>
      </w:r>
      <w:r w:rsidRPr="005E26C0">
        <w:t xml:space="preserve"> N. DURANTE, </w:t>
      </w:r>
      <w:r w:rsidRPr="005E26C0">
        <w:rPr>
          <w:i/>
          <w:iCs/>
        </w:rPr>
        <w:t>Rapporti tra riservatezza ed accesso</w:t>
      </w:r>
      <w:r w:rsidRPr="005E26C0">
        <w:t xml:space="preserve">, in AA.VV., </w:t>
      </w:r>
      <w:r w:rsidRPr="005E26C0">
        <w:rPr>
          <w:i/>
        </w:rPr>
        <w:t>Raccolta di studi di diritto amministrativo</w:t>
      </w:r>
      <w:r w:rsidRPr="005E26C0">
        <w:t>, a cura della Facoltà di giurisprudenza dell’Università degli Studi di Catanzaro, Soveria Mannelli</w:t>
      </w:r>
      <w:r w:rsidR="00D2763E">
        <w:t xml:space="preserve"> (CZ)</w:t>
      </w:r>
      <w:r w:rsidRPr="005E26C0">
        <w:t>, 2004.</w:t>
      </w:r>
    </w:p>
  </w:footnote>
  <w:footnote w:id="14">
    <w:p w14:paraId="15AEA63E" w14:textId="68451AA0" w:rsidR="00A13646" w:rsidRPr="005E26C0" w:rsidRDefault="00A13646" w:rsidP="00A13646">
      <w:pPr>
        <w:pStyle w:val="Testonotaapidipagina"/>
      </w:pPr>
      <w:r w:rsidRPr="005E26C0">
        <w:rPr>
          <w:rStyle w:val="Rimandonotaapidipagina"/>
        </w:rPr>
        <w:footnoteRef/>
      </w:r>
      <w:r w:rsidRPr="005E26C0">
        <w:t xml:space="preserve"> M. RAMAJOLI, </w:t>
      </w:r>
      <w:r w:rsidRPr="005E26C0">
        <w:rPr>
          <w:i/>
          <w:iCs/>
        </w:rPr>
        <w:t>La convivenza tra trasparenza e riservatezza</w:t>
      </w:r>
      <w:r w:rsidRPr="005E26C0">
        <w:t>, in </w:t>
      </w:r>
      <w:r w:rsidRPr="005E26C0">
        <w:rPr>
          <w:i/>
          <w:iCs/>
        </w:rPr>
        <w:t xml:space="preserve">Dir. </w:t>
      </w:r>
      <w:proofErr w:type="spellStart"/>
      <w:r w:rsidRPr="005E26C0">
        <w:rPr>
          <w:i/>
          <w:iCs/>
        </w:rPr>
        <w:t>amm</w:t>
      </w:r>
      <w:proofErr w:type="spellEnd"/>
      <w:r w:rsidRPr="005E26C0">
        <w:rPr>
          <w:i/>
          <w:iCs/>
        </w:rPr>
        <w:t>.</w:t>
      </w:r>
      <w:r w:rsidRPr="005E26C0">
        <w:t>, 2024, 2, 473 segg.</w:t>
      </w:r>
    </w:p>
  </w:footnote>
  <w:footnote w:id="15">
    <w:p w14:paraId="20FD9DE2" w14:textId="77777777" w:rsidR="00174FDD" w:rsidRPr="005E26C0" w:rsidRDefault="00174FDD" w:rsidP="00174FDD">
      <w:pPr>
        <w:pStyle w:val="Testonotaapidipagina"/>
      </w:pPr>
      <w:r w:rsidRPr="005E26C0">
        <w:rPr>
          <w:rStyle w:val="Rimandonotaapidipagina"/>
        </w:rPr>
        <w:footnoteRef/>
      </w:r>
      <w:r w:rsidRPr="005E26C0">
        <w:t xml:space="preserve"> Cons. Stato, Ad. </w:t>
      </w:r>
      <w:proofErr w:type="spellStart"/>
      <w:r w:rsidRPr="005E26C0">
        <w:t>plen</w:t>
      </w:r>
      <w:proofErr w:type="spellEnd"/>
      <w:r w:rsidRPr="005E26C0">
        <w:t>., 18 aprile 2006, n. 6.</w:t>
      </w:r>
    </w:p>
  </w:footnote>
  <w:footnote w:id="16">
    <w:p w14:paraId="5EF9E891" w14:textId="3B06BBFC" w:rsidR="00165749" w:rsidRPr="005E26C0" w:rsidRDefault="00165749" w:rsidP="00165749">
      <w:pPr>
        <w:pStyle w:val="Testonotaapidipagina"/>
      </w:pPr>
      <w:r w:rsidRPr="005E26C0">
        <w:rPr>
          <w:rStyle w:val="Rimandonotaapidipagina"/>
        </w:rPr>
        <w:footnoteRef/>
      </w:r>
      <w:r w:rsidRPr="005E26C0">
        <w:t xml:space="preserve"> Cass. civ., Sez. III,</w:t>
      </w:r>
      <w:r w:rsidR="00D2763E">
        <w:t xml:space="preserve"> </w:t>
      </w:r>
      <w:r w:rsidRPr="005E26C0">
        <w:t>25 maggio 2017</w:t>
      </w:r>
      <w:r w:rsidR="00D2763E">
        <w:t>,</w:t>
      </w:r>
      <w:r w:rsidRPr="005E26C0">
        <w:t xml:space="preserve"> n. 13151.</w:t>
      </w:r>
    </w:p>
  </w:footnote>
  <w:footnote w:id="17">
    <w:p w14:paraId="44BB0D58" w14:textId="37CB1F5A" w:rsidR="00715381" w:rsidRPr="005E26C0" w:rsidRDefault="00715381">
      <w:pPr>
        <w:pStyle w:val="Testonotaapidipagina"/>
      </w:pPr>
      <w:r w:rsidRPr="005E26C0">
        <w:rPr>
          <w:rStyle w:val="Rimandonotaapidipagina"/>
        </w:rPr>
        <w:footnoteRef/>
      </w:r>
      <w:r w:rsidRPr="005E26C0">
        <w:t xml:space="preserve"> </w:t>
      </w:r>
      <w:r w:rsidR="00CF26D6" w:rsidRPr="005E26C0">
        <w:t>D. PICCIONE, </w:t>
      </w:r>
      <w:r w:rsidR="00CF26D6" w:rsidRPr="005E26C0">
        <w:rPr>
          <w:i/>
          <w:iCs/>
        </w:rPr>
        <w:t>Riservatezza (disciplina amministrativa)</w:t>
      </w:r>
      <w:r w:rsidR="00CF26D6" w:rsidRPr="005E26C0">
        <w:t>, in </w:t>
      </w:r>
      <w:r w:rsidR="00CF26D6" w:rsidRPr="005E26C0">
        <w:rPr>
          <w:i/>
          <w:iCs/>
        </w:rPr>
        <w:t xml:space="preserve">Enc. </w:t>
      </w:r>
      <w:r w:rsidR="000F2552" w:rsidRPr="005E26C0">
        <w:rPr>
          <w:i/>
          <w:iCs/>
        </w:rPr>
        <w:t>d</w:t>
      </w:r>
      <w:r w:rsidR="00CF26D6" w:rsidRPr="005E26C0">
        <w:rPr>
          <w:i/>
          <w:iCs/>
        </w:rPr>
        <w:t>ir.</w:t>
      </w:r>
      <w:r w:rsidR="00CF26D6" w:rsidRPr="005E26C0">
        <w:t xml:space="preserve">, </w:t>
      </w:r>
      <w:r w:rsidR="00CF26D6" w:rsidRPr="005E26C0">
        <w:rPr>
          <w:i/>
          <w:iCs/>
        </w:rPr>
        <w:t>Annali</w:t>
      </w:r>
      <w:r w:rsidR="000F2552" w:rsidRPr="005E26C0">
        <w:t>,</w:t>
      </w:r>
      <w:r w:rsidR="00CF26D6" w:rsidRPr="005E26C0">
        <w:t xml:space="preserve"> VIII, Milano, 2015, 731; </w:t>
      </w:r>
      <w:r w:rsidRPr="005E26C0">
        <w:t xml:space="preserve">S. TOSCHEI, </w:t>
      </w:r>
      <w:r w:rsidRPr="005E26C0">
        <w:rPr>
          <w:i/>
          <w:iCs/>
        </w:rPr>
        <w:t>Trasparenza e accesso nel Codice dei contratti pubblici</w:t>
      </w:r>
      <w:r w:rsidRPr="005E26C0">
        <w:t>, Bologna, 2025.</w:t>
      </w:r>
    </w:p>
  </w:footnote>
  <w:footnote w:id="18">
    <w:p w14:paraId="0DC9BCB1" w14:textId="77777777" w:rsidR="002F2EB7" w:rsidRPr="005E26C0" w:rsidRDefault="002F2EB7" w:rsidP="002F2EB7">
      <w:pPr>
        <w:pStyle w:val="Testonotaapidipagina"/>
      </w:pPr>
      <w:r w:rsidRPr="005E26C0">
        <w:rPr>
          <w:rStyle w:val="Rimandonotaapidipagina"/>
        </w:rPr>
        <w:footnoteRef/>
      </w:r>
      <w:r w:rsidRPr="005E26C0">
        <w:t xml:space="preserve"> F. FRANCARIO, </w:t>
      </w:r>
      <w:r w:rsidRPr="005E26C0">
        <w:rPr>
          <w:i/>
          <w:iCs/>
        </w:rPr>
        <w:t>Il diritto di accesso deve essere una garanzia effettiva e non una mera declamazione retorica</w:t>
      </w:r>
      <w:r w:rsidRPr="005E26C0">
        <w:t>, in </w:t>
      </w:r>
      <w:r w:rsidRPr="005E26C0">
        <w:rPr>
          <w:i/>
          <w:iCs/>
        </w:rPr>
        <w:t>Federalismi.it</w:t>
      </w:r>
      <w:r w:rsidRPr="005E26C0">
        <w:t>, 2019.</w:t>
      </w:r>
    </w:p>
  </w:footnote>
  <w:footnote w:id="19">
    <w:p w14:paraId="5AF1F1B1" w14:textId="77777777" w:rsidR="005E26C0" w:rsidRPr="005E26C0" w:rsidRDefault="005E26C0" w:rsidP="005E26C0">
      <w:pPr>
        <w:pStyle w:val="Testonotaapidipagina"/>
      </w:pPr>
      <w:r w:rsidRPr="005E26C0">
        <w:rPr>
          <w:vertAlign w:val="superscript"/>
        </w:rPr>
        <w:footnoteRef/>
      </w:r>
      <w:r w:rsidRPr="005E26C0">
        <w:t xml:space="preserve"> L’indicazione dei dati </w:t>
      </w:r>
      <w:r w:rsidRPr="005E26C0">
        <w:rPr>
          <w:i/>
          <w:iCs/>
        </w:rPr>
        <w:t>sensibili</w:t>
      </w:r>
      <w:r w:rsidRPr="005E26C0">
        <w:t xml:space="preserve"> è contenuta all’art. 9 del </w:t>
      </w:r>
      <w:hyperlink r:id="rId1" w:history="1">
        <w:r w:rsidRPr="005E26C0">
          <w:t>regolamento (UE) 2016/679</w:t>
        </w:r>
      </w:hyperlink>
      <w:r w:rsidRPr="005E26C0">
        <w:t>, che contempla i dati che rivelano l’origine razziale od etnica, le convinzioni religiose, filosofiche, le opinioni politiche, l’appartenenza sindacale, la salute, la vita sessuale, nonché i dati genetici, i dati biometrici e quelli relativi all’orientamento sessuale.</w:t>
      </w:r>
    </w:p>
  </w:footnote>
  <w:footnote w:id="20">
    <w:p w14:paraId="4397D2AA" w14:textId="77777777" w:rsidR="00C03B5F" w:rsidRDefault="00C03B5F" w:rsidP="00C03B5F">
      <w:pPr>
        <w:pStyle w:val="Testonotaapidipagina"/>
      </w:pPr>
      <w:r>
        <w:rPr>
          <w:rStyle w:val="Rimandonotaapidipagina"/>
        </w:rPr>
        <w:footnoteRef/>
      </w:r>
      <w:r>
        <w:t xml:space="preserve"> </w:t>
      </w:r>
      <w:r>
        <w:rPr>
          <w:rFonts w:cs="Times New Roman"/>
          <w:szCs w:val="24"/>
        </w:rPr>
        <w:t xml:space="preserve">Cioè a dire </w:t>
      </w:r>
      <w:r w:rsidRPr="00B3696F">
        <w:rPr>
          <w:rFonts w:cs="Times New Roman"/>
          <w:szCs w:val="24"/>
        </w:rPr>
        <w:t>i “dati genetici, relativi alla salute, alla vita sessuale o all’orientamento sessuale della persona”</w:t>
      </w:r>
      <w:r>
        <w:rPr>
          <w:rFonts w:cs="Times New Roman"/>
          <w:szCs w:val="24"/>
        </w:rPr>
        <w:t>.</w:t>
      </w:r>
    </w:p>
  </w:footnote>
  <w:footnote w:id="21">
    <w:p w14:paraId="32799355" w14:textId="77777777" w:rsidR="00C03B5F" w:rsidRPr="005E26C0" w:rsidRDefault="00C03B5F" w:rsidP="00C03B5F">
      <w:pPr>
        <w:pStyle w:val="Testonotaapidipagina"/>
      </w:pPr>
      <w:r w:rsidRPr="005E26C0">
        <w:rPr>
          <w:rStyle w:val="Rimandonotaapidipagina"/>
        </w:rPr>
        <w:footnoteRef/>
      </w:r>
      <w:r w:rsidRPr="005E26C0">
        <w:t xml:space="preserve"> Cons. Stato, Sez. V, 4 settembre 2025, n. 7201.</w:t>
      </w:r>
    </w:p>
  </w:footnote>
  <w:footnote w:id="22">
    <w:p w14:paraId="6F18AD29" w14:textId="544C6751" w:rsidR="00405DF5" w:rsidRDefault="00405DF5">
      <w:pPr>
        <w:pStyle w:val="Testonotaapidipagina"/>
      </w:pPr>
      <w:r>
        <w:rPr>
          <w:rStyle w:val="Rimandonotaapidipagina"/>
        </w:rPr>
        <w:footnoteRef/>
      </w:r>
      <w:r>
        <w:t xml:space="preserve"> </w:t>
      </w:r>
      <w:r w:rsidRPr="005E26C0">
        <w:t xml:space="preserve">Cons. Stato, </w:t>
      </w:r>
      <w:r>
        <w:t xml:space="preserve">Ad. </w:t>
      </w:r>
      <w:proofErr w:type="spellStart"/>
      <w:r>
        <w:t>plen</w:t>
      </w:r>
      <w:proofErr w:type="spellEnd"/>
      <w:r>
        <w:t>.</w:t>
      </w:r>
      <w:r w:rsidRPr="005E26C0">
        <w:t xml:space="preserve">, </w:t>
      </w:r>
      <w:r w:rsidR="00E72F68">
        <w:t>25</w:t>
      </w:r>
      <w:r w:rsidRPr="005E26C0">
        <w:t xml:space="preserve"> settembre 202</w:t>
      </w:r>
      <w:r w:rsidR="00E72F68">
        <w:t>0</w:t>
      </w:r>
      <w:r w:rsidRPr="005E26C0">
        <w:t xml:space="preserve">, </w:t>
      </w:r>
      <w:proofErr w:type="spellStart"/>
      <w:r w:rsidR="00E75DCF">
        <w:t>n</w:t>
      </w:r>
      <w:r w:rsidRPr="005E26C0">
        <w:t>n</w:t>
      </w:r>
      <w:proofErr w:type="spellEnd"/>
      <w:r w:rsidRPr="005E26C0">
        <w:t xml:space="preserve">. </w:t>
      </w:r>
      <w:r w:rsidR="00174FDD">
        <w:t xml:space="preserve">19, </w:t>
      </w:r>
      <w:r w:rsidRPr="005E26C0">
        <w:t>20</w:t>
      </w:r>
      <w:r w:rsidR="00174FDD">
        <w:t xml:space="preserve"> e 21</w:t>
      </w:r>
      <w:r w:rsidRPr="005E26C0">
        <w:t>.</w:t>
      </w:r>
    </w:p>
  </w:footnote>
  <w:footnote w:id="23">
    <w:p w14:paraId="38BA9DA5" w14:textId="77777777" w:rsidR="00C03B5F" w:rsidRPr="005E26C0" w:rsidRDefault="00C03B5F" w:rsidP="00C03B5F">
      <w:pPr>
        <w:pStyle w:val="Testonotaapidipagina"/>
      </w:pPr>
      <w:r w:rsidRPr="005E26C0">
        <w:rPr>
          <w:rStyle w:val="Rimandonotaapidipagina"/>
        </w:rPr>
        <w:footnoteRef/>
      </w:r>
      <w:r w:rsidRPr="005E26C0">
        <w:t xml:space="preserve"> Cons. Stato, Ad. </w:t>
      </w:r>
      <w:proofErr w:type="spellStart"/>
      <w:r w:rsidRPr="005E26C0">
        <w:t>plen</w:t>
      </w:r>
      <w:proofErr w:type="spellEnd"/>
      <w:r w:rsidRPr="005E26C0">
        <w:t>., 18 marzo 2021, n. 4. In dottrina: F. MANGANARO, </w:t>
      </w:r>
      <w:r w:rsidRPr="005E26C0">
        <w:rPr>
          <w:i/>
          <w:iCs/>
        </w:rPr>
        <w:t>La funzione nomofilattica dell’Adunanza plenaria in materia di accesso agli atti amministrativi</w:t>
      </w:r>
      <w:r w:rsidRPr="005E26C0">
        <w:t>, in </w:t>
      </w:r>
      <w:r w:rsidRPr="005E26C0">
        <w:rPr>
          <w:i/>
          <w:iCs/>
        </w:rPr>
        <w:t>Federalismi.it</w:t>
      </w:r>
      <w:r w:rsidRPr="005E26C0">
        <w:t>, 2021.</w:t>
      </w:r>
    </w:p>
  </w:footnote>
  <w:footnote w:id="24">
    <w:p w14:paraId="6A3E82C7" w14:textId="15A3AA92" w:rsidR="00C03B5F" w:rsidRPr="005E26C0" w:rsidRDefault="00C03B5F" w:rsidP="00C03B5F">
      <w:pPr>
        <w:pStyle w:val="Testonotaapidipagina"/>
      </w:pPr>
      <w:r w:rsidRPr="005E26C0">
        <w:rPr>
          <w:rStyle w:val="Rimandonotaapidipagina"/>
        </w:rPr>
        <w:footnoteRef/>
      </w:r>
      <w:r w:rsidRPr="005E26C0">
        <w:t xml:space="preserve"> </w:t>
      </w:r>
      <w:hyperlink r:id="rId2" w:history="1">
        <w:r w:rsidRPr="005E26C0">
          <w:t>T.A.R. Umbria</w:t>
        </w:r>
        <w:r w:rsidR="00E75DCF">
          <w:t>,</w:t>
        </w:r>
        <w:r w:rsidRPr="005E26C0">
          <w:t xml:space="preserve"> 16 dicembre 2025, n. 862. </w:t>
        </w:r>
      </w:hyperlink>
    </w:p>
  </w:footnote>
  <w:footnote w:id="25">
    <w:p w14:paraId="7B2C0333" w14:textId="77777777" w:rsidR="00C03B5F" w:rsidRPr="005E26C0" w:rsidRDefault="00C03B5F" w:rsidP="00C03B5F">
      <w:pPr>
        <w:pStyle w:val="Testonotaapidipagina"/>
      </w:pPr>
      <w:r w:rsidRPr="005E26C0">
        <w:rPr>
          <w:rStyle w:val="Rimandonotaapidipagina"/>
        </w:rPr>
        <w:footnoteRef/>
      </w:r>
      <w:r w:rsidRPr="005E26C0">
        <w:t xml:space="preserve"> Cons. Stato, Sez. II, 28 marzo 2023, n. 3160.</w:t>
      </w:r>
    </w:p>
  </w:footnote>
  <w:footnote w:id="26">
    <w:p w14:paraId="6283C5D8" w14:textId="77777777" w:rsidR="00C03B5F" w:rsidRPr="005E26C0" w:rsidRDefault="00C03B5F" w:rsidP="00C03B5F">
      <w:pPr>
        <w:pStyle w:val="Testonotaapidipagina"/>
      </w:pPr>
      <w:r w:rsidRPr="005E26C0">
        <w:rPr>
          <w:rStyle w:val="Rimandonotaapidipagina"/>
        </w:rPr>
        <w:footnoteRef/>
      </w:r>
      <w:r w:rsidRPr="005E26C0">
        <w:t xml:space="preserve"> T.A.R. Lazio, Roma, Sez. II-</w:t>
      </w:r>
      <w:r w:rsidRPr="005E26C0">
        <w:rPr>
          <w:i/>
          <w:iCs/>
        </w:rPr>
        <w:t>bis</w:t>
      </w:r>
      <w:r w:rsidRPr="005E26C0">
        <w:t>, 15 dicembre 2025, n. 22611.</w:t>
      </w:r>
    </w:p>
  </w:footnote>
  <w:footnote w:id="27">
    <w:p w14:paraId="7449D54B" w14:textId="12245E87" w:rsidR="00C03B5F" w:rsidRPr="005E26C0" w:rsidRDefault="00C03B5F" w:rsidP="00C03B5F">
      <w:pPr>
        <w:pStyle w:val="Nessunaspaziatura"/>
        <w:rPr>
          <w:sz w:val="20"/>
          <w:szCs w:val="20"/>
        </w:rPr>
      </w:pPr>
      <w:r w:rsidRPr="005E26C0">
        <w:rPr>
          <w:rStyle w:val="Rimandonotaapidipagina"/>
          <w:sz w:val="20"/>
          <w:szCs w:val="20"/>
        </w:rPr>
        <w:footnoteRef/>
      </w:r>
      <w:r w:rsidRPr="005E26C0">
        <w:rPr>
          <w:sz w:val="20"/>
          <w:szCs w:val="20"/>
        </w:rPr>
        <w:t xml:space="preserve"> T.A.R. Liguria, Sez. I, 1 dicembre 2025, n. 1335.</w:t>
      </w:r>
    </w:p>
  </w:footnote>
  <w:footnote w:id="28">
    <w:p w14:paraId="4F8898AE" w14:textId="77777777" w:rsidR="00C03B5F" w:rsidRPr="005E26C0" w:rsidRDefault="00C03B5F" w:rsidP="00C03B5F">
      <w:pPr>
        <w:pStyle w:val="Nessunaspaziatura"/>
        <w:rPr>
          <w:sz w:val="20"/>
          <w:szCs w:val="20"/>
        </w:rPr>
      </w:pPr>
      <w:r w:rsidRPr="005E26C0">
        <w:rPr>
          <w:rStyle w:val="Rimandonotaapidipagina"/>
          <w:sz w:val="20"/>
          <w:szCs w:val="20"/>
        </w:rPr>
        <w:footnoteRef/>
      </w:r>
      <w:r w:rsidRPr="005E26C0">
        <w:rPr>
          <w:sz w:val="20"/>
          <w:szCs w:val="20"/>
        </w:rPr>
        <w:t xml:space="preserve"> T.A.R. Lazio, Roma, Sez. III-</w:t>
      </w:r>
      <w:r w:rsidRPr="005E26C0">
        <w:rPr>
          <w:i/>
          <w:iCs/>
          <w:sz w:val="20"/>
          <w:szCs w:val="20"/>
        </w:rPr>
        <w:t>quater</w:t>
      </w:r>
      <w:r w:rsidRPr="005E26C0">
        <w:rPr>
          <w:sz w:val="20"/>
          <w:szCs w:val="20"/>
        </w:rPr>
        <w:t>, 10 dicembre 2025, n. 22340.</w:t>
      </w:r>
    </w:p>
  </w:footnote>
  <w:footnote w:id="29">
    <w:p w14:paraId="1552CC39" w14:textId="63A91C3D" w:rsidR="00A070F1" w:rsidRDefault="00A070F1">
      <w:pPr>
        <w:pStyle w:val="Testonotaapidipagina"/>
      </w:pPr>
      <w:r>
        <w:rPr>
          <w:rStyle w:val="Rimandonotaapidipagina"/>
        </w:rPr>
        <w:footnoteRef/>
      </w:r>
      <w:r>
        <w:t xml:space="preserve"> </w:t>
      </w:r>
      <w:r w:rsidRPr="00A070F1">
        <w:t>Cons</w:t>
      </w:r>
      <w:r>
        <w:t>.</w:t>
      </w:r>
      <w:r w:rsidRPr="00A070F1">
        <w:t xml:space="preserve"> Stato, </w:t>
      </w:r>
      <w:r>
        <w:t xml:space="preserve">Sez. IV, </w:t>
      </w:r>
      <w:r w:rsidRPr="00A070F1">
        <w:t>22</w:t>
      </w:r>
      <w:r>
        <w:t xml:space="preserve"> giugno </w:t>
      </w:r>
      <w:r w:rsidRPr="00A070F1">
        <w:t>2021</w:t>
      </w:r>
      <w:r>
        <w:t>,</w:t>
      </w:r>
      <w:r w:rsidRPr="00A070F1">
        <w:t xml:space="preserve"> n.</w:t>
      </w:r>
      <w:r>
        <w:t xml:space="preserve"> </w:t>
      </w:r>
      <w:r w:rsidRPr="00A070F1">
        <w:t>4792</w:t>
      </w:r>
      <w:r>
        <w:t>.</w:t>
      </w:r>
    </w:p>
  </w:footnote>
  <w:footnote w:id="30">
    <w:p w14:paraId="07847743" w14:textId="77777777" w:rsidR="00E75DCF" w:rsidRDefault="00E75DCF" w:rsidP="00E75DCF">
      <w:pPr>
        <w:pStyle w:val="Testonotaapidipagina"/>
      </w:pPr>
      <w:r>
        <w:rPr>
          <w:rStyle w:val="Rimandonotaapidipagina"/>
        </w:rPr>
        <w:footnoteRef/>
      </w:r>
      <w:r>
        <w:t xml:space="preserve"> M. LIPARI, </w:t>
      </w:r>
      <w:r w:rsidRPr="004C42B4">
        <w:rPr>
          <w:i/>
          <w:iCs/>
        </w:rPr>
        <w:t>L’accesso alle informazioni ambientali e la nuova trasparenza amministrativa</w:t>
      </w:r>
      <w:r>
        <w:t xml:space="preserve">, in </w:t>
      </w:r>
      <w:r w:rsidRPr="004C42B4">
        <w:rPr>
          <w:i/>
          <w:iCs/>
        </w:rPr>
        <w:t>Federalismi</w:t>
      </w:r>
      <w:r>
        <w:t>, 5 giugno 2023.</w:t>
      </w:r>
    </w:p>
  </w:footnote>
  <w:footnote w:id="31">
    <w:p w14:paraId="5271535C" w14:textId="730E7BF7" w:rsidR="00167F73" w:rsidRDefault="00167F73" w:rsidP="00167F73">
      <w:pPr>
        <w:pStyle w:val="Testonotaapidipagina"/>
      </w:pPr>
      <w:r>
        <w:rPr>
          <w:rStyle w:val="Rimandonotaapidipagina"/>
        </w:rPr>
        <w:footnoteRef/>
      </w:r>
      <w:r>
        <w:t xml:space="preserve"> </w:t>
      </w:r>
      <w:r w:rsidRPr="005E26C0">
        <w:t xml:space="preserve">Cons. Stato, Sez. IV, </w:t>
      </w:r>
      <w:r w:rsidR="00ED0274" w:rsidRPr="00ED0274">
        <w:t>14 marzo 2023, n. 2635</w:t>
      </w:r>
      <w:r w:rsidR="00ED0274">
        <w:t xml:space="preserve"> e </w:t>
      </w:r>
      <w:r w:rsidRPr="00EC13E6">
        <w:t>8 giugno 2022</w:t>
      </w:r>
      <w:r>
        <w:t xml:space="preserve">, n. </w:t>
      </w:r>
      <w:r w:rsidRPr="00EC13E6">
        <w:t>4679</w:t>
      </w:r>
      <w:r w:rsidR="00ED0274" w:rsidRPr="00ED0274">
        <w:t xml:space="preserve">; </w:t>
      </w:r>
      <w:r w:rsidR="00ED0274" w:rsidRPr="00ED0274">
        <w:rPr>
          <w:i/>
          <w:iCs/>
        </w:rPr>
        <w:t>idem</w:t>
      </w:r>
      <w:r w:rsidR="00ED0274">
        <w:t xml:space="preserve">, </w:t>
      </w:r>
      <w:r w:rsidR="00ED0274" w:rsidRPr="00ED0274">
        <w:t>sez. V, 10 novembre 2022, n. 9843.</w:t>
      </w:r>
    </w:p>
  </w:footnote>
  <w:footnote w:id="32">
    <w:p w14:paraId="43B5ED79" w14:textId="2BF5A1B0" w:rsidR="00ED0274" w:rsidRDefault="00ED0274">
      <w:pPr>
        <w:pStyle w:val="Testonotaapidipagina"/>
      </w:pPr>
      <w:r>
        <w:rPr>
          <w:rStyle w:val="Rimandonotaapidipagina"/>
        </w:rPr>
        <w:footnoteRef/>
      </w:r>
      <w:r>
        <w:t xml:space="preserve"> </w:t>
      </w:r>
      <w:r w:rsidRPr="005E26C0">
        <w:t xml:space="preserve">Cons. Stato, Sez. IV, </w:t>
      </w:r>
      <w:r>
        <w:t>11 dicembre 2025</w:t>
      </w:r>
      <w:r w:rsidRPr="005E26C0">
        <w:t xml:space="preserve">, n. </w:t>
      </w:r>
      <w:r>
        <w:t>9787.</w:t>
      </w:r>
    </w:p>
  </w:footnote>
  <w:footnote w:id="33">
    <w:p w14:paraId="46561D8F" w14:textId="77777777" w:rsidR="00C03B5F" w:rsidRPr="005E26C0" w:rsidRDefault="00C03B5F" w:rsidP="00C03B5F">
      <w:pPr>
        <w:pStyle w:val="Testonotaapidipagina"/>
      </w:pPr>
      <w:r w:rsidRPr="005E26C0">
        <w:rPr>
          <w:rStyle w:val="Rimandonotaapidipagina"/>
        </w:rPr>
        <w:footnoteRef/>
      </w:r>
      <w:r w:rsidRPr="005E26C0">
        <w:t xml:space="preserve"> Cons. Stato, Sez. IV, 6 maggio 1996, n. 570; T.A.R. Toscana, sez. I, 28 gennaio 2019, n. 133.</w:t>
      </w:r>
    </w:p>
  </w:footnote>
  <w:footnote w:id="34">
    <w:p w14:paraId="70B8C253" w14:textId="77777777" w:rsidR="00C03B5F" w:rsidRPr="005E26C0" w:rsidRDefault="00C03B5F" w:rsidP="00C03B5F">
      <w:pPr>
        <w:pStyle w:val="Testonotaapidipagina"/>
      </w:pPr>
      <w:r w:rsidRPr="005E26C0">
        <w:rPr>
          <w:rStyle w:val="Rimandonotaapidipagina"/>
        </w:rPr>
        <w:footnoteRef/>
      </w:r>
      <w:r w:rsidRPr="005E26C0">
        <w:t xml:space="preserve"> Cons. Stato, Sez. IV, 12 agosto 2016, n. 3631.</w:t>
      </w:r>
    </w:p>
  </w:footnote>
  <w:footnote w:id="35">
    <w:p w14:paraId="7074293F" w14:textId="2510CE36" w:rsidR="00E77F95" w:rsidRPr="005E26C0" w:rsidRDefault="00E77F95" w:rsidP="00E77F95">
      <w:pPr>
        <w:pStyle w:val="Testonotaapidipagina"/>
      </w:pPr>
      <w:r w:rsidRPr="005E26C0">
        <w:rPr>
          <w:rStyle w:val="Rimandonotaapidipagina"/>
        </w:rPr>
        <w:footnoteRef/>
      </w:r>
      <w:r w:rsidRPr="005E26C0">
        <w:t xml:space="preserve"> S. TOSCHEI, </w:t>
      </w:r>
      <w:r w:rsidR="00715381" w:rsidRPr="005E26C0">
        <w:rPr>
          <w:i/>
          <w:iCs/>
        </w:rPr>
        <w:t xml:space="preserve">op. </w:t>
      </w:r>
      <w:proofErr w:type="spellStart"/>
      <w:r w:rsidR="00715381" w:rsidRPr="005E26C0">
        <w:rPr>
          <w:i/>
          <w:iCs/>
        </w:rPr>
        <w:t>ult</w:t>
      </w:r>
      <w:proofErr w:type="spellEnd"/>
      <w:r w:rsidR="00715381" w:rsidRPr="005E26C0">
        <w:rPr>
          <w:i/>
          <w:iCs/>
        </w:rPr>
        <w:t>. cit</w:t>
      </w:r>
      <w:r w:rsidRPr="005E26C0">
        <w:t>.</w:t>
      </w:r>
    </w:p>
  </w:footnote>
  <w:footnote w:id="36">
    <w:p w14:paraId="6C5C4EA0" w14:textId="77777777" w:rsidR="000A2E48" w:rsidRDefault="000A2E48" w:rsidP="000A2E48">
      <w:pPr>
        <w:pStyle w:val="Testonotaapidipagina"/>
      </w:pPr>
      <w:r>
        <w:rPr>
          <w:rStyle w:val="Rimandonotaapidipagina"/>
        </w:rPr>
        <w:footnoteRef/>
      </w:r>
      <w:r>
        <w:t xml:space="preserve"> </w:t>
      </w:r>
      <w:r w:rsidRPr="00DE33B8">
        <w:rPr>
          <w:rFonts w:cs="Times New Roman"/>
          <w:szCs w:val="24"/>
        </w:rPr>
        <w:t xml:space="preserve">Cons. Stato, </w:t>
      </w:r>
      <w:r>
        <w:rPr>
          <w:rFonts w:cs="Times New Roman"/>
          <w:szCs w:val="24"/>
        </w:rPr>
        <w:t xml:space="preserve">Sez. </w:t>
      </w:r>
      <w:r w:rsidRPr="00DE33B8">
        <w:rPr>
          <w:rFonts w:cs="Times New Roman"/>
          <w:szCs w:val="24"/>
        </w:rPr>
        <w:t>IV, 4 giugno 2025, n. 4857</w:t>
      </w:r>
      <w:r>
        <w:rPr>
          <w:rFonts w:cs="Times New Roman"/>
          <w:szCs w:val="24"/>
        </w:rPr>
        <w:t>.</w:t>
      </w:r>
    </w:p>
  </w:footnote>
  <w:footnote w:id="37">
    <w:p w14:paraId="511BF927" w14:textId="2AEBE70C" w:rsidR="00CF72F9" w:rsidRPr="005E26C0" w:rsidRDefault="00CF72F9">
      <w:pPr>
        <w:pStyle w:val="Testonotaapidipagina"/>
      </w:pPr>
      <w:r w:rsidRPr="005E26C0">
        <w:rPr>
          <w:vertAlign w:val="superscript"/>
        </w:rPr>
        <w:footnoteRef/>
      </w:r>
      <w:r w:rsidRPr="005E26C0">
        <w:t xml:space="preserve"> CGUE, Sez. IX, 10 giugno 2025, C-686/24, </w:t>
      </w:r>
      <w:proofErr w:type="spellStart"/>
      <w:r w:rsidRPr="005E26C0">
        <w:rPr>
          <w:i/>
          <w:iCs/>
        </w:rPr>
        <w:t>Nidec</w:t>
      </w:r>
      <w:proofErr w:type="spellEnd"/>
      <w:r w:rsidRPr="005E26C0">
        <w:rPr>
          <w:i/>
          <w:iCs/>
        </w:rPr>
        <w:t xml:space="preserve"> </w:t>
      </w:r>
      <w:proofErr w:type="spellStart"/>
      <w:r w:rsidRPr="005E26C0">
        <w:rPr>
          <w:i/>
          <w:iCs/>
        </w:rPr>
        <w:t>Asi</w:t>
      </w:r>
      <w:proofErr w:type="spellEnd"/>
      <w:r w:rsidRPr="005E26C0">
        <w:t xml:space="preserve"> </w:t>
      </w:r>
      <w:r w:rsidRPr="005E26C0">
        <w:rPr>
          <w:i/>
          <w:iCs/>
        </w:rPr>
        <w:t>c/Italia</w:t>
      </w:r>
      <w:r w:rsidRPr="005E26C0">
        <w:t>.</w:t>
      </w:r>
    </w:p>
  </w:footnote>
  <w:footnote w:id="38">
    <w:p w14:paraId="6C40B049" w14:textId="4233D7B3" w:rsidR="000B3373" w:rsidRDefault="000B3373">
      <w:pPr>
        <w:pStyle w:val="Testonotaapidipagina"/>
      </w:pPr>
      <w:r>
        <w:rPr>
          <w:rStyle w:val="Rimandonotaapidipagina"/>
        </w:rPr>
        <w:footnoteRef/>
      </w:r>
      <w:r>
        <w:t xml:space="preserve"> </w:t>
      </w:r>
      <w:r w:rsidRPr="00DE33B8">
        <w:rPr>
          <w:rFonts w:cs="Times New Roman"/>
          <w:szCs w:val="24"/>
        </w:rPr>
        <w:t xml:space="preserve">Cons. Stato, </w:t>
      </w:r>
      <w:r>
        <w:rPr>
          <w:rFonts w:cs="Times New Roman"/>
          <w:szCs w:val="24"/>
        </w:rPr>
        <w:t xml:space="preserve">Sez. </w:t>
      </w:r>
      <w:r w:rsidRPr="00DE33B8">
        <w:rPr>
          <w:rFonts w:cs="Times New Roman"/>
          <w:szCs w:val="24"/>
        </w:rPr>
        <w:t xml:space="preserve">V, </w:t>
      </w:r>
      <w:r>
        <w:rPr>
          <w:rFonts w:cs="Times New Roman"/>
          <w:szCs w:val="24"/>
        </w:rPr>
        <w:t>18 dicembre</w:t>
      </w:r>
      <w:r w:rsidRPr="00DE33B8">
        <w:rPr>
          <w:rFonts w:cs="Times New Roman"/>
          <w:szCs w:val="24"/>
        </w:rPr>
        <w:t xml:space="preserve"> 2025, n. </w:t>
      </w:r>
      <w:r>
        <w:rPr>
          <w:rFonts w:cs="Times New Roman"/>
          <w:szCs w:val="24"/>
        </w:rPr>
        <w:t>10036.</w:t>
      </w:r>
    </w:p>
  </w:footnote>
  <w:footnote w:id="39">
    <w:p w14:paraId="37918DB1" w14:textId="76896DE8" w:rsidR="00DB69F6" w:rsidRDefault="00DB69F6">
      <w:pPr>
        <w:pStyle w:val="Testonotaapidipagina"/>
      </w:pPr>
      <w:r>
        <w:rPr>
          <w:rStyle w:val="Rimandonotaapidipagina"/>
        </w:rPr>
        <w:footnoteRef/>
      </w:r>
      <w:r>
        <w:t xml:space="preserve"> </w:t>
      </w:r>
      <w:proofErr w:type="spellStart"/>
      <w:r w:rsidRPr="00DB69F6">
        <w:t>T.r.g.a</w:t>
      </w:r>
      <w:proofErr w:type="spellEnd"/>
      <w:r w:rsidRPr="00DB69F6">
        <w:t>.</w:t>
      </w:r>
      <w:r>
        <w:t xml:space="preserve"> </w:t>
      </w:r>
      <w:r w:rsidRPr="00DB69F6">
        <w:t>Trento, 10 febbraio 2026, n. 21</w:t>
      </w:r>
      <w:r>
        <w:t>.</w:t>
      </w:r>
    </w:p>
  </w:footnote>
  <w:footnote w:id="40">
    <w:p w14:paraId="2B1A6DA4" w14:textId="1D659333" w:rsidR="00DB69F6" w:rsidRDefault="00DB69F6">
      <w:pPr>
        <w:pStyle w:val="Testonotaapidipagina"/>
      </w:pPr>
      <w:r>
        <w:rPr>
          <w:rStyle w:val="Rimandonotaapidipagina"/>
        </w:rPr>
        <w:footnoteRef/>
      </w:r>
      <w:r>
        <w:t xml:space="preserve"> </w:t>
      </w:r>
      <w:r w:rsidRPr="00DB69F6">
        <w:t xml:space="preserve">Cons. Stato, </w:t>
      </w:r>
      <w:r>
        <w:t>S</w:t>
      </w:r>
      <w:r w:rsidRPr="00DB69F6">
        <w:t>ez. III, 21 gennaio 2026, n. 508</w:t>
      </w:r>
      <w:r>
        <w:t xml:space="preserve"> e S</w:t>
      </w:r>
      <w:r w:rsidRPr="00DB69F6">
        <w:t>ez. V, 25 giugno 2025, n. 5547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CB0"/>
    <w:multiLevelType w:val="hybridMultilevel"/>
    <w:tmpl w:val="8026CD4A"/>
    <w:lvl w:ilvl="0" w:tplc="AA98FD0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52B61"/>
    <w:multiLevelType w:val="hybridMultilevel"/>
    <w:tmpl w:val="DC5A0B56"/>
    <w:lvl w:ilvl="0" w:tplc="E7486EF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E56DDB"/>
    <w:multiLevelType w:val="hybridMultilevel"/>
    <w:tmpl w:val="C5304BDA"/>
    <w:lvl w:ilvl="0" w:tplc="8138BA4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FD7C0F"/>
    <w:multiLevelType w:val="hybridMultilevel"/>
    <w:tmpl w:val="6BDEBBEA"/>
    <w:lvl w:ilvl="0" w:tplc="D44855C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500048FF"/>
    <w:multiLevelType w:val="hybridMultilevel"/>
    <w:tmpl w:val="84567304"/>
    <w:lvl w:ilvl="0" w:tplc="32844BF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EE6967"/>
    <w:multiLevelType w:val="hybridMultilevel"/>
    <w:tmpl w:val="118C7A42"/>
    <w:lvl w:ilvl="0" w:tplc="E680403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19090373">
    <w:abstractNumId w:val="4"/>
  </w:num>
  <w:num w:numId="2" w16cid:durableId="1843398457">
    <w:abstractNumId w:val="0"/>
  </w:num>
  <w:num w:numId="3" w16cid:durableId="1735739151">
    <w:abstractNumId w:val="2"/>
  </w:num>
  <w:num w:numId="4" w16cid:durableId="1905289709">
    <w:abstractNumId w:val="1"/>
  </w:num>
  <w:num w:numId="5" w16cid:durableId="2005694201">
    <w:abstractNumId w:val="5"/>
  </w:num>
  <w:num w:numId="6" w16cid:durableId="584605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BD"/>
    <w:rsid w:val="000022F6"/>
    <w:rsid w:val="00007711"/>
    <w:rsid w:val="00012007"/>
    <w:rsid w:val="00012542"/>
    <w:rsid w:val="00016A88"/>
    <w:rsid w:val="00020128"/>
    <w:rsid w:val="000204D7"/>
    <w:rsid w:val="00025698"/>
    <w:rsid w:val="00044DB2"/>
    <w:rsid w:val="0006362D"/>
    <w:rsid w:val="0007382D"/>
    <w:rsid w:val="0009673A"/>
    <w:rsid w:val="000A2487"/>
    <w:rsid w:val="000A2E48"/>
    <w:rsid w:val="000A4BCE"/>
    <w:rsid w:val="000A684F"/>
    <w:rsid w:val="000B3373"/>
    <w:rsid w:val="000B49EC"/>
    <w:rsid w:val="000C677C"/>
    <w:rsid w:val="000D656D"/>
    <w:rsid w:val="000E2523"/>
    <w:rsid w:val="000F2552"/>
    <w:rsid w:val="000F39A0"/>
    <w:rsid w:val="00103CE2"/>
    <w:rsid w:val="00105400"/>
    <w:rsid w:val="0011794A"/>
    <w:rsid w:val="00157118"/>
    <w:rsid w:val="00161233"/>
    <w:rsid w:val="00165749"/>
    <w:rsid w:val="00167F73"/>
    <w:rsid w:val="00174792"/>
    <w:rsid w:val="00174FDD"/>
    <w:rsid w:val="001759FF"/>
    <w:rsid w:val="00196600"/>
    <w:rsid w:val="001C2797"/>
    <w:rsid w:val="001C4622"/>
    <w:rsid w:val="001D0AD9"/>
    <w:rsid w:val="00200DC7"/>
    <w:rsid w:val="002021B3"/>
    <w:rsid w:val="00204C2F"/>
    <w:rsid w:val="00223035"/>
    <w:rsid w:val="00232A55"/>
    <w:rsid w:val="00253256"/>
    <w:rsid w:val="002649BD"/>
    <w:rsid w:val="0027147A"/>
    <w:rsid w:val="0027773B"/>
    <w:rsid w:val="0029015A"/>
    <w:rsid w:val="002E23C2"/>
    <w:rsid w:val="002F2EB7"/>
    <w:rsid w:val="002F3A94"/>
    <w:rsid w:val="002F502D"/>
    <w:rsid w:val="0033667F"/>
    <w:rsid w:val="00355DE3"/>
    <w:rsid w:val="00385C3C"/>
    <w:rsid w:val="003957E7"/>
    <w:rsid w:val="003C26A0"/>
    <w:rsid w:val="003C2AA5"/>
    <w:rsid w:val="003C76ED"/>
    <w:rsid w:val="003D2A46"/>
    <w:rsid w:val="003D3FFF"/>
    <w:rsid w:val="003F1DDB"/>
    <w:rsid w:val="003F51F0"/>
    <w:rsid w:val="00405DF5"/>
    <w:rsid w:val="004217F9"/>
    <w:rsid w:val="00422EBA"/>
    <w:rsid w:val="0042551B"/>
    <w:rsid w:val="00435138"/>
    <w:rsid w:val="004440B6"/>
    <w:rsid w:val="004440D6"/>
    <w:rsid w:val="00450576"/>
    <w:rsid w:val="0045155D"/>
    <w:rsid w:val="0045401A"/>
    <w:rsid w:val="00463825"/>
    <w:rsid w:val="00464DB4"/>
    <w:rsid w:val="004757F5"/>
    <w:rsid w:val="004A45CD"/>
    <w:rsid w:val="004A6D6B"/>
    <w:rsid w:val="004B1330"/>
    <w:rsid w:val="004C42B4"/>
    <w:rsid w:val="004C56E9"/>
    <w:rsid w:val="004E1FF0"/>
    <w:rsid w:val="004F39F7"/>
    <w:rsid w:val="004F4EFB"/>
    <w:rsid w:val="004F62FB"/>
    <w:rsid w:val="004F721F"/>
    <w:rsid w:val="005116E6"/>
    <w:rsid w:val="00521517"/>
    <w:rsid w:val="00521CB4"/>
    <w:rsid w:val="0052774F"/>
    <w:rsid w:val="00543169"/>
    <w:rsid w:val="005708BF"/>
    <w:rsid w:val="005842F0"/>
    <w:rsid w:val="0059783F"/>
    <w:rsid w:val="005A5257"/>
    <w:rsid w:val="005A69D4"/>
    <w:rsid w:val="005B009A"/>
    <w:rsid w:val="005B1636"/>
    <w:rsid w:val="005B1A8E"/>
    <w:rsid w:val="005C69C4"/>
    <w:rsid w:val="005D13D3"/>
    <w:rsid w:val="005D41F2"/>
    <w:rsid w:val="005D7F8F"/>
    <w:rsid w:val="005E26C0"/>
    <w:rsid w:val="005F5D2D"/>
    <w:rsid w:val="005F7E53"/>
    <w:rsid w:val="00641B0D"/>
    <w:rsid w:val="00645F50"/>
    <w:rsid w:val="00681097"/>
    <w:rsid w:val="00682093"/>
    <w:rsid w:val="006A52F6"/>
    <w:rsid w:val="006E0E41"/>
    <w:rsid w:val="006E4FDC"/>
    <w:rsid w:val="00715381"/>
    <w:rsid w:val="00722FBB"/>
    <w:rsid w:val="00724960"/>
    <w:rsid w:val="00730823"/>
    <w:rsid w:val="0074639A"/>
    <w:rsid w:val="007608EE"/>
    <w:rsid w:val="00764886"/>
    <w:rsid w:val="00772F79"/>
    <w:rsid w:val="0078238D"/>
    <w:rsid w:val="00791D86"/>
    <w:rsid w:val="00791E76"/>
    <w:rsid w:val="00797DFD"/>
    <w:rsid w:val="007A0302"/>
    <w:rsid w:val="007B187A"/>
    <w:rsid w:val="007B4B55"/>
    <w:rsid w:val="007D2ACE"/>
    <w:rsid w:val="007D6B82"/>
    <w:rsid w:val="008211FC"/>
    <w:rsid w:val="008300CF"/>
    <w:rsid w:val="00835BCC"/>
    <w:rsid w:val="0086740D"/>
    <w:rsid w:val="00873D5A"/>
    <w:rsid w:val="00874797"/>
    <w:rsid w:val="00880F56"/>
    <w:rsid w:val="00897F28"/>
    <w:rsid w:val="008A2DBB"/>
    <w:rsid w:val="008A2EB8"/>
    <w:rsid w:val="008B4BFA"/>
    <w:rsid w:val="008B6623"/>
    <w:rsid w:val="008D428D"/>
    <w:rsid w:val="008D5D26"/>
    <w:rsid w:val="008E2DAF"/>
    <w:rsid w:val="008E6789"/>
    <w:rsid w:val="008F345E"/>
    <w:rsid w:val="008F7C1B"/>
    <w:rsid w:val="00900893"/>
    <w:rsid w:val="00902595"/>
    <w:rsid w:val="00932271"/>
    <w:rsid w:val="00936438"/>
    <w:rsid w:val="00942258"/>
    <w:rsid w:val="00961567"/>
    <w:rsid w:val="00972077"/>
    <w:rsid w:val="00992057"/>
    <w:rsid w:val="009955A9"/>
    <w:rsid w:val="009B0EC1"/>
    <w:rsid w:val="009B5147"/>
    <w:rsid w:val="009C3EBB"/>
    <w:rsid w:val="009E28DC"/>
    <w:rsid w:val="009F1EC9"/>
    <w:rsid w:val="00A00949"/>
    <w:rsid w:val="00A028FB"/>
    <w:rsid w:val="00A0314D"/>
    <w:rsid w:val="00A070F1"/>
    <w:rsid w:val="00A13646"/>
    <w:rsid w:val="00A24373"/>
    <w:rsid w:val="00A36A21"/>
    <w:rsid w:val="00A372A9"/>
    <w:rsid w:val="00A50C8C"/>
    <w:rsid w:val="00A5619C"/>
    <w:rsid w:val="00A61206"/>
    <w:rsid w:val="00A66F83"/>
    <w:rsid w:val="00A73EFA"/>
    <w:rsid w:val="00A765AF"/>
    <w:rsid w:val="00A849C8"/>
    <w:rsid w:val="00A879DC"/>
    <w:rsid w:val="00A9249D"/>
    <w:rsid w:val="00A92FE9"/>
    <w:rsid w:val="00AA6F60"/>
    <w:rsid w:val="00AB418E"/>
    <w:rsid w:val="00AC2E42"/>
    <w:rsid w:val="00AC66F7"/>
    <w:rsid w:val="00AC75E0"/>
    <w:rsid w:val="00AD5DF0"/>
    <w:rsid w:val="00AE055A"/>
    <w:rsid w:val="00B24780"/>
    <w:rsid w:val="00B33875"/>
    <w:rsid w:val="00B345BA"/>
    <w:rsid w:val="00B3696F"/>
    <w:rsid w:val="00B427BF"/>
    <w:rsid w:val="00B465C3"/>
    <w:rsid w:val="00B47732"/>
    <w:rsid w:val="00B61A88"/>
    <w:rsid w:val="00B6348E"/>
    <w:rsid w:val="00BB4070"/>
    <w:rsid w:val="00BB4AAB"/>
    <w:rsid w:val="00BC0269"/>
    <w:rsid w:val="00BC46DB"/>
    <w:rsid w:val="00BD2989"/>
    <w:rsid w:val="00C03B5F"/>
    <w:rsid w:val="00C0546E"/>
    <w:rsid w:val="00C1416C"/>
    <w:rsid w:val="00C241A0"/>
    <w:rsid w:val="00C40D5D"/>
    <w:rsid w:val="00C45874"/>
    <w:rsid w:val="00C45D8B"/>
    <w:rsid w:val="00C522D3"/>
    <w:rsid w:val="00C52D6A"/>
    <w:rsid w:val="00C53A30"/>
    <w:rsid w:val="00C57F8E"/>
    <w:rsid w:val="00C66A9F"/>
    <w:rsid w:val="00C678B1"/>
    <w:rsid w:val="00C67B1D"/>
    <w:rsid w:val="00C70310"/>
    <w:rsid w:val="00C71845"/>
    <w:rsid w:val="00C71CD0"/>
    <w:rsid w:val="00C72466"/>
    <w:rsid w:val="00C862C1"/>
    <w:rsid w:val="00C94FB9"/>
    <w:rsid w:val="00CA2A78"/>
    <w:rsid w:val="00CA7943"/>
    <w:rsid w:val="00CB7415"/>
    <w:rsid w:val="00CC140E"/>
    <w:rsid w:val="00CC7845"/>
    <w:rsid w:val="00CD7587"/>
    <w:rsid w:val="00CE3BF9"/>
    <w:rsid w:val="00CE496E"/>
    <w:rsid w:val="00CE5D66"/>
    <w:rsid w:val="00CF26D6"/>
    <w:rsid w:val="00CF4F72"/>
    <w:rsid w:val="00CF72F9"/>
    <w:rsid w:val="00D05C01"/>
    <w:rsid w:val="00D07D9B"/>
    <w:rsid w:val="00D169B0"/>
    <w:rsid w:val="00D2003E"/>
    <w:rsid w:val="00D2763E"/>
    <w:rsid w:val="00D3043B"/>
    <w:rsid w:val="00D36422"/>
    <w:rsid w:val="00D73468"/>
    <w:rsid w:val="00D90444"/>
    <w:rsid w:val="00D96CE5"/>
    <w:rsid w:val="00DA2D66"/>
    <w:rsid w:val="00DA3414"/>
    <w:rsid w:val="00DB0333"/>
    <w:rsid w:val="00DB3B19"/>
    <w:rsid w:val="00DB69F6"/>
    <w:rsid w:val="00DE0E7E"/>
    <w:rsid w:val="00DE33B8"/>
    <w:rsid w:val="00DE38D8"/>
    <w:rsid w:val="00DE653C"/>
    <w:rsid w:val="00DF1A0C"/>
    <w:rsid w:val="00DF4C38"/>
    <w:rsid w:val="00DF6DD7"/>
    <w:rsid w:val="00E01A29"/>
    <w:rsid w:val="00E07A2B"/>
    <w:rsid w:val="00E32752"/>
    <w:rsid w:val="00E416ED"/>
    <w:rsid w:val="00E6169E"/>
    <w:rsid w:val="00E72708"/>
    <w:rsid w:val="00E72F68"/>
    <w:rsid w:val="00E75DCF"/>
    <w:rsid w:val="00E77F95"/>
    <w:rsid w:val="00E970F7"/>
    <w:rsid w:val="00EC13E6"/>
    <w:rsid w:val="00ED0274"/>
    <w:rsid w:val="00ED3179"/>
    <w:rsid w:val="00ED3429"/>
    <w:rsid w:val="00ED431E"/>
    <w:rsid w:val="00EE0BF0"/>
    <w:rsid w:val="00EE4D52"/>
    <w:rsid w:val="00EF0EC1"/>
    <w:rsid w:val="00F05B4D"/>
    <w:rsid w:val="00F14DCF"/>
    <w:rsid w:val="00F15E3B"/>
    <w:rsid w:val="00F26B49"/>
    <w:rsid w:val="00F74745"/>
    <w:rsid w:val="00F879C4"/>
    <w:rsid w:val="00F90AC2"/>
    <w:rsid w:val="00F97C0F"/>
    <w:rsid w:val="00FC07DC"/>
    <w:rsid w:val="00FD274E"/>
    <w:rsid w:val="00FD52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1EAA"/>
  <w15:chartTrackingRefBased/>
  <w15:docId w15:val="{C8EB329E-A0FC-468C-8864-DA540FAC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49BD"/>
    <w:pPr>
      <w:spacing w:line="360" w:lineRule="auto"/>
      <w:jc w:val="both"/>
    </w:pPr>
    <w:rPr>
      <w:rFonts w:ascii="Times New Roman" w:hAnsi="Times New Roman"/>
      <w:sz w:val="24"/>
    </w:rPr>
  </w:style>
  <w:style w:type="paragraph" w:styleId="Titolo1">
    <w:name w:val="heading 1"/>
    <w:basedOn w:val="Normale"/>
    <w:next w:val="Normale"/>
    <w:link w:val="Titolo1Carattere"/>
    <w:uiPriority w:val="9"/>
    <w:qFormat/>
    <w:rsid w:val="002649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2649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2649B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2649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2649BD"/>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2649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49BD"/>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649BD"/>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49BD"/>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49BD"/>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2649B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2649BD"/>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2649BD"/>
    <w:rPr>
      <w:rFonts w:eastAsiaTheme="majorEastAsia" w:cstheme="majorBidi"/>
      <w:i/>
      <w:iCs/>
      <w:color w:val="2E74B5" w:themeColor="accent1" w:themeShade="BF"/>
      <w:sz w:val="24"/>
    </w:rPr>
  </w:style>
  <w:style w:type="character" w:customStyle="1" w:styleId="Titolo5Carattere">
    <w:name w:val="Titolo 5 Carattere"/>
    <w:basedOn w:val="Carpredefinitoparagrafo"/>
    <w:link w:val="Titolo5"/>
    <w:uiPriority w:val="9"/>
    <w:semiHidden/>
    <w:rsid w:val="002649BD"/>
    <w:rPr>
      <w:rFonts w:eastAsiaTheme="majorEastAsia" w:cstheme="majorBidi"/>
      <w:color w:val="2E74B5" w:themeColor="accent1" w:themeShade="BF"/>
      <w:sz w:val="24"/>
    </w:rPr>
  </w:style>
  <w:style w:type="character" w:customStyle="1" w:styleId="Titolo6Carattere">
    <w:name w:val="Titolo 6 Carattere"/>
    <w:basedOn w:val="Carpredefinitoparagrafo"/>
    <w:link w:val="Titolo6"/>
    <w:uiPriority w:val="9"/>
    <w:semiHidden/>
    <w:rsid w:val="002649BD"/>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2649BD"/>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2649BD"/>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2649BD"/>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26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49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49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49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49B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49BD"/>
    <w:rPr>
      <w:rFonts w:ascii="Times New Roman" w:hAnsi="Times New Roman"/>
      <w:i/>
      <w:iCs/>
      <w:color w:val="404040" w:themeColor="text1" w:themeTint="BF"/>
      <w:sz w:val="24"/>
    </w:rPr>
  </w:style>
  <w:style w:type="paragraph" w:styleId="Paragrafoelenco">
    <w:name w:val="List Paragraph"/>
    <w:basedOn w:val="Normale"/>
    <w:uiPriority w:val="34"/>
    <w:qFormat/>
    <w:rsid w:val="002649BD"/>
    <w:pPr>
      <w:ind w:left="720"/>
      <w:contextualSpacing/>
    </w:pPr>
  </w:style>
  <w:style w:type="character" w:styleId="Enfasiintensa">
    <w:name w:val="Intense Emphasis"/>
    <w:basedOn w:val="Carpredefinitoparagrafo"/>
    <w:uiPriority w:val="21"/>
    <w:qFormat/>
    <w:rsid w:val="002649BD"/>
    <w:rPr>
      <w:i/>
      <w:iCs/>
      <w:color w:val="2E74B5" w:themeColor="accent1" w:themeShade="BF"/>
    </w:rPr>
  </w:style>
  <w:style w:type="paragraph" w:styleId="Citazioneintensa">
    <w:name w:val="Intense Quote"/>
    <w:basedOn w:val="Normale"/>
    <w:next w:val="Normale"/>
    <w:link w:val="CitazioneintensaCarattere"/>
    <w:uiPriority w:val="30"/>
    <w:qFormat/>
    <w:rsid w:val="002649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2649BD"/>
    <w:rPr>
      <w:rFonts w:ascii="Times New Roman" w:hAnsi="Times New Roman"/>
      <w:i/>
      <w:iCs/>
      <w:color w:val="2E74B5" w:themeColor="accent1" w:themeShade="BF"/>
      <w:sz w:val="24"/>
    </w:rPr>
  </w:style>
  <w:style w:type="character" w:styleId="Riferimentointenso">
    <w:name w:val="Intense Reference"/>
    <w:basedOn w:val="Carpredefinitoparagrafo"/>
    <w:uiPriority w:val="32"/>
    <w:qFormat/>
    <w:rsid w:val="002649BD"/>
    <w:rPr>
      <w:b/>
      <w:bCs/>
      <w:smallCaps/>
      <w:color w:val="2E74B5" w:themeColor="accent1" w:themeShade="BF"/>
      <w:spacing w:val="5"/>
    </w:rPr>
  </w:style>
  <w:style w:type="paragraph" w:styleId="Nessunaspaziatura">
    <w:name w:val="No Spacing"/>
    <w:uiPriority w:val="1"/>
    <w:qFormat/>
    <w:rsid w:val="002649BD"/>
    <w:pPr>
      <w:spacing w:after="0" w:line="240" w:lineRule="auto"/>
      <w:jc w:val="both"/>
    </w:pPr>
    <w:rPr>
      <w:rFonts w:ascii="Times New Roman" w:hAnsi="Times New Roman"/>
      <w:sz w:val="24"/>
    </w:rPr>
  </w:style>
  <w:style w:type="character" w:styleId="Collegamentoipertestuale">
    <w:name w:val="Hyperlink"/>
    <w:basedOn w:val="Carpredefinitoparagrafo"/>
    <w:uiPriority w:val="99"/>
    <w:unhideWhenUsed/>
    <w:rsid w:val="002649BD"/>
    <w:rPr>
      <w:color w:val="0563C1" w:themeColor="hyperlink"/>
      <w:u w:val="single"/>
    </w:rPr>
  </w:style>
  <w:style w:type="paragraph" w:styleId="Testonotaapidipagina">
    <w:name w:val="footnote text"/>
    <w:basedOn w:val="Normale"/>
    <w:link w:val="TestonotaapidipaginaCarattere"/>
    <w:uiPriority w:val="99"/>
    <w:unhideWhenUsed/>
    <w:rsid w:val="002649B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649BD"/>
    <w:rPr>
      <w:rFonts w:ascii="Times New Roman" w:hAnsi="Times New Roman"/>
      <w:sz w:val="20"/>
      <w:szCs w:val="20"/>
    </w:rPr>
  </w:style>
  <w:style w:type="character" w:styleId="Rimandonotaapidipagina">
    <w:name w:val="footnote reference"/>
    <w:basedOn w:val="Carpredefinitoparagrafo"/>
    <w:uiPriority w:val="99"/>
    <w:semiHidden/>
    <w:unhideWhenUsed/>
    <w:rsid w:val="002649BD"/>
    <w:rPr>
      <w:vertAlign w:val="superscript"/>
    </w:rPr>
  </w:style>
  <w:style w:type="paragraph" w:styleId="NormaleWeb">
    <w:name w:val="Normal (Web)"/>
    <w:basedOn w:val="Normale"/>
    <w:uiPriority w:val="99"/>
    <w:semiHidden/>
    <w:unhideWhenUsed/>
    <w:rsid w:val="005708BF"/>
    <w:rPr>
      <w:rFonts w:cs="Times New Roman"/>
      <w:szCs w:val="24"/>
    </w:rPr>
  </w:style>
  <w:style w:type="character" w:styleId="Menzionenonrisolta">
    <w:name w:val="Unresolved Mention"/>
    <w:basedOn w:val="Carpredefinitoparagrafo"/>
    <w:uiPriority w:val="99"/>
    <w:semiHidden/>
    <w:unhideWhenUsed/>
    <w:rsid w:val="005708BF"/>
    <w:rPr>
      <w:color w:val="605E5C"/>
      <w:shd w:val="clear" w:color="auto" w:fill="E1DFDD"/>
    </w:rPr>
  </w:style>
  <w:style w:type="paragraph" w:styleId="Intestazione">
    <w:name w:val="header"/>
    <w:basedOn w:val="Normale"/>
    <w:link w:val="IntestazioneCarattere"/>
    <w:uiPriority w:val="99"/>
    <w:unhideWhenUsed/>
    <w:rsid w:val="00AC75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75E0"/>
    <w:rPr>
      <w:rFonts w:ascii="Times New Roman" w:hAnsi="Times New Roman"/>
      <w:sz w:val="24"/>
    </w:rPr>
  </w:style>
  <w:style w:type="paragraph" w:styleId="Pidipagina">
    <w:name w:val="footer"/>
    <w:basedOn w:val="Normale"/>
    <w:link w:val="PidipaginaCarattere"/>
    <w:uiPriority w:val="99"/>
    <w:unhideWhenUsed/>
    <w:rsid w:val="00AC75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75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499">
      <w:bodyDiv w:val="1"/>
      <w:marLeft w:val="0"/>
      <w:marRight w:val="0"/>
      <w:marTop w:val="0"/>
      <w:marBottom w:val="0"/>
      <w:divBdr>
        <w:top w:val="none" w:sz="0" w:space="0" w:color="auto"/>
        <w:left w:val="none" w:sz="0" w:space="0" w:color="auto"/>
        <w:bottom w:val="none" w:sz="0" w:space="0" w:color="auto"/>
        <w:right w:val="none" w:sz="0" w:space="0" w:color="auto"/>
      </w:divBdr>
      <w:divsChild>
        <w:div w:id="880476222">
          <w:marLeft w:val="0"/>
          <w:marRight w:val="0"/>
          <w:marTop w:val="0"/>
          <w:marBottom w:val="0"/>
          <w:divBdr>
            <w:top w:val="none" w:sz="0" w:space="0" w:color="auto"/>
            <w:left w:val="none" w:sz="0" w:space="0" w:color="auto"/>
            <w:bottom w:val="none" w:sz="0" w:space="0" w:color="auto"/>
            <w:right w:val="none" w:sz="0" w:space="0" w:color="auto"/>
          </w:divBdr>
        </w:div>
        <w:div w:id="1064598156">
          <w:marLeft w:val="0"/>
          <w:marRight w:val="0"/>
          <w:marTop w:val="0"/>
          <w:marBottom w:val="0"/>
          <w:divBdr>
            <w:top w:val="none" w:sz="0" w:space="0" w:color="auto"/>
            <w:left w:val="none" w:sz="0" w:space="0" w:color="auto"/>
            <w:bottom w:val="none" w:sz="0" w:space="0" w:color="auto"/>
            <w:right w:val="none" w:sz="0" w:space="0" w:color="auto"/>
          </w:divBdr>
        </w:div>
      </w:divsChild>
    </w:div>
    <w:div w:id="102767220">
      <w:bodyDiv w:val="1"/>
      <w:marLeft w:val="0"/>
      <w:marRight w:val="0"/>
      <w:marTop w:val="0"/>
      <w:marBottom w:val="0"/>
      <w:divBdr>
        <w:top w:val="none" w:sz="0" w:space="0" w:color="auto"/>
        <w:left w:val="none" w:sz="0" w:space="0" w:color="auto"/>
        <w:bottom w:val="none" w:sz="0" w:space="0" w:color="auto"/>
        <w:right w:val="none" w:sz="0" w:space="0" w:color="auto"/>
      </w:divBdr>
    </w:div>
    <w:div w:id="135993719">
      <w:bodyDiv w:val="1"/>
      <w:marLeft w:val="0"/>
      <w:marRight w:val="0"/>
      <w:marTop w:val="0"/>
      <w:marBottom w:val="0"/>
      <w:divBdr>
        <w:top w:val="none" w:sz="0" w:space="0" w:color="auto"/>
        <w:left w:val="none" w:sz="0" w:space="0" w:color="auto"/>
        <w:bottom w:val="none" w:sz="0" w:space="0" w:color="auto"/>
        <w:right w:val="none" w:sz="0" w:space="0" w:color="auto"/>
      </w:divBdr>
    </w:div>
    <w:div w:id="223952887">
      <w:bodyDiv w:val="1"/>
      <w:marLeft w:val="0"/>
      <w:marRight w:val="0"/>
      <w:marTop w:val="0"/>
      <w:marBottom w:val="0"/>
      <w:divBdr>
        <w:top w:val="none" w:sz="0" w:space="0" w:color="auto"/>
        <w:left w:val="none" w:sz="0" w:space="0" w:color="auto"/>
        <w:bottom w:val="none" w:sz="0" w:space="0" w:color="auto"/>
        <w:right w:val="none" w:sz="0" w:space="0" w:color="auto"/>
      </w:divBdr>
    </w:div>
    <w:div w:id="385182831">
      <w:bodyDiv w:val="1"/>
      <w:marLeft w:val="0"/>
      <w:marRight w:val="0"/>
      <w:marTop w:val="0"/>
      <w:marBottom w:val="0"/>
      <w:divBdr>
        <w:top w:val="none" w:sz="0" w:space="0" w:color="auto"/>
        <w:left w:val="none" w:sz="0" w:space="0" w:color="auto"/>
        <w:bottom w:val="none" w:sz="0" w:space="0" w:color="auto"/>
        <w:right w:val="none" w:sz="0" w:space="0" w:color="auto"/>
      </w:divBdr>
    </w:div>
    <w:div w:id="409347108">
      <w:bodyDiv w:val="1"/>
      <w:marLeft w:val="0"/>
      <w:marRight w:val="0"/>
      <w:marTop w:val="0"/>
      <w:marBottom w:val="0"/>
      <w:divBdr>
        <w:top w:val="none" w:sz="0" w:space="0" w:color="auto"/>
        <w:left w:val="none" w:sz="0" w:space="0" w:color="auto"/>
        <w:bottom w:val="none" w:sz="0" w:space="0" w:color="auto"/>
        <w:right w:val="none" w:sz="0" w:space="0" w:color="auto"/>
      </w:divBdr>
    </w:div>
    <w:div w:id="419983817">
      <w:bodyDiv w:val="1"/>
      <w:marLeft w:val="0"/>
      <w:marRight w:val="0"/>
      <w:marTop w:val="0"/>
      <w:marBottom w:val="0"/>
      <w:divBdr>
        <w:top w:val="none" w:sz="0" w:space="0" w:color="auto"/>
        <w:left w:val="none" w:sz="0" w:space="0" w:color="auto"/>
        <w:bottom w:val="none" w:sz="0" w:space="0" w:color="auto"/>
        <w:right w:val="none" w:sz="0" w:space="0" w:color="auto"/>
      </w:divBdr>
      <w:divsChild>
        <w:div w:id="1602184227">
          <w:marLeft w:val="0"/>
          <w:marRight w:val="0"/>
          <w:marTop w:val="0"/>
          <w:marBottom w:val="0"/>
          <w:divBdr>
            <w:top w:val="none" w:sz="0" w:space="0" w:color="auto"/>
            <w:left w:val="none" w:sz="0" w:space="0" w:color="auto"/>
            <w:bottom w:val="none" w:sz="0" w:space="0" w:color="auto"/>
            <w:right w:val="none" w:sz="0" w:space="0" w:color="auto"/>
          </w:divBdr>
        </w:div>
        <w:div w:id="863055796">
          <w:marLeft w:val="0"/>
          <w:marRight w:val="0"/>
          <w:marTop w:val="0"/>
          <w:marBottom w:val="0"/>
          <w:divBdr>
            <w:top w:val="none" w:sz="0" w:space="0" w:color="auto"/>
            <w:left w:val="none" w:sz="0" w:space="0" w:color="auto"/>
            <w:bottom w:val="none" w:sz="0" w:space="0" w:color="auto"/>
            <w:right w:val="none" w:sz="0" w:space="0" w:color="auto"/>
          </w:divBdr>
        </w:div>
        <w:div w:id="655187089">
          <w:marLeft w:val="0"/>
          <w:marRight w:val="0"/>
          <w:marTop w:val="0"/>
          <w:marBottom w:val="0"/>
          <w:divBdr>
            <w:top w:val="none" w:sz="0" w:space="0" w:color="auto"/>
            <w:left w:val="none" w:sz="0" w:space="0" w:color="auto"/>
            <w:bottom w:val="none" w:sz="0" w:space="0" w:color="auto"/>
            <w:right w:val="none" w:sz="0" w:space="0" w:color="auto"/>
          </w:divBdr>
        </w:div>
        <w:div w:id="1087920745">
          <w:marLeft w:val="0"/>
          <w:marRight w:val="0"/>
          <w:marTop w:val="0"/>
          <w:marBottom w:val="0"/>
          <w:divBdr>
            <w:top w:val="none" w:sz="0" w:space="0" w:color="auto"/>
            <w:left w:val="none" w:sz="0" w:space="0" w:color="auto"/>
            <w:bottom w:val="none" w:sz="0" w:space="0" w:color="auto"/>
            <w:right w:val="none" w:sz="0" w:space="0" w:color="auto"/>
          </w:divBdr>
        </w:div>
        <w:div w:id="368604615">
          <w:marLeft w:val="0"/>
          <w:marRight w:val="0"/>
          <w:marTop w:val="0"/>
          <w:marBottom w:val="0"/>
          <w:divBdr>
            <w:top w:val="none" w:sz="0" w:space="0" w:color="auto"/>
            <w:left w:val="none" w:sz="0" w:space="0" w:color="auto"/>
            <w:bottom w:val="none" w:sz="0" w:space="0" w:color="auto"/>
            <w:right w:val="none" w:sz="0" w:space="0" w:color="auto"/>
          </w:divBdr>
        </w:div>
        <w:div w:id="205608103">
          <w:marLeft w:val="0"/>
          <w:marRight w:val="0"/>
          <w:marTop w:val="0"/>
          <w:marBottom w:val="0"/>
          <w:divBdr>
            <w:top w:val="none" w:sz="0" w:space="0" w:color="auto"/>
            <w:left w:val="none" w:sz="0" w:space="0" w:color="auto"/>
            <w:bottom w:val="none" w:sz="0" w:space="0" w:color="auto"/>
            <w:right w:val="none" w:sz="0" w:space="0" w:color="auto"/>
          </w:divBdr>
        </w:div>
        <w:div w:id="538250844">
          <w:marLeft w:val="0"/>
          <w:marRight w:val="0"/>
          <w:marTop w:val="0"/>
          <w:marBottom w:val="0"/>
          <w:divBdr>
            <w:top w:val="none" w:sz="0" w:space="0" w:color="auto"/>
            <w:left w:val="none" w:sz="0" w:space="0" w:color="auto"/>
            <w:bottom w:val="none" w:sz="0" w:space="0" w:color="auto"/>
            <w:right w:val="none" w:sz="0" w:space="0" w:color="auto"/>
          </w:divBdr>
        </w:div>
        <w:div w:id="1600333206">
          <w:marLeft w:val="0"/>
          <w:marRight w:val="0"/>
          <w:marTop w:val="0"/>
          <w:marBottom w:val="0"/>
          <w:divBdr>
            <w:top w:val="none" w:sz="0" w:space="0" w:color="auto"/>
            <w:left w:val="none" w:sz="0" w:space="0" w:color="auto"/>
            <w:bottom w:val="none" w:sz="0" w:space="0" w:color="auto"/>
            <w:right w:val="none" w:sz="0" w:space="0" w:color="auto"/>
          </w:divBdr>
        </w:div>
        <w:div w:id="1812668547">
          <w:marLeft w:val="0"/>
          <w:marRight w:val="0"/>
          <w:marTop w:val="0"/>
          <w:marBottom w:val="0"/>
          <w:divBdr>
            <w:top w:val="none" w:sz="0" w:space="0" w:color="auto"/>
            <w:left w:val="none" w:sz="0" w:space="0" w:color="auto"/>
            <w:bottom w:val="none" w:sz="0" w:space="0" w:color="auto"/>
            <w:right w:val="none" w:sz="0" w:space="0" w:color="auto"/>
          </w:divBdr>
        </w:div>
        <w:div w:id="1421951261">
          <w:marLeft w:val="0"/>
          <w:marRight w:val="0"/>
          <w:marTop w:val="0"/>
          <w:marBottom w:val="0"/>
          <w:divBdr>
            <w:top w:val="none" w:sz="0" w:space="0" w:color="auto"/>
            <w:left w:val="none" w:sz="0" w:space="0" w:color="auto"/>
            <w:bottom w:val="none" w:sz="0" w:space="0" w:color="auto"/>
            <w:right w:val="none" w:sz="0" w:space="0" w:color="auto"/>
          </w:divBdr>
        </w:div>
      </w:divsChild>
    </w:div>
    <w:div w:id="487020078">
      <w:bodyDiv w:val="1"/>
      <w:marLeft w:val="0"/>
      <w:marRight w:val="0"/>
      <w:marTop w:val="0"/>
      <w:marBottom w:val="0"/>
      <w:divBdr>
        <w:top w:val="none" w:sz="0" w:space="0" w:color="auto"/>
        <w:left w:val="none" w:sz="0" w:space="0" w:color="auto"/>
        <w:bottom w:val="none" w:sz="0" w:space="0" w:color="auto"/>
        <w:right w:val="none" w:sz="0" w:space="0" w:color="auto"/>
      </w:divBdr>
    </w:div>
    <w:div w:id="488980674">
      <w:bodyDiv w:val="1"/>
      <w:marLeft w:val="0"/>
      <w:marRight w:val="0"/>
      <w:marTop w:val="0"/>
      <w:marBottom w:val="0"/>
      <w:divBdr>
        <w:top w:val="none" w:sz="0" w:space="0" w:color="auto"/>
        <w:left w:val="none" w:sz="0" w:space="0" w:color="auto"/>
        <w:bottom w:val="none" w:sz="0" w:space="0" w:color="auto"/>
        <w:right w:val="none" w:sz="0" w:space="0" w:color="auto"/>
      </w:divBdr>
    </w:div>
    <w:div w:id="508253072">
      <w:bodyDiv w:val="1"/>
      <w:marLeft w:val="0"/>
      <w:marRight w:val="0"/>
      <w:marTop w:val="0"/>
      <w:marBottom w:val="0"/>
      <w:divBdr>
        <w:top w:val="none" w:sz="0" w:space="0" w:color="auto"/>
        <w:left w:val="none" w:sz="0" w:space="0" w:color="auto"/>
        <w:bottom w:val="none" w:sz="0" w:space="0" w:color="auto"/>
        <w:right w:val="none" w:sz="0" w:space="0" w:color="auto"/>
      </w:divBdr>
      <w:divsChild>
        <w:div w:id="809636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39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1228010">
      <w:bodyDiv w:val="1"/>
      <w:marLeft w:val="0"/>
      <w:marRight w:val="0"/>
      <w:marTop w:val="0"/>
      <w:marBottom w:val="0"/>
      <w:divBdr>
        <w:top w:val="none" w:sz="0" w:space="0" w:color="auto"/>
        <w:left w:val="none" w:sz="0" w:space="0" w:color="auto"/>
        <w:bottom w:val="none" w:sz="0" w:space="0" w:color="auto"/>
        <w:right w:val="none" w:sz="0" w:space="0" w:color="auto"/>
      </w:divBdr>
    </w:div>
    <w:div w:id="773138666">
      <w:bodyDiv w:val="1"/>
      <w:marLeft w:val="0"/>
      <w:marRight w:val="0"/>
      <w:marTop w:val="0"/>
      <w:marBottom w:val="0"/>
      <w:divBdr>
        <w:top w:val="none" w:sz="0" w:space="0" w:color="auto"/>
        <w:left w:val="none" w:sz="0" w:space="0" w:color="auto"/>
        <w:bottom w:val="none" w:sz="0" w:space="0" w:color="auto"/>
        <w:right w:val="none" w:sz="0" w:space="0" w:color="auto"/>
      </w:divBdr>
    </w:div>
    <w:div w:id="803235429">
      <w:bodyDiv w:val="1"/>
      <w:marLeft w:val="0"/>
      <w:marRight w:val="0"/>
      <w:marTop w:val="0"/>
      <w:marBottom w:val="0"/>
      <w:divBdr>
        <w:top w:val="none" w:sz="0" w:space="0" w:color="auto"/>
        <w:left w:val="none" w:sz="0" w:space="0" w:color="auto"/>
        <w:bottom w:val="none" w:sz="0" w:space="0" w:color="auto"/>
        <w:right w:val="none" w:sz="0" w:space="0" w:color="auto"/>
      </w:divBdr>
    </w:div>
    <w:div w:id="857425375">
      <w:bodyDiv w:val="1"/>
      <w:marLeft w:val="0"/>
      <w:marRight w:val="0"/>
      <w:marTop w:val="0"/>
      <w:marBottom w:val="0"/>
      <w:divBdr>
        <w:top w:val="none" w:sz="0" w:space="0" w:color="auto"/>
        <w:left w:val="none" w:sz="0" w:space="0" w:color="auto"/>
        <w:bottom w:val="none" w:sz="0" w:space="0" w:color="auto"/>
        <w:right w:val="none" w:sz="0" w:space="0" w:color="auto"/>
      </w:divBdr>
    </w:div>
    <w:div w:id="915943734">
      <w:bodyDiv w:val="1"/>
      <w:marLeft w:val="0"/>
      <w:marRight w:val="0"/>
      <w:marTop w:val="0"/>
      <w:marBottom w:val="0"/>
      <w:divBdr>
        <w:top w:val="none" w:sz="0" w:space="0" w:color="auto"/>
        <w:left w:val="none" w:sz="0" w:space="0" w:color="auto"/>
        <w:bottom w:val="none" w:sz="0" w:space="0" w:color="auto"/>
        <w:right w:val="none" w:sz="0" w:space="0" w:color="auto"/>
      </w:divBdr>
      <w:divsChild>
        <w:div w:id="214534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443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352386">
      <w:bodyDiv w:val="1"/>
      <w:marLeft w:val="0"/>
      <w:marRight w:val="0"/>
      <w:marTop w:val="0"/>
      <w:marBottom w:val="0"/>
      <w:divBdr>
        <w:top w:val="none" w:sz="0" w:space="0" w:color="auto"/>
        <w:left w:val="none" w:sz="0" w:space="0" w:color="auto"/>
        <w:bottom w:val="none" w:sz="0" w:space="0" w:color="auto"/>
        <w:right w:val="none" w:sz="0" w:space="0" w:color="auto"/>
      </w:divBdr>
      <w:divsChild>
        <w:div w:id="1951351241">
          <w:marLeft w:val="0"/>
          <w:marRight w:val="0"/>
          <w:marTop w:val="0"/>
          <w:marBottom w:val="0"/>
          <w:divBdr>
            <w:top w:val="none" w:sz="0" w:space="0" w:color="auto"/>
            <w:left w:val="none" w:sz="0" w:space="0" w:color="auto"/>
            <w:bottom w:val="none" w:sz="0" w:space="0" w:color="auto"/>
            <w:right w:val="none" w:sz="0" w:space="0" w:color="auto"/>
          </w:divBdr>
        </w:div>
        <w:div w:id="1589802234">
          <w:marLeft w:val="0"/>
          <w:marRight w:val="0"/>
          <w:marTop w:val="0"/>
          <w:marBottom w:val="0"/>
          <w:divBdr>
            <w:top w:val="none" w:sz="0" w:space="0" w:color="auto"/>
            <w:left w:val="none" w:sz="0" w:space="0" w:color="auto"/>
            <w:bottom w:val="none" w:sz="0" w:space="0" w:color="auto"/>
            <w:right w:val="none" w:sz="0" w:space="0" w:color="auto"/>
          </w:divBdr>
        </w:div>
        <w:div w:id="1289387839">
          <w:marLeft w:val="0"/>
          <w:marRight w:val="0"/>
          <w:marTop w:val="0"/>
          <w:marBottom w:val="0"/>
          <w:divBdr>
            <w:top w:val="none" w:sz="0" w:space="0" w:color="auto"/>
            <w:left w:val="none" w:sz="0" w:space="0" w:color="auto"/>
            <w:bottom w:val="none" w:sz="0" w:space="0" w:color="auto"/>
            <w:right w:val="none" w:sz="0" w:space="0" w:color="auto"/>
          </w:divBdr>
        </w:div>
      </w:divsChild>
    </w:div>
    <w:div w:id="1111511360">
      <w:bodyDiv w:val="1"/>
      <w:marLeft w:val="0"/>
      <w:marRight w:val="0"/>
      <w:marTop w:val="0"/>
      <w:marBottom w:val="0"/>
      <w:divBdr>
        <w:top w:val="none" w:sz="0" w:space="0" w:color="auto"/>
        <w:left w:val="none" w:sz="0" w:space="0" w:color="auto"/>
        <w:bottom w:val="none" w:sz="0" w:space="0" w:color="auto"/>
        <w:right w:val="none" w:sz="0" w:space="0" w:color="auto"/>
      </w:divBdr>
    </w:div>
    <w:div w:id="1134559631">
      <w:bodyDiv w:val="1"/>
      <w:marLeft w:val="0"/>
      <w:marRight w:val="0"/>
      <w:marTop w:val="0"/>
      <w:marBottom w:val="0"/>
      <w:divBdr>
        <w:top w:val="none" w:sz="0" w:space="0" w:color="auto"/>
        <w:left w:val="none" w:sz="0" w:space="0" w:color="auto"/>
        <w:bottom w:val="none" w:sz="0" w:space="0" w:color="auto"/>
        <w:right w:val="none" w:sz="0" w:space="0" w:color="auto"/>
      </w:divBdr>
    </w:div>
    <w:div w:id="1187056431">
      <w:bodyDiv w:val="1"/>
      <w:marLeft w:val="0"/>
      <w:marRight w:val="0"/>
      <w:marTop w:val="0"/>
      <w:marBottom w:val="0"/>
      <w:divBdr>
        <w:top w:val="none" w:sz="0" w:space="0" w:color="auto"/>
        <w:left w:val="none" w:sz="0" w:space="0" w:color="auto"/>
        <w:bottom w:val="none" w:sz="0" w:space="0" w:color="auto"/>
        <w:right w:val="none" w:sz="0" w:space="0" w:color="auto"/>
      </w:divBdr>
    </w:div>
    <w:div w:id="1193766107">
      <w:bodyDiv w:val="1"/>
      <w:marLeft w:val="0"/>
      <w:marRight w:val="0"/>
      <w:marTop w:val="0"/>
      <w:marBottom w:val="0"/>
      <w:divBdr>
        <w:top w:val="none" w:sz="0" w:space="0" w:color="auto"/>
        <w:left w:val="none" w:sz="0" w:space="0" w:color="auto"/>
        <w:bottom w:val="none" w:sz="0" w:space="0" w:color="auto"/>
        <w:right w:val="none" w:sz="0" w:space="0" w:color="auto"/>
      </w:divBdr>
    </w:div>
    <w:div w:id="1262493823">
      <w:bodyDiv w:val="1"/>
      <w:marLeft w:val="0"/>
      <w:marRight w:val="0"/>
      <w:marTop w:val="0"/>
      <w:marBottom w:val="0"/>
      <w:divBdr>
        <w:top w:val="none" w:sz="0" w:space="0" w:color="auto"/>
        <w:left w:val="none" w:sz="0" w:space="0" w:color="auto"/>
        <w:bottom w:val="none" w:sz="0" w:space="0" w:color="auto"/>
        <w:right w:val="none" w:sz="0" w:space="0" w:color="auto"/>
      </w:divBdr>
    </w:div>
    <w:div w:id="1310329398">
      <w:bodyDiv w:val="1"/>
      <w:marLeft w:val="0"/>
      <w:marRight w:val="0"/>
      <w:marTop w:val="0"/>
      <w:marBottom w:val="0"/>
      <w:divBdr>
        <w:top w:val="none" w:sz="0" w:space="0" w:color="auto"/>
        <w:left w:val="none" w:sz="0" w:space="0" w:color="auto"/>
        <w:bottom w:val="none" w:sz="0" w:space="0" w:color="auto"/>
        <w:right w:val="none" w:sz="0" w:space="0" w:color="auto"/>
      </w:divBdr>
    </w:div>
    <w:div w:id="1345785100">
      <w:bodyDiv w:val="1"/>
      <w:marLeft w:val="0"/>
      <w:marRight w:val="0"/>
      <w:marTop w:val="0"/>
      <w:marBottom w:val="0"/>
      <w:divBdr>
        <w:top w:val="none" w:sz="0" w:space="0" w:color="auto"/>
        <w:left w:val="none" w:sz="0" w:space="0" w:color="auto"/>
        <w:bottom w:val="none" w:sz="0" w:space="0" w:color="auto"/>
        <w:right w:val="none" w:sz="0" w:space="0" w:color="auto"/>
      </w:divBdr>
    </w:div>
    <w:div w:id="1415738130">
      <w:bodyDiv w:val="1"/>
      <w:marLeft w:val="0"/>
      <w:marRight w:val="0"/>
      <w:marTop w:val="0"/>
      <w:marBottom w:val="0"/>
      <w:divBdr>
        <w:top w:val="none" w:sz="0" w:space="0" w:color="auto"/>
        <w:left w:val="none" w:sz="0" w:space="0" w:color="auto"/>
        <w:bottom w:val="none" w:sz="0" w:space="0" w:color="auto"/>
        <w:right w:val="none" w:sz="0" w:space="0" w:color="auto"/>
      </w:divBdr>
      <w:divsChild>
        <w:div w:id="1008557135">
          <w:marLeft w:val="0"/>
          <w:marRight w:val="0"/>
          <w:marTop w:val="0"/>
          <w:marBottom w:val="0"/>
          <w:divBdr>
            <w:top w:val="none" w:sz="0" w:space="0" w:color="auto"/>
            <w:left w:val="none" w:sz="0" w:space="0" w:color="auto"/>
            <w:bottom w:val="none" w:sz="0" w:space="0" w:color="auto"/>
            <w:right w:val="none" w:sz="0" w:space="0" w:color="auto"/>
          </w:divBdr>
        </w:div>
        <w:div w:id="1946962279">
          <w:marLeft w:val="0"/>
          <w:marRight w:val="0"/>
          <w:marTop w:val="0"/>
          <w:marBottom w:val="0"/>
          <w:divBdr>
            <w:top w:val="none" w:sz="0" w:space="0" w:color="auto"/>
            <w:left w:val="none" w:sz="0" w:space="0" w:color="auto"/>
            <w:bottom w:val="none" w:sz="0" w:space="0" w:color="auto"/>
            <w:right w:val="none" w:sz="0" w:space="0" w:color="auto"/>
          </w:divBdr>
        </w:div>
        <w:div w:id="77753137">
          <w:marLeft w:val="0"/>
          <w:marRight w:val="0"/>
          <w:marTop w:val="0"/>
          <w:marBottom w:val="0"/>
          <w:divBdr>
            <w:top w:val="none" w:sz="0" w:space="0" w:color="auto"/>
            <w:left w:val="none" w:sz="0" w:space="0" w:color="auto"/>
            <w:bottom w:val="none" w:sz="0" w:space="0" w:color="auto"/>
            <w:right w:val="none" w:sz="0" w:space="0" w:color="auto"/>
          </w:divBdr>
        </w:div>
      </w:divsChild>
    </w:div>
    <w:div w:id="1512640513">
      <w:bodyDiv w:val="1"/>
      <w:marLeft w:val="0"/>
      <w:marRight w:val="0"/>
      <w:marTop w:val="0"/>
      <w:marBottom w:val="0"/>
      <w:divBdr>
        <w:top w:val="none" w:sz="0" w:space="0" w:color="auto"/>
        <w:left w:val="none" w:sz="0" w:space="0" w:color="auto"/>
        <w:bottom w:val="none" w:sz="0" w:space="0" w:color="auto"/>
        <w:right w:val="none" w:sz="0" w:space="0" w:color="auto"/>
      </w:divBdr>
    </w:div>
    <w:div w:id="1548762050">
      <w:bodyDiv w:val="1"/>
      <w:marLeft w:val="0"/>
      <w:marRight w:val="0"/>
      <w:marTop w:val="0"/>
      <w:marBottom w:val="0"/>
      <w:divBdr>
        <w:top w:val="none" w:sz="0" w:space="0" w:color="auto"/>
        <w:left w:val="none" w:sz="0" w:space="0" w:color="auto"/>
        <w:bottom w:val="none" w:sz="0" w:space="0" w:color="auto"/>
        <w:right w:val="none" w:sz="0" w:space="0" w:color="auto"/>
      </w:divBdr>
      <w:divsChild>
        <w:div w:id="1235822266">
          <w:marLeft w:val="0"/>
          <w:marRight w:val="0"/>
          <w:marTop w:val="0"/>
          <w:marBottom w:val="0"/>
          <w:divBdr>
            <w:top w:val="none" w:sz="0" w:space="0" w:color="auto"/>
            <w:left w:val="none" w:sz="0" w:space="0" w:color="auto"/>
            <w:bottom w:val="none" w:sz="0" w:space="0" w:color="auto"/>
            <w:right w:val="none" w:sz="0" w:space="0" w:color="auto"/>
          </w:divBdr>
        </w:div>
        <w:div w:id="1331567499">
          <w:marLeft w:val="0"/>
          <w:marRight w:val="0"/>
          <w:marTop w:val="0"/>
          <w:marBottom w:val="0"/>
          <w:divBdr>
            <w:top w:val="none" w:sz="0" w:space="0" w:color="auto"/>
            <w:left w:val="none" w:sz="0" w:space="0" w:color="auto"/>
            <w:bottom w:val="none" w:sz="0" w:space="0" w:color="auto"/>
            <w:right w:val="none" w:sz="0" w:space="0" w:color="auto"/>
          </w:divBdr>
        </w:div>
        <w:div w:id="1019769970">
          <w:marLeft w:val="0"/>
          <w:marRight w:val="0"/>
          <w:marTop w:val="0"/>
          <w:marBottom w:val="0"/>
          <w:divBdr>
            <w:top w:val="none" w:sz="0" w:space="0" w:color="auto"/>
            <w:left w:val="none" w:sz="0" w:space="0" w:color="auto"/>
            <w:bottom w:val="none" w:sz="0" w:space="0" w:color="auto"/>
            <w:right w:val="none" w:sz="0" w:space="0" w:color="auto"/>
          </w:divBdr>
        </w:div>
      </w:divsChild>
    </w:div>
    <w:div w:id="1601796906">
      <w:bodyDiv w:val="1"/>
      <w:marLeft w:val="0"/>
      <w:marRight w:val="0"/>
      <w:marTop w:val="0"/>
      <w:marBottom w:val="0"/>
      <w:divBdr>
        <w:top w:val="none" w:sz="0" w:space="0" w:color="auto"/>
        <w:left w:val="none" w:sz="0" w:space="0" w:color="auto"/>
        <w:bottom w:val="none" w:sz="0" w:space="0" w:color="auto"/>
        <w:right w:val="none" w:sz="0" w:space="0" w:color="auto"/>
      </w:divBdr>
    </w:div>
    <w:div w:id="1638953648">
      <w:bodyDiv w:val="1"/>
      <w:marLeft w:val="0"/>
      <w:marRight w:val="0"/>
      <w:marTop w:val="0"/>
      <w:marBottom w:val="0"/>
      <w:divBdr>
        <w:top w:val="none" w:sz="0" w:space="0" w:color="auto"/>
        <w:left w:val="none" w:sz="0" w:space="0" w:color="auto"/>
        <w:bottom w:val="none" w:sz="0" w:space="0" w:color="auto"/>
        <w:right w:val="none" w:sz="0" w:space="0" w:color="auto"/>
      </w:divBdr>
    </w:div>
    <w:div w:id="1684551004">
      <w:bodyDiv w:val="1"/>
      <w:marLeft w:val="0"/>
      <w:marRight w:val="0"/>
      <w:marTop w:val="0"/>
      <w:marBottom w:val="0"/>
      <w:divBdr>
        <w:top w:val="none" w:sz="0" w:space="0" w:color="auto"/>
        <w:left w:val="none" w:sz="0" w:space="0" w:color="auto"/>
        <w:bottom w:val="none" w:sz="0" w:space="0" w:color="auto"/>
        <w:right w:val="none" w:sz="0" w:space="0" w:color="auto"/>
      </w:divBdr>
    </w:div>
    <w:div w:id="1722705780">
      <w:bodyDiv w:val="1"/>
      <w:marLeft w:val="0"/>
      <w:marRight w:val="0"/>
      <w:marTop w:val="0"/>
      <w:marBottom w:val="0"/>
      <w:divBdr>
        <w:top w:val="none" w:sz="0" w:space="0" w:color="auto"/>
        <w:left w:val="none" w:sz="0" w:space="0" w:color="auto"/>
        <w:bottom w:val="none" w:sz="0" w:space="0" w:color="auto"/>
        <w:right w:val="none" w:sz="0" w:space="0" w:color="auto"/>
      </w:divBdr>
      <w:divsChild>
        <w:div w:id="518931953">
          <w:marLeft w:val="0"/>
          <w:marRight w:val="0"/>
          <w:marTop w:val="0"/>
          <w:marBottom w:val="0"/>
          <w:divBdr>
            <w:top w:val="none" w:sz="0" w:space="0" w:color="auto"/>
            <w:left w:val="none" w:sz="0" w:space="0" w:color="auto"/>
            <w:bottom w:val="none" w:sz="0" w:space="0" w:color="auto"/>
            <w:right w:val="none" w:sz="0" w:space="0" w:color="auto"/>
          </w:divBdr>
        </w:div>
        <w:div w:id="1558004614">
          <w:marLeft w:val="0"/>
          <w:marRight w:val="0"/>
          <w:marTop w:val="0"/>
          <w:marBottom w:val="0"/>
          <w:divBdr>
            <w:top w:val="none" w:sz="0" w:space="0" w:color="auto"/>
            <w:left w:val="none" w:sz="0" w:space="0" w:color="auto"/>
            <w:bottom w:val="none" w:sz="0" w:space="0" w:color="auto"/>
            <w:right w:val="none" w:sz="0" w:space="0" w:color="auto"/>
          </w:divBdr>
        </w:div>
        <w:div w:id="2016958117">
          <w:marLeft w:val="0"/>
          <w:marRight w:val="0"/>
          <w:marTop w:val="0"/>
          <w:marBottom w:val="0"/>
          <w:divBdr>
            <w:top w:val="none" w:sz="0" w:space="0" w:color="auto"/>
            <w:left w:val="none" w:sz="0" w:space="0" w:color="auto"/>
            <w:bottom w:val="none" w:sz="0" w:space="0" w:color="auto"/>
            <w:right w:val="none" w:sz="0" w:space="0" w:color="auto"/>
          </w:divBdr>
        </w:div>
        <w:div w:id="215548802">
          <w:marLeft w:val="0"/>
          <w:marRight w:val="0"/>
          <w:marTop w:val="0"/>
          <w:marBottom w:val="0"/>
          <w:divBdr>
            <w:top w:val="none" w:sz="0" w:space="0" w:color="auto"/>
            <w:left w:val="none" w:sz="0" w:space="0" w:color="auto"/>
            <w:bottom w:val="none" w:sz="0" w:space="0" w:color="auto"/>
            <w:right w:val="none" w:sz="0" w:space="0" w:color="auto"/>
          </w:divBdr>
        </w:div>
        <w:div w:id="605430203">
          <w:marLeft w:val="0"/>
          <w:marRight w:val="0"/>
          <w:marTop w:val="0"/>
          <w:marBottom w:val="0"/>
          <w:divBdr>
            <w:top w:val="none" w:sz="0" w:space="0" w:color="auto"/>
            <w:left w:val="none" w:sz="0" w:space="0" w:color="auto"/>
            <w:bottom w:val="none" w:sz="0" w:space="0" w:color="auto"/>
            <w:right w:val="none" w:sz="0" w:space="0" w:color="auto"/>
          </w:divBdr>
        </w:div>
        <w:div w:id="110051815">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
        <w:div w:id="88622548">
          <w:marLeft w:val="0"/>
          <w:marRight w:val="0"/>
          <w:marTop w:val="0"/>
          <w:marBottom w:val="0"/>
          <w:divBdr>
            <w:top w:val="none" w:sz="0" w:space="0" w:color="auto"/>
            <w:left w:val="none" w:sz="0" w:space="0" w:color="auto"/>
            <w:bottom w:val="none" w:sz="0" w:space="0" w:color="auto"/>
            <w:right w:val="none" w:sz="0" w:space="0" w:color="auto"/>
          </w:divBdr>
        </w:div>
        <w:div w:id="1824856091">
          <w:marLeft w:val="0"/>
          <w:marRight w:val="0"/>
          <w:marTop w:val="0"/>
          <w:marBottom w:val="0"/>
          <w:divBdr>
            <w:top w:val="none" w:sz="0" w:space="0" w:color="auto"/>
            <w:left w:val="none" w:sz="0" w:space="0" w:color="auto"/>
            <w:bottom w:val="none" w:sz="0" w:space="0" w:color="auto"/>
            <w:right w:val="none" w:sz="0" w:space="0" w:color="auto"/>
          </w:divBdr>
        </w:div>
        <w:div w:id="1692024112">
          <w:marLeft w:val="0"/>
          <w:marRight w:val="0"/>
          <w:marTop w:val="0"/>
          <w:marBottom w:val="0"/>
          <w:divBdr>
            <w:top w:val="none" w:sz="0" w:space="0" w:color="auto"/>
            <w:left w:val="none" w:sz="0" w:space="0" w:color="auto"/>
            <w:bottom w:val="none" w:sz="0" w:space="0" w:color="auto"/>
            <w:right w:val="none" w:sz="0" w:space="0" w:color="auto"/>
          </w:divBdr>
        </w:div>
      </w:divsChild>
    </w:div>
    <w:div w:id="1726761046">
      <w:bodyDiv w:val="1"/>
      <w:marLeft w:val="0"/>
      <w:marRight w:val="0"/>
      <w:marTop w:val="0"/>
      <w:marBottom w:val="0"/>
      <w:divBdr>
        <w:top w:val="none" w:sz="0" w:space="0" w:color="auto"/>
        <w:left w:val="none" w:sz="0" w:space="0" w:color="auto"/>
        <w:bottom w:val="none" w:sz="0" w:space="0" w:color="auto"/>
        <w:right w:val="none" w:sz="0" w:space="0" w:color="auto"/>
      </w:divBdr>
    </w:div>
    <w:div w:id="1793278844">
      <w:bodyDiv w:val="1"/>
      <w:marLeft w:val="0"/>
      <w:marRight w:val="0"/>
      <w:marTop w:val="0"/>
      <w:marBottom w:val="0"/>
      <w:divBdr>
        <w:top w:val="none" w:sz="0" w:space="0" w:color="auto"/>
        <w:left w:val="none" w:sz="0" w:space="0" w:color="auto"/>
        <w:bottom w:val="none" w:sz="0" w:space="0" w:color="auto"/>
        <w:right w:val="none" w:sz="0" w:space="0" w:color="auto"/>
      </w:divBdr>
    </w:div>
    <w:div w:id="1862434301">
      <w:bodyDiv w:val="1"/>
      <w:marLeft w:val="0"/>
      <w:marRight w:val="0"/>
      <w:marTop w:val="0"/>
      <w:marBottom w:val="0"/>
      <w:divBdr>
        <w:top w:val="none" w:sz="0" w:space="0" w:color="auto"/>
        <w:left w:val="none" w:sz="0" w:space="0" w:color="auto"/>
        <w:bottom w:val="none" w:sz="0" w:space="0" w:color="auto"/>
        <w:right w:val="none" w:sz="0" w:space="0" w:color="auto"/>
      </w:divBdr>
    </w:div>
    <w:div w:id="1893804408">
      <w:bodyDiv w:val="1"/>
      <w:marLeft w:val="0"/>
      <w:marRight w:val="0"/>
      <w:marTop w:val="0"/>
      <w:marBottom w:val="0"/>
      <w:divBdr>
        <w:top w:val="none" w:sz="0" w:space="0" w:color="auto"/>
        <w:left w:val="none" w:sz="0" w:space="0" w:color="auto"/>
        <w:bottom w:val="none" w:sz="0" w:space="0" w:color="auto"/>
        <w:right w:val="none" w:sz="0" w:space="0" w:color="auto"/>
      </w:divBdr>
      <w:divsChild>
        <w:div w:id="1320186245">
          <w:marLeft w:val="0"/>
          <w:marRight w:val="0"/>
          <w:marTop w:val="0"/>
          <w:marBottom w:val="0"/>
          <w:divBdr>
            <w:top w:val="none" w:sz="0" w:space="0" w:color="auto"/>
            <w:left w:val="none" w:sz="0" w:space="0" w:color="auto"/>
            <w:bottom w:val="none" w:sz="0" w:space="0" w:color="auto"/>
            <w:right w:val="none" w:sz="0" w:space="0" w:color="auto"/>
          </w:divBdr>
        </w:div>
        <w:div w:id="495611156">
          <w:marLeft w:val="0"/>
          <w:marRight w:val="0"/>
          <w:marTop w:val="0"/>
          <w:marBottom w:val="0"/>
          <w:divBdr>
            <w:top w:val="none" w:sz="0" w:space="0" w:color="auto"/>
            <w:left w:val="none" w:sz="0" w:space="0" w:color="auto"/>
            <w:bottom w:val="none" w:sz="0" w:space="0" w:color="auto"/>
            <w:right w:val="none" w:sz="0" w:space="0" w:color="auto"/>
          </w:divBdr>
        </w:div>
        <w:div w:id="1247690065">
          <w:marLeft w:val="0"/>
          <w:marRight w:val="0"/>
          <w:marTop w:val="0"/>
          <w:marBottom w:val="0"/>
          <w:divBdr>
            <w:top w:val="none" w:sz="0" w:space="0" w:color="auto"/>
            <w:left w:val="none" w:sz="0" w:space="0" w:color="auto"/>
            <w:bottom w:val="none" w:sz="0" w:space="0" w:color="auto"/>
            <w:right w:val="none" w:sz="0" w:space="0" w:color="auto"/>
          </w:divBdr>
        </w:div>
      </w:divsChild>
    </w:div>
    <w:div w:id="1922368961">
      <w:bodyDiv w:val="1"/>
      <w:marLeft w:val="0"/>
      <w:marRight w:val="0"/>
      <w:marTop w:val="0"/>
      <w:marBottom w:val="0"/>
      <w:divBdr>
        <w:top w:val="none" w:sz="0" w:space="0" w:color="auto"/>
        <w:left w:val="none" w:sz="0" w:space="0" w:color="auto"/>
        <w:bottom w:val="none" w:sz="0" w:space="0" w:color="auto"/>
        <w:right w:val="none" w:sz="0" w:space="0" w:color="auto"/>
      </w:divBdr>
    </w:div>
    <w:div w:id="1941596629">
      <w:bodyDiv w:val="1"/>
      <w:marLeft w:val="0"/>
      <w:marRight w:val="0"/>
      <w:marTop w:val="0"/>
      <w:marBottom w:val="0"/>
      <w:divBdr>
        <w:top w:val="none" w:sz="0" w:space="0" w:color="auto"/>
        <w:left w:val="none" w:sz="0" w:space="0" w:color="auto"/>
        <w:bottom w:val="none" w:sz="0" w:space="0" w:color="auto"/>
        <w:right w:val="none" w:sz="0" w:space="0" w:color="auto"/>
      </w:divBdr>
    </w:div>
    <w:div w:id="2040811948">
      <w:bodyDiv w:val="1"/>
      <w:marLeft w:val="0"/>
      <w:marRight w:val="0"/>
      <w:marTop w:val="0"/>
      <w:marBottom w:val="0"/>
      <w:divBdr>
        <w:top w:val="none" w:sz="0" w:space="0" w:color="auto"/>
        <w:left w:val="none" w:sz="0" w:space="0" w:color="auto"/>
        <w:bottom w:val="none" w:sz="0" w:space="0" w:color="auto"/>
        <w:right w:val="none" w:sz="0" w:space="0" w:color="auto"/>
      </w:divBdr>
    </w:div>
    <w:div w:id="2041390996">
      <w:bodyDiv w:val="1"/>
      <w:marLeft w:val="0"/>
      <w:marRight w:val="0"/>
      <w:marTop w:val="0"/>
      <w:marBottom w:val="0"/>
      <w:divBdr>
        <w:top w:val="none" w:sz="0" w:space="0" w:color="auto"/>
        <w:left w:val="none" w:sz="0" w:space="0" w:color="auto"/>
        <w:bottom w:val="none" w:sz="0" w:space="0" w:color="auto"/>
        <w:right w:val="none" w:sz="0" w:space="0" w:color="auto"/>
      </w:divBdr>
    </w:div>
    <w:div w:id="2121144240">
      <w:bodyDiv w:val="1"/>
      <w:marLeft w:val="0"/>
      <w:marRight w:val="0"/>
      <w:marTop w:val="0"/>
      <w:marBottom w:val="0"/>
      <w:divBdr>
        <w:top w:val="none" w:sz="0" w:space="0" w:color="auto"/>
        <w:left w:val="none" w:sz="0" w:space="0" w:color="auto"/>
        <w:bottom w:val="none" w:sz="0" w:space="0" w:color="auto"/>
        <w:right w:val="none" w:sz="0" w:space="0" w:color="auto"/>
      </w:divBdr>
    </w:div>
    <w:div w:id="2124690254">
      <w:bodyDiv w:val="1"/>
      <w:marLeft w:val="0"/>
      <w:marRight w:val="0"/>
      <w:marTop w:val="0"/>
      <w:marBottom w:val="0"/>
      <w:divBdr>
        <w:top w:val="none" w:sz="0" w:space="0" w:color="auto"/>
        <w:left w:val="none" w:sz="0" w:space="0" w:color="auto"/>
        <w:bottom w:val="none" w:sz="0" w:space="0" w:color="auto"/>
        <w:right w:val="none" w:sz="0" w:space="0" w:color="auto"/>
      </w:divBdr>
      <w:divsChild>
        <w:div w:id="522600282">
          <w:marLeft w:val="0"/>
          <w:marRight w:val="0"/>
          <w:marTop w:val="0"/>
          <w:marBottom w:val="0"/>
          <w:divBdr>
            <w:top w:val="none" w:sz="0" w:space="0" w:color="auto"/>
            <w:left w:val="none" w:sz="0" w:space="0" w:color="auto"/>
            <w:bottom w:val="none" w:sz="0" w:space="0" w:color="auto"/>
            <w:right w:val="none" w:sz="0" w:space="0" w:color="auto"/>
          </w:divBdr>
        </w:div>
        <w:div w:id="2090537561">
          <w:marLeft w:val="0"/>
          <w:marRight w:val="0"/>
          <w:marTop w:val="0"/>
          <w:marBottom w:val="0"/>
          <w:divBdr>
            <w:top w:val="none" w:sz="0" w:space="0" w:color="auto"/>
            <w:left w:val="none" w:sz="0" w:space="0" w:color="auto"/>
            <w:bottom w:val="none" w:sz="0" w:space="0" w:color="auto"/>
            <w:right w:val="none" w:sz="0" w:space="0" w:color="auto"/>
          </w:divBdr>
        </w:div>
      </w:divsChild>
    </w:div>
    <w:div w:id="2134664403">
      <w:bodyDiv w:val="1"/>
      <w:marLeft w:val="0"/>
      <w:marRight w:val="0"/>
      <w:marTop w:val="0"/>
      <w:marBottom w:val="0"/>
      <w:divBdr>
        <w:top w:val="none" w:sz="0" w:space="0" w:color="auto"/>
        <w:left w:val="none" w:sz="0" w:space="0" w:color="auto"/>
        <w:bottom w:val="none" w:sz="0" w:space="0" w:color="auto"/>
        <w:right w:val="none" w:sz="0" w:space="0" w:color="auto"/>
      </w:divBdr>
    </w:div>
    <w:div w:id="2138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regolamento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anteprivacy.it/cod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03.safelinks.protection.outlook.com/?url=https%3A%2F%2Fmdp.giustizia-amministrativa.it%2Fvisualizza%2F%3FnodeRef%3D%26schema%3Dtar_pg%26nrg%3D202500213%26nomeFile%3D202500862_01.html%26subDir%3DProvvedimenti&amp;data=05%7C02%7Cn.durante%40giustizia-amministrativa.it%7C1add9002a16f419295a108de5ccdfe3d%7C97b4bfd6bcdd4685b50ab9a5f5cad280%7C0%7C0%7C639050236953829385%7CUnknown%7CTWFpbGZsb3d8eyJFbXB0eU1hcGkiOnRydWUsIlYiOiIwLjAuMDAwMCIsIlAiOiJXaW4zMiIsIkFOIjoiTWFpbCIsIldUIjoyfQ%3D%3D%7C0%7C%7C%7C&amp;sdata=UIFgkemEmh97twkKDTnq53Xkms8oiG9pC9QhfEJR5ZM%3D&amp;reserved=0" TargetMode="External"/><Relationship Id="rId1" Type="http://schemas.openxmlformats.org/officeDocument/2006/relationships/hyperlink" Target="https://www.garanteprivacy.it/regolamentou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5804-10CD-46FC-A2AB-4DF0779D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10</Pages>
  <Words>3054</Words>
  <Characters>17412</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COZZOLI Pamela</cp:lastModifiedBy>
  <cp:revision>185</cp:revision>
  <dcterms:created xsi:type="dcterms:W3CDTF">2026-01-19T06:52:00Z</dcterms:created>
  <dcterms:modified xsi:type="dcterms:W3CDTF">2026-04-08T12:09:00Z</dcterms:modified>
</cp:coreProperties>
</file>