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46719" w14:textId="3104C9B9" w:rsidR="00233073" w:rsidRPr="00417121" w:rsidRDefault="00626EA3" w:rsidP="00DE3B76">
      <w:pPr>
        <w:widowControl w:val="0"/>
        <w:adjustRightInd w:val="0"/>
        <w:snapToGrid w:val="0"/>
        <w:spacing w:after="0" w:line="260" w:lineRule="exact"/>
        <w:jc w:val="center"/>
        <w:rPr>
          <w:rFonts w:ascii="Simoncini Garamond" w:hAnsi="Simoncini Garamond" w:cs="Times New Roman"/>
          <w:b/>
          <w:bCs/>
        </w:rPr>
      </w:pPr>
      <w:r>
        <w:rPr>
          <w:rFonts w:ascii="Simoncini Garamond" w:hAnsi="Simoncini Garamond" w:cs="Times New Roman"/>
          <w:b/>
          <w:bCs/>
        </w:rPr>
        <w:t>Claudio CONTESSA - Paolo DE</w:t>
      </w:r>
      <w:r w:rsidR="003C5380">
        <w:rPr>
          <w:rFonts w:ascii="Simoncini Garamond" w:hAnsi="Simoncini Garamond" w:cs="Times New Roman"/>
          <w:b/>
          <w:bCs/>
        </w:rPr>
        <w:t>L</w:t>
      </w:r>
      <w:r>
        <w:rPr>
          <w:rFonts w:ascii="Simoncini Garamond" w:hAnsi="Simoncini Garamond" w:cs="Times New Roman"/>
          <w:b/>
          <w:bCs/>
        </w:rPr>
        <w:t xml:space="preserve"> VECCHIO</w:t>
      </w:r>
    </w:p>
    <w:p w14:paraId="0C21B479" w14:textId="77777777" w:rsidR="00D166D7" w:rsidRPr="00417121" w:rsidRDefault="00D166D7" w:rsidP="00DE3B76">
      <w:pPr>
        <w:widowControl w:val="0"/>
        <w:adjustRightInd w:val="0"/>
        <w:snapToGrid w:val="0"/>
        <w:spacing w:after="0" w:line="260" w:lineRule="exact"/>
        <w:jc w:val="center"/>
        <w:rPr>
          <w:rFonts w:ascii="Simoncini Garamond" w:hAnsi="Simoncini Garamond" w:cs="Times New Roman"/>
          <w:b/>
          <w:bCs/>
          <w:i/>
        </w:rPr>
      </w:pPr>
    </w:p>
    <w:p w14:paraId="5B74A231" w14:textId="77BEBD37" w:rsidR="009E41CF" w:rsidRPr="00417121" w:rsidRDefault="009E41CF" w:rsidP="009E41CF">
      <w:pPr>
        <w:widowControl w:val="0"/>
        <w:adjustRightInd w:val="0"/>
        <w:snapToGrid w:val="0"/>
        <w:spacing w:after="0" w:line="260" w:lineRule="exact"/>
        <w:jc w:val="center"/>
        <w:rPr>
          <w:rFonts w:ascii="Simoncini Garamond" w:hAnsi="Simoncini Garamond" w:cs="Times New Roman"/>
          <w:b/>
          <w:bCs/>
          <w:i/>
        </w:rPr>
      </w:pPr>
      <w:r w:rsidRPr="00417121">
        <w:rPr>
          <w:rFonts w:ascii="Simoncini Garamond" w:hAnsi="Simoncini Garamond" w:cs="Times New Roman"/>
          <w:b/>
          <w:bCs/>
          <w:i/>
        </w:rPr>
        <w:t xml:space="preserve">Il fenomeno degli influencer fra profili costituzionali </w:t>
      </w:r>
    </w:p>
    <w:p w14:paraId="2F43FE9A" w14:textId="0F7D46CA" w:rsidR="00233073" w:rsidRPr="00417121" w:rsidRDefault="009E41CF" w:rsidP="009E41CF">
      <w:pPr>
        <w:widowControl w:val="0"/>
        <w:adjustRightInd w:val="0"/>
        <w:snapToGrid w:val="0"/>
        <w:spacing w:after="0" w:line="260" w:lineRule="exact"/>
        <w:jc w:val="center"/>
        <w:rPr>
          <w:rFonts w:ascii="Simoncini Garamond" w:hAnsi="Simoncini Garamond" w:cs="Times New Roman"/>
          <w:b/>
          <w:bCs/>
          <w:i/>
        </w:rPr>
      </w:pPr>
      <w:r w:rsidRPr="00417121">
        <w:rPr>
          <w:rFonts w:ascii="Simoncini Garamond" w:hAnsi="Simoncini Garamond" w:cs="Times New Roman"/>
          <w:b/>
          <w:bCs/>
          <w:i/>
        </w:rPr>
        <w:t>e problematiche di inquadramento normativo</w:t>
      </w:r>
      <w:r w:rsidR="00530957">
        <w:rPr>
          <w:rFonts w:ascii="Simoncini Garamond" w:hAnsi="Simoncini Garamond" w:cs="Times New Roman"/>
          <w:b/>
          <w:bCs/>
          <w:i/>
        </w:rPr>
        <w:t xml:space="preserve"> (*)</w:t>
      </w:r>
    </w:p>
    <w:p w14:paraId="5E8B2F96" w14:textId="77777777" w:rsidR="00233073" w:rsidRPr="00417121" w:rsidRDefault="00233073" w:rsidP="00DE3B76">
      <w:pPr>
        <w:widowControl w:val="0"/>
        <w:adjustRightInd w:val="0"/>
        <w:snapToGrid w:val="0"/>
        <w:spacing w:after="0" w:line="260" w:lineRule="exact"/>
        <w:ind w:firstLine="340"/>
        <w:jc w:val="both"/>
        <w:rPr>
          <w:rFonts w:ascii="Simoncini Garamond" w:hAnsi="Simoncini Garamond" w:cs="Times New Roman"/>
          <w:i/>
        </w:rPr>
      </w:pPr>
    </w:p>
    <w:p w14:paraId="46EB70D0" w14:textId="77777777" w:rsidR="00233073" w:rsidRPr="00417121" w:rsidRDefault="00233073" w:rsidP="00DE3B76">
      <w:pPr>
        <w:widowControl w:val="0"/>
        <w:adjustRightInd w:val="0"/>
        <w:snapToGrid w:val="0"/>
        <w:spacing w:after="0" w:line="260" w:lineRule="exact"/>
        <w:ind w:firstLine="340"/>
        <w:jc w:val="both"/>
        <w:rPr>
          <w:rFonts w:ascii="Simoncini Garamond" w:hAnsi="Simoncini Garamond" w:cs="Times New Roman"/>
          <w:i/>
        </w:rPr>
      </w:pPr>
    </w:p>
    <w:p w14:paraId="4AD8605B" w14:textId="77777777" w:rsidR="00D166D7" w:rsidRPr="00417121" w:rsidRDefault="00D166D7" w:rsidP="00DE3B76">
      <w:pPr>
        <w:pStyle w:val="Default"/>
        <w:widowControl w:val="0"/>
        <w:snapToGrid w:val="0"/>
        <w:spacing w:line="260" w:lineRule="exact"/>
        <w:ind w:firstLine="340"/>
        <w:jc w:val="both"/>
        <w:rPr>
          <w:rFonts w:ascii="Simoncini Garamond" w:hAnsi="Simoncini Garamond" w:cs="Times New Roman"/>
          <w:bCs/>
          <w:iCs/>
          <w:color w:val="auto"/>
          <w:sz w:val="22"/>
          <w:szCs w:val="22"/>
        </w:rPr>
      </w:pPr>
    </w:p>
    <w:p w14:paraId="55AD125E" w14:textId="1D4843FB" w:rsidR="00D166D7" w:rsidRPr="00417121" w:rsidRDefault="00D166D7" w:rsidP="00672478">
      <w:pPr>
        <w:pStyle w:val="Default"/>
        <w:widowControl w:val="0"/>
        <w:snapToGrid w:val="0"/>
        <w:spacing w:line="260" w:lineRule="exact"/>
        <w:ind w:left="567" w:hanging="567"/>
        <w:jc w:val="both"/>
        <w:rPr>
          <w:rFonts w:ascii="Simoncini Garamond" w:hAnsi="Simoncini Garamond" w:cs="Times New Roman"/>
          <w:bCs/>
          <w:iCs/>
          <w:color w:val="auto"/>
          <w:sz w:val="22"/>
          <w:szCs w:val="22"/>
        </w:rPr>
      </w:pPr>
      <w:r w:rsidRPr="00417121">
        <w:rPr>
          <w:rFonts w:ascii="Simoncini Garamond" w:hAnsi="Simoncini Garamond" w:cs="Times New Roman"/>
          <w:bCs/>
          <w:iCs/>
          <w:smallCaps/>
          <w:color w:val="auto"/>
          <w:sz w:val="22"/>
          <w:szCs w:val="22"/>
        </w:rPr>
        <w:t>Sommario</w:t>
      </w:r>
      <w:r w:rsidRPr="00417121">
        <w:rPr>
          <w:rFonts w:ascii="Simoncini Garamond" w:hAnsi="Simoncini Garamond" w:cs="Times New Roman"/>
          <w:bCs/>
          <w:iCs/>
          <w:color w:val="auto"/>
          <w:sz w:val="22"/>
          <w:szCs w:val="22"/>
        </w:rPr>
        <w:t>: 1. Asp</w:t>
      </w:r>
      <w:r w:rsidR="009E41CF" w:rsidRPr="00417121">
        <w:rPr>
          <w:rFonts w:ascii="Simoncini Garamond" w:hAnsi="Simoncini Garamond" w:cs="Times New Roman"/>
          <w:bCs/>
          <w:iCs/>
          <w:color w:val="auto"/>
          <w:sz w:val="22"/>
          <w:szCs w:val="22"/>
        </w:rPr>
        <w:t>etti generali della questione</w:t>
      </w:r>
      <w:r w:rsidRPr="00417121">
        <w:rPr>
          <w:rFonts w:ascii="Simoncini Garamond" w:hAnsi="Simoncini Garamond" w:cs="Times New Roman"/>
          <w:bCs/>
          <w:iCs/>
          <w:color w:val="auto"/>
          <w:sz w:val="22"/>
          <w:szCs w:val="22"/>
        </w:rPr>
        <w:t>.</w:t>
      </w:r>
      <w:r w:rsidR="009E41CF" w:rsidRPr="00417121">
        <w:rPr>
          <w:rFonts w:ascii="Simoncini Garamond" w:hAnsi="Simoncini Garamond" w:cs="Times New Roman"/>
          <w:bCs/>
          <w:iCs/>
          <w:color w:val="auto"/>
          <w:sz w:val="22"/>
          <w:szCs w:val="22"/>
        </w:rPr>
        <w:t xml:space="preserve"> 2. La libera manifestazione del pensiero e le questioni poste dall'affermazione dei </w:t>
      </w:r>
      <w:r w:rsidR="009E41CF" w:rsidRPr="00417121">
        <w:rPr>
          <w:rFonts w:ascii="Simoncini Garamond" w:hAnsi="Simoncini Garamond" w:cs="Times New Roman"/>
          <w:bCs/>
          <w:i/>
          <w:color w:val="auto"/>
          <w:sz w:val="22"/>
          <w:szCs w:val="22"/>
        </w:rPr>
        <w:t>social media</w:t>
      </w:r>
      <w:r w:rsidR="009E41CF" w:rsidRPr="00417121">
        <w:rPr>
          <w:rFonts w:ascii="Simoncini Garamond" w:hAnsi="Simoncini Garamond" w:cs="Times New Roman"/>
          <w:bCs/>
          <w:iCs/>
          <w:color w:val="auto"/>
          <w:sz w:val="22"/>
          <w:szCs w:val="22"/>
        </w:rPr>
        <w:t>. 3.</w:t>
      </w:r>
      <w:r w:rsidR="0046252F" w:rsidRPr="00417121">
        <w:rPr>
          <w:rFonts w:ascii="Simoncini Garamond" w:hAnsi="Simoncini Garamond" w:cs="Times New Roman"/>
          <w:bCs/>
          <w:iCs/>
          <w:color w:val="auto"/>
          <w:sz w:val="22"/>
          <w:szCs w:val="22"/>
        </w:rPr>
        <w:t>1.</w:t>
      </w:r>
      <w:r w:rsidR="009E41CF" w:rsidRPr="00417121">
        <w:rPr>
          <w:rFonts w:ascii="Simoncini Garamond" w:hAnsi="Simoncini Garamond" w:cs="Times New Roman"/>
          <w:bCs/>
          <w:iCs/>
          <w:color w:val="auto"/>
          <w:sz w:val="22"/>
          <w:szCs w:val="22"/>
        </w:rPr>
        <w:t xml:space="preserve"> L'assenza allo stato di un puntuale inquadramento normativo</w:t>
      </w:r>
      <w:r w:rsidR="00672478" w:rsidRPr="00417121">
        <w:rPr>
          <w:rFonts w:ascii="Simoncini Garamond" w:hAnsi="Simoncini Garamond" w:cs="Times New Roman"/>
          <w:bCs/>
          <w:iCs/>
          <w:color w:val="auto"/>
          <w:sz w:val="22"/>
          <w:szCs w:val="22"/>
        </w:rPr>
        <w:t>: l'abito unionale..</w:t>
      </w:r>
      <w:r w:rsidR="009E41CF" w:rsidRPr="00417121">
        <w:rPr>
          <w:rFonts w:ascii="Simoncini Garamond" w:hAnsi="Simoncini Garamond" w:cs="Times New Roman"/>
          <w:bCs/>
          <w:iCs/>
          <w:color w:val="auto"/>
          <w:sz w:val="22"/>
          <w:szCs w:val="22"/>
        </w:rPr>
        <w:t xml:space="preserve">. </w:t>
      </w:r>
      <w:r w:rsidR="0046252F" w:rsidRPr="00417121">
        <w:rPr>
          <w:rFonts w:ascii="Simoncini Garamond" w:hAnsi="Simoncini Garamond" w:cs="Times New Roman"/>
          <w:bCs/>
          <w:iCs/>
          <w:color w:val="auto"/>
          <w:sz w:val="22"/>
          <w:szCs w:val="22"/>
        </w:rPr>
        <w:t>3.2 (segue) ..</w:t>
      </w:r>
      <w:r w:rsidR="008D4987" w:rsidRPr="00417121">
        <w:rPr>
          <w:rFonts w:ascii="Simoncini Garamond" w:hAnsi="Simoncini Garamond" w:cs="Times New Roman"/>
          <w:bCs/>
          <w:iCs/>
          <w:color w:val="auto"/>
          <w:sz w:val="22"/>
          <w:szCs w:val="22"/>
        </w:rPr>
        <w:t>.</w:t>
      </w:r>
      <w:r w:rsidR="0046252F" w:rsidRPr="00417121">
        <w:rPr>
          <w:rFonts w:ascii="Simoncini Garamond" w:hAnsi="Simoncini Garamond" w:cs="Times New Roman"/>
          <w:bCs/>
          <w:iCs/>
          <w:color w:val="auto"/>
          <w:sz w:val="22"/>
          <w:szCs w:val="22"/>
        </w:rPr>
        <w:t xml:space="preserve"> e quello nazionale.</w:t>
      </w:r>
      <w:r w:rsidR="008D4987" w:rsidRPr="00417121">
        <w:rPr>
          <w:rFonts w:ascii="Simoncini Garamond" w:hAnsi="Simoncini Garamond" w:cs="Times New Roman"/>
          <w:bCs/>
          <w:iCs/>
          <w:color w:val="auto"/>
          <w:sz w:val="22"/>
          <w:szCs w:val="22"/>
        </w:rPr>
        <w:t xml:space="preserve"> Alcuni tentativi settoriali di inquadramento: la questione dei servizi media audiovisivi e quella della qualificazione </w:t>
      </w:r>
      <w:r w:rsidR="003A6FF0" w:rsidRPr="00417121">
        <w:rPr>
          <w:rFonts w:ascii="Simoncini Garamond" w:hAnsi="Simoncini Garamond" w:cs="Times New Roman"/>
          <w:bCs/>
          <w:iCs/>
          <w:color w:val="auto"/>
          <w:sz w:val="22"/>
          <w:szCs w:val="22"/>
        </w:rPr>
        <w:t xml:space="preserve">ai fini </w:t>
      </w:r>
      <w:r w:rsidR="008D4987" w:rsidRPr="00417121">
        <w:rPr>
          <w:rFonts w:ascii="Simoncini Garamond" w:hAnsi="Simoncini Garamond" w:cs="Times New Roman"/>
          <w:bCs/>
          <w:iCs/>
          <w:color w:val="auto"/>
          <w:sz w:val="22"/>
          <w:szCs w:val="22"/>
        </w:rPr>
        <w:t>lavoristic</w:t>
      </w:r>
      <w:r w:rsidR="003A6FF0" w:rsidRPr="00417121">
        <w:rPr>
          <w:rFonts w:ascii="Simoncini Garamond" w:hAnsi="Simoncini Garamond" w:cs="Times New Roman"/>
          <w:bCs/>
          <w:iCs/>
          <w:color w:val="auto"/>
          <w:sz w:val="22"/>
          <w:szCs w:val="22"/>
        </w:rPr>
        <w:t>i</w:t>
      </w:r>
      <w:r w:rsidR="008D4987" w:rsidRPr="00417121">
        <w:rPr>
          <w:rFonts w:ascii="Simoncini Garamond" w:hAnsi="Simoncini Garamond" w:cs="Times New Roman"/>
          <w:bCs/>
          <w:iCs/>
          <w:color w:val="auto"/>
          <w:sz w:val="22"/>
          <w:szCs w:val="22"/>
        </w:rPr>
        <w:t xml:space="preserve">. </w:t>
      </w:r>
      <w:r w:rsidR="0046252F" w:rsidRPr="00417121">
        <w:rPr>
          <w:rFonts w:ascii="Simoncini Garamond" w:hAnsi="Simoncini Garamond" w:cs="Times New Roman"/>
          <w:bCs/>
          <w:iCs/>
          <w:color w:val="auto"/>
          <w:sz w:val="22"/>
          <w:szCs w:val="22"/>
        </w:rPr>
        <w:t>4</w:t>
      </w:r>
      <w:r w:rsidR="009E41CF" w:rsidRPr="00417121">
        <w:rPr>
          <w:rFonts w:ascii="Simoncini Garamond" w:hAnsi="Simoncini Garamond" w:cs="Times New Roman"/>
          <w:bCs/>
          <w:iCs/>
          <w:color w:val="auto"/>
          <w:sz w:val="22"/>
          <w:szCs w:val="22"/>
        </w:rPr>
        <w:t>. Conclusioni</w:t>
      </w:r>
    </w:p>
    <w:p w14:paraId="2E0A3E0A" w14:textId="7A9F8B9F" w:rsidR="00D166D7" w:rsidRPr="000279F3" w:rsidRDefault="00D166D7" w:rsidP="00DE3B76">
      <w:pPr>
        <w:pStyle w:val="Default"/>
        <w:widowControl w:val="0"/>
        <w:snapToGrid w:val="0"/>
        <w:spacing w:line="260" w:lineRule="exact"/>
        <w:ind w:firstLine="340"/>
        <w:jc w:val="both"/>
        <w:rPr>
          <w:rFonts w:ascii="Simoncini Garamond" w:hAnsi="Simoncini Garamond" w:cs="Times New Roman"/>
          <w:bCs/>
          <w:iCs/>
          <w:color w:val="auto"/>
          <w:sz w:val="16"/>
          <w:szCs w:val="16"/>
        </w:rPr>
      </w:pPr>
    </w:p>
    <w:p w14:paraId="55BC579C" w14:textId="66AD4A3B" w:rsidR="00D166D7" w:rsidRPr="00417121" w:rsidRDefault="00D166D7" w:rsidP="00DE3B76">
      <w:pPr>
        <w:pStyle w:val="Default"/>
        <w:widowControl w:val="0"/>
        <w:snapToGrid w:val="0"/>
        <w:spacing w:line="260" w:lineRule="exact"/>
        <w:ind w:firstLine="340"/>
        <w:jc w:val="both"/>
        <w:rPr>
          <w:rFonts w:ascii="Simoncini Garamond" w:hAnsi="Simoncini Garamond" w:cs="Times New Roman"/>
          <w:b/>
          <w:bCs/>
          <w:iCs/>
          <w:color w:val="auto"/>
          <w:sz w:val="22"/>
          <w:szCs w:val="22"/>
        </w:rPr>
      </w:pPr>
      <w:r w:rsidRPr="00417121">
        <w:rPr>
          <w:rFonts w:ascii="Simoncini Garamond" w:hAnsi="Simoncini Garamond" w:cs="Times New Roman"/>
          <w:b/>
          <w:bCs/>
          <w:iCs/>
          <w:color w:val="auto"/>
          <w:sz w:val="22"/>
          <w:szCs w:val="22"/>
        </w:rPr>
        <w:t>1. Aspetti generali della questione</w:t>
      </w:r>
    </w:p>
    <w:p w14:paraId="1E4B90E7" w14:textId="77777777" w:rsidR="00D166D7" w:rsidRPr="00417121" w:rsidRDefault="00D166D7" w:rsidP="00DE3B76">
      <w:pPr>
        <w:pStyle w:val="Default"/>
        <w:widowControl w:val="0"/>
        <w:snapToGrid w:val="0"/>
        <w:spacing w:line="260" w:lineRule="exact"/>
        <w:ind w:firstLine="340"/>
        <w:jc w:val="both"/>
        <w:rPr>
          <w:rFonts w:ascii="Simoncini Garamond" w:hAnsi="Simoncini Garamond" w:cs="Times New Roman"/>
          <w:bCs/>
          <w:iCs/>
          <w:color w:val="auto"/>
          <w:sz w:val="22"/>
          <w:szCs w:val="22"/>
        </w:rPr>
      </w:pPr>
    </w:p>
    <w:p w14:paraId="520AC4E7" w14:textId="2B79089E" w:rsidR="009E41CF" w:rsidRPr="00417121" w:rsidRDefault="00B3128C"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Il </w:t>
      </w:r>
      <w:r w:rsidR="00046296" w:rsidRPr="00417121">
        <w:rPr>
          <w:rFonts w:ascii="Simoncini Garamond" w:hAnsi="Simoncini Garamond" w:cs="Times New Roman"/>
          <w:bCs/>
          <w:iCs/>
          <w:color w:val="auto"/>
          <w:sz w:val="22"/>
          <w:szCs w:val="22"/>
        </w:rPr>
        <w:t xml:space="preserve">fenomeno degli </w:t>
      </w:r>
      <w:r w:rsidR="00046296" w:rsidRPr="00417121">
        <w:rPr>
          <w:rFonts w:ascii="Simoncini Garamond" w:hAnsi="Simoncini Garamond" w:cs="Times New Roman"/>
          <w:bCs/>
          <w:i/>
          <w:color w:val="auto"/>
          <w:sz w:val="22"/>
          <w:szCs w:val="22"/>
        </w:rPr>
        <w:t>influencer</w:t>
      </w:r>
      <w:r w:rsidR="00046296" w:rsidRPr="00417121">
        <w:rPr>
          <w:rFonts w:ascii="Simoncini Garamond" w:hAnsi="Simoncini Garamond" w:cs="Times New Roman"/>
          <w:bCs/>
          <w:iCs/>
          <w:color w:val="auto"/>
          <w:sz w:val="22"/>
          <w:szCs w:val="22"/>
        </w:rPr>
        <w:t xml:space="preserve"> (con le numerose implicazioni di carattere sociale, economico e tecnico che lo caratterizzano) è sorto e si è sviluppato al di fuori di una precisa </w:t>
      </w:r>
      <w:r w:rsidR="0072310C" w:rsidRPr="00417121">
        <w:rPr>
          <w:rFonts w:ascii="Simoncini Garamond" w:hAnsi="Simoncini Garamond" w:cs="Times New Roman"/>
          <w:bCs/>
          <w:iCs/>
          <w:color w:val="auto"/>
          <w:sz w:val="22"/>
          <w:szCs w:val="22"/>
        </w:rPr>
        <w:t>(</w:t>
      </w:r>
      <w:proofErr w:type="spellStart"/>
      <w:r w:rsidR="0072310C" w:rsidRPr="00417121">
        <w:rPr>
          <w:rFonts w:ascii="Simoncini Garamond" w:hAnsi="Simoncini Garamond" w:cs="Times New Roman"/>
          <w:bCs/>
          <w:i/>
          <w:color w:val="auto"/>
          <w:sz w:val="22"/>
          <w:szCs w:val="22"/>
        </w:rPr>
        <w:t>rectius</w:t>
      </w:r>
      <w:proofErr w:type="spellEnd"/>
      <w:r w:rsidR="0072310C" w:rsidRPr="00417121">
        <w:rPr>
          <w:rFonts w:ascii="Simoncini Garamond" w:hAnsi="Simoncini Garamond" w:cs="Times New Roman"/>
          <w:bCs/>
          <w:iCs/>
          <w:color w:val="auto"/>
          <w:sz w:val="22"/>
          <w:szCs w:val="22"/>
        </w:rPr>
        <w:t xml:space="preserve">: di una qualunque) </w:t>
      </w:r>
      <w:r w:rsidR="00046296" w:rsidRPr="00417121">
        <w:rPr>
          <w:rFonts w:ascii="Simoncini Garamond" w:hAnsi="Simoncini Garamond" w:cs="Times New Roman"/>
          <w:bCs/>
          <w:iCs/>
          <w:color w:val="auto"/>
          <w:sz w:val="22"/>
          <w:szCs w:val="22"/>
        </w:rPr>
        <w:t>cornice normativa di riferimento.</w:t>
      </w:r>
    </w:p>
    <w:p w14:paraId="3A2132CC" w14:textId="173D29B1" w:rsidR="00046296" w:rsidRPr="00417121" w:rsidRDefault="00046296"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Non si intende con ciò dire che il fenomeno sia </w:t>
      </w:r>
      <w:r w:rsidR="001A3726" w:rsidRPr="00417121">
        <w:rPr>
          <w:rFonts w:ascii="Simoncini Garamond" w:hAnsi="Simoncini Garamond" w:cs="Times New Roman"/>
          <w:bCs/>
          <w:iCs/>
          <w:color w:val="auto"/>
          <w:sz w:val="22"/>
          <w:szCs w:val="22"/>
        </w:rPr>
        <w:t>emers</w:t>
      </w:r>
      <w:r w:rsidRPr="00417121">
        <w:rPr>
          <w:rFonts w:ascii="Simoncini Garamond" w:hAnsi="Simoncini Garamond" w:cs="Times New Roman"/>
          <w:bCs/>
          <w:iCs/>
          <w:color w:val="auto"/>
          <w:sz w:val="22"/>
          <w:szCs w:val="22"/>
        </w:rPr>
        <w:t xml:space="preserve">o e </w:t>
      </w:r>
      <w:r w:rsidR="001A3726" w:rsidRPr="00417121">
        <w:rPr>
          <w:rFonts w:ascii="Simoncini Garamond" w:hAnsi="Simoncini Garamond" w:cs="Times New Roman"/>
          <w:bCs/>
          <w:iCs/>
          <w:color w:val="auto"/>
          <w:sz w:val="22"/>
          <w:szCs w:val="22"/>
        </w:rPr>
        <w:t xml:space="preserve">si sia </w:t>
      </w:r>
      <w:r w:rsidRPr="00417121">
        <w:rPr>
          <w:rFonts w:ascii="Simoncini Garamond" w:hAnsi="Simoncini Garamond" w:cs="Times New Roman"/>
          <w:bCs/>
          <w:iCs/>
          <w:color w:val="auto"/>
          <w:sz w:val="22"/>
          <w:szCs w:val="22"/>
        </w:rPr>
        <w:t xml:space="preserve">sviluppato al fine di sottrarsi </w:t>
      </w:r>
      <w:r w:rsidR="0072310C" w:rsidRPr="00417121">
        <w:rPr>
          <w:rFonts w:ascii="Simoncini Garamond" w:hAnsi="Simoncini Garamond" w:cs="Times New Roman"/>
          <w:bCs/>
          <w:iCs/>
          <w:color w:val="auto"/>
          <w:sz w:val="22"/>
          <w:szCs w:val="22"/>
        </w:rPr>
        <w:t xml:space="preserve">- </w:t>
      </w:r>
      <w:r w:rsidRPr="00417121">
        <w:rPr>
          <w:rFonts w:ascii="Simoncini Garamond" w:hAnsi="Simoncini Garamond" w:cs="Times New Roman"/>
          <w:bCs/>
          <w:iCs/>
          <w:color w:val="auto"/>
          <w:sz w:val="22"/>
          <w:szCs w:val="22"/>
        </w:rPr>
        <w:t>in modo più o meno consapevole</w:t>
      </w:r>
      <w:r w:rsidR="0072310C" w:rsidRPr="00417121">
        <w:rPr>
          <w:rFonts w:ascii="Simoncini Garamond" w:hAnsi="Simoncini Garamond" w:cs="Times New Roman"/>
          <w:bCs/>
          <w:iCs/>
          <w:color w:val="auto"/>
          <w:sz w:val="22"/>
          <w:szCs w:val="22"/>
        </w:rPr>
        <w:t xml:space="preserve"> -</w:t>
      </w:r>
      <w:r w:rsidRPr="00417121">
        <w:rPr>
          <w:rFonts w:ascii="Simoncini Garamond" w:hAnsi="Simoncini Garamond" w:cs="Times New Roman"/>
          <w:bCs/>
          <w:iCs/>
          <w:color w:val="auto"/>
          <w:sz w:val="22"/>
          <w:szCs w:val="22"/>
        </w:rPr>
        <w:t xml:space="preserve"> al tentativo di introdurre una regolamentazione del settore (come, ad esempio, quello dei servizi media e audiovisivi): più semplicemente esso è nato e si è inizialmente sviluppato prescindendo </w:t>
      </w:r>
      <w:r w:rsidRPr="00417121">
        <w:rPr>
          <w:rFonts w:ascii="Simoncini Garamond" w:hAnsi="Simoncini Garamond" w:cs="Times New Roman"/>
          <w:bCs/>
          <w:i/>
          <w:color w:val="auto"/>
          <w:sz w:val="22"/>
          <w:szCs w:val="22"/>
        </w:rPr>
        <w:t>tout-court</w:t>
      </w:r>
      <w:r w:rsidRPr="00417121">
        <w:rPr>
          <w:rFonts w:ascii="Simoncini Garamond" w:hAnsi="Simoncini Garamond" w:cs="Times New Roman"/>
          <w:bCs/>
          <w:iCs/>
          <w:color w:val="auto"/>
          <w:sz w:val="22"/>
          <w:szCs w:val="22"/>
        </w:rPr>
        <w:t xml:space="preserve"> da possibili relazioni con il mondo giuridico</w:t>
      </w:r>
      <w:r w:rsidR="0072310C" w:rsidRPr="00417121">
        <w:rPr>
          <w:rFonts w:ascii="Simoncini Garamond" w:hAnsi="Simoncini Garamond" w:cs="Times New Roman"/>
          <w:bCs/>
          <w:iCs/>
          <w:color w:val="auto"/>
          <w:sz w:val="22"/>
          <w:szCs w:val="22"/>
        </w:rPr>
        <w:t xml:space="preserve"> e le sue implicazioni</w:t>
      </w:r>
      <w:r w:rsidRPr="00417121">
        <w:rPr>
          <w:rFonts w:ascii="Simoncini Garamond" w:hAnsi="Simoncini Garamond" w:cs="Times New Roman"/>
          <w:bCs/>
          <w:iCs/>
          <w:color w:val="auto"/>
          <w:sz w:val="22"/>
          <w:szCs w:val="22"/>
        </w:rPr>
        <w:t>.</w:t>
      </w:r>
    </w:p>
    <w:p w14:paraId="1C09AFC0" w14:textId="6616C2D9" w:rsidR="00B1054B" w:rsidRPr="00417121" w:rsidRDefault="00A93198"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In realtà</w:t>
      </w:r>
      <w:r w:rsidR="00B1054B" w:rsidRPr="00417121">
        <w:rPr>
          <w:rFonts w:ascii="Simoncini Garamond" w:hAnsi="Simoncini Garamond" w:cs="Times New Roman"/>
          <w:bCs/>
          <w:iCs/>
          <w:color w:val="auto"/>
          <w:sz w:val="22"/>
          <w:szCs w:val="22"/>
        </w:rPr>
        <w:t xml:space="preserve">, il fenomeno in esame (al quale è dedicata l'intera Opera) è inizialmente sorto dalla </w:t>
      </w:r>
      <w:r w:rsidRPr="00417121">
        <w:rPr>
          <w:rFonts w:ascii="Simoncini Garamond" w:hAnsi="Simoncini Garamond" w:cs="Times New Roman"/>
          <w:bCs/>
          <w:iCs/>
          <w:color w:val="auto"/>
          <w:sz w:val="22"/>
          <w:szCs w:val="22"/>
        </w:rPr>
        <w:t xml:space="preserve">feconda </w:t>
      </w:r>
      <w:r w:rsidR="00B1054B" w:rsidRPr="00417121">
        <w:rPr>
          <w:rFonts w:ascii="Simoncini Garamond" w:hAnsi="Simoncini Garamond" w:cs="Times New Roman"/>
          <w:bCs/>
          <w:iCs/>
          <w:color w:val="auto"/>
          <w:sz w:val="22"/>
          <w:szCs w:val="22"/>
        </w:rPr>
        <w:t>combinazione fra la capacità divulgativa di alcuni individui particolarmente abili</w:t>
      </w:r>
      <w:r w:rsidR="001A3726" w:rsidRPr="00417121">
        <w:rPr>
          <w:rFonts w:ascii="Simoncini Garamond" w:hAnsi="Simoncini Garamond" w:cs="Times New Roman"/>
          <w:bCs/>
          <w:iCs/>
          <w:color w:val="auto"/>
          <w:sz w:val="22"/>
          <w:szCs w:val="22"/>
        </w:rPr>
        <w:t xml:space="preserve"> </w:t>
      </w:r>
      <w:r w:rsidR="00B1054B" w:rsidRPr="00417121">
        <w:rPr>
          <w:rFonts w:ascii="Simoncini Garamond" w:hAnsi="Simoncini Garamond" w:cs="Times New Roman"/>
          <w:bCs/>
          <w:iCs/>
          <w:color w:val="auto"/>
          <w:sz w:val="22"/>
          <w:szCs w:val="22"/>
        </w:rPr>
        <w:t>nella comunicazione e nella persuasione; l</w:t>
      </w:r>
      <w:r w:rsidR="002962B6" w:rsidRPr="00417121">
        <w:rPr>
          <w:rFonts w:ascii="Simoncini Garamond" w:hAnsi="Simoncini Garamond" w:cs="Times New Roman"/>
          <w:bCs/>
          <w:iCs/>
          <w:color w:val="auto"/>
          <w:sz w:val="22"/>
          <w:szCs w:val="22"/>
        </w:rPr>
        <w:t>e</w:t>
      </w:r>
      <w:r w:rsidR="00B1054B" w:rsidRPr="00417121">
        <w:rPr>
          <w:rFonts w:ascii="Simoncini Garamond" w:hAnsi="Simoncini Garamond" w:cs="Times New Roman"/>
          <w:bCs/>
          <w:iCs/>
          <w:color w:val="auto"/>
          <w:sz w:val="22"/>
          <w:szCs w:val="22"/>
        </w:rPr>
        <w:t xml:space="preserve"> potenzialità - sostanzialmente illimitat</w:t>
      </w:r>
      <w:r w:rsidR="002962B6" w:rsidRPr="00417121">
        <w:rPr>
          <w:rFonts w:ascii="Simoncini Garamond" w:hAnsi="Simoncini Garamond" w:cs="Times New Roman"/>
          <w:bCs/>
          <w:iCs/>
          <w:color w:val="auto"/>
          <w:sz w:val="22"/>
          <w:szCs w:val="22"/>
        </w:rPr>
        <w:t>e</w:t>
      </w:r>
      <w:r w:rsidR="00B1054B" w:rsidRPr="00417121">
        <w:rPr>
          <w:rFonts w:ascii="Simoncini Garamond" w:hAnsi="Simoncini Garamond" w:cs="Times New Roman"/>
          <w:bCs/>
          <w:iCs/>
          <w:color w:val="auto"/>
          <w:sz w:val="22"/>
          <w:szCs w:val="22"/>
        </w:rPr>
        <w:t xml:space="preserve"> - che i </w:t>
      </w:r>
      <w:r w:rsidR="00B1054B" w:rsidRPr="00417121">
        <w:rPr>
          <w:rFonts w:ascii="Simoncini Garamond" w:hAnsi="Simoncini Garamond" w:cs="Times New Roman"/>
          <w:bCs/>
          <w:i/>
          <w:color w:val="auto"/>
          <w:sz w:val="22"/>
          <w:szCs w:val="22"/>
        </w:rPr>
        <w:t>social media</w:t>
      </w:r>
      <w:r w:rsidR="00B1054B" w:rsidRPr="00417121">
        <w:rPr>
          <w:rFonts w:ascii="Simoncini Garamond" w:hAnsi="Simoncini Garamond" w:cs="Times New Roman"/>
          <w:bCs/>
          <w:iCs/>
          <w:color w:val="auto"/>
          <w:sz w:val="22"/>
          <w:szCs w:val="22"/>
        </w:rPr>
        <w:t xml:space="preserve"> offrono all'attività di diffusione di idee, messaggi e contenuti e, infine, l'intuizione di alcuni operatori economici che hanno compreso lo straordinario potenziale economico di tale combinazione e ne hanno intermediato e favorito lo sviluppo. </w:t>
      </w:r>
    </w:p>
    <w:p w14:paraId="53DAC3F3" w14:textId="3D8D2D19" w:rsidR="00B1054B" w:rsidRPr="00417121" w:rsidRDefault="00B1054B"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I risvolti giuridici del fenomeno sono emersi solo successivamente mentre è inizialmente mancato un qualunque quadro normativo di riferimento che avesse l'</w:t>
      </w:r>
      <w:r w:rsidR="00A93198" w:rsidRPr="00417121">
        <w:rPr>
          <w:rFonts w:ascii="Simoncini Garamond" w:hAnsi="Simoncini Garamond" w:cs="Times New Roman"/>
          <w:bCs/>
          <w:iCs/>
          <w:color w:val="auto"/>
          <w:sz w:val="22"/>
          <w:szCs w:val="22"/>
        </w:rPr>
        <w:t>obiettiv</w:t>
      </w:r>
      <w:r w:rsidRPr="00417121">
        <w:rPr>
          <w:rFonts w:ascii="Simoncini Garamond" w:hAnsi="Simoncini Garamond" w:cs="Times New Roman"/>
          <w:bCs/>
          <w:iCs/>
          <w:color w:val="auto"/>
          <w:sz w:val="22"/>
          <w:szCs w:val="22"/>
        </w:rPr>
        <w:t xml:space="preserve">o di definire, regolare, favorire o anche - all'opposto - </w:t>
      </w:r>
      <w:r w:rsidR="00A93198" w:rsidRPr="00417121">
        <w:rPr>
          <w:rFonts w:ascii="Simoncini Garamond" w:hAnsi="Simoncini Garamond" w:cs="Times New Roman"/>
          <w:bCs/>
          <w:iCs/>
          <w:color w:val="auto"/>
          <w:sz w:val="22"/>
          <w:szCs w:val="22"/>
        </w:rPr>
        <w:t xml:space="preserve">quello di </w:t>
      </w:r>
      <w:r w:rsidRPr="00417121">
        <w:rPr>
          <w:rFonts w:ascii="Simoncini Garamond" w:hAnsi="Simoncini Garamond" w:cs="Times New Roman"/>
          <w:bCs/>
          <w:iCs/>
          <w:color w:val="auto"/>
          <w:sz w:val="22"/>
          <w:szCs w:val="22"/>
        </w:rPr>
        <w:t>limitare</w:t>
      </w:r>
      <w:r w:rsidR="007E08CA" w:rsidRPr="00417121">
        <w:rPr>
          <w:rFonts w:ascii="Simoncini Garamond" w:hAnsi="Simoncini Garamond" w:cs="Times New Roman"/>
          <w:bCs/>
          <w:iCs/>
          <w:color w:val="auto"/>
          <w:sz w:val="22"/>
          <w:szCs w:val="22"/>
        </w:rPr>
        <w:t xml:space="preserve"> ovvero ostacolare il fenomeno</w:t>
      </w:r>
      <w:r w:rsidR="006B3534" w:rsidRPr="00417121">
        <w:rPr>
          <w:rStyle w:val="Rimandonotaapidipagina"/>
          <w:rFonts w:ascii="Simoncini Garamond" w:hAnsi="Simoncini Garamond" w:cs="Times New Roman"/>
          <w:bCs/>
          <w:iCs/>
          <w:color w:val="auto"/>
          <w:sz w:val="22"/>
          <w:szCs w:val="22"/>
        </w:rPr>
        <w:footnoteReference w:id="1"/>
      </w:r>
      <w:r w:rsidR="007E08CA" w:rsidRPr="00417121">
        <w:rPr>
          <w:rFonts w:ascii="Simoncini Garamond" w:hAnsi="Simoncini Garamond" w:cs="Times New Roman"/>
          <w:bCs/>
          <w:iCs/>
          <w:color w:val="auto"/>
          <w:sz w:val="22"/>
          <w:szCs w:val="22"/>
        </w:rPr>
        <w:t>.</w:t>
      </w:r>
    </w:p>
    <w:p w14:paraId="7C60F872" w14:textId="2566843C" w:rsidR="0085129D" w:rsidRPr="00417121" w:rsidRDefault="00046296"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lastRenderedPageBreak/>
        <w:t>Del resto, al pari di quanto accaduto</w:t>
      </w:r>
      <w:r w:rsidR="00A93198" w:rsidRPr="00417121">
        <w:rPr>
          <w:rFonts w:ascii="Simoncini Garamond" w:hAnsi="Simoncini Garamond" w:cs="Times New Roman"/>
          <w:bCs/>
          <w:iCs/>
          <w:color w:val="auto"/>
          <w:sz w:val="22"/>
          <w:szCs w:val="22"/>
        </w:rPr>
        <w:t xml:space="preserve"> per</w:t>
      </w:r>
      <w:r w:rsidRPr="00417121">
        <w:rPr>
          <w:rFonts w:ascii="Simoncini Garamond" w:hAnsi="Simoncini Garamond" w:cs="Times New Roman"/>
          <w:bCs/>
          <w:iCs/>
          <w:color w:val="auto"/>
          <w:sz w:val="22"/>
          <w:szCs w:val="22"/>
        </w:rPr>
        <w:t xml:space="preserve"> altri fenomeni resi possibili dalla vorticosa</w:t>
      </w:r>
      <w:r w:rsidR="002962B6" w:rsidRPr="00417121">
        <w:rPr>
          <w:rFonts w:ascii="Simoncini Garamond" w:hAnsi="Simoncini Garamond" w:cs="Times New Roman"/>
          <w:bCs/>
          <w:iCs/>
          <w:color w:val="auto"/>
          <w:sz w:val="22"/>
          <w:szCs w:val="22"/>
        </w:rPr>
        <w:t xml:space="preserve"> </w:t>
      </w:r>
      <w:r w:rsidRPr="00417121">
        <w:rPr>
          <w:rFonts w:ascii="Simoncini Garamond" w:hAnsi="Simoncini Garamond" w:cs="Times New Roman"/>
          <w:bCs/>
          <w:iCs/>
          <w:color w:val="auto"/>
          <w:sz w:val="22"/>
          <w:szCs w:val="22"/>
        </w:rPr>
        <w:t>evoluzione dei sistemi digitali, si manifesta anche in questo caso u</w:t>
      </w:r>
      <w:r w:rsidR="0085129D" w:rsidRPr="00417121">
        <w:rPr>
          <w:rFonts w:ascii="Simoncini Garamond" w:hAnsi="Simoncini Garamond" w:cs="Times New Roman"/>
          <w:bCs/>
          <w:iCs/>
          <w:color w:val="auto"/>
          <w:sz w:val="22"/>
          <w:szCs w:val="22"/>
        </w:rPr>
        <w:t>n</w:t>
      </w:r>
      <w:r w:rsidRPr="00417121">
        <w:rPr>
          <w:rFonts w:ascii="Simoncini Garamond" w:hAnsi="Simoncini Garamond" w:cs="Times New Roman"/>
          <w:bCs/>
          <w:iCs/>
          <w:color w:val="auto"/>
          <w:sz w:val="22"/>
          <w:szCs w:val="22"/>
        </w:rPr>
        <w:t xml:space="preserve">'accentuata difficoltà </w:t>
      </w:r>
      <w:r w:rsidR="0085129D" w:rsidRPr="00417121">
        <w:rPr>
          <w:rFonts w:ascii="Simoncini Garamond" w:hAnsi="Simoncini Garamond" w:cs="Times New Roman"/>
          <w:bCs/>
          <w:iCs/>
          <w:color w:val="auto"/>
          <w:sz w:val="22"/>
          <w:szCs w:val="22"/>
        </w:rPr>
        <w:t>ad applicare le tradizionali metodiche della regolazione di fonte pubblica a un fenomeno in costante evoluzione, tendenzialmente refrattario a qualunque aprioristica forma di definizione (prima ancora che di puntuale regolamentazione)</w:t>
      </w:r>
      <w:r w:rsidR="0034795D" w:rsidRPr="00417121">
        <w:rPr>
          <w:rStyle w:val="Rimandonotaapidipagina"/>
          <w:rFonts w:ascii="Simoncini Garamond" w:hAnsi="Simoncini Garamond" w:cs="Times New Roman"/>
          <w:bCs/>
          <w:iCs/>
          <w:color w:val="auto"/>
          <w:sz w:val="22"/>
          <w:szCs w:val="22"/>
        </w:rPr>
        <w:footnoteReference w:id="2"/>
      </w:r>
      <w:r w:rsidR="0085129D" w:rsidRPr="00417121">
        <w:rPr>
          <w:rFonts w:ascii="Simoncini Garamond" w:hAnsi="Simoncini Garamond" w:cs="Times New Roman"/>
          <w:bCs/>
          <w:iCs/>
          <w:color w:val="auto"/>
          <w:sz w:val="22"/>
          <w:szCs w:val="22"/>
        </w:rPr>
        <w:t>.</w:t>
      </w:r>
    </w:p>
    <w:p w14:paraId="10165872" w14:textId="082B8831" w:rsidR="00046296" w:rsidRPr="00417121" w:rsidRDefault="0085129D"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Anche in questo caso emerge </w:t>
      </w:r>
      <w:r w:rsidR="007E08CA" w:rsidRPr="00417121">
        <w:rPr>
          <w:rFonts w:ascii="Simoncini Garamond" w:hAnsi="Simoncini Garamond" w:cs="Times New Roman"/>
          <w:bCs/>
          <w:iCs/>
          <w:color w:val="auto"/>
          <w:sz w:val="22"/>
          <w:szCs w:val="22"/>
        </w:rPr>
        <w:t xml:space="preserve">infatti </w:t>
      </w:r>
      <w:r w:rsidRPr="00417121">
        <w:rPr>
          <w:rFonts w:ascii="Simoncini Garamond" w:hAnsi="Simoncini Garamond" w:cs="Times New Roman"/>
          <w:bCs/>
          <w:iCs/>
          <w:color w:val="auto"/>
          <w:sz w:val="22"/>
          <w:szCs w:val="22"/>
        </w:rPr>
        <w:t xml:space="preserve">la ricorrente (e forse, addirittura </w:t>
      </w:r>
      <w:r w:rsidRPr="00417121">
        <w:rPr>
          <w:rFonts w:ascii="Simoncini Garamond" w:hAnsi="Simoncini Garamond" w:cs="Times New Roman"/>
          <w:bCs/>
          <w:i/>
          <w:color w:val="auto"/>
          <w:sz w:val="22"/>
          <w:szCs w:val="22"/>
        </w:rPr>
        <w:t>strutturale</w:t>
      </w:r>
      <w:r w:rsidRPr="00417121">
        <w:rPr>
          <w:rFonts w:ascii="Simoncini Garamond" w:hAnsi="Simoncini Garamond" w:cs="Times New Roman"/>
          <w:bCs/>
          <w:iCs/>
          <w:color w:val="auto"/>
          <w:sz w:val="22"/>
          <w:szCs w:val="22"/>
        </w:rPr>
        <w:t xml:space="preserve">) difficoltà degli ordinari strumenti della regolazione pubblica - di fonte statale e non - a disciplinare un fenomeno la cui capacità di evoluzione e trasformazione si rivela assai più rapida anche del più </w:t>
      </w:r>
      <w:r w:rsidR="007E08CA" w:rsidRPr="00417121">
        <w:rPr>
          <w:rFonts w:ascii="Simoncini Garamond" w:hAnsi="Simoncini Garamond" w:cs="Times New Roman"/>
          <w:bCs/>
          <w:iCs/>
          <w:color w:val="auto"/>
          <w:sz w:val="22"/>
          <w:szCs w:val="22"/>
        </w:rPr>
        <w:t>consapevole</w:t>
      </w:r>
      <w:r w:rsidRPr="00417121">
        <w:rPr>
          <w:rFonts w:ascii="Simoncini Garamond" w:hAnsi="Simoncini Garamond" w:cs="Times New Roman"/>
          <w:bCs/>
          <w:iCs/>
          <w:color w:val="auto"/>
          <w:sz w:val="22"/>
          <w:szCs w:val="22"/>
        </w:rPr>
        <w:t xml:space="preserve"> e volenteroso </w:t>
      </w:r>
      <w:r w:rsidR="002962B6" w:rsidRPr="00417121">
        <w:rPr>
          <w:rFonts w:ascii="Simoncini Garamond" w:hAnsi="Simoncini Garamond" w:cs="Times New Roman"/>
          <w:bCs/>
          <w:iCs/>
          <w:color w:val="auto"/>
          <w:sz w:val="22"/>
          <w:szCs w:val="22"/>
        </w:rPr>
        <w:t xml:space="preserve">attrezzato </w:t>
      </w:r>
      <w:r w:rsidRPr="00417121">
        <w:rPr>
          <w:rFonts w:ascii="Simoncini Garamond" w:hAnsi="Simoncini Garamond" w:cs="Times New Roman"/>
          <w:bCs/>
          <w:iCs/>
          <w:color w:val="auto"/>
          <w:sz w:val="22"/>
          <w:szCs w:val="22"/>
        </w:rPr>
        <w:t>regolatore pubblico</w:t>
      </w:r>
      <w:r w:rsidR="00A93198" w:rsidRPr="00417121">
        <w:rPr>
          <w:rStyle w:val="Rimandonotaapidipagina"/>
          <w:rFonts w:ascii="Simoncini Garamond" w:hAnsi="Simoncini Garamond" w:cs="Times New Roman"/>
          <w:bCs/>
          <w:iCs/>
          <w:color w:val="auto"/>
          <w:sz w:val="22"/>
          <w:szCs w:val="22"/>
        </w:rPr>
        <w:footnoteReference w:id="3"/>
      </w:r>
      <w:r w:rsidRPr="00417121">
        <w:rPr>
          <w:rFonts w:ascii="Simoncini Garamond" w:hAnsi="Simoncini Garamond" w:cs="Times New Roman"/>
          <w:bCs/>
          <w:iCs/>
          <w:color w:val="auto"/>
          <w:sz w:val="22"/>
          <w:szCs w:val="22"/>
        </w:rPr>
        <w:t>.</w:t>
      </w:r>
    </w:p>
    <w:p w14:paraId="19E8CCB4" w14:textId="2C873024" w:rsidR="0085129D" w:rsidRPr="00417121" w:rsidRDefault="0085129D"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La sostanziale </w:t>
      </w:r>
      <w:r w:rsidRPr="00417121">
        <w:rPr>
          <w:rFonts w:ascii="Simoncini Garamond" w:hAnsi="Simoncini Garamond" w:cs="Times New Roman"/>
          <w:bCs/>
          <w:i/>
          <w:color w:val="auto"/>
          <w:sz w:val="22"/>
          <w:szCs w:val="22"/>
        </w:rPr>
        <w:t>inafferrabilità</w:t>
      </w:r>
      <w:r w:rsidRPr="00417121">
        <w:rPr>
          <w:rFonts w:ascii="Simoncini Garamond" w:hAnsi="Simoncini Garamond" w:cs="Times New Roman"/>
          <w:bCs/>
          <w:iCs/>
          <w:color w:val="auto"/>
          <w:sz w:val="22"/>
          <w:szCs w:val="22"/>
        </w:rPr>
        <w:t xml:space="preserve"> del fenomeno da parte dei tipici strumenti della regolazione di fonte pubblica ripropone in chiave moderna il noto paradosso di Zenone circa l'impossibilità per il regolatore (Achille) di raggiungere realmente l'obiettivo stesso della propria iniziativa (la tartaruga).</w:t>
      </w:r>
      <w:r w:rsidR="002962B6" w:rsidRPr="00417121">
        <w:rPr>
          <w:rFonts w:ascii="Simoncini Garamond" w:hAnsi="Simoncini Garamond" w:cs="Times New Roman"/>
          <w:bCs/>
          <w:iCs/>
          <w:color w:val="auto"/>
          <w:sz w:val="22"/>
          <w:szCs w:val="22"/>
        </w:rPr>
        <w:t xml:space="preserve"> Con l'ulteriore, evidente, notazione per cui, nella declinazione contemporanea di tale paradosso, è colui che insegue (il regolatore pubblico) a farlo a una velocità incomparabilmente inferiore rispetto all'obiettivo che si tenta di raggiungere (la realtà del mondo digitale).</w:t>
      </w:r>
    </w:p>
    <w:p w14:paraId="6F6CD814" w14:textId="775A5EFC" w:rsidR="0085129D" w:rsidRPr="00417121" w:rsidRDefault="0085129D"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Non è un caso, probabilmente, </w:t>
      </w:r>
      <w:r w:rsidR="001E4224" w:rsidRPr="00417121">
        <w:rPr>
          <w:rFonts w:ascii="Simoncini Garamond" w:hAnsi="Simoncini Garamond" w:cs="Times New Roman"/>
          <w:bCs/>
          <w:iCs/>
          <w:color w:val="auto"/>
          <w:sz w:val="22"/>
          <w:szCs w:val="22"/>
        </w:rPr>
        <w:t>s</w:t>
      </w:r>
      <w:r w:rsidRPr="00417121">
        <w:rPr>
          <w:rFonts w:ascii="Simoncini Garamond" w:hAnsi="Simoncini Garamond" w:cs="Times New Roman"/>
          <w:bCs/>
          <w:iCs/>
          <w:color w:val="auto"/>
          <w:sz w:val="22"/>
          <w:szCs w:val="22"/>
        </w:rPr>
        <w:t xml:space="preserve">e </w:t>
      </w:r>
      <w:r w:rsidR="00637D6F" w:rsidRPr="00417121">
        <w:rPr>
          <w:rFonts w:ascii="Simoncini Garamond" w:hAnsi="Simoncini Garamond" w:cs="Times New Roman"/>
          <w:bCs/>
          <w:iCs/>
          <w:color w:val="auto"/>
          <w:sz w:val="22"/>
          <w:szCs w:val="22"/>
        </w:rPr>
        <w:t>in due</w:t>
      </w:r>
      <w:r w:rsidRPr="00417121">
        <w:rPr>
          <w:rFonts w:ascii="Simoncini Garamond" w:hAnsi="Simoncini Garamond" w:cs="Times New Roman"/>
          <w:bCs/>
          <w:iCs/>
          <w:color w:val="auto"/>
          <w:sz w:val="22"/>
          <w:szCs w:val="22"/>
        </w:rPr>
        <w:t xml:space="preserve"> rilevanti tentativi </w:t>
      </w:r>
      <w:r w:rsidR="0035740C" w:rsidRPr="00417121">
        <w:rPr>
          <w:rFonts w:ascii="Simoncini Garamond" w:hAnsi="Simoncini Garamond" w:cs="Times New Roman"/>
          <w:bCs/>
          <w:iCs/>
          <w:color w:val="auto"/>
          <w:sz w:val="22"/>
          <w:szCs w:val="22"/>
        </w:rPr>
        <w:t xml:space="preserve">di fonte pubblica </w:t>
      </w:r>
      <w:r w:rsidR="00637D6F" w:rsidRPr="00417121">
        <w:rPr>
          <w:rFonts w:ascii="Simoncini Garamond" w:hAnsi="Simoncini Garamond" w:cs="Times New Roman"/>
          <w:bCs/>
          <w:iCs/>
          <w:color w:val="auto"/>
          <w:sz w:val="22"/>
          <w:szCs w:val="22"/>
        </w:rPr>
        <w:t>di recente</w:t>
      </w:r>
      <w:r w:rsidRPr="00417121">
        <w:rPr>
          <w:rFonts w:ascii="Simoncini Garamond" w:hAnsi="Simoncini Garamond" w:cs="Times New Roman"/>
          <w:bCs/>
          <w:iCs/>
          <w:color w:val="auto"/>
          <w:sz w:val="22"/>
          <w:szCs w:val="22"/>
        </w:rPr>
        <w:t xml:space="preserve"> compiuti </w:t>
      </w:r>
      <w:r w:rsidR="007E08CA" w:rsidRPr="00417121">
        <w:rPr>
          <w:rFonts w:ascii="Simoncini Garamond" w:hAnsi="Simoncini Garamond" w:cs="Times New Roman"/>
          <w:bCs/>
          <w:iCs/>
          <w:color w:val="auto"/>
          <w:sz w:val="22"/>
          <w:szCs w:val="22"/>
        </w:rPr>
        <w:t xml:space="preserve">in Italia </w:t>
      </w:r>
      <w:r w:rsidR="001E4224" w:rsidRPr="00417121">
        <w:rPr>
          <w:rFonts w:ascii="Simoncini Garamond" w:hAnsi="Simoncini Garamond" w:cs="Times New Roman"/>
          <w:bCs/>
          <w:iCs/>
          <w:color w:val="auto"/>
          <w:sz w:val="22"/>
          <w:szCs w:val="22"/>
        </w:rPr>
        <w:t>al fine di</w:t>
      </w:r>
      <w:r w:rsidRPr="00417121">
        <w:rPr>
          <w:rFonts w:ascii="Simoncini Garamond" w:hAnsi="Simoncini Garamond" w:cs="Times New Roman"/>
          <w:bCs/>
          <w:iCs/>
          <w:color w:val="auto"/>
          <w:sz w:val="22"/>
          <w:szCs w:val="22"/>
        </w:rPr>
        <w:t xml:space="preserve"> </w:t>
      </w:r>
      <w:r w:rsidR="001E4224" w:rsidRPr="00417121">
        <w:rPr>
          <w:rFonts w:ascii="Simoncini Garamond" w:hAnsi="Simoncini Garamond" w:cs="Times New Roman"/>
          <w:bCs/>
          <w:iCs/>
          <w:color w:val="auto"/>
          <w:sz w:val="22"/>
          <w:szCs w:val="22"/>
        </w:rPr>
        <w:t>esaminare</w:t>
      </w:r>
      <w:r w:rsidRPr="00417121">
        <w:rPr>
          <w:rFonts w:ascii="Simoncini Garamond" w:hAnsi="Simoncini Garamond" w:cs="Times New Roman"/>
          <w:bCs/>
          <w:iCs/>
          <w:color w:val="auto"/>
          <w:sz w:val="22"/>
          <w:szCs w:val="22"/>
        </w:rPr>
        <w:t xml:space="preserve"> </w:t>
      </w:r>
      <w:r w:rsidR="002962B6" w:rsidRPr="00417121">
        <w:rPr>
          <w:rFonts w:ascii="Simoncini Garamond" w:hAnsi="Simoncini Garamond" w:cs="Times New Roman"/>
          <w:bCs/>
          <w:iCs/>
          <w:color w:val="auto"/>
          <w:sz w:val="22"/>
          <w:szCs w:val="22"/>
        </w:rPr>
        <w:t xml:space="preserve">in chiave giuridica </w:t>
      </w:r>
      <w:r w:rsidRPr="00417121">
        <w:rPr>
          <w:rFonts w:ascii="Simoncini Garamond" w:hAnsi="Simoncini Garamond" w:cs="Times New Roman"/>
          <w:bCs/>
          <w:iCs/>
          <w:color w:val="auto"/>
          <w:sz w:val="22"/>
          <w:szCs w:val="22"/>
        </w:rPr>
        <w:t xml:space="preserve">il fenomeno degli </w:t>
      </w:r>
      <w:r w:rsidRPr="00417121">
        <w:rPr>
          <w:rFonts w:ascii="Simoncini Garamond" w:hAnsi="Simoncini Garamond" w:cs="Times New Roman"/>
          <w:bCs/>
          <w:i/>
          <w:color w:val="auto"/>
          <w:sz w:val="22"/>
          <w:szCs w:val="22"/>
        </w:rPr>
        <w:t>influencer</w:t>
      </w:r>
      <w:r w:rsidR="001E4224" w:rsidRPr="00417121">
        <w:rPr>
          <w:rStyle w:val="Rimandonotaapidipagina"/>
          <w:rFonts w:ascii="Simoncini Garamond" w:hAnsi="Simoncini Garamond" w:cs="Times New Roman"/>
          <w:bCs/>
          <w:i/>
          <w:color w:val="auto"/>
          <w:sz w:val="22"/>
          <w:szCs w:val="22"/>
        </w:rPr>
        <w:footnoteReference w:id="4"/>
      </w:r>
      <w:r w:rsidR="001E4224" w:rsidRPr="00417121">
        <w:rPr>
          <w:rFonts w:ascii="Simoncini Garamond" w:hAnsi="Simoncini Garamond" w:cs="Times New Roman"/>
          <w:bCs/>
          <w:iCs/>
          <w:color w:val="auto"/>
          <w:sz w:val="22"/>
          <w:szCs w:val="22"/>
        </w:rPr>
        <w:t xml:space="preserve"> le Autorità </w:t>
      </w:r>
      <w:r w:rsidR="007E08CA" w:rsidRPr="00417121">
        <w:rPr>
          <w:rFonts w:ascii="Simoncini Garamond" w:hAnsi="Simoncini Garamond" w:cs="Times New Roman"/>
          <w:bCs/>
          <w:iCs/>
          <w:color w:val="auto"/>
          <w:sz w:val="22"/>
          <w:szCs w:val="22"/>
        </w:rPr>
        <w:t>interessate</w:t>
      </w:r>
      <w:r w:rsidR="001E4224" w:rsidRPr="00417121">
        <w:rPr>
          <w:rFonts w:ascii="Simoncini Garamond" w:hAnsi="Simoncini Garamond" w:cs="Times New Roman"/>
          <w:bCs/>
          <w:iCs/>
          <w:color w:val="auto"/>
          <w:sz w:val="22"/>
          <w:szCs w:val="22"/>
        </w:rPr>
        <w:t xml:space="preserve"> abbiano dovuto </w:t>
      </w:r>
      <w:r w:rsidR="001E4224" w:rsidRPr="00417121">
        <w:rPr>
          <w:rFonts w:ascii="Simoncini Garamond" w:hAnsi="Simoncini Garamond" w:cs="Times New Roman"/>
          <w:bCs/>
          <w:iCs/>
          <w:color w:val="auto"/>
          <w:sz w:val="22"/>
          <w:szCs w:val="22"/>
        </w:rPr>
        <w:lastRenderedPageBreak/>
        <w:t xml:space="preserve">lealmente riconoscere </w:t>
      </w:r>
      <w:r w:rsidR="001E4224" w:rsidRPr="00417121">
        <w:rPr>
          <w:rFonts w:ascii="Simoncini Garamond" w:hAnsi="Simoncini Garamond" w:cs="Times New Roman"/>
          <w:bCs/>
          <w:i/>
          <w:color w:val="auto"/>
          <w:sz w:val="22"/>
          <w:szCs w:val="22"/>
        </w:rPr>
        <w:t>in limine</w:t>
      </w:r>
      <w:r w:rsidR="001E4224" w:rsidRPr="00417121">
        <w:rPr>
          <w:rFonts w:ascii="Simoncini Garamond" w:hAnsi="Simoncini Garamond" w:cs="Times New Roman"/>
          <w:bCs/>
          <w:iCs/>
          <w:color w:val="auto"/>
          <w:sz w:val="22"/>
          <w:szCs w:val="22"/>
        </w:rPr>
        <w:t xml:space="preserve"> la difficoltà stessa di offrire una puntuale </w:t>
      </w:r>
      <w:r w:rsidR="001E4224" w:rsidRPr="00417121">
        <w:rPr>
          <w:rFonts w:ascii="Simoncini Garamond" w:hAnsi="Simoncini Garamond" w:cs="Times New Roman"/>
          <w:bCs/>
          <w:i/>
          <w:color w:val="auto"/>
          <w:sz w:val="22"/>
          <w:szCs w:val="22"/>
        </w:rPr>
        <w:t>definizione</w:t>
      </w:r>
      <w:r w:rsidR="001E4224" w:rsidRPr="00417121">
        <w:rPr>
          <w:rFonts w:ascii="Simoncini Garamond" w:hAnsi="Simoncini Garamond" w:cs="Times New Roman"/>
          <w:bCs/>
          <w:iCs/>
          <w:color w:val="auto"/>
          <w:sz w:val="22"/>
          <w:szCs w:val="22"/>
        </w:rPr>
        <w:t xml:space="preserve"> del fenomeno (prima ancora di tentarne una qualche disciplina positiva, nei rispettivi ambiti di interesse).</w:t>
      </w:r>
    </w:p>
    <w:p w14:paraId="6E833B03" w14:textId="7E32F070" w:rsidR="002962B6" w:rsidRPr="00417121" w:rsidRDefault="002962B6" w:rsidP="00407DFB">
      <w:pPr>
        <w:pStyle w:val="Default"/>
        <w:widowControl w:val="0"/>
        <w:snapToGrid w:val="0"/>
        <w:spacing w:line="260" w:lineRule="exact"/>
        <w:ind w:firstLine="340"/>
        <w:jc w:val="both"/>
        <w:rPr>
          <w:rFonts w:ascii="Simoncini Garamond" w:hAnsi="Simoncini Garamond"/>
          <w:color w:val="auto"/>
          <w:sz w:val="22"/>
          <w:szCs w:val="22"/>
        </w:rPr>
      </w:pPr>
      <w:r w:rsidRPr="00417121">
        <w:rPr>
          <w:rFonts w:ascii="Simoncini Garamond" w:hAnsi="Simoncini Garamond"/>
          <w:color w:val="auto"/>
          <w:sz w:val="22"/>
          <w:szCs w:val="22"/>
        </w:rPr>
        <w:t xml:space="preserve">E non è un caso se in tali due precedenti (il primo, relativo alla </w:t>
      </w:r>
      <w:proofErr w:type="spellStart"/>
      <w:r w:rsidRPr="00417121">
        <w:rPr>
          <w:rFonts w:ascii="Simoncini Garamond" w:hAnsi="Simoncini Garamond"/>
          <w:color w:val="auto"/>
          <w:sz w:val="22"/>
          <w:szCs w:val="22"/>
        </w:rPr>
        <w:t>qualificabilità</w:t>
      </w:r>
      <w:proofErr w:type="spellEnd"/>
      <w:r w:rsidRPr="00417121">
        <w:rPr>
          <w:rFonts w:ascii="Simoncini Garamond" w:hAnsi="Simoncini Garamond"/>
          <w:color w:val="auto"/>
          <w:sz w:val="22"/>
          <w:szCs w:val="22"/>
        </w:rPr>
        <w:t xml:space="preserve"> degli </w:t>
      </w:r>
      <w:r w:rsidRPr="00417121">
        <w:rPr>
          <w:rFonts w:ascii="Simoncini Garamond" w:hAnsi="Simoncini Garamond"/>
          <w:i/>
          <w:iCs/>
          <w:color w:val="auto"/>
          <w:sz w:val="22"/>
          <w:szCs w:val="22"/>
        </w:rPr>
        <w:t>influencer</w:t>
      </w:r>
      <w:r w:rsidRPr="00417121">
        <w:rPr>
          <w:rFonts w:ascii="Simoncini Garamond" w:hAnsi="Simoncini Garamond"/>
          <w:color w:val="auto"/>
          <w:sz w:val="22"/>
          <w:szCs w:val="22"/>
        </w:rPr>
        <w:t xml:space="preserve"> quali fornitori di servizi media audiovisivi; il secondo relativo all'inquadramento degli stessi ai fini previdenziali) le Istituzioni pubbliche interessate (l'AGCOM nel primo caso e l'IN</w:t>
      </w:r>
      <w:r w:rsidR="00407DFB" w:rsidRPr="00417121">
        <w:rPr>
          <w:rFonts w:ascii="Simoncini Garamond" w:hAnsi="Simoncini Garamond"/>
          <w:color w:val="auto"/>
          <w:sz w:val="22"/>
          <w:szCs w:val="22"/>
        </w:rPr>
        <w:t>PS</w:t>
      </w:r>
      <w:r w:rsidRPr="00417121">
        <w:rPr>
          <w:rFonts w:ascii="Simoncini Garamond" w:hAnsi="Simoncini Garamond"/>
          <w:color w:val="auto"/>
          <w:sz w:val="22"/>
          <w:szCs w:val="22"/>
        </w:rPr>
        <w:t xml:space="preserve"> nel secondo) abbiano offerto definizioni diverse del fenomeno: </w:t>
      </w:r>
      <w:r w:rsidR="00407DFB" w:rsidRPr="00417121">
        <w:rPr>
          <w:rFonts w:ascii="Simoncini Garamond" w:hAnsi="Simoncini Garamond"/>
          <w:color w:val="auto"/>
          <w:sz w:val="22"/>
          <w:szCs w:val="22"/>
        </w:rPr>
        <w:t>del resto,</w:t>
      </w:r>
      <w:r w:rsidRPr="00417121">
        <w:rPr>
          <w:rFonts w:ascii="Simoncini Garamond" w:hAnsi="Simoncini Garamond"/>
          <w:color w:val="auto"/>
          <w:sz w:val="22"/>
          <w:szCs w:val="22"/>
        </w:rPr>
        <w:t xml:space="preserve"> le medesime istituzioni </w:t>
      </w:r>
      <w:r w:rsidR="00407DFB" w:rsidRPr="00417121">
        <w:rPr>
          <w:rFonts w:ascii="Simoncini Garamond" w:hAnsi="Simoncini Garamond"/>
          <w:color w:val="auto"/>
          <w:sz w:val="22"/>
          <w:szCs w:val="22"/>
        </w:rPr>
        <w:t>prendevano le mosse dall'intento di esaminare segmenti evidentemente diversi del fenomeno e lo esaminavano da angoli visuali conseguentemente diversificati.</w:t>
      </w:r>
    </w:p>
    <w:p w14:paraId="355581CC" w14:textId="196F230C" w:rsidR="001E4224" w:rsidRPr="00417121" w:rsidRDefault="001E4224" w:rsidP="009E41CF">
      <w:pPr>
        <w:pStyle w:val="Default"/>
        <w:widowControl w:val="0"/>
        <w:snapToGrid w:val="0"/>
        <w:spacing w:line="260" w:lineRule="exact"/>
        <w:ind w:firstLine="340"/>
        <w:jc w:val="both"/>
        <w:rPr>
          <w:rFonts w:ascii="Simoncini Garamond" w:hAnsi="Simoncini Garamond"/>
          <w:color w:val="auto"/>
          <w:sz w:val="22"/>
          <w:szCs w:val="22"/>
        </w:rPr>
      </w:pPr>
      <w:r w:rsidRPr="00417121">
        <w:rPr>
          <w:rFonts w:ascii="Simoncini Garamond" w:hAnsi="Simoncini Garamond"/>
          <w:color w:val="auto"/>
          <w:sz w:val="22"/>
          <w:szCs w:val="22"/>
        </w:rPr>
        <w:t xml:space="preserve">Eppure la figura stessa degli </w:t>
      </w:r>
      <w:r w:rsidRPr="00417121">
        <w:rPr>
          <w:rFonts w:ascii="Simoncini Garamond" w:hAnsi="Simoncini Garamond"/>
          <w:i/>
          <w:iCs/>
          <w:color w:val="auto"/>
          <w:sz w:val="22"/>
          <w:szCs w:val="22"/>
        </w:rPr>
        <w:t>influencer</w:t>
      </w:r>
      <w:r w:rsidRPr="00417121">
        <w:rPr>
          <w:rFonts w:ascii="Simoncini Garamond" w:hAnsi="Simoncini Garamond"/>
          <w:color w:val="auto"/>
          <w:sz w:val="22"/>
          <w:szCs w:val="22"/>
        </w:rPr>
        <w:t xml:space="preserve"> e il modo in cui gli stessi operano nei settori della comunicazione e dell'economia pongono temi che non solo risultano rilevanti per le diverse branche del diritto interessate (civile, amministrativo, penale, in ambito nazionale e sovranazionale) ma che - più in radice - va</w:t>
      </w:r>
      <w:r w:rsidR="007E08CA" w:rsidRPr="00417121">
        <w:rPr>
          <w:rFonts w:ascii="Simoncini Garamond" w:hAnsi="Simoncini Garamond"/>
          <w:color w:val="auto"/>
          <w:sz w:val="22"/>
          <w:szCs w:val="22"/>
        </w:rPr>
        <w:t>nno</w:t>
      </w:r>
      <w:r w:rsidRPr="00417121">
        <w:rPr>
          <w:rFonts w:ascii="Simoncini Garamond" w:hAnsi="Simoncini Garamond"/>
          <w:color w:val="auto"/>
          <w:sz w:val="22"/>
          <w:szCs w:val="22"/>
        </w:rPr>
        <w:t xml:space="preserve"> ad incidere su questioni del tutto centrali per la stessa affermazione e tutela di </w:t>
      </w:r>
      <w:r w:rsidR="007E08CA" w:rsidRPr="00417121">
        <w:rPr>
          <w:rFonts w:ascii="Simoncini Garamond" w:hAnsi="Simoncini Garamond"/>
          <w:color w:val="auto"/>
          <w:sz w:val="22"/>
          <w:szCs w:val="22"/>
        </w:rPr>
        <w:t xml:space="preserve">fondamentali </w:t>
      </w:r>
      <w:r w:rsidRPr="00417121">
        <w:rPr>
          <w:rFonts w:ascii="Simoncini Garamond" w:hAnsi="Simoncini Garamond"/>
          <w:color w:val="auto"/>
          <w:sz w:val="22"/>
          <w:szCs w:val="22"/>
        </w:rPr>
        <w:t>diritti di rango costituzionale.</w:t>
      </w:r>
    </w:p>
    <w:p w14:paraId="2DC3E779" w14:textId="3A320824" w:rsidR="001E4224" w:rsidRPr="00417121" w:rsidRDefault="001E4224" w:rsidP="009E41CF">
      <w:pPr>
        <w:pStyle w:val="Default"/>
        <w:widowControl w:val="0"/>
        <w:snapToGrid w:val="0"/>
        <w:spacing w:line="260" w:lineRule="exact"/>
        <w:ind w:firstLine="340"/>
        <w:jc w:val="both"/>
        <w:rPr>
          <w:rFonts w:ascii="Simoncini Garamond" w:hAnsi="Simoncini Garamond"/>
          <w:color w:val="auto"/>
          <w:sz w:val="22"/>
          <w:szCs w:val="22"/>
        </w:rPr>
      </w:pPr>
      <w:r w:rsidRPr="00417121">
        <w:rPr>
          <w:rFonts w:ascii="Simoncini Garamond" w:hAnsi="Simoncini Garamond"/>
          <w:color w:val="auto"/>
          <w:sz w:val="22"/>
          <w:szCs w:val="22"/>
        </w:rPr>
        <w:t xml:space="preserve">Basti pensare (anticipando qui alcuni temi che saranno sviluppati nei paragrafi che seguono) che l'attività degli </w:t>
      </w:r>
      <w:r w:rsidRPr="00417121">
        <w:rPr>
          <w:rFonts w:ascii="Simoncini Garamond" w:hAnsi="Simoncini Garamond"/>
          <w:i/>
          <w:iCs/>
          <w:color w:val="auto"/>
          <w:sz w:val="22"/>
          <w:szCs w:val="22"/>
        </w:rPr>
        <w:t>influencer</w:t>
      </w:r>
      <w:r w:rsidRPr="00417121">
        <w:rPr>
          <w:rFonts w:ascii="Simoncini Garamond" w:hAnsi="Simoncini Garamond"/>
          <w:color w:val="auto"/>
          <w:sz w:val="22"/>
          <w:szCs w:val="22"/>
        </w:rPr>
        <w:t xml:space="preserve"> evoca questioni relative alla configurazione stessa della libertà di manifestazione del pensiero (art. 21, Cost.) nella sua dimensione individuale e in quella relazionale; </w:t>
      </w:r>
      <w:r w:rsidR="0072310C" w:rsidRPr="00417121">
        <w:rPr>
          <w:rFonts w:ascii="Simoncini Garamond" w:hAnsi="Simoncini Garamond"/>
          <w:color w:val="auto"/>
          <w:sz w:val="22"/>
          <w:szCs w:val="22"/>
        </w:rPr>
        <w:t xml:space="preserve">che essa suscita riflessioni circa la possibilità stessa di fissare taluni limiti all'esercizio di tale libertà e circa l'individuazione del potere pubblico che tali limiti può fissare; che, ancora, essa evoca delicate (e mai risolte) questioni circa il carattere del tutto individuale ovvero sociale dei diritti </w:t>
      </w:r>
      <w:r w:rsidR="0035740C" w:rsidRPr="00417121">
        <w:rPr>
          <w:rFonts w:ascii="Simoncini Garamond" w:hAnsi="Simoncini Garamond"/>
          <w:color w:val="auto"/>
          <w:sz w:val="22"/>
          <w:szCs w:val="22"/>
        </w:rPr>
        <w:t xml:space="preserve">costituzionali </w:t>
      </w:r>
      <w:r w:rsidR="0072310C" w:rsidRPr="00417121">
        <w:rPr>
          <w:rFonts w:ascii="Simoncini Garamond" w:hAnsi="Simoncini Garamond"/>
          <w:color w:val="auto"/>
          <w:sz w:val="22"/>
          <w:szCs w:val="22"/>
        </w:rPr>
        <w:t xml:space="preserve">di libertà e circa i limiti stessi della </w:t>
      </w:r>
      <w:r w:rsidR="0072310C" w:rsidRPr="00417121">
        <w:rPr>
          <w:rFonts w:ascii="Simoncini Garamond" w:hAnsi="Simoncini Garamond"/>
          <w:i/>
          <w:iCs/>
          <w:color w:val="auto"/>
          <w:sz w:val="22"/>
          <w:szCs w:val="22"/>
        </w:rPr>
        <w:t>tolleranza ideologica</w:t>
      </w:r>
      <w:r w:rsidR="0072310C" w:rsidRPr="00417121">
        <w:rPr>
          <w:rStyle w:val="Rimandonotaapidipagina"/>
          <w:rFonts w:ascii="Simoncini Garamond" w:hAnsi="Simoncini Garamond"/>
          <w:i/>
          <w:iCs/>
          <w:color w:val="auto"/>
          <w:sz w:val="22"/>
          <w:szCs w:val="22"/>
        </w:rPr>
        <w:footnoteReference w:id="5"/>
      </w:r>
      <w:r w:rsidR="000E0392" w:rsidRPr="00417121">
        <w:rPr>
          <w:rFonts w:ascii="Simoncini Garamond" w:hAnsi="Simoncini Garamond"/>
          <w:i/>
          <w:iCs/>
          <w:color w:val="auto"/>
          <w:sz w:val="22"/>
          <w:szCs w:val="22"/>
        </w:rPr>
        <w:t xml:space="preserve"> </w:t>
      </w:r>
      <w:r w:rsidR="0072310C" w:rsidRPr="00417121">
        <w:rPr>
          <w:rFonts w:ascii="Simoncini Garamond" w:hAnsi="Simoncini Garamond"/>
          <w:color w:val="auto"/>
          <w:sz w:val="22"/>
          <w:szCs w:val="22"/>
        </w:rPr>
        <w:t xml:space="preserve">che un Ordinamento genuinamente democratico deve garantire anche a fronte di forme di manifestazione del pensiero oggettivamente non esatte o espressive di un sistema di valori </w:t>
      </w:r>
      <w:r w:rsidR="007E08CA" w:rsidRPr="00417121">
        <w:rPr>
          <w:rFonts w:ascii="Simoncini Garamond" w:hAnsi="Simoncini Garamond"/>
          <w:color w:val="auto"/>
          <w:sz w:val="22"/>
          <w:szCs w:val="22"/>
        </w:rPr>
        <w:t xml:space="preserve">non conforme - o addirittura </w:t>
      </w:r>
      <w:r w:rsidR="0072310C" w:rsidRPr="00417121">
        <w:rPr>
          <w:rFonts w:ascii="Simoncini Garamond" w:hAnsi="Simoncini Garamond"/>
          <w:color w:val="auto"/>
          <w:sz w:val="22"/>
          <w:szCs w:val="22"/>
        </w:rPr>
        <w:t xml:space="preserve">alternativo </w:t>
      </w:r>
      <w:r w:rsidR="007E08CA" w:rsidRPr="00417121">
        <w:rPr>
          <w:rFonts w:ascii="Simoncini Garamond" w:hAnsi="Simoncini Garamond"/>
          <w:color w:val="auto"/>
          <w:sz w:val="22"/>
          <w:szCs w:val="22"/>
        </w:rPr>
        <w:t xml:space="preserve">- </w:t>
      </w:r>
      <w:r w:rsidR="0072310C" w:rsidRPr="00417121">
        <w:rPr>
          <w:rFonts w:ascii="Simoncini Garamond" w:hAnsi="Simoncini Garamond"/>
          <w:color w:val="auto"/>
          <w:sz w:val="22"/>
          <w:szCs w:val="22"/>
        </w:rPr>
        <w:t>rispetto a quello generalmente accettato.</w:t>
      </w:r>
    </w:p>
    <w:p w14:paraId="0FD5B2AD" w14:textId="743C2476" w:rsidR="00407DFB" w:rsidRPr="00417121" w:rsidRDefault="00407DFB" w:rsidP="009E41CF">
      <w:pPr>
        <w:pStyle w:val="Default"/>
        <w:widowControl w:val="0"/>
        <w:snapToGrid w:val="0"/>
        <w:spacing w:line="260" w:lineRule="exact"/>
        <w:ind w:firstLine="340"/>
        <w:jc w:val="both"/>
        <w:rPr>
          <w:rFonts w:ascii="Simoncini Garamond" w:hAnsi="Simoncini Garamond"/>
          <w:color w:val="auto"/>
          <w:sz w:val="22"/>
          <w:szCs w:val="22"/>
        </w:rPr>
      </w:pPr>
      <w:r w:rsidRPr="00417121">
        <w:rPr>
          <w:rFonts w:ascii="Simoncini Garamond" w:hAnsi="Simoncini Garamond"/>
          <w:color w:val="auto"/>
          <w:sz w:val="22"/>
          <w:szCs w:val="22"/>
        </w:rPr>
        <w:t xml:space="preserve">Nelle pagine che seguono si </w:t>
      </w:r>
      <w:r w:rsidR="0035740C" w:rsidRPr="00417121">
        <w:rPr>
          <w:rFonts w:ascii="Simoncini Garamond" w:hAnsi="Simoncini Garamond"/>
          <w:color w:val="auto"/>
          <w:sz w:val="22"/>
          <w:szCs w:val="22"/>
        </w:rPr>
        <w:t>osserv</w:t>
      </w:r>
      <w:r w:rsidRPr="00417121">
        <w:rPr>
          <w:rFonts w:ascii="Simoncini Garamond" w:hAnsi="Simoncini Garamond"/>
          <w:color w:val="auto"/>
          <w:sz w:val="22"/>
          <w:szCs w:val="22"/>
        </w:rPr>
        <w:t xml:space="preserve">erà come il tema dei rapporti fra la </w:t>
      </w:r>
      <w:r w:rsidRPr="00417121">
        <w:rPr>
          <w:rFonts w:ascii="Simoncini Garamond" w:hAnsi="Simoncini Garamond"/>
          <w:color w:val="auto"/>
          <w:sz w:val="22"/>
          <w:szCs w:val="22"/>
        </w:rPr>
        <w:lastRenderedPageBreak/>
        <w:t xml:space="preserve">libertà di manifestazione del pensiero (ed altri diritti di matrice costituzionale) da una parte e l'affermazione dei </w:t>
      </w:r>
      <w:r w:rsidRPr="00417121">
        <w:rPr>
          <w:rFonts w:ascii="Simoncini Garamond" w:hAnsi="Simoncini Garamond"/>
          <w:i/>
          <w:iCs/>
          <w:color w:val="auto"/>
          <w:sz w:val="22"/>
          <w:szCs w:val="22"/>
        </w:rPr>
        <w:t>social network</w:t>
      </w:r>
      <w:r w:rsidRPr="00417121">
        <w:rPr>
          <w:rFonts w:ascii="Simoncini Garamond" w:hAnsi="Simoncini Garamond"/>
          <w:color w:val="auto"/>
          <w:sz w:val="22"/>
          <w:szCs w:val="22"/>
        </w:rPr>
        <w:t xml:space="preserve"> dall'altra sia</w:t>
      </w:r>
      <w:r w:rsidR="0005395F" w:rsidRPr="00417121">
        <w:rPr>
          <w:rFonts w:ascii="Simoncini Garamond" w:hAnsi="Simoncini Garamond"/>
          <w:color w:val="auto"/>
          <w:sz w:val="22"/>
          <w:szCs w:val="22"/>
        </w:rPr>
        <w:t>no</w:t>
      </w:r>
      <w:r w:rsidRPr="00417121">
        <w:rPr>
          <w:rFonts w:ascii="Simoncini Garamond" w:hAnsi="Simoncini Garamond"/>
          <w:color w:val="auto"/>
          <w:sz w:val="22"/>
          <w:szCs w:val="22"/>
        </w:rPr>
        <w:t xml:space="preserve"> ormai oggetto di un'elaborazione piuttosto cospicua, almeno dall'angolo visuale dell'oggetto dell'indagine (</w:t>
      </w:r>
      <w:r w:rsidRPr="00417121">
        <w:rPr>
          <w:rFonts w:ascii="Simoncini Garamond" w:hAnsi="Simoncini Garamond"/>
          <w:i/>
          <w:iCs/>
          <w:color w:val="auto"/>
          <w:sz w:val="22"/>
          <w:szCs w:val="22"/>
        </w:rPr>
        <w:t>i.e.</w:t>
      </w:r>
      <w:r w:rsidRPr="00417121">
        <w:rPr>
          <w:rFonts w:ascii="Simoncini Garamond" w:hAnsi="Simoncini Garamond"/>
          <w:color w:val="auto"/>
          <w:sz w:val="22"/>
          <w:szCs w:val="22"/>
        </w:rPr>
        <w:t xml:space="preserve">: riguardando i </w:t>
      </w:r>
      <w:r w:rsidRPr="00417121">
        <w:rPr>
          <w:rFonts w:ascii="Simoncini Garamond" w:hAnsi="Simoncini Garamond"/>
          <w:i/>
          <w:iCs/>
          <w:color w:val="auto"/>
          <w:sz w:val="22"/>
          <w:szCs w:val="22"/>
        </w:rPr>
        <w:t>social network</w:t>
      </w:r>
      <w:r w:rsidRPr="00417121">
        <w:rPr>
          <w:rFonts w:ascii="Simoncini Garamond" w:hAnsi="Simoncini Garamond"/>
          <w:color w:val="auto"/>
          <w:sz w:val="22"/>
          <w:szCs w:val="22"/>
        </w:rPr>
        <w:t xml:space="preserve"> come un fenomeno essenzialmente tecnologico e - per così dire - </w:t>
      </w:r>
      <w:r w:rsidRPr="00417121">
        <w:rPr>
          <w:rFonts w:ascii="Simoncini Garamond" w:hAnsi="Simoncini Garamond"/>
          <w:i/>
          <w:iCs/>
          <w:color w:val="auto"/>
          <w:sz w:val="22"/>
          <w:szCs w:val="22"/>
        </w:rPr>
        <w:t>algoritmico</w:t>
      </w:r>
      <w:r w:rsidRPr="00417121">
        <w:rPr>
          <w:rFonts w:ascii="Simoncini Garamond" w:hAnsi="Simoncini Garamond"/>
          <w:color w:val="auto"/>
          <w:sz w:val="22"/>
          <w:szCs w:val="22"/>
        </w:rPr>
        <w:t>)</w:t>
      </w:r>
      <w:r w:rsidR="00065FE3" w:rsidRPr="00417121">
        <w:rPr>
          <w:rStyle w:val="Rimandonotaapidipagina"/>
          <w:rFonts w:ascii="Simoncini Garamond" w:hAnsi="Simoncini Garamond"/>
          <w:color w:val="auto"/>
          <w:sz w:val="22"/>
          <w:szCs w:val="22"/>
        </w:rPr>
        <w:footnoteReference w:id="6"/>
      </w:r>
      <w:r w:rsidRPr="00417121">
        <w:rPr>
          <w:rFonts w:ascii="Simoncini Garamond" w:hAnsi="Simoncini Garamond"/>
          <w:color w:val="auto"/>
          <w:sz w:val="22"/>
          <w:szCs w:val="22"/>
        </w:rPr>
        <w:t>.</w:t>
      </w:r>
    </w:p>
    <w:p w14:paraId="28904FF7" w14:textId="77777777" w:rsidR="00065FE3" w:rsidRPr="00417121" w:rsidRDefault="00407DFB" w:rsidP="009E41CF">
      <w:pPr>
        <w:pStyle w:val="Default"/>
        <w:widowControl w:val="0"/>
        <w:snapToGrid w:val="0"/>
        <w:spacing w:line="260" w:lineRule="exact"/>
        <w:ind w:firstLine="340"/>
        <w:jc w:val="both"/>
        <w:rPr>
          <w:rFonts w:ascii="Simoncini Garamond" w:hAnsi="Simoncini Garamond"/>
          <w:color w:val="auto"/>
          <w:sz w:val="22"/>
          <w:szCs w:val="22"/>
        </w:rPr>
      </w:pPr>
      <w:r w:rsidRPr="00417121">
        <w:rPr>
          <w:rFonts w:ascii="Simoncini Garamond" w:hAnsi="Simoncini Garamond"/>
          <w:color w:val="auto"/>
          <w:sz w:val="22"/>
          <w:szCs w:val="22"/>
        </w:rPr>
        <w:t xml:space="preserve">Al contrario, è in larga parte mancata un'analoga elaborazione dall'angolo visuale dei soggetti / persone fisiche la cui attività </w:t>
      </w:r>
      <w:r w:rsidR="00065FE3" w:rsidRPr="00417121">
        <w:rPr>
          <w:rFonts w:ascii="Simoncini Garamond" w:hAnsi="Simoncini Garamond"/>
          <w:color w:val="auto"/>
          <w:sz w:val="22"/>
          <w:szCs w:val="22"/>
        </w:rPr>
        <w:t xml:space="preserve">consente in concreto ai </w:t>
      </w:r>
      <w:r w:rsidR="00065FE3" w:rsidRPr="00417121">
        <w:rPr>
          <w:rFonts w:ascii="Simoncini Garamond" w:hAnsi="Simoncini Garamond"/>
          <w:i/>
          <w:iCs/>
          <w:color w:val="auto"/>
          <w:sz w:val="22"/>
          <w:szCs w:val="22"/>
        </w:rPr>
        <w:t>social</w:t>
      </w:r>
      <w:r w:rsidR="00065FE3" w:rsidRPr="00417121">
        <w:rPr>
          <w:rFonts w:ascii="Simoncini Garamond" w:hAnsi="Simoncini Garamond"/>
          <w:color w:val="auto"/>
          <w:sz w:val="22"/>
          <w:szCs w:val="22"/>
        </w:rPr>
        <w:t xml:space="preserve"> di esprimere in modo compiuto le straordinarie potenzialità in termini di diffusione di idee e di disseminazione di contenuti.</w:t>
      </w:r>
    </w:p>
    <w:p w14:paraId="21049E68" w14:textId="7952F73A" w:rsidR="00407DFB" w:rsidRPr="00417121" w:rsidRDefault="00065FE3" w:rsidP="009E41CF">
      <w:pPr>
        <w:pStyle w:val="Default"/>
        <w:widowControl w:val="0"/>
        <w:snapToGrid w:val="0"/>
        <w:spacing w:line="260" w:lineRule="exact"/>
        <w:ind w:firstLine="340"/>
        <w:jc w:val="both"/>
        <w:rPr>
          <w:rFonts w:ascii="Simoncini Garamond" w:hAnsi="Simoncini Garamond"/>
          <w:color w:val="auto"/>
          <w:sz w:val="22"/>
          <w:szCs w:val="22"/>
        </w:rPr>
      </w:pPr>
      <w:r w:rsidRPr="00417121">
        <w:rPr>
          <w:rFonts w:ascii="Simoncini Garamond" w:hAnsi="Simoncini Garamond"/>
          <w:color w:val="auto"/>
          <w:sz w:val="22"/>
          <w:szCs w:val="22"/>
        </w:rPr>
        <w:t xml:space="preserve">Questa elaborazione si incentra su figure di esperti della comunicazione </w:t>
      </w:r>
      <w:r w:rsidRPr="00417121">
        <w:rPr>
          <w:rFonts w:ascii="Simoncini Garamond" w:hAnsi="Simoncini Garamond"/>
          <w:i/>
          <w:iCs/>
          <w:color w:val="auto"/>
          <w:sz w:val="22"/>
          <w:szCs w:val="22"/>
        </w:rPr>
        <w:t>via social media</w:t>
      </w:r>
      <w:r w:rsidRPr="00417121">
        <w:rPr>
          <w:rFonts w:ascii="Simoncini Garamond" w:hAnsi="Simoncini Garamond"/>
          <w:color w:val="auto"/>
          <w:sz w:val="22"/>
          <w:szCs w:val="22"/>
        </w:rPr>
        <w:t xml:space="preserve"> dalle più varie denominazioni (</w:t>
      </w:r>
      <w:proofErr w:type="spellStart"/>
      <w:r w:rsidRPr="00417121">
        <w:rPr>
          <w:rFonts w:ascii="Simoncini Garamond" w:hAnsi="Simoncini Garamond"/>
          <w:i/>
          <w:iCs/>
          <w:color w:val="auto"/>
          <w:sz w:val="22"/>
          <w:szCs w:val="22"/>
        </w:rPr>
        <w:t>content</w:t>
      </w:r>
      <w:proofErr w:type="spellEnd"/>
      <w:r w:rsidRPr="00417121">
        <w:rPr>
          <w:rFonts w:ascii="Simoncini Garamond" w:hAnsi="Simoncini Garamond"/>
          <w:i/>
          <w:iCs/>
          <w:color w:val="auto"/>
          <w:sz w:val="22"/>
          <w:szCs w:val="22"/>
        </w:rPr>
        <w:t xml:space="preserve"> creator</w:t>
      </w:r>
      <w:r w:rsidRPr="00417121">
        <w:rPr>
          <w:rFonts w:ascii="Simoncini Garamond" w:hAnsi="Simoncini Garamond"/>
          <w:color w:val="auto"/>
          <w:sz w:val="22"/>
          <w:szCs w:val="22"/>
        </w:rPr>
        <w:t xml:space="preserve">, </w:t>
      </w:r>
      <w:r w:rsidRPr="00417121">
        <w:rPr>
          <w:rFonts w:ascii="Simoncini Garamond" w:hAnsi="Simoncini Garamond"/>
          <w:i/>
          <w:iCs/>
          <w:color w:val="auto"/>
          <w:sz w:val="22"/>
          <w:szCs w:val="22"/>
        </w:rPr>
        <w:t>youtuber</w:t>
      </w:r>
      <w:r w:rsidRPr="00417121">
        <w:rPr>
          <w:rFonts w:ascii="Simoncini Garamond" w:hAnsi="Simoncini Garamond"/>
          <w:color w:val="auto"/>
          <w:sz w:val="22"/>
          <w:szCs w:val="22"/>
        </w:rPr>
        <w:t xml:space="preserve">, </w:t>
      </w:r>
      <w:r w:rsidRPr="00417121">
        <w:rPr>
          <w:rFonts w:ascii="Simoncini Garamond" w:hAnsi="Simoncini Garamond"/>
          <w:i/>
          <w:iCs/>
          <w:color w:val="auto"/>
          <w:sz w:val="22"/>
          <w:szCs w:val="22"/>
        </w:rPr>
        <w:t>streamer</w:t>
      </w:r>
      <w:r w:rsidRPr="00417121">
        <w:rPr>
          <w:rFonts w:ascii="Simoncini Garamond" w:hAnsi="Simoncini Garamond"/>
          <w:color w:val="auto"/>
          <w:sz w:val="22"/>
          <w:szCs w:val="22"/>
        </w:rPr>
        <w:t xml:space="preserve">, </w:t>
      </w:r>
      <w:proofErr w:type="spellStart"/>
      <w:r w:rsidRPr="00417121">
        <w:rPr>
          <w:rFonts w:ascii="Simoncini Garamond" w:hAnsi="Simoncini Garamond"/>
          <w:i/>
          <w:iCs/>
          <w:color w:val="auto"/>
          <w:sz w:val="22"/>
          <w:szCs w:val="22"/>
        </w:rPr>
        <w:t>podcaster</w:t>
      </w:r>
      <w:proofErr w:type="spellEnd"/>
      <w:r w:rsidRPr="00417121">
        <w:rPr>
          <w:rFonts w:ascii="Simoncini Garamond" w:hAnsi="Simoncini Garamond"/>
          <w:color w:val="auto"/>
          <w:sz w:val="22"/>
          <w:szCs w:val="22"/>
        </w:rPr>
        <w:t xml:space="preserve">, </w:t>
      </w:r>
      <w:proofErr w:type="spellStart"/>
      <w:r w:rsidRPr="00417121">
        <w:rPr>
          <w:rFonts w:ascii="Simoncini Garamond" w:hAnsi="Simoncini Garamond"/>
          <w:i/>
          <w:iCs/>
          <w:color w:val="auto"/>
          <w:sz w:val="22"/>
          <w:szCs w:val="22"/>
        </w:rPr>
        <w:t>instagrammer</w:t>
      </w:r>
      <w:proofErr w:type="spellEnd"/>
      <w:r w:rsidRPr="00417121">
        <w:rPr>
          <w:rFonts w:ascii="Simoncini Garamond" w:hAnsi="Simoncini Garamond"/>
          <w:color w:val="auto"/>
          <w:sz w:val="22"/>
          <w:szCs w:val="22"/>
        </w:rPr>
        <w:t xml:space="preserve">, </w:t>
      </w:r>
      <w:r w:rsidRPr="00417121">
        <w:rPr>
          <w:rFonts w:ascii="Simoncini Garamond" w:hAnsi="Simoncini Garamond"/>
          <w:i/>
          <w:iCs/>
          <w:color w:val="auto"/>
          <w:sz w:val="22"/>
          <w:szCs w:val="22"/>
        </w:rPr>
        <w:t>tiktoker</w:t>
      </w:r>
      <w:r w:rsidRPr="00417121">
        <w:rPr>
          <w:rFonts w:ascii="Simoncini Garamond" w:hAnsi="Simoncini Garamond"/>
          <w:color w:val="auto"/>
          <w:sz w:val="22"/>
          <w:szCs w:val="22"/>
        </w:rPr>
        <w:t xml:space="preserve">, </w:t>
      </w:r>
      <w:r w:rsidRPr="00417121">
        <w:rPr>
          <w:rFonts w:ascii="Simoncini Garamond" w:hAnsi="Simoncini Garamond"/>
          <w:i/>
          <w:iCs/>
          <w:color w:val="auto"/>
          <w:sz w:val="22"/>
          <w:szCs w:val="22"/>
        </w:rPr>
        <w:t>blogger</w:t>
      </w:r>
      <w:r w:rsidRPr="00417121">
        <w:rPr>
          <w:rFonts w:ascii="Simoncini Garamond" w:hAnsi="Simoncini Garamond"/>
          <w:color w:val="auto"/>
          <w:sz w:val="22"/>
          <w:szCs w:val="22"/>
        </w:rPr>
        <w:t xml:space="preserve">, </w:t>
      </w:r>
      <w:proofErr w:type="spellStart"/>
      <w:r w:rsidRPr="00417121">
        <w:rPr>
          <w:rFonts w:ascii="Simoncini Garamond" w:hAnsi="Simoncini Garamond"/>
          <w:i/>
          <w:iCs/>
          <w:color w:val="auto"/>
          <w:sz w:val="22"/>
          <w:szCs w:val="22"/>
        </w:rPr>
        <w:t>vlogger</w:t>
      </w:r>
      <w:proofErr w:type="spellEnd"/>
      <w:r w:rsidRPr="00417121">
        <w:rPr>
          <w:rFonts w:ascii="Simoncini Garamond" w:hAnsi="Simoncini Garamond"/>
          <w:color w:val="auto"/>
          <w:sz w:val="22"/>
          <w:szCs w:val="22"/>
        </w:rPr>
        <w:t xml:space="preserve">) spesso accomunate sotto un'etichetta definitoria onnicomprensiva ma non priva di alcuni margini di ambiguità: quella di </w:t>
      </w:r>
      <w:r w:rsidRPr="00417121">
        <w:rPr>
          <w:rFonts w:ascii="Simoncini Garamond" w:hAnsi="Simoncini Garamond"/>
          <w:i/>
          <w:iCs/>
          <w:color w:val="auto"/>
          <w:sz w:val="22"/>
          <w:szCs w:val="22"/>
        </w:rPr>
        <w:t>influencer</w:t>
      </w:r>
      <w:r w:rsidRPr="00417121">
        <w:rPr>
          <w:rFonts w:ascii="Simoncini Garamond" w:hAnsi="Simoncini Garamond"/>
          <w:color w:val="auto"/>
          <w:sz w:val="22"/>
          <w:szCs w:val="22"/>
        </w:rPr>
        <w:t xml:space="preserve">. </w:t>
      </w:r>
    </w:p>
    <w:p w14:paraId="3CEFEDCE" w14:textId="0D9BF048" w:rsidR="00CC0AAA" w:rsidRPr="00417121" w:rsidRDefault="00065FE3" w:rsidP="009E41CF">
      <w:pPr>
        <w:widowControl w:val="0"/>
        <w:adjustRightInd w:val="0"/>
        <w:snapToGrid w:val="0"/>
        <w:spacing w:after="0" w:line="260" w:lineRule="exact"/>
        <w:ind w:firstLine="340"/>
        <w:jc w:val="both"/>
        <w:rPr>
          <w:rFonts w:ascii="Simoncini Garamond" w:hAnsi="Simoncini Garamond"/>
        </w:rPr>
      </w:pPr>
      <w:r w:rsidRPr="00417121">
        <w:rPr>
          <w:rFonts w:ascii="Simoncini Garamond" w:hAnsi="Simoncini Garamond"/>
        </w:rPr>
        <w:t>A questa figura soggettiva saranno dedicate le riflessioni delle pagine che seguono.</w:t>
      </w:r>
    </w:p>
    <w:p w14:paraId="35BF6FCA" w14:textId="77777777" w:rsidR="009E41CF" w:rsidRPr="00417121" w:rsidRDefault="009E41CF" w:rsidP="00DE3B76">
      <w:pPr>
        <w:widowControl w:val="0"/>
        <w:adjustRightInd w:val="0"/>
        <w:snapToGrid w:val="0"/>
        <w:spacing w:after="0" w:line="260" w:lineRule="exact"/>
        <w:ind w:firstLine="340"/>
        <w:jc w:val="both"/>
        <w:rPr>
          <w:rFonts w:ascii="Simoncini Garamond" w:hAnsi="Simoncini Garamond"/>
        </w:rPr>
      </w:pPr>
    </w:p>
    <w:p w14:paraId="4DF21C00" w14:textId="77777777" w:rsidR="00065FE3" w:rsidRPr="00417121" w:rsidRDefault="00065FE3" w:rsidP="00DE3B76">
      <w:pPr>
        <w:widowControl w:val="0"/>
        <w:adjustRightInd w:val="0"/>
        <w:snapToGrid w:val="0"/>
        <w:spacing w:after="0" w:line="260" w:lineRule="exact"/>
        <w:ind w:firstLine="340"/>
        <w:jc w:val="both"/>
        <w:rPr>
          <w:rFonts w:ascii="Simoncini Garamond" w:hAnsi="Simoncini Garamond"/>
        </w:rPr>
      </w:pPr>
    </w:p>
    <w:p w14:paraId="1A63DFB7" w14:textId="77777777" w:rsidR="007E08CA" w:rsidRPr="00417121" w:rsidRDefault="007E08CA" w:rsidP="00DE3B76">
      <w:pPr>
        <w:widowControl w:val="0"/>
        <w:adjustRightInd w:val="0"/>
        <w:snapToGrid w:val="0"/>
        <w:spacing w:after="0" w:line="260" w:lineRule="exact"/>
        <w:ind w:firstLine="340"/>
        <w:jc w:val="both"/>
        <w:rPr>
          <w:rFonts w:ascii="Simoncini Garamond" w:hAnsi="Simoncini Garamond"/>
        </w:rPr>
      </w:pPr>
    </w:p>
    <w:p w14:paraId="6CBF0F01" w14:textId="77777777" w:rsidR="009E41CF" w:rsidRPr="00417121" w:rsidRDefault="009E41CF" w:rsidP="009E41CF">
      <w:pPr>
        <w:pStyle w:val="Default"/>
        <w:widowControl w:val="0"/>
        <w:snapToGrid w:val="0"/>
        <w:spacing w:line="260" w:lineRule="exact"/>
        <w:ind w:firstLine="340"/>
        <w:jc w:val="both"/>
        <w:rPr>
          <w:rFonts w:ascii="Simoncini Garamond" w:hAnsi="Simoncini Garamond" w:cs="Times New Roman"/>
          <w:b/>
          <w:iCs/>
          <w:color w:val="auto"/>
          <w:sz w:val="22"/>
          <w:szCs w:val="22"/>
        </w:rPr>
      </w:pPr>
      <w:r w:rsidRPr="00417121">
        <w:rPr>
          <w:rFonts w:ascii="Simoncini Garamond" w:hAnsi="Simoncini Garamond" w:cs="Times New Roman"/>
          <w:b/>
          <w:iCs/>
          <w:color w:val="auto"/>
          <w:sz w:val="22"/>
          <w:szCs w:val="22"/>
        </w:rPr>
        <w:t xml:space="preserve">2. La libera manifestazione del pensiero e le questioni poste dall'affermazione dei </w:t>
      </w:r>
      <w:r w:rsidRPr="00417121">
        <w:rPr>
          <w:rFonts w:ascii="Simoncini Garamond" w:hAnsi="Simoncini Garamond" w:cs="Times New Roman"/>
          <w:b/>
          <w:i/>
          <w:color w:val="auto"/>
          <w:sz w:val="22"/>
          <w:szCs w:val="22"/>
        </w:rPr>
        <w:t>social media</w:t>
      </w:r>
      <w:r w:rsidRPr="00417121">
        <w:rPr>
          <w:rFonts w:ascii="Simoncini Garamond" w:hAnsi="Simoncini Garamond" w:cs="Times New Roman"/>
          <w:b/>
          <w:iCs/>
          <w:color w:val="auto"/>
          <w:sz w:val="22"/>
          <w:szCs w:val="22"/>
        </w:rPr>
        <w:t xml:space="preserve">. </w:t>
      </w:r>
    </w:p>
    <w:p w14:paraId="027B0EAC" w14:textId="77777777" w:rsidR="009E41CF" w:rsidRPr="00417121" w:rsidRDefault="009E41CF"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p>
    <w:p w14:paraId="6C661E6B" w14:textId="1007FCD1" w:rsidR="009E41CF" w:rsidRPr="00417121" w:rsidRDefault="007E08CA"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La straordinaria diffusione dei social </w:t>
      </w:r>
      <w:r w:rsidRPr="00417121">
        <w:rPr>
          <w:rFonts w:ascii="Simoncini Garamond" w:hAnsi="Simoncini Garamond" w:cs="Times New Roman"/>
          <w:bCs/>
          <w:i/>
          <w:color w:val="auto"/>
          <w:sz w:val="22"/>
          <w:szCs w:val="22"/>
        </w:rPr>
        <w:t>media</w:t>
      </w:r>
      <w:r w:rsidRPr="00417121">
        <w:rPr>
          <w:rFonts w:ascii="Simoncini Garamond" w:hAnsi="Simoncini Garamond" w:cs="Times New Roman"/>
          <w:bCs/>
          <w:iCs/>
          <w:color w:val="auto"/>
          <w:sz w:val="22"/>
          <w:szCs w:val="22"/>
        </w:rPr>
        <w:t xml:space="preserve"> e la loro indubbia idoneità ad influenzare e orientare fasce sempre più ampie della popolazione anche in ambiti del tutto cruciali (quali quelli della salute individuale e pubblica e dell'esercizio dei diritti politici) ha in qualche modo riacceso (e - per così dire - '</w:t>
      </w:r>
      <w:r w:rsidRPr="00417121">
        <w:rPr>
          <w:rFonts w:ascii="Simoncini Garamond" w:hAnsi="Simoncini Garamond" w:cs="Times New Roman"/>
          <w:bCs/>
          <w:i/>
          <w:color w:val="auto"/>
          <w:sz w:val="22"/>
          <w:szCs w:val="22"/>
        </w:rPr>
        <w:t>attualizzato</w:t>
      </w:r>
      <w:r w:rsidRPr="00417121">
        <w:rPr>
          <w:rFonts w:ascii="Simoncini Garamond" w:hAnsi="Simoncini Garamond" w:cs="Times New Roman"/>
          <w:bCs/>
          <w:iCs/>
          <w:color w:val="auto"/>
          <w:sz w:val="22"/>
          <w:szCs w:val="22"/>
        </w:rPr>
        <w:t>') il dibattito e la riflessione sulla libertà di manifestazione del pensiero per come riconosciuta e sancita dall'articolo 21, Cost.</w:t>
      </w:r>
      <w:r w:rsidRPr="00417121">
        <w:rPr>
          <w:rStyle w:val="Rimandonotaapidipagina"/>
          <w:rFonts w:ascii="Simoncini Garamond" w:hAnsi="Simoncini Garamond" w:cs="Times New Roman"/>
          <w:bCs/>
          <w:iCs/>
          <w:color w:val="auto"/>
          <w:sz w:val="22"/>
          <w:szCs w:val="22"/>
        </w:rPr>
        <w:footnoteReference w:id="7"/>
      </w:r>
    </w:p>
    <w:p w14:paraId="76565EB7" w14:textId="4C226412" w:rsidR="00065FE3" w:rsidRPr="00417121" w:rsidRDefault="00065FE3"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lastRenderedPageBreak/>
        <w:t>Si tratta di un dibattito che, pur attenendo a diritti fondanti della personalità nella sua dimensione individuale e in quella sociale, era risulta</w:t>
      </w:r>
      <w:r w:rsidR="00DF1A2F" w:rsidRPr="00417121">
        <w:rPr>
          <w:rFonts w:ascii="Simoncini Garamond" w:hAnsi="Simoncini Garamond" w:cs="Times New Roman"/>
          <w:bCs/>
          <w:iCs/>
          <w:color w:val="auto"/>
          <w:sz w:val="22"/>
          <w:szCs w:val="22"/>
        </w:rPr>
        <w:t>to</w:t>
      </w:r>
      <w:r w:rsidR="00DB7D8C" w:rsidRPr="00417121">
        <w:rPr>
          <w:rFonts w:ascii="Simoncini Garamond" w:hAnsi="Simoncini Garamond" w:cs="Times New Roman"/>
          <w:bCs/>
          <w:iCs/>
          <w:color w:val="auto"/>
          <w:sz w:val="22"/>
          <w:szCs w:val="22"/>
        </w:rPr>
        <w:t xml:space="preserve"> davvero</w:t>
      </w:r>
      <w:r w:rsidRPr="00417121">
        <w:rPr>
          <w:rFonts w:ascii="Simoncini Garamond" w:hAnsi="Simoncini Garamond" w:cs="Times New Roman"/>
          <w:bCs/>
          <w:iCs/>
          <w:color w:val="auto"/>
          <w:sz w:val="22"/>
          <w:szCs w:val="22"/>
        </w:rPr>
        <w:t xml:space="preserve"> centrale </w:t>
      </w:r>
      <w:r w:rsidR="00DF1A2F" w:rsidRPr="00417121">
        <w:rPr>
          <w:rFonts w:ascii="Simoncini Garamond" w:hAnsi="Simoncini Garamond" w:cs="Times New Roman"/>
          <w:bCs/>
          <w:iCs/>
          <w:color w:val="auto"/>
          <w:sz w:val="22"/>
          <w:szCs w:val="22"/>
        </w:rPr>
        <w:t>in amb</w:t>
      </w:r>
      <w:r w:rsidRPr="00417121">
        <w:rPr>
          <w:rFonts w:ascii="Simoncini Garamond" w:hAnsi="Simoncini Garamond" w:cs="Times New Roman"/>
          <w:bCs/>
          <w:iCs/>
          <w:color w:val="auto"/>
          <w:sz w:val="22"/>
          <w:szCs w:val="22"/>
        </w:rPr>
        <w:t xml:space="preserve">ito pubblicistico solo all'indomani dell'entrata in vigore del testo costituzionale </w:t>
      </w:r>
      <w:r w:rsidR="004C5C2D" w:rsidRPr="00417121">
        <w:rPr>
          <w:rFonts w:ascii="Simoncini Garamond" w:hAnsi="Simoncini Garamond" w:cs="Times New Roman"/>
          <w:bCs/>
          <w:iCs/>
          <w:color w:val="auto"/>
          <w:sz w:val="22"/>
          <w:szCs w:val="22"/>
        </w:rPr>
        <w:t>(principalmente, per le contingenze politiche che avevano accompagnato l'approvazione della legge sulla stampa n 47 del 1948) per poi conoscere un</w:t>
      </w:r>
      <w:r w:rsidR="00DF1A2F" w:rsidRPr="00417121">
        <w:rPr>
          <w:rFonts w:ascii="Simoncini Garamond" w:hAnsi="Simoncini Garamond" w:cs="Times New Roman"/>
          <w:bCs/>
          <w:iCs/>
          <w:color w:val="auto"/>
          <w:sz w:val="22"/>
          <w:szCs w:val="22"/>
        </w:rPr>
        <w:t>a fase di notevole e rinnovato interesse fra gli anni Ottanta e Novanta dello scorso secolo essenzialmente per questioni legate al rispetto del pluralismo in ambito radiotelevisivo.</w:t>
      </w:r>
    </w:p>
    <w:p w14:paraId="46426A46" w14:textId="4E91849D" w:rsidR="00065FE3" w:rsidRPr="00417121" w:rsidRDefault="00DF1A2F"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La nuova rivoluzione digitale che caratterizza i primi anni del nuovo millennio e l'affermazione dei </w:t>
      </w:r>
      <w:r w:rsidRPr="00417121">
        <w:rPr>
          <w:rFonts w:ascii="Simoncini Garamond" w:hAnsi="Simoncini Garamond" w:cs="Times New Roman"/>
          <w:bCs/>
          <w:i/>
          <w:color w:val="auto"/>
          <w:sz w:val="22"/>
          <w:szCs w:val="22"/>
        </w:rPr>
        <w:t>social network</w:t>
      </w:r>
      <w:r w:rsidRPr="00417121">
        <w:rPr>
          <w:rFonts w:ascii="Simoncini Garamond" w:hAnsi="Simoncini Garamond" w:cs="Times New Roman"/>
          <w:bCs/>
          <w:iCs/>
          <w:color w:val="auto"/>
          <w:sz w:val="22"/>
          <w:szCs w:val="22"/>
        </w:rPr>
        <w:t xml:space="preserve"> ripropone quindi un tema ben noto (quello dell'affermazione </w:t>
      </w:r>
      <w:r w:rsidRPr="00417121">
        <w:rPr>
          <w:rFonts w:ascii="Simoncini Garamond" w:hAnsi="Simoncini Garamond" w:cs="Times New Roman"/>
          <w:bCs/>
          <w:i/>
          <w:color w:val="auto"/>
          <w:sz w:val="22"/>
          <w:szCs w:val="22"/>
        </w:rPr>
        <w:t>della</w:t>
      </w:r>
      <w:r w:rsidRPr="00417121">
        <w:rPr>
          <w:rFonts w:ascii="Simoncini Garamond" w:hAnsi="Simoncini Garamond" w:cs="Times New Roman"/>
          <w:bCs/>
          <w:iCs/>
          <w:color w:val="auto"/>
          <w:sz w:val="22"/>
          <w:szCs w:val="22"/>
        </w:rPr>
        <w:t xml:space="preserve"> e dei limiti </w:t>
      </w:r>
      <w:r w:rsidRPr="00417121">
        <w:rPr>
          <w:rFonts w:ascii="Simoncini Garamond" w:hAnsi="Simoncini Garamond" w:cs="Times New Roman"/>
          <w:bCs/>
          <w:i/>
          <w:color w:val="auto"/>
          <w:sz w:val="22"/>
          <w:szCs w:val="22"/>
        </w:rPr>
        <w:t>alla</w:t>
      </w:r>
      <w:r w:rsidRPr="00417121">
        <w:rPr>
          <w:rFonts w:ascii="Simoncini Garamond" w:hAnsi="Simoncini Garamond" w:cs="Times New Roman"/>
          <w:bCs/>
          <w:iCs/>
          <w:color w:val="auto"/>
          <w:sz w:val="22"/>
          <w:szCs w:val="22"/>
        </w:rPr>
        <w:t xml:space="preserve"> libertà di espressione di cui all'articolo 21, Cost.) ma in un contesto di riferimento radicalmente mutato (come radicalmente mutate sono le potenzialità, le metodiche e le stesse modalità della comunicazione - individuale e collettiva - offerte dai </w:t>
      </w:r>
      <w:r w:rsidRPr="00417121">
        <w:rPr>
          <w:rFonts w:ascii="Simoncini Garamond" w:hAnsi="Simoncini Garamond" w:cs="Times New Roman"/>
          <w:bCs/>
          <w:i/>
          <w:color w:val="auto"/>
          <w:sz w:val="22"/>
          <w:szCs w:val="22"/>
        </w:rPr>
        <w:t>social</w:t>
      </w:r>
      <w:r w:rsidRPr="00417121">
        <w:rPr>
          <w:rFonts w:ascii="Simoncini Garamond" w:hAnsi="Simoncini Garamond" w:cs="Times New Roman"/>
          <w:bCs/>
          <w:iCs/>
          <w:color w:val="auto"/>
          <w:sz w:val="22"/>
          <w:szCs w:val="22"/>
        </w:rPr>
        <w:t>).</w:t>
      </w:r>
    </w:p>
    <w:p w14:paraId="57A9591C" w14:textId="17D3C6A6" w:rsidR="007E08CA" w:rsidRPr="00417121" w:rsidRDefault="00DF1A2F"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aps/>
          <w:color w:val="auto"/>
          <w:sz w:val="22"/>
          <w:szCs w:val="22"/>
        </w:rPr>
        <w:t>è</w:t>
      </w:r>
      <w:r w:rsidRPr="00417121">
        <w:rPr>
          <w:rFonts w:ascii="Simoncini Garamond" w:hAnsi="Simoncini Garamond" w:cs="Times New Roman"/>
          <w:bCs/>
          <w:iCs/>
          <w:color w:val="auto"/>
          <w:sz w:val="22"/>
          <w:szCs w:val="22"/>
        </w:rPr>
        <w:t xml:space="preserve"> indubbio infatti che l</w:t>
      </w:r>
      <w:r w:rsidR="00973562" w:rsidRPr="00417121">
        <w:rPr>
          <w:rFonts w:ascii="Simoncini Garamond" w:hAnsi="Simoncini Garamond" w:cs="Times New Roman"/>
          <w:bCs/>
          <w:iCs/>
          <w:color w:val="auto"/>
          <w:sz w:val="22"/>
          <w:szCs w:val="22"/>
        </w:rPr>
        <w:t xml:space="preserve">a straordinaria facilità di produzione e velocità di diffusione di idee, messaggi e contenuti oggi consentita dai </w:t>
      </w:r>
      <w:r w:rsidR="00973562" w:rsidRPr="00417121">
        <w:rPr>
          <w:rFonts w:ascii="Simoncini Garamond" w:hAnsi="Simoncini Garamond" w:cs="Times New Roman"/>
          <w:bCs/>
          <w:i/>
          <w:color w:val="auto"/>
          <w:sz w:val="22"/>
          <w:szCs w:val="22"/>
        </w:rPr>
        <w:t>social media</w:t>
      </w:r>
      <w:r w:rsidR="00973562" w:rsidRPr="00417121">
        <w:rPr>
          <w:rFonts w:ascii="Simoncini Garamond" w:hAnsi="Simoncini Garamond" w:cs="Times New Roman"/>
          <w:bCs/>
          <w:iCs/>
          <w:color w:val="auto"/>
          <w:sz w:val="22"/>
          <w:szCs w:val="22"/>
        </w:rPr>
        <w:t xml:space="preserve"> present</w:t>
      </w:r>
      <w:r w:rsidRPr="00417121">
        <w:rPr>
          <w:rFonts w:ascii="Simoncini Garamond" w:hAnsi="Simoncini Garamond" w:cs="Times New Roman"/>
          <w:bCs/>
          <w:iCs/>
          <w:color w:val="auto"/>
          <w:sz w:val="22"/>
          <w:szCs w:val="22"/>
        </w:rPr>
        <w:t>i</w:t>
      </w:r>
      <w:r w:rsidR="00973562" w:rsidRPr="00417121">
        <w:rPr>
          <w:rFonts w:ascii="Simoncini Garamond" w:hAnsi="Simoncini Garamond" w:cs="Times New Roman"/>
          <w:bCs/>
          <w:iCs/>
          <w:color w:val="auto"/>
          <w:sz w:val="22"/>
          <w:szCs w:val="22"/>
        </w:rPr>
        <w:t xml:space="preserve"> l'indubbio (quanto evidente) vantaggio di </w:t>
      </w:r>
      <w:r w:rsidRPr="00417121">
        <w:rPr>
          <w:rFonts w:ascii="Simoncini Garamond" w:hAnsi="Simoncini Garamond" w:cs="Times New Roman"/>
          <w:bCs/>
          <w:iCs/>
          <w:color w:val="auto"/>
          <w:sz w:val="22"/>
          <w:szCs w:val="22"/>
        </w:rPr>
        <w:t>offri</w:t>
      </w:r>
      <w:r w:rsidR="00973562" w:rsidRPr="00417121">
        <w:rPr>
          <w:rFonts w:ascii="Simoncini Garamond" w:hAnsi="Simoncini Garamond" w:cs="Times New Roman"/>
          <w:bCs/>
          <w:iCs/>
          <w:color w:val="auto"/>
          <w:sz w:val="22"/>
          <w:szCs w:val="22"/>
        </w:rPr>
        <w:t>re un formidabile veicolo di diffusione per la libertà di pensiero (intesa dalla Corte costituzionale quale "</w:t>
      </w:r>
      <w:r w:rsidR="00973562" w:rsidRPr="00417121">
        <w:rPr>
          <w:rFonts w:ascii="Simoncini Garamond" w:hAnsi="Simoncini Garamond" w:cs="Times New Roman"/>
          <w:bCs/>
          <w:i/>
          <w:color w:val="auto"/>
          <w:sz w:val="22"/>
          <w:szCs w:val="22"/>
        </w:rPr>
        <w:t>pietra angolare del sistema democratico</w:t>
      </w:r>
      <w:r w:rsidR="00973562" w:rsidRPr="00417121">
        <w:rPr>
          <w:rFonts w:ascii="Simoncini Garamond" w:hAnsi="Simoncini Garamond" w:cs="Times New Roman"/>
          <w:bCs/>
          <w:iCs/>
          <w:color w:val="auto"/>
          <w:sz w:val="22"/>
          <w:szCs w:val="22"/>
        </w:rPr>
        <w:t>")</w:t>
      </w:r>
      <w:r w:rsidR="00973562" w:rsidRPr="00417121">
        <w:rPr>
          <w:rStyle w:val="Rimandonotaapidipagina"/>
          <w:rFonts w:ascii="Simoncini Garamond" w:hAnsi="Simoncini Garamond" w:cs="Times New Roman"/>
          <w:bCs/>
          <w:iCs/>
          <w:color w:val="auto"/>
          <w:sz w:val="22"/>
          <w:szCs w:val="22"/>
        </w:rPr>
        <w:footnoteReference w:id="8"/>
      </w:r>
      <w:r w:rsidR="00973562" w:rsidRPr="00417121">
        <w:rPr>
          <w:rFonts w:ascii="Simoncini Garamond" w:hAnsi="Simoncini Garamond" w:cs="Times New Roman"/>
          <w:bCs/>
          <w:iCs/>
          <w:color w:val="auto"/>
          <w:sz w:val="22"/>
          <w:szCs w:val="22"/>
        </w:rPr>
        <w:t>, in tal modo ponendosi quale sicuro strumento di partecipazione democratica</w:t>
      </w:r>
      <w:r w:rsidR="00BB7518" w:rsidRPr="00417121">
        <w:rPr>
          <w:rFonts w:ascii="Simoncini Garamond" w:hAnsi="Simoncini Garamond" w:cs="Times New Roman"/>
          <w:bCs/>
          <w:iCs/>
          <w:color w:val="auto"/>
          <w:sz w:val="22"/>
          <w:szCs w:val="22"/>
        </w:rPr>
        <w:t>.</w:t>
      </w:r>
    </w:p>
    <w:p w14:paraId="71310E35" w14:textId="1C7222DB" w:rsidR="00BB7518" w:rsidRPr="00417121" w:rsidRDefault="00BB7518"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Allo stesso modo, l'ampia diffusione dei </w:t>
      </w:r>
      <w:r w:rsidRPr="00417121">
        <w:rPr>
          <w:rFonts w:ascii="Simoncini Garamond" w:hAnsi="Simoncini Garamond" w:cs="Times New Roman"/>
          <w:bCs/>
          <w:i/>
          <w:color w:val="auto"/>
          <w:sz w:val="22"/>
          <w:szCs w:val="22"/>
        </w:rPr>
        <w:t>social media</w:t>
      </w:r>
      <w:r w:rsidRPr="00417121">
        <w:rPr>
          <w:rFonts w:ascii="Simoncini Garamond" w:hAnsi="Simoncini Garamond" w:cs="Times New Roman"/>
          <w:bCs/>
          <w:iCs/>
          <w:color w:val="auto"/>
          <w:sz w:val="22"/>
          <w:szCs w:val="22"/>
        </w:rPr>
        <w:t xml:space="preserve"> e la possibilità di accedervi a costi </w:t>
      </w:r>
      <w:r w:rsidR="00A93198" w:rsidRPr="00417121">
        <w:rPr>
          <w:rFonts w:ascii="Simoncini Garamond" w:hAnsi="Simoncini Garamond" w:cs="Times New Roman"/>
          <w:bCs/>
          <w:iCs/>
          <w:color w:val="auto"/>
          <w:sz w:val="22"/>
          <w:szCs w:val="22"/>
        </w:rPr>
        <w:t>cert</w:t>
      </w:r>
      <w:r w:rsidRPr="00417121">
        <w:rPr>
          <w:rFonts w:ascii="Simoncini Garamond" w:hAnsi="Simoncini Garamond" w:cs="Times New Roman"/>
          <w:bCs/>
          <w:iCs/>
          <w:color w:val="auto"/>
          <w:sz w:val="22"/>
          <w:szCs w:val="22"/>
        </w:rPr>
        <w:t xml:space="preserve">amente accessibili per la maggior parte della popolazione risulta idonea a superare la possibile criticità - insita nella formulazione dell'art. 21, Cost. e ben rilevata da Carlo Esposito </w:t>
      </w:r>
      <w:r w:rsidR="0035740C" w:rsidRPr="00417121">
        <w:rPr>
          <w:rFonts w:ascii="Simoncini Garamond" w:hAnsi="Simoncini Garamond" w:cs="Times New Roman"/>
          <w:bCs/>
          <w:iCs/>
          <w:color w:val="auto"/>
          <w:sz w:val="22"/>
          <w:szCs w:val="22"/>
        </w:rPr>
        <w:t xml:space="preserve">già sul finire degli anni Cinquanta dello scorso secolo </w:t>
      </w:r>
      <w:r w:rsidRPr="00417121">
        <w:rPr>
          <w:rFonts w:ascii="Simoncini Garamond" w:hAnsi="Simoncini Garamond" w:cs="Times New Roman"/>
          <w:bCs/>
          <w:iCs/>
          <w:color w:val="auto"/>
          <w:sz w:val="22"/>
          <w:szCs w:val="22"/>
        </w:rPr>
        <w:t>- determinata dall'affermazione di un diritto (quello di libera manifestazione del pensiero) che rischiava di restare largamente inattuato in assenza di un correlativo e generalizzato diritto di accesso alle fonti di divulgazione</w:t>
      </w:r>
      <w:r w:rsidRPr="00417121">
        <w:rPr>
          <w:rStyle w:val="Rimandonotaapidipagina"/>
          <w:rFonts w:ascii="Simoncini Garamond" w:hAnsi="Simoncini Garamond" w:cs="Times New Roman"/>
          <w:bCs/>
          <w:iCs/>
          <w:color w:val="auto"/>
          <w:sz w:val="22"/>
          <w:szCs w:val="22"/>
        </w:rPr>
        <w:footnoteReference w:id="9"/>
      </w:r>
      <w:r w:rsidRPr="00417121">
        <w:rPr>
          <w:rFonts w:ascii="Simoncini Garamond" w:hAnsi="Simoncini Garamond" w:cs="Times New Roman"/>
          <w:bCs/>
          <w:iCs/>
          <w:color w:val="auto"/>
          <w:sz w:val="22"/>
          <w:szCs w:val="22"/>
        </w:rPr>
        <w:t>.</w:t>
      </w:r>
    </w:p>
    <w:p w14:paraId="3CE89CC6" w14:textId="0F9D00E8" w:rsidR="007E08CA" w:rsidRPr="00417121" w:rsidRDefault="00DB7D8C"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Al giorno d'oggi, la semplice disponibilità di uno </w:t>
      </w:r>
      <w:r w:rsidRPr="00417121">
        <w:rPr>
          <w:rFonts w:ascii="Simoncini Garamond" w:hAnsi="Simoncini Garamond" w:cs="Times New Roman"/>
          <w:bCs/>
          <w:i/>
          <w:color w:val="auto"/>
          <w:sz w:val="22"/>
          <w:szCs w:val="22"/>
        </w:rPr>
        <w:t>smartphone</w:t>
      </w:r>
      <w:r w:rsidRPr="00417121">
        <w:rPr>
          <w:rFonts w:ascii="Simoncini Garamond" w:hAnsi="Simoncini Garamond" w:cs="Times New Roman"/>
          <w:bCs/>
          <w:iCs/>
          <w:color w:val="auto"/>
          <w:sz w:val="22"/>
          <w:szCs w:val="22"/>
        </w:rPr>
        <w:t xml:space="preserve"> consente a chiunque di superare di fatto ogni limite all'effettiva possibilità di diffondere le proprie idee e convinzioni</w:t>
      </w:r>
      <w:r w:rsidR="00F62B31" w:rsidRPr="00417121">
        <w:rPr>
          <w:rFonts w:ascii="Simoncini Garamond" w:hAnsi="Simoncini Garamond" w:cs="Times New Roman"/>
          <w:bCs/>
          <w:iCs/>
          <w:color w:val="auto"/>
          <w:sz w:val="22"/>
          <w:szCs w:val="22"/>
        </w:rPr>
        <w:t>, in tal modo superando per via tecnologica quel potenziale limite di ordine costituzionale</w:t>
      </w:r>
      <w:r w:rsidRPr="00417121">
        <w:rPr>
          <w:rFonts w:ascii="Simoncini Garamond" w:hAnsi="Simoncini Garamond" w:cs="Times New Roman"/>
          <w:bCs/>
          <w:iCs/>
          <w:color w:val="auto"/>
          <w:sz w:val="22"/>
          <w:szCs w:val="22"/>
        </w:rPr>
        <w:t>.</w:t>
      </w:r>
    </w:p>
    <w:p w14:paraId="3BB8988F" w14:textId="641046A3" w:rsidR="00DB7D8C" w:rsidRPr="00417121" w:rsidRDefault="00DB7D8C"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Ma questa sorta di incondizionato accesso (consentito dall'evoluzione </w:t>
      </w:r>
      <w:r w:rsidRPr="00417121">
        <w:rPr>
          <w:rFonts w:ascii="Simoncini Garamond" w:hAnsi="Simoncini Garamond" w:cs="Times New Roman"/>
          <w:bCs/>
          <w:iCs/>
          <w:color w:val="auto"/>
          <w:sz w:val="22"/>
          <w:szCs w:val="22"/>
        </w:rPr>
        <w:lastRenderedPageBreak/>
        <w:t xml:space="preserve">tecnologica) alla possibilità individuale di divulgazione delle proprie idee non ha affatto superato le numerose </w:t>
      </w:r>
      <w:r w:rsidR="00F62B31" w:rsidRPr="00417121">
        <w:rPr>
          <w:rFonts w:ascii="Simoncini Garamond" w:hAnsi="Simoncini Garamond" w:cs="Times New Roman"/>
          <w:bCs/>
          <w:iCs/>
          <w:color w:val="auto"/>
          <w:sz w:val="22"/>
          <w:szCs w:val="22"/>
        </w:rPr>
        <w:t xml:space="preserve">e complesse </w:t>
      </w:r>
      <w:r w:rsidRPr="00417121">
        <w:rPr>
          <w:rFonts w:ascii="Simoncini Garamond" w:hAnsi="Simoncini Garamond" w:cs="Times New Roman"/>
          <w:bCs/>
          <w:iCs/>
          <w:color w:val="auto"/>
          <w:sz w:val="22"/>
          <w:szCs w:val="22"/>
        </w:rPr>
        <w:t>questioni relative al diritto alla libera manifestazione del pensiero, né</w:t>
      </w:r>
      <w:r w:rsidR="00F62B31" w:rsidRPr="00417121">
        <w:rPr>
          <w:rFonts w:ascii="Simoncini Garamond" w:hAnsi="Simoncini Garamond" w:cs="Times New Roman"/>
          <w:bCs/>
          <w:iCs/>
          <w:color w:val="auto"/>
          <w:sz w:val="22"/>
          <w:szCs w:val="22"/>
        </w:rPr>
        <w:t xml:space="preserve"> quelle relative alle numerose interrelazioni fra tale diritto e altre libertà di pari rango costituzionale</w:t>
      </w:r>
      <w:r w:rsidRPr="00417121">
        <w:rPr>
          <w:rFonts w:ascii="Simoncini Garamond" w:hAnsi="Simoncini Garamond" w:cs="Times New Roman"/>
          <w:bCs/>
          <w:iCs/>
          <w:color w:val="auto"/>
          <w:sz w:val="22"/>
          <w:szCs w:val="22"/>
        </w:rPr>
        <w:t>.</w:t>
      </w:r>
    </w:p>
    <w:p w14:paraId="4E3A77C8" w14:textId="642229A0" w:rsidR="00DB7D8C" w:rsidRPr="00417121" w:rsidRDefault="00DB7D8C"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Più semplicemente, l'evoluzione tecnologica ha riproposto questioni già note ma in forme e modalità del tutto nuove (e in larga parte inimmaginabili fino ad appena pochi anni fa), come nuovi sono gli interrogativi relativi ai possibili limiti che possono essere posti alle nuove forme di esercizio del diritto di libertà di cui all'articolo 21, Cost.</w:t>
      </w:r>
    </w:p>
    <w:p w14:paraId="014CE57E" w14:textId="4A17FA34" w:rsidR="00DB7D8C" w:rsidRPr="00417121" w:rsidRDefault="001B636C"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Nelle pagine che seguono (e nella consapevolezza dei necessari limiti dimensionali dell'analisi) ci si soffermerà essenzialmente su </w:t>
      </w:r>
      <w:r w:rsidR="00A25750" w:rsidRPr="00417121">
        <w:rPr>
          <w:rFonts w:ascii="Simoncini Garamond" w:hAnsi="Simoncini Garamond" w:cs="Times New Roman"/>
          <w:bCs/>
          <w:iCs/>
          <w:color w:val="auto"/>
          <w:sz w:val="22"/>
          <w:szCs w:val="22"/>
        </w:rPr>
        <w:t>tre</w:t>
      </w:r>
      <w:r w:rsidRPr="00417121">
        <w:rPr>
          <w:rFonts w:ascii="Simoncini Garamond" w:hAnsi="Simoncini Garamond" w:cs="Times New Roman"/>
          <w:bCs/>
          <w:iCs/>
          <w:color w:val="auto"/>
          <w:sz w:val="22"/>
          <w:szCs w:val="22"/>
        </w:rPr>
        <w:t xml:space="preserve"> aspetti dei rapporti fra esercizio della libera manifestazione</w:t>
      </w:r>
      <w:r w:rsidR="00D37F62" w:rsidRPr="00417121">
        <w:rPr>
          <w:rFonts w:ascii="Simoncini Garamond" w:hAnsi="Simoncini Garamond" w:cs="Times New Roman"/>
          <w:bCs/>
          <w:iCs/>
          <w:color w:val="auto"/>
          <w:sz w:val="22"/>
          <w:szCs w:val="22"/>
        </w:rPr>
        <w:t xml:space="preserve"> del pensiero</w:t>
      </w:r>
      <w:r w:rsidRPr="00417121">
        <w:rPr>
          <w:rFonts w:ascii="Simoncini Garamond" w:hAnsi="Simoncini Garamond" w:cs="Times New Roman"/>
          <w:bCs/>
          <w:iCs/>
          <w:color w:val="auto"/>
          <w:sz w:val="22"/>
          <w:szCs w:val="22"/>
        </w:rPr>
        <w:t xml:space="preserve">, </w:t>
      </w:r>
      <w:r w:rsidRPr="00417121">
        <w:rPr>
          <w:rFonts w:ascii="Simoncini Garamond" w:hAnsi="Simoncini Garamond" w:cs="Times New Roman"/>
          <w:bCs/>
          <w:i/>
          <w:color w:val="auto"/>
          <w:sz w:val="22"/>
          <w:szCs w:val="22"/>
        </w:rPr>
        <w:t>social media</w:t>
      </w:r>
      <w:r w:rsidRPr="00417121">
        <w:rPr>
          <w:rFonts w:ascii="Simoncini Garamond" w:hAnsi="Simoncini Garamond" w:cs="Times New Roman"/>
          <w:bCs/>
          <w:iCs/>
          <w:color w:val="auto"/>
          <w:sz w:val="22"/>
          <w:szCs w:val="22"/>
        </w:rPr>
        <w:t xml:space="preserve"> e attività degli </w:t>
      </w:r>
      <w:r w:rsidRPr="00417121">
        <w:rPr>
          <w:rFonts w:ascii="Simoncini Garamond" w:hAnsi="Simoncini Garamond" w:cs="Times New Roman"/>
          <w:bCs/>
          <w:i/>
          <w:color w:val="auto"/>
          <w:sz w:val="22"/>
          <w:szCs w:val="22"/>
        </w:rPr>
        <w:t>influencer</w:t>
      </w:r>
      <w:r w:rsidRPr="00417121">
        <w:rPr>
          <w:rFonts w:ascii="Simoncini Garamond" w:hAnsi="Simoncini Garamond" w:cs="Times New Roman"/>
          <w:bCs/>
          <w:iCs/>
          <w:color w:val="auto"/>
          <w:sz w:val="22"/>
          <w:szCs w:val="22"/>
        </w:rPr>
        <w:t>.</w:t>
      </w:r>
    </w:p>
    <w:p w14:paraId="31156013" w14:textId="45FE0FE2" w:rsidR="001B636C" w:rsidRPr="00417121" w:rsidRDefault="001B636C"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
          <w:color w:val="auto"/>
          <w:sz w:val="22"/>
          <w:szCs w:val="22"/>
        </w:rPr>
        <w:t>Il primo</w:t>
      </w:r>
      <w:r w:rsidRPr="00417121">
        <w:rPr>
          <w:rFonts w:ascii="Simoncini Garamond" w:hAnsi="Simoncini Garamond" w:cs="Times New Roman"/>
          <w:bCs/>
          <w:iCs/>
          <w:color w:val="auto"/>
          <w:sz w:val="22"/>
          <w:szCs w:val="22"/>
        </w:rPr>
        <w:t xml:space="preserve"> ambito di riflessione può essere compendiato in un breve interrogativo: </w:t>
      </w:r>
      <w:r w:rsidRPr="00417121">
        <w:rPr>
          <w:rFonts w:ascii="Simoncini Garamond" w:hAnsi="Simoncini Garamond" w:cs="Times New Roman"/>
          <w:bCs/>
          <w:i/>
          <w:color w:val="auto"/>
          <w:sz w:val="22"/>
          <w:szCs w:val="22"/>
        </w:rPr>
        <w:t xml:space="preserve">nella comunicazione via social </w:t>
      </w:r>
      <w:r w:rsidRPr="00417121">
        <w:rPr>
          <w:rFonts w:ascii="Simoncini Garamond" w:hAnsi="Simoncini Garamond" w:cs="Times New Roman"/>
          <w:bCs/>
          <w:iCs/>
          <w:color w:val="auto"/>
          <w:sz w:val="22"/>
          <w:szCs w:val="22"/>
        </w:rPr>
        <w:t>a chi</w:t>
      </w:r>
      <w:r w:rsidRPr="00417121">
        <w:rPr>
          <w:rFonts w:ascii="Simoncini Garamond" w:hAnsi="Simoncini Garamond" w:cs="Times New Roman"/>
          <w:bCs/>
          <w:i/>
          <w:color w:val="auto"/>
          <w:sz w:val="22"/>
          <w:szCs w:val="22"/>
        </w:rPr>
        <w:t xml:space="preserve"> occorre davvero garantire la libera manifestazione (e, prima ancora, la libera formazione) del pensiero?</w:t>
      </w:r>
    </w:p>
    <w:p w14:paraId="40E77E39" w14:textId="56294791" w:rsidR="001B636C" w:rsidRPr="00417121" w:rsidRDefault="001B636C"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Questo interrogativo </w:t>
      </w:r>
      <w:r w:rsidR="00B02158" w:rsidRPr="00417121">
        <w:rPr>
          <w:rFonts w:ascii="Simoncini Garamond" w:hAnsi="Simoncini Garamond" w:cs="Times New Roman"/>
          <w:bCs/>
          <w:iCs/>
          <w:color w:val="auto"/>
          <w:sz w:val="22"/>
          <w:szCs w:val="22"/>
        </w:rPr>
        <w:t>evoca una più generale riflessione (ben nota ai Padri Costituenti) relativa al se il diritto di cui all'articolo 21, Cost. sia finalizzato esclusivamente a soddisfare un'</w:t>
      </w:r>
      <w:r w:rsidR="00B02158" w:rsidRPr="00417121">
        <w:rPr>
          <w:rFonts w:ascii="Simoncini Garamond" w:hAnsi="Simoncini Garamond" w:cs="Times New Roman"/>
          <w:bCs/>
          <w:i/>
          <w:color w:val="auto"/>
          <w:sz w:val="22"/>
          <w:szCs w:val="22"/>
        </w:rPr>
        <w:t>esigenza di carattere individuale</w:t>
      </w:r>
      <w:r w:rsidR="00B02158" w:rsidRPr="00417121">
        <w:rPr>
          <w:rFonts w:ascii="Simoncini Garamond" w:hAnsi="Simoncini Garamond" w:cs="Times New Roman"/>
          <w:bCs/>
          <w:iCs/>
          <w:color w:val="auto"/>
          <w:sz w:val="22"/>
          <w:szCs w:val="22"/>
        </w:rPr>
        <w:t xml:space="preserve"> (</w:t>
      </w:r>
      <w:r w:rsidR="00B02158" w:rsidRPr="00417121">
        <w:rPr>
          <w:rFonts w:ascii="Simoncini Garamond" w:hAnsi="Simoncini Garamond" w:cs="Times New Roman"/>
          <w:bCs/>
          <w:i/>
          <w:color w:val="auto"/>
          <w:sz w:val="22"/>
          <w:szCs w:val="22"/>
        </w:rPr>
        <w:t>i.e</w:t>
      </w:r>
      <w:r w:rsidR="00B02158" w:rsidRPr="00417121">
        <w:rPr>
          <w:rFonts w:ascii="Simoncini Garamond" w:hAnsi="Simoncini Garamond" w:cs="Times New Roman"/>
          <w:bCs/>
          <w:iCs/>
          <w:color w:val="auto"/>
          <w:sz w:val="22"/>
          <w:szCs w:val="22"/>
        </w:rPr>
        <w:t xml:space="preserve">.: a consentire all'individuo di esprimere liberamente la propria personalità) ovvero se adempia anche - o principalmente - a una </w:t>
      </w:r>
      <w:r w:rsidR="00B02158" w:rsidRPr="00417121">
        <w:rPr>
          <w:rFonts w:ascii="Simoncini Garamond" w:hAnsi="Simoncini Garamond" w:cs="Times New Roman"/>
          <w:bCs/>
          <w:i/>
          <w:color w:val="auto"/>
          <w:sz w:val="22"/>
          <w:szCs w:val="22"/>
        </w:rPr>
        <w:t>funzione sociale</w:t>
      </w:r>
      <w:r w:rsidR="00B02158" w:rsidRPr="00417121">
        <w:rPr>
          <w:rFonts w:ascii="Simoncini Garamond" w:hAnsi="Simoncini Garamond" w:cs="Times New Roman"/>
          <w:bCs/>
          <w:iCs/>
          <w:color w:val="auto"/>
          <w:sz w:val="22"/>
          <w:szCs w:val="22"/>
        </w:rPr>
        <w:t>, assicurando alla collettività il contributo del pensiero di tutti e il libero con</w:t>
      </w:r>
      <w:r w:rsidR="00660C36" w:rsidRPr="00417121">
        <w:rPr>
          <w:rFonts w:ascii="Simoncini Garamond" w:hAnsi="Simoncini Garamond" w:cs="Times New Roman"/>
          <w:bCs/>
          <w:iCs/>
          <w:color w:val="auto"/>
          <w:sz w:val="22"/>
          <w:szCs w:val="22"/>
        </w:rPr>
        <w:t>front</w:t>
      </w:r>
      <w:r w:rsidR="00B02158" w:rsidRPr="00417121">
        <w:rPr>
          <w:rFonts w:ascii="Simoncini Garamond" w:hAnsi="Simoncini Garamond" w:cs="Times New Roman"/>
          <w:bCs/>
          <w:iCs/>
          <w:color w:val="auto"/>
          <w:sz w:val="22"/>
          <w:szCs w:val="22"/>
        </w:rPr>
        <w:t xml:space="preserve">o fra le idee, in un'evidente chiave di arricchimento </w:t>
      </w:r>
      <w:r w:rsidR="006D4C6A" w:rsidRPr="00417121">
        <w:rPr>
          <w:rFonts w:ascii="Simoncini Garamond" w:hAnsi="Simoncini Garamond" w:cs="Times New Roman"/>
          <w:bCs/>
          <w:iCs/>
          <w:color w:val="auto"/>
          <w:sz w:val="22"/>
          <w:szCs w:val="22"/>
        </w:rPr>
        <w:t xml:space="preserve">nel confronto </w:t>
      </w:r>
      <w:r w:rsidR="00B02158" w:rsidRPr="00417121">
        <w:rPr>
          <w:rFonts w:ascii="Simoncini Garamond" w:hAnsi="Simoncini Garamond" w:cs="Times New Roman"/>
          <w:bCs/>
          <w:iCs/>
          <w:color w:val="auto"/>
          <w:sz w:val="22"/>
          <w:szCs w:val="22"/>
        </w:rPr>
        <w:t xml:space="preserve">democratico. </w:t>
      </w:r>
    </w:p>
    <w:p w14:paraId="47F8DE29" w14:textId="6E184F48" w:rsidR="001B636C" w:rsidRPr="00417121" w:rsidRDefault="00660C36"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Negli anni Quaranta dello scorso secolo evidentemente l'affermazione del diritto di manifestare liberamente il proprio pensiero era rivolta in</w:t>
      </w:r>
      <w:r w:rsidRPr="00417121">
        <w:rPr>
          <w:rFonts w:ascii="Simoncini Garamond" w:hAnsi="Simoncini Garamond" w:cs="Times New Roman"/>
          <w:bCs/>
          <w:i/>
          <w:color w:val="auto"/>
          <w:sz w:val="22"/>
          <w:szCs w:val="22"/>
        </w:rPr>
        <w:t xml:space="preserve"> primis</w:t>
      </w:r>
      <w:r w:rsidRPr="00417121">
        <w:rPr>
          <w:rFonts w:ascii="Simoncini Garamond" w:hAnsi="Simoncini Garamond" w:cs="Times New Roman"/>
          <w:bCs/>
          <w:iCs/>
          <w:color w:val="auto"/>
          <w:sz w:val="22"/>
          <w:szCs w:val="22"/>
        </w:rPr>
        <w:t xml:space="preserve"> a garantire un'area di intangibile libertà </w:t>
      </w:r>
      <w:r w:rsidRPr="00417121">
        <w:rPr>
          <w:rFonts w:ascii="Simoncini Garamond" w:hAnsi="Simoncini Garamond" w:cs="Times New Roman"/>
          <w:bCs/>
          <w:i/>
          <w:color w:val="auto"/>
          <w:sz w:val="22"/>
          <w:szCs w:val="22"/>
        </w:rPr>
        <w:t>in negativo</w:t>
      </w:r>
      <w:r w:rsidRPr="00417121">
        <w:rPr>
          <w:rFonts w:ascii="Simoncini Garamond" w:hAnsi="Simoncini Garamond" w:cs="Times New Roman"/>
          <w:bCs/>
          <w:iCs/>
          <w:color w:val="auto"/>
          <w:sz w:val="22"/>
          <w:szCs w:val="22"/>
        </w:rPr>
        <w:t xml:space="preserve"> rispetto alle ingerenze dello Stato. Troppo recente era</w:t>
      </w:r>
      <w:r w:rsidR="006D4C6A" w:rsidRPr="00417121">
        <w:rPr>
          <w:rFonts w:ascii="Simoncini Garamond" w:hAnsi="Simoncini Garamond" w:cs="Times New Roman"/>
          <w:bCs/>
          <w:iCs/>
          <w:color w:val="auto"/>
          <w:sz w:val="22"/>
          <w:szCs w:val="22"/>
        </w:rPr>
        <w:t xml:space="preserve">, al riguardo, </w:t>
      </w:r>
      <w:r w:rsidRPr="00417121">
        <w:rPr>
          <w:rFonts w:ascii="Simoncini Garamond" w:hAnsi="Simoncini Garamond" w:cs="Times New Roman"/>
          <w:bCs/>
          <w:iCs/>
          <w:color w:val="auto"/>
          <w:sz w:val="22"/>
          <w:szCs w:val="22"/>
        </w:rPr>
        <w:t>la memoria dell'età fascista e l'esperienza del vasto ricorso alla censura</w:t>
      </w:r>
      <w:r w:rsidR="006D4C6A" w:rsidRPr="00417121">
        <w:rPr>
          <w:rFonts w:ascii="Simoncini Garamond" w:hAnsi="Simoncini Garamond" w:cs="Times New Roman"/>
          <w:bCs/>
          <w:iCs/>
          <w:color w:val="auto"/>
          <w:sz w:val="22"/>
          <w:szCs w:val="22"/>
        </w:rPr>
        <w:t xml:space="preserve"> che l'aveva caratterizzata</w:t>
      </w:r>
      <w:r w:rsidRPr="00417121">
        <w:rPr>
          <w:rFonts w:ascii="Simoncini Garamond" w:hAnsi="Simoncini Garamond" w:cs="Times New Roman"/>
          <w:bCs/>
          <w:iCs/>
          <w:color w:val="auto"/>
          <w:sz w:val="22"/>
          <w:szCs w:val="22"/>
        </w:rPr>
        <w:t>.</w:t>
      </w:r>
    </w:p>
    <w:p w14:paraId="389CFE3E" w14:textId="4C70826D" w:rsidR="00660C36" w:rsidRPr="00417121" w:rsidRDefault="00660C36"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In quella fase storica, benché vi fosse la consapevolezza della possibile </w:t>
      </w:r>
      <w:r w:rsidRPr="00417121">
        <w:rPr>
          <w:rFonts w:ascii="Simoncini Garamond" w:hAnsi="Simoncini Garamond" w:cs="Times New Roman"/>
          <w:bCs/>
          <w:i/>
          <w:color w:val="auto"/>
          <w:sz w:val="22"/>
          <w:szCs w:val="22"/>
        </w:rPr>
        <w:t>dimensione sociale della libertà di espressione</w:t>
      </w:r>
      <w:r w:rsidRPr="00417121">
        <w:rPr>
          <w:rFonts w:ascii="Simoncini Garamond" w:hAnsi="Simoncini Garamond" w:cs="Times New Roman"/>
          <w:bCs/>
          <w:iCs/>
          <w:color w:val="auto"/>
          <w:sz w:val="22"/>
          <w:szCs w:val="22"/>
        </w:rPr>
        <w:t xml:space="preserve"> (e della correlativa esigenza di </w:t>
      </w:r>
      <w:r w:rsidR="006D4C6A" w:rsidRPr="00417121">
        <w:rPr>
          <w:rFonts w:ascii="Simoncini Garamond" w:hAnsi="Simoncini Garamond" w:cs="Times New Roman"/>
          <w:bCs/>
          <w:iCs/>
          <w:color w:val="auto"/>
          <w:sz w:val="22"/>
          <w:szCs w:val="22"/>
        </w:rPr>
        <w:t>apprestare garanzie</w:t>
      </w:r>
      <w:r w:rsidRPr="00417121">
        <w:rPr>
          <w:rFonts w:ascii="Simoncini Garamond" w:hAnsi="Simoncini Garamond" w:cs="Times New Roman"/>
          <w:bCs/>
          <w:iCs/>
          <w:color w:val="auto"/>
          <w:sz w:val="22"/>
          <w:szCs w:val="22"/>
        </w:rPr>
        <w:t xml:space="preserve"> anche </w:t>
      </w:r>
      <w:r w:rsidR="006D4C6A" w:rsidRPr="00417121">
        <w:rPr>
          <w:rFonts w:ascii="Simoncini Garamond" w:hAnsi="Simoncini Garamond" w:cs="Times New Roman"/>
          <w:bCs/>
          <w:iCs/>
          <w:color w:val="auto"/>
          <w:sz w:val="22"/>
          <w:szCs w:val="22"/>
        </w:rPr>
        <w:t xml:space="preserve">per </w:t>
      </w:r>
      <w:r w:rsidRPr="00417121">
        <w:rPr>
          <w:rFonts w:ascii="Simoncini Garamond" w:hAnsi="Simoncini Garamond" w:cs="Times New Roman"/>
          <w:bCs/>
          <w:iCs/>
          <w:color w:val="auto"/>
          <w:sz w:val="22"/>
          <w:szCs w:val="22"/>
        </w:rPr>
        <w:t xml:space="preserve">i destinatari di ogni forma di espressione e comunicazione), prevaleva </w:t>
      </w:r>
      <w:r w:rsidR="006D4C6A" w:rsidRPr="00417121">
        <w:rPr>
          <w:rFonts w:ascii="Simoncini Garamond" w:hAnsi="Simoncini Garamond" w:cs="Times New Roman"/>
          <w:bCs/>
          <w:iCs/>
          <w:color w:val="auto"/>
          <w:sz w:val="22"/>
          <w:szCs w:val="22"/>
        </w:rPr>
        <w:t>di certo</w:t>
      </w:r>
      <w:r w:rsidRPr="00417121">
        <w:rPr>
          <w:rFonts w:ascii="Simoncini Garamond" w:hAnsi="Simoncini Garamond" w:cs="Times New Roman"/>
          <w:bCs/>
          <w:iCs/>
          <w:color w:val="auto"/>
          <w:sz w:val="22"/>
          <w:szCs w:val="22"/>
        </w:rPr>
        <w:t xml:space="preserve"> una lettura in chiave individualistica dell'articolo 21 Cost. e si riconosceva indubbia prevalenza al profilo attivo dell'attività di espressione e comunicazione piuttosto che a quello passivo</w:t>
      </w:r>
      <w:r w:rsidR="00741CB6" w:rsidRPr="00417121">
        <w:rPr>
          <w:rStyle w:val="Rimandonotaapidipagina"/>
          <w:rFonts w:ascii="Simoncini Garamond" w:hAnsi="Simoncini Garamond" w:cs="Times New Roman"/>
          <w:bCs/>
          <w:iCs/>
          <w:color w:val="auto"/>
          <w:sz w:val="22"/>
          <w:szCs w:val="22"/>
        </w:rPr>
        <w:footnoteReference w:id="10"/>
      </w:r>
      <w:r w:rsidRPr="00417121">
        <w:rPr>
          <w:rFonts w:ascii="Simoncini Garamond" w:hAnsi="Simoncini Garamond" w:cs="Times New Roman"/>
          <w:bCs/>
          <w:iCs/>
          <w:color w:val="auto"/>
          <w:sz w:val="22"/>
          <w:szCs w:val="22"/>
        </w:rPr>
        <w:t>.</w:t>
      </w:r>
    </w:p>
    <w:p w14:paraId="7D731AF1" w14:textId="5053F6A5" w:rsidR="001B636C" w:rsidRPr="00417121" w:rsidRDefault="00741CB6"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lastRenderedPageBreak/>
        <w:t xml:space="preserve">Con l'affermazione della comunicazione </w:t>
      </w:r>
      <w:r w:rsidRPr="00417121">
        <w:rPr>
          <w:rFonts w:ascii="Simoncini Garamond" w:hAnsi="Simoncini Garamond" w:cs="Times New Roman"/>
          <w:bCs/>
          <w:i/>
          <w:color w:val="auto"/>
          <w:sz w:val="22"/>
          <w:szCs w:val="22"/>
        </w:rPr>
        <w:t>via social</w:t>
      </w:r>
      <w:r w:rsidRPr="00417121">
        <w:rPr>
          <w:rFonts w:ascii="Simoncini Garamond" w:hAnsi="Simoncini Garamond" w:cs="Times New Roman"/>
          <w:bCs/>
          <w:iCs/>
          <w:color w:val="auto"/>
          <w:sz w:val="22"/>
          <w:szCs w:val="22"/>
        </w:rPr>
        <w:t xml:space="preserve"> i termini della questione vengono radicalmente modificati: </w:t>
      </w:r>
    </w:p>
    <w:p w14:paraId="608F9FE8" w14:textId="1FBB7E20" w:rsidR="000C7D31" w:rsidRPr="00417121" w:rsidRDefault="00741CB6"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Innanzitutto è venuto in larga parte meno il rischio che la libertà di espressione possa essere limitata o messa in pericolo da Autorità pubbliche (attraverso forme più o meno velate di censura) e si è fatta largo la consapevolezza per cui i veri rischi alla piena esplicazione di tale libertà possono ormai derivare solo da soggetti privati (siano essi i </w:t>
      </w:r>
      <w:r w:rsidRPr="00417121">
        <w:rPr>
          <w:rFonts w:ascii="Simoncini Garamond" w:hAnsi="Simoncini Garamond" w:cs="Times New Roman"/>
          <w:bCs/>
          <w:i/>
          <w:color w:val="auto"/>
          <w:sz w:val="22"/>
          <w:szCs w:val="22"/>
        </w:rPr>
        <w:t>signori dell'algoritmo</w:t>
      </w:r>
      <w:r w:rsidRPr="00417121">
        <w:rPr>
          <w:rFonts w:ascii="Simoncini Garamond" w:hAnsi="Simoncini Garamond" w:cs="Times New Roman"/>
          <w:bCs/>
          <w:iCs/>
          <w:color w:val="auto"/>
          <w:sz w:val="22"/>
          <w:szCs w:val="22"/>
        </w:rPr>
        <w:t>, ovvero gruppi di opinione variamente organizzati e comunque idonei ad influenzare gli orientamenti di vasti gruppi di utenti)</w:t>
      </w:r>
      <w:r w:rsidR="003C5380">
        <w:rPr>
          <w:rStyle w:val="Rimandonotaapidipagina"/>
          <w:rFonts w:ascii="Simoncini Garamond" w:hAnsi="Simoncini Garamond" w:cs="Times New Roman"/>
          <w:bCs/>
          <w:iCs/>
          <w:color w:val="auto"/>
          <w:sz w:val="22"/>
          <w:szCs w:val="22"/>
        </w:rPr>
        <w:footnoteReference w:id="11"/>
      </w:r>
      <w:r w:rsidR="000C7D31" w:rsidRPr="00417121">
        <w:rPr>
          <w:rFonts w:ascii="Simoncini Garamond" w:hAnsi="Simoncini Garamond" w:cs="Times New Roman"/>
          <w:bCs/>
          <w:iCs/>
          <w:color w:val="auto"/>
          <w:sz w:val="22"/>
          <w:szCs w:val="22"/>
        </w:rPr>
        <w:t>.</w:t>
      </w:r>
    </w:p>
    <w:p w14:paraId="279B5CF2" w14:textId="40420634" w:rsidR="001B636C" w:rsidRPr="00417121" w:rsidRDefault="000C7D31" w:rsidP="000C7D31">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Dal questo punto di vista resta legittima la domanda posta ormai alcuni anni orsono se gli algoritmi rappresentino uno strumento di libertà ovvero di dominio</w:t>
      </w:r>
      <w:r w:rsidRPr="00417121">
        <w:rPr>
          <w:rStyle w:val="Rimandonotaapidipagina"/>
          <w:rFonts w:ascii="Simoncini Garamond" w:hAnsi="Simoncini Garamond" w:cs="Times New Roman"/>
          <w:bCs/>
          <w:iCs/>
          <w:color w:val="auto"/>
          <w:sz w:val="22"/>
          <w:szCs w:val="22"/>
        </w:rPr>
        <w:footnoteReference w:id="12"/>
      </w:r>
      <w:r w:rsidRPr="00417121">
        <w:rPr>
          <w:rFonts w:ascii="Simoncini Garamond" w:hAnsi="Simoncini Garamond" w:cs="Times New Roman"/>
          <w:bCs/>
          <w:iCs/>
          <w:color w:val="auto"/>
          <w:sz w:val="22"/>
          <w:szCs w:val="22"/>
        </w:rPr>
        <w:t>.</w:t>
      </w:r>
    </w:p>
    <w:p w14:paraId="49F08481" w14:textId="7AF1A84C" w:rsidR="00DB7D8C" w:rsidRPr="00417121" w:rsidRDefault="006D4C6A"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In secondo luogo è emerso con chiarezza che, con l'esplosione del fenomeno dei</w:t>
      </w:r>
      <w:r w:rsidRPr="00417121">
        <w:rPr>
          <w:rFonts w:ascii="Simoncini Garamond" w:hAnsi="Simoncini Garamond" w:cs="Times New Roman"/>
          <w:bCs/>
          <w:i/>
          <w:color w:val="auto"/>
          <w:sz w:val="22"/>
          <w:szCs w:val="22"/>
        </w:rPr>
        <w:t xml:space="preserve"> social media</w:t>
      </w:r>
      <w:r w:rsidRPr="00417121">
        <w:rPr>
          <w:rFonts w:ascii="Simoncini Garamond" w:hAnsi="Simoncini Garamond" w:cs="Times New Roman"/>
          <w:bCs/>
          <w:iCs/>
          <w:color w:val="auto"/>
          <w:sz w:val="22"/>
          <w:szCs w:val="22"/>
        </w:rPr>
        <w:t>, i maggiori rischi di compressione dei propri diritti sociali non gravino più in capo al soggetto attivo della comunicazione, bensì in capo al suo soggetto passivo (</w:t>
      </w:r>
      <w:r w:rsidRPr="00417121">
        <w:rPr>
          <w:rFonts w:ascii="Simoncini Garamond" w:hAnsi="Simoncini Garamond" w:cs="Times New Roman"/>
          <w:bCs/>
          <w:i/>
          <w:color w:val="auto"/>
          <w:sz w:val="22"/>
          <w:szCs w:val="22"/>
        </w:rPr>
        <w:t>i.e</w:t>
      </w:r>
      <w:r w:rsidRPr="00417121">
        <w:rPr>
          <w:rFonts w:ascii="Simoncini Garamond" w:hAnsi="Simoncini Garamond" w:cs="Times New Roman"/>
          <w:bCs/>
          <w:iCs/>
          <w:color w:val="auto"/>
          <w:sz w:val="22"/>
          <w:szCs w:val="22"/>
        </w:rPr>
        <w:t xml:space="preserve">.: al </w:t>
      </w:r>
      <w:r w:rsidR="00A25750" w:rsidRPr="00417121">
        <w:rPr>
          <w:rFonts w:ascii="Simoncini Garamond" w:hAnsi="Simoncini Garamond" w:cs="Times New Roman"/>
          <w:bCs/>
          <w:iCs/>
          <w:color w:val="auto"/>
          <w:sz w:val="22"/>
          <w:szCs w:val="22"/>
        </w:rPr>
        <w:t xml:space="preserve">destinatario dell'attività di comunicazione </w:t>
      </w:r>
      <w:r w:rsidR="00A25750" w:rsidRPr="00417121">
        <w:rPr>
          <w:rFonts w:ascii="Simoncini Garamond" w:hAnsi="Simoncini Garamond" w:cs="Times New Roman"/>
          <w:bCs/>
          <w:i/>
          <w:color w:val="auto"/>
          <w:sz w:val="22"/>
          <w:szCs w:val="22"/>
        </w:rPr>
        <w:t>via social</w:t>
      </w:r>
      <w:r w:rsidRPr="00417121">
        <w:rPr>
          <w:rFonts w:ascii="Simoncini Garamond" w:hAnsi="Simoncini Garamond" w:cs="Times New Roman"/>
          <w:bCs/>
          <w:iCs/>
          <w:color w:val="auto"/>
          <w:sz w:val="22"/>
          <w:szCs w:val="22"/>
        </w:rPr>
        <w:t xml:space="preserve"> che più risulta vulnerabile di fronte ai rischi di manipolazione e disinformazione).</w:t>
      </w:r>
    </w:p>
    <w:p w14:paraId="416C07EB" w14:textId="56FBFF73" w:rsidR="006D4C6A" w:rsidRPr="00417121" w:rsidRDefault="006D4C6A" w:rsidP="006D4C6A">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
          <w:color w:val="auto"/>
          <w:sz w:val="22"/>
          <w:szCs w:val="22"/>
        </w:rPr>
        <w:t>Il secondo</w:t>
      </w:r>
      <w:r w:rsidRPr="00417121">
        <w:rPr>
          <w:rFonts w:ascii="Simoncini Garamond" w:hAnsi="Simoncini Garamond" w:cs="Times New Roman"/>
          <w:bCs/>
          <w:iCs/>
          <w:color w:val="auto"/>
          <w:sz w:val="22"/>
          <w:szCs w:val="22"/>
        </w:rPr>
        <w:t xml:space="preserve"> ambito di riflessione può essere anch'esso compendiato in </w:t>
      </w:r>
      <w:r w:rsidRPr="00417121">
        <w:rPr>
          <w:rFonts w:ascii="Simoncini Garamond" w:hAnsi="Simoncini Garamond" w:cs="Times New Roman"/>
          <w:bCs/>
          <w:iCs/>
          <w:color w:val="auto"/>
          <w:sz w:val="22"/>
          <w:szCs w:val="22"/>
        </w:rPr>
        <w:lastRenderedPageBreak/>
        <w:t xml:space="preserve">un breve interrogativo: </w:t>
      </w:r>
      <w:r w:rsidRPr="00417121">
        <w:rPr>
          <w:rFonts w:ascii="Simoncini Garamond" w:hAnsi="Simoncini Garamond" w:cs="Times New Roman"/>
          <w:bCs/>
          <w:i/>
          <w:color w:val="auto"/>
          <w:sz w:val="22"/>
          <w:szCs w:val="22"/>
        </w:rPr>
        <w:t>a</w:t>
      </w:r>
      <w:r w:rsidR="00B47580" w:rsidRPr="00417121">
        <w:rPr>
          <w:rFonts w:ascii="Simoncini Garamond" w:hAnsi="Simoncini Garamond" w:cs="Times New Roman"/>
          <w:bCs/>
          <w:i/>
          <w:color w:val="auto"/>
          <w:sz w:val="22"/>
          <w:szCs w:val="22"/>
        </w:rPr>
        <w:t>nche ad a</w:t>
      </w:r>
      <w:r w:rsidRPr="00417121">
        <w:rPr>
          <w:rFonts w:ascii="Simoncini Garamond" w:hAnsi="Simoncini Garamond" w:cs="Times New Roman"/>
          <w:bCs/>
          <w:i/>
          <w:color w:val="auto"/>
          <w:sz w:val="22"/>
          <w:szCs w:val="22"/>
        </w:rPr>
        <w:t>mmette</w:t>
      </w:r>
      <w:r w:rsidR="00B47580" w:rsidRPr="00417121">
        <w:rPr>
          <w:rFonts w:ascii="Simoncini Garamond" w:hAnsi="Simoncini Garamond" w:cs="Times New Roman"/>
          <w:bCs/>
          <w:i/>
          <w:color w:val="auto"/>
          <w:sz w:val="22"/>
          <w:szCs w:val="22"/>
        </w:rPr>
        <w:t>re</w:t>
      </w:r>
      <w:r w:rsidRPr="00417121">
        <w:rPr>
          <w:rFonts w:ascii="Simoncini Garamond" w:hAnsi="Simoncini Garamond" w:cs="Times New Roman"/>
          <w:bCs/>
          <w:i/>
          <w:color w:val="auto"/>
          <w:sz w:val="22"/>
          <w:szCs w:val="22"/>
        </w:rPr>
        <w:t xml:space="preserve"> che l'evoluzione dei social media giustifichi nuove forme di limitazione della libertà individuale di espressione, quale è la </w:t>
      </w:r>
      <w:proofErr w:type="spellStart"/>
      <w:r w:rsidRPr="00417121">
        <w:rPr>
          <w:rFonts w:ascii="Simoncini Garamond" w:hAnsi="Simoncini Garamond" w:cs="Times New Roman"/>
          <w:bCs/>
          <w:iCs/>
          <w:color w:val="auto"/>
          <w:sz w:val="22"/>
          <w:szCs w:val="22"/>
        </w:rPr>
        <w:t>sedes</w:t>
      </w:r>
      <w:proofErr w:type="spellEnd"/>
      <w:r w:rsidRPr="00417121">
        <w:rPr>
          <w:rFonts w:ascii="Simoncini Garamond" w:hAnsi="Simoncini Garamond" w:cs="Times New Roman"/>
          <w:bCs/>
          <w:i/>
          <w:color w:val="auto"/>
          <w:sz w:val="22"/>
          <w:szCs w:val="22"/>
        </w:rPr>
        <w:t xml:space="preserve"> pubblica idonea e/o legittimata a introdurre tali forme di limitazione?</w:t>
      </w:r>
    </w:p>
    <w:p w14:paraId="3CB012A7" w14:textId="34C0C55F" w:rsidR="007E08CA" w:rsidRPr="00417121" w:rsidRDefault="006D4C6A"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Il tema qui sinteticamente evocato si ricollega evidentemente al precedente: se si ammette che la libertà di manifestazione del pensiero non vada scrutinata</w:t>
      </w:r>
      <w:r w:rsidR="00A25750" w:rsidRPr="00417121">
        <w:rPr>
          <w:rFonts w:ascii="Simoncini Garamond" w:hAnsi="Simoncini Garamond" w:cs="Times New Roman"/>
          <w:bCs/>
          <w:iCs/>
          <w:color w:val="auto"/>
          <w:sz w:val="22"/>
          <w:szCs w:val="22"/>
        </w:rPr>
        <w:t xml:space="preserve"> </w:t>
      </w:r>
      <w:r w:rsidRPr="00417121">
        <w:rPr>
          <w:rFonts w:ascii="Simoncini Garamond" w:hAnsi="Simoncini Garamond" w:cs="Times New Roman"/>
          <w:bCs/>
          <w:iCs/>
          <w:color w:val="auto"/>
          <w:sz w:val="22"/>
          <w:szCs w:val="22"/>
        </w:rPr>
        <w:t xml:space="preserve">solo </w:t>
      </w:r>
      <w:r w:rsidR="00D37F62" w:rsidRPr="00417121">
        <w:rPr>
          <w:rFonts w:ascii="Simoncini Garamond" w:hAnsi="Simoncini Garamond" w:cs="Times New Roman"/>
          <w:bCs/>
          <w:iCs/>
          <w:color w:val="auto"/>
          <w:sz w:val="22"/>
          <w:szCs w:val="22"/>
        </w:rPr>
        <w:t>dal suo versante</w:t>
      </w:r>
      <w:r w:rsidRPr="00417121">
        <w:rPr>
          <w:rFonts w:ascii="Simoncini Garamond" w:hAnsi="Simoncini Garamond" w:cs="Times New Roman"/>
          <w:bCs/>
          <w:iCs/>
          <w:color w:val="auto"/>
          <w:sz w:val="22"/>
          <w:szCs w:val="22"/>
        </w:rPr>
        <w:t xml:space="preserve"> attivo (ma anche </w:t>
      </w:r>
      <w:r w:rsidR="00B47580" w:rsidRPr="00417121">
        <w:rPr>
          <w:rFonts w:ascii="Simoncini Garamond" w:hAnsi="Simoncini Garamond" w:cs="Times New Roman"/>
          <w:bCs/>
          <w:iCs/>
          <w:color w:val="auto"/>
          <w:sz w:val="22"/>
          <w:szCs w:val="22"/>
        </w:rPr>
        <w:t>in</w:t>
      </w:r>
      <w:r w:rsidRPr="00417121">
        <w:rPr>
          <w:rFonts w:ascii="Simoncini Garamond" w:hAnsi="Simoncini Garamond" w:cs="Times New Roman"/>
          <w:bCs/>
          <w:iCs/>
          <w:color w:val="auto"/>
          <w:sz w:val="22"/>
          <w:szCs w:val="22"/>
        </w:rPr>
        <w:t xml:space="preserve"> quello passivo) e se si </w:t>
      </w:r>
      <w:r w:rsidR="00B47580" w:rsidRPr="00417121">
        <w:rPr>
          <w:rFonts w:ascii="Simoncini Garamond" w:hAnsi="Simoncini Garamond" w:cs="Times New Roman"/>
          <w:bCs/>
          <w:iCs/>
          <w:color w:val="auto"/>
          <w:sz w:val="22"/>
          <w:szCs w:val="22"/>
        </w:rPr>
        <w:t xml:space="preserve">amplia la riflessione sulla dimensione sociale di ogni attività di espressione/comunicazione, si devono conseguentemente ammettere forme più o meno incisive di </w:t>
      </w:r>
      <w:r w:rsidR="00B47580" w:rsidRPr="00417121">
        <w:rPr>
          <w:rFonts w:ascii="Simoncini Garamond" w:hAnsi="Simoncini Garamond" w:cs="Times New Roman"/>
          <w:bCs/>
          <w:i/>
          <w:color w:val="auto"/>
          <w:sz w:val="22"/>
          <w:szCs w:val="22"/>
        </w:rPr>
        <w:t>funzionalizzazione</w:t>
      </w:r>
      <w:r w:rsidR="00B47580" w:rsidRPr="00417121">
        <w:rPr>
          <w:rFonts w:ascii="Simoncini Garamond" w:hAnsi="Simoncini Garamond" w:cs="Times New Roman"/>
          <w:bCs/>
          <w:iCs/>
          <w:color w:val="auto"/>
          <w:sz w:val="22"/>
          <w:szCs w:val="22"/>
        </w:rPr>
        <w:t xml:space="preserve"> dell'esercizio concreto di tale diritto</w:t>
      </w:r>
      <w:r w:rsidR="00B47580" w:rsidRPr="00417121">
        <w:rPr>
          <w:rStyle w:val="Rimandonotaapidipagina"/>
          <w:rFonts w:ascii="Simoncini Garamond" w:hAnsi="Simoncini Garamond" w:cs="Times New Roman"/>
          <w:bCs/>
          <w:iCs/>
          <w:color w:val="auto"/>
          <w:sz w:val="22"/>
          <w:szCs w:val="22"/>
        </w:rPr>
        <w:footnoteReference w:id="13"/>
      </w:r>
      <w:r w:rsidR="00B47580" w:rsidRPr="00417121">
        <w:rPr>
          <w:rFonts w:ascii="Simoncini Garamond" w:hAnsi="Simoncini Garamond" w:cs="Times New Roman"/>
          <w:bCs/>
          <w:iCs/>
          <w:color w:val="auto"/>
          <w:sz w:val="22"/>
          <w:szCs w:val="22"/>
        </w:rPr>
        <w:t>.</w:t>
      </w:r>
    </w:p>
    <w:p w14:paraId="2518B807" w14:textId="19427392" w:rsidR="007E08CA" w:rsidRPr="00417121" w:rsidRDefault="00B47580"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Evidentemente, in una dimensione puramente individualistica dell'esercizio della libertà di espressione, risulta piuttosto difficile ammettere limitazioni 'in negativo' </w:t>
      </w:r>
      <w:r w:rsidR="001A3004" w:rsidRPr="00417121">
        <w:rPr>
          <w:rFonts w:ascii="Simoncini Garamond" w:hAnsi="Simoncini Garamond" w:cs="Times New Roman"/>
          <w:bCs/>
          <w:iCs/>
          <w:color w:val="auto"/>
          <w:sz w:val="22"/>
          <w:szCs w:val="22"/>
        </w:rPr>
        <w:t xml:space="preserve">di tale esercizio. Risulta in particolare ben difficile ipotizzare </w:t>
      </w:r>
      <w:r w:rsidRPr="00417121">
        <w:rPr>
          <w:rFonts w:ascii="Simoncini Garamond" w:hAnsi="Simoncini Garamond" w:cs="Times New Roman"/>
          <w:bCs/>
          <w:iCs/>
          <w:color w:val="auto"/>
          <w:sz w:val="22"/>
          <w:szCs w:val="22"/>
        </w:rPr>
        <w:t xml:space="preserve">una sorta di generalizzato </w:t>
      </w:r>
      <w:r w:rsidRPr="00417121">
        <w:rPr>
          <w:rFonts w:ascii="Simoncini Garamond" w:hAnsi="Simoncini Garamond" w:cs="Times New Roman"/>
          <w:bCs/>
          <w:i/>
          <w:color w:val="auto"/>
          <w:sz w:val="22"/>
          <w:szCs w:val="22"/>
        </w:rPr>
        <w:t>dovere di verità</w:t>
      </w:r>
      <w:r w:rsidRPr="00417121">
        <w:rPr>
          <w:rFonts w:ascii="Simoncini Garamond" w:hAnsi="Simoncini Garamond" w:cs="Times New Roman"/>
          <w:bCs/>
          <w:iCs/>
          <w:color w:val="auto"/>
          <w:sz w:val="22"/>
          <w:szCs w:val="22"/>
        </w:rPr>
        <w:t>, ovvero il sostanziale divieto di diffondere idee oggettivamente non ver</w:t>
      </w:r>
      <w:r w:rsidR="001A3004" w:rsidRPr="00417121">
        <w:rPr>
          <w:rFonts w:ascii="Simoncini Garamond" w:hAnsi="Simoncini Garamond" w:cs="Times New Roman"/>
          <w:bCs/>
          <w:iCs/>
          <w:color w:val="auto"/>
          <w:sz w:val="22"/>
          <w:szCs w:val="22"/>
        </w:rPr>
        <w:t>itier</w:t>
      </w:r>
      <w:r w:rsidRPr="00417121">
        <w:rPr>
          <w:rFonts w:ascii="Simoncini Garamond" w:hAnsi="Simoncini Garamond" w:cs="Times New Roman"/>
          <w:bCs/>
          <w:iCs/>
          <w:color w:val="auto"/>
          <w:sz w:val="22"/>
          <w:szCs w:val="22"/>
        </w:rPr>
        <w:t xml:space="preserve">e (o </w:t>
      </w:r>
      <w:r w:rsidR="00C53412" w:rsidRPr="00417121">
        <w:rPr>
          <w:rFonts w:ascii="Simoncini Garamond" w:hAnsi="Simoncini Garamond" w:cs="Times New Roman"/>
          <w:bCs/>
          <w:iCs/>
          <w:color w:val="auto"/>
          <w:sz w:val="22"/>
          <w:szCs w:val="22"/>
        </w:rPr>
        <w:t xml:space="preserve">anche solo </w:t>
      </w:r>
      <w:r w:rsidRPr="00417121">
        <w:rPr>
          <w:rFonts w:ascii="Simoncini Garamond" w:hAnsi="Simoncini Garamond" w:cs="Times New Roman"/>
          <w:bCs/>
          <w:iCs/>
          <w:color w:val="auto"/>
          <w:sz w:val="22"/>
          <w:szCs w:val="22"/>
        </w:rPr>
        <w:t xml:space="preserve">non esatte) ovvero ancora un generalizzato dovere di continenza </w:t>
      </w:r>
      <w:r w:rsidR="001A3004" w:rsidRPr="00417121">
        <w:rPr>
          <w:rFonts w:ascii="Simoncini Garamond" w:hAnsi="Simoncini Garamond" w:cs="Times New Roman"/>
          <w:bCs/>
          <w:iCs/>
          <w:color w:val="auto"/>
          <w:sz w:val="22"/>
          <w:szCs w:val="22"/>
        </w:rPr>
        <w:t xml:space="preserve">(il quale riconosca, in ultima analisi, alla nozione di </w:t>
      </w:r>
      <w:r w:rsidR="001A3004" w:rsidRPr="00417121">
        <w:rPr>
          <w:rFonts w:ascii="Simoncini Garamond" w:hAnsi="Simoncini Garamond" w:cs="Times New Roman"/>
          <w:bCs/>
          <w:i/>
          <w:color w:val="auto"/>
          <w:sz w:val="22"/>
          <w:szCs w:val="22"/>
        </w:rPr>
        <w:t>ordine pubblico</w:t>
      </w:r>
      <w:r w:rsidR="001A3004" w:rsidRPr="00417121">
        <w:rPr>
          <w:rFonts w:ascii="Simoncini Garamond" w:hAnsi="Simoncini Garamond" w:cs="Times New Roman"/>
          <w:bCs/>
          <w:iCs/>
          <w:color w:val="auto"/>
          <w:sz w:val="22"/>
          <w:szCs w:val="22"/>
        </w:rPr>
        <w:t xml:space="preserve"> il valore di 'norma </w:t>
      </w:r>
      <w:proofErr w:type="spellStart"/>
      <w:r w:rsidR="001A3004" w:rsidRPr="00417121">
        <w:rPr>
          <w:rFonts w:ascii="Simoncini Garamond" w:hAnsi="Simoncini Garamond" w:cs="Times New Roman"/>
          <w:bCs/>
          <w:iCs/>
          <w:color w:val="auto"/>
          <w:sz w:val="22"/>
          <w:szCs w:val="22"/>
        </w:rPr>
        <w:t>parametro'</w:t>
      </w:r>
      <w:proofErr w:type="spellEnd"/>
      <w:r w:rsidR="001A3004" w:rsidRPr="00417121">
        <w:rPr>
          <w:rFonts w:ascii="Simoncini Garamond" w:hAnsi="Simoncini Garamond" w:cs="Times New Roman"/>
          <w:bCs/>
          <w:iCs/>
          <w:color w:val="auto"/>
          <w:sz w:val="22"/>
          <w:szCs w:val="22"/>
        </w:rPr>
        <w:t xml:space="preserve"> per ogni forma di espressione</w:t>
      </w:r>
      <w:r w:rsidR="00051A55" w:rsidRPr="00417121">
        <w:rPr>
          <w:rFonts w:ascii="Simoncini Garamond" w:hAnsi="Simoncini Garamond" w:cs="Times New Roman"/>
          <w:bCs/>
          <w:iCs/>
          <w:color w:val="auto"/>
          <w:sz w:val="22"/>
          <w:szCs w:val="22"/>
        </w:rPr>
        <w:t xml:space="preserve"> individuale)</w:t>
      </w:r>
      <w:r w:rsidR="001A3004" w:rsidRPr="00417121">
        <w:rPr>
          <w:rStyle w:val="Rimandonotaapidipagina"/>
          <w:rFonts w:ascii="Simoncini Garamond" w:hAnsi="Simoncini Garamond" w:cs="Times New Roman"/>
          <w:bCs/>
          <w:iCs/>
          <w:color w:val="auto"/>
          <w:sz w:val="22"/>
          <w:szCs w:val="22"/>
        </w:rPr>
        <w:footnoteReference w:id="14"/>
      </w:r>
      <w:r w:rsidR="001A3004" w:rsidRPr="00417121">
        <w:rPr>
          <w:rFonts w:ascii="Simoncini Garamond" w:hAnsi="Simoncini Garamond" w:cs="Times New Roman"/>
          <w:bCs/>
          <w:iCs/>
          <w:color w:val="auto"/>
          <w:sz w:val="22"/>
          <w:szCs w:val="22"/>
        </w:rPr>
        <w:t>.</w:t>
      </w:r>
    </w:p>
    <w:p w14:paraId="523A474C" w14:textId="49212CF9" w:rsidR="00A25750" w:rsidRPr="00417121" w:rsidRDefault="00A25750" w:rsidP="00205525">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Del resto la stessa giurisprudenza penale, nel riconoscere al dovere di continenza formale il ruolo di limite al (legittimo) diritto di critica (quale declinazione della libertà di manifestazione si cui all'articolo 21, Cost.), ha tuttavia chiarito </w:t>
      </w:r>
      <w:r w:rsidR="00205525" w:rsidRPr="00417121">
        <w:rPr>
          <w:rFonts w:ascii="Simoncini Garamond" w:hAnsi="Simoncini Garamond" w:cs="Times New Roman"/>
          <w:bCs/>
          <w:iCs/>
          <w:color w:val="auto"/>
          <w:sz w:val="22"/>
          <w:szCs w:val="22"/>
        </w:rPr>
        <w:t>che non è incompatibile con tale dovere l'uso di termini che, pur se oggettivamente offensivi, risultino insostituibili ai fini della libertà di manifestazione del pensiero critico, per non esservi adeguati equivalenti</w:t>
      </w:r>
      <w:r w:rsidR="00205525" w:rsidRPr="00417121">
        <w:rPr>
          <w:rStyle w:val="Rimandonotaapidipagina"/>
          <w:rFonts w:ascii="Simoncini Garamond" w:hAnsi="Simoncini Garamond" w:cs="Times New Roman"/>
          <w:bCs/>
          <w:iCs/>
          <w:color w:val="auto"/>
          <w:sz w:val="22"/>
          <w:szCs w:val="22"/>
        </w:rPr>
        <w:footnoteReference w:id="15"/>
      </w:r>
      <w:r w:rsidR="00205525" w:rsidRPr="00417121">
        <w:rPr>
          <w:rFonts w:ascii="Simoncini Garamond" w:hAnsi="Simoncini Garamond" w:cs="Times New Roman"/>
          <w:bCs/>
          <w:iCs/>
          <w:color w:val="auto"/>
          <w:sz w:val="22"/>
          <w:szCs w:val="22"/>
        </w:rPr>
        <w:t>.</w:t>
      </w:r>
    </w:p>
    <w:p w14:paraId="7AA4A9D7" w14:textId="181668B3" w:rsidR="006D4C6A" w:rsidRPr="00417121" w:rsidRDefault="001A3004"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Ma il risultato </w:t>
      </w:r>
      <w:r w:rsidR="00C53412" w:rsidRPr="00417121">
        <w:rPr>
          <w:rFonts w:ascii="Simoncini Garamond" w:hAnsi="Simoncini Garamond" w:cs="Times New Roman"/>
          <w:bCs/>
          <w:iCs/>
          <w:color w:val="auto"/>
          <w:sz w:val="22"/>
          <w:szCs w:val="22"/>
        </w:rPr>
        <w:t xml:space="preserve">ultimo </w:t>
      </w:r>
      <w:r w:rsidRPr="00417121">
        <w:rPr>
          <w:rFonts w:ascii="Simoncini Garamond" w:hAnsi="Simoncini Garamond" w:cs="Times New Roman"/>
          <w:bCs/>
          <w:iCs/>
          <w:color w:val="auto"/>
          <w:sz w:val="22"/>
          <w:szCs w:val="22"/>
        </w:rPr>
        <w:t xml:space="preserve">di tale riflessione muta radicalmente laddove (nell'ambito dell'attività di espressione e comunicazione) si riconosca rilievo centrale al momento sociale e relazionale (come è sostanzialmente fisiologico a fronte delle nuove forme di comunicazione </w:t>
      </w:r>
      <w:r w:rsidRPr="00417121">
        <w:rPr>
          <w:rFonts w:ascii="Simoncini Garamond" w:hAnsi="Simoncini Garamond" w:cs="Times New Roman"/>
          <w:bCs/>
          <w:i/>
          <w:color w:val="auto"/>
          <w:sz w:val="22"/>
          <w:szCs w:val="22"/>
        </w:rPr>
        <w:t>via media</w:t>
      </w:r>
      <w:r w:rsidRPr="00417121">
        <w:rPr>
          <w:rFonts w:ascii="Simoncini Garamond" w:hAnsi="Simoncini Garamond" w:cs="Times New Roman"/>
          <w:bCs/>
          <w:iCs/>
          <w:color w:val="auto"/>
          <w:sz w:val="22"/>
          <w:szCs w:val="22"/>
        </w:rPr>
        <w:t>)</w:t>
      </w:r>
      <w:r w:rsidR="00C53412" w:rsidRPr="00417121">
        <w:rPr>
          <w:rFonts w:ascii="Simoncini Garamond" w:hAnsi="Simoncini Garamond" w:cs="Times New Roman"/>
          <w:bCs/>
          <w:iCs/>
          <w:color w:val="auto"/>
          <w:sz w:val="22"/>
          <w:szCs w:val="22"/>
        </w:rPr>
        <w:t xml:space="preserve"> e si conferisca pari dignità assiologica al soggetto passivo dell'attività di comunicazione (</w:t>
      </w:r>
      <w:r w:rsidR="00C53412" w:rsidRPr="00417121">
        <w:rPr>
          <w:rFonts w:ascii="Simoncini Garamond" w:hAnsi="Simoncini Garamond" w:cs="Times New Roman"/>
          <w:bCs/>
          <w:i/>
          <w:color w:val="auto"/>
          <w:sz w:val="22"/>
          <w:szCs w:val="22"/>
        </w:rPr>
        <w:t>i.e</w:t>
      </w:r>
      <w:r w:rsidR="00C53412" w:rsidRPr="00417121">
        <w:rPr>
          <w:rFonts w:ascii="Simoncini Garamond" w:hAnsi="Simoncini Garamond" w:cs="Times New Roman"/>
          <w:bCs/>
          <w:iCs/>
          <w:color w:val="auto"/>
          <w:sz w:val="22"/>
          <w:szCs w:val="22"/>
        </w:rPr>
        <w:t>.: al suo destinatario finale)</w:t>
      </w:r>
      <w:r w:rsidRPr="00417121">
        <w:rPr>
          <w:rFonts w:ascii="Simoncini Garamond" w:hAnsi="Simoncini Garamond" w:cs="Times New Roman"/>
          <w:bCs/>
          <w:iCs/>
          <w:color w:val="auto"/>
          <w:sz w:val="22"/>
          <w:szCs w:val="22"/>
        </w:rPr>
        <w:t>.</w:t>
      </w:r>
    </w:p>
    <w:p w14:paraId="172C705B" w14:textId="0B61E0A9" w:rsidR="001A3004" w:rsidRPr="00417121" w:rsidRDefault="001A3004"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Impostati in tal modo i termini della questione diviene oggettivamente più agevole ipotizzare (e quindi, giustificare in concreto) forme più o </w:t>
      </w:r>
      <w:r w:rsidRPr="00417121">
        <w:rPr>
          <w:rFonts w:ascii="Simoncini Garamond" w:hAnsi="Simoncini Garamond" w:cs="Times New Roman"/>
          <w:bCs/>
          <w:iCs/>
          <w:color w:val="auto"/>
          <w:sz w:val="22"/>
          <w:szCs w:val="22"/>
        </w:rPr>
        <w:lastRenderedPageBreak/>
        <w:t xml:space="preserve">meno incisive di </w:t>
      </w:r>
      <w:r w:rsidRPr="00417121">
        <w:rPr>
          <w:rFonts w:ascii="Simoncini Garamond" w:hAnsi="Simoncini Garamond" w:cs="Times New Roman"/>
          <w:bCs/>
          <w:i/>
          <w:color w:val="auto"/>
          <w:sz w:val="22"/>
          <w:szCs w:val="22"/>
        </w:rPr>
        <w:t>funzionalizzazione</w:t>
      </w:r>
      <w:r w:rsidRPr="00417121">
        <w:rPr>
          <w:rFonts w:ascii="Simoncini Garamond" w:hAnsi="Simoncini Garamond" w:cs="Times New Roman"/>
          <w:bCs/>
          <w:iCs/>
          <w:color w:val="auto"/>
          <w:sz w:val="22"/>
          <w:szCs w:val="22"/>
        </w:rPr>
        <w:t xml:space="preserve"> dell'attività di espressione e comunicazione. Viene quindi ammesso (e talvolta ritenuto persino doveroso) che si introducano forme </w:t>
      </w:r>
      <w:r w:rsidR="00205525" w:rsidRPr="00417121">
        <w:rPr>
          <w:rFonts w:ascii="Simoncini Garamond" w:hAnsi="Simoncini Garamond" w:cs="Times New Roman"/>
          <w:bCs/>
          <w:iCs/>
          <w:color w:val="auto"/>
          <w:sz w:val="22"/>
          <w:szCs w:val="22"/>
        </w:rPr>
        <w:t xml:space="preserve">anche incisive </w:t>
      </w:r>
      <w:r w:rsidRPr="00417121">
        <w:rPr>
          <w:rFonts w:ascii="Simoncini Garamond" w:hAnsi="Simoncini Garamond" w:cs="Times New Roman"/>
          <w:bCs/>
          <w:iCs/>
          <w:color w:val="auto"/>
          <w:sz w:val="22"/>
          <w:szCs w:val="22"/>
        </w:rPr>
        <w:t xml:space="preserve">di limitazione di tale attività </w:t>
      </w:r>
      <w:r w:rsidR="00205525" w:rsidRPr="00417121">
        <w:rPr>
          <w:rFonts w:ascii="Simoncini Garamond" w:hAnsi="Simoncini Garamond" w:cs="Times New Roman"/>
          <w:bCs/>
          <w:iCs/>
          <w:color w:val="auto"/>
          <w:sz w:val="22"/>
          <w:szCs w:val="22"/>
        </w:rPr>
        <w:t xml:space="preserve">se e </w:t>
      </w:r>
      <w:r w:rsidRPr="00417121">
        <w:rPr>
          <w:rFonts w:ascii="Simoncini Garamond" w:hAnsi="Simoncini Garamond" w:cs="Times New Roman"/>
          <w:bCs/>
          <w:iCs/>
          <w:color w:val="auto"/>
          <w:sz w:val="22"/>
          <w:szCs w:val="22"/>
        </w:rPr>
        <w:t>in quanto vòlte a prevenire fenomeni connotati da un nuovo - e ampiamente riconosciuto - disvalore sociale, quali l'</w:t>
      </w:r>
      <w:r w:rsidRPr="00417121">
        <w:rPr>
          <w:rFonts w:ascii="Simoncini Garamond" w:hAnsi="Simoncini Garamond" w:cs="Times New Roman"/>
          <w:bCs/>
          <w:i/>
          <w:color w:val="auto"/>
          <w:sz w:val="22"/>
          <w:szCs w:val="22"/>
        </w:rPr>
        <w:t>hate speech</w:t>
      </w:r>
      <w:r w:rsidRPr="00417121">
        <w:rPr>
          <w:rFonts w:ascii="Simoncini Garamond" w:hAnsi="Simoncini Garamond" w:cs="Times New Roman"/>
          <w:bCs/>
          <w:iCs/>
          <w:color w:val="auto"/>
          <w:sz w:val="22"/>
          <w:szCs w:val="22"/>
        </w:rPr>
        <w:t xml:space="preserve"> o la diffusione di </w:t>
      </w:r>
      <w:r w:rsidRPr="00417121">
        <w:rPr>
          <w:rFonts w:ascii="Simoncini Garamond" w:hAnsi="Simoncini Garamond" w:cs="Times New Roman"/>
          <w:bCs/>
          <w:i/>
          <w:color w:val="auto"/>
          <w:sz w:val="22"/>
          <w:szCs w:val="22"/>
        </w:rPr>
        <w:t>fake news</w:t>
      </w:r>
      <w:r w:rsidRPr="00417121">
        <w:rPr>
          <w:rStyle w:val="Rimandonotaapidipagina"/>
          <w:rFonts w:ascii="Simoncini Garamond" w:hAnsi="Simoncini Garamond" w:cs="Times New Roman"/>
          <w:bCs/>
          <w:i/>
          <w:color w:val="auto"/>
          <w:sz w:val="22"/>
          <w:szCs w:val="22"/>
        </w:rPr>
        <w:footnoteReference w:id="16"/>
      </w:r>
      <w:r w:rsidRPr="00417121">
        <w:rPr>
          <w:rFonts w:ascii="Simoncini Garamond" w:hAnsi="Simoncini Garamond" w:cs="Times New Roman"/>
          <w:bCs/>
          <w:iCs/>
          <w:color w:val="auto"/>
          <w:sz w:val="22"/>
          <w:szCs w:val="22"/>
        </w:rPr>
        <w:t xml:space="preserve"> </w:t>
      </w:r>
    </w:p>
    <w:p w14:paraId="200F7DA0" w14:textId="344E6F73" w:rsidR="006D4C6A" w:rsidRPr="00417121" w:rsidRDefault="001A3004"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E anche ad ammettere che (pur in assenza di una protezione costituzionale dal falso in quanto tale) </w:t>
      </w:r>
      <w:r w:rsidR="00051A55" w:rsidRPr="00417121">
        <w:rPr>
          <w:rFonts w:ascii="Simoncini Garamond" w:hAnsi="Simoncini Garamond" w:cs="Times New Roman"/>
          <w:bCs/>
          <w:iCs/>
          <w:color w:val="auto"/>
          <w:sz w:val="22"/>
          <w:szCs w:val="22"/>
        </w:rPr>
        <w:t>tali nuovi forme di limitazione alla manifestazione del pensiero - sostanzialmente implicite e atipiche - abbiano una piena giustificazione costituzionale, vi è da domandarsi quale sia il livello di regolazione legittimato ad introdurle.</w:t>
      </w:r>
    </w:p>
    <w:p w14:paraId="4B4785B4" w14:textId="130058DF" w:rsidR="00051A55" w:rsidRPr="00417121" w:rsidRDefault="00051A55"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Va premesso che, pur non volendo sminuire la rilevanza di strumenti di matrice privatistica quali i codici di autoregolamentazione o le regole di condotta (variamente denominate) imposte dagli stessi gestori delle piattaforme, </w:t>
      </w:r>
      <w:r w:rsidR="00AD3FB4" w:rsidRPr="00417121">
        <w:rPr>
          <w:rFonts w:ascii="Simoncini Garamond" w:hAnsi="Simoncini Garamond" w:cs="Times New Roman"/>
          <w:bCs/>
          <w:iCs/>
          <w:color w:val="auto"/>
          <w:sz w:val="22"/>
          <w:szCs w:val="22"/>
        </w:rPr>
        <w:t xml:space="preserve">il vero tema che </w:t>
      </w:r>
      <w:r w:rsidRPr="00417121">
        <w:rPr>
          <w:rFonts w:ascii="Simoncini Garamond" w:hAnsi="Simoncini Garamond" w:cs="Times New Roman"/>
          <w:bCs/>
          <w:iCs/>
          <w:color w:val="auto"/>
          <w:sz w:val="22"/>
          <w:szCs w:val="22"/>
        </w:rPr>
        <w:t xml:space="preserve">si pone con evidenza </w:t>
      </w:r>
      <w:r w:rsidR="00AD3FB4" w:rsidRPr="00417121">
        <w:rPr>
          <w:rFonts w:ascii="Simoncini Garamond" w:hAnsi="Simoncini Garamond" w:cs="Times New Roman"/>
          <w:bCs/>
          <w:iCs/>
          <w:color w:val="auto"/>
          <w:sz w:val="22"/>
          <w:szCs w:val="22"/>
        </w:rPr>
        <w:t>è quello</w:t>
      </w:r>
      <w:r w:rsidRPr="00417121">
        <w:rPr>
          <w:rFonts w:ascii="Simoncini Garamond" w:hAnsi="Simoncini Garamond" w:cs="Times New Roman"/>
          <w:bCs/>
          <w:iCs/>
          <w:color w:val="auto"/>
          <w:sz w:val="22"/>
          <w:szCs w:val="22"/>
        </w:rPr>
        <w:t xml:space="preserve"> dell'individuazione del </w:t>
      </w:r>
      <w:r w:rsidRPr="00417121">
        <w:rPr>
          <w:rFonts w:ascii="Simoncini Garamond" w:hAnsi="Simoncini Garamond" w:cs="Times New Roman"/>
          <w:bCs/>
          <w:i/>
          <w:color w:val="auto"/>
          <w:sz w:val="22"/>
          <w:szCs w:val="22"/>
        </w:rPr>
        <w:t>livello di regolazione pubblica</w:t>
      </w:r>
      <w:r w:rsidRPr="00417121">
        <w:rPr>
          <w:rFonts w:ascii="Simoncini Garamond" w:hAnsi="Simoncini Garamond" w:cs="Times New Roman"/>
          <w:bCs/>
          <w:iCs/>
          <w:color w:val="auto"/>
          <w:sz w:val="22"/>
          <w:szCs w:val="22"/>
        </w:rPr>
        <w:t xml:space="preserve"> legittimato a introdurre, in sostanza, limitazioni a un diritto di </w:t>
      </w:r>
      <w:r w:rsidR="00205525" w:rsidRPr="00417121">
        <w:rPr>
          <w:rFonts w:ascii="Simoncini Garamond" w:hAnsi="Simoncini Garamond" w:cs="Times New Roman"/>
          <w:bCs/>
          <w:iCs/>
          <w:color w:val="auto"/>
          <w:sz w:val="22"/>
          <w:szCs w:val="22"/>
        </w:rPr>
        <w:t>sicur</w:t>
      </w:r>
      <w:r w:rsidRPr="00417121">
        <w:rPr>
          <w:rFonts w:ascii="Simoncini Garamond" w:hAnsi="Simoncini Garamond" w:cs="Times New Roman"/>
          <w:bCs/>
          <w:iCs/>
          <w:color w:val="auto"/>
          <w:sz w:val="22"/>
          <w:szCs w:val="22"/>
        </w:rPr>
        <w:t>a rilevanza costituzionale.</w:t>
      </w:r>
    </w:p>
    <w:p w14:paraId="477D04C8" w14:textId="47382DC3" w:rsidR="006D4C6A" w:rsidRPr="00417121" w:rsidRDefault="00051A55"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E per tentare di rispondere a tale interrogativo occorre ancora una volta prendere le mosse dal fondamento (individuale ovvero </w:t>
      </w:r>
      <w:r w:rsidRPr="00417121">
        <w:rPr>
          <w:rFonts w:ascii="Simoncini Garamond" w:hAnsi="Simoncini Garamond" w:cs="Times New Roman"/>
          <w:bCs/>
          <w:i/>
          <w:color w:val="auto"/>
          <w:sz w:val="22"/>
          <w:szCs w:val="22"/>
        </w:rPr>
        <w:t xml:space="preserve">lato </w:t>
      </w:r>
      <w:proofErr w:type="spellStart"/>
      <w:r w:rsidRPr="00417121">
        <w:rPr>
          <w:rFonts w:ascii="Simoncini Garamond" w:hAnsi="Simoncini Garamond" w:cs="Times New Roman"/>
          <w:bCs/>
          <w:i/>
          <w:color w:val="auto"/>
          <w:sz w:val="22"/>
          <w:szCs w:val="22"/>
        </w:rPr>
        <w:t>sensu</w:t>
      </w:r>
      <w:proofErr w:type="spellEnd"/>
      <w:r w:rsidRPr="00417121">
        <w:rPr>
          <w:rFonts w:ascii="Simoncini Garamond" w:hAnsi="Simoncini Garamond" w:cs="Times New Roman"/>
          <w:bCs/>
          <w:iCs/>
          <w:color w:val="auto"/>
          <w:sz w:val="22"/>
          <w:szCs w:val="22"/>
        </w:rPr>
        <w:t xml:space="preserve"> sociale) che intende riconoscere alla libertà di espressione.</w:t>
      </w:r>
    </w:p>
    <w:p w14:paraId="2E788F02" w14:textId="735508D2" w:rsidR="00051A55" w:rsidRPr="00417121" w:rsidRDefault="00051A55"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Se </w:t>
      </w:r>
      <w:r w:rsidR="00AD3FB4" w:rsidRPr="00417121">
        <w:rPr>
          <w:rFonts w:ascii="Simoncini Garamond" w:hAnsi="Simoncini Garamond" w:cs="Times New Roman"/>
          <w:bCs/>
          <w:iCs/>
          <w:color w:val="auto"/>
          <w:sz w:val="22"/>
          <w:szCs w:val="22"/>
        </w:rPr>
        <w:t xml:space="preserve">infatti </w:t>
      </w:r>
      <w:r w:rsidRPr="00417121">
        <w:rPr>
          <w:rFonts w:ascii="Simoncini Garamond" w:hAnsi="Simoncini Garamond" w:cs="Times New Roman"/>
          <w:bCs/>
          <w:iCs/>
          <w:color w:val="auto"/>
          <w:sz w:val="22"/>
          <w:szCs w:val="22"/>
        </w:rPr>
        <w:t>si propende per una lettura in chiave individualistica di tale diritto di libertà (nella sua configurazione di vero e proprio "</w:t>
      </w:r>
      <w:r w:rsidRPr="00417121">
        <w:rPr>
          <w:rFonts w:ascii="Simoncini Garamond" w:hAnsi="Simoncini Garamond" w:cs="Times New Roman"/>
          <w:bCs/>
          <w:i/>
          <w:color w:val="auto"/>
          <w:sz w:val="22"/>
          <w:szCs w:val="22"/>
        </w:rPr>
        <w:t>cardine del sistema democratico</w:t>
      </w:r>
      <w:r w:rsidRPr="00417121">
        <w:rPr>
          <w:rFonts w:ascii="Simoncini Garamond" w:hAnsi="Simoncini Garamond" w:cs="Times New Roman"/>
          <w:bCs/>
          <w:iCs/>
          <w:color w:val="auto"/>
          <w:sz w:val="22"/>
          <w:szCs w:val="22"/>
        </w:rPr>
        <w:t>", secondo le parole della Corte costituzionale)</w:t>
      </w:r>
      <w:r w:rsidRPr="00417121">
        <w:rPr>
          <w:rStyle w:val="Rimandonotaapidipagina"/>
          <w:rFonts w:ascii="Simoncini Garamond" w:hAnsi="Simoncini Garamond" w:cs="Times New Roman"/>
          <w:bCs/>
          <w:iCs/>
          <w:color w:val="auto"/>
          <w:sz w:val="22"/>
          <w:szCs w:val="22"/>
        </w:rPr>
        <w:footnoteReference w:id="17"/>
      </w:r>
      <w:r w:rsidRPr="00417121">
        <w:rPr>
          <w:rFonts w:ascii="Simoncini Garamond" w:hAnsi="Simoncini Garamond" w:cs="Times New Roman"/>
          <w:bCs/>
          <w:iCs/>
          <w:color w:val="auto"/>
          <w:sz w:val="22"/>
          <w:szCs w:val="22"/>
        </w:rPr>
        <w:t xml:space="preserve">, dovrà necessariamente concludersi che eventuali limitazioni al relativo esercizio </w:t>
      </w:r>
      <w:r w:rsidR="00D92591" w:rsidRPr="00417121">
        <w:rPr>
          <w:rFonts w:ascii="Simoncini Garamond" w:hAnsi="Simoncini Garamond" w:cs="Times New Roman"/>
          <w:bCs/>
          <w:iCs/>
          <w:color w:val="auto"/>
          <w:sz w:val="22"/>
          <w:szCs w:val="22"/>
        </w:rPr>
        <w:t xml:space="preserve">non possano che essere introdotte dal Legislatore, nel bilanciamento con altri valori di pari rilievo costituzionale e </w:t>
      </w:r>
      <w:r w:rsidR="00AD3FB4" w:rsidRPr="00417121">
        <w:rPr>
          <w:rFonts w:ascii="Simoncini Garamond" w:hAnsi="Simoncini Garamond" w:cs="Times New Roman"/>
          <w:bCs/>
          <w:iCs/>
          <w:color w:val="auto"/>
          <w:sz w:val="22"/>
          <w:szCs w:val="22"/>
        </w:rPr>
        <w:t xml:space="preserve">solo </w:t>
      </w:r>
      <w:r w:rsidR="00D92591" w:rsidRPr="00417121">
        <w:rPr>
          <w:rFonts w:ascii="Simoncini Garamond" w:hAnsi="Simoncini Garamond" w:cs="Times New Roman"/>
          <w:bCs/>
          <w:iCs/>
          <w:color w:val="auto"/>
          <w:sz w:val="22"/>
          <w:szCs w:val="22"/>
        </w:rPr>
        <w:t>a fronte di previsioni espresse e chiaramente legittimanti.</w:t>
      </w:r>
    </w:p>
    <w:p w14:paraId="60D3D2BE" w14:textId="124A3604" w:rsidR="00AD3FB4" w:rsidRPr="00417121" w:rsidRDefault="00AD3FB4"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Impostati in tal modo i termini della questione, risulterà ben difficile introdurre in via regolatoria una sorta di statuto negativo di qualunque attività di </w:t>
      </w:r>
      <w:r w:rsidR="00205525" w:rsidRPr="00417121">
        <w:rPr>
          <w:rFonts w:ascii="Simoncini Garamond" w:hAnsi="Simoncini Garamond" w:cs="Times New Roman"/>
          <w:bCs/>
          <w:iCs/>
          <w:color w:val="auto"/>
          <w:sz w:val="22"/>
          <w:szCs w:val="22"/>
        </w:rPr>
        <w:t>manifestaz</w:t>
      </w:r>
      <w:r w:rsidRPr="00417121">
        <w:rPr>
          <w:rFonts w:ascii="Simoncini Garamond" w:hAnsi="Simoncini Garamond" w:cs="Times New Roman"/>
          <w:bCs/>
          <w:iCs/>
          <w:color w:val="auto"/>
          <w:sz w:val="22"/>
          <w:szCs w:val="22"/>
        </w:rPr>
        <w:t xml:space="preserve">ione </w:t>
      </w:r>
      <w:r w:rsidR="00205525" w:rsidRPr="00417121">
        <w:rPr>
          <w:rFonts w:ascii="Simoncini Garamond" w:hAnsi="Simoncini Garamond" w:cs="Times New Roman"/>
          <w:bCs/>
          <w:iCs/>
          <w:color w:val="auto"/>
          <w:sz w:val="22"/>
          <w:szCs w:val="22"/>
        </w:rPr>
        <w:t xml:space="preserve">di pensiero </w:t>
      </w:r>
      <w:r w:rsidRPr="00417121">
        <w:rPr>
          <w:rFonts w:ascii="Simoncini Garamond" w:hAnsi="Simoncini Garamond" w:cs="Times New Roman"/>
          <w:bCs/>
          <w:iCs/>
          <w:color w:val="auto"/>
          <w:sz w:val="22"/>
          <w:szCs w:val="22"/>
        </w:rPr>
        <w:t>(</w:t>
      </w:r>
      <w:proofErr w:type="spellStart"/>
      <w:r w:rsidRPr="00417121">
        <w:rPr>
          <w:rFonts w:ascii="Simoncini Garamond" w:hAnsi="Simoncini Garamond" w:cs="Times New Roman"/>
          <w:bCs/>
          <w:i/>
          <w:color w:val="auto"/>
          <w:sz w:val="22"/>
          <w:szCs w:val="22"/>
        </w:rPr>
        <w:t>scil</w:t>
      </w:r>
      <w:proofErr w:type="spellEnd"/>
      <w:r w:rsidRPr="00417121">
        <w:rPr>
          <w:rFonts w:ascii="Simoncini Garamond" w:hAnsi="Simoncini Garamond" w:cs="Times New Roman"/>
          <w:bCs/>
          <w:iCs/>
          <w:color w:val="auto"/>
          <w:sz w:val="22"/>
          <w:szCs w:val="22"/>
        </w:rPr>
        <w:t>: salve le ipotesi in cui la manifestazione del pensiero assuma un chiaro rilievo penale).</w:t>
      </w:r>
    </w:p>
    <w:p w14:paraId="702CAB5C" w14:textId="13D819F1" w:rsidR="00D92591" w:rsidRPr="00417121" w:rsidRDefault="00D92591"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Diverso sarà</w:t>
      </w:r>
      <w:r w:rsidR="00AD3FB4" w:rsidRPr="00417121">
        <w:rPr>
          <w:rFonts w:ascii="Simoncini Garamond" w:hAnsi="Simoncini Garamond" w:cs="Times New Roman"/>
          <w:bCs/>
          <w:iCs/>
          <w:color w:val="auto"/>
          <w:sz w:val="22"/>
          <w:szCs w:val="22"/>
        </w:rPr>
        <w:t>,</w:t>
      </w:r>
      <w:r w:rsidRPr="00417121">
        <w:rPr>
          <w:rFonts w:ascii="Simoncini Garamond" w:hAnsi="Simoncini Garamond" w:cs="Times New Roman"/>
          <w:bCs/>
          <w:iCs/>
          <w:color w:val="auto"/>
          <w:sz w:val="22"/>
          <w:szCs w:val="22"/>
        </w:rPr>
        <w:t xml:space="preserve"> </w:t>
      </w:r>
      <w:r w:rsidR="00AD3FB4" w:rsidRPr="00417121">
        <w:rPr>
          <w:rFonts w:ascii="Simoncini Garamond" w:hAnsi="Simoncini Garamond" w:cs="Times New Roman"/>
          <w:bCs/>
          <w:iCs/>
          <w:color w:val="auto"/>
          <w:sz w:val="22"/>
          <w:szCs w:val="22"/>
        </w:rPr>
        <w:t xml:space="preserve">invece, </w:t>
      </w:r>
      <w:r w:rsidRPr="00417121">
        <w:rPr>
          <w:rFonts w:ascii="Simoncini Garamond" w:hAnsi="Simoncini Garamond" w:cs="Times New Roman"/>
          <w:bCs/>
          <w:iCs/>
          <w:color w:val="auto"/>
          <w:sz w:val="22"/>
          <w:szCs w:val="22"/>
        </w:rPr>
        <w:t xml:space="preserve">l'esito laddove si propenda per una lettura in </w:t>
      </w:r>
      <w:r w:rsidRPr="00417121">
        <w:rPr>
          <w:rFonts w:ascii="Simoncini Garamond" w:hAnsi="Simoncini Garamond" w:cs="Times New Roman"/>
          <w:bCs/>
          <w:iCs/>
          <w:color w:val="auto"/>
          <w:sz w:val="22"/>
          <w:szCs w:val="22"/>
        </w:rPr>
        <w:lastRenderedPageBreak/>
        <w:t xml:space="preserve">chiave sociale della libertà di espressione. Tale lettura reca in sé il sostanziale riconoscimento della natura funzionale di tale diritto (che risulta di fatto immanente nell'Ordinamento), così ammettendo che anche fonti diverse dalla legge possano introdurre vincoli e limiti atti a declinare nella sostanza </w:t>
      </w:r>
      <w:r w:rsidR="00AD3FB4" w:rsidRPr="00417121">
        <w:rPr>
          <w:rFonts w:ascii="Simoncini Garamond" w:hAnsi="Simoncini Garamond" w:cs="Times New Roman"/>
          <w:bCs/>
          <w:iCs/>
          <w:color w:val="auto"/>
          <w:sz w:val="22"/>
          <w:szCs w:val="22"/>
        </w:rPr>
        <w:t xml:space="preserve">- e nei casi concreti - </w:t>
      </w:r>
      <w:r w:rsidRPr="00417121">
        <w:rPr>
          <w:rFonts w:ascii="Simoncini Garamond" w:hAnsi="Simoncini Garamond" w:cs="Times New Roman"/>
          <w:bCs/>
          <w:iCs/>
          <w:color w:val="auto"/>
          <w:sz w:val="22"/>
          <w:szCs w:val="22"/>
        </w:rPr>
        <w:t>detta funzionalizzazione.</w:t>
      </w:r>
    </w:p>
    <w:p w14:paraId="3DB42AC9" w14:textId="4AA9F79F" w:rsidR="006D4C6A" w:rsidRPr="00417121" w:rsidRDefault="00D92591"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La questione, come è evidente, assume un rilievo centrale ai fini della presente analisi poiché solo accedendo a tale seconda impostazione potrà ammettersi che anche atti di regolazione di Autorità indipendenti possano (beninteso, al fine di conseguire preminenti obiettivi di interesse generale) introdurre forme di modulazione e funzionalizzazione della libertà di espressione (in particolare, degli </w:t>
      </w:r>
      <w:r w:rsidRPr="00417121">
        <w:rPr>
          <w:rFonts w:ascii="Simoncini Garamond" w:hAnsi="Simoncini Garamond" w:cs="Times New Roman"/>
          <w:bCs/>
          <w:i/>
          <w:color w:val="auto"/>
          <w:sz w:val="22"/>
          <w:szCs w:val="22"/>
        </w:rPr>
        <w:t>influencer</w:t>
      </w:r>
      <w:r w:rsidRPr="00417121">
        <w:rPr>
          <w:rFonts w:ascii="Simoncini Garamond" w:hAnsi="Simoncini Garamond" w:cs="Times New Roman"/>
          <w:bCs/>
          <w:iCs/>
          <w:color w:val="auto"/>
          <w:sz w:val="22"/>
          <w:szCs w:val="22"/>
        </w:rPr>
        <w:t>).</w:t>
      </w:r>
    </w:p>
    <w:p w14:paraId="40B72751" w14:textId="05910068" w:rsidR="00F04E13" w:rsidRPr="00417121" w:rsidRDefault="00F04E13" w:rsidP="00F04E13">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Anche</w:t>
      </w:r>
      <w:r w:rsidRPr="00417121">
        <w:rPr>
          <w:rFonts w:ascii="Simoncini Garamond" w:hAnsi="Simoncini Garamond" w:cs="Times New Roman"/>
          <w:bCs/>
          <w:i/>
          <w:color w:val="auto"/>
          <w:sz w:val="22"/>
          <w:szCs w:val="22"/>
        </w:rPr>
        <w:t xml:space="preserve"> il terzo</w:t>
      </w:r>
      <w:r w:rsidRPr="00417121">
        <w:rPr>
          <w:rFonts w:ascii="Simoncini Garamond" w:hAnsi="Simoncini Garamond" w:cs="Times New Roman"/>
          <w:bCs/>
          <w:iCs/>
          <w:color w:val="auto"/>
          <w:sz w:val="22"/>
          <w:szCs w:val="22"/>
        </w:rPr>
        <w:t xml:space="preserve"> ambito di riflessione può essere compendiato in un breve interrogativo</w:t>
      </w:r>
      <w:r w:rsidR="00205525" w:rsidRPr="00417121">
        <w:rPr>
          <w:rFonts w:ascii="Simoncini Garamond" w:hAnsi="Simoncini Garamond" w:cs="Times New Roman"/>
          <w:bCs/>
          <w:iCs/>
          <w:color w:val="auto"/>
          <w:sz w:val="22"/>
          <w:szCs w:val="22"/>
        </w:rPr>
        <w:t>, che è il seguente</w:t>
      </w:r>
      <w:r w:rsidRPr="00417121">
        <w:rPr>
          <w:rFonts w:ascii="Simoncini Garamond" w:hAnsi="Simoncini Garamond" w:cs="Times New Roman"/>
          <w:bCs/>
          <w:iCs/>
          <w:color w:val="auto"/>
          <w:sz w:val="22"/>
          <w:szCs w:val="22"/>
        </w:rPr>
        <w:t xml:space="preserve">: </w:t>
      </w:r>
      <w:r w:rsidRPr="00417121">
        <w:rPr>
          <w:rFonts w:ascii="Simoncini Garamond" w:hAnsi="Simoncini Garamond" w:cs="Times New Roman"/>
          <w:bCs/>
          <w:i/>
          <w:color w:val="auto"/>
          <w:sz w:val="22"/>
          <w:szCs w:val="22"/>
        </w:rPr>
        <w:t xml:space="preserve">il fenomeno dei social media ha davvero introdotto una sostanziale </w:t>
      </w:r>
      <w:proofErr w:type="spellStart"/>
      <w:r w:rsidRPr="00417121">
        <w:rPr>
          <w:rFonts w:ascii="Simoncini Garamond" w:hAnsi="Simoncini Garamond" w:cs="Times New Roman"/>
          <w:bCs/>
          <w:i/>
          <w:color w:val="auto"/>
          <w:sz w:val="22"/>
          <w:szCs w:val="22"/>
        </w:rPr>
        <w:t>dis</w:t>
      </w:r>
      <w:proofErr w:type="spellEnd"/>
      <w:r w:rsidRPr="00417121">
        <w:rPr>
          <w:rFonts w:ascii="Simoncini Garamond" w:hAnsi="Simoncini Garamond" w:cs="Times New Roman"/>
          <w:bCs/>
          <w:i/>
          <w:color w:val="auto"/>
          <w:sz w:val="22"/>
          <w:szCs w:val="22"/>
        </w:rPr>
        <w:t xml:space="preserve">-intermediazione nell'attività di comunicazione e di diffusione del pensiero, oppure deve ritenersi che abbia solo prodotto l'effetto di </w:t>
      </w:r>
      <w:r w:rsidR="00245308" w:rsidRPr="00417121">
        <w:rPr>
          <w:rFonts w:ascii="Simoncini Garamond" w:hAnsi="Simoncini Garamond" w:cs="Times New Roman"/>
          <w:bCs/>
          <w:i/>
          <w:color w:val="auto"/>
          <w:sz w:val="22"/>
          <w:szCs w:val="22"/>
        </w:rPr>
        <w:t>introdurre nuove forme e modalità di intermediazione (in sostituzione delle precedenti)?</w:t>
      </w:r>
      <w:r w:rsidRPr="00417121">
        <w:rPr>
          <w:rFonts w:ascii="Simoncini Garamond" w:hAnsi="Simoncini Garamond" w:cs="Times New Roman"/>
          <w:bCs/>
          <w:i/>
          <w:color w:val="auto"/>
          <w:sz w:val="22"/>
          <w:szCs w:val="22"/>
        </w:rPr>
        <w:t xml:space="preserve"> </w:t>
      </w:r>
    </w:p>
    <w:p w14:paraId="22F49F6B" w14:textId="47604590" w:rsidR="006D4C6A" w:rsidRPr="00417121" w:rsidRDefault="00BD729E"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La questione è ben nota e ampiamente studiata e non ci si potrà qui che limitare ad alcuni dei suoi aspetti principali.</w:t>
      </w:r>
    </w:p>
    <w:p w14:paraId="2A253BB7" w14:textId="13C3416E" w:rsidR="00BD729E" w:rsidRPr="00417121" w:rsidRDefault="00BD729E"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In un'epoca </w:t>
      </w:r>
      <w:proofErr w:type="spellStart"/>
      <w:r w:rsidRPr="00417121">
        <w:rPr>
          <w:rFonts w:ascii="Simoncini Garamond" w:hAnsi="Simoncini Garamond" w:cs="Times New Roman"/>
          <w:bCs/>
          <w:iCs/>
          <w:color w:val="auto"/>
          <w:sz w:val="22"/>
          <w:szCs w:val="22"/>
        </w:rPr>
        <w:t>pre</w:t>
      </w:r>
      <w:proofErr w:type="spellEnd"/>
      <w:r w:rsidRPr="00417121">
        <w:rPr>
          <w:rFonts w:ascii="Simoncini Garamond" w:hAnsi="Simoncini Garamond" w:cs="Times New Roman"/>
          <w:bCs/>
          <w:iCs/>
          <w:color w:val="auto"/>
          <w:sz w:val="22"/>
          <w:szCs w:val="22"/>
        </w:rPr>
        <w:t>-digitale, non appena si varcava la soglia della comunicazione puramente individuale, ogni forma di espressione di un qualche rilievo (sia dal lato attivo della diffusione del messaggio comunicativo, sia dal lato passivo della ricezione di tale messaggio, anche ai fini di informazione sociale) era intermediato da</w:t>
      </w:r>
      <w:r w:rsidRPr="00417121">
        <w:rPr>
          <w:rFonts w:ascii="Simoncini Garamond" w:hAnsi="Simoncini Garamond" w:cs="Times New Roman"/>
          <w:bCs/>
          <w:i/>
          <w:color w:val="auto"/>
          <w:sz w:val="22"/>
          <w:szCs w:val="22"/>
        </w:rPr>
        <w:t xml:space="preserve"> strumenti di comunicazione di massa</w:t>
      </w:r>
      <w:r w:rsidRPr="00417121">
        <w:rPr>
          <w:rFonts w:ascii="Simoncini Garamond" w:hAnsi="Simoncini Garamond" w:cs="Times New Roman"/>
          <w:bCs/>
          <w:iCs/>
          <w:color w:val="auto"/>
          <w:sz w:val="22"/>
          <w:szCs w:val="22"/>
        </w:rPr>
        <w:t xml:space="preserve"> di carattere sostanzialmente </w:t>
      </w:r>
      <w:r w:rsidR="008E5152" w:rsidRPr="00417121">
        <w:rPr>
          <w:rFonts w:ascii="Simoncini Garamond" w:hAnsi="Simoncini Garamond" w:cs="Times New Roman"/>
          <w:bCs/>
          <w:iCs/>
          <w:color w:val="auto"/>
          <w:sz w:val="22"/>
          <w:szCs w:val="22"/>
        </w:rPr>
        <w:t xml:space="preserve">accentrato su un numero </w:t>
      </w:r>
      <w:proofErr w:type="spellStart"/>
      <w:r w:rsidR="008E5152" w:rsidRPr="00417121">
        <w:rPr>
          <w:rFonts w:ascii="Simoncini Garamond" w:hAnsi="Simoncini Garamond" w:cs="Times New Roman"/>
          <w:bCs/>
          <w:iCs/>
          <w:color w:val="auto"/>
          <w:sz w:val="22"/>
          <w:szCs w:val="22"/>
        </w:rPr>
        <w:t>complessivamemte</w:t>
      </w:r>
      <w:proofErr w:type="spellEnd"/>
      <w:r w:rsidR="008E5152" w:rsidRPr="00417121">
        <w:rPr>
          <w:rFonts w:ascii="Simoncini Garamond" w:hAnsi="Simoncini Garamond" w:cs="Times New Roman"/>
          <w:bCs/>
          <w:iCs/>
          <w:color w:val="auto"/>
          <w:sz w:val="22"/>
          <w:szCs w:val="22"/>
        </w:rPr>
        <w:t xml:space="preserve"> limitato di </w:t>
      </w:r>
      <w:proofErr w:type="spellStart"/>
      <w:r w:rsidR="008E5152" w:rsidRPr="00417121">
        <w:rPr>
          <w:rFonts w:ascii="Simoncini Garamond" w:hAnsi="Simoncini Garamond" w:cs="Times New Roman"/>
          <w:bCs/>
          <w:i/>
          <w:color w:val="auto"/>
          <w:sz w:val="22"/>
          <w:szCs w:val="22"/>
        </w:rPr>
        <w:t>decision</w:t>
      </w:r>
      <w:proofErr w:type="spellEnd"/>
      <w:r w:rsidR="008E5152" w:rsidRPr="00417121">
        <w:rPr>
          <w:rFonts w:ascii="Simoncini Garamond" w:hAnsi="Simoncini Garamond" w:cs="Times New Roman"/>
          <w:bCs/>
          <w:i/>
          <w:color w:val="auto"/>
          <w:sz w:val="22"/>
          <w:szCs w:val="22"/>
        </w:rPr>
        <w:t xml:space="preserve"> makers</w:t>
      </w:r>
      <w:r w:rsidRPr="00417121">
        <w:rPr>
          <w:rFonts w:ascii="Simoncini Garamond" w:hAnsi="Simoncini Garamond" w:cs="Times New Roman"/>
          <w:bCs/>
          <w:iCs/>
          <w:color w:val="auto"/>
          <w:sz w:val="22"/>
          <w:szCs w:val="22"/>
        </w:rPr>
        <w:t>.</w:t>
      </w:r>
    </w:p>
    <w:p w14:paraId="17973A78" w14:textId="495AD9F7" w:rsidR="00BD729E" w:rsidRPr="00417121" w:rsidRDefault="00BD729E"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La stessa impostazione concettuale e il </w:t>
      </w:r>
      <w:r w:rsidRPr="00417121">
        <w:rPr>
          <w:rFonts w:ascii="Simoncini Garamond" w:hAnsi="Simoncini Garamond" w:cs="Times New Roman"/>
          <w:bCs/>
          <w:i/>
          <w:color w:val="auto"/>
          <w:sz w:val="22"/>
          <w:szCs w:val="22"/>
        </w:rPr>
        <w:t>modus operandi</w:t>
      </w:r>
      <w:r w:rsidRPr="00417121">
        <w:rPr>
          <w:rFonts w:ascii="Simoncini Garamond" w:hAnsi="Simoncini Garamond" w:cs="Times New Roman"/>
          <w:bCs/>
          <w:iCs/>
          <w:color w:val="auto"/>
          <w:sz w:val="22"/>
          <w:szCs w:val="22"/>
        </w:rPr>
        <w:t xml:space="preserve"> dei</w:t>
      </w:r>
      <w:r w:rsidRPr="00417121">
        <w:rPr>
          <w:rFonts w:ascii="Simoncini Garamond" w:hAnsi="Simoncini Garamond" w:cs="Times New Roman"/>
          <w:bCs/>
          <w:i/>
          <w:color w:val="auto"/>
          <w:sz w:val="22"/>
          <w:szCs w:val="22"/>
        </w:rPr>
        <w:t xml:space="preserve"> mass media</w:t>
      </w:r>
      <w:r w:rsidRPr="00417121">
        <w:rPr>
          <w:rFonts w:ascii="Simoncini Garamond" w:hAnsi="Simoncini Garamond" w:cs="Times New Roman"/>
          <w:bCs/>
          <w:iCs/>
          <w:color w:val="auto"/>
          <w:sz w:val="22"/>
          <w:szCs w:val="22"/>
        </w:rPr>
        <w:t xml:space="preserve"> (che hanno caratterizzato il settore della comunicazione e dell'informazione a partire dal secondo dopoguerra) trovava</w:t>
      </w:r>
      <w:r w:rsidR="008E5152" w:rsidRPr="00417121">
        <w:rPr>
          <w:rFonts w:ascii="Simoncini Garamond" w:hAnsi="Simoncini Garamond" w:cs="Times New Roman"/>
          <w:bCs/>
          <w:iCs/>
          <w:color w:val="auto"/>
          <w:sz w:val="22"/>
          <w:szCs w:val="22"/>
        </w:rPr>
        <w:t>no</w:t>
      </w:r>
      <w:r w:rsidRPr="00417121">
        <w:rPr>
          <w:rFonts w:ascii="Simoncini Garamond" w:hAnsi="Simoncini Garamond" w:cs="Times New Roman"/>
          <w:bCs/>
          <w:iCs/>
          <w:color w:val="auto"/>
          <w:sz w:val="22"/>
          <w:szCs w:val="22"/>
        </w:rPr>
        <w:t xml:space="preserve"> nel meccanismo di intermediazione il suo stesso carattere di fondo (e, probabilmente, la sua stessa ragion d'essere)</w:t>
      </w:r>
      <w:r w:rsidR="008E5152" w:rsidRPr="00417121">
        <w:rPr>
          <w:rFonts w:ascii="Simoncini Garamond" w:hAnsi="Simoncini Garamond" w:cs="Times New Roman"/>
          <w:bCs/>
          <w:iCs/>
          <w:color w:val="auto"/>
          <w:sz w:val="22"/>
          <w:szCs w:val="22"/>
        </w:rPr>
        <w:t>.</w:t>
      </w:r>
    </w:p>
    <w:p w14:paraId="5186D34E" w14:textId="77777777" w:rsidR="000F00FA" w:rsidRPr="00417121" w:rsidRDefault="008E5152"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A seguito della nuova rivoluzione digitale si è affermato l'opposto meccanismo </w:t>
      </w:r>
      <w:r w:rsidR="000F00FA" w:rsidRPr="00417121">
        <w:rPr>
          <w:rFonts w:ascii="Simoncini Garamond" w:hAnsi="Simoncini Garamond" w:cs="Times New Roman"/>
          <w:bCs/>
          <w:iCs/>
          <w:color w:val="auto"/>
          <w:sz w:val="22"/>
          <w:szCs w:val="22"/>
        </w:rPr>
        <w:t xml:space="preserve">della disintermediazione nelle attività di comunicazione e di informazione: </w:t>
      </w:r>
    </w:p>
    <w:p w14:paraId="754994B1" w14:textId="5A6A6BCA" w:rsidR="008E5152" w:rsidRPr="00417121" w:rsidRDefault="000F00FA"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Si tratta di un fenomeno che i </w:t>
      </w:r>
      <w:r w:rsidRPr="00417121">
        <w:rPr>
          <w:rFonts w:ascii="Simoncini Garamond" w:hAnsi="Simoncini Garamond" w:cs="Times New Roman"/>
          <w:bCs/>
          <w:i/>
          <w:color w:val="auto"/>
          <w:sz w:val="22"/>
          <w:szCs w:val="22"/>
        </w:rPr>
        <w:t>social media</w:t>
      </w:r>
      <w:r w:rsidRPr="00417121">
        <w:rPr>
          <w:rFonts w:ascii="Simoncini Garamond" w:hAnsi="Simoncini Garamond" w:cs="Times New Roman"/>
          <w:bCs/>
          <w:iCs/>
          <w:color w:val="auto"/>
          <w:sz w:val="22"/>
          <w:szCs w:val="22"/>
        </w:rPr>
        <w:t xml:space="preserve"> hanno agevolato, determinato e - in qualche modo - condotto alle estreme conseguenze modificando in modo radicale le forme e le modalità di diffusione delle idee, il meccanismo della loro selezione </w:t>
      </w:r>
      <w:r w:rsidR="001167DD" w:rsidRPr="00417121">
        <w:rPr>
          <w:rFonts w:ascii="Simoncini Garamond" w:hAnsi="Simoncini Garamond" w:cs="Times New Roman"/>
          <w:bCs/>
          <w:iCs/>
          <w:color w:val="auto"/>
          <w:sz w:val="22"/>
          <w:szCs w:val="22"/>
        </w:rPr>
        <w:t>e persino della messa a confronto.</w:t>
      </w:r>
    </w:p>
    <w:p w14:paraId="451754AC" w14:textId="3778550E" w:rsidR="001167DD" w:rsidRPr="00417121" w:rsidRDefault="001167DD"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Dal </w:t>
      </w:r>
      <w:r w:rsidRPr="00417121">
        <w:rPr>
          <w:rFonts w:ascii="Simoncini Garamond" w:hAnsi="Simoncini Garamond" w:cs="Times New Roman"/>
          <w:bCs/>
          <w:i/>
          <w:color w:val="auto"/>
          <w:sz w:val="22"/>
          <w:szCs w:val="22"/>
        </w:rPr>
        <w:t>lato attivo</w:t>
      </w:r>
      <w:r w:rsidRPr="00417121">
        <w:rPr>
          <w:rFonts w:ascii="Simoncini Garamond" w:hAnsi="Simoncini Garamond" w:cs="Times New Roman"/>
          <w:bCs/>
          <w:iCs/>
          <w:color w:val="auto"/>
          <w:sz w:val="22"/>
          <w:szCs w:val="22"/>
        </w:rPr>
        <w:t xml:space="preserve"> della comunicazione e diffusione dei contenuti, i </w:t>
      </w:r>
      <w:r w:rsidRPr="00417121">
        <w:rPr>
          <w:rFonts w:ascii="Simoncini Garamond" w:hAnsi="Simoncini Garamond" w:cs="Times New Roman"/>
          <w:bCs/>
          <w:i/>
          <w:color w:val="auto"/>
          <w:sz w:val="22"/>
          <w:szCs w:val="22"/>
        </w:rPr>
        <w:t>social media</w:t>
      </w:r>
      <w:r w:rsidRPr="00417121">
        <w:rPr>
          <w:rFonts w:ascii="Simoncini Garamond" w:hAnsi="Simoncini Garamond" w:cs="Times New Roman"/>
          <w:bCs/>
          <w:iCs/>
          <w:color w:val="auto"/>
          <w:sz w:val="22"/>
          <w:szCs w:val="22"/>
        </w:rPr>
        <w:t xml:space="preserve"> consentono a ciascun utente (e in assenza di qualunque - almeno apparente - intermediazione) di diffondere messaggi potenzialmente destinati a una platea sostanzialmente indeterminata di destinatari e a costi </w:t>
      </w:r>
      <w:r w:rsidRPr="00417121">
        <w:rPr>
          <w:rFonts w:ascii="Simoncini Garamond" w:hAnsi="Simoncini Garamond" w:cs="Times New Roman"/>
          <w:bCs/>
          <w:iCs/>
          <w:color w:val="auto"/>
          <w:sz w:val="22"/>
          <w:szCs w:val="22"/>
        </w:rPr>
        <w:lastRenderedPageBreak/>
        <w:t>- almeno in apparenza - sostanzialmente nulli.</w:t>
      </w:r>
    </w:p>
    <w:p w14:paraId="755618C9" w14:textId="572B735B" w:rsidR="001167DD" w:rsidRPr="00417121" w:rsidRDefault="001167DD"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Dal </w:t>
      </w:r>
      <w:r w:rsidRPr="00417121">
        <w:rPr>
          <w:rFonts w:ascii="Simoncini Garamond" w:hAnsi="Simoncini Garamond" w:cs="Times New Roman"/>
          <w:bCs/>
          <w:i/>
          <w:color w:val="auto"/>
          <w:sz w:val="22"/>
          <w:szCs w:val="22"/>
        </w:rPr>
        <w:t>lato passivo</w:t>
      </w:r>
      <w:r w:rsidRPr="00417121">
        <w:rPr>
          <w:rFonts w:ascii="Simoncini Garamond" w:hAnsi="Simoncini Garamond" w:cs="Times New Roman"/>
          <w:bCs/>
          <w:iCs/>
          <w:color w:val="auto"/>
          <w:sz w:val="22"/>
          <w:szCs w:val="22"/>
        </w:rPr>
        <w:t xml:space="preserve"> (</w:t>
      </w:r>
      <w:r w:rsidRPr="00417121">
        <w:rPr>
          <w:rFonts w:ascii="Simoncini Garamond" w:hAnsi="Simoncini Garamond" w:cs="Times New Roman"/>
          <w:bCs/>
          <w:i/>
          <w:color w:val="auto"/>
          <w:sz w:val="22"/>
          <w:szCs w:val="22"/>
        </w:rPr>
        <w:t>i.e.</w:t>
      </w:r>
      <w:r w:rsidRPr="00417121">
        <w:rPr>
          <w:rFonts w:ascii="Simoncini Garamond" w:hAnsi="Simoncini Garamond" w:cs="Times New Roman"/>
          <w:bCs/>
          <w:iCs/>
          <w:color w:val="auto"/>
          <w:sz w:val="22"/>
          <w:szCs w:val="22"/>
        </w:rPr>
        <w:t xml:space="preserve">: dall'angolo visuale dei destinatari finali della medesima attività di comunicazione e diffusione) i </w:t>
      </w:r>
      <w:r w:rsidRPr="00417121">
        <w:rPr>
          <w:rFonts w:ascii="Simoncini Garamond" w:hAnsi="Simoncini Garamond" w:cs="Times New Roman"/>
          <w:bCs/>
          <w:i/>
          <w:color w:val="auto"/>
          <w:sz w:val="22"/>
          <w:szCs w:val="22"/>
        </w:rPr>
        <w:t>social</w:t>
      </w:r>
      <w:r w:rsidRPr="00417121">
        <w:rPr>
          <w:rFonts w:ascii="Simoncini Garamond" w:hAnsi="Simoncini Garamond" w:cs="Times New Roman"/>
          <w:bCs/>
          <w:iCs/>
          <w:color w:val="auto"/>
          <w:sz w:val="22"/>
          <w:szCs w:val="22"/>
        </w:rPr>
        <w:t xml:space="preserve"> determinano una straordinaria amplificazione delle possibilità per ciascun utente di accedere a contenuti della più diversa natura superando l'opera di intermediazione di figure quali le </w:t>
      </w:r>
      <w:r w:rsidRPr="00417121">
        <w:rPr>
          <w:rFonts w:ascii="Simoncini Garamond" w:hAnsi="Simoncini Garamond" w:cs="Times New Roman"/>
          <w:bCs/>
          <w:i/>
          <w:color w:val="auto"/>
          <w:sz w:val="22"/>
          <w:szCs w:val="22"/>
        </w:rPr>
        <w:t xml:space="preserve">media </w:t>
      </w:r>
      <w:proofErr w:type="spellStart"/>
      <w:r w:rsidRPr="00417121">
        <w:rPr>
          <w:rFonts w:ascii="Simoncini Garamond" w:hAnsi="Simoncini Garamond" w:cs="Times New Roman"/>
          <w:bCs/>
          <w:i/>
          <w:color w:val="auto"/>
          <w:sz w:val="22"/>
          <w:szCs w:val="22"/>
        </w:rPr>
        <w:t>agencies</w:t>
      </w:r>
      <w:proofErr w:type="spellEnd"/>
      <w:r w:rsidRPr="00417121">
        <w:rPr>
          <w:rFonts w:ascii="Simoncini Garamond" w:hAnsi="Simoncini Garamond" w:cs="Times New Roman"/>
          <w:bCs/>
          <w:iCs/>
          <w:color w:val="auto"/>
          <w:sz w:val="22"/>
          <w:szCs w:val="22"/>
        </w:rPr>
        <w:t xml:space="preserve"> o - più semplicemente - gli stessi giornalisti.</w:t>
      </w:r>
    </w:p>
    <w:p w14:paraId="0D8B7D6B" w14:textId="29D5297F" w:rsidR="005D4558" w:rsidRPr="00417121" w:rsidRDefault="005D4558"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aps/>
          <w:color w:val="auto"/>
          <w:sz w:val="22"/>
          <w:szCs w:val="22"/>
        </w:rPr>
        <w:t xml:space="preserve">è </w:t>
      </w:r>
      <w:r w:rsidRPr="00417121">
        <w:rPr>
          <w:rFonts w:ascii="Simoncini Garamond" w:hAnsi="Simoncini Garamond" w:cs="Times New Roman"/>
          <w:bCs/>
          <w:iCs/>
          <w:color w:val="auto"/>
          <w:sz w:val="22"/>
          <w:szCs w:val="22"/>
        </w:rPr>
        <w:t xml:space="preserve">stato da più parti osservato che l'(almeno apparente) effetto di disintermediazione della comunicazione in tal modo prodotto determini alcuni rischi, come quello di favorire conseguentemente la diffusione di notizie e informazioni false e di polarizzare gli orientamenti di pensiero. Sotto questo aspetto i meccanismi algoritmici assecondano e - anzi - amplificano in massimo grado e portano a conseguenze anche estreme alcune fisiologiche tendenze della psiche umana (come il c.d. </w:t>
      </w:r>
      <w:proofErr w:type="spellStart"/>
      <w:r w:rsidRPr="00417121">
        <w:rPr>
          <w:rFonts w:ascii="Simoncini Garamond" w:hAnsi="Simoncini Garamond" w:cs="Times New Roman"/>
          <w:bCs/>
          <w:i/>
          <w:color w:val="auto"/>
          <w:sz w:val="22"/>
          <w:szCs w:val="22"/>
        </w:rPr>
        <w:t>bias</w:t>
      </w:r>
      <w:proofErr w:type="spellEnd"/>
      <w:r w:rsidRPr="00417121">
        <w:rPr>
          <w:rFonts w:ascii="Simoncini Garamond" w:hAnsi="Simoncini Garamond" w:cs="Times New Roman"/>
          <w:bCs/>
          <w:i/>
          <w:color w:val="auto"/>
          <w:sz w:val="22"/>
          <w:szCs w:val="22"/>
        </w:rPr>
        <w:t xml:space="preserve"> di conferma</w:t>
      </w:r>
      <w:r w:rsidRPr="00417121">
        <w:rPr>
          <w:rFonts w:ascii="Simoncini Garamond" w:hAnsi="Simoncini Garamond" w:cs="Times New Roman"/>
          <w:bCs/>
          <w:iCs/>
          <w:color w:val="auto"/>
          <w:sz w:val="22"/>
          <w:szCs w:val="22"/>
        </w:rPr>
        <w:t>)</w:t>
      </w:r>
      <w:r w:rsidRPr="00417121">
        <w:rPr>
          <w:rStyle w:val="Rimandonotaapidipagina"/>
          <w:rFonts w:ascii="Simoncini Garamond" w:hAnsi="Simoncini Garamond" w:cs="Times New Roman"/>
          <w:bCs/>
          <w:iCs/>
          <w:color w:val="auto"/>
          <w:sz w:val="22"/>
          <w:szCs w:val="22"/>
        </w:rPr>
        <w:footnoteReference w:id="18"/>
      </w:r>
      <w:r w:rsidRPr="00417121">
        <w:rPr>
          <w:rFonts w:ascii="Simoncini Garamond" w:hAnsi="Simoncini Garamond" w:cs="Times New Roman"/>
          <w:bCs/>
          <w:iCs/>
          <w:color w:val="auto"/>
          <w:sz w:val="22"/>
          <w:szCs w:val="22"/>
        </w:rPr>
        <w:t xml:space="preserve"> fino a ricondurre l'utente finale dell'attività di comunicazione in una sorta di 'bolla' conoscitiva alimentata </w:t>
      </w:r>
      <w:r w:rsidR="00EB47E3" w:rsidRPr="00417121">
        <w:rPr>
          <w:rFonts w:ascii="Simoncini Garamond" w:hAnsi="Simoncini Garamond" w:cs="Times New Roman"/>
          <w:bCs/>
          <w:iCs/>
          <w:color w:val="auto"/>
          <w:sz w:val="22"/>
          <w:szCs w:val="22"/>
        </w:rPr>
        <w:t xml:space="preserve">di fatto </w:t>
      </w:r>
      <w:r w:rsidRPr="00417121">
        <w:rPr>
          <w:rFonts w:ascii="Simoncini Garamond" w:hAnsi="Simoncini Garamond" w:cs="Times New Roman"/>
          <w:bCs/>
          <w:iCs/>
          <w:color w:val="auto"/>
          <w:sz w:val="22"/>
          <w:szCs w:val="22"/>
        </w:rPr>
        <w:t>dalle proprie inclinazioni e convinzioni, ma anche destinata di fatto a restare confinata in esse, senza un'effettiva possibilità di metter</w:t>
      </w:r>
      <w:r w:rsidR="00EB47E3" w:rsidRPr="00417121">
        <w:rPr>
          <w:rFonts w:ascii="Simoncini Garamond" w:hAnsi="Simoncini Garamond" w:cs="Times New Roman"/>
          <w:bCs/>
          <w:iCs/>
          <w:color w:val="auto"/>
          <w:sz w:val="22"/>
          <w:szCs w:val="22"/>
        </w:rPr>
        <w:t>l</w:t>
      </w:r>
      <w:r w:rsidRPr="00417121">
        <w:rPr>
          <w:rFonts w:ascii="Simoncini Garamond" w:hAnsi="Simoncini Garamond" w:cs="Times New Roman"/>
          <w:bCs/>
          <w:iCs/>
          <w:color w:val="auto"/>
          <w:sz w:val="22"/>
          <w:szCs w:val="22"/>
        </w:rPr>
        <w:t>e a confronto con quelle degli altri</w:t>
      </w:r>
      <w:r w:rsidR="00EB47E3" w:rsidRPr="00417121">
        <w:rPr>
          <w:rFonts w:ascii="Simoncini Garamond" w:hAnsi="Simoncini Garamond" w:cs="Times New Roman"/>
          <w:bCs/>
          <w:iCs/>
          <w:color w:val="auto"/>
          <w:sz w:val="22"/>
          <w:szCs w:val="22"/>
        </w:rPr>
        <w:t>. Si determina in tal modo l'effetto - solo apparentemente paradossale, ma non privo di una sua indesiderata coerenza di fondo - per cui alcuni meccanismi concepiti per ampliare le capacità di acquisizione di informazioni e idee finiscono invece per collocare l'utente finale in una sorta di caleidoscopio di informazioni e messaggi di segno sostanzialmente analogo e con sostanziale impossibilità di accedere a idee, visioni e prospettive di carattere alternativo (o anche soltanto diverso).</w:t>
      </w:r>
    </w:p>
    <w:p w14:paraId="7E3CC898" w14:textId="4309DACF" w:rsidR="00EB47E3" w:rsidRPr="00417121" w:rsidRDefault="00EB47E3"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Non vi è qui la possibilità di esaminare a fondo le molteplici implicazioni di tale fenomeno</w:t>
      </w:r>
      <w:r w:rsidRPr="00417121">
        <w:rPr>
          <w:rStyle w:val="Rimandonotaapidipagina"/>
          <w:rFonts w:ascii="Simoncini Garamond" w:hAnsi="Simoncini Garamond" w:cs="Times New Roman"/>
          <w:bCs/>
          <w:iCs/>
          <w:color w:val="auto"/>
          <w:sz w:val="22"/>
          <w:szCs w:val="22"/>
        </w:rPr>
        <w:footnoteReference w:id="19"/>
      </w:r>
      <w:r w:rsidRPr="00417121">
        <w:rPr>
          <w:rFonts w:ascii="Simoncini Garamond" w:hAnsi="Simoncini Garamond" w:cs="Times New Roman"/>
          <w:bCs/>
          <w:iCs/>
          <w:color w:val="auto"/>
          <w:sz w:val="22"/>
          <w:szCs w:val="22"/>
        </w:rPr>
        <w:t xml:space="preserve"> ma è comunque importante osservare che l'attività di soggetti particolarmente esperti nella comunicazione e nella persuasione quali gli </w:t>
      </w:r>
      <w:r w:rsidRPr="00417121">
        <w:rPr>
          <w:rFonts w:ascii="Simoncini Garamond" w:hAnsi="Simoncini Garamond" w:cs="Times New Roman"/>
          <w:bCs/>
          <w:i/>
          <w:color w:val="auto"/>
          <w:sz w:val="22"/>
          <w:szCs w:val="22"/>
        </w:rPr>
        <w:t>influencer</w:t>
      </w:r>
      <w:r w:rsidRPr="00417121">
        <w:rPr>
          <w:rFonts w:ascii="Simoncini Garamond" w:hAnsi="Simoncini Garamond" w:cs="Times New Roman"/>
          <w:bCs/>
          <w:iCs/>
          <w:color w:val="auto"/>
          <w:sz w:val="22"/>
          <w:szCs w:val="22"/>
        </w:rPr>
        <w:t xml:space="preserve"> è evidentemente in grado di amplificare ulteriormente l'attività di disintermediazione e di polarizzazione che si è appena sinteticamente descritta.</w:t>
      </w:r>
    </w:p>
    <w:p w14:paraId="092E7C2F" w14:textId="73428C54" w:rsidR="00EB47E3" w:rsidRPr="00417121" w:rsidRDefault="00EB47E3"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Soggetti - quali gli </w:t>
      </w:r>
      <w:r w:rsidRPr="00417121">
        <w:rPr>
          <w:rFonts w:ascii="Simoncini Garamond" w:hAnsi="Simoncini Garamond" w:cs="Times New Roman"/>
          <w:bCs/>
          <w:i/>
          <w:color w:val="auto"/>
          <w:sz w:val="22"/>
          <w:szCs w:val="22"/>
        </w:rPr>
        <w:t>influencer</w:t>
      </w:r>
      <w:r w:rsidRPr="00417121">
        <w:rPr>
          <w:rFonts w:ascii="Simoncini Garamond" w:hAnsi="Simoncini Garamond" w:cs="Times New Roman"/>
          <w:bCs/>
          <w:iCs/>
          <w:color w:val="auto"/>
          <w:sz w:val="22"/>
          <w:szCs w:val="22"/>
        </w:rPr>
        <w:t xml:space="preserve"> - particolarmente abili nella persuasione </w:t>
      </w:r>
      <w:r w:rsidRPr="00417121">
        <w:rPr>
          <w:rFonts w:ascii="Simoncini Garamond" w:hAnsi="Simoncini Garamond" w:cs="Times New Roman"/>
          <w:bCs/>
          <w:iCs/>
          <w:color w:val="auto"/>
          <w:sz w:val="22"/>
          <w:szCs w:val="22"/>
        </w:rPr>
        <w:lastRenderedPageBreak/>
        <w:t xml:space="preserve">sono certamente in grado di moltiplicare e accelerare la tendenza alla polarizzazione </w:t>
      </w:r>
      <w:r w:rsidR="004318BF" w:rsidRPr="00417121">
        <w:rPr>
          <w:rFonts w:ascii="Simoncini Garamond" w:hAnsi="Simoncini Garamond" w:cs="Times New Roman"/>
          <w:bCs/>
          <w:iCs/>
          <w:color w:val="auto"/>
          <w:sz w:val="22"/>
          <w:szCs w:val="22"/>
        </w:rPr>
        <w:t xml:space="preserve">che è </w:t>
      </w:r>
      <w:r w:rsidRPr="00417121">
        <w:rPr>
          <w:rFonts w:ascii="Simoncini Garamond" w:hAnsi="Simoncini Garamond" w:cs="Times New Roman"/>
          <w:bCs/>
          <w:iCs/>
          <w:color w:val="auto"/>
          <w:sz w:val="22"/>
          <w:szCs w:val="22"/>
        </w:rPr>
        <w:t xml:space="preserve">già insita nello strumento dei </w:t>
      </w:r>
      <w:r w:rsidRPr="00417121">
        <w:rPr>
          <w:rFonts w:ascii="Simoncini Garamond" w:hAnsi="Simoncini Garamond" w:cs="Times New Roman"/>
          <w:bCs/>
          <w:i/>
          <w:color w:val="auto"/>
          <w:sz w:val="22"/>
          <w:szCs w:val="22"/>
        </w:rPr>
        <w:t>social media</w:t>
      </w:r>
      <w:r w:rsidR="004318BF" w:rsidRPr="00417121">
        <w:rPr>
          <w:rFonts w:ascii="Simoncini Garamond" w:hAnsi="Simoncini Garamond" w:cs="Times New Roman"/>
          <w:bCs/>
          <w:iCs/>
          <w:color w:val="auto"/>
          <w:sz w:val="22"/>
          <w:szCs w:val="22"/>
        </w:rPr>
        <w:t xml:space="preserve"> e nelle modalità di selezione e ridiffusione algoritmica dei contenuti che li caratterizza. </w:t>
      </w:r>
    </w:p>
    <w:p w14:paraId="1C6294ED" w14:textId="5F111CE2" w:rsidR="005D4558" w:rsidRPr="00417121" w:rsidRDefault="004318BF"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Nello scenario appena descritto, tuttavia, non si assiste - a ben vedere - a una genuina forma di disintermediazione dell'attività di comunicazione (come da molti enfaticamente - e forse ingenuamente - affermato), bensì al diverso fenomeno di sostituzione di vecchie (e tendenzialmente superate) forme di intermediazione con nuove forme, basate dal punto di vista oggettivo sulla struttura dei </w:t>
      </w:r>
      <w:r w:rsidRPr="00417121">
        <w:rPr>
          <w:rFonts w:ascii="Simoncini Garamond" w:hAnsi="Simoncini Garamond" w:cs="Times New Roman"/>
          <w:bCs/>
          <w:i/>
          <w:color w:val="auto"/>
          <w:sz w:val="22"/>
          <w:szCs w:val="22"/>
        </w:rPr>
        <w:t>social media</w:t>
      </w:r>
      <w:r w:rsidRPr="00417121">
        <w:rPr>
          <w:rFonts w:ascii="Simoncini Garamond" w:hAnsi="Simoncini Garamond" w:cs="Times New Roman"/>
          <w:bCs/>
          <w:iCs/>
          <w:color w:val="auto"/>
          <w:sz w:val="22"/>
          <w:szCs w:val="22"/>
        </w:rPr>
        <w:t xml:space="preserve"> e dal punto di vista soggettivo sull'attività degli </w:t>
      </w:r>
      <w:r w:rsidRPr="00417121">
        <w:rPr>
          <w:rFonts w:ascii="Simoncini Garamond" w:hAnsi="Simoncini Garamond" w:cs="Times New Roman"/>
          <w:bCs/>
          <w:i/>
          <w:color w:val="auto"/>
          <w:sz w:val="22"/>
          <w:szCs w:val="22"/>
        </w:rPr>
        <w:t>influencer</w:t>
      </w:r>
      <w:r w:rsidRPr="00417121">
        <w:rPr>
          <w:rFonts w:ascii="Simoncini Garamond" w:hAnsi="Simoncini Garamond" w:cs="Times New Roman"/>
          <w:bCs/>
          <w:iCs/>
          <w:color w:val="auto"/>
          <w:sz w:val="22"/>
          <w:szCs w:val="22"/>
        </w:rPr>
        <w:t xml:space="preserve"> (quali nuovi - seppure non esclusivi - catalizzatori e diffusori di idee, convinzioni e visioni del mondo). </w:t>
      </w:r>
    </w:p>
    <w:p w14:paraId="50E9F5E8" w14:textId="77777777" w:rsidR="004318BF" w:rsidRPr="00417121" w:rsidRDefault="004318BF"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p>
    <w:p w14:paraId="18646572" w14:textId="77777777" w:rsidR="004318BF" w:rsidRPr="00417121" w:rsidRDefault="004318BF"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p>
    <w:p w14:paraId="7BD76360" w14:textId="77777777" w:rsidR="009E41CF" w:rsidRPr="00417121" w:rsidRDefault="009E41CF"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p>
    <w:p w14:paraId="1E480CB6" w14:textId="18A13677" w:rsidR="009E41CF" w:rsidRPr="00417121" w:rsidRDefault="009E41CF" w:rsidP="009E41CF">
      <w:pPr>
        <w:pStyle w:val="Default"/>
        <w:widowControl w:val="0"/>
        <w:snapToGrid w:val="0"/>
        <w:spacing w:line="260" w:lineRule="exact"/>
        <w:ind w:firstLine="340"/>
        <w:jc w:val="both"/>
        <w:rPr>
          <w:rFonts w:ascii="Simoncini Garamond" w:hAnsi="Simoncini Garamond" w:cs="Times New Roman"/>
          <w:b/>
          <w:iCs/>
          <w:color w:val="auto"/>
          <w:sz w:val="22"/>
          <w:szCs w:val="22"/>
        </w:rPr>
      </w:pPr>
      <w:r w:rsidRPr="00417121">
        <w:rPr>
          <w:rFonts w:ascii="Simoncini Garamond" w:hAnsi="Simoncini Garamond" w:cs="Times New Roman"/>
          <w:b/>
          <w:iCs/>
          <w:color w:val="auto"/>
          <w:sz w:val="22"/>
          <w:szCs w:val="22"/>
        </w:rPr>
        <w:t>3.</w:t>
      </w:r>
      <w:r w:rsidR="0046252F" w:rsidRPr="00417121">
        <w:rPr>
          <w:rFonts w:ascii="Simoncini Garamond" w:hAnsi="Simoncini Garamond" w:cs="Times New Roman"/>
          <w:b/>
          <w:iCs/>
          <w:color w:val="auto"/>
          <w:sz w:val="22"/>
          <w:szCs w:val="22"/>
        </w:rPr>
        <w:t>1.</w:t>
      </w:r>
      <w:r w:rsidRPr="00417121">
        <w:rPr>
          <w:rFonts w:ascii="Simoncini Garamond" w:hAnsi="Simoncini Garamond" w:cs="Times New Roman"/>
          <w:b/>
          <w:iCs/>
          <w:color w:val="auto"/>
          <w:sz w:val="22"/>
          <w:szCs w:val="22"/>
        </w:rPr>
        <w:t xml:space="preserve"> L'assenza allo stato di un puntuale inquadramento normativo</w:t>
      </w:r>
      <w:r w:rsidR="0046252F" w:rsidRPr="00417121">
        <w:rPr>
          <w:rFonts w:ascii="Simoncini Garamond" w:hAnsi="Simoncini Garamond" w:cs="Times New Roman"/>
          <w:b/>
          <w:iCs/>
          <w:color w:val="auto"/>
          <w:sz w:val="22"/>
          <w:szCs w:val="22"/>
        </w:rPr>
        <w:t>: l'ambito unionale…</w:t>
      </w:r>
      <w:r w:rsidRPr="00417121">
        <w:rPr>
          <w:rFonts w:ascii="Simoncini Garamond" w:hAnsi="Simoncini Garamond" w:cs="Times New Roman"/>
          <w:b/>
          <w:iCs/>
          <w:color w:val="auto"/>
          <w:sz w:val="22"/>
          <w:szCs w:val="22"/>
        </w:rPr>
        <w:t xml:space="preserve"> </w:t>
      </w:r>
    </w:p>
    <w:p w14:paraId="56FD6C7F" w14:textId="77777777" w:rsidR="009E41CF" w:rsidRPr="00417121" w:rsidRDefault="009E41CF"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p>
    <w:p w14:paraId="2C839EBE" w14:textId="74EE5651" w:rsidR="009E41CF" w:rsidRPr="00417121" w:rsidRDefault="00E132B1"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Nel paragrafo che precede si è </w:t>
      </w:r>
      <w:r w:rsidR="009A2F54" w:rsidRPr="00417121">
        <w:rPr>
          <w:rFonts w:ascii="Simoncini Garamond" w:hAnsi="Simoncini Garamond" w:cs="Times New Roman"/>
          <w:bCs/>
          <w:iCs/>
          <w:color w:val="auto"/>
          <w:sz w:val="22"/>
          <w:szCs w:val="22"/>
        </w:rPr>
        <w:t>accenna</w:t>
      </w:r>
      <w:r w:rsidRPr="00417121">
        <w:rPr>
          <w:rFonts w:ascii="Simoncini Garamond" w:hAnsi="Simoncini Garamond" w:cs="Times New Roman"/>
          <w:bCs/>
          <w:iCs/>
          <w:color w:val="auto"/>
          <w:sz w:val="22"/>
          <w:szCs w:val="22"/>
        </w:rPr>
        <w:t xml:space="preserve">to come la figura degli </w:t>
      </w:r>
      <w:r w:rsidRPr="00417121">
        <w:rPr>
          <w:rFonts w:ascii="Simoncini Garamond" w:hAnsi="Simoncini Garamond" w:cs="Times New Roman"/>
          <w:bCs/>
          <w:i/>
          <w:color w:val="auto"/>
          <w:sz w:val="22"/>
          <w:szCs w:val="22"/>
        </w:rPr>
        <w:t>influencer</w:t>
      </w:r>
      <w:r w:rsidRPr="00417121">
        <w:rPr>
          <w:rFonts w:ascii="Simoncini Garamond" w:hAnsi="Simoncini Garamond" w:cs="Times New Roman"/>
          <w:bCs/>
          <w:iCs/>
          <w:color w:val="auto"/>
          <w:sz w:val="22"/>
          <w:szCs w:val="22"/>
        </w:rPr>
        <w:t xml:space="preserve"> </w:t>
      </w:r>
      <w:r w:rsidR="009A2F54" w:rsidRPr="00417121">
        <w:rPr>
          <w:rFonts w:ascii="Simoncini Garamond" w:hAnsi="Simoncini Garamond" w:cs="Times New Roman"/>
          <w:bCs/>
          <w:iCs/>
          <w:color w:val="auto"/>
          <w:sz w:val="22"/>
          <w:szCs w:val="22"/>
        </w:rPr>
        <w:t>sia nata e si sia sviluppata nella sostanziale assenza di un quadro giuridico di riferimento</w:t>
      </w:r>
      <w:r w:rsidR="0046252F" w:rsidRPr="00417121">
        <w:rPr>
          <w:rFonts w:ascii="Simoncini Garamond" w:hAnsi="Simoncini Garamond" w:cs="Times New Roman"/>
          <w:bCs/>
          <w:iCs/>
          <w:color w:val="auto"/>
          <w:sz w:val="22"/>
          <w:szCs w:val="22"/>
        </w:rPr>
        <w:t>. P</w:t>
      </w:r>
      <w:r w:rsidR="009A2F54" w:rsidRPr="00417121">
        <w:rPr>
          <w:rFonts w:ascii="Simoncini Garamond" w:hAnsi="Simoncini Garamond" w:cs="Times New Roman"/>
          <w:bCs/>
          <w:iCs/>
          <w:color w:val="auto"/>
          <w:sz w:val="22"/>
          <w:szCs w:val="22"/>
        </w:rPr>
        <w:t xml:space="preserve">robabilmente, </w:t>
      </w:r>
      <w:r w:rsidR="0046252F" w:rsidRPr="00417121">
        <w:rPr>
          <w:rFonts w:ascii="Simoncini Garamond" w:hAnsi="Simoncini Garamond" w:cs="Times New Roman"/>
          <w:bCs/>
          <w:iCs/>
          <w:color w:val="auto"/>
          <w:sz w:val="22"/>
          <w:szCs w:val="22"/>
        </w:rPr>
        <w:t xml:space="preserve">anzi, </w:t>
      </w:r>
      <w:r w:rsidR="009A2F54" w:rsidRPr="00417121">
        <w:rPr>
          <w:rFonts w:ascii="Simoncini Garamond" w:hAnsi="Simoncini Garamond" w:cs="Times New Roman"/>
          <w:bCs/>
          <w:iCs/>
          <w:color w:val="auto"/>
          <w:sz w:val="22"/>
          <w:szCs w:val="22"/>
        </w:rPr>
        <w:t xml:space="preserve">l'assenza di un tale quadro ha rappresentato </w:t>
      </w:r>
      <w:r w:rsidR="000C7D31" w:rsidRPr="00417121">
        <w:rPr>
          <w:rFonts w:ascii="Simoncini Garamond" w:hAnsi="Simoncini Garamond" w:cs="Times New Roman"/>
          <w:bCs/>
          <w:iCs/>
          <w:color w:val="auto"/>
          <w:sz w:val="22"/>
          <w:szCs w:val="22"/>
        </w:rPr>
        <w:t xml:space="preserve">di per sé </w:t>
      </w:r>
      <w:r w:rsidR="009A2F54" w:rsidRPr="00417121">
        <w:rPr>
          <w:rFonts w:ascii="Simoncini Garamond" w:hAnsi="Simoncini Garamond" w:cs="Times New Roman"/>
          <w:bCs/>
          <w:iCs/>
          <w:color w:val="auto"/>
          <w:sz w:val="22"/>
          <w:szCs w:val="22"/>
        </w:rPr>
        <w:t>- almeno all'inizio - un fattore di sviluppo e diffusione</w:t>
      </w:r>
      <w:r w:rsidR="0046252F" w:rsidRPr="00417121">
        <w:rPr>
          <w:rFonts w:ascii="Simoncini Garamond" w:hAnsi="Simoncini Garamond" w:cs="Times New Roman"/>
          <w:bCs/>
          <w:iCs/>
          <w:color w:val="auto"/>
          <w:sz w:val="22"/>
          <w:szCs w:val="22"/>
        </w:rPr>
        <w:t xml:space="preserve"> del fenomeno</w:t>
      </w:r>
      <w:r w:rsidR="009A2F54" w:rsidRPr="00417121">
        <w:rPr>
          <w:rFonts w:ascii="Simoncini Garamond" w:hAnsi="Simoncini Garamond" w:cs="Times New Roman"/>
          <w:bCs/>
          <w:iCs/>
          <w:color w:val="auto"/>
          <w:sz w:val="22"/>
          <w:szCs w:val="22"/>
        </w:rPr>
        <w:t>.</w:t>
      </w:r>
    </w:p>
    <w:p w14:paraId="46F4D037" w14:textId="09750AFE" w:rsidR="009A2F54" w:rsidRPr="00417121" w:rsidRDefault="009A2F54"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Si è anche osservato che l'attività degli </w:t>
      </w:r>
      <w:r w:rsidRPr="00417121">
        <w:rPr>
          <w:rFonts w:ascii="Simoncini Garamond" w:hAnsi="Simoncini Garamond" w:cs="Times New Roman"/>
          <w:bCs/>
          <w:i/>
          <w:color w:val="auto"/>
          <w:sz w:val="22"/>
          <w:szCs w:val="22"/>
        </w:rPr>
        <w:t>influencer</w:t>
      </w:r>
      <w:r w:rsidRPr="00417121">
        <w:rPr>
          <w:rFonts w:ascii="Simoncini Garamond" w:hAnsi="Simoncini Garamond" w:cs="Times New Roman"/>
          <w:bCs/>
          <w:iCs/>
          <w:color w:val="auto"/>
          <w:sz w:val="22"/>
          <w:szCs w:val="22"/>
        </w:rPr>
        <w:t xml:space="preserve"> non resti tuttavia estranea rispetto a profili di rilievo giuridico (restando confinata in un ambito di carattere soltanto sociale </w:t>
      </w:r>
      <w:r w:rsidR="00493FD6" w:rsidRPr="00417121">
        <w:rPr>
          <w:rFonts w:ascii="Simoncini Garamond" w:hAnsi="Simoncini Garamond" w:cs="Times New Roman"/>
          <w:bCs/>
          <w:iCs/>
          <w:color w:val="auto"/>
          <w:sz w:val="22"/>
          <w:szCs w:val="22"/>
        </w:rPr>
        <w:t>e tecnologico</w:t>
      </w:r>
      <w:r w:rsidRPr="00417121">
        <w:rPr>
          <w:rFonts w:ascii="Simoncini Garamond" w:hAnsi="Simoncini Garamond" w:cs="Times New Roman"/>
          <w:bCs/>
          <w:iCs/>
          <w:color w:val="auto"/>
          <w:sz w:val="22"/>
          <w:szCs w:val="22"/>
        </w:rPr>
        <w:t xml:space="preserve"> sostanzial</w:t>
      </w:r>
      <w:r w:rsidR="00493FD6" w:rsidRPr="00417121">
        <w:rPr>
          <w:rFonts w:ascii="Simoncini Garamond" w:hAnsi="Simoncini Garamond" w:cs="Times New Roman"/>
          <w:bCs/>
          <w:iCs/>
          <w:color w:val="auto"/>
          <w:sz w:val="22"/>
          <w:szCs w:val="22"/>
        </w:rPr>
        <w:t>mente</w:t>
      </w:r>
      <w:r w:rsidRPr="00417121">
        <w:rPr>
          <w:rFonts w:ascii="Simoncini Garamond" w:hAnsi="Simoncini Garamond" w:cs="Times New Roman"/>
          <w:bCs/>
          <w:iCs/>
          <w:color w:val="auto"/>
          <w:sz w:val="22"/>
          <w:szCs w:val="22"/>
        </w:rPr>
        <w:t xml:space="preserve"> irrilevan</w:t>
      </w:r>
      <w:r w:rsidR="00493FD6" w:rsidRPr="00417121">
        <w:rPr>
          <w:rFonts w:ascii="Simoncini Garamond" w:hAnsi="Simoncini Garamond" w:cs="Times New Roman"/>
          <w:bCs/>
          <w:iCs/>
          <w:color w:val="auto"/>
          <w:sz w:val="22"/>
          <w:szCs w:val="22"/>
        </w:rPr>
        <w:t>te</w:t>
      </w:r>
      <w:r w:rsidRPr="00417121">
        <w:rPr>
          <w:rFonts w:ascii="Simoncini Garamond" w:hAnsi="Simoncini Garamond" w:cs="Times New Roman"/>
          <w:bCs/>
          <w:iCs/>
          <w:color w:val="auto"/>
          <w:sz w:val="22"/>
          <w:szCs w:val="22"/>
        </w:rPr>
        <w:t xml:space="preserve"> per il mondo del diritto), presentando al contrario evidenti aree di interferenza con ambiti di cruciale interesse per il mondo del diritto (si pensi solo - per restare agli ambiti già esaminati - ai limiti all'esercizio della libera manifestazione di pensiero, </w:t>
      </w:r>
      <w:r w:rsidR="0046252F" w:rsidRPr="00417121">
        <w:rPr>
          <w:rFonts w:ascii="Simoncini Garamond" w:hAnsi="Simoncini Garamond" w:cs="Times New Roman"/>
          <w:bCs/>
          <w:iCs/>
          <w:color w:val="auto"/>
          <w:sz w:val="22"/>
          <w:szCs w:val="22"/>
        </w:rPr>
        <w:t xml:space="preserve">con i connessi profili di ordine costituzionale, </w:t>
      </w:r>
      <w:r w:rsidRPr="00417121">
        <w:rPr>
          <w:rFonts w:ascii="Simoncini Garamond" w:hAnsi="Simoncini Garamond" w:cs="Times New Roman"/>
          <w:bCs/>
          <w:iCs/>
          <w:color w:val="auto"/>
          <w:sz w:val="22"/>
          <w:szCs w:val="22"/>
        </w:rPr>
        <w:t xml:space="preserve">nonché alla diffusione di contenuti </w:t>
      </w:r>
      <w:proofErr w:type="spellStart"/>
      <w:r w:rsidRPr="00417121">
        <w:rPr>
          <w:rFonts w:ascii="Simoncini Garamond" w:hAnsi="Simoncini Garamond" w:cs="Times New Roman"/>
          <w:bCs/>
          <w:iCs/>
          <w:color w:val="auto"/>
          <w:sz w:val="22"/>
          <w:szCs w:val="22"/>
        </w:rPr>
        <w:t>conclamatamente</w:t>
      </w:r>
      <w:proofErr w:type="spellEnd"/>
      <w:r w:rsidRPr="00417121">
        <w:rPr>
          <w:rFonts w:ascii="Simoncini Garamond" w:hAnsi="Simoncini Garamond" w:cs="Times New Roman"/>
          <w:bCs/>
          <w:iCs/>
          <w:color w:val="auto"/>
          <w:sz w:val="22"/>
          <w:szCs w:val="22"/>
        </w:rPr>
        <w:t xml:space="preserve"> falsi o di istigazione all'odio</w:t>
      </w:r>
      <w:r w:rsidR="0046252F" w:rsidRPr="00417121">
        <w:rPr>
          <w:rFonts w:ascii="Simoncini Garamond" w:hAnsi="Simoncini Garamond" w:cs="Times New Roman"/>
          <w:bCs/>
          <w:iCs/>
          <w:color w:val="auto"/>
          <w:sz w:val="22"/>
          <w:szCs w:val="22"/>
        </w:rPr>
        <w:t>,</w:t>
      </w:r>
      <w:r w:rsidRPr="00417121">
        <w:rPr>
          <w:rFonts w:ascii="Simoncini Garamond" w:hAnsi="Simoncini Garamond" w:cs="Times New Roman"/>
          <w:bCs/>
          <w:iCs/>
          <w:color w:val="auto"/>
          <w:sz w:val="22"/>
          <w:szCs w:val="22"/>
        </w:rPr>
        <w:t xml:space="preserve"> che possono avere rilevanza anche in ambito penale).</w:t>
      </w:r>
    </w:p>
    <w:p w14:paraId="2CB9BC83" w14:textId="5231F8A5" w:rsidR="009A2F54" w:rsidRPr="00417121" w:rsidRDefault="009A2F54"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Tuttavia, una cosa è affermare che l'attività degli </w:t>
      </w:r>
      <w:r w:rsidRPr="00417121">
        <w:rPr>
          <w:rFonts w:ascii="Simoncini Garamond" w:hAnsi="Simoncini Garamond" w:cs="Times New Roman"/>
          <w:bCs/>
          <w:i/>
          <w:color w:val="auto"/>
          <w:sz w:val="22"/>
          <w:szCs w:val="22"/>
        </w:rPr>
        <w:t>influencer</w:t>
      </w:r>
      <w:r w:rsidRPr="00417121">
        <w:rPr>
          <w:rFonts w:ascii="Simoncini Garamond" w:hAnsi="Simoncini Garamond" w:cs="Times New Roman"/>
          <w:bCs/>
          <w:iCs/>
          <w:color w:val="auto"/>
          <w:sz w:val="22"/>
          <w:szCs w:val="22"/>
        </w:rPr>
        <w:t xml:space="preserve"> presenti (come è evidente) un qualche rilievo di carattere giuridico, mentre ben altra cosa è domandarsi se, nello stato attuale di evoluzione dell'Ordinamento nazionale e di quelli sovranazionali</w:t>
      </w:r>
      <w:r w:rsidR="0046252F" w:rsidRPr="00417121">
        <w:rPr>
          <w:rFonts w:ascii="Simoncini Garamond" w:hAnsi="Simoncini Garamond" w:cs="Times New Roman"/>
          <w:bCs/>
          <w:iCs/>
          <w:color w:val="auto"/>
          <w:sz w:val="22"/>
          <w:szCs w:val="22"/>
        </w:rPr>
        <w:t>,</w:t>
      </w:r>
      <w:r w:rsidRPr="00417121">
        <w:rPr>
          <w:rFonts w:ascii="Simoncini Garamond" w:hAnsi="Simoncini Garamond" w:cs="Times New Roman"/>
          <w:bCs/>
          <w:iCs/>
          <w:color w:val="auto"/>
          <w:sz w:val="22"/>
          <w:szCs w:val="22"/>
        </w:rPr>
        <w:t xml:space="preserve"> possa essere delineato una sorta di '</w:t>
      </w:r>
      <w:r w:rsidRPr="00417121">
        <w:rPr>
          <w:rFonts w:ascii="Simoncini Garamond" w:hAnsi="Simoncini Garamond" w:cs="Times New Roman"/>
          <w:bCs/>
          <w:i/>
          <w:color w:val="auto"/>
          <w:sz w:val="22"/>
          <w:szCs w:val="22"/>
        </w:rPr>
        <w:t xml:space="preserve">statuto </w:t>
      </w:r>
      <w:r w:rsidR="0046252F" w:rsidRPr="00417121">
        <w:rPr>
          <w:rFonts w:ascii="Simoncini Garamond" w:hAnsi="Simoncini Garamond" w:cs="Times New Roman"/>
          <w:bCs/>
          <w:i/>
          <w:color w:val="auto"/>
          <w:sz w:val="22"/>
          <w:szCs w:val="22"/>
        </w:rPr>
        <w:t>in chiave giuridica</w:t>
      </w:r>
      <w:r w:rsidR="00493FD6" w:rsidRPr="00417121">
        <w:rPr>
          <w:rFonts w:ascii="Simoncini Garamond" w:hAnsi="Simoncini Garamond" w:cs="Times New Roman"/>
          <w:bCs/>
          <w:i/>
          <w:color w:val="auto"/>
          <w:sz w:val="22"/>
          <w:szCs w:val="22"/>
        </w:rPr>
        <w:t>'</w:t>
      </w:r>
      <w:r w:rsidR="0046252F" w:rsidRPr="00417121">
        <w:rPr>
          <w:rFonts w:ascii="Simoncini Garamond" w:hAnsi="Simoncini Garamond" w:cs="Times New Roman"/>
          <w:bCs/>
          <w:iCs/>
          <w:color w:val="auto"/>
          <w:sz w:val="22"/>
          <w:szCs w:val="22"/>
        </w:rPr>
        <w:t xml:space="preserve"> </w:t>
      </w:r>
      <w:r w:rsidRPr="00417121">
        <w:rPr>
          <w:rFonts w:ascii="Simoncini Garamond" w:hAnsi="Simoncini Garamond" w:cs="Times New Roman"/>
          <w:bCs/>
          <w:iCs/>
          <w:color w:val="auto"/>
          <w:sz w:val="22"/>
          <w:szCs w:val="22"/>
        </w:rPr>
        <w:t>de</w:t>
      </w:r>
      <w:r w:rsidR="0046252F" w:rsidRPr="00417121">
        <w:rPr>
          <w:rFonts w:ascii="Simoncini Garamond" w:hAnsi="Simoncini Garamond" w:cs="Times New Roman"/>
          <w:bCs/>
          <w:iCs/>
          <w:color w:val="auto"/>
          <w:sz w:val="22"/>
          <w:szCs w:val="22"/>
        </w:rPr>
        <w:t>lla figura dell'influencer.</w:t>
      </w:r>
    </w:p>
    <w:p w14:paraId="0B612BEA" w14:textId="1F2018DB" w:rsidR="0046252F" w:rsidRPr="00417121" w:rsidRDefault="0046252F"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La riposta a tale quesito non può essere che negativa</w:t>
      </w:r>
      <w:r w:rsidR="001E036D" w:rsidRPr="00417121">
        <w:rPr>
          <w:rFonts w:ascii="Simoncini Garamond" w:hAnsi="Simoncini Garamond" w:cs="Times New Roman"/>
          <w:bCs/>
          <w:iCs/>
          <w:color w:val="auto"/>
          <w:sz w:val="22"/>
          <w:szCs w:val="22"/>
        </w:rPr>
        <w:t xml:space="preserve"> in relazione sia all'uno che all'altro ambito ordinamentale.</w:t>
      </w:r>
    </w:p>
    <w:p w14:paraId="5CC14078" w14:textId="67544FD1" w:rsidR="001E036D" w:rsidRPr="00417121" w:rsidRDefault="001E036D"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Ci si può domandare se - in una prospettiva </w:t>
      </w:r>
      <w:r w:rsidRPr="00417121">
        <w:rPr>
          <w:rFonts w:ascii="Simoncini Garamond" w:hAnsi="Simoncini Garamond" w:cs="Times New Roman"/>
          <w:bCs/>
          <w:i/>
          <w:color w:val="auto"/>
          <w:sz w:val="22"/>
          <w:szCs w:val="22"/>
        </w:rPr>
        <w:t>de iure condendo</w:t>
      </w:r>
      <w:r w:rsidRPr="00417121">
        <w:rPr>
          <w:rFonts w:ascii="Simoncini Garamond" w:hAnsi="Simoncini Garamond" w:cs="Times New Roman"/>
          <w:bCs/>
          <w:iCs/>
          <w:color w:val="auto"/>
          <w:sz w:val="22"/>
          <w:szCs w:val="22"/>
        </w:rPr>
        <w:t xml:space="preserve"> - sia ipotizzabile (o anche solo auspicabile) che venga introdotta una disciplina </w:t>
      </w:r>
      <w:r w:rsidRPr="00417121">
        <w:rPr>
          <w:rFonts w:ascii="Simoncini Garamond" w:hAnsi="Simoncini Garamond" w:cs="Times New Roman"/>
          <w:bCs/>
          <w:iCs/>
          <w:color w:val="auto"/>
          <w:sz w:val="22"/>
          <w:szCs w:val="22"/>
        </w:rPr>
        <w:lastRenderedPageBreak/>
        <w:t xml:space="preserve">più o meno compiuta </w:t>
      </w:r>
      <w:r w:rsidR="00704221" w:rsidRPr="00417121">
        <w:rPr>
          <w:rFonts w:ascii="Simoncini Garamond" w:hAnsi="Simoncini Garamond" w:cs="Times New Roman"/>
          <w:bCs/>
          <w:iCs/>
          <w:color w:val="auto"/>
          <w:sz w:val="22"/>
          <w:szCs w:val="22"/>
        </w:rPr>
        <w:t xml:space="preserve">e organica </w:t>
      </w:r>
      <w:r w:rsidRPr="00417121">
        <w:rPr>
          <w:rFonts w:ascii="Simoncini Garamond" w:hAnsi="Simoncini Garamond" w:cs="Times New Roman"/>
          <w:bCs/>
          <w:iCs/>
          <w:color w:val="auto"/>
          <w:sz w:val="22"/>
          <w:szCs w:val="22"/>
        </w:rPr>
        <w:t xml:space="preserve">del fenomeno degli </w:t>
      </w:r>
      <w:r w:rsidRPr="00417121">
        <w:rPr>
          <w:rFonts w:ascii="Simoncini Garamond" w:hAnsi="Simoncini Garamond" w:cs="Times New Roman"/>
          <w:bCs/>
          <w:i/>
          <w:color w:val="auto"/>
          <w:sz w:val="22"/>
          <w:szCs w:val="22"/>
        </w:rPr>
        <w:t>influencer</w:t>
      </w:r>
      <w:r w:rsidRPr="00417121">
        <w:rPr>
          <w:rFonts w:ascii="Simoncini Garamond" w:hAnsi="Simoncini Garamond" w:cs="Times New Roman"/>
          <w:bCs/>
          <w:iCs/>
          <w:color w:val="auto"/>
          <w:sz w:val="22"/>
          <w:szCs w:val="22"/>
        </w:rPr>
        <w:t xml:space="preserve"> ma emergono - già a una prima riflessione sul punto - le evidenti difficoltà connesse a un siffatto tentativo.</w:t>
      </w:r>
    </w:p>
    <w:p w14:paraId="1DED12C1" w14:textId="6CD30406" w:rsidR="001E036D" w:rsidRPr="00417121" w:rsidRDefault="001E036D"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Basti pensare soltanto alla difficoltà che verosimilmente incontrerebbe il regolatore unionale o quello nazionale nel fornire una definizione univoca (e non settoriale) della figura stessa e la prevedibile </w:t>
      </w:r>
      <w:r w:rsidRPr="00417121">
        <w:rPr>
          <w:rFonts w:ascii="Simoncini Garamond" w:hAnsi="Simoncini Garamond" w:cs="Times New Roman"/>
          <w:bCs/>
          <w:i/>
          <w:color w:val="auto"/>
          <w:sz w:val="22"/>
          <w:szCs w:val="22"/>
        </w:rPr>
        <w:t>volatilità</w:t>
      </w:r>
      <w:r w:rsidRPr="00417121">
        <w:rPr>
          <w:rFonts w:ascii="Simoncini Garamond" w:hAnsi="Simoncini Garamond" w:cs="Times New Roman"/>
          <w:bCs/>
          <w:iCs/>
          <w:color w:val="auto"/>
          <w:sz w:val="22"/>
          <w:szCs w:val="22"/>
        </w:rPr>
        <w:t xml:space="preserve"> di qualunque tentativo di definire (e quindi - in qualche misura, ipostatizzare) un fenomeno inevitabilmente polimorfo e cangiante.</w:t>
      </w:r>
    </w:p>
    <w:p w14:paraId="5DF7FE6B" w14:textId="49C3CE79" w:rsidR="001E036D" w:rsidRPr="00417121" w:rsidRDefault="001E036D"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E basti pensare anche alla prevedibile difficoltà che si incontrerebbe nell'individuare il </w:t>
      </w:r>
      <w:r w:rsidRPr="00417121">
        <w:rPr>
          <w:rFonts w:ascii="Simoncini Garamond" w:hAnsi="Simoncini Garamond" w:cs="Times New Roman"/>
          <w:bCs/>
          <w:i/>
          <w:color w:val="auto"/>
          <w:sz w:val="22"/>
          <w:szCs w:val="22"/>
        </w:rPr>
        <w:t>livello di governance</w:t>
      </w:r>
      <w:r w:rsidRPr="00417121">
        <w:rPr>
          <w:rFonts w:ascii="Simoncini Garamond" w:hAnsi="Simoncini Garamond" w:cs="Times New Roman"/>
          <w:bCs/>
          <w:iCs/>
          <w:color w:val="auto"/>
          <w:sz w:val="22"/>
          <w:szCs w:val="22"/>
        </w:rPr>
        <w:t xml:space="preserve"> legittimamente deputato a introdurre una tale disciplina (con le connesse difficoltà di ricondurre a sistema i singoli ambiti nell'ipotesi - più che verosimile - in cui tal</w:t>
      </w:r>
      <w:r w:rsidR="009C70D1" w:rsidRPr="00417121">
        <w:rPr>
          <w:rFonts w:ascii="Simoncini Garamond" w:hAnsi="Simoncini Garamond" w:cs="Times New Roman"/>
          <w:bCs/>
          <w:iCs/>
          <w:color w:val="auto"/>
          <w:sz w:val="22"/>
          <w:szCs w:val="22"/>
        </w:rPr>
        <w:t>i</w:t>
      </w:r>
      <w:r w:rsidRPr="00417121">
        <w:rPr>
          <w:rFonts w:ascii="Simoncini Garamond" w:hAnsi="Simoncini Garamond" w:cs="Times New Roman"/>
          <w:bCs/>
          <w:iCs/>
          <w:color w:val="auto"/>
          <w:sz w:val="22"/>
          <w:szCs w:val="22"/>
        </w:rPr>
        <w:t xml:space="preserve"> livelli si rivelassero molteplici)</w:t>
      </w:r>
      <w:r w:rsidR="009C70D1" w:rsidRPr="00417121">
        <w:rPr>
          <w:rFonts w:ascii="Simoncini Garamond" w:hAnsi="Simoncini Garamond" w:cs="Times New Roman"/>
          <w:bCs/>
          <w:iCs/>
          <w:color w:val="auto"/>
          <w:sz w:val="22"/>
          <w:szCs w:val="22"/>
        </w:rPr>
        <w:t>.</w:t>
      </w:r>
    </w:p>
    <w:p w14:paraId="62F2812C" w14:textId="2622AA3A" w:rsidR="00E132B1" w:rsidRPr="00417121" w:rsidRDefault="009C70D1"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E basti pensare, ancora, </w:t>
      </w:r>
      <w:r w:rsidR="00A93C7B" w:rsidRPr="00417121">
        <w:rPr>
          <w:rFonts w:ascii="Simoncini Garamond" w:hAnsi="Simoncini Garamond" w:cs="Times New Roman"/>
          <w:bCs/>
          <w:iCs/>
          <w:color w:val="auto"/>
          <w:sz w:val="22"/>
          <w:szCs w:val="22"/>
        </w:rPr>
        <w:t xml:space="preserve">alle complesse interrelazioni </w:t>
      </w:r>
      <w:r w:rsidR="00704221" w:rsidRPr="00417121">
        <w:rPr>
          <w:rFonts w:ascii="Simoncini Garamond" w:hAnsi="Simoncini Garamond" w:cs="Times New Roman"/>
          <w:bCs/>
          <w:iCs/>
          <w:color w:val="auto"/>
          <w:sz w:val="22"/>
          <w:szCs w:val="22"/>
        </w:rPr>
        <w:t xml:space="preserve">che certamente emergerebbero </w:t>
      </w:r>
      <w:r w:rsidR="00A93C7B" w:rsidRPr="00417121">
        <w:rPr>
          <w:rFonts w:ascii="Simoncini Garamond" w:hAnsi="Simoncini Garamond" w:cs="Times New Roman"/>
          <w:bCs/>
          <w:iCs/>
          <w:color w:val="auto"/>
          <w:sz w:val="22"/>
          <w:szCs w:val="22"/>
        </w:rPr>
        <w:t>con i numerosi ordinamenti settoriali (di carattere unionale e nazionale) che tale disciplina dovrebbe affrontare e risolvere.</w:t>
      </w:r>
    </w:p>
    <w:p w14:paraId="514CD0C8" w14:textId="0CC3476C" w:rsidR="00E132B1" w:rsidRPr="00417121" w:rsidRDefault="00A93C7B"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Ciò non significa, naturalmente, che l'assenza allo stato di una disciplina di carattere unitario del fenomeno e la prevedibile difficoltà ad introdurla </w:t>
      </w:r>
      <w:r w:rsidRPr="00417121">
        <w:rPr>
          <w:rFonts w:ascii="Simoncini Garamond" w:hAnsi="Simoncini Garamond" w:cs="Times New Roman"/>
          <w:bCs/>
          <w:i/>
          <w:color w:val="auto"/>
          <w:sz w:val="22"/>
          <w:szCs w:val="22"/>
        </w:rPr>
        <w:t>de iure condendo</w:t>
      </w:r>
      <w:r w:rsidRPr="00417121">
        <w:rPr>
          <w:rFonts w:ascii="Simoncini Garamond" w:hAnsi="Simoncini Garamond" w:cs="Times New Roman"/>
          <w:bCs/>
          <w:iCs/>
          <w:color w:val="auto"/>
          <w:sz w:val="22"/>
          <w:szCs w:val="22"/>
        </w:rPr>
        <w:t xml:space="preserve"> impedisca </w:t>
      </w:r>
      <w:r w:rsidRPr="00417121">
        <w:rPr>
          <w:rFonts w:ascii="Simoncini Garamond" w:hAnsi="Simoncini Garamond" w:cs="Times New Roman"/>
          <w:bCs/>
          <w:i/>
          <w:color w:val="auto"/>
          <w:sz w:val="22"/>
          <w:szCs w:val="22"/>
        </w:rPr>
        <w:t>qui ed ora</w:t>
      </w:r>
      <w:r w:rsidRPr="00417121">
        <w:rPr>
          <w:rFonts w:ascii="Simoncini Garamond" w:hAnsi="Simoncini Garamond" w:cs="Times New Roman"/>
          <w:bCs/>
          <w:iCs/>
          <w:color w:val="auto"/>
          <w:sz w:val="22"/>
          <w:szCs w:val="22"/>
        </w:rPr>
        <w:t xml:space="preserve"> di individuare </w:t>
      </w:r>
      <w:r w:rsidR="00704221" w:rsidRPr="00417121">
        <w:rPr>
          <w:rFonts w:ascii="Simoncini Garamond" w:hAnsi="Simoncini Garamond" w:cs="Times New Roman"/>
          <w:bCs/>
          <w:iCs/>
          <w:color w:val="auto"/>
          <w:sz w:val="22"/>
          <w:szCs w:val="22"/>
        </w:rPr>
        <w:t xml:space="preserve">ed esaminare </w:t>
      </w:r>
      <w:r w:rsidRPr="00417121">
        <w:rPr>
          <w:rFonts w:ascii="Simoncini Garamond" w:hAnsi="Simoncini Garamond" w:cs="Times New Roman"/>
          <w:bCs/>
          <w:iCs/>
          <w:color w:val="auto"/>
          <w:sz w:val="22"/>
          <w:szCs w:val="22"/>
        </w:rPr>
        <w:t xml:space="preserve">i numerosi segmenti disciplinari che intercettano l'attività degli </w:t>
      </w:r>
      <w:r w:rsidRPr="00417121">
        <w:rPr>
          <w:rFonts w:ascii="Simoncini Garamond" w:hAnsi="Simoncini Garamond" w:cs="Times New Roman"/>
          <w:bCs/>
          <w:i/>
          <w:color w:val="auto"/>
          <w:sz w:val="22"/>
          <w:szCs w:val="22"/>
        </w:rPr>
        <w:t>influencer</w:t>
      </w:r>
      <w:r w:rsidRPr="00417121">
        <w:rPr>
          <w:rFonts w:ascii="Simoncini Garamond" w:hAnsi="Simoncini Garamond" w:cs="Times New Roman"/>
          <w:bCs/>
          <w:iCs/>
          <w:color w:val="auto"/>
          <w:sz w:val="22"/>
          <w:szCs w:val="22"/>
        </w:rPr>
        <w:t>.</w:t>
      </w:r>
    </w:p>
    <w:p w14:paraId="5A6861E3" w14:textId="55466BA6" w:rsidR="00A93C7B" w:rsidRPr="00417121" w:rsidRDefault="00A93C7B"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Nel presente paragrafo si individueranno, quindi, </w:t>
      </w:r>
      <w:r w:rsidR="00704221" w:rsidRPr="00417121">
        <w:rPr>
          <w:rFonts w:ascii="Simoncini Garamond" w:hAnsi="Simoncini Garamond" w:cs="Times New Roman"/>
          <w:bCs/>
          <w:iCs/>
          <w:color w:val="auto"/>
          <w:sz w:val="22"/>
          <w:szCs w:val="22"/>
        </w:rPr>
        <w:t>alcuni di tali segmenti disciplinari al livello unionale mentre nel paragrafo seguente la medesima indagine verrà svolta sul livello nazionale.</w:t>
      </w:r>
    </w:p>
    <w:p w14:paraId="12B051AB" w14:textId="110B4D85" w:rsidR="00E132B1" w:rsidRPr="00417121" w:rsidRDefault="003C2B39" w:rsidP="003C2B39">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Al riguardo risultano di notevole importanza le conclusioni del Consiglio UE Istruzione, gioventù, cultura e sport </w:t>
      </w:r>
      <w:r w:rsidR="00063DE7" w:rsidRPr="00417121">
        <w:rPr>
          <w:rFonts w:ascii="Simoncini Garamond" w:hAnsi="Simoncini Garamond" w:cs="Times New Roman"/>
          <w:bCs/>
          <w:iCs/>
          <w:color w:val="auto"/>
          <w:sz w:val="22"/>
          <w:szCs w:val="22"/>
        </w:rPr>
        <w:t xml:space="preserve">del 14 maggio 2024 </w:t>
      </w:r>
      <w:r w:rsidRPr="00417121">
        <w:rPr>
          <w:rFonts w:ascii="Simoncini Garamond" w:hAnsi="Simoncini Garamond" w:cs="Times New Roman"/>
          <w:bCs/>
          <w:i/>
          <w:color w:val="auto"/>
          <w:sz w:val="22"/>
          <w:szCs w:val="22"/>
        </w:rPr>
        <w:t>sul sostegno agli influencer in quanto creatori di contenuti online</w:t>
      </w:r>
      <w:r w:rsidRPr="00417121">
        <w:rPr>
          <w:rStyle w:val="Rimandonotaapidipagina"/>
          <w:rFonts w:ascii="Simoncini Garamond" w:hAnsi="Simoncini Garamond" w:cs="Times New Roman"/>
          <w:bCs/>
          <w:iCs/>
          <w:color w:val="auto"/>
          <w:sz w:val="22"/>
          <w:szCs w:val="22"/>
        </w:rPr>
        <w:footnoteReference w:id="20"/>
      </w:r>
      <w:r w:rsidRPr="00417121">
        <w:rPr>
          <w:rFonts w:ascii="Simoncini Garamond" w:hAnsi="Simoncini Garamond" w:cs="Times New Roman"/>
          <w:bCs/>
          <w:iCs/>
          <w:color w:val="auto"/>
          <w:sz w:val="22"/>
          <w:szCs w:val="22"/>
        </w:rPr>
        <w:t>.</w:t>
      </w:r>
    </w:p>
    <w:p w14:paraId="54CB7D69" w14:textId="264D76B5" w:rsidR="007B707B" w:rsidRPr="00417121" w:rsidRDefault="007B707B" w:rsidP="003C2B39">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In tale occasione i Ministri competenti dei ventisette Stati membri, pur non sollecitando all'Esecutivo UE (</w:t>
      </w:r>
      <w:r w:rsidRPr="00417121">
        <w:rPr>
          <w:rFonts w:ascii="Simoncini Garamond" w:hAnsi="Simoncini Garamond" w:cs="Times New Roman"/>
          <w:bCs/>
          <w:i/>
          <w:color w:val="auto"/>
          <w:sz w:val="22"/>
          <w:szCs w:val="22"/>
        </w:rPr>
        <w:t>de iure condendo</w:t>
      </w:r>
      <w:r w:rsidRPr="00417121">
        <w:rPr>
          <w:rFonts w:ascii="Simoncini Garamond" w:hAnsi="Simoncini Garamond" w:cs="Times New Roman"/>
          <w:bCs/>
          <w:iCs/>
          <w:color w:val="auto"/>
          <w:sz w:val="22"/>
          <w:szCs w:val="22"/>
        </w:rPr>
        <w:t xml:space="preserve">, appunto) la presentazione di un'iniziativa normativa vòlta ad introdurre un quadro giuridico </w:t>
      </w:r>
      <w:r w:rsidR="00886E6D" w:rsidRPr="00417121">
        <w:rPr>
          <w:rFonts w:ascii="Simoncini Garamond" w:hAnsi="Simoncini Garamond" w:cs="Times New Roman"/>
          <w:bCs/>
          <w:iCs/>
          <w:color w:val="auto"/>
          <w:sz w:val="22"/>
          <w:szCs w:val="22"/>
        </w:rPr>
        <w:t>armonizzato</w:t>
      </w:r>
      <w:r w:rsidRPr="00417121">
        <w:rPr>
          <w:rFonts w:ascii="Simoncini Garamond" w:hAnsi="Simoncini Garamond" w:cs="Times New Roman"/>
          <w:bCs/>
          <w:iCs/>
          <w:color w:val="auto"/>
          <w:sz w:val="22"/>
          <w:szCs w:val="22"/>
        </w:rPr>
        <w:t xml:space="preserve"> sull'attività degli </w:t>
      </w:r>
      <w:r w:rsidRPr="00417121">
        <w:rPr>
          <w:rFonts w:ascii="Simoncini Garamond" w:hAnsi="Simoncini Garamond" w:cs="Times New Roman"/>
          <w:bCs/>
          <w:i/>
          <w:color w:val="auto"/>
          <w:sz w:val="22"/>
          <w:szCs w:val="22"/>
        </w:rPr>
        <w:t>influencer</w:t>
      </w:r>
      <w:r w:rsidRPr="00417121">
        <w:rPr>
          <w:rFonts w:ascii="Simoncini Garamond" w:hAnsi="Simoncini Garamond" w:cs="Times New Roman"/>
          <w:bCs/>
          <w:iCs/>
          <w:color w:val="auto"/>
          <w:sz w:val="22"/>
          <w:szCs w:val="22"/>
        </w:rPr>
        <w:t xml:space="preserve"> in quanto tale, hanno comunque operato (</w:t>
      </w:r>
      <w:r w:rsidRPr="00417121">
        <w:rPr>
          <w:rFonts w:ascii="Simoncini Garamond" w:hAnsi="Simoncini Garamond" w:cs="Times New Roman"/>
          <w:bCs/>
          <w:i/>
          <w:color w:val="auto"/>
          <w:sz w:val="22"/>
          <w:szCs w:val="22"/>
        </w:rPr>
        <w:t>de iure condito</w:t>
      </w:r>
      <w:r w:rsidRPr="00417121">
        <w:rPr>
          <w:rFonts w:ascii="Simoncini Garamond" w:hAnsi="Simoncini Garamond" w:cs="Times New Roman"/>
          <w:bCs/>
          <w:iCs/>
          <w:color w:val="auto"/>
          <w:sz w:val="22"/>
          <w:szCs w:val="22"/>
        </w:rPr>
        <w:t>) un notevole sforzo ricostruttivo al fine di individuare i principali settori della normativa unionale che già intercettano l'esercizio di tale attività.</w:t>
      </w:r>
    </w:p>
    <w:p w14:paraId="3ABE1B99" w14:textId="09FCC497" w:rsidR="00063DE7" w:rsidRPr="00417121" w:rsidRDefault="00063DE7" w:rsidP="00063DE7">
      <w:pPr>
        <w:pStyle w:val="Default"/>
        <w:widowControl w:val="0"/>
        <w:snapToGrid w:val="0"/>
        <w:spacing w:line="260" w:lineRule="exact"/>
        <w:ind w:firstLine="340"/>
        <w:jc w:val="both"/>
        <w:rPr>
          <w:rFonts w:ascii="Simoncini Garamond" w:hAnsi="Simoncini Garamond" w:cs="Times New Roman"/>
          <w:bCs/>
          <w:i/>
          <w:color w:val="auto"/>
          <w:sz w:val="22"/>
          <w:szCs w:val="22"/>
        </w:rPr>
      </w:pPr>
      <w:r w:rsidRPr="00417121">
        <w:rPr>
          <w:rFonts w:ascii="Simoncini Garamond" w:hAnsi="Simoncini Garamond" w:cs="Times New Roman"/>
          <w:bCs/>
          <w:iCs/>
          <w:color w:val="auto"/>
          <w:sz w:val="22"/>
          <w:szCs w:val="22"/>
        </w:rPr>
        <w:t xml:space="preserve">Il documento in questione sottolinea in primo luogo che </w:t>
      </w:r>
      <w:r w:rsidRPr="00417121">
        <w:rPr>
          <w:rFonts w:ascii="Constantia" w:hAnsi="Constantia" w:cs="Times New Roman"/>
          <w:bCs/>
          <w:iCs/>
          <w:color w:val="auto"/>
          <w:sz w:val="22"/>
          <w:szCs w:val="22"/>
        </w:rPr>
        <w:t>«</w:t>
      </w:r>
      <w:r w:rsidRPr="00417121">
        <w:rPr>
          <w:rFonts w:ascii="Constantia" w:hAnsi="Constantia" w:cs="Times New Roman"/>
          <w:bCs/>
          <w:i/>
          <w:color w:val="auto"/>
          <w:sz w:val="22"/>
          <w:szCs w:val="22"/>
        </w:rPr>
        <w:t>g</w:t>
      </w:r>
      <w:r w:rsidRPr="00417121">
        <w:rPr>
          <w:rFonts w:ascii="Simoncini Garamond" w:hAnsi="Simoncini Garamond" w:cs="Times New Roman"/>
          <w:bCs/>
          <w:i/>
          <w:color w:val="auto"/>
          <w:sz w:val="22"/>
          <w:szCs w:val="22"/>
        </w:rPr>
        <w:t xml:space="preserve">li influencer fanno parte dell'ecosistema dei media globale. Poiché utilizzano social media e piattaforme per la condivisione di video che fanno parte della vita quotidiana di molti europei, gli influencer hanno un impatto crescente sui </w:t>
      </w:r>
      <w:r w:rsidRPr="00417121">
        <w:rPr>
          <w:rFonts w:ascii="Simoncini Garamond" w:hAnsi="Simoncini Garamond" w:cs="Times New Roman"/>
          <w:bCs/>
          <w:i/>
          <w:color w:val="auto"/>
          <w:sz w:val="22"/>
          <w:szCs w:val="22"/>
        </w:rPr>
        <w:lastRenderedPageBreak/>
        <w:t>contenuti e sulle informazioni online che gli europei consumano regolarmente.</w:t>
      </w:r>
    </w:p>
    <w:p w14:paraId="5C3163E0" w14:textId="77B491B4" w:rsidR="00E132B1" w:rsidRPr="00417121" w:rsidRDefault="00063DE7" w:rsidP="00063DE7">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
          <w:color w:val="auto"/>
          <w:sz w:val="22"/>
          <w:szCs w:val="22"/>
        </w:rPr>
        <w:t>(…) I social media e le piattaforme per la condivisione di video stanno diventando parte integrante dello sviluppo delle opinioni, dei comportamenti, dell'impegno sociale e dell'identità delle persone, compreso lo sviluppo psicosociale, in particolare durante l'adolescenza. Grazie alla diversità riscontrabile tra gli influencer, quasi tutti possono trovare una comunità online e rafforzare il proprio senso di appartenenza. Gli influencer possono pertanto avere un impatto positivo sul loro pubblico</w:t>
      </w:r>
      <w:r w:rsidRPr="00417121">
        <w:rPr>
          <w:rFonts w:ascii="Constantia" w:hAnsi="Constantia" w:cs="Times New Roman"/>
          <w:bCs/>
          <w:iCs/>
          <w:color w:val="auto"/>
          <w:sz w:val="22"/>
          <w:szCs w:val="22"/>
        </w:rPr>
        <w:t>»</w:t>
      </w:r>
      <w:r w:rsidRPr="00417121">
        <w:rPr>
          <w:rFonts w:ascii="Simoncini Garamond" w:hAnsi="Simoncini Garamond" w:cs="Times New Roman"/>
          <w:bCs/>
          <w:iCs/>
          <w:color w:val="auto"/>
          <w:sz w:val="22"/>
          <w:szCs w:val="22"/>
        </w:rPr>
        <w:t>.</w:t>
      </w:r>
    </w:p>
    <w:p w14:paraId="2972B36D" w14:textId="09B0228C" w:rsidR="00063DE7" w:rsidRPr="00417121" w:rsidRDefault="00063DE7" w:rsidP="00063DE7">
      <w:pPr>
        <w:pStyle w:val="Default"/>
        <w:widowControl w:val="0"/>
        <w:snapToGrid w:val="0"/>
        <w:spacing w:line="260" w:lineRule="exact"/>
        <w:ind w:firstLine="340"/>
        <w:jc w:val="both"/>
        <w:rPr>
          <w:rFonts w:ascii="Simoncini Garamond" w:hAnsi="Simoncini Garamond" w:cs="Times New Roman"/>
          <w:bCs/>
          <w:i/>
          <w:color w:val="auto"/>
          <w:sz w:val="22"/>
          <w:szCs w:val="22"/>
        </w:rPr>
      </w:pPr>
      <w:r w:rsidRPr="00417121">
        <w:rPr>
          <w:rFonts w:ascii="Simoncini Garamond" w:hAnsi="Simoncini Garamond" w:cs="Times New Roman"/>
          <w:bCs/>
          <w:iCs/>
          <w:color w:val="auto"/>
          <w:sz w:val="22"/>
          <w:szCs w:val="22"/>
        </w:rPr>
        <w:t xml:space="preserve">Prima di offrire una panoramica dei principali testi normativi unionali che intercettano l'attività degli </w:t>
      </w:r>
      <w:r w:rsidRPr="00417121">
        <w:rPr>
          <w:rFonts w:ascii="Simoncini Garamond" w:hAnsi="Simoncini Garamond" w:cs="Times New Roman"/>
          <w:bCs/>
          <w:i/>
          <w:color w:val="auto"/>
          <w:sz w:val="22"/>
          <w:szCs w:val="22"/>
        </w:rPr>
        <w:t>influencer</w:t>
      </w:r>
      <w:r w:rsidRPr="00417121">
        <w:rPr>
          <w:rFonts w:ascii="Simoncini Garamond" w:hAnsi="Simoncini Garamond" w:cs="Times New Roman"/>
          <w:bCs/>
          <w:iCs/>
          <w:color w:val="auto"/>
          <w:sz w:val="22"/>
          <w:szCs w:val="22"/>
        </w:rPr>
        <w:t xml:space="preserve">, il Consiglio UE evidenzia che i contenuti da loro creati e il loro stesso comportamento online </w:t>
      </w:r>
      <w:r w:rsidRPr="00417121">
        <w:rPr>
          <w:rFonts w:ascii="Constantia" w:hAnsi="Constantia" w:cs="Times New Roman"/>
          <w:bCs/>
          <w:iCs/>
          <w:color w:val="auto"/>
          <w:sz w:val="22"/>
          <w:szCs w:val="22"/>
        </w:rPr>
        <w:t>«</w:t>
      </w:r>
      <w:r w:rsidRPr="00417121">
        <w:rPr>
          <w:rFonts w:ascii="Simoncini Garamond" w:hAnsi="Simoncini Garamond" w:cs="Times New Roman"/>
          <w:bCs/>
          <w:i/>
          <w:color w:val="auto"/>
          <w:sz w:val="22"/>
          <w:szCs w:val="22"/>
        </w:rPr>
        <w:t>possono anche essere dannosi per gli individui e per la società nel suo complesso. La salute mentale e fisica del loro pubblico, in particolare dei minori, può risentire negativamente dei rischi inerenti all'ambiente online, come il bullismo online, la disinformazione o la cattiva informazione e il confronto malsano con gli influencer. Inoltre, la cattiva informazione e la disinformazione condivise da alcuni influencer possono avere altresì un impatto negativo a livello sociale in settori quali la salute pubblica e la democrazia.</w:t>
      </w:r>
    </w:p>
    <w:p w14:paraId="152A6439" w14:textId="781BA215" w:rsidR="00E132B1" w:rsidRPr="00417121" w:rsidRDefault="00063DE7" w:rsidP="00063DE7">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
          <w:color w:val="auto"/>
          <w:sz w:val="22"/>
          <w:szCs w:val="22"/>
        </w:rPr>
        <w:t>(…) L'impatto degli influencer si estende oltre le loro attività commerciali, con effetti sul loro pubblico che possono incidere sugli atteggiamenti democratici, i valori e le opinioni politiche, nonché sulla salute, gli atteggiamenti personali e le decisioni professionali. Gli influencer devono essere consapevoli del loro impatto e dovrebbero disporre delle competenze necessarie per gestirlo e promuovere una presenza online positiva e costruttiva</w:t>
      </w:r>
      <w:r w:rsidRPr="00417121">
        <w:rPr>
          <w:rFonts w:ascii="Constantia" w:hAnsi="Constantia" w:cs="Times New Roman"/>
          <w:bCs/>
          <w:i/>
          <w:color w:val="auto"/>
          <w:sz w:val="22"/>
          <w:szCs w:val="22"/>
        </w:rPr>
        <w:t>»</w:t>
      </w:r>
      <w:r w:rsidRPr="00417121">
        <w:rPr>
          <w:rFonts w:ascii="Simoncini Garamond" w:hAnsi="Simoncini Garamond" w:cs="Times New Roman"/>
          <w:bCs/>
          <w:iCs/>
          <w:color w:val="auto"/>
          <w:sz w:val="22"/>
          <w:szCs w:val="22"/>
        </w:rPr>
        <w:t>.</w:t>
      </w:r>
    </w:p>
    <w:p w14:paraId="21D94731" w14:textId="54219E6D" w:rsidR="00E132B1" w:rsidRPr="00417121" w:rsidRDefault="00063DE7"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Dopo aver svolto tali premesse di contesto il Consiglio UE svolge una rassegna (non esaustiva ma certamente assai significativa) circa i principali ambiti della normativa unionale che - per così dire - intercettano l'attività di comunicazione e diffusione di contenuti </w:t>
      </w:r>
      <w:r w:rsidRPr="00417121">
        <w:rPr>
          <w:rFonts w:ascii="Simoncini Garamond" w:hAnsi="Simoncini Garamond" w:cs="Times New Roman"/>
          <w:bCs/>
          <w:i/>
          <w:color w:val="auto"/>
          <w:sz w:val="22"/>
          <w:szCs w:val="22"/>
        </w:rPr>
        <w:t>online</w:t>
      </w:r>
      <w:r w:rsidRPr="00417121">
        <w:rPr>
          <w:rFonts w:ascii="Simoncini Garamond" w:hAnsi="Simoncini Garamond" w:cs="Times New Roman"/>
          <w:bCs/>
          <w:iCs/>
          <w:color w:val="auto"/>
          <w:sz w:val="22"/>
          <w:szCs w:val="22"/>
        </w:rPr>
        <w:t xml:space="preserve"> svolta dagli </w:t>
      </w:r>
      <w:r w:rsidRPr="00417121">
        <w:rPr>
          <w:rFonts w:ascii="Simoncini Garamond" w:hAnsi="Simoncini Garamond" w:cs="Times New Roman"/>
          <w:bCs/>
          <w:i/>
          <w:color w:val="auto"/>
          <w:sz w:val="22"/>
          <w:szCs w:val="22"/>
        </w:rPr>
        <w:t>influencer</w:t>
      </w:r>
      <w:r w:rsidRPr="00417121">
        <w:rPr>
          <w:rFonts w:ascii="Simoncini Garamond" w:hAnsi="Simoncini Garamond" w:cs="Times New Roman"/>
          <w:bCs/>
          <w:iCs/>
          <w:color w:val="auto"/>
          <w:sz w:val="22"/>
          <w:szCs w:val="22"/>
        </w:rPr>
        <w:t>.</w:t>
      </w:r>
    </w:p>
    <w:p w14:paraId="657D3FFE" w14:textId="43449F85" w:rsidR="00E132B1" w:rsidRPr="00417121" w:rsidRDefault="00063DE7"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Ai fini che qui rilevano si ritiene di richiamare</w:t>
      </w:r>
      <w:r w:rsidR="00F277C1" w:rsidRPr="00417121">
        <w:rPr>
          <w:rFonts w:ascii="Simoncini Garamond" w:hAnsi="Simoncini Garamond" w:cs="Times New Roman"/>
          <w:bCs/>
          <w:iCs/>
          <w:color w:val="auto"/>
          <w:sz w:val="22"/>
          <w:szCs w:val="22"/>
        </w:rPr>
        <w:t xml:space="preserve"> (a titolo non esaustivo)</w:t>
      </w:r>
      <w:r w:rsidRPr="00417121">
        <w:rPr>
          <w:rFonts w:ascii="Simoncini Garamond" w:hAnsi="Simoncini Garamond" w:cs="Times New Roman"/>
          <w:bCs/>
          <w:iCs/>
          <w:color w:val="auto"/>
          <w:sz w:val="22"/>
          <w:szCs w:val="22"/>
        </w:rPr>
        <w:t>:</w:t>
      </w:r>
    </w:p>
    <w:p w14:paraId="37E3FE19" w14:textId="41C1F45E" w:rsidR="00063DE7" w:rsidRPr="00417121" w:rsidRDefault="00063DE7"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 </w:t>
      </w:r>
      <w:r w:rsidR="0063126F" w:rsidRPr="00417121">
        <w:rPr>
          <w:rFonts w:ascii="Simoncini Garamond" w:hAnsi="Simoncini Garamond" w:cs="Times New Roman"/>
          <w:bCs/>
          <w:iCs/>
          <w:color w:val="auto"/>
          <w:sz w:val="22"/>
          <w:szCs w:val="22"/>
        </w:rPr>
        <w:t xml:space="preserve">la </w:t>
      </w:r>
      <w:r w:rsidR="0063126F" w:rsidRPr="00417121">
        <w:rPr>
          <w:rFonts w:ascii="Simoncini Garamond" w:hAnsi="Simoncini Garamond" w:cs="Times New Roman"/>
          <w:bCs/>
          <w:i/>
          <w:color w:val="auto"/>
          <w:sz w:val="22"/>
          <w:szCs w:val="22"/>
        </w:rPr>
        <w:t>Direttiva sui Servizi Media Audiovisivi</w:t>
      </w:r>
      <w:r w:rsidR="0063126F" w:rsidRPr="00417121">
        <w:rPr>
          <w:rFonts w:ascii="Simoncini Garamond" w:hAnsi="Simoncini Garamond" w:cs="Times New Roman"/>
          <w:bCs/>
          <w:iCs/>
          <w:color w:val="auto"/>
          <w:sz w:val="22"/>
          <w:szCs w:val="22"/>
        </w:rPr>
        <w:t xml:space="preserve"> n. 2010/13/UE (c.d. '</w:t>
      </w:r>
      <w:r w:rsidR="0063126F" w:rsidRPr="00417121">
        <w:rPr>
          <w:rFonts w:ascii="Simoncini Garamond" w:hAnsi="Simoncini Garamond" w:cs="Times New Roman"/>
          <w:bCs/>
          <w:i/>
          <w:color w:val="auto"/>
          <w:sz w:val="22"/>
          <w:szCs w:val="22"/>
        </w:rPr>
        <w:t>Direttiva AVMS</w:t>
      </w:r>
      <w:r w:rsidR="0063126F" w:rsidRPr="00417121">
        <w:rPr>
          <w:rFonts w:ascii="Simoncini Garamond" w:hAnsi="Simoncini Garamond" w:cs="Times New Roman"/>
          <w:bCs/>
          <w:iCs/>
          <w:color w:val="auto"/>
          <w:sz w:val="22"/>
          <w:szCs w:val="22"/>
        </w:rPr>
        <w:t xml:space="preserve">' - o: SMAV -) la quale impone specifici requisiti di trasparenza ed equità delle comunicazioni commerciali, di protezione dei minori e dei gruppi vulnerabili dai contenuti potenzialmente dannosi nei casi in cui gli </w:t>
      </w:r>
      <w:r w:rsidR="0063126F" w:rsidRPr="00417121">
        <w:rPr>
          <w:rFonts w:ascii="Simoncini Garamond" w:hAnsi="Simoncini Garamond" w:cs="Times New Roman"/>
          <w:bCs/>
          <w:i/>
          <w:color w:val="auto"/>
          <w:sz w:val="22"/>
          <w:szCs w:val="22"/>
        </w:rPr>
        <w:t>influencer</w:t>
      </w:r>
      <w:r w:rsidR="0063126F" w:rsidRPr="00417121">
        <w:rPr>
          <w:rFonts w:ascii="Simoncini Garamond" w:hAnsi="Simoncini Garamond" w:cs="Times New Roman"/>
          <w:bCs/>
          <w:iCs/>
          <w:color w:val="auto"/>
          <w:sz w:val="22"/>
          <w:szCs w:val="22"/>
        </w:rPr>
        <w:t xml:space="preserve"> offrano i loro contenuti attraverso servizi di media audiovisivi;</w:t>
      </w:r>
    </w:p>
    <w:p w14:paraId="528BBAF3" w14:textId="3253E80F" w:rsidR="0063126F" w:rsidRPr="00417121" w:rsidRDefault="0063126F" w:rsidP="000B615A">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 </w:t>
      </w:r>
      <w:r w:rsidR="000B615A" w:rsidRPr="00417121">
        <w:rPr>
          <w:rFonts w:ascii="Simoncini Garamond" w:hAnsi="Simoncini Garamond" w:cs="Times New Roman"/>
          <w:bCs/>
          <w:iCs/>
          <w:color w:val="auto"/>
          <w:sz w:val="22"/>
          <w:szCs w:val="22"/>
        </w:rPr>
        <w:t xml:space="preserve">il </w:t>
      </w:r>
      <w:r w:rsidR="00F277C1" w:rsidRPr="00417121">
        <w:rPr>
          <w:rFonts w:ascii="Simoncini Garamond" w:hAnsi="Simoncini Garamond" w:cs="Times New Roman"/>
          <w:bCs/>
          <w:i/>
          <w:color w:val="auto"/>
          <w:sz w:val="22"/>
          <w:szCs w:val="22"/>
        </w:rPr>
        <w:t>R</w:t>
      </w:r>
      <w:r w:rsidR="000B615A" w:rsidRPr="00417121">
        <w:rPr>
          <w:rFonts w:ascii="Simoncini Garamond" w:hAnsi="Simoncini Garamond" w:cs="Times New Roman"/>
          <w:bCs/>
          <w:i/>
          <w:color w:val="auto"/>
          <w:sz w:val="22"/>
          <w:szCs w:val="22"/>
        </w:rPr>
        <w:t xml:space="preserve">egolamento </w:t>
      </w:r>
      <w:r w:rsidR="00F277C1" w:rsidRPr="00417121">
        <w:rPr>
          <w:rFonts w:ascii="Simoncini Garamond" w:hAnsi="Simoncini Garamond" w:cs="Times New Roman"/>
          <w:bCs/>
          <w:i/>
          <w:color w:val="auto"/>
          <w:sz w:val="22"/>
          <w:szCs w:val="22"/>
        </w:rPr>
        <w:t xml:space="preserve">UE </w:t>
      </w:r>
      <w:r w:rsidR="000B615A" w:rsidRPr="00417121">
        <w:rPr>
          <w:rFonts w:ascii="Simoncini Garamond" w:hAnsi="Simoncini Garamond" w:cs="Times New Roman"/>
          <w:bCs/>
          <w:i/>
          <w:color w:val="auto"/>
          <w:sz w:val="22"/>
          <w:szCs w:val="22"/>
        </w:rPr>
        <w:t>sui servizi digitali</w:t>
      </w:r>
      <w:r w:rsidR="000B615A" w:rsidRPr="00417121">
        <w:rPr>
          <w:rFonts w:ascii="Simoncini Garamond" w:hAnsi="Simoncini Garamond" w:cs="Times New Roman"/>
          <w:bCs/>
          <w:iCs/>
          <w:color w:val="auto"/>
          <w:sz w:val="22"/>
          <w:szCs w:val="22"/>
        </w:rPr>
        <w:t xml:space="preserve"> n. 2022/2065/UE (</w:t>
      </w:r>
      <w:r w:rsidR="000B615A" w:rsidRPr="00417121">
        <w:rPr>
          <w:rFonts w:ascii="Simoncini Garamond" w:hAnsi="Simoncini Garamond" w:cs="Times New Roman"/>
          <w:bCs/>
          <w:i/>
          <w:color w:val="auto"/>
          <w:sz w:val="22"/>
          <w:szCs w:val="22"/>
        </w:rPr>
        <w:t>Digital Services Act</w:t>
      </w:r>
      <w:r w:rsidR="000B615A" w:rsidRPr="00417121">
        <w:rPr>
          <w:rFonts w:ascii="Simoncini Garamond" w:hAnsi="Simoncini Garamond" w:cs="Times New Roman"/>
          <w:bCs/>
          <w:iCs/>
          <w:color w:val="auto"/>
          <w:sz w:val="22"/>
          <w:szCs w:val="22"/>
        </w:rPr>
        <w:t xml:space="preserve"> o DSA) il quale - modificando la direttiva SMAV - fissa obblighi armonizzati per i fornitori di piattaforme online, in merito a contenuti illegali e nocivi, inclusa la disinformazione, i contenuti dannosi per i minori e i gruppi vulnerabili, la promozione della vendita di merci contraffatte, i contenuti commerciali poco trasparenti. Esso incide sul modo in </w:t>
      </w:r>
      <w:r w:rsidR="000B615A" w:rsidRPr="00417121">
        <w:rPr>
          <w:rFonts w:ascii="Simoncini Garamond" w:hAnsi="Simoncini Garamond" w:cs="Times New Roman"/>
          <w:bCs/>
          <w:iCs/>
          <w:color w:val="auto"/>
          <w:sz w:val="22"/>
          <w:szCs w:val="22"/>
        </w:rPr>
        <w:lastRenderedPageBreak/>
        <w:t xml:space="preserve">cui gli </w:t>
      </w:r>
      <w:r w:rsidR="000B615A" w:rsidRPr="00417121">
        <w:rPr>
          <w:rFonts w:ascii="Simoncini Garamond" w:hAnsi="Simoncini Garamond" w:cs="Times New Roman"/>
          <w:bCs/>
          <w:i/>
          <w:color w:val="auto"/>
          <w:sz w:val="22"/>
          <w:szCs w:val="22"/>
        </w:rPr>
        <w:t>influencer</w:t>
      </w:r>
      <w:r w:rsidR="000B615A" w:rsidRPr="00417121">
        <w:rPr>
          <w:rFonts w:ascii="Simoncini Garamond" w:hAnsi="Simoncini Garamond" w:cs="Times New Roman"/>
          <w:bCs/>
          <w:iCs/>
          <w:color w:val="auto"/>
          <w:sz w:val="22"/>
          <w:szCs w:val="22"/>
        </w:rPr>
        <w:t xml:space="preserve"> sono in grado di utilizzare le piattaforme online per diffondere i loro contenuti;</w:t>
      </w:r>
    </w:p>
    <w:p w14:paraId="0F321388" w14:textId="75DB3B40" w:rsidR="00063DE7" w:rsidRPr="00417121" w:rsidRDefault="000B615A"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 il </w:t>
      </w:r>
      <w:r w:rsidRPr="00417121">
        <w:rPr>
          <w:rFonts w:ascii="Simoncini Garamond" w:hAnsi="Simoncini Garamond" w:cs="Times New Roman"/>
          <w:bCs/>
          <w:i/>
          <w:color w:val="auto"/>
          <w:sz w:val="22"/>
          <w:szCs w:val="22"/>
        </w:rPr>
        <w:t xml:space="preserve">Regolamento </w:t>
      </w:r>
      <w:r w:rsidR="00F277C1" w:rsidRPr="00417121">
        <w:rPr>
          <w:rFonts w:ascii="Simoncini Garamond" w:hAnsi="Simoncini Garamond" w:cs="Times New Roman"/>
          <w:bCs/>
          <w:i/>
          <w:color w:val="auto"/>
          <w:sz w:val="22"/>
          <w:szCs w:val="22"/>
        </w:rPr>
        <w:t>U</w:t>
      </w:r>
      <w:r w:rsidRPr="00417121">
        <w:rPr>
          <w:rFonts w:ascii="Simoncini Garamond" w:hAnsi="Simoncini Garamond" w:cs="Times New Roman"/>
          <w:bCs/>
          <w:i/>
          <w:color w:val="auto"/>
          <w:sz w:val="22"/>
          <w:szCs w:val="22"/>
        </w:rPr>
        <w:t>E sull'intelligenza artificiale</w:t>
      </w:r>
      <w:r w:rsidRPr="00417121">
        <w:rPr>
          <w:rFonts w:ascii="Simoncini Garamond" w:hAnsi="Simoncini Garamond" w:cs="Times New Roman"/>
          <w:bCs/>
          <w:iCs/>
          <w:color w:val="auto"/>
          <w:sz w:val="22"/>
          <w:szCs w:val="22"/>
        </w:rPr>
        <w:t xml:space="preserve"> n. 2024/1689/UE (</w:t>
      </w:r>
      <w:proofErr w:type="gramStart"/>
      <w:r w:rsidRPr="00417121">
        <w:rPr>
          <w:rFonts w:ascii="Simoncini Garamond" w:hAnsi="Simoncini Garamond" w:cs="Times New Roman"/>
          <w:bCs/>
          <w:i/>
          <w:color w:val="auto"/>
          <w:sz w:val="22"/>
          <w:szCs w:val="22"/>
        </w:rPr>
        <w:t>AI</w:t>
      </w:r>
      <w:proofErr w:type="gramEnd"/>
      <w:r w:rsidRPr="00417121">
        <w:rPr>
          <w:rFonts w:ascii="Simoncini Garamond" w:hAnsi="Simoncini Garamond" w:cs="Times New Roman"/>
          <w:bCs/>
          <w:i/>
          <w:color w:val="auto"/>
          <w:sz w:val="22"/>
          <w:szCs w:val="22"/>
        </w:rPr>
        <w:t xml:space="preserve"> A</w:t>
      </w:r>
      <w:r w:rsidR="00F277C1" w:rsidRPr="00417121">
        <w:rPr>
          <w:rFonts w:ascii="Simoncini Garamond" w:hAnsi="Simoncini Garamond" w:cs="Times New Roman"/>
          <w:bCs/>
          <w:i/>
          <w:color w:val="auto"/>
          <w:sz w:val="22"/>
          <w:szCs w:val="22"/>
        </w:rPr>
        <w:t>ct</w:t>
      </w:r>
      <w:r w:rsidRPr="00417121">
        <w:rPr>
          <w:rFonts w:ascii="Simoncini Garamond" w:hAnsi="Simoncini Garamond" w:cs="Times New Roman"/>
          <w:bCs/>
          <w:iCs/>
          <w:color w:val="auto"/>
          <w:sz w:val="22"/>
          <w:szCs w:val="22"/>
        </w:rPr>
        <w:t xml:space="preserve">) </w:t>
      </w:r>
      <w:r w:rsidR="00F277C1" w:rsidRPr="00417121">
        <w:rPr>
          <w:rFonts w:ascii="Simoncini Garamond" w:hAnsi="Simoncini Garamond" w:cs="Times New Roman"/>
          <w:bCs/>
          <w:iCs/>
          <w:color w:val="auto"/>
          <w:sz w:val="22"/>
          <w:szCs w:val="22"/>
        </w:rPr>
        <w:t xml:space="preserve">il quale - nel fissare norme armonizzate vòlte a proteggere la salute, la sicurezza e i diritti fondamentali, nonché la democrazia e lo Stato di diritto contro gli effetti potenzialmente nocivi dell'IA, mira a promuovere al contempo un'IA </w:t>
      </w:r>
      <w:r w:rsidR="00F277C1" w:rsidRPr="00417121">
        <w:rPr>
          <w:rFonts w:ascii="Simoncini Garamond" w:hAnsi="Simoncini Garamond" w:cs="Times New Roman"/>
          <w:bCs/>
          <w:i/>
          <w:color w:val="auto"/>
          <w:sz w:val="22"/>
          <w:szCs w:val="22"/>
        </w:rPr>
        <w:t>affidabile e antropocentrica</w:t>
      </w:r>
      <w:r w:rsidR="00F277C1" w:rsidRPr="00417121">
        <w:rPr>
          <w:rFonts w:ascii="Simoncini Garamond" w:hAnsi="Simoncini Garamond" w:cs="Times New Roman"/>
          <w:bCs/>
          <w:iCs/>
          <w:color w:val="auto"/>
          <w:sz w:val="22"/>
          <w:szCs w:val="22"/>
        </w:rPr>
        <w:t xml:space="preserve"> e sostenendo l'innovazione. Ciò obbliga gli </w:t>
      </w:r>
      <w:r w:rsidR="00F277C1" w:rsidRPr="00417121">
        <w:rPr>
          <w:rFonts w:ascii="Simoncini Garamond" w:hAnsi="Simoncini Garamond" w:cs="Times New Roman"/>
          <w:bCs/>
          <w:i/>
          <w:color w:val="auto"/>
          <w:sz w:val="22"/>
          <w:szCs w:val="22"/>
        </w:rPr>
        <w:t>influencer</w:t>
      </w:r>
      <w:r w:rsidR="00F277C1" w:rsidRPr="00417121">
        <w:rPr>
          <w:rFonts w:ascii="Simoncini Garamond" w:hAnsi="Simoncini Garamond" w:cs="Times New Roman"/>
          <w:bCs/>
          <w:iCs/>
          <w:color w:val="auto"/>
          <w:sz w:val="22"/>
          <w:szCs w:val="22"/>
        </w:rPr>
        <w:t xml:space="preserve"> i quali si avvalgano dell'IA per la produzione dei loro contenuti ad astenersi dalle pratiche di IA vietate, nonché a informare il pubblico quando interagiscono con un sistema di IA e a individuare ed etichettare chiaramente i casi di </w:t>
      </w:r>
      <w:r w:rsidR="00F277C1" w:rsidRPr="00417121">
        <w:rPr>
          <w:rFonts w:ascii="Simoncini Garamond" w:hAnsi="Simoncini Garamond" w:cs="Times New Roman"/>
          <w:bCs/>
          <w:i/>
          <w:color w:val="auto"/>
          <w:sz w:val="22"/>
          <w:szCs w:val="22"/>
        </w:rPr>
        <w:t>deep fake</w:t>
      </w:r>
      <w:r w:rsidR="00F277C1" w:rsidRPr="00417121">
        <w:rPr>
          <w:rFonts w:ascii="Simoncini Garamond" w:hAnsi="Simoncini Garamond" w:cs="Times New Roman"/>
          <w:bCs/>
          <w:iCs/>
          <w:color w:val="auto"/>
          <w:sz w:val="22"/>
          <w:szCs w:val="22"/>
        </w:rPr>
        <w:t>.;</w:t>
      </w:r>
    </w:p>
    <w:p w14:paraId="71F3253D" w14:textId="0796B8AF" w:rsidR="00063DE7" w:rsidRPr="00417121" w:rsidRDefault="00F277C1"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 Il </w:t>
      </w:r>
      <w:r w:rsidRPr="00417121">
        <w:rPr>
          <w:rFonts w:ascii="Simoncini Garamond" w:hAnsi="Simoncini Garamond" w:cs="Times New Roman"/>
          <w:bCs/>
          <w:i/>
          <w:color w:val="auto"/>
          <w:sz w:val="22"/>
          <w:szCs w:val="22"/>
        </w:rPr>
        <w:t>Regolamento generale sulla protezione dei dati</w:t>
      </w:r>
      <w:r w:rsidRPr="00417121">
        <w:rPr>
          <w:rFonts w:ascii="Simoncini Garamond" w:hAnsi="Simoncini Garamond" w:cs="Times New Roman"/>
          <w:bCs/>
          <w:iCs/>
          <w:color w:val="auto"/>
          <w:sz w:val="22"/>
          <w:szCs w:val="22"/>
        </w:rPr>
        <w:t xml:space="preserve"> n. 2016/679/UE (c.d. </w:t>
      </w:r>
      <w:r w:rsidRPr="00417121">
        <w:rPr>
          <w:rFonts w:ascii="Simoncini Garamond" w:hAnsi="Simoncini Garamond" w:cs="Times New Roman"/>
          <w:bCs/>
          <w:i/>
          <w:color w:val="auto"/>
          <w:sz w:val="22"/>
          <w:szCs w:val="22"/>
        </w:rPr>
        <w:t xml:space="preserve">General Data </w:t>
      </w:r>
      <w:proofErr w:type="spellStart"/>
      <w:r w:rsidRPr="00417121">
        <w:rPr>
          <w:rFonts w:ascii="Simoncini Garamond" w:hAnsi="Simoncini Garamond" w:cs="Times New Roman"/>
          <w:bCs/>
          <w:i/>
          <w:color w:val="auto"/>
          <w:sz w:val="22"/>
          <w:szCs w:val="22"/>
        </w:rPr>
        <w:t>Protection</w:t>
      </w:r>
      <w:proofErr w:type="spellEnd"/>
      <w:r w:rsidRPr="00417121">
        <w:rPr>
          <w:rFonts w:ascii="Simoncini Garamond" w:hAnsi="Simoncini Garamond" w:cs="Times New Roman"/>
          <w:bCs/>
          <w:i/>
          <w:color w:val="auto"/>
          <w:sz w:val="22"/>
          <w:szCs w:val="22"/>
        </w:rPr>
        <w:t xml:space="preserve"> </w:t>
      </w:r>
      <w:proofErr w:type="spellStart"/>
      <w:r w:rsidRPr="00417121">
        <w:rPr>
          <w:rFonts w:ascii="Simoncini Garamond" w:hAnsi="Simoncini Garamond" w:cs="Times New Roman"/>
          <w:bCs/>
          <w:i/>
          <w:color w:val="auto"/>
          <w:sz w:val="22"/>
          <w:szCs w:val="22"/>
        </w:rPr>
        <w:t>Regulation</w:t>
      </w:r>
      <w:proofErr w:type="spellEnd"/>
      <w:r w:rsidRPr="00417121">
        <w:rPr>
          <w:rFonts w:ascii="Simoncini Garamond" w:hAnsi="Simoncini Garamond" w:cs="Times New Roman"/>
          <w:bCs/>
          <w:iCs/>
          <w:color w:val="auto"/>
          <w:sz w:val="22"/>
          <w:szCs w:val="22"/>
        </w:rPr>
        <w:t xml:space="preserve"> - 'GDPR') il quale, nel fissare un quadro normativo armonizzato al livello continentale sulla protezione dei dati personali, impone agli </w:t>
      </w:r>
      <w:r w:rsidRPr="00417121">
        <w:rPr>
          <w:rFonts w:ascii="Simoncini Garamond" w:hAnsi="Simoncini Garamond" w:cs="Times New Roman"/>
          <w:bCs/>
          <w:i/>
          <w:color w:val="auto"/>
          <w:sz w:val="22"/>
          <w:szCs w:val="22"/>
        </w:rPr>
        <w:t>influencer</w:t>
      </w:r>
      <w:r w:rsidRPr="00417121">
        <w:rPr>
          <w:rFonts w:ascii="Simoncini Garamond" w:hAnsi="Simoncini Garamond" w:cs="Times New Roman"/>
          <w:bCs/>
          <w:iCs/>
          <w:color w:val="auto"/>
          <w:sz w:val="22"/>
          <w:szCs w:val="22"/>
        </w:rPr>
        <w:t xml:space="preserve"> la protezione delle persone fisiche riguardo al trattamento, alla protezione e alla circolazione dei loro dati personali.</w:t>
      </w:r>
    </w:p>
    <w:p w14:paraId="4D080CF3" w14:textId="66E5B50F" w:rsidR="00063DE7" w:rsidRPr="00417121" w:rsidRDefault="00886E6D"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Con il proprio atto del maggio 2024 il Consiglio non nega, quindi, l'assenza allo stato di una disciplina unica e organica sull'attività dei </w:t>
      </w:r>
      <w:proofErr w:type="spellStart"/>
      <w:r w:rsidRPr="00417121">
        <w:rPr>
          <w:rFonts w:ascii="Simoncini Garamond" w:hAnsi="Simoncini Garamond" w:cs="Times New Roman"/>
          <w:bCs/>
          <w:i/>
          <w:color w:val="auto"/>
          <w:sz w:val="22"/>
          <w:szCs w:val="22"/>
        </w:rPr>
        <w:t>content</w:t>
      </w:r>
      <w:proofErr w:type="spellEnd"/>
      <w:r w:rsidRPr="00417121">
        <w:rPr>
          <w:rFonts w:ascii="Simoncini Garamond" w:hAnsi="Simoncini Garamond" w:cs="Times New Roman"/>
          <w:bCs/>
          <w:i/>
          <w:color w:val="auto"/>
          <w:sz w:val="22"/>
          <w:szCs w:val="22"/>
        </w:rPr>
        <w:t xml:space="preserve"> creator </w:t>
      </w:r>
      <w:r w:rsidRPr="00417121">
        <w:rPr>
          <w:rFonts w:ascii="Simoncini Garamond" w:hAnsi="Simoncini Garamond" w:cs="Times New Roman"/>
          <w:bCs/>
          <w:iCs/>
          <w:color w:val="auto"/>
          <w:sz w:val="22"/>
          <w:szCs w:val="22"/>
        </w:rPr>
        <w:t xml:space="preserve">e degli </w:t>
      </w:r>
      <w:r w:rsidRPr="00417121">
        <w:rPr>
          <w:rFonts w:ascii="Simoncini Garamond" w:hAnsi="Simoncini Garamond" w:cs="Times New Roman"/>
          <w:bCs/>
          <w:i/>
          <w:color w:val="auto"/>
          <w:sz w:val="22"/>
          <w:szCs w:val="22"/>
        </w:rPr>
        <w:t>influencer</w:t>
      </w:r>
      <w:r w:rsidRPr="00417121">
        <w:rPr>
          <w:rFonts w:ascii="Simoncini Garamond" w:hAnsi="Simoncini Garamond" w:cs="Times New Roman"/>
          <w:bCs/>
          <w:iCs/>
          <w:color w:val="auto"/>
          <w:sz w:val="22"/>
          <w:szCs w:val="22"/>
        </w:rPr>
        <w:t xml:space="preserve"> (e neppure sollecita la Commissione europea ad assumere un'iniziativa in tal senso). Al contrario, il Consiglio si limita ad operare una (peraltro, utile) ricostruzione dei pertinenti quadri normativi settoriali e a sollecitare gli Stati membri a una serie di attività coerenti con l'azione dell'Unione in materia (</w:t>
      </w:r>
      <w:r w:rsidRPr="00417121">
        <w:rPr>
          <w:rFonts w:ascii="Simoncini Garamond" w:hAnsi="Simoncini Garamond" w:cs="Times New Roman"/>
          <w:bCs/>
          <w:i/>
          <w:color w:val="auto"/>
          <w:sz w:val="22"/>
          <w:szCs w:val="22"/>
        </w:rPr>
        <w:t>e.g.</w:t>
      </w:r>
      <w:r w:rsidRPr="00417121">
        <w:rPr>
          <w:rFonts w:ascii="Simoncini Garamond" w:hAnsi="Simoncini Garamond" w:cs="Times New Roman"/>
          <w:bCs/>
          <w:iCs/>
          <w:color w:val="auto"/>
          <w:sz w:val="22"/>
          <w:szCs w:val="22"/>
        </w:rPr>
        <w:t xml:space="preserve">: facilitazione del dialogo strategico con gli </w:t>
      </w:r>
      <w:r w:rsidRPr="00417121">
        <w:rPr>
          <w:rFonts w:ascii="Simoncini Garamond" w:hAnsi="Simoncini Garamond" w:cs="Times New Roman"/>
          <w:bCs/>
          <w:i/>
          <w:color w:val="auto"/>
          <w:sz w:val="22"/>
          <w:szCs w:val="22"/>
        </w:rPr>
        <w:t>influencer</w:t>
      </w:r>
      <w:r w:rsidRPr="00417121">
        <w:rPr>
          <w:rFonts w:ascii="Simoncini Garamond" w:hAnsi="Simoncini Garamond" w:cs="Times New Roman"/>
          <w:bCs/>
          <w:iCs/>
          <w:color w:val="auto"/>
          <w:sz w:val="22"/>
          <w:szCs w:val="22"/>
        </w:rPr>
        <w:t xml:space="preserve">, sensibilizzazione degli stessi alla comprensione e al rispetto della pertinente normativa nazionale e UE, scambio di buone pratiche tra le organizzazioni che assumono il ruolo di sostegno per gli </w:t>
      </w:r>
      <w:r w:rsidRPr="00417121">
        <w:rPr>
          <w:rFonts w:ascii="Simoncini Garamond" w:hAnsi="Simoncini Garamond" w:cs="Times New Roman"/>
          <w:bCs/>
          <w:i/>
          <w:color w:val="auto"/>
          <w:sz w:val="22"/>
          <w:szCs w:val="22"/>
        </w:rPr>
        <w:t>influencer</w:t>
      </w:r>
      <w:r w:rsidRPr="00417121">
        <w:rPr>
          <w:rFonts w:ascii="Simoncini Garamond" w:hAnsi="Simoncini Garamond" w:cs="Times New Roman"/>
          <w:bCs/>
          <w:iCs/>
          <w:color w:val="auto"/>
          <w:sz w:val="22"/>
          <w:szCs w:val="22"/>
        </w:rPr>
        <w:t>).</w:t>
      </w:r>
    </w:p>
    <w:p w14:paraId="347E93B0" w14:textId="3CBA9EBE" w:rsidR="00E132B1" w:rsidRPr="00417121" w:rsidRDefault="00886E6D"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Il documento dinanzi sinteticamente descritto, in definitiva, ribadisce l</w:t>
      </w:r>
      <w:r w:rsidR="00692877" w:rsidRPr="00417121">
        <w:rPr>
          <w:rFonts w:ascii="Simoncini Garamond" w:hAnsi="Simoncini Garamond" w:cs="Times New Roman"/>
          <w:bCs/>
          <w:iCs/>
          <w:color w:val="auto"/>
          <w:sz w:val="22"/>
          <w:szCs w:val="22"/>
        </w:rPr>
        <w:t>'indubbia</w:t>
      </w:r>
      <w:r w:rsidRPr="00417121">
        <w:rPr>
          <w:rFonts w:ascii="Simoncini Garamond" w:hAnsi="Simoncini Garamond" w:cs="Times New Roman"/>
          <w:bCs/>
          <w:iCs/>
          <w:color w:val="auto"/>
          <w:sz w:val="22"/>
          <w:szCs w:val="22"/>
        </w:rPr>
        <w:t xml:space="preserve"> valenza anche giuridica del fenomeno, conferma che non interverranno a breve iniziative vòlte ad introdurre un quadro giuridico organic</w:t>
      </w:r>
      <w:r w:rsidR="00692877" w:rsidRPr="00417121">
        <w:rPr>
          <w:rFonts w:ascii="Simoncini Garamond" w:hAnsi="Simoncini Garamond" w:cs="Times New Roman"/>
          <w:bCs/>
          <w:iCs/>
          <w:color w:val="auto"/>
          <w:sz w:val="22"/>
          <w:szCs w:val="22"/>
        </w:rPr>
        <w:t>o sul tema e sottolinea che, piuttosto che a introdurre nuove forme di regolamentazione, l'azione politica dell'Unione mira a favorire un approccio multifattoriale al tema.</w:t>
      </w:r>
    </w:p>
    <w:p w14:paraId="72242C7B" w14:textId="57B80D7F" w:rsidR="006B1802" w:rsidRPr="00417121" w:rsidRDefault="006B1802" w:rsidP="006B1802">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Va infine osservato che, sebbene le Conclusioni del Consiglio del maggio 2024 richiamino del tutto correttamente un certo numero di atti giuridici dell'Unione i quali - per così dire - 'intercettano' la figura degli </w:t>
      </w:r>
      <w:r w:rsidRPr="00417121">
        <w:rPr>
          <w:rFonts w:ascii="Simoncini Garamond" w:hAnsi="Simoncini Garamond" w:cs="Times New Roman"/>
          <w:bCs/>
          <w:i/>
          <w:color w:val="auto"/>
          <w:sz w:val="22"/>
          <w:szCs w:val="22"/>
        </w:rPr>
        <w:t>influencer</w:t>
      </w:r>
      <w:r w:rsidRPr="00417121">
        <w:rPr>
          <w:rFonts w:ascii="Simoncini Garamond" w:hAnsi="Simoncini Garamond" w:cs="Times New Roman"/>
          <w:bCs/>
          <w:iCs/>
          <w:color w:val="auto"/>
          <w:sz w:val="22"/>
          <w:szCs w:val="22"/>
        </w:rPr>
        <w:t xml:space="preserve"> e le relative attività, nessuno di essi ha quale oggetto diretto (o anche quale fonte legittimante l'esercizio della potestà normativa) la tu</w:t>
      </w:r>
      <w:r w:rsidRPr="00417121">
        <w:rPr>
          <w:rFonts w:ascii="Simoncini Garamond" w:hAnsi="Simoncini Garamond" w:cs="Times New Roman"/>
          <w:bCs/>
          <w:iCs/>
          <w:color w:val="auto"/>
          <w:sz w:val="22"/>
          <w:szCs w:val="22"/>
        </w:rPr>
        <w:lastRenderedPageBreak/>
        <w:t>tela della liberta di espressione e di informazione, pur espressamente sancita dall'articolo 11 della Carta di Nizza</w:t>
      </w:r>
      <w:r w:rsidRPr="00417121">
        <w:rPr>
          <w:rStyle w:val="Rimandonotaapidipagina"/>
          <w:rFonts w:ascii="Simoncini Garamond" w:hAnsi="Simoncini Garamond" w:cs="Times New Roman"/>
          <w:bCs/>
          <w:iCs/>
          <w:color w:val="auto"/>
          <w:sz w:val="22"/>
          <w:szCs w:val="22"/>
        </w:rPr>
        <w:footnoteReference w:id="21"/>
      </w:r>
      <w:r w:rsidRPr="00417121">
        <w:rPr>
          <w:rFonts w:ascii="Simoncini Garamond" w:hAnsi="Simoncini Garamond" w:cs="Times New Roman"/>
          <w:bCs/>
          <w:iCs/>
          <w:color w:val="auto"/>
          <w:sz w:val="22"/>
          <w:szCs w:val="22"/>
        </w:rPr>
        <w:t>.</w:t>
      </w:r>
    </w:p>
    <w:p w14:paraId="22587D80" w14:textId="252BBB14" w:rsidR="00E132B1" w:rsidRPr="00417121" w:rsidRDefault="006B1802"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Basti pensare che la Direttiva SMAV del 2010 richiama quali proprie fonti legittimanti al livello di Trattato di Roma le disposizioni in tema di liberalizzazione dei servizi (ora: art. 60 del TFUE), mentre il Regolamento DSA del 2022, l'</w:t>
      </w:r>
      <w:r w:rsidRPr="00417121">
        <w:rPr>
          <w:rFonts w:ascii="Simoncini Garamond" w:hAnsi="Simoncini Garamond" w:cs="Times New Roman"/>
          <w:bCs/>
          <w:i/>
          <w:color w:val="auto"/>
          <w:sz w:val="22"/>
          <w:szCs w:val="22"/>
        </w:rPr>
        <w:t>AI Act</w:t>
      </w:r>
      <w:r w:rsidRPr="00417121">
        <w:rPr>
          <w:rFonts w:ascii="Simoncini Garamond" w:hAnsi="Simoncini Garamond" w:cs="Times New Roman"/>
          <w:bCs/>
          <w:iCs/>
          <w:color w:val="auto"/>
          <w:sz w:val="22"/>
          <w:szCs w:val="22"/>
        </w:rPr>
        <w:t xml:space="preserve"> del 2024 e il Regolamento GDPR del 2016 a tal fine richiamano - sia pure a diverso titolo - l'articolo 16 (sulla protezione dei dati di carattere personale) e l'art. 114 del TFUE (sul ravvicinamento delle legislazioni ai fini dell'instaurazione dl mercato interno).</w:t>
      </w:r>
    </w:p>
    <w:p w14:paraId="437C81A0" w14:textId="73C3D6D4" w:rsidR="00E132B1" w:rsidRPr="00417121" w:rsidRDefault="006B1802"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Ciò non vuol dire, evidentemente, che la questione dei rapporti fra attività degli </w:t>
      </w:r>
      <w:r w:rsidRPr="00417121">
        <w:rPr>
          <w:rFonts w:ascii="Simoncini Garamond" w:hAnsi="Simoncini Garamond" w:cs="Times New Roman"/>
          <w:bCs/>
          <w:i/>
          <w:color w:val="auto"/>
          <w:sz w:val="22"/>
          <w:szCs w:val="22"/>
        </w:rPr>
        <w:t>influencer</w:t>
      </w:r>
      <w:r w:rsidRPr="00417121">
        <w:rPr>
          <w:rFonts w:ascii="Simoncini Garamond" w:hAnsi="Simoncini Garamond" w:cs="Times New Roman"/>
          <w:bCs/>
          <w:iCs/>
          <w:color w:val="auto"/>
          <w:sz w:val="22"/>
          <w:szCs w:val="22"/>
        </w:rPr>
        <w:t xml:space="preserve"> (per i profili incisi dalle richiamate normative UE) e libertà di espressione e di informazione non </w:t>
      </w:r>
      <w:r w:rsidR="00AA257F" w:rsidRPr="00417121">
        <w:rPr>
          <w:rFonts w:ascii="Simoncini Garamond" w:hAnsi="Simoncini Garamond" w:cs="Times New Roman"/>
          <w:bCs/>
          <w:iCs/>
          <w:color w:val="auto"/>
          <w:sz w:val="22"/>
          <w:szCs w:val="22"/>
        </w:rPr>
        <w:t>sia di interesse per i</w:t>
      </w:r>
      <w:r w:rsidR="00493FD6" w:rsidRPr="00417121">
        <w:rPr>
          <w:rFonts w:ascii="Simoncini Garamond" w:hAnsi="Simoncini Garamond" w:cs="Times New Roman"/>
          <w:bCs/>
          <w:iCs/>
          <w:color w:val="auto"/>
          <w:sz w:val="22"/>
          <w:szCs w:val="22"/>
        </w:rPr>
        <w:t>l</w:t>
      </w:r>
      <w:r w:rsidR="00AA257F" w:rsidRPr="00417121">
        <w:rPr>
          <w:rFonts w:ascii="Simoncini Garamond" w:hAnsi="Simoncini Garamond" w:cs="Times New Roman"/>
          <w:bCs/>
          <w:iCs/>
          <w:color w:val="auto"/>
          <w:sz w:val="22"/>
          <w:szCs w:val="22"/>
        </w:rPr>
        <w:t xml:space="preserve"> diritto dell'Unione, ma vuol dire - più semplicemente - che tali rapporti (in quanto non espressamente trattati da alcuna fonte del diritto UE derivato) sono demandati a un complesso - e certamente faticos</w:t>
      </w:r>
      <w:r w:rsidR="00493FD6" w:rsidRPr="00417121">
        <w:rPr>
          <w:rFonts w:ascii="Simoncini Garamond" w:hAnsi="Simoncini Garamond" w:cs="Times New Roman"/>
          <w:bCs/>
          <w:iCs/>
          <w:color w:val="auto"/>
          <w:sz w:val="22"/>
          <w:szCs w:val="22"/>
        </w:rPr>
        <w:t>o</w:t>
      </w:r>
      <w:r w:rsidR="00AA257F" w:rsidRPr="00417121">
        <w:rPr>
          <w:rFonts w:ascii="Simoncini Garamond" w:hAnsi="Simoncini Garamond" w:cs="Times New Roman"/>
          <w:bCs/>
          <w:iCs/>
          <w:color w:val="auto"/>
          <w:sz w:val="22"/>
          <w:szCs w:val="22"/>
        </w:rPr>
        <w:t xml:space="preserve"> - lavorio di ricostruzione ed interpretazione.</w:t>
      </w:r>
    </w:p>
    <w:p w14:paraId="43A1F131" w14:textId="3777D4B7" w:rsidR="006B1802" w:rsidRPr="00417121" w:rsidRDefault="00AA257F"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Ne consegue che le delicate questioni (poste dall'attività degli </w:t>
      </w:r>
      <w:r w:rsidRPr="00417121">
        <w:rPr>
          <w:rFonts w:ascii="Simoncini Garamond" w:hAnsi="Simoncini Garamond" w:cs="Times New Roman"/>
          <w:bCs/>
          <w:i/>
          <w:color w:val="auto"/>
          <w:sz w:val="22"/>
          <w:szCs w:val="22"/>
        </w:rPr>
        <w:t>influencer</w:t>
      </w:r>
      <w:r w:rsidRPr="00417121">
        <w:rPr>
          <w:rFonts w:ascii="Simoncini Garamond" w:hAnsi="Simoncini Garamond" w:cs="Times New Roman"/>
          <w:bCs/>
          <w:iCs/>
          <w:color w:val="auto"/>
          <w:sz w:val="22"/>
          <w:szCs w:val="22"/>
        </w:rPr>
        <w:t xml:space="preserve"> ed esaminate al paragrafo precedente in relazione al quadro costituzionale interno) relative ai limiti e alle aree di intersezione fra la libertà di espressione - dal versante attivo - e il diritto a una corretta e trasparente informazione e comunicazione - dal versante passivo -, pur essendo evidentemente conosciute anche al livello UE, non rinvengono neppure nella normativa dell'Unione un chiaro maccanismo di risoluzione.</w:t>
      </w:r>
    </w:p>
    <w:p w14:paraId="4CAC9913" w14:textId="77777777" w:rsidR="006B1802" w:rsidRPr="00417121" w:rsidRDefault="006B1802"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p>
    <w:p w14:paraId="0E7F7625" w14:textId="77777777" w:rsidR="006B1802" w:rsidRPr="00417121" w:rsidRDefault="006B1802"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p>
    <w:p w14:paraId="1622028F" w14:textId="77777777" w:rsidR="00E132B1" w:rsidRPr="00417121" w:rsidRDefault="00E132B1"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p>
    <w:p w14:paraId="65537301" w14:textId="2544454F" w:rsidR="003A6FF0" w:rsidRPr="00417121" w:rsidRDefault="0046252F" w:rsidP="009E41CF">
      <w:pPr>
        <w:pStyle w:val="Default"/>
        <w:widowControl w:val="0"/>
        <w:snapToGrid w:val="0"/>
        <w:spacing w:line="260" w:lineRule="exact"/>
        <w:ind w:firstLine="340"/>
        <w:jc w:val="both"/>
        <w:rPr>
          <w:rFonts w:ascii="Simoncini Garamond" w:hAnsi="Simoncini Garamond" w:cs="Times New Roman"/>
          <w:b/>
          <w:iCs/>
          <w:color w:val="auto"/>
          <w:sz w:val="22"/>
          <w:szCs w:val="22"/>
        </w:rPr>
      </w:pPr>
      <w:r w:rsidRPr="00417121">
        <w:rPr>
          <w:rFonts w:ascii="Simoncini Garamond" w:hAnsi="Simoncini Garamond" w:cs="Times New Roman"/>
          <w:b/>
          <w:iCs/>
          <w:color w:val="auto"/>
          <w:sz w:val="22"/>
          <w:szCs w:val="22"/>
        </w:rPr>
        <w:t>3.2</w:t>
      </w:r>
      <w:r w:rsidR="003A6FF0" w:rsidRPr="00417121">
        <w:rPr>
          <w:rFonts w:ascii="Simoncini Garamond" w:hAnsi="Simoncini Garamond" w:cs="Times New Roman"/>
          <w:b/>
          <w:iCs/>
          <w:color w:val="auto"/>
          <w:sz w:val="22"/>
          <w:szCs w:val="22"/>
        </w:rPr>
        <w:t xml:space="preserve">. </w:t>
      </w:r>
      <w:r w:rsidRPr="00417121">
        <w:rPr>
          <w:rFonts w:ascii="Simoncini Garamond" w:hAnsi="Simoncini Garamond" w:cs="Times New Roman"/>
          <w:b/>
          <w:iCs/>
          <w:color w:val="auto"/>
          <w:sz w:val="22"/>
          <w:szCs w:val="22"/>
        </w:rPr>
        <w:t xml:space="preserve">(segue) … e quello nazionale. </w:t>
      </w:r>
      <w:r w:rsidR="003A6FF0" w:rsidRPr="00417121">
        <w:rPr>
          <w:rFonts w:ascii="Simoncini Garamond" w:hAnsi="Simoncini Garamond" w:cs="Times New Roman"/>
          <w:b/>
          <w:iCs/>
          <w:color w:val="auto"/>
          <w:sz w:val="22"/>
          <w:szCs w:val="22"/>
        </w:rPr>
        <w:t>Alcuni tentativi settoriali di inquadramento: la questione dei servizi media audiovisivi e quella della qualificazione ai fini lavoristici.</w:t>
      </w:r>
    </w:p>
    <w:p w14:paraId="5775C251" w14:textId="77777777" w:rsidR="003A6FF0" w:rsidRPr="00417121" w:rsidRDefault="003A6FF0"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p>
    <w:p w14:paraId="02B2FA04" w14:textId="61D91BFF" w:rsidR="003A6FF0" w:rsidRPr="00417121" w:rsidRDefault="003E3720"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Anche in Italia è mancato sino ad oggi il tentativo di introdurre</w:t>
      </w:r>
      <w:r w:rsidR="000D6B6D" w:rsidRPr="00417121">
        <w:rPr>
          <w:rFonts w:ascii="Simoncini Garamond" w:hAnsi="Simoncini Garamond" w:cs="Times New Roman"/>
          <w:bCs/>
          <w:iCs/>
          <w:color w:val="auto"/>
          <w:sz w:val="22"/>
          <w:szCs w:val="22"/>
        </w:rPr>
        <w:t>, al livello primario,</w:t>
      </w:r>
      <w:r w:rsidRPr="00417121">
        <w:rPr>
          <w:rFonts w:ascii="Simoncini Garamond" w:hAnsi="Simoncini Garamond" w:cs="Times New Roman"/>
          <w:bCs/>
          <w:iCs/>
          <w:color w:val="auto"/>
          <w:sz w:val="22"/>
          <w:szCs w:val="22"/>
        </w:rPr>
        <w:t xml:space="preserve"> un quadro normativo </w:t>
      </w:r>
      <w:r w:rsidR="000D6B6D" w:rsidRPr="00417121">
        <w:rPr>
          <w:rFonts w:ascii="Simoncini Garamond" w:hAnsi="Simoncini Garamond" w:cs="Times New Roman"/>
          <w:bCs/>
          <w:iCs/>
          <w:color w:val="auto"/>
          <w:sz w:val="22"/>
          <w:szCs w:val="22"/>
        </w:rPr>
        <w:t xml:space="preserve">organico </w:t>
      </w:r>
      <w:r w:rsidRPr="00417121">
        <w:rPr>
          <w:rFonts w:ascii="Simoncini Garamond" w:hAnsi="Simoncini Garamond" w:cs="Times New Roman"/>
          <w:bCs/>
          <w:iCs/>
          <w:color w:val="auto"/>
          <w:sz w:val="22"/>
          <w:szCs w:val="22"/>
        </w:rPr>
        <w:t xml:space="preserve">sull'attività degli </w:t>
      </w:r>
      <w:r w:rsidRPr="00417121">
        <w:rPr>
          <w:rFonts w:ascii="Simoncini Garamond" w:hAnsi="Simoncini Garamond" w:cs="Times New Roman"/>
          <w:bCs/>
          <w:i/>
          <w:color w:val="auto"/>
          <w:sz w:val="22"/>
          <w:szCs w:val="22"/>
        </w:rPr>
        <w:t>influencer</w:t>
      </w:r>
      <w:r w:rsidRPr="00417121">
        <w:rPr>
          <w:rFonts w:ascii="Simoncini Garamond" w:hAnsi="Simoncini Garamond" w:cs="Times New Roman"/>
          <w:bCs/>
          <w:iCs/>
          <w:color w:val="auto"/>
          <w:sz w:val="22"/>
          <w:szCs w:val="22"/>
        </w:rPr>
        <w:t>.</w:t>
      </w:r>
    </w:p>
    <w:p w14:paraId="54B8A2BD" w14:textId="0B180E02" w:rsidR="000D6B6D" w:rsidRPr="00417121" w:rsidRDefault="000D6B6D"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Non sono mancate alcune iniziative legislative</w:t>
      </w:r>
      <w:r w:rsidR="00A428EE" w:rsidRPr="00417121">
        <w:rPr>
          <w:rFonts w:ascii="Simoncini Garamond" w:hAnsi="Simoncini Garamond" w:cs="Times New Roman"/>
          <w:bCs/>
          <w:iCs/>
          <w:color w:val="auto"/>
          <w:sz w:val="22"/>
          <w:szCs w:val="22"/>
        </w:rPr>
        <w:t xml:space="preserve">, anche di una certa </w:t>
      </w:r>
      <w:r w:rsidR="00E13853" w:rsidRPr="00417121">
        <w:rPr>
          <w:rFonts w:ascii="Simoncini Garamond" w:hAnsi="Simoncini Garamond" w:cs="Times New Roman"/>
          <w:bCs/>
          <w:iCs/>
          <w:color w:val="auto"/>
          <w:sz w:val="22"/>
          <w:szCs w:val="22"/>
        </w:rPr>
        <w:t>rilev</w:t>
      </w:r>
      <w:r w:rsidR="00A428EE" w:rsidRPr="00417121">
        <w:rPr>
          <w:rFonts w:ascii="Simoncini Garamond" w:hAnsi="Simoncini Garamond" w:cs="Times New Roman"/>
          <w:bCs/>
          <w:iCs/>
          <w:color w:val="auto"/>
          <w:sz w:val="22"/>
          <w:szCs w:val="22"/>
        </w:rPr>
        <w:t xml:space="preserve">anza, </w:t>
      </w:r>
      <w:r w:rsidRPr="00417121">
        <w:rPr>
          <w:rFonts w:ascii="Simoncini Garamond" w:hAnsi="Simoncini Garamond" w:cs="Times New Roman"/>
          <w:bCs/>
          <w:iCs/>
          <w:color w:val="auto"/>
          <w:sz w:val="22"/>
          <w:szCs w:val="22"/>
        </w:rPr>
        <w:t xml:space="preserve">vòlte a disciplinare taluni aspetti dell'attività dei </w:t>
      </w:r>
      <w:proofErr w:type="spellStart"/>
      <w:r w:rsidRPr="00417121">
        <w:rPr>
          <w:rFonts w:ascii="Simoncini Garamond" w:hAnsi="Simoncini Garamond" w:cs="Times New Roman"/>
          <w:bCs/>
          <w:i/>
          <w:color w:val="auto"/>
          <w:sz w:val="22"/>
          <w:szCs w:val="22"/>
        </w:rPr>
        <w:t>content</w:t>
      </w:r>
      <w:proofErr w:type="spellEnd"/>
      <w:r w:rsidRPr="00417121">
        <w:rPr>
          <w:rFonts w:ascii="Simoncini Garamond" w:hAnsi="Simoncini Garamond" w:cs="Times New Roman"/>
          <w:bCs/>
          <w:i/>
          <w:color w:val="auto"/>
          <w:sz w:val="22"/>
          <w:szCs w:val="22"/>
        </w:rPr>
        <w:t xml:space="preserve"> creator</w:t>
      </w:r>
      <w:r w:rsidRPr="00417121">
        <w:rPr>
          <w:rFonts w:ascii="Simoncini Garamond" w:hAnsi="Simoncini Garamond" w:cs="Times New Roman"/>
          <w:bCs/>
          <w:iCs/>
          <w:color w:val="auto"/>
          <w:sz w:val="22"/>
          <w:szCs w:val="22"/>
        </w:rPr>
        <w:t xml:space="preserve"> </w:t>
      </w:r>
      <w:r w:rsidRPr="00417121">
        <w:rPr>
          <w:rFonts w:ascii="Simoncini Garamond" w:hAnsi="Simoncini Garamond" w:cs="Times New Roman"/>
          <w:bCs/>
          <w:iCs/>
          <w:color w:val="auto"/>
          <w:sz w:val="22"/>
          <w:szCs w:val="22"/>
        </w:rPr>
        <w:lastRenderedPageBreak/>
        <w:t xml:space="preserve">ma le stesse - oltre a restare </w:t>
      </w:r>
      <w:r w:rsidR="00E47C37" w:rsidRPr="00417121">
        <w:rPr>
          <w:rFonts w:ascii="Simoncini Garamond" w:hAnsi="Simoncini Garamond" w:cs="Times New Roman"/>
          <w:bCs/>
          <w:iCs/>
          <w:color w:val="auto"/>
          <w:sz w:val="22"/>
          <w:szCs w:val="22"/>
        </w:rPr>
        <w:t>confina</w:t>
      </w:r>
      <w:r w:rsidRPr="00417121">
        <w:rPr>
          <w:rFonts w:ascii="Simoncini Garamond" w:hAnsi="Simoncini Garamond" w:cs="Times New Roman"/>
          <w:bCs/>
          <w:iCs/>
          <w:color w:val="auto"/>
          <w:sz w:val="22"/>
          <w:szCs w:val="22"/>
        </w:rPr>
        <w:t xml:space="preserve">te </w:t>
      </w:r>
      <w:r w:rsidR="00E47C37" w:rsidRPr="00417121">
        <w:rPr>
          <w:rFonts w:ascii="Simoncini Garamond" w:hAnsi="Simoncini Garamond" w:cs="Times New Roman"/>
          <w:bCs/>
          <w:iCs/>
          <w:color w:val="auto"/>
          <w:sz w:val="22"/>
          <w:szCs w:val="22"/>
        </w:rPr>
        <w:t>in</w:t>
      </w:r>
      <w:r w:rsidRPr="00417121">
        <w:rPr>
          <w:rFonts w:ascii="Simoncini Garamond" w:hAnsi="Simoncini Garamond" w:cs="Times New Roman"/>
          <w:bCs/>
          <w:iCs/>
          <w:color w:val="auto"/>
          <w:sz w:val="22"/>
          <w:szCs w:val="22"/>
        </w:rPr>
        <w:t xml:space="preserve"> ambiti piuttosto </w:t>
      </w:r>
      <w:r w:rsidR="00E47C37" w:rsidRPr="00417121">
        <w:rPr>
          <w:rFonts w:ascii="Simoncini Garamond" w:hAnsi="Simoncini Garamond" w:cs="Times New Roman"/>
          <w:bCs/>
          <w:iCs/>
          <w:color w:val="auto"/>
          <w:sz w:val="22"/>
          <w:szCs w:val="22"/>
        </w:rPr>
        <w:t>delimitati - non hanno infine prodotto</w:t>
      </w:r>
      <w:r w:rsidR="00A428EE" w:rsidRPr="00417121">
        <w:rPr>
          <w:rFonts w:ascii="Simoncini Garamond" w:hAnsi="Simoncini Garamond" w:cs="Times New Roman"/>
          <w:bCs/>
          <w:iCs/>
          <w:color w:val="auto"/>
          <w:sz w:val="22"/>
          <w:szCs w:val="22"/>
        </w:rPr>
        <w:t>, almeno sino ad oggi,</w:t>
      </w:r>
      <w:r w:rsidR="00E47C37" w:rsidRPr="00417121">
        <w:rPr>
          <w:rFonts w:ascii="Simoncini Garamond" w:hAnsi="Simoncini Garamond" w:cs="Times New Roman"/>
          <w:bCs/>
          <w:iCs/>
          <w:color w:val="auto"/>
          <w:sz w:val="22"/>
          <w:szCs w:val="22"/>
        </w:rPr>
        <w:t xml:space="preserve"> risultati di un qualche rilievo</w:t>
      </w:r>
      <w:r w:rsidR="00E47C37" w:rsidRPr="00417121">
        <w:rPr>
          <w:rStyle w:val="Rimandonotaapidipagina"/>
          <w:rFonts w:ascii="Simoncini Garamond" w:hAnsi="Simoncini Garamond" w:cs="Times New Roman"/>
          <w:bCs/>
          <w:iCs/>
          <w:color w:val="auto"/>
          <w:sz w:val="22"/>
          <w:szCs w:val="22"/>
        </w:rPr>
        <w:footnoteReference w:id="22"/>
      </w:r>
      <w:r w:rsidR="00E47C37" w:rsidRPr="00417121">
        <w:rPr>
          <w:rFonts w:ascii="Simoncini Garamond" w:hAnsi="Simoncini Garamond" w:cs="Times New Roman"/>
          <w:bCs/>
          <w:iCs/>
          <w:color w:val="auto"/>
          <w:sz w:val="22"/>
          <w:szCs w:val="22"/>
        </w:rPr>
        <w:t>.</w:t>
      </w:r>
      <w:r w:rsidRPr="00417121">
        <w:rPr>
          <w:rFonts w:ascii="Simoncini Garamond" w:hAnsi="Simoncini Garamond" w:cs="Times New Roman"/>
          <w:bCs/>
          <w:iCs/>
          <w:color w:val="auto"/>
          <w:sz w:val="22"/>
          <w:szCs w:val="22"/>
        </w:rPr>
        <w:t xml:space="preserve"> </w:t>
      </w:r>
    </w:p>
    <w:p w14:paraId="49398225" w14:textId="2161E3F6" w:rsidR="000D6B6D" w:rsidRPr="00417121" w:rsidRDefault="00A428EE"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Nell'esperienza nazionale si è piuttosto registrata la tendenza d</w:t>
      </w:r>
      <w:r w:rsidR="000C7717" w:rsidRPr="00417121">
        <w:rPr>
          <w:rFonts w:ascii="Simoncini Garamond" w:hAnsi="Simoncini Garamond" w:cs="Times New Roman"/>
          <w:bCs/>
          <w:iCs/>
          <w:color w:val="auto"/>
          <w:sz w:val="22"/>
          <w:szCs w:val="22"/>
        </w:rPr>
        <w:t>a parte di alcun</w:t>
      </w:r>
      <w:r w:rsidRPr="00417121">
        <w:rPr>
          <w:rFonts w:ascii="Simoncini Garamond" w:hAnsi="Simoncini Garamond" w:cs="Times New Roman"/>
          <w:bCs/>
          <w:iCs/>
          <w:color w:val="auto"/>
          <w:sz w:val="22"/>
          <w:szCs w:val="22"/>
        </w:rPr>
        <w:t xml:space="preserve">e </w:t>
      </w:r>
      <w:proofErr w:type="spellStart"/>
      <w:r w:rsidRPr="00417121">
        <w:rPr>
          <w:rFonts w:ascii="Simoncini Garamond" w:hAnsi="Simoncini Garamond" w:cs="Times New Roman"/>
          <w:bCs/>
          <w:i/>
          <w:color w:val="auto"/>
          <w:sz w:val="22"/>
          <w:szCs w:val="22"/>
        </w:rPr>
        <w:t>Authorities</w:t>
      </w:r>
      <w:proofErr w:type="spellEnd"/>
      <w:r w:rsidRPr="00417121">
        <w:rPr>
          <w:rFonts w:ascii="Simoncini Garamond" w:hAnsi="Simoncini Garamond" w:cs="Times New Roman"/>
          <w:bCs/>
          <w:iCs/>
          <w:color w:val="auto"/>
          <w:sz w:val="22"/>
          <w:szCs w:val="22"/>
        </w:rPr>
        <w:t xml:space="preserve"> di settore ad adottare atti di regolazione vòlti - in ultima analisi - ad introdurre regole comportamentali </w:t>
      </w:r>
      <w:r w:rsidR="00E13853" w:rsidRPr="00417121">
        <w:rPr>
          <w:rFonts w:ascii="Simoncini Garamond" w:hAnsi="Simoncini Garamond" w:cs="Times New Roman"/>
          <w:bCs/>
          <w:iCs/>
          <w:color w:val="auto"/>
          <w:sz w:val="22"/>
          <w:szCs w:val="22"/>
        </w:rPr>
        <w:t xml:space="preserve">e operative </w:t>
      </w:r>
      <w:r w:rsidRPr="00417121">
        <w:rPr>
          <w:rFonts w:ascii="Simoncini Garamond" w:hAnsi="Simoncini Garamond" w:cs="Times New Roman"/>
          <w:bCs/>
          <w:iCs/>
          <w:color w:val="auto"/>
          <w:sz w:val="22"/>
          <w:szCs w:val="22"/>
        </w:rPr>
        <w:t xml:space="preserve">per gli </w:t>
      </w:r>
      <w:r w:rsidRPr="00417121">
        <w:rPr>
          <w:rFonts w:ascii="Simoncini Garamond" w:hAnsi="Simoncini Garamond" w:cs="Times New Roman"/>
          <w:bCs/>
          <w:i/>
          <w:color w:val="auto"/>
          <w:sz w:val="22"/>
          <w:szCs w:val="22"/>
        </w:rPr>
        <w:t>influencer</w:t>
      </w:r>
      <w:r w:rsidRPr="00417121">
        <w:rPr>
          <w:rFonts w:ascii="Simoncini Garamond" w:hAnsi="Simoncini Garamond" w:cs="Times New Roman"/>
          <w:bCs/>
          <w:iCs/>
          <w:color w:val="auto"/>
          <w:sz w:val="22"/>
          <w:szCs w:val="22"/>
        </w:rPr>
        <w:t xml:space="preserve">, nonché lo sforzo di alcuni Enti nazionali di </w:t>
      </w:r>
      <w:r w:rsidR="00E13853" w:rsidRPr="00417121">
        <w:rPr>
          <w:rFonts w:ascii="Simoncini Garamond" w:hAnsi="Simoncini Garamond" w:cs="Times New Roman"/>
          <w:bCs/>
          <w:iCs/>
          <w:color w:val="auto"/>
          <w:sz w:val="22"/>
          <w:szCs w:val="22"/>
        </w:rPr>
        <w:t>tracci</w:t>
      </w:r>
      <w:r w:rsidRPr="00417121">
        <w:rPr>
          <w:rFonts w:ascii="Simoncini Garamond" w:hAnsi="Simoncini Garamond" w:cs="Times New Roman"/>
          <w:bCs/>
          <w:iCs/>
          <w:color w:val="auto"/>
          <w:sz w:val="22"/>
          <w:szCs w:val="22"/>
        </w:rPr>
        <w:t xml:space="preserve">are un quadro ricostruttivo sull'attività dei </w:t>
      </w:r>
      <w:proofErr w:type="spellStart"/>
      <w:r w:rsidRPr="00417121">
        <w:rPr>
          <w:rFonts w:ascii="Simoncini Garamond" w:hAnsi="Simoncini Garamond" w:cs="Times New Roman"/>
          <w:bCs/>
          <w:i/>
          <w:color w:val="auto"/>
          <w:sz w:val="22"/>
          <w:szCs w:val="22"/>
        </w:rPr>
        <w:t>content</w:t>
      </w:r>
      <w:proofErr w:type="spellEnd"/>
      <w:r w:rsidRPr="00417121">
        <w:rPr>
          <w:rFonts w:ascii="Simoncini Garamond" w:hAnsi="Simoncini Garamond" w:cs="Times New Roman"/>
          <w:bCs/>
          <w:i/>
          <w:color w:val="auto"/>
          <w:sz w:val="22"/>
          <w:szCs w:val="22"/>
        </w:rPr>
        <w:t xml:space="preserve"> creator</w:t>
      </w:r>
      <w:r w:rsidRPr="00417121">
        <w:rPr>
          <w:rFonts w:ascii="Simoncini Garamond" w:hAnsi="Simoncini Garamond" w:cs="Times New Roman"/>
          <w:bCs/>
          <w:iCs/>
          <w:color w:val="auto"/>
          <w:sz w:val="22"/>
          <w:szCs w:val="22"/>
        </w:rPr>
        <w:t xml:space="preserve"> (ma con obiettivi sostanzialmente delimitati all</w:t>
      </w:r>
      <w:r w:rsidR="00E13853" w:rsidRPr="00417121">
        <w:rPr>
          <w:rFonts w:ascii="Simoncini Garamond" w:hAnsi="Simoncini Garamond" w:cs="Times New Roman"/>
          <w:bCs/>
          <w:iCs/>
          <w:color w:val="auto"/>
          <w:sz w:val="22"/>
          <w:szCs w:val="22"/>
        </w:rPr>
        <w:t>e</w:t>
      </w:r>
      <w:r w:rsidRPr="00417121">
        <w:rPr>
          <w:rFonts w:ascii="Simoncini Garamond" w:hAnsi="Simoncini Garamond" w:cs="Times New Roman"/>
          <w:bCs/>
          <w:iCs/>
          <w:color w:val="auto"/>
          <w:sz w:val="22"/>
          <w:szCs w:val="22"/>
        </w:rPr>
        <w:t xml:space="preserve"> rispettiv</w:t>
      </w:r>
      <w:r w:rsidR="00E13853" w:rsidRPr="00417121">
        <w:rPr>
          <w:rFonts w:ascii="Simoncini Garamond" w:hAnsi="Simoncini Garamond" w:cs="Times New Roman"/>
          <w:bCs/>
          <w:iCs/>
          <w:color w:val="auto"/>
          <w:sz w:val="22"/>
          <w:szCs w:val="22"/>
        </w:rPr>
        <w:t>e</w:t>
      </w:r>
      <w:r w:rsidRPr="00417121">
        <w:rPr>
          <w:rFonts w:ascii="Simoncini Garamond" w:hAnsi="Simoncini Garamond" w:cs="Times New Roman"/>
          <w:bCs/>
          <w:iCs/>
          <w:color w:val="auto"/>
          <w:sz w:val="22"/>
          <w:szCs w:val="22"/>
        </w:rPr>
        <w:t xml:space="preserve"> sfer</w:t>
      </w:r>
      <w:r w:rsidR="00E13853" w:rsidRPr="00417121">
        <w:rPr>
          <w:rFonts w:ascii="Simoncini Garamond" w:hAnsi="Simoncini Garamond" w:cs="Times New Roman"/>
          <w:bCs/>
          <w:iCs/>
          <w:color w:val="auto"/>
          <w:sz w:val="22"/>
          <w:szCs w:val="22"/>
        </w:rPr>
        <w:t>e</w:t>
      </w:r>
      <w:r w:rsidRPr="00417121">
        <w:rPr>
          <w:rFonts w:ascii="Simoncini Garamond" w:hAnsi="Simoncini Garamond" w:cs="Times New Roman"/>
          <w:bCs/>
          <w:iCs/>
          <w:color w:val="auto"/>
          <w:sz w:val="22"/>
          <w:szCs w:val="22"/>
        </w:rPr>
        <w:t xml:space="preserve"> di competenza).</w:t>
      </w:r>
    </w:p>
    <w:p w14:paraId="1CE27EF6" w14:textId="5C76BDD7" w:rsidR="000D6B6D" w:rsidRPr="00417121" w:rsidRDefault="00CF7651"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Nel presente paragrafo si svolgeranno </w:t>
      </w:r>
      <w:r w:rsidR="000C7717" w:rsidRPr="00417121">
        <w:rPr>
          <w:rFonts w:ascii="Simoncini Garamond" w:hAnsi="Simoncini Garamond" w:cs="Times New Roman"/>
          <w:bCs/>
          <w:iCs/>
          <w:color w:val="auto"/>
          <w:sz w:val="22"/>
          <w:szCs w:val="22"/>
        </w:rPr>
        <w:t xml:space="preserve">quindi </w:t>
      </w:r>
      <w:r w:rsidRPr="00417121">
        <w:rPr>
          <w:rFonts w:ascii="Simoncini Garamond" w:hAnsi="Simoncini Garamond" w:cs="Times New Roman"/>
          <w:bCs/>
          <w:iCs/>
          <w:color w:val="auto"/>
          <w:sz w:val="22"/>
          <w:szCs w:val="22"/>
        </w:rPr>
        <w:t xml:space="preserve">alcune osservazioni: </w:t>
      </w:r>
      <w:r w:rsidRPr="00417121">
        <w:rPr>
          <w:rFonts w:ascii="Simoncini Garamond" w:hAnsi="Simoncini Garamond" w:cs="Times New Roman"/>
          <w:bCs/>
          <w:i/>
          <w:color w:val="auto"/>
          <w:sz w:val="22"/>
          <w:szCs w:val="22"/>
        </w:rPr>
        <w:t>i</w:t>
      </w:r>
      <w:r w:rsidRPr="00417121">
        <w:rPr>
          <w:rFonts w:ascii="Simoncini Garamond" w:hAnsi="Simoncini Garamond" w:cs="Times New Roman"/>
          <w:bCs/>
          <w:iCs/>
          <w:color w:val="auto"/>
          <w:sz w:val="22"/>
          <w:szCs w:val="22"/>
        </w:rPr>
        <w:t xml:space="preserve">) sulle delibere dell'AGCOM le quali, fra il 2024 e il 2025, hanno affrontato il tema dei rapporti fra attività degli </w:t>
      </w:r>
      <w:r w:rsidRPr="00417121">
        <w:rPr>
          <w:rFonts w:ascii="Simoncini Garamond" w:hAnsi="Simoncini Garamond" w:cs="Times New Roman"/>
          <w:bCs/>
          <w:i/>
          <w:color w:val="auto"/>
          <w:sz w:val="22"/>
          <w:szCs w:val="22"/>
        </w:rPr>
        <w:t>influencer</w:t>
      </w:r>
      <w:r w:rsidRPr="00417121">
        <w:rPr>
          <w:rFonts w:ascii="Simoncini Garamond" w:hAnsi="Simoncini Garamond" w:cs="Times New Roman"/>
          <w:bCs/>
          <w:iCs/>
          <w:color w:val="auto"/>
          <w:sz w:val="22"/>
          <w:szCs w:val="22"/>
        </w:rPr>
        <w:t xml:space="preserve"> e rispetto delle disposizioni del T.U. sui Servizi Media</w:t>
      </w:r>
      <w:r w:rsidR="00E13853" w:rsidRPr="00417121">
        <w:rPr>
          <w:rFonts w:ascii="Simoncini Garamond" w:hAnsi="Simoncini Garamond" w:cs="Times New Roman"/>
          <w:bCs/>
          <w:iCs/>
          <w:color w:val="auto"/>
          <w:sz w:val="22"/>
          <w:szCs w:val="22"/>
        </w:rPr>
        <w:t xml:space="preserve"> e</w:t>
      </w:r>
      <w:r w:rsidRPr="00417121">
        <w:rPr>
          <w:rFonts w:ascii="Simoncini Garamond" w:hAnsi="Simoncini Garamond" w:cs="Times New Roman"/>
          <w:bCs/>
          <w:iCs/>
          <w:color w:val="auto"/>
          <w:sz w:val="22"/>
          <w:szCs w:val="22"/>
        </w:rPr>
        <w:t xml:space="preserve"> Audiovisivi (TUSMA, n. 208 del 2021); </w:t>
      </w:r>
      <w:r w:rsidRPr="00417121">
        <w:rPr>
          <w:rFonts w:ascii="Simoncini Garamond" w:hAnsi="Simoncini Garamond" w:cs="Times New Roman"/>
          <w:bCs/>
          <w:i/>
          <w:color w:val="auto"/>
          <w:sz w:val="22"/>
          <w:szCs w:val="22"/>
        </w:rPr>
        <w:t>ii</w:t>
      </w:r>
      <w:r w:rsidRPr="00417121">
        <w:rPr>
          <w:rFonts w:ascii="Simoncini Garamond" w:hAnsi="Simoncini Garamond" w:cs="Times New Roman"/>
          <w:bCs/>
          <w:iCs/>
          <w:color w:val="auto"/>
          <w:sz w:val="22"/>
          <w:szCs w:val="22"/>
        </w:rPr>
        <w:t xml:space="preserve">) sulla circolare dell'INPS del febbraio 2025 la quale ha esaminato alcuni aspetti dell'attività dei </w:t>
      </w:r>
      <w:proofErr w:type="spellStart"/>
      <w:r w:rsidRPr="00417121">
        <w:rPr>
          <w:rFonts w:ascii="Simoncini Garamond" w:hAnsi="Simoncini Garamond" w:cs="Times New Roman"/>
          <w:bCs/>
          <w:i/>
          <w:color w:val="auto"/>
          <w:sz w:val="22"/>
          <w:szCs w:val="22"/>
        </w:rPr>
        <w:t>content</w:t>
      </w:r>
      <w:proofErr w:type="spellEnd"/>
      <w:r w:rsidRPr="00417121">
        <w:rPr>
          <w:rFonts w:ascii="Simoncini Garamond" w:hAnsi="Simoncini Garamond" w:cs="Times New Roman"/>
          <w:bCs/>
          <w:i/>
          <w:color w:val="auto"/>
          <w:sz w:val="22"/>
          <w:szCs w:val="22"/>
        </w:rPr>
        <w:t xml:space="preserve"> creator</w:t>
      </w:r>
      <w:r w:rsidRPr="00417121">
        <w:rPr>
          <w:rFonts w:ascii="Simoncini Garamond" w:hAnsi="Simoncini Garamond" w:cs="Times New Roman"/>
          <w:bCs/>
          <w:iCs/>
          <w:color w:val="auto"/>
          <w:sz w:val="22"/>
          <w:szCs w:val="22"/>
        </w:rPr>
        <w:t xml:space="preserve"> ai fini lavoristici, previdenziali e dell'inquadramento della relativa attività ai fini ISTAT)</w:t>
      </w:r>
    </w:p>
    <w:p w14:paraId="3EF647CE" w14:textId="142C1AEA" w:rsidR="000D6B6D" w:rsidRPr="00417121" w:rsidRDefault="000C5023"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Quanto al primo profilo, nell'evidenziare che il tema sarà più approfonditamente esaminato in altre parti del presente Volume</w:t>
      </w:r>
      <w:r w:rsidRPr="00417121">
        <w:rPr>
          <w:rStyle w:val="Rimandonotaapidipagina"/>
          <w:rFonts w:ascii="Simoncini Garamond" w:hAnsi="Simoncini Garamond" w:cs="Times New Roman"/>
          <w:bCs/>
          <w:iCs/>
          <w:color w:val="auto"/>
          <w:sz w:val="22"/>
          <w:szCs w:val="22"/>
        </w:rPr>
        <w:footnoteReference w:id="23"/>
      </w:r>
      <w:r w:rsidRPr="00417121">
        <w:rPr>
          <w:rFonts w:ascii="Simoncini Garamond" w:hAnsi="Simoncini Garamond" w:cs="Times New Roman"/>
          <w:bCs/>
          <w:iCs/>
          <w:color w:val="auto"/>
          <w:sz w:val="22"/>
          <w:szCs w:val="22"/>
        </w:rPr>
        <w:t>, ci si limiterà a svolgere alcune considerazioni incentrate sul tema, che qui rileva, dei rapporti fra attività di regolazione ed esercizio di diritti fondamentali quale quello di libera manifestazione del pensiero ai sensi dell'articolo 21, Cost.</w:t>
      </w:r>
    </w:p>
    <w:p w14:paraId="308C07C1" w14:textId="6F0733F5" w:rsidR="000D6B6D" w:rsidRPr="00417121" w:rsidRDefault="000C5023"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Quanto al secondo aspetto (in disparte i rilevanti aspetti di carattere lavoristico trattati in particolare dall'INPS) ci si limiterà a svolgere alcune ulteriori considerazioni circa l'adeguatezza di strumenti quali le circolari a introdurre reali elementi di sistematizzazione in un ambito disciplinare - quale quello in materia di </w:t>
      </w:r>
      <w:r w:rsidRPr="00417121">
        <w:rPr>
          <w:rFonts w:ascii="Simoncini Garamond" w:hAnsi="Simoncini Garamond" w:cs="Times New Roman"/>
          <w:bCs/>
          <w:i/>
          <w:color w:val="auto"/>
          <w:sz w:val="22"/>
          <w:szCs w:val="22"/>
        </w:rPr>
        <w:t>influencer</w:t>
      </w:r>
      <w:r w:rsidRPr="00417121">
        <w:rPr>
          <w:rFonts w:ascii="Simoncini Garamond" w:hAnsi="Simoncini Garamond" w:cs="Times New Roman"/>
          <w:bCs/>
          <w:iCs/>
          <w:color w:val="auto"/>
          <w:sz w:val="22"/>
          <w:szCs w:val="22"/>
        </w:rPr>
        <w:t xml:space="preserve"> - </w:t>
      </w:r>
      <w:r w:rsidR="00E13853" w:rsidRPr="00417121">
        <w:rPr>
          <w:rFonts w:ascii="Simoncini Garamond" w:hAnsi="Simoncini Garamond" w:cs="Times New Roman"/>
          <w:bCs/>
          <w:iCs/>
          <w:color w:val="auto"/>
          <w:sz w:val="22"/>
          <w:szCs w:val="22"/>
        </w:rPr>
        <w:t>ancora oggi</w:t>
      </w:r>
      <w:r w:rsidRPr="00417121">
        <w:rPr>
          <w:rFonts w:ascii="Simoncini Garamond" w:hAnsi="Simoncini Garamond" w:cs="Times New Roman"/>
          <w:bCs/>
          <w:iCs/>
          <w:color w:val="auto"/>
          <w:sz w:val="22"/>
          <w:szCs w:val="22"/>
        </w:rPr>
        <w:t xml:space="preserve"> privo di un quadro normativo organico di riferimento</w:t>
      </w:r>
      <w:r w:rsidR="000C7717" w:rsidRPr="00417121">
        <w:rPr>
          <w:rFonts w:ascii="Simoncini Garamond" w:hAnsi="Simoncini Garamond" w:cs="Times New Roman"/>
          <w:bCs/>
          <w:iCs/>
          <w:color w:val="auto"/>
          <w:sz w:val="22"/>
          <w:szCs w:val="22"/>
        </w:rPr>
        <w:t xml:space="preserve"> al livello primario</w:t>
      </w:r>
      <w:r w:rsidRPr="00417121">
        <w:rPr>
          <w:rFonts w:ascii="Simoncini Garamond" w:hAnsi="Simoncini Garamond" w:cs="Times New Roman"/>
          <w:bCs/>
          <w:iCs/>
          <w:color w:val="auto"/>
          <w:sz w:val="22"/>
          <w:szCs w:val="22"/>
        </w:rPr>
        <w:t>.</w:t>
      </w:r>
    </w:p>
    <w:p w14:paraId="1ADF0D34" w14:textId="77777777" w:rsidR="003E3720" w:rsidRPr="00417121" w:rsidRDefault="003E3720" w:rsidP="009E41CF">
      <w:pPr>
        <w:pStyle w:val="Default"/>
        <w:widowControl w:val="0"/>
        <w:snapToGrid w:val="0"/>
        <w:spacing w:line="260" w:lineRule="exact"/>
        <w:ind w:firstLine="340"/>
        <w:jc w:val="both"/>
        <w:rPr>
          <w:rFonts w:ascii="Simoncini Garamond" w:hAnsi="Simoncini Garamond" w:cs="Times New Roman"/>
          <w:bCs/>
          <w:iCs/>
          <w:color w:val="auto"/>
          <w:sz w:val="12"/>
          <w:szCs w:val="12"/>
        </w:rPr>
      </w:pPr>
    </w:p>
    <w:p w14:paraId="790E53DF" w14:textId="414C49CD" w:rsidR="003E3720" w:rsidRPr="00417121" w:rsidRDefault="007E1513"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lastRenderedPageBreak/>
        <w:t xml:space="preserve">Con la delibera </w:t>
      </w:r>
      <w:r w:rsidR="00E84E56" w:rsidRPr="00417121">
        <w:rPr>
          <w:rFonts w:ascii="Simoncini Garamond" w:hAnsi="Simoncini Garamond" w:cs="Times New Roman"/>
          <w:bCs/>
          <w:iCs/>
          <w:color w:val="auto"/>
          <w:sz w:val="22"/>
          <w:szCs w:val="22"/>
        </w:rPr>
        <w:t xml:space="preserve">7/24/CONS l'Autorità per le Garanzie nelle Comunicazioni (AGCOM) ha introdotto alcune </w:t>
      </w:r>
      <w:r w:rsidR="00E84E56" w:rsidRPr="00417121">
        <w:rPr>
          <w:rFonts w:ascii="Simoncini Garamond" w:hAnsi="Simoncini Garamond" w:cs="Times New Roman"/>
          <w:bCs/>
          <w:i/>
          <w:color w:val="auto"/>
          <w:sz w:val="22"/>
          <w:szCs w:val="22"/>
        </w:rPr>
        <w:t>linee-guida volte a garantire il rispetto delle disposizioni del testo unico</w:t>
      </w:r>
      <w:r w:rsidR="00E84E56" w:rsidRPr="00417121">
        <w:rPr>
          <w:rFonts w:ascii="Simoncini Garamond" w:hAnsi="Simoncini Garamond" w:cs="Times New Roman"/>
          <w:bCs/>
          <w:iCs/>
          <w:color w:val="auto"/>
          <w:sz w:val="22"/>
          <w:szCs w:val="22"/>
        </w:rPr>
        <w:t xml:space="preserve"> [TUSMA, </w:t>
      </w:r>
      <w:proofErr w:type="spellStart"/>
      <w:r w:rsidR="00E84E56" w:rsidRPr="00417121">
        <w:rPr>
          <w:rFonts w:ascii="Simoncini Garamond" w:hAnsi="Simoncini Garamond" w:cs="Times New Roman"/>
          <w:bCs/>
          <w:iCs/>
          <w:color w:val="auto"/>
          <w:sz w:val="22"/>
          <w:szCs w:val="22"/>
        </w:rPr>
        <w:t>n.d.A.</w:t>
      </w:r>
      <w:proofErr w:type="spellEnd"/>
      <w:r w:rsidR="00E84E56" w:rsidRPr="00417121">
        <w:rPr>
          <w:rFonts w:ascii="Simoncini Garamond" w:hAnsi="Simoncini Garamond" w:cs="Times New Roman"/>
          <w:bCs/>
          <w:iCs/>
          <w:color w:val="auto"/>
          <w:sz w:val="22"/>
          <w:szCs w:val="22"/>
        </w:rPr>
        <w:t xml:space="preserve">] </w:t>
      </w:r>
      <w:r w:rsidR="00E84E56" w:rsidRPr="00417121">
        <w:rPr>
          <w:rFonts w:ascii="Simoncini Garamond" w:hAnsi="Simoncini Garamond" w:cs="Times New Roman"/>
          <w:bCs/>
          <w:i/>
          <w:color w:val="auto"/>
          <w:sz w:val="22"/>
          <w:szCs w:val="22"/>
        </w:rPr>
        <w:t>da parte degli influencer</w:t>
      </w:r>
      <w:r w:rsidR="00E84E56" w:rsidRPr="00417121">
        <w:rPr>
          <w:rFonts w:ascii="Simoncini Garamond" w:hAnsi="Simoncini Garamond" w:cs="Times New Roman"/>
          <w:bCs/>
          <w:iCs/>
          <w:color w:val="auto"/>
          <w:sz w:val="22"/>
          <w:szCs w:val="22"/>
        </w:rPr>
        <w:t xml:space="preserve"> e all'istituzione di un apposito tavolo tecnico</w:t>
      </w:r>
      <w:r w:rsidR="00E84E56" w:rsidRPr="00417121">
        <w:rPr>
          <w:rStyle w:val="Rimandonotaapidipagina"/>
          <w:rFonts w:ascii="Simoncini Garamond" w:hAnsi="Simoncini Garamond" w:cs="Times New Roman"/>
          <w:bCs/>
          <w:iCs/>
          <w:color w:val="auto"/>
          <w:sz w:val="22"/>
          <w:szCs w:val="22"/>
        </w:rPr>
        <w:footnoteReference w:id="24"/>
      </w:r>
      <w:r w:rsidR="00E84E56" w:rsidRPr="00417121">
        <w:rPr>
          <w:rFonts w:ascii="Simoncini Garamond" w:hAnsi="Simoncini Garamond" w:cs="Times New Roman"/>
          <w:bCs/>
          <w:iCs/>
          <w:color w:val="auto"/>
          <w:sz w:val="22"/>
          <w:szCs w:val="22"/>
        </w:rPr>
        <w:t>.</w:t>
      </w:r>
    </w:p>
    <w:p w14:paraId="0A28133C" w14:textId="0AAF478E" w:rsidR="00E84E56" w:rsidRPr="00417121" w:rsidRDefault="00E84E56"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La delibera in questione, quindi, non ha ad oggetto l'introduzione di una sorta di </w:t>
      </w:r>
      <w:r w:rsidRPr="00417121">
        <w:rPr>
          <w:rFonts w:ascii="Simoncini Garamond" w:hAnsi="Simoncini Garamond" w:cs="Times New Roman"/>
          <w:bCs/>
          <w:i/>
          <w:color w:val="auto"/>
          <w:sz w:val="22"/>
          <w:szCs w:val="22"/>
        </w:rPr>
        <w:t>statuto generale</w:t>
      </w:r>
      <w:r w:rsidRPr="00417121">
        <w:rPr>
          <w:rFonts w:ascii="Simoncini Garamond" w:hAnsi="Simoncini Garamond" w:cs="Times New Roman"/>
          <w:bCs/>
          <w:iCs/>
          <w:color w:val="auto"/>
          <w:sz w:val="22"/>
          <w:szCs w:val="22"/>
        </w:rPr>
        <w:t xml:space="preserve"> dell'attività comunicativa d</w:t>
      </w:r>
      <w:r w:rsidR="00717C49" w:rsidRPr="00417121">
        <w:rPr>
          <w:rFonts w:ascii="Simoncini Garamond" w:hAnsi="Simoncini Garamond" w:cs="Times New Roman"/>
          <w:bCs/>
          <w:iCs/>
          <w:color w:val="auto"/>
          <w:sz w:val="22"/>
          <w:szCs w:val="22"/>
        </w:rPr>
        <w:t xml:space="preserve">egli </w:t>
      </w:r>
      <w:r w:rsidR="00717C49" w:rsidRPr="00417121">
        <w:rPr>
          <w:rFonts w:ascii="Simoncini Garamond" w:hAnsi="Simoncini Garamond" w:cs="Times New Roman"/>
          <w:bCs/>
          <w:i/>
          <w:color w:val="auto"/>
          <w:sz w:val="22"/>
          <w:szCs w:val="22"/>
        </w:rPr>
        <w:t>influencer</w:t>
      </w:r>
      <w:r w:rsidR="00717C49" w:rsidRPr="00417121">
        <w:rPr>
          <w:rFonts w:ascii="Simoncini Garamond" w:hAnsi="Simoncini Garamond" w:cs="Times New Roman"/>
          <w:bCs/>
          <w:iCs/>
          <w:color w:val="auto"/>
          <w:sz w:val="22"/>
          <w:szCs w:val="22"/>
        </w:rPr>
        <w:t xml:space="preserve"> ma persegue il più limitato (pur se rilevantissimo) obiettivo di introdurre un </w:t>
      </w:r>
      <w:r w:rsidR="00717C49" w:rsidRPr="00417121">
        <w:rPr>
          <w:rFonts w:ascii="Simoncini Garamond" w:hAnsi="Simoncini Garamond" w:cs="Times New Roman"/>
          <w:bCs/>
          <w:i/>
          <w:color w:val="auto"/>
          <w:sz w:val="22"/>
          <w:szCs w:val="22"/>
        </w:rPr>
        <w:t>setting</w:t>
      </w:r>
      <w:r w:rsidR="00717C49" w:rsidRPr="00417121">
        <w:rPr>
          <w:rFonts w:ascii="Simoncini Garamond" w:hAnsi="Simoncini Garamond" w:cs="Times New Roman"/>
          <w:bCs/>
          <w:iCs/>
          <w:color w:val="auto"/>
          <w:sz w:val="22"/>
          <w:szCs w:val="22"/>
        </w:rPr>
        <w:t xml:space="preserve"> di regole di condotta applicabili nel caso in cui i </w:t>
      </w:r>
      <w:proofErr w:type="spellStart"/>
      <w:r w:rsidR="00717C49" w:rsidRPr="00417121">
        <w:rPr>
          <w:rFonts w:ascii="Simoncini Garamond" w:hAnsi="Simoncini Garamond" w:cs="Times New Roman"/>
          <w:bCs/>
          <w:i/>
          <w:color w:val="auto"/>
          <w:sz w:val="22"/>
          <w:szCs w:val="22"/>
        </w:rPr>
        <w:t>content</w:t>
      </w:r>
      <w:proofErr w:type="spellEnd"/>
      <w:r w:rsidR="00717C49" w:rsidRPr="00417121">
        <w:rPr>
          <w:rFonts w:ascii="Simoncini Garamond" w:hAnsi="Simoncini Garamond" w:cs="Times New Roman"/>
          <w:bCs/>
          <w:i/>
          <w:color w:val="auto"/>
          <w:sz w:val="22"/>
          <w:szCs w:val="22"/>
        </w:rPr>
        <w:t xml:space="preserve"> creator</w:t>
      </w:r>
      <w:r w:rsidR="00717C49" w:rsidRPr="00417121">
        <w:rPr>
          <w:rFonts w:ascii="Simoncini Garamond" w:hAnsi="Simoncini Garamond" w:cs="Times New Roman"/>
          <w:bCs/>
          <w:iCs/>
          <w:color w:val="auto"/>
          <w:sz w:val="22"/>
          <w:szCs w:val="22"/>
        </w:rPr>
        <w:t xml:space="preserve"> - sulla base di alcuni indici rivelatori - sia</w:t>
      </w:r>
      <w:r w:rsidR="00E13853" w:rsidRPr="00417121">
        <w:rPr>
          <w:rFonts w:ascii="Simoncini Garamond" w:hAnsi="Simoncini Garamond" w:cs="Times New Roman"/>
          <w:bCs/>
          <w:iCs/>
          <w:color w:val="auto"/>
          <w:sz w:val="22"/>
          <w:szCs w:val="22"/>
        </w:rPr>
        <w:t>no</w:t>
      </w:r>
      <w:r w:rsidR="00717C49" w:rsidRPr="00417121">
        <w:rPr>
          <w:rFonts w:ascii="Simoncini Garamond" w:hAnsi="Simoncini Garamond" w:cs="Times New Roman"/>
          <w:bCs/>
          <w:iCs/>
          <w:color w:val="auto"/>
          <w:sz w:val="22"/>
          <w:szCs w:val="22"/>
        </w:rPr>
        <w:t xml:space="preserve"> assimilabil</w:t>
      </w:r>
      <w:r w:rsidR="00E13853" w:rsidRPr="00417121">
        <w:rPr>
          <w:rFonts w:ascii="Simoncini Garamond" w:hAnsi="Simoncini Garamond" w:cs="Times New Roman"/>
          <w:bCs/>
          <w:iCs/>
          <w:color w:val="auto"/>
          <w:sz w:val="22"/>
          <w:szCs w:val="22"/>
        </w:rPr>
        <w:t>i a</w:t>
      </w:r>
      <w:r w:rsidR="00717C49" w:rsidRPr="00417121">
        <w:rPr>
          <w:rFonts w:ascii="Simoncini Garamond" w:hAnsi="Simoncini Garamond" w:cs="Times New Roman"/>
          <w:bCs/>
          <w:iCs/>
          <w:color w:val="auto"/>
          <w:sz w:val="22"/>
          <w:szCs w:val="22"/>
        </w:rPr>
        <w:t xml:space="preserve"> prestatori di servizi media e audiovisivi, con carattere di professionalità</w:t>
      </w:r>
      <w:r w:rsidR="00E9068E" w:rsidRPr="00417121">
        <w:rPr>
          <w:rFonts w:ascii="Simoncini Garamond" w:hAnsi="Simoncini Garamond" w:cs="Times New Roman"/>
          <w:bCs/>
          <w:iCs/>
          <w:color w:val="auto"/>
          <w:sz w:val="22"/>
          <w:szCs w:val="22"/>
        </w:rPr>
        <w:t>.</w:t>
      </w:r>
    </w:p>
    <w:p w14:paraId="1410797E" w14:textId="6E182523" w:rsidR="00E9068E" w:rsidRPr="00417121" w:rsidRDefault="00E9068E"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A circa un anno e mezzo di distanza (luglio 2025) l'Autorità ha inoltre adottato la delibera 197/25/CONS la quale (per un verso) ha introdotto talune modifiche alle linee guida di cui alla delibera 7/24/CONS mentre (per altro verso) ha approvato uno specifico </w:t>
      </w:r>
      <w:r w:rsidRPr="00417121">
        <w:rPr>
          <w:rFonts w:ascii="Simoncini Garamond" w:hAnsi="Simoncini Garamond" w:cs="Times New Roman"/>
          <w:bCs/>
          <w:i/>
          <w:color w:val="auto"/>
          <w:sz w:val="22"/>
          <w:szCs w:val="22"/>
        </w:rPr>
        <w:t>Codice di condotta</w:t>
      </w:r>
      <w:r w:rsidRPr="00417121">
        <w:rPr>
          <w:rFonts w:ascii="Simoncini Garamond" w:hAnsi="Simoncini Garamond" w:cs="Times New Roman"/>
          <w:bCs/>
          <w:iCs/>
          <w:color w:val="auto"/>
          <w:sz w:val="22"/>
          <w:szCs w:val="22"/>
        </w:rPr>
        <w:t xml:space="preserve"> rivolto agli </w:t>
      </w:r>
      <w:r w:rsidRPr="00417121">
        <w:rPr>
          <w:rFonts w:ascii="Simoncini Garamond" w:hAnsi="Simoncini Garamond" w:cs="Times New Roman"/>
          <w:bCs/>
          <w:i/>
          <w:color w:val="auto"/>
          <w:sz w:val="22"/>
          <w:szCs w:val="22"/>
        </w:rPr>
        <w:t>influencer</w:t>
      </w:r>
      <w:r w:rsidRPr="00417121">
        <w:rPr>
          <w:rFonts w:ascii="Simoncini Garamond" w:hAnsi="Simoncini Garamond" w:cs="Times New Roman"/>
          <w:bCs/>
          <w:iCs/>
          <w:color w:val="auto"/>
          <w:sz w:val="22"/>
          <w:szCs w:val="22"/>
        </w:rPr>
        <w:t xml:space="preserve">, riprendendo di fatto </w:t>
      </w:r>
      <w:r w:rsidR="00E13853" w:rsidRPr="00417121">
        <w:rPr>
          <w:rFonts w:ascii="Simoncini Garamond" w:hAnsi="Simoncini Garamond" w:cs="Times New Roman"/>
          <w:bCs/>
          <w:iCs/>
          <w:color w:val="auto"/>
          <w:sz w:val="22"/>
          <w:szCs w:val="22"/>
        </w:rPr>
        <w:t xml:space="preserve">- in chiave abilitativa - </w:t>
      </w:r>
      <w:r w:rsidRPr="00417121">
        <w:rPr>
          <w:rFonts w:ascii="Simoncini Garamond" w:hAnsi="Simoncini Garamond" w:cs="Times New Roman"/>
          <w:bCs/>
          <w:iCs/>
          <w:color w:val="auto"/>
          <w:sz w:val="22"/>
          <w:szCs w:val="22"/>
        </w:rPr>
        <w:t>un'espressa previsione di cui alla Direttiva SMAV 2018/1808/UE</w:t>
      </w:r>
      <w:r w:rsidRPr="00417121">
        <w:rPr>
          <w:rStyle w:val="Rimandonotaapidipagina"/>
          <w:rFonts w:ascii="Simoncini Garamond" w:hAnsi="Simoncini Garamond" w:cs="Times New Roman"/>
          <w:bCs/>
          <w:iCs/>
          <w:color w:val="auto"/>
          <w:sz w:val="22"/>
          <w:szCs w:val="22"/>
        </w:rPr>
        <w:footnoteReference w:id="25"/>
      </w:r>
    </w:p>
    <w:p w14:paraId="6B5459FC" w14:textId="21D7FD41" w:rsidR="003E3720" w:rsidRPr="00417121" w:rsidRDefault="00E9068E" w:rsidP="009E41CF">
      <w:pPr>
        <w:pStyle w:val="Default"/>
        <w:widowControl w:val="0"/>
        <w:snapToGrid w:val="0"/>
        <w:spacing w:line="260" w:lineRule="exact"/>
        <w:ind w:firstLine="340"/>
        <w:jc w:val="both"/>
        <w:rPr>
          <w:rFonts w:ascii="Constantia" w:hAnsi="Constantia" w:cs="Times New Roman"/>
          <w:bCs/>
          <w:iCs/>
          <w:color w:val="auto"/>
          <w:sz w:val="22"/>
          <w:szCs w:val="22"/>
        </w:rPr>
      </w:pPr>
      <w:r w:rsidRPr="00417121">
        <w:rPr>
          <w:rFonts w:ascii="Simoncini Garamond" w:hAnsi="Simoncini Garamond" w:cs="Times New Roman"/>
          <w:bCs/>
          <w:iCs/>
          <w:color w:val="auto"/>
          <w:sz w:val="22"/>
          <w:szCs w:val="22"/>
        </w:rPr>
        <w:t>In entrambi i casi</w:t>
      </w:r>
      <w:r w:rsidR="00E13853" w:rsidRPr="00417121">
        <w:rPr>
          <w:rFonts w:ascii="Simoncini Garamond" w:hAnsi="Simoncini Garamond" w:cs="Times New Roman"/>
          <w:bCs/>
          <w:iCs/>
          <w:color w:val="auto"/>
          <w:sz w:val="22"/>
          <w:szCs w:val="22"/>
        </w:rPr>
        <w:t>,</w:t>
      </w:r>
      <w:r w:rsidRPr="00417121">
        <w:rPr>
          <w:rFonts w:ascii="Simoncini Garamond" w:hAnsi="Simoncini Garamond" w:cs="Times New Roman"/>
          <w:bCs/>
          <w:iCs/>
          <w:color w:val="auto"/>
          <w:sz w:val="22"/>
          <w:szCs w:val="22"/>
        </w:rPr>
        <w:t xml:space="preserve"> </w:t>
      </w:r>
      <w:r w:rsidR="00E13853" w:rsidRPr="00417121">
        <w:rPr>
          <w:rFonts w:ascii="Simoncini Garamond" w:hAnsi="Simoncini Garamond" w:cs="Times New Roman"/>
          <w:bCs/>
          <w:iCs/>
          <w:color w:val="auto"/>
          <w:sz w:val="22"/>
          <w:szCs w:val="22"/>
        </w:rPr>
        <w:t xml:space="preserve">infatti, </w:t>
      </w:r>
      <w:r w:rsidRPr="00417121">
        <w:rPr>
          <w:rFonts w:ascii="Simoncini Garamond" w:hAnsi="Simoncini Garamond" w:cs="Times New Roman"/>
          <w:bCs/>
          <w:iCs/>
          <w:color w:val="auto"/>
          <w:sz w:val="22"/>
          <w:szCs w:val="22"/>
        </w:rPr>
        <w:t>la principale fonte legittimante dell'intervento regolatorio è contenuta nell'articolo 4-</w:t>
      </w:r>
      <w:r w:rsidRPr="00417121">
        <w:rPr>
          <w:rFonts w:ascii="Simoncini Garamond" w:hAnsi="Simoncini Garamond" w:cs="Times New Roman"/>
          <w:bCs/>
          <w:i/>
          <w:color w:val="auto"/>
          <w:sz w:val="22"/>
          <w:szCs w:val="22"/>
        </w:rPr>
        <w:t>bis</w:t>
      </w:r>
      <w:r w:rsidRPr="00417121">
        <w:rPr>
          <w:rFonts w:ascii="Simoncini Garamond" w:hAnsi="Simoncini Garamond" w:cs="Times New Roman"/>
          <w:bCs/>
          <w:iCs/>
          <w:color w:val="auto"/>
          <w:sz w:val="22"/>
          <w:szCs w:val="22"/>
        </w:rPr>
        <w:t xml:space="preserve">, paragrafo 1 della Direttiva SMAV, secondo cui </w:t>
      </w:r>
      <w:r w:rsidRPr="00417121">
        <w:rPr>
          <w:rFonts w:ascii="Constantia" w:hAnsi="Constantia" w:cs="Times New Roman"/>
          <w:bCs/>
          <w:iCs/>
          <w:color w:val="auto"/>
          <w:sz w:val="22"/>
          <w:szCs w:val="22"/>
        </w:rPr>
        <w:t>«</w:t>
      </w:r>
      <w:r w:rsidR="00E733FF" w:rsidRPr="00417121">
        <w:rPr>
          <w:rFonts w:ascii="Constantia" w:hAnsi="Constantia" w:cs="Times New Roman"/>
          <w:bCs/>
          <w:i/>
          <w:color w:val="auto"/>
          <w:sz w:val="22"/>
          <w:szCs w:val="22"/>
        </w:rPr>
        <w:t xml:space="preserve">gli Stati membri incoraggiano il ricorso alla </w:t>
      </w:r>
      <w:proofErr w:type="spellStart"/>
      <w:r w:rsidR="00E733FF" w:rsidRPr="00417121">
        <w:rPr>
          <w:rFonts w:ascii="Constantia" w:hAnsi="Constantia" w:cs="Times New Roman"/>
          <w:bCs/>
          <w:i/>
          <w:color w:val="auto"/>
          <w:sz w:val="22"/>
          <w:szCs w:val="22"/>
        </w:rPr>
        <w:t>coregolamentazione</w:t>
      </w:r>
      <w:proofErr w:type="spellEnd"/>
      <w:r w:rsidR="00E733FF" w:rsidRPr="00417121">
        <w:rPr>
          <w:rFonts w:ascii="Constantia" w:hAnsi="Constantia" w:cs="Times New Roman"/>
          <w:bCs/>
          <w:i/>
          <w:color w:val="auto"/>
          <w:sz w:val="22"/>
          <w:szCs w:val="22"/>
        </w:rPr>
        <w:t xml:space="preserve"> e la promozione dell'autoregolamentazione tramite codici di condotta adottati a livello nazionale nei settori coordinati dalla presente direttiva nella misura consentita dai loro ordinamenti giuridici (…)</w:t>
      </w:r>
      <w:r w:rsidRPr="00417121">
        <w:rPr>
          <w:rFonts w:ascii="Constantia" w:hAnsi="Constantia" w:cs="Times New Roman"/>
          <w:bCs/>
          <w:iCs/>
          <w:color w:val="auto"/>
          <w:sz w:val="22"/>
          <w:szCs w:val="22"/>
        </w:rPr>
        <w:t>».</w:t>
      </w:r>
    </w:p>
    <w:p w14:paraId="4F354EB6" w14:textId="761B63AD" w:rsidR="00E9068E" w:rsidRPr="00417121" w:rsidRDefault="00E9068E"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Gli interventi regolatori in questione - come già accennato - non si rivolgono a qualunque </w:t>
      </w:r>
      <w:r w:rsidRPr="00417121">
        <w:rPr>
          <w:rFonts w:ascii="Simoncini Garamond" w:hAnsi="Simoncini Garamond" w:cs="Times New Roman"/>
          <w:bCs/>
          <w:i/>
          <w:color w:val="auto"/>
          <w:sz w:val="22"/>
          <w:szCs w:val="22"/>
        </w:rPr>
        <w:t>influencer</w:t>
      </w:r>
      <w:r w:rsidRPr="00417121">
        <w:rPr>
          <w:rFonts w:ascii="Simoncini Garamond" w:hAnsi="Simoncini Garamond" w:cs="Times New Roman"/>
          <w:bCs/>
          <w:iCs/>
          <w:color w:val="auto"/>
          <w:sz w:val="22"/>
          <w:szCs w:val="22"/>
        </w:rPr>
        <w:t xml:space="preserve"> ma soltanto a quelli che (in base ad alcuni parametri quantitativi, fra cui principalmente quello relativo al numero dei </w:t>
      </w:r>
      <w:r w:rsidRPr="00417121">
        <w:rPr>
          <w:rFonts w:ascii="Simoncini Garamond" w:hAnsi="Simoncini Garamond" w:cs="Times New Roman"/>
          <w:bCs/>
          <w:i/>
          <w:color w:val="auto"/>
          <w:sz w:val="22"/>
          <w:szCs w:val="22"/>
        </w:rPr>
        <w:t>follower</w:t>
      </w:r>
      <w:r w:rsidRPr="00417121">
        <w:rPr>
          <w:rFonts w:ascii="Simoncini Garamond" w:hAnsi="Simoncini Garamond" w:cs="Times New Roman"/>
          <w:bCs/>
          <w:iCs/>
          <w:color w:val="auto"/>
          <w:sz w:val="22"/>
          <w:szCs w:val="22"/>
        </w:rPr>
        <w:t xml:space="preserve"> su almeno una piattaforma di</w:t>
      </w:r>
      <w:r w:rsidRPr="00417121">
        <w:rPr>
          <w:rFonts w:ascii="Simoncini Garamond" w:hAnsi="Simoncini Garamond" w:cs="Times New Roman"/>
          <w:bCs/>
          <w:i/>
          <w:color w:val="auto"/>
          <w:sz w:val="22"/>
          <w:szCs w:val="22"/>
        </w:rPr>
        <w:t xml:space="preserve"> social media</w:t>
      </w:r>
      <w:r w:rsidRPr="00417121">
        <w:rPr>
          <w:rFonts w:ascii="Simoncini Garamond" w:hAnsi="Simoncini Garamond" w:cs="Times New Roman"/>
          <w:bCs/>
          <w:iCs/>
          <w:color w:val="auto"/>
          <w:sz w:val="22"/>
          <w:szCs w:val="22"/>
        </w:rPr>
        <w:t xml:space="preserve">) siano qualificabili </w:t>
      </w:r>
      <w:r w:rsidRPr="00417121">
        <w:rPr>
          <w:rFonts w:ascii="Simoncini Garamond" w:hAnsi="Simoncini Garamond" w:cs="Times New Roman"/>
          <w:bCs/>
          <w:iCs/>
          <w:color w:val="auto"/>
          <w:sz w:val="22"/>
          <w:szCs w:val="22"/>
        </w:rPr>
        <w:lastRenderedPageBreak/>
        <w:t>come '</w:t>
      </w:r>
      <w:r w:rsidRPr="00417121">
        <w:rPr>
          <w:rFonts w:ascii="Simoncini Garamond" w:hAnsi="Simoncini Garamond" w:cs="Times New Roman"/>
          <w:bCs/>
          <w:i/>
          <w:color w:val="auto"/>
          <w:sz w:val="22"/>
          <w:szCs w:val="22"/>
        </w:rPr>
        <w:t>influencer</w:t>
      </w:r>
      <w:r w:rsidRPr="00417121">
        <w:rPr>
          <w:rFonts w:ascii="Simoncini Garamond" w:hAnsi="Simoncini Garamond" w:cs="Times New Roman"/>
          <w:bCs/>
          <w:iCs/>
          <w:color w:val="auto"/>
          <w:sz w:val="22"/>
          <w:szCs w:val="22"/>
        </w:rPr>
        <w:t xml:space="preserve"> rilevanti'</w:t>
      </w:r>
      <w:r w:rsidR="00E13853" w:rsidRPr="00417121">
        <w:rPr>
          <w:rStyle w:val="Rimandonotaapidipagina"/>
          <w:rFonts w:ascii="Simoncini Garamond" w:hAnsi="Simoncini Garamond" w:cs="Times New Roman"/>
          <w:bCs/>
          <w:iCs/>
          <w:color w:val="auto"/>
          <w:sz w:val="22"/>
          <w:szCs w:val="22"/>
        </w:rPr>
        <w:footnoteReference w:id="26"/>
      </w:r>
      <w:r w:rsidRPr="00417121">
        <w:rPr>
          <w:rFonts w:ascii="Simoncini Garamond" w:hAnsi="Simoncini Garamond" w:cs="Times New Roman"/>
          <w:bCs/>
          <w:iCs/>
          <w:color w:val="auto"/>
          <w:sz w:val="22"/>
          <w:szCs w:val="22"/>
        </w:rPr>
        <w:t>.</w:t>
      </w:r>
    </w:p>
    <w:p w14:paraId="73F1D828" w14:textId="18CC814A" w:rsidR="003E3720" w:rsidRPr="00417121" w:rsidRDefault="00E733FF"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Ne restano conseguentemente esclusi gli </w:t>
      </w:r>
      <w:r w:rsidRPr="00417121">
        <w:rPr>
          <w:rFonts w:ascii="Simoncini Garamond" w:hAnsi="Simoncini Garamond" w:cs="Times New Roman"/>
          <w:bCs/>
          <w:i/>
          <w:color w:val="auto"/>
          <w:sz w:val="22"/>
          <w:szCs w:val="22"/>
        </w:rPr>
        <w:t>influencer</w:t>
      </w:r>
      <w:r w:rsidRPr="00417121">
        <w:rPr>
          <w:rFonts w:ascii="Simoncini Garamond" w:hAnsi="Simoncini Garamond" w:cs="Times New Roman"/>
          <w:bCs/>
          <w:iCs/>
          <w:color w:val="auto"/>
          <w:sz w:val="22"/>
          <w:szCs w:val="22"/>
        </w:rPr>
        <w:t xml:space="preserve"> che operano in maniera meno continuativa e, in ogni caso, quelli il cui servizio offerto </w:t>
      </w:r>
      <w:r w:rsidR="00E13853" w:rsidRPr="00417121">
        <w:rPr>
          <w:rFonts w:ascii="Simoncini Garamond" w:hAnsi="Simoncini Garamond" w:cs="Times New Roman"/>
          <w:bCs/>
          <w:iCs/>
          <w:color w:val="auto"/>
          <w:sz w:val="22"/>
          <w:szCs w:val="22"/>
        </w:rPr>
        <w:t>(</w:t>
      </w:r>
      <w:r w:rsidR="00B1582E" w:rsidRPr="00417121">
        <w:rPr>
          <w:rFonts w:ascii="Simoncini Garamond" w:hAnsi="Simoncini Garamond" w:cs="Times New Roman"/>
          <w:bCs/>
          <w:iCs/>
          <w:color w:val="auto"/>
          <w:sz w:val="22"/>
          <w:szCs w:val="22"/>
        </w:rPr>
        <w:t>pur essendo potenzialmente idoneo a raggiungere una platea amplissima di destinatari</w:t>
      </w:r>
      <w:r w:rsidR="00E13853" w:rsidRPr="00417121">
        <w:rPr>
          <w:rFonts w:ascii="Simoncini Garamond" w:hAnsi="Simoncini Garamond" w:cs="Times New Roman"/>
          <w:bCs/>
          <w:iCs/>
          <w:color w:val="auto"/>
          <w:sz w:val="22"/>
          <w:szCs w:val="22"/>
        </w:rPr>
        <w:t xml:space="preserve">) </w:t>
      </w:r>
      <w:r w:rsidRPr="00417121">
        <w:rPr>
          <w:rFonts w:ascii="Simoncini Garamond" w:hAnsi="Simoncini Garamond" w:cs="Times New Roman"/>
          <w:bCs/>
          <w:iCs/>
          <w:color w:val="auto"/>
          <w:sz w:val="22"/>
          <w:szCs w:val="22"/>
        </w:rPr>
        <w:t>non costituisce un'attività economica.</w:t>
      </w:r>
    </w:p>
    <w:p w14:paraId="7F1E07A0" w14:textId="45F20E70" w:rsidR="003E3720" w:rsidRPr="00417121" w:rsidRDefault="00B1582E"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Le </w:t>
      </w:r>
      <w:r w:rsidRPr="00417121">
        <w:rPr>
          <w:rFonts w:ascii="Simoncini Garamond" w:hAnsi="Simoncini Garamond" w:cs="Times New Roman"/>
          <w:bCs/>
          <w:i/>
          <w:color w:val="auto"/>
          <w:sz w:val="22"/>
          <w:szCs w:val="22"/>
        </w:rPr>
        <w:t>Linee Guida</w:t>
      </w:r>
      <w:r w:rsidRPr="00417121">
        <w:rPr>
          <w:rFonts w:ascii="Simoncini Garamond" w:hAnsi="Simoncini Garamond" w:cs="Times New Roman"/>
          <w:bCs/>
          <w:iCs/>
          <w:color w:val="auto"/>
          <w:sz w:val="22"/>
          <w:szCs w:val="22"/>
        </w:rPr>
        <w:t xml:space="preserve"> risultano di particolare importanza (dal punto di vista sistematico prima ancora che da quello eminentemente pratico) in quanto: </w:t>
      </w:r>
      <w:r w:rsidRPr="00417121">
        <w:rPr>
          <w:rFonts w:ascii="Simoncini Garamond" w:hAnsi="Simoncini Garamond" w:cs="Times New Roman"/>
          <w:bCs/>
          <w:i/>
          <w:color w:val="auto"/>
          <w:sz w:val="22"/>
          <w:szCs w:val="22"/>
        </w:rPr>
        <w:t>i</w:t>
      </w:r>
      <w:r w:rsidRPr="00417121">
        <w:rPr>
          <w:rFonts w:ascii="Simoncini Garamond" w:hAnsi="Simoncini Garamond" w:cs="Times New Roman"/>
          <w:bCs/>
          <w:iCs/>
          <w:color w:val="auto"/>
          <w:sz w:val="22"/>
          <w:szCs w:val="22"/>
        </w:rPr>
        <w:t xml:space="preserve">) individuano le disposizioni del TUSMA che risultano direttamente applicabili agli </w:t>
      </w:r>
      <w:r w:rsidRPr="00417121">
        <w:rPr>
          <w:rFonts w:ascii="Simoncini Garamond" w:hAnsi="Simoncini Garamond" w:cs="Times New Roman"/>
          <w:bCs/>
          <w:i/>
          <w:color w:val="auto"/>
          <w:sz w:val="22"/>
          <w:szCs w:val="22"/>
        </w:rPr>
        <w:t>influencer</w:t>
      </w:r>
      <w:r w:rsidRPr="00417121">
        <w:rPr>
          <w:rFonts w:ascii="Simoncini Garamond" w:hAnsi="Simoncini Garamond" w:cs="Times New Roman"/>
          <w:bCs/>
          <w:iCs/>
          <w:color w:val="auto"/>
          <w:sz w:val="22"/>
          <w:szCs w:val="22"/>
        </w:rPr>
        <w:t xml:space="preserve"> che siano qualificabili quali prestatori di servizi media audiovisivi (si pensi all'espresso richiamo ai princìpi generali di cui all'art. 4, comma 1 del T.U.); </w:t>
      </w:r>
      <w:r w:rsidRPr="00417121">
        <w:rPr>
          <w:rFonts w:ascii="Simoncini Garamond" w:hAnsi="Simoncini Garamond" w:cs="Times New Roman"/>
          <w:bCs/>
          <w:i/>
          <w:color w:val="auto"/>
          <w:sz w:val="22"/>
          <w:szCs w:val="22"/>
        </w:rPr>
        <w:t>ii</w:t>
      </w:r>
      <w:r w:rsidRPr="00417121">
        <w:rPr>
          <w:rFonts w:ascii="Simoncini Garamond" w:hAnsi="Simoncini Garamond" w:cs="Times New Roman"/>
          <w:bCs/>
          <w:iCs/>
          <w:color w:val="auto"/>
          <w:sz w:val="22"/>
          <w:szCs w:val="22"/>
        </w:rPr>
        <w:t xml:space="preserve">) richiamano il necessario rispetto da parte degli </w:t>
      </w:r>
      <w:r w:rsidRPr="00417121">
        <w:rPr>
          <w:rFonts w:ascii="Simoncini Garamond" w:hAnsi="Simoncini Garamond" w:cs="Times New Roman"/>
          <w:bCs/>
          <w:i/>
          <w:color w:val="auto"/>
          <w:sz w:val="22"/>
          <w:szCs w:val="22"/>
        </w:rPr>
        <w:t>influencer</w:t>
      </w:r>
      <w:r w:rsidRPr="00417121">
        <w:rPr>
          <w:rFonts w:ascii="Simoncini Garamond" w:hAnsi="Simoncini Garamond" w:cs="Times New Roman"/>
          <w:bCs/>
          <w:iCs/>
          <w:color w:val="auto"/>
          <w:sz w:val="22"/>
          <w:szCs w:val="22"/>
        </w:rPr>
        <w:t xml:space="preserve"> delle delibere dell'Autorità che attuano le pertinenti disposizioni del TUSMA (come quelle finalizzate a prevenire e contrastare fenomeni di istigazione </w:t>
      </w:r>
      <w:r w:rsidR="00B1000B" w:rsidRPr="00417121">
        <w:rPr>
          <w:rFonts w:ascii="Simoncini Garamond" w:hAnsi="Simoncini Garamond" w:cs="Times New Roman"/>
          <w:bCs/>
          <w:iCs/>
          <w:color w:val="auto"/>
          <w:sz w:val="22"/>
          <w:szCs w:val="22"/>
        </w:rPr>
        <w:t xml:space="preserve">o provocazione a commettere reati, ovvero a giustificare, minimizzare o comunque legittimare la violenza, l'odio o la discriminazione); </w:t>
      </w:r>
      <w:r w:rsidR="00B1000B" w:rsidRPr="00417121">
        <w:rPr>
          <w:rFonts w:ascii="Simoncini Garamond" w:hAnsi="Simoncini Garamond" w:cs="Times New Roman"/>
          <w:bCs/>
          <w:i/>
          <w:color w:val="auto"/>
          <w:sz w:val="22"/>
          <w:szCs w:val="22"/>
        </w:rPr>
        <w:t>iii</w:t>
      </w:r>
      <w:r w:rsidR="00B1000B" w:rsidRPr="00417121">
        <w:rPr>
          <w:rFonts w:ascii="Simoncini Garamond" w:hAnsi="Simoncini Garamond" w:cs="Times New Roman"/>
          <w:bCs/>
          <w:iCs/>
          <w:color w:val="auto"/>
          <w:sz w:val="22"/>
          <w:szCs w:val="22"/>
        </w:rPr>
        <w:t>) impongono il rispetto delle norme in materia di tutela dei minori, con particolare riguardo ai contenuti potenzialmente lesivi del loro sviluppo fisico, psichico o morale.</w:t>
      </w:r>
    </w:p>
    <w:p w14:paraId="34E54C95" w14:textId="4DDBC1E0" w:rsidR="00104BAC" w:rsidRPr="00417121" w:rsidRDefault="00104BAC"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Il </w:t>
      </w:r>
      <w:r w:rsidRPr="00417121">
        <w:rPr>
          <w:rFonts w:ascii="Simoncini Garamond" w:hAnsi="Simoncini Garamond" w:cs="Times New Roman"/>
          <w:bCs/>
          <w:i/>
          <w:color w:val="auto"/>
          <w:sz w:val="22"/>
          <w:szCs w:val="22"/>
        </w:rPr>
        <w:t>Codice di condotta</w:t>
      </w:r>
      <w:r w:rsidRPr="00417121">
        <w:rPr>
          <w:rFonts w:ascii="Simoncini Garamond" w:hAnsi="Simoncini Garamond" w:cs="Times New Roman"/>
          <w:bCs/>
          <w:iCs/>
          <w:color w:val="auto"/>
          <w:sz w:val="22"/>
          <w:szCs w:val="22"/>
        </w:rPr>
        <w:t xml:space="preserve"> (approvato con la delibera 197/25/CONS) integra e completa il quadro regolatorio appena sinteticamente descritto, individuando alcuni princìpi generali applicabili all'attività degli </w:t>
      </w:r>
      <w:r w:rsidRPr="00417121">
        <w:rPr>
          <w:rFonts w:ascii="Simoncini Garamond" w:hAnsi="Simoncini Garamond" w:cs="Times New Roman"/>
          <w:bCs/>
          <w:i/>
          <w:color w:val="auto"/>
          <w:sz w:val="22"/>
          <w:szCs w:val="22"/>
        </w:rPr>
        <w:t>influencer</w:t>
      </w:r>
      <w:r w:rsidRPr="00417121">
        <w:rPr>
          <w:rFonts w:ascii="Simoncini Garamond" w:hAnsi="Simoncini Garamond" w:cs="Times New Roman"/>
          <w:bCs/>
          <w:iCs/>
          <w:color w:val="auto"/>
          <w:sz w:val="22"/>
          <w:szCs w:val="22"/>
        </w:rPr>
        <w:t xml:space="preserve"> rilevanti (</w:t>
      </w:r>
      <w:r w:rsidRPr="00417121">
        <w:rPr>
          <w:rFonts w:ascii="Simoncini Garamond" w:hAnsi="Simoncini Garamond" w:cs="Times New Roman"/>
          <w:bCs/>
          <w:i/>
          <w:color w:val="auto"/>
          <w:sz w:val="22"/>
          <w:szCs w:val="22"/>
        </w:rPr>
        <w:t>e.g.</w:t>
      </w:r>
      <w:r w:rsidRPr="00417121">
        <w:rPr>
          <w:rFonts w:ascii="Simoncini Garamond" w:hAnsi="Simoncini Garamond" w:cs="Times New Roman"/>
          <w:bCs/>
          <w:iCs/>
          <w:color w:val="auto"/>
          <w:sz w:val="22"/>
          <w:szCs w:val="22"/>
        </w:rPr>
        <w:t>: correttezza dell'informazione, rispetto della dignità umana), alcuni princìpi - parimenti generali - in materia di comunicazioni commerciali, nonché l'obbligo di rispettare e tutelare i diritti fondamentali dei minori e di altre categorie vulnerabili.</w:t>
      </w:r>
    </w:p>
    <w:p w14:paraId="213EDC0E" w14:textId="50097FAE" w:rsidR="00B1582E" w:rsidRPr="00417121" w:rsidRDefault="00B1000B" w:rsidP="00104BAC">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Si tratta, come è evidente, di un</w:t>
      </w:r>
      <w:r w:rsidR="00104BAC" w:rsidRPr="00417121">
        <w:rPr>
          <w:rFonts w:ascii="Simoncini Garamond" w:hAnsi="Simoncini Garamond" w:cs="Times New Roman"/>
          <w:bCs/>
          <w:iCs/>
          <w:color w:val="auto"/>
          <w:sz w:val="22"/>
          <w:szCs w:val="22"/>
        </w:rPr>
        <w:t xml:space="preserve"> complesso</w:t>
      </w:r>
      <w:r w:rsidRPr="00417121">
        <w:rPr>
          <w:rFonts w:ascii="Simoncini Garamond" w:hAnsi="Simoncini Garamond" w:cs="Times New Roman"/>
          <w:bCs/>
          <w:iCs/>
          <w:color w:val="auto"/>
          <w:sz w:val="22"/>
          <w:szCs w:val="22"/>
        </w:rPr>
        <w:t xml:space="preserve"> disciplina</w:t>
      </w:r>
      <w:r w:rsidR="00104BAC" w:rsidRPr="00417121">
        <w:rPr>
          <w:rFonts w:ascii="Simoncini Garamond" w:hAnsi="Simoncini Garamond" w:cs="Times New Roman"/>
          <w:bCs/>
          <w:iCs/>
          <w:color w:val="auto"/>
          <w:sz w:val="22"/>
          <w:szCs w:val="22"/>
        </w:rPr>
        <w:t>re</w:t>
      </w:r>
      <w:r w:rsidRPr="00417121">
        <w:rPr>
          <w:rFonts w:ascii="Simoncini Garamond" w:hAnsi="Simoncini Garamond" w:cs="Times New Roman"/>
          <w:bCs/>
          <w:iCs/>
          <w:color w:val="auto"/>
          <w:sz w:val="22"/>
          <w:szCs w:val="22"/>
        </w:rPr>
        <w:t xml:space="preserve"> (certamente condivisibile nei suoi intendimenti di fondo, ma) che risulta focalizzat</w:t>
      </w:r>
      <w:r w:rsidR="00104BAC" w:rsidRPr="00417121">
        <w:rPr>
          <w:rFonts w:ascii="Simoncini Garamond" w:hAnsi="Simoncini Garamond" w:cs="Times New Roman"/>
          <w:bCs/>
          <w:iCs/>
          <w:color w:val="auto"/>
          <w:sz w:val="22"/>
          <w:szCs w:val="22"/>
        </w:rPr>
        <w:t>o</w:t>
      </w:r>
      <w:r w:rsidRPr="00417121">
        <w:rPr>
          <w:rFonts w:ascii="Simoncini Garamond" w:hAnsi="Simoncini Garamond" w:cs="Times New Roman"/>
          <w:bCs/>
          <w:iCs/>
          <w:color w:val="auto"/>
          <w:sz w:val="22"/>
          <w:szCs w:val="22"/>
        </w:rPr>
        <w:t xml:space="preserve"> essenzialmente sul versante della tutela del 'soggetto </w:t>
      </w:r>
      <w:proofErr w:type="spellStart"/>
      <w:r w:rsidRPr="00417121">
        <w:rPr>
          <w:rFonts w:ascii="Simoncini Garamond" w:hAnsi="Simoncini Garamond" w:cs="Times New Roman"/>
          <w:bCs/>
          <w:iCs/>
          <w:color w:val="auto"/>
          <w:sz w:val="22"/>
          <w:szCs w:val="22"/>
        </w:rPr>
        <w:t>passivo'</w:t>
      </w:r>
      <w:proofErr w:type="spellEnd"/>
      <w:r w:rsidRPr="00417121">
        <w:rPr>
          <w:rFonts w:ascii="Simoncini Garamond" w:hAnsi="Simoncini Garamond" w:cs="Times New Roman"/>
          <w:bCs/>
          <w:iCs/>
          <w:color w:val="auto"/>
          <w:sz w:val="22"/>
          <w:szCs w:val="22"/>
        </w:rPr>
        <w:t xml:space="preserve"> - o destinatario finale - dell'attività di informazione e comunicazione, mentre non sembra porre al centro del proprio </w:t>
      </w:r>
      <w:r w:rsidRPr="00417121">
        <w:rPr>
          <w:rFonts w:ascii="Simoncini Garamond" w:hAnsi="Simoncini Garamond" w:cs="Times New Roman"/>
          <w:bCs/>
          <w:i/>
          <w:color w:val="auto"/>
          <w:sz w:val="22"/>
          <w:szCs w:val="22"/>
        </w:rPr>
        <w:t>focus</w:t>
      </w:r>
      <w:r w:rsidRPr="00417121">
        <w:rPr>
          <w:rFonts w:ascii="Simoncini Garamond" w:hAnsi="Simoncini Garamond" w:cs="Times New Roman"/>
          <w:bCs/>
          <w:iCs/>
          <w:color w:val="auto"/>
          <w:sz w:val="22"/>
          <w:szCs w:val="22"/>
        </w:rPr>
        <w:t xml:space="preserve"> di attenzione le (parimenti necessarie) garanzie alla libertà di manifestazione del pensiero che devono essere assicurate - sia pure, in un'eventuale chiave di bilanciamento </w:t>
      </w:r>
      <w:r w:rsidR="002706DC" w:rsidRPr="00417121">
        <w:rPr>
          <w:rFonts w:ascii="Simoncini Garamond" w:hAnsi="Simoncini Garamond" w:cs="Times New Roman"/>
          <w:bCs/>
          <w:iCs/>
          <w:color w:val="auto"/>
          <w:sz w:val="22"/>
          <w:szCs w:val="22"/>
        </w:rPr>
        <w:t xml:space="preserve">fra </w:t>
      </w:r>
      <w:r w:rsidR="002706DC" w:rsidRPr="00417121">
        <w:rPr>
          <w:rFonts w:ascii="Simoncini Garamond" w:hAnsi="Simoncini Garamond" w:cs="Times New Roman"/>
          <w:bCs/>
          <w:iCs/>
          <w:color w:val="auto"/>
          <w:sz w:val="22"/>
          <w:szCs w:val="22"/>
        </w:rPr>
        <w:lastRenderedPageBreak/>
        <w:t xml:space="preserve">valori e interessi </w:t>
      </w:r>
      <w:r w:rsidRPr="00417121">
        <w:rPr>
          <w:rFonts w:ascii="Simoncini Garamond" w:hAnsi="Simoncini Garamond" w:cs="Times New Roman"/>
          <w:bCs/>
          <w:iCs/>
          <w:color w:val="auto"/>
          <w:sz w:val="22"/>
          <w:szCs w:val="22"/>
        </w:rPr>
        <w:t xml:space="preserve">- al </w:t>
      </w:r>
      <w:proofErr w:type="spellStart"/>
      <w:r w:rsidRPr="00417121">
        <w:rPr>
          <w:rFonts w:ascii="Simoncini Garamond" w:hAnsi="Simoncini Garamond" w:cs="Times New Roman"/>
          <w:bCs/>
          <w:i/>
          <w:color w:val="auto"/>
          <w:sz w:val="22"/>
          <w:szCs w:val="22"/>
        </w:rPr>
        <w:t>content</w:t>
      </w:r>
      <w:proofErr w:type="spellEnd"/>
      <w:r w:rsidRPr="00417121">
        <w:rPr>
          <w:rFonts w:ascii="Simoncini Garamond" w:hAnsi="Simoncini Garamond" w:cs="Times New Roman"/>
          <w:bCs/>
          <w:i/>
          <w:color w:val="auto"/>
          <w:sz w:val="22"/>
          <w:szCs w:val="22"/>
        </w:rPr>
        <w:t xml:space="preserve"> creator</w:t>
      </w:r>
      <w:r w:rsidRPr="00417121">
        <w:rPr>
          <w:rFonts w:ascii="Simoncini Garamond" w:hAnsi="Simoncini Garamond" w:cs="Times New Roman"/>
          <w:bCs/>
          <w:iCs/>
          <w:color w:val="auto"/>
          <w:sz w:val="22"/>
          <w:szCs w:val="22"/>
        </w:rPr>
        <w:t>.</w:t>
      </w:r>
    </w:p>
    <w:p w14:paraId="31BF3599" w14:textId="3F1AA1F8" w:rsidR="00B1582E" w:rsidRPr="00417121" w:rsidRDefault="00104BAC"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Beninteso, non si tratta di una lacuna del sistema regolatorio introdotto dall'Autorità ma di un dato sostanzialmente coessenziale (e strettamente conseguenziale) alla scelta di fondo di riferirsi (non a qualunque attività di creazione di contenuti destinati ad essere diffusi </w:t>
      </w:r>
      <w:r w:rsidRPr="00417121">
        <w:rPr>
          <w:rFonts w:ascii="Simoncini Garamond" w:hAnsi="Simoncini Garamond" w:cs="Times New Roman"/>
          <w:bCs/>
          <w:i/>
          <w:color w:val="auto"/>
          <w:sz w:val="22"/>
          <w:szCs w:val="22"/>
        </w:rPr>
        <w:t>online</w:t>
      </w:r>
      <w:r w:rsidRPr="00417121">
        <w:rPr>
          <w:rFonts w:ascii="Simoncini Garamond" w:hAnsi="Simoncini Garamond" w:cs="Times New Roman"/>
          <w:bCs/>
          <w:iCs/>
          <w:color w:val="auto"/>
          <w:sz w:val="22"/>
          <w:szCs w:val="22"/>
        </w:rPr>
        <w:t xml:space="preserve">, bensì) alla sola attività degli </w:t>
      </w:r>
      <w:r w:rsidRPr="00417121">
        <w:rPr>
          <w:rFonts w:ascii="Simoncini Garamond" w:hAnsi="Simoncini Garamond" w:cs="Times New Roman"/>
          <w:bCs/>
          <w:i/>
          <w:color w:val="auto"/>
          <w:sz w:val="22"/>
          <w:szCs w:val="22"/>
        </w:rPr>
        <w:t>influencer</w:t>
      </w:r>
      <w:r w:rsidRPr="00417121">
        <w:rPr>
          <w:rFonts w:ascii="Simoncini Garamond" w:hAnsi="Simoncini Garamond" w:cs="Times New Roman"/>
          <w:bCs/>
          <w:iCs/>
          <w:color w:val="auto"/>
          <w:sz w:val="22"/>
          <w:szCs w:val="22"/>
        </w:rPr>
        <w:t xml:space="preserve"> che sia qualificabile come prestazione di servizi media e audiovisivi</w:t>
      </w:r>
      <w:r w:rsidR="00B021D3" w:rsidRPr="00417121">
        <w:rPr>
          <w:rFonts w:ascii="Simoncini Garamond" w:hAnsi="Simoncini Garamond" w:cs="Times New Roman"/>
          <w:bCs/>
          <w:iCs/>
          <w:color w:val="auto"/>
          <w:sz w:val="22"/>
          <w:szCs w:val="22"/>
        </w:rPr>
        <w:t xml:space="preserve"> con carattere di professionalità</w:t>
      </w:r>
      <w:r w:rsidR="00B021D3" w:rsidRPr="00417121">
        <w:rPr>
          <w:rStyle w:val="Rimandonotaapidipagina"/>
          <w:rFonts w:ascii="Simoncini Garamond" w:hAnsi="Simoncini Garamond" w:cs="Times New Roman"/>
          <w:bCs/>
          <w:iCs/>
          <w:color w:val="auto"/>
          <w:sz w:val="22"/>
          <w:szCs w:val="22"/>
        </w:rPr>
        <w:footnoteReference w:id="27"/>
      </w:r>
      <w:r w:rsidRPr="00417121">
        <w:rPr>
          <w:rFonts w:ascii="Simoncini Garamond" w:hAnsi="Simoncini Garamond" w:cs="Times New Roman"/>
          <w:bCs/>
          <w:iCs/>
          <w:color w:val="auto"/>
          <w:sz w:val="22"/>
          <w:szCs w:val="22"/>
        </w:rPr>
        <w:t>.</w:t>
      </w:r>
    </w:p>
    <w:p w14:paraId="215D23F3" w14:textId="24AEA110" w:rsidR="00104BAC" w:rsidRPr="00417121" w:rsidRDefault="00B021D3"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Del resto, laddove pure l'Autorità avesse inteso introdurre in via regolatoria una sorta di statuto generale sull'attività dei </w:t>
      </w:r>
      <w:proofErr w:type="spellStart"/>
      <w:r w:rsidRPr="00417121">
        <w:rPr>
          <w:rFonts w:ascii="Simoncini Garamond" w:hAnsi="Simoncini Garamond" w:cs="Times New Roman"/>
          <w:bCs/>
          <w:i/>
          <w:color w:val="auto"/>
          <w:sz w:val="22"/>
          <w:szCs w:val="22"/>
        </w:rPr>
        <w:t>content</w:t>
      </w:r>
      <w:proofErr w:type="spellEnd"/>
      <w:r w:rsidRPr="00417121">
        <w:rPr>
          <w:rFonts w:ascii="Simoncini Garamond" w:hAnsi="Simoncini Garamond" w:cs="Times New Roman"/>
          <w:bCs/>
          <w:i/>
          <w:color w:val="auto"/>
          <w:sz w:val="22"/>
          <w:szCs w:val="22"/>
        </w:rPr>
        <w:t xml:space="preserve"> creator, </w:t>
      </w:r>
      <w:r w:rsidRPr="00417121">
        <w:rPr>
          <w:rFonts w:ascii="Simoncini Garamond" w:hAnsi="Simoncini Garamond" w:cs="Times New Roman"/>
          <w:bCs/>
          <w:iCs/>
          <w:color w:val="auto"/>
          <w:sz w:val="22"/>
          <w:szCs w:val="22"/>
        </w:rPr>
        <w:t>tale tentativo avrebbe verosimilmente incontrato difficoltà difficilmente superabili nell'individuazione di una fonte legittimante, ben difficilmente essendo predicabile alla materia in questione la teorica dei cc.dd. '</w:t>
      </w:r>
      <w:r w:rsidRPr="00417121">
        <w:rPr>
          <w:rFonts w:ascii="Simoncini Garamond" w:hAnsi="Simoncini Garamond" w:cs="Times New Roman"/>
          <w:bCs/>
          <w:i/>
          <w:color w:val="auto"/>
          <w:sz w:val="22"/>
          <w:szCs w:val="22"/>
        </w:rPr>
        <w:t>poteri impliciti</w:t>
      </w:r>
      <w:r w:rsidRPr="00417121">
        <w:rPr>
          <w:rFonts w:ascii="Simoncini Garamond" w:hAnsi="Simoncini Garamond" w:cs="Times New Roman"/>
          <w:bCs/>
          <w:iCs/>
          <w:color w:val="auto"/>
          <w:sz w:val="22"/>
          <w:szCs w:val="22"/>
        </w:rPr>
        <w:t>'</w:t>
      </w:r>
      <w:r w:rsidRPr="00417121">
        <w:rPr>
          <w:rStyle w:val="Rimandonotaapidipagina"/>
          <w:rFonts w:ascii="Simoncini Garamond" w:hAnsi="Simoncini Garamond" w:cs="Times New Roman"/>
          <w:bCs/>
          <w:iCs/>
          <w:color w:val="auto"/>
          <w:sz w:val="22"/>
          <w:szCs w:val="22"/>
        </w:rPr>
        <w:footnoteReference w:id="28"/>
      </w:r>
      <w:r w:rsidRPr="00417121">
        <w:rPr>
          <w:rFonts w:ascii="Simoncini Garamond" w:hAnsi="Simoncini Garamond" w:cs="Times New Roman"/>
          <w:bCs/>
          <w:iCs/>
          <w:color w:val="auto"/>
          <w:sz w:val="22"/>
          <w:szCs w:val="22"/>
        </w:rPr>
        <w:t>.</w:t>
      </w:r>
    </w:p>
    <w:p w14:paraId="0938BC4F" w14:textId="552AD75D" w:rsidR="00B1582E" w:rsidRPr="00417121" w:rsidRDefault="00D76377"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In definitiva, pur non volendo in alcun modo sminuire la rilevanza delle </w:t>
      </w:r>
      <w:r w:rsidRPr="00417121">
        <w:rPr>
          <w:rFonts w:ascii="Simoncini Garamond" w:hAnsi="Simoncini Garamond" w:cs="Times New Roman"/>
          <w:bCs/>
          <w:i/>
          <w:color w:val="auto"/>
          <w:sz w:val="22"/>
          <w:szCs w:val="22"/>
        </w:rPr>
        <w:t>Linee guida</w:t>
      </w:r>
      <w:r w:rsidRPr="00417121">
        <w:rPr>
          <w:rFonts w:ascii="Simoncini Garamond" w:hAnsi="Simoncini Garamond" w:cs="Times New Roman"/>
          <w:bCs/>
          <w:iCs/>
          <w:color w:val="auto"/>
          <w:sz w:val="22"/>
          <w:szCs w:val="22"/>
        </w:rPr>
        <w:t xml:space="preserve"> (2024) e del </w:t>
      </w:r>
      <w:r w:rsidRPr="00417121">
        <w:rPr>
          <w:rFonts w:ascii="Simoncini Garamond" w:hAnsi="Simoncini Garamond" w:cs="Times New Roman"/>
          <w:bCs/>
          <w:i/>
          <w:color w:val="auto"/>
          <w:sz w:val="22"/>
          <w:szCs w:val="22"/>
        </w:rPr>
        <w:t>Codice di condotta</w:t>
      </w:r>
      <w:r w:rsidRPr="00417121">
        <w:rPr>
          <w:rFonts w:ascii="Simoncini Garamond" w:hAnsi="Simoncini Garamond" w:cs="Times New Roman"/>
          <w:bCs/>
          <w:iCs/>
          <w:color w:val="auto"/>
          <w:sz w:val="22"/>
          <w:szCs w:val="22"/>
        </w:rPr>
        <w:t xml:space="preserve"> (2025) e pur accogliendo con favore il tentativo di utilizzare gli strumenti della regolazione AGCOM per disciplinare alcuni segmenti dello sterminato settore di attività di interesse degli </w:t>
      </w:r>
      <w:r w:rsidRPr="00417121">
        <w:rPr>
          <w:rFonts w:ascii="Simoncini Garamond" w:hAnsi="Simoncini Garamond" w:cs="Times New Roman"/>
          <w:bCs/>
          <w:i/>
          <w:color w:val="auto"/>
          <w:sz w:val="22"/>
          <w:szCs w:val="22"/>
        </w:rPr>
        <w:t>influencer</w:t>
      </w:r>
      <w:r w:rsidRPr="00417121">
        <w:rPr>
          <w:rFonts w:ascii="Simoncini Garamond" w:hAnsi="Simoncini Garamond" w:cs="Times New Roman"/>
          <w:bCs/>
          <w:iCs/>
          <w:color w:val="auto"/>
          <w:sz w:val="22"/>
          <w:szCs w:val="22"/>
        </w:rPr>
        <w:t xml:space="preserve">, emergono comunque con una certa evidenza i </w:t>
      </w:r>
      <w:r w:rsidR="00EE71E9" w:rsidRPr="00417121">
        <w:rPr>
          <w:rFonts w:ascii="Simoncini Garamond" w:hAnsi="Simoncini Garamond" w:cs="Times New Roman"/>
          <w:bCs/>
          <w:iCs/>
          <w:color w:val="auto"/>
          <w:sz w:val="22"/>
          <w:szCs w:val="22"/>
        </w:rPr>
        <w:t xml:space="preserve">potenziali </w:t>
      </w:r>
      <w:r w:rsidRPr="00417121">
        <w:rPr>
          <w:rFonts w:ascii="Simoncini Garamond" w:hAnsi="Simoncini Garamond" w:cs="Times New Roman"/>
          <w:bCs/>
          <w:iCs/>
          <w:color w:val="auto"/>
          <w:sz w:val="22"/>
          <w:szCs w:val="22"/>
        </w:rPr>
        <w:t>limiti sottesi a tale tentativo:</w:t>
      </w:r>
    </w:p>
    <w:p w14:paraId="5F36F97E" w14:textId="2A2B1688" w:rsidR="00D76377" w:rsidRPr="00417121" w:rsidRDefault="00D76377"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Ci si limiterà qui a sunteggiare soltanto </w:t>
      </w:r>
      <w:r w:rsidR="00EE71E9" w:rsidRPr="00417121">
        <w:rPr>
          <w:rFonts w:ascii="Simoncini Garamond" w:hAnsi="Simoncini Garamond" w:cs="Times New Roman"/>
          <w:bCs/>
          <w:iCs/>
          <w:color w:val="auto"/>
          <w:sz w:val="22"/>
          <w:szCs w:val="22"/>
        </w:rPr>
        <w:t>quattro</w:t>
      </w:r>
      <w:r w:rsidRPr="00417121">
        <w:rPr>
          <w:rFonts w:ascii="Simoncini Garamond" w:hAnsi="Simoncini Garamond" w:cs="Times New Roman"/>
          <w:bCs/>
          <w:iCs/>
          <w:color w:val="auto"/>
          <w:sz w:val="22"/>
          <w:szCs w:val="22"/>
        </w:rPr>
        <w:t xml:space="preserve"> di tali </w:t>
      </w:r>
      <w:r w:rsidR="00EE71E9" w:rsidRPr="00417121">
        <w:rPr>
          <w:rFonts w:ascii="Simoncini Garamond" w:hAnsi="Simoncini Garamond" w:cs="Times New Roman"/>
          <w:bCs/>
          <w:iCs/>
          <w:color w:val="auto"/>
          <w:sz w:val="22"/>
          <w:szCs w:val="22"/>
        </w:rPr>
        <w:t xml:space="preserve">possibili </w:t>
      </w:r>
      <w:r w:rsidRPr="00417121">
        <w:rPr>
          <w:rFonts w:ascii="Simoncini Garamond" w:hAnsi="Simoncini Garamond" w:cs="Times New Roman"/>
          <w:bCs/>
          <w:iCs/>
          <w:color w:val="auto"/>
          <w:sz w:val="22"/>
          <w:szCs w:val="22"/>
        </w:rPr>
        <w:t>limiti:</w:t>
      </w:r>
    </w:p>
    <w:p w14:paraId="1124062C" w14:textId="2075145B" w:rsidR="00D76377" w:rsidRPr="00417121" w:rsidRDefault="00D76377"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lastRenderedPageBreak/>
        <w:t>- un primo limite consiste nel carattere non particolarmente ampio della base normativa legittimante l'intervento regolatorio (viene richiamato, di fatto, il solo articolo 4-</w:t>
      </w:r>
      <w:r w:rsidRPr="00417121">
        <w:rPr>
          <w:rFonts w:ascii="Simoncini Garamond" w:hAnsi="Simoncini Garamond" w:cs="Times New Roman"/>
          <w:bCs/>
          <w:i/>
          <w:color w:val="auto"/>
          <w:sz w:val="22"/>
          <w:szCs w:val="22"/>
        </w:rPr>
        <w:t>bis</w:t>
      </w:r>
      <w:r w:rsidRPr="00417121">
        <w:rPr>
          <w:rFonts w:ascii="Simoncini Garamond" w:hAnsi="Simoncini Garamond" w:cs="Times New Roman"/>
          <w:bCs/>
          <w:iCs/>
          <w:color w:val="auto"/>
          <w:sz w:val="22"/>
          <w:szCs w:val="22"/>
        </w:rPr>
        <w:t xml:space="preserve"> della Direttiva SMAV (2018);</w:t>
      </w:r>
    </w:p>
    <w:p w14:paraId="3477C7D2" w14:textId="2DE7BA64" w:rsidR="00D76377" w:rsidRPr="00417121" w:rsidRDefault="00D76377"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 un secondo limite (strettamente connesso al primo e - in qualche modo - ad esso conseguenziale) </w:t>
      </w:r>
      <w:r w:rsidR="004C4DA1" w:rsidRPr="00417121">
        <w:rPr>
          <w:rFonts w:ascii="Simoncini Garamond" w:hAnsi="Simoncini Garamond" w:cs="Times New Roman"/>
          <w:bCs/>
          <w:iCs/>
          <w:color w:val="auto"/>
          <w:sz w:val="22"/>
          <w:szCs w:val="22"/>
        </w:rPr>
        <w:t xml:space="preserve">deriva dall'ambito </w:t>
      </w:r>
      <w:r w:rsidRPr="00417121">
        <w:rPr>
          <w:rFonts w:ascii="Simoncini Garamond" w:hAnsi="Simoncini Garamond" w:cs="Times New Roman"/>
          <w:bCs/>
          <w:iCs/>
          <w:color w:val="auto"/>
          <w:sz w:val="22"/>
          <w:szCs w:val="22"/>
        </w:rPr>
        <w:t>oggettivo della fonte di regolazione, che è riferit</w:t>
      </w:r>
      <w:r w:rsidR="004C4DA1" w:rsidRPr="00417121">
        <w:rPr>
          <w:rFonts w:ascii="Simoncini Garamond" w:hAnsi="Simoncini Garamond" w:cs="Times New Roman"/>
          <w:bCs/>
          <w:iCs/>
          <w:color w:val="auto"/>
          <w:sz w:val="22"/>
          <w:szCs w:val="22"/>
        </w:rPr>
        <w:t>a</w:t>
      </w:r>
      <w:r w:rsidRPr="00417121">
        <w:rPr>
          <w:rFonts w:ascii="Simoncini Garamond" w:hAnsi="Simoncini Garamond" w:cs="Times New Roman"/>
          <w:bCs/>
          <w:iCs/>
          <w:color w:val="auto"/>
          <w:sz w:val="22"/>
          <w:szCs w:val="22"/>
        </w:rPr>
        <w:t xml:space="preserve"> alle attività degli </w:t>
      </w:r>
      <w:r w:rsidRPr="00417121">
        <w:rPr>
          <w:rFonts w:ascii="Simoncini Garamond" w:hAnsi="Simoncini Garamond" w:cs="Times New Roman"/>
          <w:bCs/>
          <w:i/>
          <w:color w:val="auto"/>
          <w:sz w:val="22"/>
          <w:szCs w:val="22"/>
        </w:rPr>
        <w:t>influencer</w:t>
      </w:r>
      <w:r w:rsidRPr="00417121">
        <w:rPr>
          <w:rFonts w:ascii="Simoncini Garamond" w:hAnsi="Simoncini Garamond" w:cs="Times New Roman"/>
          <w:bCs/>
          <w:iCs/>
          <w:color w:val="auto"/>
          <w:sz w:val="22"/>
          <w:szCs w:val="22"/>
        </w:rPr>
        <w:t xml:space="preserve"> se e in quanto qualificabili come servizi </w:t>
      </w:r>
      <w:r w:rsidR="004C4DA1" w:rsidRPr="00417121">
        <w:rPr>
          <w:rFonts w:ascii="Simoncini Garamond" w:hAnsi="Simoncini Garamond" w:cs="Times New Roman"/>
          <w:bCs/>
          <w:iCs/>
          <w:color w:val="auto"/>
          <w:sz w:val="22"/>
          <w:szCs w:val="22"/>
        </w:rPr>
        <w:t xml:space="preserve">media e audiovisivi costituenti attività economica ai sensi degli articoli 56 e 57 del TFUE. Tale delimitazione dell'ambito di riferimento, ad esempio, sembra mantenere al di fuori del campo regolato l'ampio novero dei </w:t>
      </w:r>
      <w:proofErr w:type="spellStart"/>
      <w:r w:rsidR="004C4DA1" w:rsidRPr="00417121">
        <w:rPr>
          <w:rFonts w:ascii="Simoncini Garamond" w:hAnsi="Simoncini Garamond" w:cs="Times New Roman"/>
          <w:bCs/>
          <w:i/>
          <w:color w:val="auto"/>
          <w:sz w:val="22"/>
          <w:szCs w:val="22"/>
        </w:rPr>
        <w:t>content</w:t>
      </w:r>
      <w:proofErr w:type="spellEnd"/>
      <w:r w:rsidR="004C4DA1" w:rsidRPr="00417121">
        <w:rPr>
          <w:rFonts w:ascii="Simoncini Garamond" w:hAnsi="Simoncini Garamond" w:cs="Times New Roman"/>
          <w:bCs/>
          <w:i/>
          <w:color w:val="auto"/>
          <w:sz w:val="22"/>
          <w:szCs w:val="22"/>
        </w:rPr>
        <w:t xml:space="preserve"> creator</w:t>
      </w:r>
      <w:r w:rsidR="004C4DA1" w:rsidRPr="00417121">
        <w:rPr>
          <w:rFonts w:ascii="Simoncini Garamond" w:hAnsi="Simoncini Garamond" w:cs="Times New Roman"/>
          <w:bCs/>
          <w:iCs/>
          <w:color w:val="auto"/>
          <w:sz w:val="22"/>
          <w:szCs w:val="22"/>
        </w:rPr>
        <w:t xml:space="preserve"> che operano nel campo della comunicazione politica, senza necessariamente assurgere al rango di operatori economici</w:t>
      </w:r>
      <w:r w:rsidR="00E2732B" w:rsidRPr="00417121">
        <w:rPr>
          <w:rStyle w:val="Rimandonotaapidipagina"/>
          <w:rFonts w:ascii="Simoncini Garamond" w:hAnsi="Simoncini Garamond" w:cs="Times New Roman"/>
          <w:bCs/>
          <w:iCs/>
          <w:color w:val="auto"/>
          <w:sz w:val="22"/>
          <w:szCs w:val="22"/>
        </w:rPr>
        <w:footnoteReference w:id="29"/>
      </w:r>
      <w:r w:rsidR="004C4DA1" w:rsidRPr="00417121">
        <w:rPr>
          <w:rFonts w:ascii="Simoncini Garamond" w:hAnsi="Simoncini Garamond" w:cs="Times New Roman"/>
          <w:bCs/>
          <w:iCs/>
          <w:color w:val="auto"/>
          <w:sz w:val="22"/>
          <w:szCs w:val="22"/>
        </w:rPr>
        <w:t>;</w:t>
      </w:r>
    </w:p>
    <w:p w14:paraId="0AE8AC46" w14:textId="74EDA1C9" w:rsidR="004C4DA1" w:rsidRPr="00417121" w:rsidRDefault="004C4DA1"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 un terzo limite (connesso ai primi due e - anche qui - ad essi conseguenziale) deriva dal più generale dubbio che un atto di regolazione di un'Autorità indipendente possa imporre un </w:t>
      </w:r>
      <w:r w:rsidRPr="00417121">
        <w:rPr>
          <w:rFonts w:ascii="Simoncini Garamond" w:hAnsi="Simoncini Garamond" w:cs="Times New Roman"/>
          <w:bCs/>
          <w:i/>
          <w:color w:val="auto"/>
          <w:sz w:val="22"/>
          <w:szCs w:val="22"/>
        </w:rPr>
        <w:t>adeguamento</w:t>
      </w:r>
      <w:r w:rsidRPr="00417121">
        <w:rPr>
          <w:rFonts w:ascii="Simoncini Garamond" w:hAnsi="Simoncini Garamond" w:cs="Times New Roman"/>
          <w:bCs/>
          <w:iCs/>
          <w:color w:val="auto"/>
          <w:sz w:val="22"/>
          <w:szCs w:val="22"/>
        </w:rPr>
        <w:t xml:space="preserve"> (per utilizzare la terminologia delle stesse Linee Guida)</w:t>
      </w:r>
      <w:r w:rsidRPr="00417121">
        <w:rPr>
          <w:rStyle w:val="Rimandonotaapidipagina"/>
          <w:rFonts w:ascii="Simoncini Garamond" w:hAnsi="Simoncini Garamond" w:cs="Times New Roman"/>
          <w:bCs/>
          <w:iCs/>
          <w:color w:val="auto"/>
          <w:sz w:val="22"/>
          <w:szCs w:val="22"/>
        </w:rPr>
        <w:footnoteReference w:id="30"/>
      </w:r>
      <w:r w:rsidRPr="00417121">
        <w:rPr>
          <w:rFonts w:ascii="Simoncini Garamond" w:hAnsi="Simoncini Garamond" w:cs="Times New Roman"/>
          <w:bCs/>
          <w:iCs/>
          <w:color w:val="auto"/>
          <w:sz w:val="22"/>
          <w:szCs w:val="22"/>
        </w:rPr>
        <w:t xml:space="preserve"> </w:t>
      </w:r>
      <w:r w:rsidR="00E2732B" w:rsidRPr="00417121">
        <w:rPr>
          <w:rFonts w:ascii="Simoncini Garamond" w:hAnsi="Simoncini Garamond" w:cs="Times New Roman"/>
          <w:bCs/>
          <w:iCs/>
          <w:color w:val="auto"/>
          <w:sz w:val="22"/>
          <w:szCs w:val="22"/>
        </w:rPr>
        <w:t>di attività di piano rilievo costituzionale (e in particolarità di attività - quali la libera manifestazione del pensiero - che, essendo enunciate nella Parte I - Titolo I della Costituzione, richiederebbero verosimilmente l'intervento del Legislatore);</w:t>
      </w:r>
    </w:p>
    <w:p w14:paraId="2D7754D5" w14:textId="16408400" w:rsidR="004C4DA1" w:rsidRPr="00417121" w:rsidRDefault="004C4DA1"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 un </w:t>
      </w:r>
      <w:r w:rsidR="00E2732B" w:rsidRPr="00417121">
        <w:rPr>
          <w:rFonts w:ascii="Simoncini Garamond" w:hAnsi="Simoncini Garamond" w:cs="Times New Roman"/>
          <w:bCs/>
          <w:iCs/>
          <w:color w:val="auto"/>
          <w:sz w:val="22"/>
          <w:szCs w:val="22"/>
        </w:rPr>
        <w:t>quart</w:t>
      </w:r>
      <w:r w:rsidRPr="00417121">
        <w:rPr>
          <w:rFonts w:ascii="Simoncini Garamond" w:hAnsi="Simoncini Garamond" w:cs="Times New Roman"/>
          <w:bCs/>
          <w:iCs/>
          <w:color w:val="auto"/>
          <w:sz w:val="22"/>
          <w:szCs w:val="22"/>
        </w:rPr>
        <w:t xml:space="preserve">o limite deriva dal fatto che la regolazione in esame sembra riferita solo alle ricadute dell'attività di espressione e di comunicazione dal versante passivo (i.e.: dei destinatari finali), non prendendo - almeno apparentemente - in considerazione i contestuali diritti di libertà nell'espressione e nella comunicazione degli stessi influencer dal versante attivo (conformemente, del resto, all'articolo 11 della </w:t>
      </w:r>
      <w:r w:rsidRPr="00417121">
        <w:rPr>
          <w:rFonts w:ascii="Simoncini Garamond" w:hAnsi="Simoncini Garamond" w:cs="Times New Roman"/>
          <w:bCs/>
          <w:i/>
          <w:color w:val="auto"/>
          <w:sz w:val="22"/>
          <w:szCs w:val="22"/>
        </w:rPr>
        <w:t>Carta dei diritti fondamentali dell'UE</w:t>
      </w:r>
      <w:r w:rsidRPr="00417121">
        <w:rPr>
          <w:rFonts w:ascii="Simoncini Garamond" w:hAnsi="Simoncini Garamond" w:cs="Times New Roman"/>
          <w:bCs/>
          <w:iCs/>
          <w:color w:val="auto"/>
          <w:sz w:val="22"/>
          <w:szCs w:val="22"/>
        </w:rPr>
        <w:t>);</w:t>
      </w:r>
    </w:p>
    <w:p w14:paraId="7E0A5051" w14:textId="473B722A" w:rsidR="00EE71E9" w:rsidRPr="00417121" w:rsidRDefault="00EE71E9"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 un quinto limite (di fatto connesso al precedente) deriva dal fatto che strumenti di regolazione quali quelli qui sinteticamente descritti prendono le mosse da una determinata risposta (forse, assiologicamente intuitiva, ma tutt'altro che scontata) alla domanda se il diritto di libera espressione (articolo 21, Cost.) possa conoscere limiti quali un sostanziale vincolo di verità ovvero lo stesso </w:t>
      </w:r>
      <w:r w:rsidRPr="00417121">
        <w:rPr>
          <w:rFonts w:ascii="Simoncini Garamond" w:hAnsi="Simoncini Garamond" w:cs="Times New Roman"/>
          <w:bCs/>
          <w:i/>
          <w:color w:val="auto"/>
          <w:sz w:val="22"/>
          <w:szCs w:val="22"/>
        </w:rPr>
        <w:t>limite della tolleranza ideologica</w:t>
      </w:r>
      <w:r w:rsidRPr="00417121">
        <w:rPr>
          <w:rFonts w:ascii="Simoncini Garamond" w:hAnsi="Simoncini Garamond" w:cs="Times New Roman"/>
          <w:bCs/>
          <w:iCs/>
          <w:color w:val="auto"/>
          <w:sz w:val="22"/>
          <w:szCs w:val="22"/>
        </w:rPr>
        <w:t xml:space="preserve">; </w:t>
      </w:r>
    </w:p>
    <w:p w14:paraId="7C66C74B" w14:textId="01479681" w:rsidR="00B1582E" w:rsidRPr="00417121" w:rsidRDefault="00E2732B"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 un </w:t>
      </w:r>
      <w:r w:rsidR="00EE71E9" w:rsidRPr="00417121">
        <w:rPr>
          <w:rFonts w:ascii="Simoncini Garamond" w:hAnsi="Simoncini Garamond" w:cs="Times New Roman"/>
          <w:bCs/>
          <w:iCs/>
          <w:color w:val="auto"/>
          <w:sz w:val="22"/>
          <w:szCs w:val="22"/>
        </w:rPr>
        <w:t>ses</w:t>
      </w:r>
      <w:r w:rsidRPr="00417121">
        <w:rPr>
          <w:rFonts w:ascii="Simoncini Garamond" w:hAnsi="Simoncini Garamond" w:cs="Times New Roman"/>
          <w:bCs/>
          <w:iCs/>
          <w:color w:val="auto"/>
          <w:sz w:val="22"/>
          <w:szCs w:val="22"/>
        </w:rPr>
        <w:t xml:space="preserve">to limite deriva dal fatto che siffatti strumenti di regolazione, </w:t>
      </w:r>
      <w:r w:rsidRPr="00417121">
        <w:rPr>
          <w:rFonts w:ascii="Simoncini Garamond" w:hAnsi="Simoncini Garamond" w:cs="Times New Roman"/>
          <w:bCs/>
          <w:iCs/>
          <w:color w:val="auto"/>
          <w:sz w:val="22"/>
          <w:szCs w:val="22"/>
        </w:rPr>
        <w:lastRenderedPageBreak/>
        <w:t xml:space="preserve">nonostante ogni apprezzabile sforzo di ragionevolezza, finiscono inevitabilmente per introdurre parametri di valutazione e applicazione connotati da un intrinseco tasso di discrezionalità (e anche di vera e propria opinabilità: si pensi alla fissazione di un valore-soglia di follower - attualmente stabilito in 500mila - il cui superamento determina il passaggio dall'area - di fatto, insindacabile - della più ampia libertà di espressione a quella che segna il passaggio nel novero degli </w:t>
      </w:r>
      <w:r w:rsidRPr="00417121">
        <w:rPr>
          <w:rFonts w:ascii="Simoncini Garamond" w:hAnsi="Simoncini Garamond" w:cs="Times New Roman"/>
          <w:bCs/>
          <w:i/>
          <w:color w:val="auto"/>
          <w:sz w:val="22"/>
          <w:szCs w:val="22"/>
        </w:rPr>
        <w:t>influencer rilevanti</w:t>
      </w:r>
      <w:r w:rsidRPr="00417121">
        <w:rPr>
          <w:rFonts w:ascii="Simoncini Garamond" w:hAnsi="Simoncini Garamond" w:cs="Times New Roman"/>
          <w:bCs/>
          <w:iCs/>
          <w:color w:val="auto"/>
          <w:sz w:val="22"/>
          <w:szCs w:val="22"/>
        </w:rPr>
        <w:t>;</w:t>
      </w:r>
    </w:p>
    <w:p w14:paraId="092B30E7" w14:textId="77777777" w:rsidR="003E3720" w:rsidRPr="00417121" w:rsidRDefault="003E3720" w:rsidP="009E41CF">
      <w:pPr>
        <w:pStyle w:val="Default"/>
        <w:widowControl w:val="0"/>
        <w:snapToGrid w:val="0"/>
        <w:spacing w:line="260" w:lineRule="exact"/>
        <w:ind w:firstLine="340"/>
        <w:jc w:val="both"/>
        <w:rPr>
          <w:rFonts w:ascii="Simoncini Garamond" w:hAnsi="Simoncini Garamond" w:cs="Times New Roman"/>
          <w:bCs/>
          <w:iCs/>
          <w:color w:val="auto"/>
          <w:sz w:val="12"/>
          <w:szCs w:val="12"/>
        </w:rPr>
      </w:pPr>
    </w:p>
    <w:p w14:paraId="656BFFB7" w14:textId="284B73D3" w:rsidR="003E3720" w:rsidRPr="00417121" w:rsidRDefault="00EE71E9"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Alcune riflessioni finali saranno qui dedicate alla circolare dell'INPS n. 44 del 19 febbraio 2025 (avente ad oggetto '</w:t>
      </w:r>
      <w:r w:rsidRPr="00417121">
        <w:rPr>
          <w:rFonts w:ascii="Simoncini Garamond" w:hAnsi="Simoncini Garamond" w:cs="Times New Roman"/>
          <w:bCs/>
          <w:i/>
          <w:color w:val="auto"/>
          <w:sz w:val="22"/>
          <w:szCs w:val="22"/>
        </w:rPr>
        <w:t xml:space="preserve">Attività dei </w:t>
      </w:r>
      <w:proofErr w:type="spellStart"/>
      <w:r w:rsidRPr="00417121">
        <w:rPr>
          <w:rFonts w:ascii="Simoncini Garamond" w:hAnsi="Simoncini Garamond" w:cs="Times New Roman"/>
          <w:bCs/>
          <w:i/>
          <w:color w:val="auto"/>
          <w:sz w:val="22"/>
          <w:szCs w:val="22"/>
        </w:rPr>
        <w:t>content</w:t>
      </w:r>
      <w:proofErr w:type="spellEnd"/>
      <w:r w:rsidRPr="00417121">
        <w:rPr>
          <w:rFonts w:ascii="Simoncini Garamond" w:hAnsi="Simoncini Garamond" w:cs="Times New Roman"/>
          <w:bCs/>
          <w:i/>
          <w:color w:val="auto"/>
          <w:sz w:val="22"/>
          <w:szCs w:val="22"/>
        </w:rPr>
        <w:t xml:space="preserve"> creator. Profili previdenziali</w:t>
      </w:r>
      <w:r w:rsidRPr="00417121">
        <w:rPr>
          <w:rFonts w:ascii="Simoncini Garamond" w:hAnsi="Simoncini Garamond" w:cs="Times New Roman"/>
          <w:bCs/>
          <w:iCs/>
          <w:color w:val="auto"/>
          <w:sz w:val="22"/>
          <w:szCs w:val="22"/>
        </w:rPr>
        <w:t>').</w:t>
      </w:r>
    </w:p>
    <w:p w14:paraId="3516BAA8" w14:textId="783EA25E" w:rsidR="00EE71E9" w:rsidRPr="00417121" w:rsidRDefault="00EE71E9"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La circolare in questione risulta con ogni evidenza del tutto diversa dagli atti di regolazione adottati dall'AGCOM fra il 2024 e il 2025 (le diversità riguardano la fonte utilizzata, l'ambito di riferimento, l'oggetto esaminato e numerosi altri profili).</w:t>
      </w:r>
    </w:p>
    <w:p w14:paraId="7F5B2EA9" w14:textId="435FBF7C" w:rsidR="00EE71E9" w:rsidRPr="00417121" w:rsidRDefault="00EE71E9"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D'altra parte è innegabile che anche un oggetto pubblicistico così diverso possa presentare taluni tratti comuni con il (parziale) tentativo di introdurre una regolazione di settore per l'attività degli influencer.</w:t>
      </w:r>
    </w:p>
    <w:p w14:paraId="1CE53923" w14:textId="4C70876C" w:rsidR="00EE71E9" w:rsidRPr="00417121" w:rsidRDefault="00EE71E9"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Anche in questo caso, ad esempio, l'Autorità pubblica si esprime nella consapevolezza dell'assenza di un quadro normativo univoco di riferimento (e con il - lodevole - obiettivo di recare alcuni chiarimenti di ordine essenzialmente pratico).</w:t>
      </w:r>
    </w:p>
    <w:p w14:paraId="182A29B8" w14:textId="648A3B21" w:rsidR="00EE71E9" w:rsidRPr="00417121" w:rsidRDefault="0085220F"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Anche in questo caso vi è poi il tentativo di offrire una definizione settoriale del fenomeno (una definizione che l'Ente previdenziale svincola dal carattere commerciale dell'attività esercitata e collega invece - comprensibilmente - al tentativo di distinguere fra attività qualificabili come di lavoro autonomo e attività assimilabili a quelle dei lavora</w:t>
      </w:r>
      <w:r w:rsidR="00985178" w:rsidRPr="00417121">
        <w:rPr>
          <w:rFonts w:ascii="Simoncini Garamond" w:hAnsi="Simoncini Garamond" w:cs="Times New Roman"/>
          <w:bCs/>
          <w:iCs/>
          <w:color w:val="auto"/>
          <w:sz w:val="22"/>
          <w:szCs w:val="22"/>
        </w:rPr>
        <w:t xml:space="preserve">tori dipendenti o dei lavoratori in regìme di </w:t>
      </w:r>
      <w:r w:rsidR="00985178" w:rsidRPr="00417121">
        <w:rPr>
          <w:rFonts w:ascii="Simoncini Garamond" w:hAnsi="Simoncini Garamond" w:cs="Times New Roman"/>
          <w:bCs/>
          <w:i/>
          <w:color w:val="auto"/>
          <w:sz w:val="22"/>
          <w:szCs w:val="22"/>
        </w:rPr>
        <w:t xml:space="preserve">collaborazione </w:t>
      </w:r>
      <w:proofErr w:type="spellStart"/>
      <w:r w:rsidR="00985178" w:rsidRPr="00417121">
        <w:rPr>
          <w:rFonts w:ascii="Simoncini Garamond" w:hAnsi="Simoncini Garamond" w:cs="Times New Roman"/>
          <w:bCs/>
          <w:i/>
          <w:color w:val="auto"/>
          <w:sz w:val="22"/>
          <w:szCs w:val="22"/>
        </w:rPr>
        <w:t>eterorganizzata</w:t>
      </w:r>
      <w:proofErr w:type="spellEnd"/>
      <w:r w:rsidRPr="00417121">
        <w:rPr>
          <w:rFonts w:ascii="Simoncini Garamond" w:hAnsi="Simoncini Garamond" w:cs="Times New Roman"/>
          <w:bCs/>
          <w:iCs/>
          <w:color w:val="auto"/>
          <w:sz w:val="22"/>
          <w:szCs w:val="22"/>
        </w:rPr>
        <w:t>)</w:t>
      </w:r>
      <w:r w:rsidRPr="00417121">
        <w:rPr>
          <w:rStyle w:val="Rimandonotaapidipagina"/>
          <w:rFonts w:ascii="Simoncini Garamond" w:hAnsi="Simoncini Garamond" w:cs="Times New Roman"/>
          <w:bCs/>
          <w:iCs/>
          <w:color w:val="auto"/>
          <w:sz w:val="22"/>
          <w:szCs w:val="22"/>
        </w:rPr>
        <w:footnoteReference w:id="31"/>
      </w:r>
      <w:r w:rsidRPr="00417121">
        <w:rPr>
          <w:rFonts w:ascii="Simoncini Garamond" w:hAnsi="Simoncini Garamond" w:cs="Times New Roman"/>
          <w:bCs/>
          <w:iCs/>
          <w:color w:val="auto"/>
          <w:sz w:val="22"/>
          <w:szCs w:val="22"/>
        </w:rPr>
        <w:t>.</w:t>
      </w:r>
    </w:p>
    <w:p w14:paraId="166B2412" w14:textId="7AAC2FD0" w:rsidR="003E3720" w:rsidRPr="00417121" w:rsidRDefault="004333C8"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 xml:space="preserve">D'altra parte (e in una prospettiva evidentemente assai diversa da quella che caratterizza i recenti atti di regolazione dell'AGCOM), </w:t>
      </w:r>
      <w:r w:rsidR="0008405A" w:rsidRPr="00417121">
        <w:rPr>
          <w:rFonts w:ascii="Simoncini Garamond" w:hAnsi="Simoncini Garamond" w:cs="Times New Roman"/>
          <w:bCs/>
          <w:iCs/>
          <w:color w:val="auto"/>
          <w:sz w:val="22"/>
          <w:szCs w:val="22"/>
        </w:rPr>
        <w:t xml:space="preserve">nella ricostruzione operata dall'Ente previdenziale non solo emerge un più analitico sforzo ricostruttivo del contesto organizzativo in cui opera ciascuna figura di </w:t>
      </w:r>
      <w:proofErr w:type="spellStart"/>
      <w:r w:rsidR="0008405A" w:rsidRPr="00417121">
        <w:rPr>
          <w:rFonts w:ascii="Simoncini Garamond" w:hAnsi="Simoncini Garamond" w:cs="Times New Roman"/>
          <w:bCs/>
          <w:i/>
          <w:color w:val="auto"/>
          <w:sz w:val="22"/>
          <w:szCs w:val="22"/>
        </w:rPr>
        <w:t>content</w:t>
      </w:r>
      <w:proofErr w:type="spellEnd"/>
      <w:r w:rsidR="0008405A" w:rsidRPr="00417121">
        <w:rPr>
          <w:rFonts w:ascii="Simoncini Garamond" w:hAnsi="Simoncini Garamond" w:cs="Times New Roman"/>
          <w:bCs/>
          <w:i/>
          <w:color w:val="auto"/>
          <w:sz w:val="22"/>
          <w:szCs w:val="22"/>
        </w:rPr>
        <w:t xml:space="preserve"> creator</w:t>
      </w:r>
      <w:r w:rsidR="0008405A" w:rsidRPr="00417121">
        <w:rPr>
          <w:rStyle w:val="Rimandonotaapidipagina"/>
          <w:rFonts w:ascii="Simoncini Garamond" w:hAnsi="Simoncini Garamond" w:cs="Times New Roman"/>
          <w:bCs/>
          <w:iCs/>
          <w:color w:val="auto"/>
          <w:sz w:val="22"/>
          <w:szCs w:val="22"/>
        </w:rPr>
        <w:footnoteReference w:id="32"/>
      </w:r>
      <w:r w:rsidR="0008405A" w:rsidRPr="00417121">
        <w:rPr>
          <w:rFonts w:ascii="Simoncini Garamond" w:hAnsi="Simoncini Garamond" w:cs="Times New Roman"/>
          <w:bCs/>
          <w:iCs/>
          <w:color w:val="auto"/>
          <w:sz w:val="22"/>
          <w:szCs w:val="22"/>
        </w:rPr>
        <w:t xml:space="preserve"> ma - per di più - muta la stessa prospettiva in </w:t>
      </w:r>
      <w:r w:rsidR="0008405A" w:rsidRPr="00417121">
        <w:rPr>
          <w:rFonts w:ascii="Simoncini Garamond" w:hAnsi="Simoncini Garamond" w:cs="Times New Roman"/>
          <w:bCs/>
          <w:iCs/>
          <w:color w:val="auto"/>
          <w:sz w:val="22"/>
          <w:szCs w:val="22"/>
        </w:rPr>
        <w:lastRenderedPageBreak/>
        <w:t xml:space="preserve">ordine all'individuazione dei soggetti alla cui tutela mira il settore pubblico. Da questo punto di vista l'intento di tutela non risulta più focalizzato sui fruitori dell'attività comunicativa degli </w:t>
      </w:r>
      <w:r w:rsidR="0008405A" w:rsidRPr="00417121">
        <w:rPr>
          <w:rFonts w:ascii="Simoncini Garamond" w:hAnsi="Simoncini Garamond" w:cs="Times New Roman"/>
          <w:bCs/>
          <w:i/>
          <w:color w:val="auto"/>
          <w:sz w:val="22"/>
          <w:szCs w:val="22"/>
        </w:rPr>
        <w:t>influencer</w:t>
      </w:r>
      <w:r w:rsidR="0008405A" w:rsidRPr="00417121">
        <w:rPr>
          <w:rFonts w:ascii="Simoncini Garamond" w:hAnsi="Simoncini Garamond" w:cs="Times New Roman"/>
          <w:bCs/>
          <w:iCs/>
          <w:color w:val="auto"/>
          <w:sz w:val="22"/>
          <w:szCs w:val="22"/>
        </w:rPr>
        <w:t xml:space="preserve"> (che, al contrario, risultano comprensibilmente al di fuori dell'area di interesse dell'Ente previdenziale) ma si sposta sugli stessi </w:t>
      </w:r>
      <w:r w:rsidR="0008405A" w:rsidRPr="00417121">
        <w:rPr>
          <w:rFonts w:ascii="Simoncini Garamond" w:hAnsi="Simoncini Garamond" w:cs="Times New Roman"/>
          <w:bCs/>
          <w:i/>
          <w:color w:val="auto"/>
          <w:sz w:val="22"/>
          <w:szCs w:val="22"/>
        </w:rPr>
        <w:t>influencer</w:t>
      </w:r>
      <w:r w:rsidR="0008405A" w:rsidRPr="00417121">
        <w:rPr>
          <w:rFonts w:ascii="Simoncini Garamond" w:hAnsi="Simoncini Garamond" w:cs="Times New Roman"/>
          <w:bCs/>
          <w:iCs/>
          <w:color w:val="auto"/>
          <w:sz w:val="22"/>
          <w:szCs w:val="22"/>
        </w:rPr>
        <w:t xml:space="preserve"> intesi quali lavoratori (autonomi o dipendenti).</w:t>
      </w:r>
    </w:p>
    <w:p w14:paraId="477A08C4" w14:textId="34C90F87" w:rsidR="003E3720" w:rsidRPr="00417121" w:rsidRDefault="0008405A"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Ancora una volta, al mutare dell'angolo visuale dal quale si esaminano i profili giuridici del fenomeno, ne cambia conseguentemente lo stesso assetto di fondo.</w:t>
      </w:r>
    </w:p>
    <w:p w14:paraId="7190C0FA" w14:textId="6CB81975" w:rsidR="0008405A" w:rsidRPr="00417121" w:rsidRDefault="0008405A"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r w:rsidRPr="00417121">
        <w:rPr>
          <w:rFonts w:ascii="Simoncini Garamond" w:hAnsi="Simoncini Garamond" w:cs="Times New Roman"/>
          <w:bCs/>
          <w:iCs/>
          <w:color w:val="auto"/>
          <w:sz w:val="22"/>
          <w:szCs w:val="22"/>
        </w:rPr>
        <w:t>Il che conferma, se pure ve ne fosse bisogno, che ogni punto di vista del fenomeno (foss'anche il più autorevole e meditato) non può intercettare che una sua porzione e che il descritto stato di cose è destinato a permanere probabilmente ancora per lungo tempo.</w:t>
      </w:r>
    </w:p>
    <w:p w14:paraId="18EDA0A8" w14:textId="77777777" w:rsidR="003E3720" w:rsidRPr="00417121" w:rsidRDefault="003E3720"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p>
    <w:p w14:paraId="3084D534" w14:textId="77777777" w:rsidR="003A6FF0" w:rsidRPr="00417121" w:rsidRDefault="003A6FF0"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p>
    <w:p w14:paraId="15A992D3" w14:textId="77777777" w:rsidR="003A6FF0" w:rsidRPr="00417121" w:rsidRDefault="003A6FF0" w:rsidP="009E41CF">
      <w:pPr>
        <w:pStyle w:val="Default"/>
        <w:widowControl w:val="0"/>
        <w:snapToGrid w:val="0"/>
        <w:spacing w:line="260" w:lineRule="exact"/>
        <w:ind w:firstLine="340"/>
        <w:jc w:val="both"/>
        <w:rPr>
          <w:rFonts w:ascii="Simoncini Garamond" w:hAnsi="Simoncini Garamond" w:cs="Times New Roman"/>
          <w:bCs/>
          <w:iCs/>
          <w:color w:val="auto"/>
          <w:sz w:val="22"/>
          <w:szCs w:val="22"/>
        </w:rPr>
      </w:pPr>
    </w:p>
    <w:p w14:paraId="0D60E33A" w14:textId="58ADEDB6" w:rsidR="009E41CF" w:rsidRPr="00417121" w:rsidRDefault="0046252F" w:rsidP="009E41CF">
      <w:pPr>
        <w:pStyle w:val="Default"/>
        <w:widowControl w:val="0"/>
        <w:snapToGrid w:val="0"/>
        <w:spacing w:line="260" w:lineRule="exact"/>
        <w:ind w:firstLine="340"/>
        <w:jc w:val="both"/>
        <w:rPr>
          <w:rFonts w:ascii="Simoncini Garamond" w:hAnsi="Simoncini Garamond" w:cs="Times New Roman"/>
          <w:b/>
          <w:iCs/>
          <w:color w:val="auto"/>
          <w:sz w:val="22"/>
          <w:szCs w:val="22"/>
        </w:rPr>
      </w:pPr>
      <w:r w:rsidRPr="00417121">
        <w:rPr>
          <w:rFonts w:ascii="Simoncini Garamond" w:hAnsi="Simoncini Garamond" w:cs="Times New Roman"/>
          <w:b/>
          <w:iCs/>
          <w:color w:val="auto"/>
          <w:sz w:val="22"/>
          <w:szCs w:val="22"/>
        </w:rPr>
        <w:t>5</w:t>
      </w:r>
      <w:r w:rsidR="009E41CF" w:rsidRPr="00417121">
        <w:rPr>
          <w:rFonts w:ascii="Simoncini Garamond" w:hAnsi="Simoncini Garamond" w:cs="Times New Roman"/>
          <w:b/>
          <w:iCs/>
          <w:color w:val="auto"/>
          <w:sz w:val="22"/>
          <w:szCs w:val="22"/>
        </w:rPr>
        <w:t>. Conclusioni</w:t>
      </w:r>
    </w:p>
    <w:p w14:paraId="3A91FB42" w14:textId="77777777" w:rsidR="009E41CF" w:rsidRPr="00417121" w:rsidRDefault="009E41CF" w:rsidP="00DE3B76">
      <w:pPr>
        <w:widowControl w:val="0"/>
        <w:adjustRightInd w:val="0"/>
        <w:snapToGrid w:val="0"/>
        <w:spacing w:after="0" w:line="260" w:lineRule="exact"/>
        <w:ind w:firstLine="340"/>
        <w:jc w:val="both"/>
        <w:rPr>
          <w:rFonts w:ascii="Simoncini Garamond" w:hAnsi="Simoncini Garamond"/>
        </w:rPr>
      </w:pPr>
    </w:p>
    <w:p w14:paraId="74145B83" w14:textId="6B41D686" w:rsidR="00376650" w:rsidRPr="00417121" w:rsidRDefault="0008405A" w:rsidP="00DE3B76">
      <w:pPr>
        <w:widowControl w:val="0"/>
        <w:adjustRightInd w:val="0"/>
        <w:snapToGrid w:val="0"/>
        <w:spacing w:after="0" w:line="260" w:lineRule="exact"/>
        <w:ind w:firstLine="340"/>
        <w:jc w:val="both"/>
        <w:rPr>
          <w:rFonts w:ascii="Simoncini Garamond" w:hAnsi="Simoncini Garamond"/>
        </w:rPr>
      </w:pPr>
      <w:r w:rsidRPr="00417121">
        <w:rPr>
          <w:rFonts w:ascii="Simoncini Garamond" w:hAnsi="Simoncini Garamond"/>
        </w:rPr>
        <w:t xml:space="preserve">Il fenomeno degli </w:t>
      </w:r>
      <w:r w:rsidRPr="00417121">
        <w:rPr>
          <w:rFonts w:ascii="Simoncini Garamond" w:hAnsi="Simoncini Garamond"/>
          <w:i/>
          <w:iCs/>
        </w:rPr>
        <w:t>influencer</w:t>
      </w:r>
      <w:r w:rsidRPr="00417121">
        <w:rPr>
          <w:rFonts w:ascii="Simoncini Garamond" w:hAnsi="Simoncini Garamond"/>
        </w:rPr>
        <w:t xml:space="preserve">, pur essendo emerso in tempi sostanzialmente recenti e pur avendo ricevuto </w:t>
      </w:r>
      <w:r w:rsidR="004F13A1" w:rsidRPr="00417121">
        <w:rPr>
          <w:rFonts w:ascii="Simoncini Garamond" w:hAnsi="Simoncini Garamond"/>
        </w:rPr>
        <w:t xml:space="preserve">in ambito giuridico </w:t>
      </w:r>
      <w:r w:rsidRPr="00417121">
        <w:rPr>
          <w:rFonts w:ascii="Simoncini Garamond" w:hAnsi="Simoncini Garamond"/>
        </w:rPr>
        <w:t xml:space="preserve">un'attenzione assai minore rispetto </w:t>
      </w:r>
      <w:r w:rsidR="00257C9D" w:rsidRPr="00417121">
        <w:rPr>
          <w:rFonts w:ascii="Simoncini Garamond" w:hAnsi="Simoncini Garamond"/>
        </w:rPr>
        <w:t xml:space="preserve">a quella del più generale fenomeno dei </w:t>
      </w:r>
      <w:r w:rsidR="00257C9D" w:rsidRPr="00417121">
        <w:rPr>
          <w:rFonts w:ascii="Simoncini Garamond" w:hAnsi="Simoncini Garamond"/>
          <w:i/>
          <w:iCs/>
        </w:rPr>
        <w:t>social media</w:t>
      </w:r>
      <w:r w:rsidR="00257C9D" w:rsidRPr="00417121">
        <w:rPr>
          <w:rFonts w:ascii="Simoncini Garamond" w:hAnsi="Simoncini Garamond"/>
        </w:rPr>
        <w:t xml:space="preserve"> (nel cui ambito, peraltro, si colloca), </w:t>
      </w:r>
      <w:r w:rsidR="00376650" w:rsidRPr="00417121">
        <w:rPr>
          <w:rFonts w:ascii="Simoncini Garamond" w:hAnsi="Simoncini Garamond"/>
        </w:rPr>
        <w:t xml:space="preserve">evoca profili di chiaro rilievo costituzionale e categorie generali </w:t>
      </w:r>
      <w:r w:rsidR="004F13A1" w:rsidRPr="00417121">
        <w:rPr>
          <w:rFonts w:ascii="Simoncini Garamond" w:hAnsi="Simoncini Garamond"/>
        </w:rPr>
        <w:t xml:space="preserve">e fondanti </w:t>
      </w:r>
      <w:r w:rsidR="00376650" w:rsidRPr="00417121">
        <w:rPr>
          <w:rFonts w:ascii="Simoncini Garamond" w:hAnsi="Simoncini Garamond"/>
        </w:rPr>
        <w:t>del diritto pubblico.</w:t>
      </w:r>
    </w:p>
    <w:p w14:paraId="6B0B5EF3" w14:textId="3338D1AE" w:rsidR="0008405A" w:rsidRPr="00417121" w:rsidRDefault="00376650" w:rsidP="00DE3B76">
      <w:pPr>
        <w:widowControl w:val="0"/>
        <w:adjustRightInd w:val="0"/>
        <w:snapToGrid w:val="0"/>
        <w:spacing w:after="0" w:line="260" w:lineRule="exact"/>
        <w:ind w:firstLine="340"/>
        <w:jc w:val="both"/>
        <w:rPr>
          <w:rFonts w:ascii="Simoncini Garamond" w:hAnsi="Simoncini Garamond"/>
        </w:rPr>
      </w:pPr>
      <w:r w:rsidRPr="00417121">
        <w:rPr>
          <w:rFonts w:ascii="Simoncini Garamond" w:hAnsi="Simoncini Garamond"/>
        </w:rPr>
        <w:t xml:space="preserve">Tali profili intercettano (sia pure, con alcune </w:t>
      </w:r>
      <w:r w:rsidRPr="00417121">
        <w:rPr>
          <w:rFonts w:ascii="Simoncini Garamond" w:hAnsi="Simoncini Garamond"/>
          <w:i/>
          <w:iCs/>
        </w:rPr>
        <w:t>nuances</w:t>
      </w:r>
      <w:r w:rsidRPr="00417121">
        <w:rPr>
          <w:rFonts w:ascii="Simoncini Garamond" w:hAnsi="Simoncini Garamond"/>
        </w:rPr>
        <w:t xml:space="preserve"> di differenza) la Carta fondamentale, il Diritto UE primario e la stessa Convenzione europea dei diritti dell'uomo e delle libertà fondamentali (Roma, 1950).</w:t>
      </w:r>
    </w:p>
    <w:p w14:paraId="5669EBFE" w14:textId="3C793F94" w:rsidR="00376650" w:rsidRPr="00417121" w:rsidRDefault="00376650" w:rsidP="00DE3B76">
      <w:pPr>
        <w:widowControl w:val="0"/>
        <w:adjustRightInd w:val="0"/>
        <w:snapToGrid w:val="0"/>
        <w:spacing w:after="0" w:line="260" w:lineRule="exact"/>
        <w:ind w:firstLine="340"/>
        <w:jc w:val="both"/>
        <w:rPr>
          <w:rFonts w:ascii="Simoncini Garamond" w:hAnsi="Simoncini Garamond"/>
        </w:rPr>
      </w:pPr>
      <w:r w:rsidRPr="00417121">
        <w:rPr>
          <w:rFonts w:ascii="Simoncini Garamond" w:hAnsi="Simoncini Garamond"/>
        </w:rPr>
        <w:t xml:space="preserve">Non è realistico immaginare che il sostanziale vuoto disciplinare che ad oggi caratterizza l'attività degli </w:t>
      </w:r>
      <w:r w:rsidRPr="00417121">
        <w:rPr>
          <w:rFonts w:ascii="Simoncini Garamond" w:hAnsi="Simoncini Garamond"/>
          <w:i/>
          <w:iCs/>
        </w:rPr>
        <w:t>influencer</w:t>
      </w:r>
      <w:r w:rsidRPr="00417121">
        <w:rPr>
          <w:rFonts w:ascii="Simoncini Garamond" w:hAnsi="Simoncini Garamond"/>
        </w:rPr>
        <w:t xml:space="preserve"> venga colmato a breve (né al livello nazionale, né al livello sovranazionale), né che venga introdotto in tempi ravvicinati una sorta di </w:t>
      </w:r>
      <w:r w:rsidRPr="00417121">
        <w:rPr>
          <w:rFonts w:ascii="Simoncini Garamond" w:hAnsi="Simoncini Garamond"/>
          <w:i/>
          <w:iCs/>
        </w:rPr>
        <w:t>statuto generale</w:t>
      </w:r>
      <w:r w:rsidRPr="00417121">
        <w:rPr>
          <w:rFonts w:ascii="Simoncini Garamond" w:hAnsi="Simoncini Garamond"/>
        </w:rPr>
        <w:t xml:space="preserve"> dell'attività di queste figure che, pure, tanto sono in grado di orientare gusti, preferenze e opinioni (anche in ambiti potenzialmente assai sensibili).</w:t>
      </w:r>
    </w:p>
    <w:p w14:paraId="458A8004" w14:textId="1134EE25" w:rsidR="004F13A1" w:rsidRPr="00417121" w:rsidRDefault="004F13A1" w:rsidP="00DE3B76">
      <w:pPr>
        <w:widowControl w:val="0"/>
        <w:adjustRightInd w:val="0"/>
        <w:snapToGrid w:val="0"/>
        <w:spacing w:after="0" w:line="260" w:lineRule="exact"/>
        <w:ind w:firstLine="340"/>
        <w:jc w:val="both"/>
        <w:rPr>
          <w:rFonts w:ascii="Simoncini Garamond" w:hAnsi="Simoncini Garamond"/>
        </w:rPr>
      </w:pPr>
      <w:r w:rsidRPr="00417121">
        <w:rPr>
          <w:rFonts w:ascii="Simoncini Garamond" w:hAnsi="Simoncini Garamond"/>
        </w:rPr>
        <w:t>Del resto, l'eventuale tentativo di introdurre un simile statuto generale</w:t>
      </w:r>
      <w:r w:rsidR="0041400D" w:rsidRPr="00417121">
        <w:rPr>
          <w:rFonts w:ascii="Simoncini Garamond" w:hAnsi="Simoncini Garamond"/>
        </w:rPr>
        <w:t xml:space="preserve"> dovrebbe fronteggiare una serie di difficoltà di contesto difficilmente superabili (e, prima fra tutte, la strutturale inidoneità dei tradizionali strumenti di regolazione a disciplinare in modo efficace e strutturale fenomeni straordinariamente cangianti quali quelli che caratterizzano la </w:t>
      </w:r>
      <w:r w:rsidR="0041400D" w:rsidRPr="00417121">
        <w:rPr>
          <w:rFonts w:ascii="Simoncini Garamond" w:hAnsi="Simoncini Garamond"/>
          <w:i/>
          <w:iCs/>
        </w:rPr>
        <w:t>nuova rivoluzione digitale</w:t>
      </w:r>
      <w:r w:rsidR="0041400D" w:rsidRPr="00417121">
        <w:rPr>
          <w:rFonts w:ascii="Simoncini Garamond" w:hAnsi="Simoncini Garamond"/>
        </w:rPr>
        <w:t>).</w:t>
      </w:r>
    </w:p>
    <w:p w14:paraId="4B5B91AE" w14:textId="05925556" w:rsidR="0008405A" w:rsidRPr="00417121" w:rsidRDefault="004F13A1" w:rsidP="00DE3B76">
      <w:pPr>
        <w:widowControl w:val="0"/>
        <w:adjustRightInd w:val="0"/>
        <w:snapToGrid w:val="0"/>
        <w:spacing w:after="0" w:line="260" w:lineRule="exact"/>
        <w:ind w:firstLine="340"/>
        <w:jc w:val="both"/>
        <w:rPr>
          <w:rFonts w:ascii="Simoncini Garamond" w:hAnsi="Simoncini Garamond"/>
        </w:rPr>
      </w:pPr>
      <w:r w:rsidRPr="00417121">
        <w:rPr>
          <w:rFonts w:ascii="Simoncini Garamond" w:hAnsi="Simoncini Garamond"/>
        </w:rPr>
        <w:t xml:space="preserve">Occorre piuttosto che il </w:t>
      </w:r>
      <w:r w:rsidRPr="00417121">
        <w:rPr>
          <w:rFonts w:ascii="Simoncini Garamond" w:hAnsi="Simoncini Garamond"/>
          <w:i/>
          <w:iCs/>
        </w:rPr>
        <w:t>Giurista di professione</w:t>
      </w:r>
      <w:r w:rsidRPr="00417121">
        <w:rPr>
          <w:rFonts w:ascii="Simoncini Garamond" w:hAnsi="Simoncini Garamond"/>
        </w:rPr>
        <w:t xml:space="preserve"> si abitui </w:t>
      </w:r>
      <w:r w:rsidR="0041400D" w:rsidRPr="00417121">
        <w:rPr>
          <w:rFonts w:ascii="Simoncini Garamond" w:hAnsi="Simoncini Garamond"/>
        </w:rPr>
        <w:t xml:space="preserve">a uno scenario </w:t>
      </w:r>
      <w:r w:rsidR="0041400D" w:rsidRPr="00417121">
        <w:rPr>
          <w:rFonts w:ascii="Simoncini Garamond" w:hAnsi="Simoncini Garamond"/>
        </w:rPr>
        <w:lastRenderedPageBreak/>
        <w:t>caratterizzato da plurimi segmenti di disciplina (ciascuno dei quali idoneo ad inquadrare solo un ambito parziale del più ampio fenomeno) e che impari a districarsi fra ambiti diversi, settoriali e ispirati a logiche di fondo assai diverse fra loro.</w:t>
      </w:r>
    </w:p>
    <w:p w14:paraId="4C50730E" w14:textId="44B24E5E" w:rsidR="0041400D" w:rsidRPr="00417121" w:rsidRDefault="0041400D" w:rsidP="00DE3B76">
      <w:pPr>
        <w:widowControl w:val="0"/>
        <w:adjustRightInd w:val="0"/>
        <w:snapToGrid w:val="0"/>
        <w:spacing w:after="0" w:line="260" w:lineRule="exact"/>
        <w:ind w:firstLine="340"/>
        <w:jc w:val="both"/>
        <w:rPr>
          <w:rFonts w:ascii="Simoncini Garamond" w:hAnsi="Simoncini Garamond"/>
        </w:rPr>
      </w:pPr>
      <w:r w:rsidRPr="00417121">
        <w:rPr>
          <w:rFonts w:ascii="Simoncini Garamond" w:hAnsi="Simoncini Garamond"/>
        </w:rPr>
        <w:t xml:space="preserve">In ambito nazionale, inoltre, ogni esame della figura degli </w:t>
      </w:r>
      <w:r w:rsidRPr="00417121">
        <w:rPr>
          <w:rFonts w:ascii="Simoncini Garamond" w:hAnsi="Simoncini Garamond"/>
          <w:i/>
          <w:iCs/>
        </w:rPr>
        <w:t>influencer</w:t>
      </w:r>
      <w:r w:rsidRPr="00417121">
        <w:rPr>
          <w:rFonts w:ascii="Simoncini Garamond" w:hAnsi="Simoncini Garamond"/>
        </w:rPr>
        <w:t xml:space="preserve"> non può che passare attraverso un'attenta analisi delle implicazioni di ordine costituzionale, tornando a porsi interrogativi non banali (e mai del tutto risolti) in ordine ai limiti che possono essere legittimamente posti al libero esercizio della libertà di manifestazione del pensiero, nonché in ordine al carattere individuale ovvero sociale del diritto sancito dall'articolo 21 della Costituzione. </w:t>
      </w:r>
    </w:p>
    <w:p w14:paraId="334FD686" w14:textId="77777777" w:rsidR="0008405A" w:rsidRPr="00417121" w:rsidRDefault="0008405A" w:rsidP="00DE3B76">
      <w:pPr>
        <w:widowControl w:val="0"/>
        <w:adjustRightInd w:val="0"/>
        <w:snapToGrid w:val="0"/>
        <w:spacing w:after="0" w:line="260" w:lineRule="exact"/>
        <w:ind w:firstLine="340"/>
        <w:jc w:val="both"/>
        <w:rPr>
          <w:rFonts w:ascii="Simoncini Garamond" w:hAnsi="Simoncini Garamond"/>
        </w:rPr>
      </w:pPr>
    </w:p>
    <w:sectPr w:rsidR="0008405A" w:rsidRPr="00417121" w:rsidSect="0088261F">
      <w:headerReference w:type="even" r:id="rId8"/>
      <w:headerReference w:type="default" r:id="rId9"/>
      <w:footerReference w:type="even" r:id="rId10"/>
      <w:footerReference w:type="default" r:id="rId11"/>
      <w:headerReference w:type="first" r:id="rId12"/>
      <w:footerReference w:type="first" r:id="rId13"/>
      <w:pgSz w:w="11900" w:h="16840"/>
      <w:pgMar w:top="2948" w:right="2552" w:bottom="2948" w:left="2381" w:header="238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63DB7" w14:textId="77777777" w:rsidR="00B730C7" w:rsidRDefault="00B730C7" w:rsidP="00233073">
      <w:pPr>
        <w:spacing w:after="0" w:line="240" w:lineRule="auto"/>
      </w:pPr>
      <w:r>
        <w:separator/>
      </w:r>
    </w:p>
  </w:endnote>
  <w:endnote w:type="continuationSeparator" w:id="0">
    <w:p w14:paraId="3C3B3CA1" w14:textId="77777777" w:rsidR="00B730C7" w:rsidRDefault="00B730C7" w:rsidP="00233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Albertina">
    <w:altName w:val="Cambria"/>
    <w:panose1 w:val="00000000000000000000"/>
    <w:charset w:val="00"/>
    <w:family w:val="roman"/>
    <w:notTrueType/>
    <w:pitch w:val="default"/>
    <w:sig w:usb0="00000003" w:usb1="00000000" w:usb2="00000000" w:usb3="00000000" w:csb0="00000001" w:csb1="00000000"/>
  </w:font>
  <w:font w:name="Simoncini Garamond">
    <w:altName w:val="Constantia"/>
    <w:panose1 w:val="00000000000000000000"/>
    <w:charset w:val="4D"/>
    <w:family w:val="auto"/>
    <w:notTrueType/>
    <w:pitch w:val="variable"/>
    <w:sig w:usb0="8000002F" w:usb1="40000048" w:usb2="00000000" w:usb3="00000000" w:csb0="00000111" w:csb1="00000000"/>
  </w:font>
  <w:font w:name="Verdana">
    <w:panose1 w:val="020B0604030504040204"/>
    <w:charset w:val="00"/>
    <w:family w:val="swiss"/>
    <w:pitch w:val="variable"/>
    <w:sig w:usb0="A00006FF" w:usb1="4000205B" w:usb2="00000010" w:usb3="00000000" w:csb0="000001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8387871"/>
      <w:docPartObj>
        <w:docPartGallery w:val="Page Numbers (Bottom of Page)"/>
        <w:docPartUnique/>
      </w:docPartObj>
    </w:sdtPr>
    <w:sdtEndPr/>
    <w:sdtContent>
      <w:p w14:paraId="5683A06F" w14:textId="63BE341A" w:rsidR="00A26173" w:rsidRDefault="00A26173">
        <w:pPr>
          <w:pStyle w:val="Pidipagina"/>
          <w:jc w:val="center"/>
        </w:pPr>
        <w:r>
          <w:fldChar w:fldCharType="begin"/>
        </w:r>
        <w:r>
          <w:instrText>PAGE   \* MERGEFORMAT</w:instrText>
        </w:r>
        <w:r>
          <w:fldChar w:fldCharType="separate"/>
        </w:r>
        <w:r w:rsidR="008761A1">
          <w:rPr>
            <w:noProof/>
          </w:rPr>
          <w:t>24</w:t>
        </w:r>
        <w:r>
          <w:fldChar w:fldCharType="end"/>
        </w:r>
      </w:p>
    </w:sdtContent>
  </w:sdt>
  <w:p w14:paraId="1C9C70FC" w14:textId="77777777" w:rsidR="00A26173" w:rsidRDefault="00A2617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6976575"/>
      <w:docPartObj>
        <w:docPartGallery w:val="Page Numbers (Bottom of Page)"/>
        <w:docPartUnique/>
      </w:docPartObj>
    </w:sdtPr>
    <w:sdtEndPr/>
    <w:sdtContent>
      <w:p w14:paraId="445095AB" w14:textId="53F7BA9E" w:rsidR="00814F42" w:rsidRDefault="00814F42">
        <w:pPr>
          <w:pStyle w:val="Pidipagina"/>
          <w:jc w:val="center"/>
        </w:pPr>
        <w:r>
          <w:fldChar w:fldCharType="begin"/>
        </w:r>
        <w:r>
          <w:instrText>PAGE   \* MERGEFORMAT</w:instrText>
        </w:r>
        <w:r>
          <w:fldChar w:fldCharType="separate"/>
        </w:r>
        <w:r w:rsidR="008761A1">
          <w:rPr>
            <w:noProof/>
          </w:rPr>
          <w:t>25</w:t>
        </w:r>
        <w:r>
          <w:fldChar w:fldCharType="end"/>
        </w:r>
      </w:p>
    </w:sdtContent>
  </w:sdt>
  <w:p w14:paraId="51360133" w14:textId="77777777" w:rsidR="00814F42" w:rsidRDefault="00814F4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4479205"/>
      <w:docPartObj>
        <w:docPartGallery w:val="Page Numbers (Bottom of Page)"/>
        <w:docPartUnique/>
      </w:docPartObj>
    </w:sdtPr>
    <w:sdtEndPr/>
    <w:sdtContent>
      <w:p w14:paraId="03550AF7" w14:textId="6E237280" w:rsidR="002962B6" w:rsidRDefault="002962B6">
        <w:pPr>
          <w:pStyle w:val="Pidipagina"/>
          <w:jc w:val="center"/>
        </w:pPr>
        <w:r>
          <w:fldChar w:fldCharType="begin"/>
        </w:r>
        <w:r>
          <w:instrText>PAGE   \* MERGEFORMAT</w:instrText>
        </w:r>
        <w:r>
          <w:fldChar w:fldCharType="separate"/>
        </w:r>
        <w:r>
          <w:t>2</w:t>
        </w:r>
        <w:r>
          <w:fldChar w:fldCharType="end"/>
        </w:r>
      </w:p>
    </w:sdtContent>
  </w:sdt>
  <w:p w14:paraId="5FB379D0" w14:textId="77777777" w:rsidR="002962B6" w:rsidRDefault="002962B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3E67E" w14:textId="77777777" w:rsidR="00B730C7" w:rsidRDefault="00B730C7" w:rsidP="00233073">
      <w:pPr>
        <w:spacing w:after="0" w:line="240" w:lineRule="auto"/>
      </w:pPr>
    </w:p>
  </w:footnote>
  <w:footnote w:type="continuationSeparator" w:id="0">
    <w:p w14:paraId="5BFB2A53" w14:textId="77777777" w:rsidR="00B730C7" w:rsidRDefault="00B730C7" w:rsidP="00233073">
      <w:pPr>
        <w:spacing w:after="0" w:line="240" w:lineRule="auto"/>
      </w:pPr>
    </w:p>
  </w:footnote>
  <w:footnote w:id="1">
    <w:p w14:paraId="56597FBD" w14:textId="150E81F7" w:rsidR="000279F3" w:rsidRDefault="000279F3" w:rsidP="006B3534">
      <w:pPr>
        <w:pStyle w:val="Testonotaapidipagina"/>
        <w:jc w:val="both"/>
      </w:pPr>
      <w:r>
        <w:t xml:space="preserve">(*) Il presente contributo è tratto da: </w:t>
      </w:r>
      <w:r w:rsidRPr="000279F3">
        <w:rPr>
          <w:smallCaps/>
        </w:rPr>
        <w:t>C. Contessa, P. Del Vecchio, G. Nava</w:t>
      </w:r>
      <w:r>
        <w:t xml:space="preserve"> (a cura di), </w:t>
      </w:r>
      <w:r w:rsidRPr="000279F3">
        <w:rPr>
          <w:i/>
          <w:iCs/>
        </w:rPr>
        <w:t>Influencer</w:t>
      </w:r>
      <w:r>
        <w:rPr>
          <w:i/>
          <w:iCs/>
        </w:rPr>
        <w:t xml:space="preserve"> -</w:t>
      </w:r>
      <w:r w:rsidRPr="000279F3">
        <w:rPr>
          <w:i/>
          <w:iCs/>
        </w:rPr>
        <w:t xml:space="preserve"> La nuova frontiera dei media</w:t>
      </w:r>
      <w:r>
        <w:t>, Napoli, Editoriale Scientifica, 2026, di imminente pubblicazione.</w:t>
      </w:r>
    </w:p>
    <w:p w14:paraId="4904D0BB" w14:textId="77777777" w:rsidR="000279F3" w:rsidRDefault="000279F3" w:rsidP="006B3534">
      <w:pPr>
        <w:pStyle w:val="Testonotaapidipagina"/>
        <w:jc w:val="both"/>
      </w:pPr>
    </w:p>
    <w:p w14:paraId="6C07FF7B" w14:textId="2ABAABB1" w:rsidR="006B3534" w:rsidRDefault="006B3534" w:rsidP="006B3534">
      <w:pPr>
        <w:pStyle w:val="Testonotaapidipagina"/>
        <w:jc w:val="both"/>
      </w:pPr>
      <w:r>
        <w:rPr>
          <w:rStyle w:val="Rimandonotaapidipagina"/>
        </w:rPr>
        <w:footnoteRef/>
      </w:r>
      <w:r>
        <w:t xml:space="preserve"> La pubblicistica di settore ha dedicato nel corso del tempo una qualche attenzione al fenomeno degli </w:t>
      </w:r>
      <w:r w:rsidRPr="006B3534">
        <w:rPr>
          <w:i/>
          <w:iCs/>
        </w:rPr>
        <w:t>influencer</w:t>
      </w:r>
      <w:r>
        <w:t xml:space="preserve"> ma muovendo da un approccio settoriale e senza ricercare tratti unificanti della disciplina. Senza alcuna pretesa di esaustività (e solo al fine di dimostrare l’approccio multisettoriale dedicato al fenomeno) ci si limita qui a richiamare: V. </w:t>
      </w:r>
      <w:r w:rsidRPr="006B3534">
        <w:rPr>
          <w:smallCaps/>
        </w:rPr>
        <w:t>Guggino</w:t>
      </w:r>
      <w:r>
        <w:t xml:space="preserve">, </w:t>
      </w:r>
      <w:r w:rsidRPr="006B3534">
        <w:rPr>
          <w:i/>
          <w:iCs/>
        </w:rPr>
        <w:t>Il regolamento Digital Chart – IAP e il Codice di condotta AGCOM per gli influencer</w:t>
      </w:r>
      <w:r>
        <w:t xml:space="preserve">, in: </w:t>
      </w:r>
      <w:r w:rsidRPr="006B3534">
        <w:rPr>
          <w:i/>
          <w:iCs/>
        </w:rPr>
        <w:t>Il diritto industriale</w:t>
      </w:r>
      <w:r>
        <w:t>, fasc. 5/2025; ; C. D</w:t>
      </w:r>
      <w:r w:rsidRPr="006B3534">
        <w:rPr>
          <w:smallCaps/>
        </w:rPr>
        <w:t>e Ieso</w:t>
      </w:r>
      <w:r>
        <w:t>,</w:t>
      </w:r>
      <w:r w:rsidRPr="006B3534">
        <w:rPr>
          <w:i/>
          <w:iCs/>
        </w:rPr>
        <w:t xml:space="preserve"> La professione di influencer e l’IVA: un incontro inevitabile?</w:t>
      </w:r>
      <w:r>
        <w:t xml:space="preserve">, in: </w:t>
      </w:r>
      <w:r w:rsidRPr="006B3534">
        <w:rPr>
          <w:i/>
          <w:iCs/>
        </w:rPr>
        <w:t>Corr. Trib.</w:t>
      </w:r>
      <w:r>
        <w:t xml:space="preserve">, fasc. 10/2024; </w:t>
      </w:r>
      <w:r w:rsidRPr="006B3534">
        <w:rPr>
          <w:smallCaps/>
        </w:rPr>
        <w:t>D. Greco, V. Buzzi, G. Sorci</w:t>
      </w:r>
      <w:r>
        <w:t xml:space="preserve">, </w:t>
      </w:r>
      <w:r w:rsidRPr="006B3534">
        <w:rPr>
          <w:i/>
          <w:iCs/>
        </w:rPr>
        <w:t xml:space="preserve">Qualificazione reddituale e convenzionale dei </w:t>
      </w:r>
      <w:proofErr w:type="spellStart"/>
      <w:r w:rsidRPr="006B3534">
        <w:rPr>
          <w:i/>
          <w:iCs/>
        </w:rPr>
        <w:t>content</w:t>
      </w:r>
      <w:proofErr w:type="spellEnd"/>
      <w:r w:rsidRPr="006B3534">
        <w:rPr>
          <w:i/>
          <w:iCs/>
        </w:rPr>
        <w:t xml:space="preserve"> creator</w:t>
      </w:r>
      <w:r>
        <w:t xml:space="preserve">, in: </w:t>
      </w:r>
      <w:r w:rsidRPr="006B3534">
        <w:rPr>
          <w:i/>
          <w:iCs/>
        </w:rPr>
        <w:t>Il Fisco</w:t>
      </w:r>
      <w:r>
        <w:t xml:space="preserve">, fasc. 27/2025; J. </w:t>
      </w:r>
      <w:proofErr w:type="spellStart"/>
      <w:r w:rsidRPr="006B3534">
        <w:rPr>
          <w:smallCaps/>
        </w:rPr>
        <w:t>Ierussi</w:t>
      </w:r>
      <w:proofErr w:type="spellEnd"/>
      <w:r>
        <w:t xml:space="preserve">, </w:t>
      </w:r>
      <w:r w:rsidRPr="006B3534">
        <w:rPr>
          <w:i/>
          <w:iCs/>
        </w:rPr>
        <w:t>Verso una disciplina del lavoro per creator e influencer</w:t>
      </w:r>
      <w:r>
        <w:t xml:space="preserve">, in: </w:t>
      </w:r>
      <w:r w:rsidRPr="006B3534">
        <w:rPr>
          <w:i/>
          <w:iCs/>
        </w:rPr>
        <w:t xml:space="preserve">Dir. Pratica del </w:t>
      </w:r>
      <w:r>
        <w:rPr>
          <w:i/>
          <w:iCs/>
        </w:rPr>
        <w:t>l</w:t>
      </w:r>
      <w:r w:rsidRPr="006B3534">
        <w:rPr>
          <w:i/>
          <w:iCs/>
        </w:rPr>
        <w:t>avoro</w:t>
      </w:r>
      <w:r>
        <w:t>, fasc. 44/2025.</w:t>
      </w:r>
    </w:p>
  </w:footnote>
  <w:footnote w:id="2">
    <w:p w14:paraId="68EBAD10" w14:textId="647A1723" w:rsidR="0034795D" w:rsidRDefault="0034795D" w:rsidP="0034795D">
      <w:pPr>
        <w:pStyle w:val="Testonotaapidipagina"/>
        <w:jc w:val="both"/>
      </w:pPr>
      <w:r>
        <w:rPr>
          <w:rStyle w:val="Rimandonotaapidipagina"/>
        </w:rPr>
        <w:footnoteRef/>
      </w:r>
      <w:r>
        <w:t xml:space="preserve"> Nel Vocabolario </w:t>
      </w:r>
      <w:r w:rsidRPr="0034795D">
        <w:rPr>
          <w:i/>
          <w:iCs/>
        </w:rPr>
        <w:t>online</w:t>
      </w:r>
      <w:r>
        <w:t xml:space="preserve"> </w:t>
      </w:r>
      <w:r w:rsidRPr="0034795D">
        <w:rPr>
          <w:i/>
          <w:iCs/>
        </w:rPr>
        <w:t>Treccani</w:t>
      </w:r>
      <w:r>
        <w:t xml:space="preserve"> (Neologismi) si definisce </w:t>
      </w:r>
      <w:r w:rsidRPr="0034795D">
        <w:rPr>
          <w:i/>
          <w:iCs/>
        </w:rPr>
        <w:t>influencer</w:t>
      </w:r>
      <w:r>
        <w:t xml:space="preserve"> (tradotto dall’inglese come “</w:t>
      </w:r>
      <w:r w:rsidRPr="006D7A39">
        <w:rPr>
          <w:i/>
          <w:iCs/>
        </w:rPr>
        <w:t>influenzatore</w:t>
      </w:r>
      <w:r>
        <w:t>”) “</w:t>
      </w:r>
      <w:r>
        <w:rPr>
          <w:i/>
          <w:iCs/>
        </w:rPr>
        <w:t>u</w:t>
      </w:r>
      <w:r w:rsidRPr="0034795D">
        <w:rPr>
          <w:i/>
          <w:iCs/>
        </w:rPr>
        <w:t>n personaggio di successo, popolare nei social network ed in generale molto seguito dai media, che è in grado di influire sui comportamenti e sulle scelte del pubblico</w:t>
      </w:r>
      <w:r>
        <w:t>” (</w:t>
      </w:r>
      <w:hyperlink r:id="rId1" w:history="1">
        <w:r w:rsidRPr="0034795D">
          <w:rPr>
            <w:rStyle w:val="Collegamentoipertestuale"/>
            <w:i/>
            <w:iCs/>
            <w:u w:val="none"/>
          </w:rPr>
          <w:t>www.treccani.it</w:t>
        </w:r>
      </w:hyperlink>
      <w:r>
        <w:t>). Come si vedrà nel prosieguo, manca in realtà una definizione unica al livello normativo della figura.</w:t>
      </w:r>
    </w:p>
  </w:footnote>
  <w:footnote w:id="3">
    <w:p w14:paraId="315B7298" w14:textId="1406509C" w:rsidR="00A93198" w:rsidRDefault="00A93198">
      <w:pPr>
        <w:pStyle w:val="Testonotaapidipagina"/>
      </w:pPr>
      <w:r>
        <w:rPr>
          <w:rStyle w:val="Rimandonotaapidipagina"/>
        </w:rPr>
        <w:footnoteRef/>
      </w:r>
      <w:r>
        <w:t xml:space="preserve"> </w:t>
      </w:r>
      <w:r w:rsidR="00637D6F">
        <w:t xml:space="preserve">Sul punto sia consentito rinviare a: C. Contessa, Il potere pubblico al tempo dei Big Data, in: </w:t>
      </w:r>
      <w:r w:rsidR="00637D6F" w:rsidRPr="00637D6F">
        <w:t>C. C</w:t>
      </w:r>
      <w:r w:rsidR="00637D6F" w:rsidRPr="00637D6F">
        <w:rPr>
          <w:smallCaps/>
        </w:rPr>
        <w:t>ontessa</w:t>
      </w:r>
      <w:r w:rsidR="00637D6F" w:rsidRPr="00637D6F">
        <w:t>, P. D</w:t>
      </w:r>
      <w:r w:rsidR="00637D6F" w:rsidRPr="00637D6F">
        <w:rPr>
          <w:smallCaps/>
        </w:rPr>
        <w:t xml:space="preserve">el </w:t>
      </w:r>
      <w:r w:rsidR="00637D6F">
        <w:rPr>
          <w:smallCaps/>
        </w:rPr>
        <w:t>V</w:t>
      </w:r>
      <w:r w:rsidR="00637D6F" w:rsidRPr="00637D6F">
        <w:rPr>
          <w:smallCaps/>
        </w:rPr>
        <w:t>ecchio</w:t>
      </w:r>
      <w:r w:rsidR="00637D6F" w:rsidRPr="00637D6F">
        <w:t xml:space="preserve"> (a cura di), </w:t>
      </w:r>
      <w:r w:rsidR="00637D6F" w:rsidRPr="00637D6F">
        <w:rPr>
          <w:i/>
          <w:iCs/>
        </w:rPr>
        <w:t>Testo unico dei servizi Media Audiovisivi Radiotelevisivi (TUSMAR) commentato articolo per articolo</w:t>
      </w:r>
      <w:r w:rsidR="00637D6F" w:rsidRPr="00637D6F">
        <w:t>, Piacenza, 2021</w:t>
      </w:r>
      <w:r w:rsidR="00637D6F">
        <w:t xml:space="preserve">, pag. 3 e </w:t>
      </w:r>
      <w:proofErr w:type="gramStart"/>
      <w:r w:rsidR="00637D6F">
        <w:t>segg.</w:t>
      </w:r>
      <w:r w:rsidR="00637D6F" w:rsidRPr="00637D6F">
        <w:t>.</w:t>
      </w:r>
      <w:proofErr w:type="gramEnd"/>
    </w:p>
  </w:footnote>
  <w:footnote w:id="4">
    <w:p w14:paraId="43AA8BA7" w14:textId="085D1E26" w:rsidR="001E4224" w:rsidRPr="001E4224" w:rsidRDefault="001E4224">
      <w:pPr>
        <w:pStyle w:val="Testonotaapidipagina"/>
        <w:rPr>
          <w:highlight w:val="yellow"/>
        </w:rPr>
      </w:pPr>
      <w:r w:rsidRPr="00637D6F">
        <w:rPr>
          <w:rStyle w:val="Rimandonotaapidipagina"/>
        </w:rPr>
        <w:footnoteRef/>
      </w:r>
      <w:r w:rsidRPr="00637D6F">
        <w:t xml:space="preserve"> </w:t>
      </w:r>
      <w:r w:rsidR="00637D6F" w:rsidRPr="00637D6F">
        <w:t>Ai tentativi in questione è dedicato il paragrafo 3.2, al quale qui si rinvia.</w:t>
      </w:r>
    </w:p>
  </w:footnote>
  <w:footnote w:id="5">
    <w:p w14:paraId="2AF98564" w14:textId="455EB88B" w:rsidR="0072310C" w:rsidRPr="0005395F" w:rsidRDefault="0072310C" w:rsidP="0005395F">
      <w:pPr>
        <w:pStyle w:val="Testonotaapidipagina"/>
        <w:jc w:val="both"/>
      </w:pPr>
      <w:r w:rsidRPr="0005395F">
        <w:rPr>
          <w:rStyle w:val="Rimandonotaapidipagina"/>
        </w:rPr>
        <w:footnoteRef/>
      </w:r>
      <w:r w:rsidRPr="0005395F">
        <w:t xml:space="preserve"> </w:t>
      </w:r>
      <w:r w:rsidR="0005395F" w:rsidRPr="0005395F">
        <w:t xml:space="preserve">Sul punto, v. L. </w:t>
      </w:r>
      <w:r w:rsidR="0005395F" w:rsidRPr="0005395F">
        <w:rPr>
          <w:smallCaps/>
        </w:rPr>
        <w:t>Califano</w:t>
      </w:r>
      <w:r w:rsidR="0005395F" w:rsidRPr="0005395F">
        <w:t xml:space="preserve">, </w:t>
      </w:r>
      <w:r w:rsidR="0005395F" w:rsidRPr="0005395F">
        <w:rPr>
          <w:i/>
          <w:iCs/>
        </w:rPr>
        <w:t>La libertà di manifestazione del pensiero… in rete; nuove frontiere di esercizio di un diritto antico. Fake n</w:t>
      </w:r>
      <w:r w:rsidR="0005395F">
        <w:rPr>
          <w:i/>
          <w:iCs/>
        </w:rPr>
        <w:t>e</w:t>
      </w:r>
      <w:r w:rsidR="0005395F" w:rsidRPr="0005395F">
        <w:rPr>
          <w:i/>
          <w:iCs/>
        </w:rPr>
        <w:t>ws, hate speech e profili di res</w:t>
      </w:r>
      <w:r w:rsidR="0005395F">
        <w:rPr>
          <w:i/>
          <w:iCs/>
        </w:rPr>
        <w:t>po</w:t>
      </w:r>
      <w:r w:rsidR="0005395F" w:rsidRPr="0005395F">
        <w:rPr>
          <w:i/>
          <w:iCs/>
        </w:rPr>
        <w:t>nsabilit</w:t>
      </w:r>
      <w:r w:rsidR="0005395F" w:rsidRPr="00C52B98">
        <w:rPr>
          <w:i/>
          <w:iCs/>
        </w:rPr>
        <w:t>à dei social network</w:t>
      </w:r>
      <w:r w:rsidR="0005395F" w:rsidRPr="00C52B98">
        <w:t xml:space="preserve">, in: </w:t>
      </w:r>
      <w:hyperlink r:id="rId2" w:history="1">
        <w:r w:rsidR="0005395F" w:rsidRPr="00C52B98">
          <w:rPr>
            <w:rStyle w:val="Collegamentoipertestuale"/>
            <w:i/>
            <w:iCs/>
            <w:color w:val="auto"/>
            <w:u w:val="none"/>
          </w:rPr>
          <w:t>www.federalismi.it</w:t>
        </w:r>
      </w:hyperlink>
      <w:r w:rsidR="0005395F" w:rsidRPr="00C52B98">
        <w:t>, n. 26/2021. L’A. si domanda, in particola</w:t>
      </w:r>
      <w:r w:rsidR="0005395F">
        <w:t>re, se la libertà di pensiero rappresenti un diritto illimitatamente garantito negli ordinamenti liberal democratici anche quando la sua utilizzazione sia potenzialmente finalizzata a negare i valori di fondo della convivenza civile. Sul punto, v. anche Cfr.: N. B</w:t>
      </w:r>
      <w:r w:rsidR="0005395F" w:rsidRPr="0005395F">
        <w:rPr>
          <w:smallCaps/>
        </w:rPr>
        <w:t>obbio</w:t>
      </w:r>
      <w:r w:rsidR="0005395F">
        <w:t>, Liberalismo e democrazia, Milano,1985, 243; L. B</w:t>
      </w:r>
      <w:r w:rsidR="0005395F" w:rsidRPr="0005395F">
        <w:rPr>
          <w:smallCaps/>
        </w:rPr>
        <w:t>ollinger</w:t>
      </w:r>
      <w:r w:rsidR="0005395F">
        <w:t xml:space="preserve">, </w:t>
      </w:r>
      <w:r w:rsidR="0005395F" w:rsidRPr="0005395F">
        <w:rPr>
          <w:i/>
          <w:iCs/>
        </w:rPr>
        <w:t>La società tollerante</w:t>
      </w:r>
      <w:r w:rsidR="0005395F">
        <w:t>, Milano, 1992 (</w:t>
      </w:r>
      <w:r w:rsidR="0005395F" w:rsidRPr="0005395F">
        <w:rPr>
          <w:i/>
          <w:iCs/>
        </w:rPr>
        <w:t>passim</w:t>
      </w:r>
      <w:r w:rsidR="0005395F">
        <w:t>).</w:t>
      </w:r>
    </w:p>
  </w:footnote>
  <w:footnote w:id="6">
    <w:p w14:paraId="2B08CF57" w14:textId="1A5F9392" w:rsidR="00065FE3" w:rsidRDefault="00065FE3" w:rsidP="00C168AB">
      <w:pPr>
        <w:pStyle w:val="Testonotaapidipagina"/>
        <w:jc w:val="both"/>
      </w:pPr>
      <w:r w:rsidRPr="00C168AB">
        <w:rPr>
          <w:rStyle w:val="Rimandonotaapidipagina"/>
        </w:rPr>
        <w:footnoteRef/>
      </w:r>
      <w:r w:rsidRPr="00C168AB">
        <w:t xml:space="preserve"> </w:t>
      </w:r>
      <w:r w:rsidR="0005395F" w:rsidRPr="00C168AB">
        <w:t xml:space="preserve">Sul punto, v. (fra i molti): </w:t>
      </w:r>
      <w:r w:rsidR="0005395F" w:rsidRPr="00C168AB">
        <w:rPr>
          <w:smallCaps/>
        </w:rPr>
        <w:t>A. Iannotti Della Valle</w:t>
      </w:r>
      <w:r w:rsidR="0005395F" w:rsidRPr="00C168AB">
        <w:t xml:space="preserve">, </w:t>
      </w:r>
      <w:r w:rsidR="0005395F" w:rsidRPr="00C168AB">
        <w:rPr>
          <w:i/>
          <w:iCs/>
        </w:rPr>
        <w:t>Libertà di espressione e valori dem</w:t>
      </w:r>
      <w:r w:rsidR="0005395F" w:rsidRPr="00C52B98">
        <w:rPr>
          <w:i/>
          <w:iCs/>
        </w:rPr>
        <w:t>ocratici alla prova dei social media: il DSA e un nuovo caso TikTok europeo</w:t>
      </w:r>
      <w:r w:rsidR="0005395F" w:rsidRPr="00C52B98">
        <w:t xml:space="preserve">, in: </w:t>
      </w:r>
      <w:hyperlink r:id="rId3" w:history="1">
        <w:r w:rsidR="0005395F" w:rsidRPr="00C52B98">
          <w:rPr>
            <w:rStyle w:val="Collegamentoipertestuale"/>
            <w:i/>
            <w:iCs/>
            <w:color w:val="auto"/>
            <w:u w:val="none"/>
          </w:rPr>
          <w:t>www.federalismi.it</w:t>
        </w:r>
      </w:hyperlink>
      <w:r w:rsidR="0005395F" w:rsidRPr="00C52B98">
        <w:t xml:space="preserve">, n. 13/2025; </w:t>
      </w:r>
      <w:r w:rsidR="00C168AB" w:rsidRPr="00C52B98">
        <w:t>C. C</w:t>
      </w:r>
      <w:r w:rsidR="00C168AB" w:rsidRPr="00C52B98">
        <w:rPr>
          <w:smallCaps/>
        </w:rPr>
        <w:t>aruso</w:t>
      </w:r>
      <w:r w:rsidR="00C168AB" w:rsidRPr="00C52B98">
        <w:t xml:space="preserve">, </w:t>
      </w:r>
      <w:r w:rsidR="00C168AB" w:rsidRPr="00C52B98">
        <w:rPr>
          <w:i/>
          <w:iCs/>
        </w:rPr>
        <w:t>Il tempo delle istituzioni di libertà. Piattaform</w:t>
      </w:r>
      <w:r w:rsidR="00C168AB" w:rsidRPr="00C168AB">
        <w:rPr>
          <w:i/>
          <w:iCs/>
        </w:rPr>
        <w:t>e digitali, disinformazione e discorso pubblico europeo</w:t>
      </w:r>
      <w:r w:rsidR="00C168AB">
        <w:t xml:space="preserve">, in: </w:t>
      </w:r>
      <w:r w:rsidR="00C168AB" w:rsidRPr="00C168AB">
        <w:rPr>
          <w:i/>
          <w:iCs/>
        </w:rPr>
        <w:t>Quad. cost.</w:t>
      </w:r>
      <w:r w:rsidR="00C168AB">
        <w:t>, fasc. 3/2023, pp. 543 ss.; S.</w:t>
      </w:r>
      <w:r w:rsidR="00C168AB" w:rsidRPr="00C168AB">
        <w:rPr>
          <w:smallCaps/>
        </w:rPr>
        <w:t xml:space="preserve"> Del Gatto</w:t>
      </w:r>
      <w:r w:rsidR="00C168AB">
        <w:t xml:space="preserve">, </w:t>
      </w:r>
      <w:r w:rsidR="00C168AB" w:rsidRPr="00C168AB">
        <w:rPr>
          <w:i/>
          <w:iCs/>
        </w:rPr>
        <w:t>Il ‘Digital Service Act’: un’introduzione</w:t>
      </w:r>
      <w:r w:rsidR="00C168AB">
        <w:t>, in:</w:t>
      </w:r>
      <w:r w:rsidR="00C168AB" w:rsidRPr="00C168AB">
        <w:rPr>
          <w:i/>
          <w:iCs/>
        </w:rPr>
        <w:t xml:space="preserve"> </w:t>
      </w:r>
      <w:proofErr w:type="spellStart"/>
      <w:r w:rsidR="00C168AB" w:rsidRPr="00C168AB">
        <w:rPr>
          <w:i/>
          <w:iCs/>
        </w:rPr>
        <w:t>Giorn</w:t>
      </w:r>
      <w:proofErr w:type="spellEnd"/>
      <w:r w:rsidR="00C168AB" w:rsidRPr="00C168AB">
        <w:rPr>
          <w:i/>
          <w:iCs/>
        </w:rPr>
        <w:t xml:space="preserve">. Dir. </w:t>
      </w:r>
      <w:proofErr w:type="spellStart"/>
      <w:r w:rsidR="00C168AB" w:rsidRPr="00C168AB">
        <w:rPr>
          <w:i/>
          <w:iCs/>
        </w:rPr>
        <w:t>Amm</w:t>
      </w:r>
      <w:proofErr w:type="spellEnd"/>
      <w:r w:rsidR="00C168AB" w:rsidRPr="00C168AB">
        <w:rPr>
          <w:i/>
          <w:iCs/>
        </w:rPr>
        <w:t>.</w:t>
      </w:r>
      <w:r w:rsidR="00C168AB">
        <w:t>, fasc. 6/2023, p. 724, segg.; E. L</w:t>
      </w:r>
      <w:r w:rsidR="00C168AB" w:rsidRPr="00C168AB">
        <w:rPr>
          <w:smallCaps/>
        </w:rPr>
        <w:t>ongo</w:t>
      </w:r>
      <w:r w:rsidR="00C168AB">
        <w:t xml:space="preserve">, </w:t>
      </w:r>
      <w:r w:rsidR="00C168AB" w:rsidRPr="00C168AB">
        <w:rPr>
          <w:i/>
          <w:iCs/>
        </w:rPr>
        <w:t>‘Digital Service Act’ – Libertà di informazione. Libertà di informazione e lotta alla disinformazione nel ‘DSA’</w:t>
      </w:r>
      <w:r w:rsidR="00C168AB">
        <w:t xml:space="preserve">, in: </w:t>
      </w:r>
      <w:proofErr w:type="spellStart"/>
      <w:r w:rsidR="00C168AB" w:rsidRPr="00C168AB">
        <w:rPr>
          <w:i/>
          <w:iCs/>
        </w:rPr>
        <w:t>Giorn</w:t>
      </w:r>
      <w:proofErr w:type="spellEnd"/>
      <w:r w:rsidR="00C168AB" w:rsidRPr="00C168AB">
        <w:rPr>
          <w:i/>
          <w:iCs/>
        </w:rPr>
        <w:t xml:space="preserve">. Dir. </w:t>
      </w:r>
      <w:proofErr w:type="spellStart"/>
      <w:r w:rsidR="00C168AB" w:rsidRPr="00C168AB">
        <w:rPr>
          <w:i/>
          <w:iCs/>
        </w:rPr>
        <w:t>amm</w:t>
      </w:r>
      <w:proofErr w:type="spellEnd"/>
      <w:r w:rsidR="00C168AB" w:rsidRPr="00C168AB">
        <w:rPr>
          <w:i/>
          <w:iCs/>
        </w:rPr>
        <w:t>.</w:t>
      </w:r>
      <w:r w:rsidR="00C168AB">
        <w:t>, n. 6, 2023, pp. 737 ss.; M.C. G</w:t>
      </w:r>
      <w:r w:rsidR="00C168AB" w:rsidRPr="00C168AB">
        <w:rPr>
          <w:smallCaps/>
        </w:rPr>
        <w:t>irardi</w:t>
      </w:r>
      <w:r w:rsidR="00C168AB">
        <w:t xml:space="preserve">, </w:t>
      </w:r>
      <w:r w:rsidR="00C168AB" w:rsidRPr="00C168AB">
        <w:rPr>
          <w:i/>
          <w:iCs/>
        </w:rPr>
        <w:t>Libertà e limiti della comunicazione nello spazio digitale</w:t>
      </w:r>
      <w:r w:rsidR="00C168AB">
        <w:t xml:space="preserve">, in </w:t>
      </w:r>
      <w:r w:rsidR="00C52B98">
        <w:rPr>
          <w:i/>
          <w:iCs/>
        </w:rPr>
        <w:t>f</w:t>
      </w:r>
      <w:r w:rsidR="00C168AB" w:rsidRPr="00C168AB">
        <w:rPr>
          <w:i/>
          <w:iCs/>
        </w:rPr>
        <w:t>ederalismi.it</w:t>
      </w:r>
      <w:r w:rsidR="00C168AB">
        <w:t>, n. 17/2024</w:t>
      </w:r>
    </w:p>
  </w:footnote>
  <w:footnote w:id="7">
    <w:p w14:paraId="1D7A997F" w14:textId="60A45A88" w:rsidR="007E08CA" w:rsidRDefault="007E08CA" w:rsidP="006E2B5A">
      <w:pPr>
        <w:pStyle w:val="Testonotaapidipagina"/>
        <w:jc w:val="both"/>
      </w:pPr>
      <w:r>
        <w:rPr>
          <w:rStyle w:val="Rimandonotaapidipagina"/>
        </w:rPr>
        <w:footnoteRef/>
      </w:r>
      <w:r>
        <w:t xml:space="preserve"> </w:t>
      </w:r>
      <w:r w:rsidR="00C168AB">
        <w:t xml:space="preserve">La letteratura sul tema è vastissima. Ai limitati fini che qui rilevano (e senza pretesa alcuna di esaustività) ci si limiterà a richiamare: </w:t>
      </w:r>
      <w:r w:rsidR="00C168AB" w:rsidRPr="006E2B5A">
        <w:rPr>
          <w:smallCaps/>
        </w:rPr>
        <w:t>C. Esposito</w:t>
      </w:r>
      <w:r w:rsidR="00C168AB">
        <w:t xml:space="preserve">, </w:t>
      </w:r>
      <w:r w:rsidR="00C168AB" w:rsidRPr="006E2B5A">
        <w:rPr>
          <w:i/>
          <w:iCs/>
        </w:rPr>
        <w:t>La libertà di manifestazione del pensiero nell’ordinamento italiano</w:t>
      </w:r>
      <w:r w:rsidR="00C168AB">
        <w:t xml:space="preserve">, Milano, 1958; id., </w:t>
      </w:r>
      <w:r w:rsidR="00C168AB" w:rsidRPr="006E2B5A">
        <w:rPr>
          <w:i/>
          <w:iCs/>
        </w:rPr>
        <w:t>La libertà di manifestazione del pensiero e l’ordine pubblico</w:t>
      </w:r>
      <w:r w:rsidR="00C168AB">
        <w:t xml:space="preserve">, in </w:t>
      </w:r>
      <w:r w:rsidR="00C168AB" w:rsidRPr="006E2B5A">
        <w:rPr>
          <w:i/>
          <w:iCs/>
        </w:rPr>
        <w:t>Giur. cost.</w:t>
      </w:r>
      <w:r w:rsidR="00C168AB">
        <w:t xml:space="preserve">, 1962, pp. 191 ss.; </w:t>
      </w:r>
      <w:r w:rsidR="006E2B5A">
        <w:t>L. P</w:t>
      </w:r>
      <w:r w:rsidR="006E2B5A" w:rsidRPr="006E2B5A">
        <w:rPr>
          <w:smallCaps/>
        </w:rPr>
        <w:t>aladin</w:t>
      </w:r>
      <w:r w:rsidR="006E2B5A">
        <w:t xml:space="preserve">, </w:t>
      </w:r>
      <w:r w:rsidR="006E2B5A" w:rsidRPr="006E2B5A">
        <w:rPr>
          <w:i/>
          <w:iCs/>
        </w:rPr>
        <w:t>Libertà di pensiero e libertà di informazione: le problematiche attuali</w:t>
      </w:r>
      <w:r w:rsidR="006E2B5A">
        <w:t xml:space="preserve">, in </w:t>
      </w:r>
      <w:r w:rsidR="006E2B5A" w:rsidRPr="006E2B5A">
        <w:rPr>
          <w:i/>
          <w:iCs/>
        </w:rPr>
        <w:t>Quad. cost.</w:t>
      </w:r>
      <w:r w:rsidR="006E2B5A">
        <w:t xml:space="preserve">, 1987, pp. 5 ss.; </w:t>
      </w:r>
      <w:r w:rsidR="00C168AB">
        <w:t>P. B</w:t>
      </w:r>
      <w:r w:rsidR="006E2B5A" w:rsidRPr="006E2B5A">
        <w:rPr>
          <w:smallCaps/>
        </w:rPr>
        <w:t>arile</w:t>
      </w:r>
      <w:r w:rsidR="00C168AB">
        <w:t>,</w:t>
      </w:r>
      <w:r w:rsidR="006E2B5A">
        <w:t xml:space="preserve"> </w:t>
      </w:r>
      <w:r w:rsidR="00C168AB" w:rsidRPr="006E2B5A">
        <w:rPr>
          <w:i/>
          <w:iCs/>
        </w:rPr>
        <w:t>Libertà di manifestazione del pensiero</w:t>
      </w:r>
      <w:r w:rsidR="00C168AB">
        <w:t xml:space="preserve">, in </w:t>
      </w:r>
      <w:r w:rsidR="00C168AB" w:rsidRPr="006E2B5A">
        <w:rPr>
          <w:i/>
          <w:iCs/>
        </w:rPr>
        <w:t>Enc. Dir.</w:t>
      </w:r>
      <w:r w:rsidR="00C168AB">
        <w:t xml:space="preserve">, XXIV, Milano, 1974, pp. 424 ss.; </w:t>
      </w:r>
      <w:r w:rsidR="006E2B5A">
        <w:t>id</w:t>
      </w:r>
      <w:r w:rsidR="00C168AB">
        <w:t xml:space="preserve">., </w:t>
      </w:r>
      <w:r w:rsidR="00C168AB" w:rsidRPr="006E2B5A">
        <w:rPr>
          <w:i/>
          <w:iCs/>
        </w:rPr>
        <w:t>La libertà di manifestazione</w:t>
      </w:r>
      <w:r w:rsidR="006E2B5A" w:rsidRPr="006E2B5A">
        <w:rPr>
          <w:i/>
          <w:iCs/>
        </w:rPr>
        <w:t xml:space="preserve"> </w:t>
      </w:r>
      <w:r w:rsidR="00C168AB" w:rsidRPr="006E2B5A">
        <w:rPr>
          <w:i/>
          <w:iCs/>
        </w:rPr>
        <w:t>del pensiero</w:t>
      </w:r>
      <w:r w:rsidR="00C168AB">
        <w:t>, Milano, 1975</w:t>
      </w:r>
      <w:r>
        <w:t>.</w:t>
      </w:r>
    </w:p>
  </w:footnote>
  <w:footnote w:id="8">
    <w:p w14:paraId="0C4E9AC1" w14:textId="77304B91" w:rsidR="00973562" w:rsidRDefault="00973562" w:rsidP="00674367">
      <w:pPr>
        <w:pStyle w:val="Testonotaapidipagina"/>
        <w:jc w:val="both"/>
      </w:pPr>
      <w:r>
        <w:rPr>
          <w:rStyle w:val="Rimandonotaapidipagina"/>
        </w:rPr>
        <w:footnoteRef/>
      </w:r>
      <w:r>
        <w:t xml:space="preserve"> </w:t>
      </w:r>
      <w:r w:rsidR="00D4546B">
        <w:t xml:space="preserve">Corte cost., </w:t>
      </w:r>
      <w:proofErr w:type="spellStart"/>
      <w:r w:rsidR="00D4546B">
        <w:t>sent</w:t>
      </w:r>
      <w:proofErr w:type="spellEnd"/>
      <w:r w:rsidR="00D4546B">
        <w:t xml:space="preserve">. 2 aprile 1969, n. 84. Sul punto: </w:t>
      </w:r>
      <w:r w:rsidR="00674367" w:rsidRPr="00674367">
        <w:rPr>
          <w:smallCaps/>
        </w:rPr>
        <w:t>A. Cerri</w:t>
      </w:r>
      <w:r w:rsidR="00674367">
        <w:t xml:space="preserve">, </w:t>
      </w:r>
      <w:r w:rsidR="00674367" w:rsidRPr="00674367">
        <w:rPr>
          <w:i/>
          <w:iCs/>
        </w:rPr>
        <w:t>Libertà di manifestazione del pensiero, propaganda, istigazione ad agire</w:t>
      </w:r>
      <w:r w:rsidR="00674367">
        <w:t xml:space="preserve">, in: </w:t>
      </w:r>
      <w:r w:rsidR="00674367" w:rsidRPr="00674367">
        <w:rPr>
          <w:i/>
          <w:iCs/>
        </w:rPr>
        <w:t>Giur. Cost.</w:t>
      </w:r>
      <w:r w:rsidR="00674367">
        <w:t>, fasc. 6/1969.</w:t>
      </w:r>
    </w:p>
  </w:footnote>
  <w:footnote w:id="9">
    <w:p w14:paraId="118BE172" w14:textId="3E67DE59" w:rsidR="00BB7518" w:rsidRDefault="00BB7518">
      <w:pPr>
        <w:pStyle w:val="Testonotaapidipagina"/>
      </w:pPr>
      <w:r>
        <w:rPr>
          <w:rStyle w:val="Rimandonotaapidipagina"/>
        </w:rPr>
        <w:footnoteRef/>
      </w:r>
      <w:r>
        <w:t xml:space="preserve"> </w:t>
      </w:r>
      <w:r w:rsidR="00674367">
        <w:t xml:space="preserve">Sul punto: C. </w:t>
      </w:r>
      <w:r w:rsidR="00674367" w:rsidRPr="00674367">
        <w:rPr>
          <w:smallCaps/>
        </w:rPr>
        <w:t>Esposito</w:t>
      </w:r>
      <w:r w:rsidR="00674367">
        <w:t xml:space="preserve">, </w:t>
      </w:r>
      <w:r w:rsidR="00674367" w:rsidRPr="00674367">
        <w:rPr>
          <w:i/>
          <w:iCs/>
        </w:rPr>
        <w:t>La libertà di manifestazione del pensiero</w:t>
      </w:r>
      <w:r w:rsidR="00674367">
        <w:rPr>
          <w:i/>
          <w:iCs/>
        </w:rPr>
        <w:t xml:space="preserve"> nell’ordinamento italiano</w:t>
      </w:r>
      <w:r w:rsidR="00674367">
        <w:t>, cit., pag. 27.</w:t>
      </w:r>
    </w:p>
  </w:footnote>
  <w:footnote w:id="10">
    <w:p w14:paraId="6592EA67" w14:textId="7B0E7737" w:rsidR="00741CB6" w:rsidRDefault="00741CB6">
      <w:pPr>
        <w:pStyle w:val="Testonotaapidipagina"/>
      </w:pPr>
      <w:r w:rsidRPr="00D37F62">
        <w:rPr>
          <w:rStyle w:val="Rimandonotaapidipagina"/>
        </w:rPr>
        <w:footnoteRef/>
      </w:r>
      <w:r w:rsidRPr="00D37F62">
        <w:t xml:space="preserve"> </w:t>
      </w:r>
      <w:r w:rsidR="00D37F62" w:rsidRPr="00D37F62">
        <w:rPr>
          <w:smallCaps/>
        </w:rPr>
        <w:t>L. Califano</w:t>
      </w:r>
      <w:r w:rsidR="00D37F62" w:rsidRPr="00D37F62">
        <w:t xml:space="preserve">, </w:t>
      </w:r>
      <w:r w:rsidR="00D37F62" w:rsidRPr="00D37F62">
        <w:rPr>
          <w:i/>
          <w:iCs/>
        </w:rPr>
        <w:t>La libertà di manifestazione del pensiero</w:t>
      </w:r>
      <w:r w:rsidR="00D37F62" w:rsidRPr="00D37F62">
        <w:t>, cit., p. 7.</w:t>
      </w:r>
    </w:p>
  </w:footnote>
  <w:footnote w:id="11">
    <w:p w14:paraId="76E242C6" w14:textId="3A737011" w:rsidR="003C5380" w:rsidRDefault="003C5380" w:rsidP="003C5380">
      <w:pPr>
        <w:pStyle w:val="Testonotaapidipagina"/>
        <w:jc w:val="both"/>
      </w:pPr>
      <w:r>
        <w:rPr>
          <w:rStyle w:val="Rimandonotaapidipagina"/>
        </w:rPr>
        <w:footnoteRef/>
      </w:r>
      <w:r>
        <w:t xml:space="preserve"> Vanno segnalati al riguardo due progetti di legge di iniziativa parlamentare (AC 1765 – Kelani e a.; AC 1788</w:t>
      </w:r>
      <w:r w:rsidR="00A1013D">
        <w:t>, Furfaro ed altri</w:t>
      </w:r>
      <w:r>
        <w:t xml:space="preserve">) i quali pongono con enfasi la questione della tutela del diritto di espressione dei </w:t>
      </w:r>
      <w:proofErr w:type="spellStart"/>
      <w:r w:rsidRPr="003C5380">
        <w:rPr>
          <w:i/>
          <w:iCs/>
        </w:rPr>
        <w:t>content</w:t>
      </w:r>
      <w:proofErr w:type="spellEnd"/>
      <w:r w:rsidRPr="003C5380">
        <w:rPr>
          <w:i/>
          <w:iCs/>
        </w:rPr>
        <w:t xml:space="preserve"> creator</w:t>
      </w:r>
      <w:r>
        <w:t xml:space="preserve"> in quanto corollario del più generale diritto di cui all’art. 21, Cost. </w:t>
      </w:r>
    </w:p>
    <w:p w14:paraId="48ACBFCB" w14:textId="40AE7BD7" w:rsidR="003C5380" w:rsidRDefault="003C5380" w:rsidP="003C5380">
      <w:pPr>
        <w:pStyle w:val="Testonotaapidipagina"/>
        <w:jc w:val="both"/>
      </w:pPr>
      <w:r>
        <w:t>In particolare, il PDL AC 1765 (‘</w:t>
      </w:r>
      <w:r w:rsidRPr="003C5380">
        <w:rPr>
          <w:i/>
          <w:iCs/>
        </w:rPr>
        <w:t>Norme per la tutela della trasparenza e della libertà di espressione</w:t>
      </w:r>
      <w:r>
        <w:rPr>
          <w:i/>
          <w:iCs/>
        </w:rPr>
        <w:t xml:space="preserve"> </w:t>
      </w:r>
      <w:r w:rsidRPr="003C5380">
        <w:rPr>
          <w:i/>
          <w:iCs/>
        </w:rPr>
        <w:t>nella gestione e diffusione di informazioni e notizie aventi rilevanza</w:t>
      </w:r>
      <w:r>
        <w:rPr>
          <w:i/>
          <w:iCs/>
        </w:rPr>
        <w:t xml:space="preserve"> </w:t>
      </w:r>
      <w:r w:rsidRPr="003C5380">
        <w:rPr>
          <w:i/>
          <w:iCs/>
        </w:rPr>
        <w:t>sociale e politica sulle piattaforme digitali e sulle reti sociali</w:t>
      </w:r>
      <w:r>
        <w:rPr>
          <w:i/>
          <w:iCs/>
        </w:rPr>
        <w:t xml:space="preserve"> </w:t>
      </w:r>
      <w:r w:rsidRPr="003C5380">
        <w:rPr>
          <w:i/>
          <w:iCs/>
        </w:rPr>
        <w:t>telematiche</w:t>
      </w:r>
      <w:r>
        <w:t xml:space="preserve">’) </w:t>
      </w:r>
      <w:r w:rsidR="00A1013D">
        <w:t xml:space="preserve">mira a </w:t>
      </w:r>
      <w:r>
        <w:t>fa</w:t>
      </w:r>
      <w:r w:rsidR="00A1013D">
        <w:t>r</w:t>
      </w:r>
      <w:r>
        <w:t xml:space="preserve"> gravare </w:t>
      </w:r>
      <w:r w:rsidR="00A1013D">
        <w:t>sui</w:t>
      </w:r>
      <w:r>
        <w:t xml:space="preserve"> proprietari e </w:t>
      </w:r>
      <w:r w:rsidR="00A1013D">
        <w:t>su</w:t>
      </w:r>
      <w:r>
        <w:t>i gestori delle piattaforme</w:t>
      </w:r>
      <w:r w:rsidR="00A1013D">
        <w:t xml:space="preserve"> </w:t>
      </w:r>
      <w:r>
        <w:t>digitali e delle reti sociali telematiche</w:t>
      </w:r>
      <w:r w:rsidR="00A1013D">
        <w:t xml:space="preserve"> </w:t>
      </w:r>
      <w:r>
        <w:t xml:space="preserve">nonché </w:t>
      </w:r>
      <w:r w:rsidR="00A1013D">
        <w:t>su</w:t>
      </w:r>
      <w:r>
        <w:t>gli intermediari che ivi operano</w:t>
      </w:r>
      <w:r w:rsidR="00A1013D">
        <w:t xml:space="preserve"> l’</w:t>
      </w:r>
      <w:r>
        <w:t>obbligo di garantire a ciascun</w:t>
      </w:r>
      <w:r w:rsidR="00A1013D">
        <w:t xml:space="preserve"> </w:t>
      </w:r>
      <w:r>
        <w:t>utente la libera espressione del proprio</w:t>
      </w:r>
      <w:r w:rsidR="00A1013D">
        <w:t xml:space="preserve"> </w:t>
      </w:r>
      <w:r>
        <w:t>pensiero, nel rispetto dell’articolo 21 della</w:t>
      </w:r>
      <w:r w:rsidR="00A1013D">
        <w:t xml:space="preserve"> </w:t>
      </w:r>
      <w:r>
        <w:t>Costituzione e con i soli limiti imposti dalla</w:t>
      </w:r>
      <w:r w:rsidR="00A1013D">
        <w:t xml:space="preserve"> </w:t>
      </w:r>
      <w:r>
        <w:t>legislazione vigente.</w:t>
      </w:r>
      <w:r w:rsidR="00A1013D">
        <w:t xml:space="preserve"> Il </w:t>
      </w:r>
      <w:r w:rsidR="00A1013D" w:rsidRPr="00A1013D">
        <w:rPr>
          <w:i/>
          <w:iCs/>
        </w:rPr>
        <w:t>focus</w:t>
      </w:r>
      <w:r w:rsidR="00A1013D">
        <w:t xml:space="preserve"> dell’iniziativa legislativa in questione, quindi, viene incentrato sui diritti e le libertà del soggetto attivo della comunicazione.</w:t>
      </w:r>
    </w:p>
    <w:p w14:paraId="0531CFC1" w14:textId="41BF923A" w:rsidR="00A1013D" w:rsidRDefault="00A1013D" w:rsidP="00A1013D">
      <w:pPr>
        <w:pStyle w:val="Testonotaapidipagina"/>
        <w:jc w:val="both"/>
      </w:pPr>
      <w:r>
        <w:t>Il PDL in questione, inoltre, mira a una sorta di controllo preventivo di fonte legale sulle forme di controllo algoritmico della libertà di espressione. In particolare, l’art. 2, comma 2 stabilisce che «</w:t>
      </w:r>
      <w:r w:rsidRPr="00A1013D">
        <w:rPr>
          <w:i/>
          <w:iCs/>
        </w:rPr>
        <w:t>le valutazioni relative alla gestione delle notizie e dei profili con rilevanza sociale e politica devono essere effettuate da persone fisiche identificabili nell’ambito delle strutture interessate e devono prevedere i criteri specifici e indicare gli algoritmi utilizzati per determinare la rilevanza maggiore o minore della notizia, la permanenza della stessa in rete, la visibilità dei profili e le eventuali censure adottate, al fine di garantire comportamenti uniformi, non discriminatori e conformi alle disposizioni dell’articolo 21 della Costituzione</w:t>
      </w:r>
      <w:r>
        <w:t>».</w:t>
      </w:r>
    </w:p>
  </w:footnote>
  <w:footnote w:id="12">
    <w:p w14:paraId="3FF4C398" w14:textId="2ADB6DAD" w:rsidR="000C7D31" w:rsidRDefault="000C7D31" w:rsidP="003C5380">
      <w:pPr>
        <w:pStyle w:val="Testonotaapidipagina"/>
        <w:jc w:val="both"/>
      </w:pPr>
      <w:r w:rsidRPr="00D37F62">
        <w:rPr>
          <w:rStyle w:val="Rimandonotaapidipagina"/>
        </w:rPr>
        <w:footnoteRef/>
      </w:r>
      <w:r w:rsidRPr="00D37F62">
        <w:t xml:space="preserve"> </w:t>
      </w:r>
      <w:r w:rsidR="00D37F62" w:rsidRPr="00D37F62">
        <w:rPr>
          <w:smallCaps/>
        </w:rPr>
        <w:t>M. Mezza</w:t>
      </w:r>
      <w:r w:rsidR="00D37F62">
        <w:t xml:space="preserve">, </w:t>
      </w:r>
      <w:r w:rsidR="00D37F62" w:rsidRPr="00D37F62">
        <w:rPr>
          <w:i/>
          <w:iCs/>
        </w:rPr>
        <w:t>Algoritmi di libertà. La potenza del calcolo tra dominio e conflitto</w:t>
      </w:r>
      <w:r w:rsidR="00D37F62">
        <w:t>, Roma, 2018 (</w:t>
      </w:r>
      <w:r w:rsidR="00D37F62" w:rsidRPr="00D37F62">
        <w:rPr>
          <w:i/>
          <w:iCs/>
        </w:rPr>
        <w:t>passim</w:t>
      </w:r>
      <w:r w:rsidR="00D37F62">
        <w:t>).</w:t>
      </w:r>
    </w:p>
  </w:footnote>
  <w:footnote w:id="13">
    <w:p w14:paraId="274F477F" w14:textId="16B644D8" w:rsidR="00B47580" w:rsidRPr="00783D3E" w:rsidRDefault="00B47580" w:rsidP="003C5380">
      <w:pPr>
        <w:pStyle w:val="Testonotaapidipagina"/>
        <w:jc w:val="both"/>
      </w:pPr>
      <w:r w:rsidRPr="00783D3E">
        <w:rPr>
          <w:rStyle w:val="Rimandonotaapidipagina"/>
        </w:rPr>
        <w:footnoteRef/>
      </w:r>
      <w:r w:rsidR="00D37F62" w:rsidRPr="00783D3E">
        <w:t xml:space="preserve"> Anche in questo caso il tema è stato </w:t>
      </w:r>
      <w:r w:rsidR="00783D3E">
        <w:t xml:space="preserve">approfonditamente </w:t>
      </w:r>
      <w:r w:rsidR="00D37F62" w:rsidRPr="00783D3E">
        <w:t xml:space="preserve">trattato da </w:t>
      </w:r>
      <w:r w:rsidR="00D37F62" w:rsidRPr="00783D3E">
        <w:rPr>
          <w:smallCaps/>
        </w:rPr>
        <w:t>C. Esposito</w:t>
      </w:r>
      <w:r w:rsidR="00D37F62" w:rsidRPr="00783D3E">
        <w:t xml:space="preserve">, </w:t>
      </w:r>
      <w:r w:rsidR="00D37F62" w:rsidRPr="00783D3E">
        <w:rPr>
          <w:i/>
          <w:iCs/>
        </w:rPr>
        <w:t>La libertà di manifesta</w:t>
      </w:r>
      <w:r w:rsidR="00783D3E" w:rsidRPr="00783D3E">
        <w:rPr>
          <w:i/>
          <w:iCs/>
        </w:rPr>
        <w:t>zi</w:t>
      </w:r>
      <w:r w:rsidR="00D37F62" w:rsidRPr="00783D3E">
        <w:rPr>
          <w:i/>
          <w:iCs/>
        </w:rPr>
        <w:t>one del pensiero</w:t>
      </w:r>
      <w:r w:rsidR="00D37F62" w:rsidRPr="00783D3E">
        <w:t>, cit., pag. 48. Ma sul punto v. anche</w:t>
      </w:r>
      <w:r w:rsidR="00783D3E" w:rsidRPr="00783D3E">
        <w:t xml:space="preserve">: </w:t>
      </w:r>
      <w:r w:rsidR="00783D3E" w:rsidRPr="00783D3E">
        <w:rPr>
          <w:smallCaps/>
        </w:rPr>
        <w:t>A. Pace</w:t>
      </w:r>
      <w:r w:rsidR="00783D3E" w:rsidRPr="00783D3E">
        <w:t xml:space="preserve">, </w:t>
      </w:r>
      <w:r w:rsidR="00783D3E" w:rsidRPr="00783D3E">
        <w:rPr>
          <w:i/>
          <w:iCs/>
        </w:rPr>
        <w:t>Problematica delle libertà costituzionali</w:t>
      </w:r>
      <w:r w:rsidR="00783D3E" w:rsidRPr="00783D3E">
        <w:t>, Padova, 2003</w:t>
      </w:r>
      <w:r w:rsidR="00783D3E">
        <w:t xml:space="preserve"> (</w:t>
      </w:r>
      <w:r w:rsidR="00783D3E" w:rsidRPr="00783D3E">
        <w:rPr>
          <w:i/>
          <w:iCs/>
        </w:rPr>
        <w:t>passim</w:t>
      </w:r>
      <w:r w:rsidR="00783D3E">
        <w:t>)</w:t>
      </w:r>
      <w:r w:rsidRPr="00783D3E">
        <w:t>.</w:t>
      </w:r>
    </w:p>
  </w:footnote>
  <w:footnote w:id="14">
    <w:p w14:paraId="632CD95B" w14:textId="7490C037" w:rsidR="001A3004" w:rsidRPr="00783D3E" w:rsidRDefault="001A3004" w:rsidP="00783D3E">
      <w:pPr>
        <w:pStyle w:val="Testonotaapidipagina"/>
        <w:jc w:val="both"/>
        <w:rPr>
          <w:smallCaps/>
        </w:rPr>
      </w:pPr>
      <w:r w:rsidRPr="00783D3E">
        <w:rPr>
          <w:rStyle w:val="Rimandonotaapidipagina"/>
        </w:rPr>
        <w:footnoteRef/>
      </w:r>
      <w:r w:rsidRPr="00783D3E">
        <w:t xml:space="preserve"> </w:t>
      </w:r>
      <w:r w:rsidR="00783D3E" w:rsidRPr="00783D3E">
        <w:rPr>
          <w:smallCaps/>
        </w:rPr>
        <w:t>L. Califano</w:t>
      </w:r>
      <w:r w:rsidR="00783D3E" w:rsidRPr="00783D3E">
        <w:t xml:space="preserve">, </w:t>
      </w:r>
      <w:r w:rsidR="00783D3E" w:rsidRPr="00783D3E">
        <w:rPr>
          <w:i/>
          <w:iCs/>
        </w:rPr>
        <w:t>La libertà di manifestazione del pensiero</w:t>
      </w:r>
      <w:r w:rsidR="00783D3E" w:rsidRPr="00783D3E">
        <w:t>, cit., p. 12 (e giurisprudenza ivi richiamata)</w:t>
      </w:r>
      <w:r w:rsidR="00783D3E" w:rsidRPr="00D37F62">
        <w:t>.</w:t>
      </w:r>
    </w:p>
  </w:footnote>
  <w:footnote w:id="15">
    <w:p w14:paraId="18C73805" w14:textId="5A1551AC" w:rsidR="00205525" w:rsidRDefault="00205525">
      <w:pPr>
        <w:pStyle w:val="Testonotaapidipagina"/>
      </w:pPr>
      <w:r w:rsidRPr="00783D3E">
        <w:rPr>
          <w:rStyle w:val="Rimandonotaapidipagina"/>
        </w:rPr>
        <w:footnoteRef/>
      </w:r>
      <w:r w:rsidRPr="00783D3E">
        <w:t xml:space="preserve"> </w:t>
      </w:r>
      <w:r w:rsidR="00783D3E" w:rsidRPr="00783D3E">
        <w:t xml:space="preserve">Cass. Pen., Sez. V, </w:t>
      </w:r>
      <w:proofErr w:type="spellStart"/>
      <w:r w:rsidR="00783D3E" w:rsidRPr="00783D3E">
        <w:t>sent</w:t>
      </w:r>
      <w:proofErr w:type="spellEnd"/>
      <w:r w:rsidR="00783D3E" w:rsidRPr="00783D3E">
        <w:t>. 10 novembre 2022, n. 4530.</w:t>
      </w:r>
    </w:p>
  </w:footnote>
  <w:footnote w:id="16">
    <w:p w14:paraId="0F6B63FD" w14:textId="323A7464" w:rsidR="001A3004" w:rsidRPr="009625F9" w:rsidRDefault="001A3004" w:rsidP="009625F9">
      <w:pPr>
        <w:pStyle w:val="Testonotaapidipagina"/>
        <w:jc w:val="both"/>
        <w:rPr>
          <w:rFonts w:ascii="Verdana" w:hAnsi="Verdana"/>
          <w:b/>
          <w:bCs/>
          <w:caps/>
          <w:color w:val="5E82B6"/>
          <w:sz w:val="18"/>
          <w:szCs w:val="18"/>
        </w:rPr>
      </w:pPr>
      <w:r>
        <w:rPr>
          <w:rStyle w:val="Rimandonotaapidipagina"/>
        </w:rPr>
        <w:footnoteRef/>
      </w:r>
      <w:r>
        <w:t xml:space="preserve"> </w:t>
      </w:r>
      <w:r w:rsidR="009625F9">
        <w:t xml:space="preserve">Sul punto, v.: L. </w:t>
      </w:r>
      <w:r w:rsidR="009625F9" w:rsidRPr="009625F9">
        <w:rPr>
          <w:smallCaps/>
        </w:rPr>
        <w:t>Olivieri</w:t>
      </w:r>
      <w:r w:rsidR="009625F9">
        <w:t xml:space="preserve">, </w:t>
      </w:r>
      <w:r w:rsidR="009625F9" w:rsidRPr="009625F9">
        <w:rPr>
          <w:i/>
          <w:iCs/>
        </w:rPr>
        <w:t>Poteri delle piattaforme e private enforcement: riflessioni sull’art. 54 del Digital Services Act</w:t>
      </w:r>
      <w:r w:rsidR="009625F9">
        <w:rPr>
          <w:i/>
          <w:iCs/>
        </w:rPr>
        <w:t xml:space="preserve">, </w:t>
      </w:r>
      <w:r w:rsidR="009625F9" w:rsidRPr="009625F9">
        <w:t xml:space="preserve">in: </w:t>
      </w:r>
      <w:r w:rsidR="009625F9" w:rsidRPr="009625F9">
        <w:rPr>
          <w:i/>
          <w:iCs/>
        </w:rPr>
        <w:t>Le Nuove Leggi Civili Commentate</w:t>
      </w:r>
      <w:r w:rsidR="009625F9" w:rsidRPr="009625F9">
        <w:t xml:space="preserve">, n. 4/2025; U. </w:t>
      </w:r>
      <w:r w:rsidR="009625F9" w:rsidRPr="009625F9">
        <w:rPr>
          <w:smallCaps/>
        </w:rPr>
        <w:t>Ruffolo</w:t>
      </w:r>
      <w:r w:rsidR="009625F9" w:rsidRPr="009625F9">
        <w:t xml:space="preserve">, </w:t>
      </w:r>
      <w:r w:rsidR="009625F9" w:rsidRPr="009625F9">
        <w:rPr>
          <w:i/>
          <w:iCs/>
        </w:rPr>
        <w:t>Piattaforme e</w:t>
      </w:r>
      <w:r w:rsidR="009625F9">
        <w:rPr>
          <w:i/>
          <w:iCs/>
        </w:rPr>
        <w:t xml:space="preserve"> </w:t>
      </w:r>
      <w:proofErr w:type="spellStart"/>
      <w:r w:rsidR="009625F9" w:rsidRPr="009625F9">
        <w:rPr>
          <w:i/>
          <w:iCs/>
        </w:rPr>
        <w:t>content</w:t>
      </w:r>
      <w:proofErr w:type="spellEnd"/>
      <w:r w:rsidR="009625F9" w:rsidRPr="009625F9">
        <w:rPr>
          <w:i/>
          <w:iCs/>
        </w:rPr>
        <w:t xml:space="preserve"> </w:t>
      </w:r>
      <w:proofErr w:type="spellStart"/>
      <w:r w:rsidR="009625F9" w:rsidRPr="009625F9">
        <w:rPr>
          <w:i/>
          <w:iCs/>
        </w:rPr>
        <w:t>moderation</w:t>
      </w:r>
      <w:proofErr w:type="spellEnd"/>
      <w:r w:rsidR="009625F9" w:rsidRPr="009625F9">
        <w:rPr>
          <w:i/>
          <w:iCs/>
        </w:rPr>
        <w:t xml:space="preserve"> - Piattaforme e</w:t>
      </w:r>
      <w:r w:rsidR="009625F9">
        <w:rPr>
          <w:i/>
          <w:iCs/>
        </w:rPr>
        <w:t xml:space="preserve"> </w:t>
      </w:r>
      <w:proofErr w:type="spellStart"/>
      <w:r w:rsidR="009625F9" w:rsidRPr="009625F9">
        <w:rPr>
          <w:i/>
          <w:iCs/>
        </w:rPr>
        <w:t>content</w:t>
      </w:r>
      <w:proofErr w:type="spellEnd"/>
      <w:r w:rsidR="009625F9" w:rsidRPr="009625F9">
        <w:rPr>
          <w:i/>
          <w:iCs/>
        </w:rPr>
        <w:t xml:space="preserve"> </w:t>
      </w:r>
      <w:proofErr w:type="spellStart"/>
      <w:r w:rsidR="009625F9" w:rsidRPr="009625F9">
        <w:rPr>
          <w:i/>
          <w:iCs/>
        </w:rPr>
        <w:t>moderation</w:t>
      </w:r>
      <w:proofErr w:type="spellEnd"/>
      <w:r w:rsidR="009625F9" w:rsidRPr="009625F9">
        <w:rPr>
          <w:i/>
          <w:iCs/>
        </w:rPr>
        <w:t> negoziale</w:t>
      </w:r>
      <w:r w:rsidR="009625F9" w:rsidRPr="009625F9">
        <w:t xml:space="preserve">, in: Giu. </w:t>
      </w:r>
      <w:proofErr w:type="spellStart"/>
      <w:r w:rsidR="009625F9" w:rsidRPr="009625F9">
        <w:t>It</w:t>
      </w:r>
      <w:proofErr w:type="spellEnd"/>
      <w:r w:rsidR="009625F9" w:rsidRPr="009625F9">
        <w:t xml:space="preserve">., fasc. 2/2024; B. </w:t>
      </w:r>
      <w:r w:rsidR="009625F9" w:rsidRPr="009625F9">
        <w:rPr>
          <w:smallCaps/>
        </w:rPr>
        <w:t>Grazzini</w:t>
      </w:r>
      <w:r w:rsidR="009625F9" w:rsidRPr="009625F9">
        <w:t xml:space="preserve">, </w:t>
      </w:r>
      <w:r w:rsidR="009625F9" w:rsidRPr="009625F9">
        <w:rPr>
          <w:i/>
          <w:iCs/>
        </w:rPr>
        <w:t>Piattaforme e </w:t>
      </w:r>
      <w:proofErr w:type="spellStart"/>
      <w:r w:rsidR="009625F9" w:rsidRPr="009625F9">
        <w:rPr>
          <w:i/>
          <w:iCs/>
        </w:rPr>
        <w:t>content</w:t>
      </w:r>
      <w:proofErr w:type="spellEnd"/>
      <w:r w:rsidR="009625F9" w:rsidRPr="009625F9">
        <w:rPr>
          <w:i/>
          <w:iCs/>
        </w:rPr>
        <w:t xml:space="preserve"> </w:t>
      </w:r>
      <w:proofErr w:type="spellStart"/>
      <w:r w:rsidR="009625F9" w:rsidRPr="009625F9">
        <w:rPr>
          <w:i/>
          <w:iCs/>
        </w:rPr>
        <w:t>moderation</w:t>
      </w:r>
      <w:proofErr w:type="spellEnd"/>
      <w:r w:rsidR="009625F9" w:rsidRPr="009625F9">
        <w:rPr>
          <w:i/>
          <w:iCs/>
        </w:rPr>
        <w:t xml:space="preserve"> - Fake news e disinformazione</w:t>
      </w:r>
      <w:r w:rsidR="009625F9" w:rsidRPr="009625F9">
        <w:t xml:space="preserve">, in: </w:t>
      </w:r>
      <w:r w:rsidR="009625F9" w:rsidRPr="009625F9">
        <w:rPr>
          <w:i/>
          <w:iCs/>
        </w:rPr>
        <w:t xml:space="preserve">Giur. </w:t>
      </w:r>
      <w:proofErr w:type="spellStart"/>
      <w:r w:rsidR="009625F9" w:rsidRPr="009625F9">
        <w:rPr>
          <w:i/>
          <w:iCs/>
        </w:rPr>
        <w:t>It</w:t>
      </w:r>
      <w:proofErr w:type="spellEnd"/>
      <w:r w:rsidR="009625F9" w:rsidRPr="009625F9">
        <w:t xml:space="preserve">., fasc. 2/2024; E. </w:t>
      </w:r>
      <w:r w:rsidR="009625F9" w:rsidRPr="009625F9">
        <w:rPr>
          <w:smallCaps/>
        </w:rPr>
        <w:t>Longo</w:t>
      </w:r>
      <w:r w:rsidR="009625F9" w:rsidRPr="009625F9">
        <w:t xml:space="preserve">, </w:t>
      </w:r>
      <w:r w:rsidR="009625F9" w:rsidRPr="009625F9">
        <w:rPr>
          <w:i/>
          <w:iCs/>
          <w:caps/>
        </w:rPr>
        <w:t>L</w:t>
      </w:r>
      <w:r w:rsidR="009625F9" w:rsidRPr="009625F9">
        <w:rPr>
          <w:i/>
          <w:iCs/>
        </w:rPr>
        <w:t>ibertà di informazione e lotta alla disinformazione nel</w:t>
      </w:r>
      <w:r w:rsidR="009625F9">
        <w:rPr>
          <w:i/>
          <w:iCs/>
        </w:rPr>
        <w:t xml:space="preserve"> </w:t>
      </w:r>
      <w:proofErr w:type="spellStart"/>
      <w:r w:rsidR="009625F9" w:rsidRPr="009625F9">
        <w:rPr>
          <w:i/>
          <w:iCs/>
        </w:rPr>
        <w:t>digital</w:t>
      </w:r>
      <w:proofErr w:type="spellEnd"/>
      <w:r w:rsidR="009625F9" w:rsidRPr="009625F9">
        <w:rPr>
          <w:i/>
          <w:iCs/>
        </w:rPr>
        <w:t xml:space="preserve"> services act</w:t>
      </w:r>
      <w:r w:rsidR="009625F9" w:rsidRPr="009625F9">
        <w:t>, in</w:t>
      </w:r>
      <w:r w:rsidR="009625F9">
        <w:t>:</w:t>
      </w:r>
      <w:r w:rsidR="009625F9" w:rsidRPr="009625F9">
        <w:t xml:space="preserve"> </w:t>
      </w:r>
      <w:proofErr w:type="spellStart"/>
      <w:r w:rsidR="009625F9" w:rsidRPr="009625F9">
        <w:rPr>
          <w:i/>
          <w:iCs/>
        </w:rPr>
        <w:t>Giorn</w:t>
      </w:r>
      <w:proofErr w:type="spellEnd"/>
      <w:r w:rsidR="009625F9" w:rsidRPr="009625F9">
        <w:rPr>
          <w:i/>
          <w:iCs/>
        </w:rPr>
        <w:t xml:space="preserve">. Dir. </w:t>
      </w:r>
      <w:proofErr w:type="spellStart"/>
      <w:r w:rsidR="009625F9" w:rsidRPr="009625F9">
        <w:rPr>
          <w:i/>
          <w:iCs/>
        </w:rPr>
        <w:t>Amm</w:t>
      </w:r>
      <w:proofErr w:type="spellEnd"/>
      <w:r w:rsidR="009625F9" w:rsidRPr="009625F9">
        <w:rPr>
          <w:i/>
          <w:iCs/>
        </w:rPr>
        <w:t>.</w:t>
      </w:r>
      <w:r w:rsidR="009625F9" w:rsidRPr="009625F9">
        <w:t>, fasc. 6/2023.</w:t>
      </w:r>
    </w:p>
  </w:footnote>
  <w:footnote w:id="17">
    <w:p w14:paraId="3069DAE5" w14:textId="46D6D4DA" w:rsidR="00051A55" w:rsidRDefault="00051A55" w:rsidP="009625F9">
      <w:pPr>
        <w:pStyle w:val="Testonotaapidipagina"/>
        <w:jc w:val="both"/>
      </w:pPr>
      <w:r w:rsidRPr="009625F9">
        <w:rPr>
          <w:rStyle w:val="Rimandonotaapidipagina"/>
        </w:rPr>
        <w:footnoteRef/>
      </w:r>
      <w:r w:rsidRPr="009625F9">
        <w:t xml:space="preserve"> Corte cost.</w:t>
      </w:r>
      <w:r w:rsidR="009625F9" w:rsidRPr="009625F9">
        <w:t xml:space="preserve">, </w:t>
      </w:r>
      <w:proofErr w:type="spellStart"/>
      <w:r w:rsidR="009625F9" w:rsidRPr="009625F9">
        <w:t>sent</w:t>
      </w:r>
      <w:proofErr w:type="spellEnd"/>
      <w:r w:rsidR="009625F9" w:rsidRPr="009625F9">
        <w:t xml:space="preserve">. 22 gennaio 1981, n. 1. Sul punto: A. </w:t>
      </w:r>
      <w:r w:rsidR="009625F9" w:rsidRPr="009625F9">
        <w:rPr>
          <w:smallCaps/>
        </w:rPr>
        <w:t>Cardone</w:t>
      </w:r>
      <w:r w:rsidR="009625F9" w:rsidRPr="009625F9">
        <w:t>,</w:t>
      </w:r>
      <w:r w:rsidR="009625F9">
        <w:t xml:space="preserve"> </w:t>
      </w:r>
      <w:r w:rsidR="009625F9" w:rsidRPr="009625F9">
        <w:rPr>
          <w:i/>
          <w:iCs/>
        </w:rPr>
        <w:t>L'incidenza della libertà d'espressione garantita dall'art. 10 CEDU nell'ordinamento costituzionale italiano</w:t>
      </w:r>
      <w:r w:rsidR="009625F9">
        <w:t xml:space="preserve">, in: </w:t>
      </w:r>
      <w:r w:rsidR="009625F9" w:rsidRPr="009625F9">
        <w:rPr>
          <w:i/>
          <w:iCs/>
        </w:rPr>
        <w:t>www.osservatoriosullefonti.it</w:t>
      </w:r>
      <w:r w:rsidR="009625F9">
        <w:t xml:space="preserve">, 2012, </w:t>
      </w:r>
      <w:proofErr w:type="spellStart"/>
      <w:r w:rsidR="009625F9">
        <w:t>num</w:t>
      </w:r>
      <w:proofErr w:type="spellEnd"/>
      <w:r w:rsidR="009625F9">
        <w:t>. 3.</w:t>
      </w:r>
    </w:p>
  </w:footnote>
  <w:footnote w:id="18">
    <w:p w14:paraId="57B0783D" w14:textId="74B45EC8" w:rsidR="005D4558" w:rsidRPr="00EB47E3" w:rsidRDefault="005D4558" w:rsidP="00633F53">
      <w:pPr>
        <w:pStyle w:val="Testonotaapidipagina"/>
        <w:jc w:val="both"/>
        <w:rPr>
          <w:highlight w:val="yellow"/>
        </w:rPr>
      </w:pPr>
      <w:r>
        <w:rPr>
          <w:rStyle w:val="Rimandonotaapidipagina"/>
        </w:rPr>
        <w:footnoteRef/>
      </w:r>
      <w:r>
        <w:t xml:space="preserve"> </w:t>
      </w:r>
      <w:r w:rsidR="00633F53" w:rsidRPr="00633F53">
        <w:t>In psicologia per ‘</w:t>
      </w:r>
      <w:proofErr w:type="spellStart"/>
      <w:r w:rsidR="00633F53" w:rsidRPr="00633F53">
        <w:rPr>
          <w:i/>
          <w:iCs/>
        </w:rPr>
        <w:t>bias</w:t>
      </w:r>
      <w:proofErr w:type="spellEnd"/>
      <w:r w:rsidR="00633F53" w:rsidRPr="00633F53">
        <w:rPr>
          <w:i/>
          <w:iCs/>
        </w:rPr>
        <w:t xml:space="preserve"> di conferma</w:t>
      </w:r>
      <w:r w:rsidR="00633F53" w:rsidRPr="00633F53">
        <w:t>’</w:t>
      </w:r>
      <w:r w:rsidRPr="00633F53">
        <w:t xml:space="preserve"> </w:t>
      </w:r>
      <w:r w:rsidR="00633F53" w:rsidRPr="00633F53">
        <w:t>si intende</w:t>
      </w:r>
      <w:r w:rsidRPr="00633F53">
        <w:t xml:space="preserve"> quella deformazione cognitiva </w:t>
      </w:r>
      <w:r w:rsidR="00633F53" w:rsidRPr="00633F53">
        <w:t>la qual</w:t>
      </w:r>
      <w:r w:rsidRPr="00633F53">
        <w:t>e fa sì che il cervello dia maggior peso, e quindi rilevanza, alle informazioni che confermano le proprie credenze pregresse riguardo ad un certo argomento</w:t>
      </w:r>
      <w:r w:rsidR="00633F53">
        <w:t xml:space="preserve"> rispetto a quelle che vi si oppongano (o che, più semplicemente, postulano un modo nuovo di affrontare la questione)</w:t>
      </w:r>
      <w:r w:rsidRPr="00633F53">
        <w:t>. Questo principio di funzionamento si basa su una sorta di “</w:t>
      </w:r>
      <w:r w:rsidRPr="00633F53">
        <w:rPr>
          <w:i/>
          <w:iCs/>
        </w:rPr>
        <w:t>economia cognitiva</w:t>
      </w:r>
      <w:r w:rsidRPr="00633F53">
        <w:t>”: la mente impiega meno energia nel confermare una credenza, piuttosto che sfatarla per costruire nuove visioni della realtà e produrre nuova conoscenza.</w:t>
      </w:r>
    </w:p>
  </w:footnote>
  <w:footnote w:id="19">
    <w:p w14:paraId="27E899E1" w14:textId="16BEE40B" w:rsidR="00EB47E3" w:rsidRDefault="00EB47E3" w:rsidP="00633F53">
      <w:pPr>
        <w:pStyle w:val="Testonotaapidipagina"/>
        <w:jc w:val="both"/>
      </w:pPr>
      <w:r w:rsidRPr="00633F53">
        <w:rPr>
          <w:rStyle w:val="Rimandonotaapidipagina"/>
        </w:rPr>
        <w:footnoteRef/>
      </w:r>
      <w:r w:rsidRPr="00633F53">
        <w:t xml:space="preserve"> </w:t>
      </w:r>
      <w:r w:rsidR="00633F53" w:rsidRPr="00633F53">
        <w:t xml:space="preserve">Sul punto: M. </w:t>
      </w:r>
      <w:proofErr w:type="spellStart"/>
      <w:r w:rsidR="00633F53" w:rsidRPr="00633F53">
        <w:rPr>
          <w:smallCaps/>
        </w:rPr>
        <w:t>Morcellini</w:t>
      </w:r>
      <w:proofErr w:type="spellEnd"/>
      <w:r w:rsidR="00633F53" w:rsidRPr="00633F53">
        <w:t xml:space="preserve">, </w:t>
      </w:r>
      <w:r w:rsidR="00633F53" w:rsidRPr="00633F53">
        <w:rPr>
          <w:i/>
          <w:iCs/>
        </w:rPr>
        <w:t>Informazione social: uno scrigno vuoto</w:t>
      </w:r>
      <w:r w:rsidR="00633F53" w:rsidRPr="00633F53">
        <w:t xml:space="preserve">, in: </w:t>
      </w:r>
      <w:r w:rsidR="00633F53" w:rsidRPr="00633F53">
        <w:rPr>
          <w:i/>
          <w:iCs/>
        </w:rPr>
        <w:t>Coscienza</w:t>
      </w:r>
      <w:r w:rsidR="00633F53" w:rsidRPr="00633F53">
        <w:t>, fasc.</w:t>
      </w:r>
      <w:r w:rsidR="00633F53">
        <w:t xml:space="preserve"> 4/2018.</w:t>
      </w:r>
    </w:p>
  </w:footnote>
  <w:footnote w:id="20">
    <w:p w14:paraId="37E881B7" w14:textId="62581D46" w:rsidR="003C2B39" w:rsidRDefault="003C2B39" w:rsidP="00063DE7">
      <w:pPr>
        <w:pStyle w:val="Testonotaapidipagina"/>
        <w:jc w:val="both"/>
      </w:pPr>
      <w:r>
        <w:rPr>
          <w:rStyle w:val="Rimandonotaapidipagina"/>
        </w:rPr>
        <w:footnoteRef/>
      </w:r>
      <w:r>
        <w:t xml:space="preserve"> Si tratta del documento 9301/24 rinvenibile all’indirizzo </w:t>
      </w:r>
      <w:r w:rsidR="00063DE7" w:rsidRPr="00063DE7">
        <w:rPr>
          <w:i/>
          <w:iCs/>
        </w:rPr>
        <w:t>https://data.consilium.europa.eu</w:t>
      </w:r>
    </w:p>
  </w:footnote>
  <w:footnote w:id="21">
    <w:p w14:paraId="52C61E33" w14:textId="481001EF" w:rsidR="00493FD6" w:rsidRPr="00493FD6" w:rsidRDefault="006B1802" w:rsidP="00493FD6">
      <w:pPr>
        <w:pStyle w:val="Testonotaapidipagina"/>
        <w:jc w:val="both"/>
        <w:rPr>
          <w:i/>
          <w:iCs/>
        </w:rPr>
      </w:pPr>
      <w:r>
        <w:rPr>
          <w:rStyle w:val="Rimandonotaapidipagina"/>
        </w:rPr>
        <w:footnoteRef/>
      </w:r>
      <w:r>
        <w:t xml:space="preserve"> </w:t>
      </w:r>
      <w:r w:rsidR="00493FD6">
        <w:t xml:space="preserve">L’articolo 11 della </w:t>
      </w:r>
      <w:r w:rsidR="00493FD6" w:rsidRPr="00493FD6">
        <w:rPr>
          <w:i/>
          <w:iCs/>
        </w:rPr>
        <w:t>Carta dei diritti fondamentali dell’UE</w:t>
      </w:r>
      <w:r w:rsidR="00493FD6">
        <w:t xml:space="preserve"> (rubricato ‘</w:t>
      </w:r>
      <w:r w:rsidR="00493FD6" w:rsidRPr="00493FD6">
        <w:rPr>
          <w:i/>
          <w:iCs/>
        </w:rPr>
        <w:t>Libertà di espressione e di informazione</w:t>
      </w:r>
      <w:r w:rsidR="00493FD6">
        <w:t>’) stabilisce che «</w:t>
      </w:r>
      <w:r w:rsidR="00493FD6" w:rsidRPr="00493FD6">
        <w:rPr>
          <w:i/>
          <w:iCs/>
        </w:rPr>
        <w:t>1. Ogni persona ha diritto alla libertà di espressione. Tale diritto include la libertà di opinione e la libertà di ricevere e di comunicare informazioni o idee senza che vi possa essere ingerenza da parte delle autorità pubbliche e senza limiti di frontiera.</w:t>
      </w:r>
    </w:p>
    <w:p w14:paraId="3908B981" w14:textId="29271B85" w:rsidR="006B1802" w:rsidRDefault="00493FD6">
      <w:pPr>
        <w:pStyle w:val="Testonotaapidipagina"/>
      </w:pPr>
      <w:r w:rsidRPr="00493FD6">
        <w:rPr>
          <w:i/>
          <w:iCs/>
        </w:rPr>
        <w:t>2. La libertà dei media e il loro pluralismo sono rispettati</w:t>
      </w:r>
      <w:r>
        <w:t>».</w:t>
      </w:r>
    </w:p>
  </w:footnote>
  <w:footnote w:id="22">
    <w:p w14:paraId="0D5C8E0D" w14:textId="178B7E26" w:rsidR="00E47C37" w:rsidRDefault="00E47C37" w:rsidP="0088337A">
      <w:pPr>
        <w:pStyle w:val="Testonotaapidipagina"/>
        <w:jc w:val="both"/>
      </w:pPr>
      <w:r>
        <w:rPr>
          <w:rStyle w:val="Rimandonotaapidipagina"/>
        </w:rPr>
        <w:footnoteRef/>
      </w:r>
      <w:r>
        <w:t xml:space="preserve"> Ci si limita qui a richiamare il disegno di legge AS 1160, presentato in data 5 giugno 2024 dai senatori Sironi e a. (rubricato </w:t>
      </w:r>
      <w:r w:rsidRPr="00E47C37">
        <w:rPr>
          <w:i/>
          <w:iCs/>
        </w:rPr>
        <w:t>Modifiche alla legge 17 ottobre 1967, n.977, in materia di impiego dei</w:t>
      </w:r>
      <w:r>
        <w:rPr>
          <w:i/>
          <w:iCs/>
        </w:rPr>
        <w:t xml:space="preserve"> </w:t>
      </w:r>
      <w:r w:rsidRPr="00E47C37">
        <w:rPr>
          <w:i/>
          <w:iCs/>
        </w:rPr>
        <w:t>minori nell’ambito delle piattaforme digitali di condivisione di contenuti</w:t>
      </w:r>
      <w:r>
        <w:rPr>
          <w:i/>
          <w:iCs/>
        </w:rPr>
        <w:t xml:space="preserve"> </w:t>
      </w:r>
      <w:r w:rsidRPr="00E47C37">
        <w:rPr>
          <w:i/>
          <w:iCs/>
        </w:rPr>
        <w:t>multimediali, nonché disposizioni sulla diffusione dell’immagine e di</w:t>
      </w:r>
      <w:r>
        <w:rPr>
          <w:i/>
          <w:iCs/>
        </w:rPr>
        <w:t xml:space="preserve"> </w:t>
      </w:r>
      <w:r w:rsidRPr="00E47C37">
        <w:rPr>
          <w:i/>
          <w:iCs/>
        </w:rPr>
        <w:t>contenuti multimediali di minori</w:t>
      </w:r>
      <w:r>
        <w:t xml:space="preserve">), assegnato all’VIII Commissione permanente in sede redigente già ad aprile 2024 e in seguito non più calendarizzato. Più recente è il disegno di legge AS 1136, presentato in data </w:t>
      </w:r>
      <w:r w:rsidR="0088337A">
        <w:t>13 maggio 2024</w:t>
      </w:r>
      <w:r>
        <w:t xml:space="preserve"> dai senatori </w:t>
      </w:r>
      <w:proofErr w:type="spellStart"/>
      <w:r>
        <w:t>Mennuni</w:t>
      </w:r>
      <w:proofErr w:type="spellEnd"/>
      <w:r>
        <w:t xml:space="preserve"> e a. (rubricato ‘</w:t>
      </w:r>
      <w:r w:rsidRPr="00E47C37">
        <w:rPr>
          <w:i/>
          <w:iCs/>
        </w:rPr>
        <w:t>Disposizioni per la tutela dei minori nella dimensione digitale</w:t>
      </w:r>
      <w:r>
        <w:t>’)</w:t>
      </w:r>
      <w:r w:rsidR="0088337A">
        <w:t xml:space="preserve"> e allo stato di esame in Commissione VIII al momento in cui il presente contributo viene elaborato (dicembre 2025).</w:t>
      </w:r>
    </w:p>
  </w:footnote>
  <w:footnote w:id="23">
    <w:p w14:paraId="3C451791" w14:textId="01CEF802" w:rsidR="000C5023" w:rsidRPr="00EA5076" w:rsidRDefault="000C5023" w:rsidP="00EA5076">
      <w:pPr>
        <w:pStyle w:val="Testonotaapidipagina"/>
        <w:jc w:val="both"/>
      </w:pPr>
      <w:r>
        <w:rPr>
          <w:rStyle w:val="Rimandonotaapidipagina"/>
        </w:rPr>
        <w:footnoteRef/>
      </w:r>
      <w:r>
        <w:t xml:space="preserve"> Ci si </w:t>
      </w:r>
      <w:r w:rsidRPr="00EA5076">
        <w:t xml:space="preserve">riferisce, in particolare, ai contributi di L. </w:t>
      </w:r>
      <w:r w:rsidRPr="00EA5076">
        <w:rPr>
          <w:smallCaps/>
        </w:rPr>
        <w:t>Aria</w:t>
      </w:r>
      <w:r w:rsidRPr="00EA5076">
        <w:t xml:space="preserve">, M. </w:t>
      </w:r>
      <w:r w:rsidRPr="00EA5076">
        <w:rPr>
          <w:smallCaps/>
        </w:rPr>
        <w:t>Capitanio</w:t>
      </w:r>
      <w:r w:rsidRPr="00EA5076">
        <w:t xml:space="preserve">, G. </w:t>
      </w:r>
      <w:r w:rsidRPr="00EA5076">
        <w:rPr>
          <w:smallCaps/>
        </w:rPr>
        <w:t>Greppi</w:t>
      </w:r>
      <w:r w:rsidRPr="00EA5076">
        <w:t xml:space="preserve"> – F. </w:t>
      </w:r>
      <w:r w:rsidRPr="00EA5076">
        <w:rPr>
          <w:smallCaps/>
        </w:rPr>
        <w:t>Pellicanò</w:t>
      </w:r>
      <w:r w:rsidRPr="00EA5076">
        <w:t xml:space="preserve"> e a quello di G. </w:t>
      </w:r>
      <w:r w:rsidRPr="00EA5076">
        <w:rPr>
          <w:smallCaps/>
        </w:rPr>
        <w:t>Nava</w:t>
      </w:r>
      <w:r w:rsidRPr="00EA5076">
        <w:t>.</w:t>
      </w:r>
    </w:p>
  </w:footnote>
  <w:footnote w:id="24">
    <w:p w14:paraId="26B81F55" w14:textId="58FD7EB7" w:rsidR="00E84E56" w:rsidRPr="00EA5076" w:rsidRDefault="00E84E56" w:rsidP="00EA5076">
      <w:pPr>
        <w:pStyle w:val="owned1"/>
        <w:shd w:val="clear" w:color="auto" w:fill="FFFFFF"/>
        <w:spacing w:before="0" w:beforeAutospacing="0" w:after="0" w:afterAutospacing="0"/>
        <w:jc w:val="both"/>
        <w:textAlignment w:val="baseline"/>
        <w:rPr>
          <w:i/>
          <w:iCs/>
          <w:caps/>
          <w:sz w:val="20"/>
          <w:szCs w:val="20"/>
        </w:rPr>
      </w:pPr>
      <w:r w:rsidRPr="00EA5076">
        <w:rPr>
          <w:rStyle w:val="Rimandonotaapidipagina"/>
          <w:sz w:val="20"/>
          <w:szCs w:val="20"/>
        </w:rPr>
        <w:footnoteRef/>
      </w:r>
      <w:r w:rsidRPr="00EA5076">
        <w:rPr>
          <w:sz w:val="20"/>
          <w:szCs w:val="20"/>
        </w:rPr>
        <w:t xml:space="preserve"> </w:t>
      </w:r>
      <w:r w:rsidR="00EA5076" w:rsidRPr="00EA5076">
        <w:rPr>
          <w:sz w:val="20"/>
          <w:szCs w:val="20"/>
        </w:rPr>
        <w:t xml:space="preserve">Sul punto: F. </w:t>
      </w:r>
      <w:proofErr w:type="spellStart"/>
      <w:r w:rsidR="00EA5076" w:rsidRPr="00EA5076">
        <w:rPr>
          <w:smallCaps/>
          <w:sz w:val="20"/>
          <w:szCs w:val="20"/>
        </w:rPr>
        <w:t>Polettini</w:t>
      </w:r>
      <w:proofErr w:type="spellEnd"/>
      <w:r w:rsidR="00EA5076" w:rsidRPr="00EA5076">
        <w:rPr>
          <w:sz w:val="20"/>
          <w:szCs w:val="20"/>
        </w:rPr>
        <w:t xml:space="preserve">, </w:t>
      </w:r>
      <w:r w:rsidR="00EA5076" w:rsidRPr="00EA5076">
        <w:rPr>
          <w:i/>
          <w:iCs/>
          <w:caps/>
          <w:sz w:val="20"/>
          <w:szCs w:val="20"/>
        </w:rPr>
        <w:t>I</w:t>
      </w:r>
      <w:r w:rsidR="00EA5076" w:rsidRPr="00EA5076">
        <w:rPr>
          <w:i/>
          <w:iCs/>
          <w:sz w:val="20"/>
          <w:szCs w:val="20"/>
        </w:rPr>
        <w:t>nfluencer: alla ricerca di una definizione unitaria con le nuove linee guida dell’autorità per le garanzie nelle comunicazioni</w:t>
      </w:r>
      <w:r w:rsidR="00EA5076" w:rsidRPr="00EA5076">
        <w:rPr>
          <w:caps/>
          <w:sz w:val="20"/>
          <w:szCs w:val="20"/>
        </w:rPr>
        <w:t xml:space="preserve">, </w:t>
      </w:r>
      <w:r w:rsidR="00EA5076" w:rsidRPr="00EA5076">
        <w:rPr>
          <w:sz w:val="20"/>
          <w:szCs w:val="20"/>
        </w:rPr>
        <w:t xml:space="preserve">in: </w:t>
      </w:r>
      <w:r w:rsidR="00EA5076" w:rsidRPr="00EA5076">
        <w:rPr>
          <w:i/>
          <w:iCs/>
          <w:sz w:val="20"/>
          <w:szCs w:val="20"/>
        </w:rPr>
        <w:t>Il Diritto Industriale</w:t>
      </w:r>
      <w:r w:rsidR="00EA5076">
        <w:rPr>
          <w:sz w:val="20"/>
          <w:szCs w:val="20"/>
        </w:rPr>
        <w:t>, fasc</w:t>
      </w:r>
      <w:r w:rsidR="00EA5076" w:rsidRPr="00EA5076">
        <w:rPr>
          <w:sz w:val="20"/>
          <w:szCs w:val="20"/>
        </w:rPr>
        <w:t xml:space="preserve">. 3/2024; id., </w:t>
      </w:r>
      <w:r w:rsidR="00EA5076" w:rsidRPr="00EA5076">
        <w:rPr>
          <w:i/>
          <w:iCs/>
          <w:sz w:val="20"/>
          <w:szCs w:val="20"/>
        </w:rPr>
        <w:t>L’AGCOM vara il Codice di condotta per gli influencers e modifica le precedenti linee guida: una prima lettura dei principali aspetti dei due provvedimenti</w:t>
      </w:r>
      <w:r w:rsidR="00EA5076" w:rsidRPr="00EA5076">
        <w:rPr>
          <w:sz w:val="20"/>
          <w:szCs w:val="20"/>
        </w:rPr>
        <w:t xml:space="preserve">, in: </w:t>
      </w:r>
      <w:r w:rsidR="00EA5076" w:rsidRPr="00EA5076">
        <w:rPr>
          <w:i/>
          <w:iCs/>
          <w:sz w:val="20"/>
          <w:szCs w:val="20"/>
        </w:rPr>
        <w:t>Il Diritto Industriale</w:t>
      </w:r>
      <w:r w:rsidR="00EA5076">
        <w:rPr>
          <w:sz w:val="20"/>
          <w:szCs w:val="20"/>
        </w:rPr>
        <w:t>, fasc</w:t>
      </w:r>
      <w:r w:rsidR="00EA5076" w:rsidRPr="00EA5076">
        <w:rPr>
          <w:sz w:val="20"/>
          <w:szCs w:val="20"/>
        </w:rPr>
        <w:t xml:space="preserve">. 5/2025; V. </w:t>
      </w:r>
      <w:r w:rsidR="00EA5076" w:rsidRPr="00EA5076">
        <w:rPr>
          <w:smallCaps/>
          <w:sz w:val="20"/>
          <w:szCs w:val="20"/>
        </w:rPr>
        <w:t>Guggino</w:t>
      </w:r>
      <w:r w:rsidR="00EA5076" w:rsidRPr="00EA5076">
        <w:rPr>
          <w:sz w:val="20"/>
          <w:szCs w:val="20"/>
        </w:rPr>
        <w:t xml:space="preserve">, </w:t>
      </w:r>
      <w:r w:rsidR="00EA5076" w:rsidRPr="00EA5076">
        <w:rPr>
          <w:i/>
          <w:iCs/>
          <w:sz w:val="20"/>
          <w:szCs w:val="20"/>
        </w:rPr>
        <w:t>Il Regolamento Digital Chart - IAP e Il Codice di Condotta AGCOM per gli influencer</w:t>
      </w:r>
      <w:r w:rsidR="00EA5076" w:rsidRPr="00EA5076">
        <w:rPr>
          <w:sz w:val="20"/>
          <w:szCs w:val="20"/>
        </w:rPr>
        <w:t xml:space="preserve">, in: </w:t>
      </w:r>
      <w:r w:rsidR="00EA5076" w:rsidRPr="00EA5076">
        <w:rPr>
          <w:i/>
          <w:iCs/>
          <w:sz w:val="20"/>
          <w:szCs w:val="20"/>
        </w:rPr>
        <w:t>Il Diritto Industriale</w:t>
      </w:r>
      <w:r w:rsidR="00EA5076">
        <w:rPr>
          <w:i/>
          <w:iCs/>
          <w:sz w:val="20"/>
          <w:szCs w:val="20"/>
        </w:rPr>
        <w:t>,</w:t>
      </w:r>
      <w:r w:rsidR="00EA5076" w:rsidRPr="00EA5076">
        <w:rPr>
          <w:sz w:val="20"/>
          <w:szCs w:val="20"/>
        </w:rPr>
        <w:t xml:space="preserve"> </w:t>
      </w:r>
      <w:r w:rsidR="00EA5076">
        <w:rPr>
          <w:sz w:val="20"/>
          <w:szCs w:val="20"/>
        </w:rPr>
        <w:t>fasc</w:t>
      </w:r>
      <w:r w:rsidR="00EA5076" w:rsidRPr="00EA5076">
        <w:rPr>
          <w:sz w:val="20"/>
          <w:szCs w:val="20"/>
        </w:rPr>
        <w:t>. 5/2025.</w:t>
      </w:r>
    </w:p>
  </w:footnote>
  <w:footnote w:id="25">
    <w:p w14:paraId="664104B4" w14:textId="208EA414" w:rsidR="00E9068E" w:rsidRPr="00E13853" w:rsidRDefault="00E9068E" w:rsidP="00DC3E71">
      <w:pPr>
        <w:pStyle w:val="Testonotaapidipagina"/>
        <w:jc w:val="both"/>
        <w:rPr>
          <w:highlight w:val="yellow"/>
        </w:rPr>
      </w:pPr>
      <w:r w:rsidRPr="00DC3E71">
        <w:rPr>
          <w:rStyle w:val="Rimandonotaapidipagina"/>
        </w:rPr>
        <w:footnoteRef/>
      </w:r>
      <w:r w:rsidRPr="00DC3E71">
        <w:t xml:space="preserve"> </w:t>
      </w:r>
      <w:r w:rsidR="00DC3E71" w:rsidRPr="00DC3E71">
        <w:t>In particolare, la Delibera 7/24/CONS richiama, quale fonte abilitativa, l’art. 4-bis della Direttiva 2018/1808/UE, secondo cui «</w:t>
      </w:r>
      <w:r w:rsidR="00DC3E71" w:rsidRPr="00DC3E71">
        <w:rPr>
          <w:i/>
          <w:iCs/>
        </w:rPr>
        <w:t xml:space="preserve">gli Stati membri incoraggiano il ricorso alla </w:t>
      </w:r>
      <w:proofErr w:type="spellStart"/>
      <w:r w:rsidR="00DC3E71" w:rsidRPr="00DC3E71">
        <w:rPr>
          <w:i/>
          <w:iCs/>
        </w:rPr>
        <w:t>coregolamentazione</w:t>
      </w:r>
      <w:proofErr w:type="spellEnd"/>
      <w:r w:rsidR="00DC3E71" w:rsidRPr="00DC3E71">
        <w:rPr>
          <w:i/>
          <w:iCs/>
        </w:rPr>
        <w:t xml:space="preserve"> e la promozione dell'autoregolamentazione tramite codici di condotta adottati a livello nazionale nei settori coordinati dalla presente direttiva nella misura consentita dai loro ordinamenti giuridici. Tali codici: a) sono concepiti in modo da essere ampiamente accettati dai principali soggetti interessati negli Stati membri; b) stabiliscono chiaramente e senza ambiguità i loro obiettivi, c) forniscono un monitoraggio e una valutazione regolari, trasparenti e indipendenti degli obiettivi fissati; e d) prevedono un'applicazione effettiva, comprensiva altresì di sanzioni effettive e proporzionate […]</w:t>
      </w:r>
      <w:r w:rsidR="00DC3E71" w:rsidRPr="00DC3E71">
        <w:t>».</w:t>
      </w:r>
    </w:p>
  </w:footnote>
  <w:footnote w:id="26">
    <w:p w14:paraId="13CBE57A" w14:textId="2CBC9112" w:rsidR="00E13853" w:rsidRDefault="00E13853" w:rsidP="003D6FB2">
      <w:pPr>
        <w:pStyle w:val="Testonotaapidipagina"/>
        <w:jc w:val="both"/>
      </w:pPr>
      <w:r w:rsidRPr="003D6FB2">
        <w:rPr>
          <w:rStyle w:val="Rimandonotaapidipagina"/>
        </w:rPr>
        <w:footnoteRef/>
      </w:r>
      <w:r w:rsidRPr="003D6FB2">
        <w:t xml:space="preserve"> </w:t>
      </w:r>
      <w:r w:rsidR="00EA5076" w:rsidRPr="003D6FB2">
        <w:t>Ai sensi del punto 4 delle Linee Guida (2024) – nel testo novellato dalla Delibera</w:t>
      </w:r>
      <w:r w:rsidR="00EA5076">
        <w:t xml:space="preserve"> 197/2025/CONS</w:t>
      </w:r>
      <w:r w:rsidR="003D6FB2">
        <w:t xml:space="preserve"> -</w:t>
      </w:r>
      <w:r w:rsidR="00EA5076">
        <w:t xml:space="preserve"> si considerano quale ‘</w:t>
      </w:r>
      <w:r w:rsidR="00EA5076" w:rsidRPr="003D6FB2">
        <w:rPr>
          <w:i/>
          <w:iCs/>
        </w:rPr>
        <w:t>Influencer rilevanti</w:t>
      </w:r>
      <w:r w:rsidR="00EA5076">
        <w:t>’ «</w:t>
      </w:r>
      <w:r w:rsidR="00EA5076" w:rsidRPr="003D6FB2">
        <w:rPr>
          <w:i/>
          <w:iCs/>
        </w:rPr>
        <w:t>coloro che raggiungono un numero di iscritti (i cos</w:t>
      </w:r>
      <w:r w:rsidR="003D6FB2">
        <w:rPr>
          <w:i/>
          <w:iCs/>
        </w:rPr>
        <w:t>i</w:t>
      </w:r>
      <w:r w:rsidR="00EA5076" w:rsidRPr="003D6FB2">
        <w:rPr>
          <w:i/>
          <w:iCs/>
        </w:rPr>
        <w:t xml:space="preserve">ddetti follower) pari ad almeno 500.000 su almeno una </w:t>
      </w:r>
      <w:r w:rsidR="003D6FB2" w:rsidRPr="003D6FB2">
        <w:rPr>
          <w:i/>
          <w:iCs/>
        </w:rPr>
        <w:t>delle piattaforme di social media o condivisione di video utilizzate, o un numero di visualizzazioni medie mensili pari a un milione su almeno una delle piattaforme di social media o di condivisione video utilizzate Il raggiungimento di una delle due soglie su una piattaforma vincola tali soggetti all’osservanza delle Linee Guida e del Codice di condotta su tutte le piattaforme di social media o condivisione di video su cui abbiano un profilo, a prescindere dal numero di iscritti che vi detengano o dal numero di visualizzazioni che vi realizzano (…)</w:t>
      </w:r>
      <w:r w:rsidR="00EA5076">
        <w:t>».</w:t>
      </w:r>
    </w:p>
  </w:footnote>
  <w:footnote w:id="27">
    <w:p w14:paraId="28511141" w14:textId="77777777" w:rsidR="000E4188" w:rsidRPr="000E4188" w:rsidRDefault="00B021D3" w:rsidP="000E4188">
      <w:pPr>
        <w:pStyle w:val="Testonotaapidipagina"/>
        <w:jc w:val="both"/>
      </w:pPr>
      <w:r w:rsidRPr="000E4188">
        <w:rPr>
          <w:rStyle w:val="Rimandonotaapidipagina"/>
        </w:rPr>
        <w:footnoteRef/>
      </w:r>
      <w:r w:rsidRPr="000E4188">
        <w:t xml:space="preserve"> </w:t>
      </w:r>
      <w:r w:rsidR="003D6FB2" w:rsidRPr="000E4188">
        <w:t xml:space="preserve">Va comunque precisato che, ai sensi del punto 4.ii delle Linee Guida, l’attività degli influencer che operano in maniera mano continuativa e strutturata e che si caratterizzano per non raggiungere le richiamate soglie non ricadono in un’area di assoluta irrilevanza giuridica. Al contrario, l’AGCOM chiarisce che anche per tali operatori trovano applicazione gli articoli 41 e 42 del TUSMA (relativi, rispettivamente, </w:t>
      </w:r>
      <w:r w:rsidR="000E4188" w:rsidRPr="000E4188">
        <w:t>alle disposizioni generali e alle misure di tutela nell’ambito delle disposizioni applicabili ai servizi di piattaforma per la condivisione di video).</w:t>
      </w:r>
    </w:p>
    <w:p w14:paraId="7BC489EC" w14:textId="734E7F77" w:rsidR="00B021D3" w:rsidRPr="000E4188" w:rsidRDefault="000E4188" w:rsidP="000E4188">
      <w:pPr>
        <w:pStyle w:val="Testonotaapidipagina"/>
        <w:jc w:val="both"/>
      </w:pPr>
      <w:r w:rsidRPr="000E4188">
        <w:t xml:space="preserve">Sul punto, v. F. </w:t>
      </w:r>
      <w:r w:rsidRPr="000E4188">
        <w:rPr>
          <w:smallCaps/>
        </w:rPr>
        <w:t>Di Giorgi</w:t>
      </w:r>
      <w:r w:rsidRPr="000E4188">
        <w:t xml:space="preserve">, </w:t>
      </w:r>
      <w:r w:rsidRPr="000E4188">
        <w:rPr>
          <w:i/>
          <w:iCs/>
        </w:rPr>
        <w:t>Commento agli articoli 41 e 42</w:t>
      </w:r>
      <w:r w:rsidRPr="000E4188">
        <w:t xml:space="preserve">, in: </w:t>
      </w:r>
      <w:r w:rsidRPr="000E4188">
        <w:rPr>
          <w:smallCaps/>
        </w:rPr>
        <w:t>C. Contessa – P. Del Vecchio</w:t>
      </w:r>
      <w:r w:rsidRPr="000E4188">
        <w:t xml:space="preserve"> (a cura di) </w:t>
      </w:r>
      <w:r w:rsidRPr="000E4188">
        <w:rPr>
          <w:i/>
          <w:iCs/>
        </w:rPr>
        <w:t>Testo Unico Servizi Media Audiovisivi (Annotato con dottrina e giurisprudenza)</w:t>
      </w:r>
      <w:r w:rsidRPr="000E4188">
        <w:t xml:space="preserve">, Napoli, 2023, pag. 748, segg. </w:t>
      </w:r>
      <w:r w:rsidR="003D6FB2" w:rsidRPr="000E4188">
        <w:t xml:space="preserve"> </w:t>
      </w:r>
    </w:p>
  </w:footnote>
  <w:footnote w:id="28">
    <w:p w14:paraId="5A65AEB7" w14:textId="76C50F84" w:rsidR="00B021D3" w:rsidRPr="00C52B98" w:rsidRDefault="00B021D3" w:rsidP="003C78EF">
      <w:pPr>
        <w:pStyle w:val="Testonotaapidipagina"/>
        <w:jc w:val="both"/>
      </w:pPr>
      <w:r w:rsidRPr="003C78EF">
        <w:rPr>
          <w:rStyle w:val="Rimandonotaapidipagina"/>
        </w:rPr>
        <w:footnoteRef/>
      </w:r>
      <w:r w:rsidRPr="003C78EF">
        <w:t xml:space="preserve"> </w:t>
      </w:r>
      <w:r w:rsidR="006617A1" w:rsidRPr="003C78EF">
        <w:t>Va qui osservato che la più recente giurisprudenza del Consiglio di Stato ha sottoposto</w:t>
      </w:r>
      <w:r w:rsidR="006617A1">
        <w:t xml:space="preserve"> a revisione critica il risalente orientamento secondo cui </w:t>
      </w:r>
      <w:r w:rsidR="006617A1" w:rsidRPr="006617A1">
        <w:t>l’esercizio del potere di regolazione demandato alle Autorità Amministrative Indipendenti, pur conoscendo un’attenuazione del principio di legalità in senso formale, po</w:t>
      </w:r>
      <w:r w:rsidR="006617A1">
        <w:t>trebbe</w:t>
      </w:r>
      <w:r w:rsidR="006617A1" w:rsidRPr="006617A1">
        <w:t xml:space="preserve"> in qualche modo essere giustificato attraverso forme di rafforzamento del principio di legalità in senso procedimentale </w:t>
      </w:r>
      <w:r w:rsidR="006617A1">
        <w:t xml:space="preserve">- </w:t>
      </w:r>
      <w:r w:rsidR="006617A1" w:rsidRPr="002C2E4C">
        <w:rPr>
          <w:i/>
          <w:iCs/>
        </w:rPr>
        <w:t>e.g</w:t>
      </w:r>
      <w:r w:rsidR="006617A1" w:rsidRPr="006617A1">
        <w:t>.: attraverso forme di consultazione pubblica che precedono l’adozione degli atti di regolazione</w:t>
      </w:r>
      <w:r w:rsidR="006617A1">
        <w:t xml:space="preserve"> –</w:t>
      </w:r>
      <w:r w:rsidR="006617A1" w:rsidRPr="006617A1">
        <w:t xml:space="preserve"> </w:t>
      </w:r>
      <w:r w:rsidR="006617A1">
        <w:t xml:space="preserve">(v., in particolare: Cons. Stato, II, 7 marzo 2024, n. 2255). La decisione appena richiamata ha altresì negato </w:t>
      </w:r>
      <w:r w:rsidR="002C2E4C">
        <w:t xml:space="preserve">che forme di </w:t>
      </w:r>
      <w:r w:rsidR="006617A1" w:rsidRPr="006617A1">
        <w:t>attenuazione del medesimo principio di legalità in senso formale possa</w:t>
      </w:r>
      <w:r w:rsidR="002C2E4C">
        <w:t>no</w:t>
      </w:r>
      <w:r w:rsidR="006617A1" w:rsidRPr="006617A1">
        <w:t xml:space="preserve"> in qualche misura essere giustificat</w:t>
      </w:r>
      <w:r w:rsidR="002C2E4C">
        <w:t>e</w:t>
      </w:r>
      <w:r w:rsidR="006617A1" w:rsidRPr="006617A1">
        <w:t xml:space="preserve"> attraverso il richiamo alla teoria dei cc.dd. ‘poteri impliciti’</w:t>
      </w:r>
      <w:r w:rsidR="006617A1">
        <w:t>. Sul punto</w:t>
      </w:r>
      <w:r w:rsidR="003C78EF">
        <w:t xml:space="preserve">: </w:t>
      </w:r>
      <w:r w:rsidR="003C78EF" w:rsidRPr="003C78EF">
        <w:rPr>
          <w:i/>
          <w:iCs/>
        </w:rPr>
        <w:t xml:space="preserve">Foro </w:t>
      </w:r>
      <w:proofErr w:type="spellStart"/>
      <w:r w:rsidR="003C78EF" w:rsidRPr="003C78EF">
        <w:rPr>
          <w:i/>
          <w:iCs/>
        </w:rPr>
        <w:t>it</w:t>
      </w:r>
      <w:proofErr w:type="spellEnd"/>
      <w:r w:rsidR="003C78EF">
        <w:t xml:space="preserve">., 2024, 3, 9, col. 466. V. anche </w:t>
      </w:r>
      <w:r w:rsidR="003C78EF" w:rsidRPr="003C78EF">
        <w:rPr>
          <w:smallCaps/>
        </w:rPr>
        <w:t>F.L. Maggio</w:t>
      </w:r>
      <w:r w:rsidR="003C78EF">
        <w:t xml:space="preserve">, </w:t>
      </w:r>
      <w:r w:rsidR="003C78EF" w:rsidRPr="003C78EF">
        <w:rPr>
          <w:i/>
          <w:iCs/>
        </w:rPr>
        <w:t>Questioni interpr</w:t>
      </w:r>
      <w:r w:rsidR="003C78EF" w:rsidRPr="00C52B98">
        <w:rPr>
          <w:i/>
          <w:iCs/>
        </w:rPr>
        <w:t>etative sui poteri normativi delle Autorità amministrative indipendenti</w:t>
      </w:r>
      <w:r w:rsidR="003C78EF" w:rsidRPr="00C52B98">
        <w:t xml:space="preserve">, in: </w:t>
      </w:r>
      <w:hyperlink r:id="rId4" w:history="1">
        <w:r w:rsidR="00C52B98" w:rsidRPr="00C52B98">
          <w:rPr>
            <w:rStyle w:val="Collegamentoipertestuale"/>
            <w:i/>
            <w:iCs/>
            <w:color w:val="auto"/>
            <w:u w:val="none"/>
          </w:rPr>
          <w:t>www.federalismi.it</w:t>
        </w:r>
      </w:hyperlink>
      <w:r w:rsidR="003C78EF" w:rsidRPr="00C52B98">
        <w:t xml:space="preserve">, 20/2021, par. 8.2 e </w:t>
      </w:r>
      <w:r w:rsidR="003C78EF" w:rsidRPr="00C52B98">
        <w:rPr>
          <w:i/>
          <w:iCs/>
        </w:rPr>
        <w:t>passim</w:t>
      </w:r>
      <w:r w:rsidR="003C78EF" w:rsidRPr="00C52B98">
        <w:t>.</w:t>
      </w:r>
    </w:p>
  </w:footnote>
  <w:footnote w:id="29">
    <w:p w14:paraId="2DE6641F" w14:textId="0F87990E" w:rsidR="00E2732B" w:rsidRPr="003C78EF" w:rsidRDefault="00E2732B" w:rsidP="003C78EF">
      <w:pPr>
        <w:pStyle w:val="Testonotaapidipagina"/>
        <w:jc w:val="both"/>
      </w:pPr>
      <w:r w:rsidRPr="00C52B98">
        <w:rPr>
          <w:rStyle w:val="Rimandonotaapidipagina"/>
        </w:rPr>
        <w:footnoteRef/>
      </w:r>
      <w:r w:rsidRPr="00C52B98">
        <w:t xml:space="preserve"> </w:t>
      </w:r>
      <w:r w:rsidR="003C78EF" w:rsidRPr="00C52B98">
        <w:t xml:space="preserve">Sul punto: A. </w:t>
      </w:r>
      <w:r w:rsidR="003C78EF" w:rsidRPr="00C52B98">
        <w:rPr>
          <w:smallCaps/>
        </w:rPr>
        <w:t>Papa</w:t>
      </w:r>
      <w:r w:rsidR="003C78EF" w:rsidRPr="00C52B98">
        <w:t xml:space="preserve">, </w:t>
      </w:r>
      <w:r w:rsidR="003C78EF" w:rsidRPr="00C52B98">
        <w:rPr>
          <w:i/>
          <w:iCs/>
        </w:rPr>
        <w:t>Disintermediazione dell’informazione e della comunicazione politica nelle democrazie digitali</w:t>
      </w:r>
      <w:r w:rsidR="003C78EF" w:rsidRPr="00C52B98">
        <w:t xml:space="preserve">, in: </w:t>
      </w:r>
      <w:hyperlink r:id="rId5" w:history="1">
        <w:r w:rsidR="00C52B98" w:rsidRPr="00C52B98">
          <w:rPr>
            <w:rStyle w:val="Collegamentoipertestuale"/>
            <w:i/>
            <w:iCs/>
            <w:color w:val="auto"/>
            <w:u w:val="none"/>
          </w:rPr>
          <w:t>www.federalismi.it</w:t>
        </w:r>
      </w:hyperlink>
      <w:r w:rsidR="003C78EF" w:rsidRPr="00C52B98">
        <w:t>,</w:t>
      </w:r>
      <w:r w:rsidR="003C78EF" w:rsidRPr="003C78EF">
        <w:t xml:space="preserve"> 15/2025.</w:t>
      </w:r>
    </w:p>
  </w:footnote>
  <w:footnote w:id="30">
    <w:p w14:paraId="0C4BDA86" w14:textId="5A0C4D55" w:rsidR="004C4DA1" w:rsidRPr="003C78EF" w:rsidRDefault="004C4DA1" w:rsidP="003F1EE7">
      <w:pPr>
        <w:pStyle w:val="Testonotaapidipagina"/>
        <w:jc w:val="both"/>
      </w:pPr>
      <w:r w:rsidRPr="003C78EF">
        <w:rPr>
          <w:rStyle w:val="Rimandonotaapidipagina"/>
        </w:rPr>
        <w:footnoteRef/>
      </w:r>
      <w:r w:rsidRPr="003C78EF">
        <w:t xml:space="preserve"> </w:t>
      </w:r>
      <w:r w:rsidR="003C78EF">
        <w:t>In particolare, le Linee Guida (2024), nel testo novellato dalla Delibera 197/2025/CONS, al punto 7 affermano che «</w:t>
      </w:r>
      <w:r w:rsidR="003C78EF" w:rsidRPr="003F1EE7">
        <w:rPr>
          <w:i/>
          <w:iCs/>
        </w:rPr>
        <w:t>tenuto conto della peculiarità dell’attività oggetto di regolazione, appare opportuno individuare attraverso uno o più codici di condotta le ulteriori misure e le modalità mediante le quali gli influencer adeguino la propria attività al fine di garantire, da parte degli stessi, il rispetto delle disposizioni del Testo unico che risultino loro applicabili</w:t>
      </w:r>
      <w:r w:rsidR="003F1EE7" w:rsidRPr="003F1EE7">
        <w:rPr>
          <w:i/>
          <w:iCs/>
        </w:rPr>
        <w:t xml:space="preserve"> (…)</w:t>
      </w:r>
      <w:r w:rsidR="003C78EF">
        <w:t>».</w:t>
      </w:r>
    </w:p>
  </w:footnote>
  <w:footnote w:id="31">
    <w:p w14:paraId="079F5246" w14:textId="262B7B31" w:rsidR="0085220F" w:rsidRDefault="0085220F" w:rsidP="003F1EE7">
      <w:pPr>
        <w:pStyle w:val="Testonotaapidipagina"/>
        <w:jc w:val="both"/>
      </w:pPr>
      <w:r>
        <w:rPr>
          <w:rStyle w:val="Rimandonotaapidipagina"/>
        </w:rPr>
        <w:footnoteRef/>
      </w:r>
      <w:r>
        <w:t xml:space="preserve"> </w:t>
      </w:r>
      <w:r w:rsidR="003F1EE7">
        <w:t>Secondo l’Istituto previdenziale, «</w:t>
      </w:r>
      <w:r w:rsidR="003F1EE7">
        <w:rPr>
          <w:i/>
          <w:iCs/>
        </w:rPr>
        <w:t>ai</w:t>
      </w:r>
      <w:r w:rsidR="003F1EE7" w:rsidRPr="003F1EE7">
        <w:rPr>
          <w:i/>
          <w:iCs/>
        </w:rPr>
        <w:t xml:space="preserve"> fini della presente circolare, per attività di creazione di contenuti digitali si fa riferimento all’elaborazione di contenuti scritti, immagini, registrazioni video, audio o contenuti prodotti in diretta che sono resi disponibili attraverso piattaforme digitali di connessione sociale. La stessa, quindi, si caratterizza principalmente per la presenza di un’attività creativa e di produzione di contenuti mediatici “virtuali” e della successiva messa a disposizione del pubblico di tali contenuti attraverso piattaforme digitali</w:t>
      </w:r>
      <w:r w:rsidR="003F1EE7">
        <w:t>».</w:t>
      </w:r>
    </w:p>
  </w:footnote>
  <w:footnote w:id="32">
    <w:p w14:paraId="11E0C27B" w14:textId="4D9688B8" w:rsidR="0008405A" w:rsidRDefault="0008405A" w:rsidP="003F1EE7">
      <w:pPr>
        <w:pStyle w:val="Testonotaapidipagina"/>
        <w:jc w:val="both"/>
      </w:pPr>
      <w:r>
        <w:rPr>
          <w:rStyle w:val="Rimandonotaapidipagina"/>
        </w:rPr>
        <w:footnoteRef/>
      </w:r>
      <w:r>
        <w:t xml:space="preserve"> </w:t>
      </w:r>
      <w:r w:rsidR="003F1EE7">
        <w:t xml:space="preserve">La circolare in esame svolge un’analisi di un certo dettaglio circa i rapporti (che possono assumere anche una valenza quadrilaterale) fra il </w:t>
      </w:r>
      <w:proofErr w:type="spellStart"/>
      <w:r w:rsidR="003F1EE7" w:rsidRPr="003F1EE7">
        <w:rPr>
          <w:i/>
          <w:iCs/>
        </w:rPr>
        <w:t>content</w:t>
      </w:r>
      <w:proofErr w:type="spellEnd"/>
      <w:r w:rsidR="003F1EE7" w:rsidRPr="003F1EE7">
        <w:rPr>
          <w:i/>
          <w:iCs/>
        </w:rPr>
        <w:t xml:space="preserve"> creator</w:t>
      </w:r>
      <w:r w:rsidR="003F1EE7">
        <w:t xml:space="preserve">, l’impresa i cui prodotti vengono pubblicizzati, il gestore della piattaforma su cui il </w:t>
      </w:r>
      <w:proofErr w:type="spellStart"/>
      <w:r w:rsidR="003F1EE7" w:rsidRPr="003F1EE7">
        <w:rPr>
          <w:i/>
          <w:iCs/>
        </w:rPr>
        <w:t>content</w:t>
      </w:r>
      <w:proofErr w:type="spellEnd"/>
      <w:r w:rsidR="003F1EE7" w:rsidRPr="003F1EE7">
        <w:rPr>
          <w:i/>
          <w:iCs/>
        </w:rPr>
        <w:t xml:space="preserve"> creator</w:t>
      </w:r>
      <w:r w:rsidR="003F1EE7">
        <w:t xml:space="preserve"> opera e le agenzie di intermediazione che collaborano con l’</w:t>
      </w:r>
      <w:r w:rsidR="003F1EE7" w:rsidRPr="003F1EE7">
        <w:rPr>
          <w:i/>
          <w:iCs/>
        </w:rPr>
        <w:t>influencer</w:t>
      </w:r>
      <w:r w:rsidR="003F1EE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Fonts w:ascii="Simoncini Garamond" w:hAnsi="Simoncini Garamond"/>
        <w:sz w:val="18"/>
        <w:szCs w:val="18"/>
      </w:rPr>
      <w:id w:val="-2000956698"/>
      <w:docPartObj>
        <w:docPartGallery w:val="Page Numbers (Top of Page)"/>
        <w:docPartUnique/>
      </w:docPartObj>
    </w:sdtPr>
    <w:sdtEndPr>
      <w:rPr>
        <w:rStyle w:val="Numeropagina"/>
      </w:rPr>
    </w:sdtEndPr>
    <w:sdtContent>
      <w:p w14:paraId="2952CE41" w14:textId="2834C60E" w:rsidR="00A26173" w:rsidRPr="00233073" w:rsidRDefault="00A26173" w:rsidP="00233073">
        <w:pPr>
          <w:pStyle w:val="Intestazione"/>
          <w:framePr w:wrap="none" w:vAnchor="text" w:hAnchor="margin" w:xAlign="outside" w:y="1"/>
          <w:widowControl w:val="0"/>
          <w:adjustRightInd w:val="0"/>
          <w:snapToGrid w:val="0"/>
          <w:spacing w:line="240" w:lineRule="exact"/>
          <w:rPr>
            <w:rStyle w:val="Numeropagina"/>
            <w:rFonts w:ascii="Simoncini Garamond" w:hAnsi="Simoncini Garamond"/>
            <w:sz w:val="18"/>
            <w:szCs w:val="18"/>
          </w:rPr>
        </w:pPr>
        <w:r w:rsidRPr="00233073">
          <w:rPr>
            <w:rStyle w:val="Numeropagina"/>
            <w:rFonts w:ascii="Simoncini Garamond" w:hAnsi="Simoncini Garamond"/>
            <w:sz w:val="18"/>
            <w:szCs w:val="18"/>
          </w:rPr>
          <w:fldChar w:fldCharType="begin"/>
        </w:r>
        <w:r w:rsidRPr="00233073">
          <w:rPr>
            <w:rStyle w:val="Numeropagina"/>
            <w:rFonts w:ascii="Simoncini Garamond" w:hAnsi="Simoncini Garamond"/>
            <w:sz w:val="18"/>
            <w:szCs w:val="18"/>
          </w:rPr>
          <w:instrText xml:space="preserve"> PAGE </w:instrText>
        </w:r>
        <w:r w:rsidRPr="00233073">
          <w:rPr>
            <w:rStyle w:val="Numeropagina"/>
            <w:rFonts w:ascii="Simoncini Garamond" w:hAnsi="Simoncini Garamond"/>
            <w:sz w:val="18"/>
            <w:szCs w:val="18"/>
          </w:rPr>
          <w:fldChar w:fldCharType="separate"/>
        </w:r>
        <w:r w:rsidR="008761A1">
          <w:rPr>
            <w:rStyle w:val="Numeropagina"/>
            <w:rFonts w:ascii="Simoncini Garamond" w:hAnsi="Simoncini Garamond"/>
            <w:noProof/>
            <w:sz w:val="18"/>
            <w:szCs w:val="18"/>
          </w:rPr>
          <w:t>24</w:t>
        </w:r>
        <w:r w:rsidRPr="00233073">
          <w:rPr>
            <w:rStyle w:val="Numeropagina"/>
            <w:rFonts w:ascii="Simoncini Garamond" w:hAnsi="Simoncini Garamond"/>
            <w:sz w:val="18"/>
            <w:szCs w:val="18"/>
          </w:rPr>
          <w:fldChar w:fldCharType="end"/>
        </w:r>
      </w:p>
    </w:sdtContent>
  </w:sdt>
  <w:p w14:paraId="67BC6CDC" w14:textId="32CCC28E" w:rsidR="00A26173" w:rsidRPr="00233073" w:rsidRDefault="00A26173" w:rsidP="00233073">
    <w:pPr>
      <w:pStyle w:val="Intestazione"/>
      <w:widowControl w:val="0"/>
      <w:adjustRightInd w:val="0"/>
      <w:snapToGrid w:val="0"/>
      <w:spacing w:line="240" w:lineRule="exact"/>
      <w:ind w:right="360"/>
      <w:jc w:val="right"/>
      <w:rPr>
        <w:rFonts w:ascii="Simoncini Garamond" w:hAnsi="Simoncini Garamond"/>
        <w:i/>
        <w:i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Fonts w:ascii="Simoncini Garamond" w:hAnsi="Simoncini Garamond"/>
        <w:sz w:val="18"/>
        <w:szCs w:val="18"/>
      </w:rPr>
      <w:id w:val="1925294046"/>
      <w:docPartObj>
        <w:docPartGallery w:val="Page Numbers (Top of Page)"/>
        <w:docPartUnique/>
      </w:docPartObj>
    </w:sdtPr>
    <w:sdtEndPr>
      <w:rPr>
        <w:rStyle w:val="Numeropagina"/>
      </w:rPr>
    </w:sdtEndPr>
    <w:sdtContent>
      <w:p w14:paraId="7673C687" w14:textId="5BA498CD" w:rsidR="00A26173" w:rsidRPr="00233073" w:rsidRDefault="00A26173" w:rsidP="00233073">
        <w:pPr>
          <w:pStyle w:val="Intestazione"/>
          <w:framePr w:wrap="none" w:vAnchor="text" w:hAnchor="margin" w:xAlign="outside" w:y="1"/>
          <w:widowControl w:val="0"/>
          <w:adjustRightInd w:val="0"/>
          <w:snapToGrid w:val="0"/>
          <w:spacing w:line="240" w:lineRule="exact"/>
          <w:rPr>
            <w:rStyle w:val="Numeropagina"/>
            <w:rFonts w:ascii="Simoncini Garamond" w:hAnsi="Simoncini Garamond"/>
            <w:sz w:val="18"/>
            <w:szCs w:val="18"/>
          </w:rPr>
        </w:pPr>
        <w:r w:rsidRPr="00233073">
          <w:rPr>
            <w:rStyle w:val="Numeropagina"/>
            <w:rFonts w:ascii="Simoncini Garamond" w:hAnsi="Simoncini Garamond"/>
            <w:sz w:val="18"/>
            <w:szCs w:val="18"/>
          </w:rPr>
          <w:fldChar w:fldCharType="begin"/>
        </w:r>
        <w:r w:rsidRPr="00233073">
          <w:rPr>
            <w:rStyle w:val="Numeropagina"/>
            <w:rFonts w:ascii="Simoncini Garamond" w:hAnsi="Simoncini Garamond"/>
            <w:sz w:val="18"/>
            <w:szCs w:val="18"/>
          </w:rPr>
          <w:instrText xml:space="preserve"> PAGE </w:instrText>
        </w:r>
        <w:r w:rsidRPr="00233073">
          <w:rPr>
            <w:rStyle w:val="Numeropagina"/>
            <w:rFonts w:ascii="Simoncini Garamond" w:hAnsi="Simoncini Garamond"/>
            <w:sz w:val="18"/>
            <w:szCs w:val="18"/>
          </w:rPr>
          <w:fldChar w:fldCharType="separate"/>
        </w:r>
        <w:r w:rsidR="008761A1">
          <w:rPr>
            <w:rStyle w:val="Numeropagina"/>
            <w:rFonts w:ascii="Simoncini Garamond" w:hAnsi="Simoncini Garamond"/>
            <w:noProof/>
            <w:sz w:val="18"/>
            <w:szCs w:val="18"/>
          </w:rPr>
          <w:t>25</w:t>
        </w:r>
        <w:r w:rsidRPr="00233073">
          <w:rPr>
            <w:rStyle w:val="Numeropagina"/>
            <w:rFonts w:ascii="Simoncini Garamond" w:hAnsi="Simoncini Garamond"/>
            <w:sz w:val="18"/>
            <w:szCs w:val="18"/>
          </w:rPr>
          <w:fldChar w:fldCharType="end"/>
        </w:r>
      </w:p>
    </w:sdtContent>
  </w:sdt>
  <w:p w14:paraId="6D5EC288" w14:textId="11545D9F" w:rsidR="00A26173" w:rsidRPr="00233073" w:rsidRDefault="00A26173" w:rsidP="00233073">
    <w:pPr>
      <w:pStyle w:val="Intestazione"/>
      <w:widowControl w:val="0"/>
      <w:adjustRightInd w:val="0"/>
      <w:snapToGrid w:val="0"/>
      <w:spacing w:line="240" w:lineRule="exact"/>
      <w:rPr>
        <w:rFonts w:ascii="Simoncini Garamond" w:hAnsi="Simoncini Garamond"/>
        <w:i/>
        <w:iCs/>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7BB4B" w14:textId="77777777" w:rsidR="002F23AE" w:rsidRDefault="002F23A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02575"/>
    <w:multiLevelType w:val="multilevel"/>
    <w:tmpl w:val="5B683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6F2EE1"/>
    <w:multiLevelType w:val="multilevel"/>
    <w:tmpl w:val="30A0D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6B4FBE"/>
    <w:multiLevelType w:val="multilevel"/>
    <w:tmpl w:val="30A0D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405105"/>
    <w:multiLevelType w:val="hybridMultilevel"/>
    <w:tmpl w:val="EFDA321C"/>
    <w:lvl w:ilvl="0" w:tplc="48D20F94">
      <w:numFmt w:val="bullet"/>
      <w:lvlText w:val="-"/>
      <w:lvlJc w:val="left"/>
      <w:pPr>
        <w:ind w:left="927" w:hanging="360"/>
      </w:pPr>
      <w:rPr>
        <w:rFonts w:ascii="Times New Roman" w:eastAsiaTheme="minorHAnsi" w:hAnsi="Times New Roman"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4" w15:restartNumberingAfterBreak="0">
    <w:nsid w:val="482A44BD"/>
    <w:multiLevelType w:val="multilevel"/>
    <w:tmpl w:val="30A0D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194867"/>
    <w:multiLevelType w:val="multilevel"/>
    <w:tmpl w:val="C12E8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987618"/>
    <w:multiLevelType w:val="multilevel"/>
    <w:tmpl w:val="30A0D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8368589">
    <w:abstractNumId w:val="3"/>
  </w:num>
  <w:num w:numId="2" w16cid:durableId="1288245167">
    <w:abstractNumId w:val="5"/>
    <w:lvlOverride w:ilvl="0">
      <w:startOverride w:val="1"/>
    </w:lvlOverride>
  </w:num>
  <w:num w:numId="3" w16cid:durableId="974064060">
    <w:abstractNumId w:val="0"/>
    <w:lvlOverride w:ilvl="0">
      <w:startOverride w:val="14"/>
    </w:lvlOverride>
  </w:num>
  <w:num w:numId="4" w16cid:durableId="127939265">
    <w:abstractNumId w:val="0"/>
    <w:lvlOverride w:ilvl="0">
      <w:startOverride w:val="15"/>
    </w:lvlOverride>
  </w:num>
  <w:num w:numId="5" w16cid:durableId="1700004254">
    <w:abstractNumId w:val="1"/>
    <w:lvlOverride w:ilvl="0">
      <w:startOverride w:val="23"/>
    </w:lvlOverride>
  </w:num>
  <w:num w:numId="6" w16cid:durableId="1264804842">
    <w:abstractNumId w:val="6"/>
  </w:num>
  <w:num w:numId="7" w16cid:durableId="708797978">
    <w:abstractNumId w:val="2"/>
    <w:lvlOverride w:ilvl="0">
      <w:startOverride w:val="12"/>
    </w:lvlOverride>
  </w:num>
  <w:num w:numId="8" w16cid:durableId="12891656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073"/>
    <w:rsid w:val="000204F4"/>
    <w:rsid w:val="000279F3"/>
    <w:rsid w:val="000309BB"/>
    <w:rsid w:val="00046296"/>
    <w:rsid w:val="00051A55"/>
    <w:rsid w:val="0005395F"/>
    <w:rsid w:val="00063DE7"/>
    <w:rsid w:val="00064B4A"/>
    <w:rsid w:val="00065FE3"/>
    <w:rsid w:val="00082CF0"/>
    <w:rsid w:val="0008405A"/>
    <w:rsid w:val="00087001"/>
    <w:rsid w:val="000948ED"/>
    <w:rsid w:val="000A3905"/>
    <w:rsid w:val="000A3CD3"/>
    <w:rsid w:val="000A4594"/>
    <w:rsid w:val="000B615A"/>
    <w:rsid w:val="000B70DB"/>
    <w:rsid w:val="000C3A33"/>
    <w:rsid w:val="000C5023"/>
    <w:rsid w:val="000C57CE"/>
    <w:rsid w:val="000C7717"/>
    <w:rsid w:val="000C7D31"/>
    <w:rsid w:val="000D68E5"/>
    <w:rsid w:val="000D6B6D"/>
    <w:rsid w:val="000E0392"/>
    <w:rsid w:val="000E4188"/>
    <w:rsid w:val="000F00FA"/>
    <w:rsid w:val="00104BAC"/>
    <w:rsid w:val="001167DD"/>
    <w:rsid w:val="00127BBB"/>
    <w:rsid w:val="00133EA9"/>
    <w:rsid w:val="00141E29"/>
    <w:rsid w:val="001778BD"/>
    <w:rsid w:val="001778C0"/>
    <w:rsid w:val="001800F9"/>
    <w:rsid w:val="001A3004"/>
    <w:rsid w:val="001A3726"/>
    <w:rsid w:val="001B636C"/>
    <w:rsid w:val="001E036D"/>
    <w:rsid w:val="001E1E47"/>
    <w:rsid w:val="001E4224"/>
    <w:rsid w:val="002014AE"/>
    <w:rsid w:val="00205525"/>
    <w:rsid w:val="0022383F"/>
    <w:rsid w:val="00223BC3"/>
    <w:rsid w:val="00233073"/>
    <w:rsid w:val="002352FC"/>
    <w:rsid w:val="00245308"/>
    <w:rsid w:val="002579A0"/>
    <w:rsid w:val="00257C9D"/>
    <w:rsid w:val="00265896"/>
    <w:rsid w:val="002706DC"/>
    <w:rsid w:val="00273F5D"/>
    <w:rsid w:val="002962B6"/>
    <w:rsid w:val="002B02C5"/>
    <w:rsid w:val="002C1C07"/>
    <w:rsid w:val="002C2E4C"/>
    <w:rsid w:val="002D0D79"/>
    <w:rsid w:val="002F23AE"/>
    <w:rsid w:val="00326208"/>
    <w:rsid w:val="003369A8"/>
    <w:rsid w:val="0034795D"/>
    <w:rsid w:val="0035740C"/>
    <w:rsid w:val="00360CC1"/>
    <w:rsid w:val="00376650"/>
    <w:rsid w:val="00397015"/>
    <w:rsid w:val="00397C0F"/>
    <w:rsid w:val="003A0417"/>
    <w:rsid w:val="003A36A6"/>
    <w:rsid w:val="003A6FF0"/>
    <w:rsid w:val="003C2B39"/>
    <w:rsid w:val="003C5380"/>
    <w:rsid w:val="003C78EF"/>
    <w:rsid w:val="003D47D8"/>
    <w:rsid w:val="003D6FB2"/>
    <w:rsid w:val="003E1B9A"/>
    <w:rsid w:val="003E3720"/>
    <w:rsid w:val="003E430F"/>
    <w:rsid w:val="003F1EE7"/>
    <w:rsid w:val="00407DFB"/>
    <w:rsid w:val="0041400D"/>
    <w:rsid w:val="00417121"/>
    <w:rsid w:val="004318BF"/>
    <w:rsid w:val="004333C8"/>
    <w:rsid w:val="004362D0"/>
    <w:rsid w:val="0046252F"/>
    <w:rsid w:val="004669FF"/>
    <w:rsid w:val="00471DD0"/>
    <w:rsid w:val="00493FD6"/>
    <w:rsid w:val="004A0E19"/>
    <w:rsid w:val="004C4DA1"/>
    <w:rsid w:val="004C549A"/>
    <w:rsid w:val="004C5C2D"/>
    <w:rsid w:val="004F13A1"/>
    <w:rsid w:val="00530957"/>
    <w:rsid w:val="0053327B"/>
    <w:rsid w:val="0054528C"/>
    <w:rsid w:val="005566C9"/>
    <w:rsid w:val="005D4558"/>
    <w:rsid w:val="005D4808"/>
    <w:rsid w:val="006213A6"/>
    <w:rsid w:val="00626EA3"/>
    <w:rsid w:val="0063126F"/>
    <w:rsid w:val="00633B73"/>
    <w:rsid w:val="00633F53"/>
    <w:rsid w:val="00637D6F"/>
    <w:rsid w:val="00650B64"/>
    <w:rsid w:val="00656992"/>
    <w:rsid w:val="00660718"/>
    <w:rsid w:val="00660C36"/>
    <w:rsid w:val="006617A1"/>
    <w:rsid w:val="0067140A"/>
    <w:rsid w:val="00672478"/>
    <w:rsid w:val="00674367"/>
    <w:rsid w:val="00692877"/>
    <w:rsid w:val="006B1802"/>
    <w:rsid w:val="006B3534"/>
    <w:rsid w:val="006D14C7"/>
    <w:rsid w:val="006D4C6A"/>
    <w:rsid w:val="006D7A39"/>
    <w:rsid w:val="006E22D9"/>
    <w:rsid w:val="006E2988"/>
    <w:rsid w:val="006E2B5A"/>
    <w:rsid w:val="00704221"/>
    <w:rsid w:val="00717C49"/>
    <w:rsid w:val="0072310C"/>
    <w:rsid w:val="00741CB6"/>
    <w:rsid w:val="007467B0"/>
    <w:rsid w:val="007527B1"/>
    <w:rsid w:val="007647FF"/>
    <w:rsid w:val="007706E3"/>
    <w:rsid w:val="00783D3E"/>
    <w:rsid w:val="00794C56"/>
    <w:rsid w:val="007A2B99"/>
    <w:rsid w:val="007B05A5"/>
    <w:rsid w:val="007B0C0D"/>
    <w:rsid w:val="007B2191"/>
    <w:rsid w:val="007B707B"/>
    <w:rsid w:val="007C209D"/>
    <w:rsid w:val="007C504B"/>
    <w:rsid w:val="007D2B40"/>
    <w:rsid w:val="007E08CA"/>
    <w:rsid w:val="007E1513"/>
    <w:rsid w:val="007F1870"/>
    <w:rsid w:val="0081475C"/>
    <w:rsid w:val="00814F42"/>
    <w:rsid w:val="00817548"/>
    <w:rsid w:val="00835AF3"/>
    <w:rsid w:val="0084233C"/>
    <w:rsid w:val="0085129D"/>
    <w:rsid w:val="0085220F"/>
    <w:rsid w:val="00852400"/>
    <w:rsid w:val="0086336B"/>
    <w:rsid w:val="00870542"/>
    <w:rsid w:val="008761A1"/>
    <w:rsid w:val="0088261F"/>
    <w:rsid w:val="0088337A"/>
    <w:rsid w:val="008845F6"/>
    <w:rsid w:val="00886E6D"/>
    <w:rsid w:val="008B4E61"/>
    <w:rsid w:val="008C41B8"/>
    <w:rsid w:val="008D4987"/>
    <w:rsid w:val="008D5D38"/>
    <w:rsid w:val="008E5152"/>
    <w:rsid w:val="008F614A"/>
    <w:rsid w:val="00914EBE"/>
    <w:rsid w:val="009471EC"/>
    <w:rsid w:val="009625F9"/>
    <w:rsid w:val="00964905"/>
    <w:rsid w:val="009651EC"/>
    <w:rsid w:val="00967F76"/>
    <w:rsid w:val="00971DA2"/>
    <w:rsid w:val="00973562"/>
    <w:rsid w:val="00983293"/>
    <w:rsid w:val="00985178"/>
    <w:rsid w:val="00985E0D"/>
    <w:rsid w:val="009A2F54"/>
    <w:rsid w:val="009A584B"/>
    <w:rsid w:val="009B258F"/>
    <w:rsid w:val="009C70D1"/>
    <w:rsid w:val="009D38F4"/>
    <w:rsid w:val="009E41CF"/>
    <w:rsid w:val="009F1064"/>
    <w:rsid w:val="00A1013D"/>
    <w:rsid w:val="00A25750"/>
    <w:rsid w:val="00A26173"/>
    <w:rsid w:val="00A41F91"/>
    <w:rsid w:val="00A428EE"/>
    <w:rsid w:val="00A52611"/>
    <w:rsid w:val="00A649D3"/>
    <w:rsid w:val="00A82BC8"/>
    <w:rsid w:val="00A92EBC"/>
    <w:rsid w:val="00A93198"/>
    <w:rsid w:val="00A93C7B"/>
    <w:rsid w:val="00AA257F"/>
    <w:rsid w:val="00AA403F"/>
    <w:rsid w:val="00AC704E"/>
    <w:rsid w:val="00AD3EED"/>
    <w:rsid w:val="00AD3FB4"/>
    <w:rsid w:val="00AD4538"/>
    <w:rsid w:val="00B01D4D"/>
    <w:rsid w:val="00B02158"/>
    <w:rsid w:val="00B021D3"/>
    <w:rsid w:val="00B1000B"/>
    <w:rsid w:val="00B1054B"/>
    <w:rsid w:val="00B1582E"/>
    <w:rsid w:val="00B22688"/>
    <w:rsid w:val="00B3128C"/>
    <w:rsid w:val="00B44329"/>
    <w:rsid w:val="00B47580"/>
    <w:rsid w:val="00B47B14"/>
    <w:rsid w:val="00B730C7"/>
    <w:rsid w:val="00B84182"/>
    <w:rsid w:val="00B94D41"/>
    <w:rsid w:val="00BA4842"/>
    <w:rsid w:val="00BA586E"/>
    <w:rsid w:val="00BB7518"/>
    <w:rsid w:val="00BD729E"/>
    <w:rsid w:val="00C05E94"/>
    <w:rsid w:val="00C168AB"/>
    <w:rsid w:val="00C243C3"/>
    <w:rsid w:val="00C52B98"/>
    <w:rsid w:val="00C53412"/>
    <w:rsid w:val="00C5583D"/>
    <w:rsid w:val="00C66AA3"/>
    <w:rsid w:val="00C9774E"/>
    <w:rsid w:val="00CC0AAA"/>
    <w:rsid w:val="00CD4160"/>
    <w:rsid w:val="00CF5972"/>
    <w:rsid w:val="00CF7651"/>
    <w:rsid w:val="00D166D7"/>
    <w:rsid w:val="00D2714A"/>
    <w:rsid w:val="00D37F62"/>
    <w:rsid w:val="00D4546B"/>
    <w:rsid w:val="00D468BA"/>
    <w:rsid w:val="00D4776E"/>
    <w:rsid w:val="00D507AE"/>
    <w:rsid w:val="00D546D3"/>
    <w:rsid w:val="00D61B68"/>
    <w:rsid w:val="00D76377"/>
    <w:rsid w:val="00D92591"/>
    <w:rsid w:val="00D95F9E"/>
    <w:rsid w:val="00DA1E89"/>
    <w:rsid w:val="00DB573D"/>
    <w:rsid w:val="00DB5805"/>
    <w:rsid w:val="00DB6AB2"/>
    <w:rsid w:val="00DB7D8C"/>
    <w:rsid w:val="00DC3E71"/>
    <w:rsid w:val="00DD5C7D"/>
    <w:rsid w:val="00DE3B76"/>
    <w:rsid w:val="00DF03C3"/>
    <w:rsid w:val="00DF14E0"/>
    <w:rsid w:val="00DF1A2F"/>
    <w:rsid w:val="00DF26A2"/>
    <w:rsid w:val="00DF50DD"/>
    <w:rsid w:val="00DF5DBA"/>
    <w:rsid w:val="00DF7829"/>
    <w:rsid w:val="00E00C0E"/>
    <w:rsid w:val="00E05254"/>
    <w:rsid w:val="00E05280"/>
    <w:rsid w:val="00E132B1"/>
    <w:rsid w:val="00E13853"/>
    <w:rsid w:val="00E27010"/>
    <w:rsid w:val="00E2732B"/>
    <w:rsid w:val="00E47C37"/>
    <w:rsid w:val="00E733FF"/>
    <w:rsid w:val="00E84E56"/>
    <w:rsid w:val="00E9068E"/>
    <w:rsid w:val="00EA5076"/>
    <w:rsid w:val="00EA6149"/>
    <w:rsid w:val="00EB47E3"/>
    <w:rsid w:val="00EE3776"/>
    <w:rsid w:val="00EE71E9"/>
    <w:rsid w:val="00EF03E9"/>
    <w:rsid w:val="00F04E13"/>
    <w:rsid w:val="00F17C34"/>
    <w:rsid w:val="00F277C1"/>
    <w:rsid w:val="00F62B31"/>
    <w:rsid w:val="00F67AD7"/>
    <w:rsid w:val="00F7032D"/>
    <w:rsid w:val="00F926B3"/>
    <w:rsid w:val="00FD75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72161"/>
  <w15:chartTrackingRefBased/>
  <w15:docId w15:val="{C2B661F4-AF56-5743-8F0D-0A0146E0E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line="260" w:lineRule="exact"/>
        <w:ind w:firstLine="3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948ED"/>
    <w:pPr>
      <w:spacing w:after="160" w:line="259" w:lineRule="auto"/>
      <w:ind w:firstLine="0"/>
      <w:jc w:val="left"/>
    </w:pPr>
    <w:rPr>
      <w:kern w:val="0"/>
      <w:sz w:val="22"/>
      <w:szCs w:val="22"/>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33073"/>
    <w:pPr>
      <w:ind w:left="720"/>
      <w:contextualSpacing/>
    </w:pPr>
  </w:style>
  <w:style w:type="paragraph" w:styleId="Testonotaapidipagina">
    <w:name w:val="footnote text"/>
    <w:basedOn w:val="Normale"/>
    <w:link w:val="TestonotaapidipaginaCarattere"/>
    <w:uiPriority w:val="99"/>
    <w:rsid w:val="00233073"/>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233073"/>
    <w:rPr>
      <w:rFonts w:ascii="Times New Roman" w:eastAsia="Times New Roman" w:hAnsi="Times New Roman" w:cs="Times New Roman"/>
      <w:kern w:val="0"/>
      <w:sz w:val="20"/>
      <w:szCs w:val="20"/>
      <w:lang w:eastAsia="it-IT"/>
      <w14:ligatures w14:val="none"/>
    </w:rPr>
  </w:style>
  <w:style w:type="character" w:styleId="Rimandonotaapidipagina">
    <w:name w:val="footnote reference"/>
    <w:uiPriority w:val="99"/>
    <w:rsid w:val="00233073"/>
    <w:rPr>
      <w:vertAlign w:val="superscript"/>
    </w:rPr>
  </w:style>
  <w:style w:type="paragraph" w:customStyle="1" w:styleId="Default">
    <w:name w:val="Default"/>
    <w:rsid w:val="00233073"/>
    <w:pPr>
      <w:autoSpaceDE w:val="0"/>
      <w:autoSpaceDN w:val="0"/>
      <w:adjustRightInd w:val="0"/>
      <w:spacing w:line="240" w:lineRule="auto"/>
      <w:ind w:firstLine="0"/>
      <w:jc w:val="left"/>
    </w:pPr>
    <w:rPr>
      <w:rFonts w:ascii="EUAlbertina" w:hAnsi="EUAlbertina" w:cs="EUAlbertina"/>
      <w:color w:val="000000"/>
      <w:kern w:val="0"/>
      <w14:ligatures w14:val="none"/>
    </w:rPr>
  </w:style>
  <w:style w:type="paragraph" w:styleId="Intestazione">
    <w:name w:val="header"/>
    <w:basedOn w:val="Normale"/>
    <w:link w:val="IntestazioneCarattere"/>
    <w:uiPriority w:val="99"/>
    <w:unhideWhenUsed/>
    <w:rsid w:val="0023307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33073"/>
    <w:rPr>
      <w:kern w:val="0"/>
      <w:sz w:val="22"/>
      <w:szCs w:val="22"/>
      <w14:ligatures w14:val="none"/>
    </w:rPr>
  </w:style>
  <w:style w:type="paragraph" w:styleId="Pidipagina">
    <w:name w:val="footer"/>
    <w:basedOn w:val="Normale"/>
    <w:link w:val="PidipaginaCarattere"/>
    <w:uiPriority w:val="99"/>
    <w:unhideWhenUsed/>
    <w:rsid w:val="0023307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33073"/>
    <w:rPr>
      <w:kern w:val="0"/>
      <w:sz w:val="22"/>
      <w:szCs w:val="22"/>
      <w14:ligatures w14:val="none"/>
    </w:rPr>
  </w:style>
  <w:style w:type="character" w:styleId="Numeropagina">
    <w:name w:val="page number"/>
    <w:basedOn w:val="Carpredefinitoparagrafo"/>
    <w:uiPriority w:val="99"/>
    <w:semiHidden/>
    <w:unhideWhenUsed/>
    <w:rsid w:val="00233073"/>
  </w:style>
  <w:style w:type="character" w:styleId="Collegamentoipertestuale">
    <w:name w:val="Hyperlink"/>
    <w:basedOn w:val="Carpredefinitoparagrafo"/>
    <w:uiPriority w:val="99"/>
    <w:unhideWhenUsed/>
    <w:rsid w:val="009D38F4"/>
    <w:rPr>
      <w:color w:val="0563C1" w:themeColor="hyperlink"/>
      <w:u w:val="single"/>
    </w:rPr>
  </w:style>
  <w:style w:type="character" w:styleId="Menzionenonrisolta">
    <w:name w:val="Unresolved Mention"/>
    <w:basedOn w:val="Carpredefinitoparagrafo"/>
    <w:uiPriority w:val="99"/>
    <w:semiHidden/>
    <w:unhideWhenUsed/>
    <w:rsid w:val="0034795D"/>
    <w:rPr>
      <w:color w:val="605E5C"/>
      <w:shd w:val="clear" w:color="auto" w:fill="E1DFDD"/>
    </w:rPr>
  </w:style>
  <w:style w:type="paragraph" w:customStyle="1" w:styleId="owned1">
    <w:name w:val="owned1"/>
    <w:basedOn w:val="Normale"/>
    <w:rsid w:val="009625F9"/>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155831">
      <w:bodyDiv w:val="1"/>
      <w:marLeft w:val="0"/>
      <w:marRight w:val="0"/>
      <w:marTop w:val="0"/>
      <w:marBottom w:val="0"/>
      <w:divBdr>
        <w:top w:val="none" w:sz="0" w:space="0" w:color="auto"/>
        <w:left w:val="none" w:sz="0" w:space="0" w:color="auto"/>
        <w:bottom w:val="none" w:sz="0" w:space="0" w:color="auto"/>
        <w:right w:val="none" w:sz="0" w:space="0" w:color="auto"/>
      </w:divBdr>
      <w:divsChild>
        <w:div w:id="1695813216">
          <w:marLeft w:val="0"/>
          <w:marRight w:val="0"/>
          <w:marTop w:val="0"/>
          <w:marBottom w:val="0"/>
          <w:divBdr>
            <w:top w:val="none" w:sz="0" w:space="0" w:color="auto"/>
            <w:left w:val="none" w:sz="0" w:space="0" w:color="auto"/>
            <w:bottom w:val="single" w:sz="6" w:space="12" w:color="CCCCCC"/>
            <w:right w:val="none" w:sz="0" w:space="0" w:color="auto"/>
          </w:divBdr>
          <w:divsChild>
            <w:div w:id="269900469">
              <w:marLeft w:val="0"/>
              <w:marRight w:val="0"/>
              <w:marTop w:val="0"/>
              <w:marBottom w:val="0"/>
              <w:divBdr>
                <w:top w:val="none" w:sz="0" w:space="0" w:color="auto"/>
                <w:left w:val="none" w:sz="0" w:space="0" w:color="auto"/>
                <w:bottom w:val="none" w:sz="0" w:space="0" w:color="auto"/>
                <w:right w:val="none" w:sz="0" w:space="0" w:color="auto"/>
              </w:divBdr>
              <w:divsChild>
                <w:div w:id="345519898">
                  <w:marLeft w:val="0"/>
                  <w:marRight w:val="0"/>
                  <w:marTop w:val="0"/>
                  <w:marBottom w:val="0"/>
                  <w:divBdr>
                    <w:top w:val="none" w:sz="0" w:space="0" w:color="auto"/>
                    <w:left w:val="none" w:sz="0" w:space="0" w:color="auto"/>
                    <w:bottom w:val="none" w:sz="0" w:space="0" w:color="auto"/>
                    <w:right w:val="none" w:sz="0" w:space="0" w:color="auto"/>
                  </w:divBdr>
                  <w:divsChild>
                    <w:div w:id="1853841031">
                      <w:marLeft w:val="0"/>
                      <w:marRight w:val="0"/>
                      <w:marTop w:val="75"/>
                      <w:marBottom w:val="0"/>
                      <w:divBdr>
                        <w:top w:val="none" w:sz="0" w:space="0" w:color="auto"/>
                        <w:left w:val="none" w:sz="0" w:space="0" w:color="auto"/>
                        <w:bottom w:val="none" w:sz="0" w:space="0" w:color="auto"/>
                        <w:right w:val="none" w:sz="0" w:space="0" w:color="auto"/>
                      </w:divBdr>
                    </w:div>
                    <w:div w:id="83039250">
                      <w:marLeft w:val="0"/>
                      <w:marRight w:val="0"/>
                      <w:marTop w:val="0"/>
                      <w:marBottom w:val="0"/>
                      <w:divBdr>
                        <w:top w:val="none" w:sz="0" w:space="0" w:color="auto"/>
                        <w:left w:val="none" w:sz="0" w:space="0" w:color="auto"/>
                        <w:bottom w:val="none" w:sz="0" w:space="0" w:color="auto"/>
                        <w:right w:val="none" w:sz="0" w:space="0" w:color="auto"/>
                      </w:divBdr>
                    </w:div>
                  </w:divsChild>
                </w:div>
                <w:div w:id="195293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357604">
      <w:bodyDiv w:val="1"/>
      <w:marLeft w:val="0"/>
      <w:marRight w:val="0"/>
      <w:marTop w:val="0"/>
      <w:marBottom w:val="0"/>
      <w:divBdr>
        <w:top w:val="none" w:sz="0" w:space="0" w:color="auto"/>
        <w:left w:val="none" w:sz="0" w:space="0" w:color="auto"/>
        <w:bottom w:val="none" w:sz="0" w:space="0" w:color="auto"/>
        <w:right w:val="none" w:sz="0" w:space="0" w:color="auto"/>
      </w:divBdr>
      <w:divsChild>
        <w:div w:id="176113776">
          <w:marLeft w:val="0"/>
          <w:marRight w:val="0"/>
          <w:marTop w:val="0"/>
          <w:marBottom w:val="0"/>
          <w:divBdr>
            <w:top w:val="none" w:sz="0" w:space="0" w:color="auto"/>
            <w:left w:val="none" w:sz="0" w:space="0" w:color="auto"/>
            <w:bottom w:val="single" w:sz="6" w:space="12" w:color="CCCCCC"/>
            <w:right w:val="none" w:sz="0" w:space="0" w:color="auto"/>
          </w:divBdr>
          <w:divsChild>
            <w:div w:id="1947343681">
              <w:marLeft w:val="0"/>
              <w:marRight w:val="0"/>
              <w:marTop w:val="0"/>
              <w:marBottom w:val="0"/>
              <w:divBdr>
                <w:top w:val="none" w:sz="0" w:space="0" w:color="auto"/>
                <w:left w:val="none" w:sz="0" w:space="0" w:color="auto"/>
                <w:bottom w:val="none" w:sz="0" w:space="0" w:color="auto"/>
                <w:right w:val="none" w:sz="0" w:space="0" w:color="auto"/>
              </w:divBdr>
              <w:divsChild>
                <w:div w:id="1050113552">
                  <w:marLeft w:val="0"/>
                  <w:marRight w:val="0"/>
                  <w:marTop w:val="0"/>
                  <w:marBottom w:val="0"/>
                  <w:divBdr>
                    <w:top w:val="none" w:sz="0" w:space="0" w:color="auto"/>
                    <w:left w:val="none" w:sz="0" w:space="0" w:color="auto"/>
                    <w:bottom w:val="none" w:sz="0" w:space="0" w:color="auto"/>
                    <w:right w:val="none" w:sz="0" w:space="0" w:color="auto"/>
                  </w:divBdr>
                  <w:divsChild>
                    <w:div w:id="336662716">
                      <w:marLeft w:val="0"/>
                      <w:marRight w:val="0"/>
                      <w:marTop w:val="75"/>
                      <w:marBottom w:val="0"/>
                      <w:divBdr>
                        <w:top w:val="none" w:sz="0" w:space="0" w:color="auto"/>
                        <w:left w:val="none" w:sz="0" w:space="0" w:color="auto"/>
                        <w:bottom w:val="none" w:sz="0" w:space="0" w:color="auto"/>
                        <w:right w:val="none" w:sz="0" w:space="0" w:color="auto"/>
                      </w:divBdr>
                    </w:div>
                    <w:div w:id="221409634">
                      <w:marLeft w:val="0"/>
                      <w:marRight w:val="0"/>
                      <w:marTop w:val="75"/>
                      <w:marBottom w:val="0"/>
                      <w:divBdr>
                        <w:top w:val="none" w:sz="0" w:space="0" w:color="auto"/>
                        <w:left w:val="none" w:sz="0" w:space="0" w:color="auto"/>
                        <w:bottom w:val="none" w:sz="0" w:space="0" w:color="auto"/>
                        <w:right w:val="none" w:sz="0" w:space="0" w:color="auto"/>
                      </w:divBdr>
                    </w:div>
                    <w:div w:id="1758406287">
                      <w:marLeft w:val="0"/>
                      <w:marRight w:val="0"/>
                      <w:marTop w:val="0"/>
                      <w:marBottom w:val="0"/>
                      <w:divBdr>
                        <w:top w:val="none" w:sz="0" w:space="0" w:color="auto"/>
                        <w:left w:val="none" w:sz="0" w:space="0" w:color="auto"/>
                        <w:bottom w:val="none" w:sz="0" w:space="0" w:color="auto"/>
                        <w:right w:val="none" w:sz="0" w:space="0" w:color="auto"/>
                      </w:divBdr>
                    </w:div>
                  </w:divsChild>
                </w:div>
                <w:div w:id="200077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48646">
          <w:marLeft w:val="0"/>
          <w:marRight w:val="0"/>
          <w:marTop w:val="0"/>
          <w:marBottom w:val="0"/>
          <w:divBdr>
            <w:top w:val="none" w:sz="0" w:space="0" w:color="auto"/>
            <w:left w:val="none" w:sz="0" w:space="0" w:color="auto"/>
            <w:bottom w:val="single" w:sz="6" w:space="12" w:color="CCCCCC"/>
            <w:right w:val="none" w:sz="0" w:space="0" w:color="auto"/>
          </w:divBdr>
          <w:divsChild>
            <w:div w:id="15932071">
              <w:marLeft w:val="0"/>
              <w:marRight w:val="0"/>
              <w:marTop w:val="0"/>
              <w:marBottom w:val="0"/>
              <w:divBdr>
                <w:top w:val="none" w:sz="0" w:space="0" w:color="auto"/>
                <w:left w:val="none" w:sz="0" w:space="0" w:color="auto"/>
                <w:bottom w:val="none" w:sz="0" w:space="0" w:color="auto"/>
                <w:right w:val="none" w:sz="0" w:space="0" w:color="auto"/>
              </w:divBdr>
              <w:divsChild>
                <w:div w:id="1457676533">
                  <w:marLeft w:val="0"/>
                  <w:marRight w:val="0"/>
                  <w:marTop w:val="0"/>
                  <w:marBottom w:val="0"/>
                  <w:divBdr>
                    <w:top w:val="none" w:sz="0" w:space="0" w:color="auto"/>
                    <w:left w:val="none" w:sz="0" w:space="0" w:color="auto"/>
                    <w:bottom w:val="none" w:sz="0" w:space="0" w:color="auto"/>
                    <w:right w:val="none" w:sz="0" w:space="0" w:color="auto"/>
                  </w:divBdr>
                  <w:divsChild>
                    <w:div w:id="1745567964">
                      <w:marLeft w:val="0"/>
                      <w:marRight w:val="0"/>
                      <w:marTop w:val="75"/>
                      <w:marBottom w:val="0"/>
                      <w:divBdr>
                        <w:top w:val="none" w:sz="0" w:space="0" w:color="auto"/>
                        <w:left w:val="none" w:sz="0" w:space="0" w:color="auto"/>
                        <w:bottom w:val="none" w:sz="0" w:space="0" w:color="auto"/>
                        <w:right w:val="none" w:sz="0" w:space="0" w:color="auto"/>
                      </w:divBdr>
                    </w:div>
                    <w:div w:id="1138768121">
                      <w:marLeft w:val="0"/>
                      <w:marRight w:val="0"/>
                      <w:marTop w:val="75"/>
                      <w:marBottom w:val="0"/>
                      <w:divBdr>
                        <w:top w:val="none" w:sz="0" w:space="0" w:color="auto"/>
                        <w:left w:val="none" w:sz="0" w:space="0" w:color="auto"/>
                        <w:bottom w:val="none" w:sz="0" w:space="0" w:color="auto"/>
                        <w:right w:val="none" w:sz="0" w:space="0" w:color="auto"/>
                      </w:divBdr>
                    </w:div>
                    <w:div w:id="1406487676">
                      <w:marLeft w:val="0"/>
                      <w:marRight w:val="0"/>
                      <w:marTop w:val="0"/>
                      <w:marBottom w:val="0"/>
                      <w:divBdr>
                        <w:top w:val="none" w:sz="0" w:space="0" w:color="auto"/>
                        <w:left w:val="none" w:sz="0" w:space="0" w:color="auto"/>
                        <w:bottom w:val="none" w:sz="0" w:space="0" w:color="auto"/>
                        <w:right w:val="none" w:sz="0" w:space="0" w:color="auto"/>
                      </w:divBdr>
                    </w:div>
                  </w:divsChild>
                </w:div>
                <w:div w:id="84548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470705">
      <w:bodyDiv w:val="1"/>
      <w:marLeft w:val="0"/>
      <w:marRight w:val="0"/>
      <w:marTop w:val="0"/>
      <w:marBottom w:val="0"/>
      <w:divBdr>
        <w:top w:val="none" w:sz="0" w:space="0" w:color="auto"/>
        <w:left w:val="none" w:sz="0" w:space="0" w:color="auto"/>
        <w:bottom w:val="none" w:sz="0" w:space="0" w:color="auto"/>
        <w:right w:val="none" w:sz="0" w:space="0" w:color="auto"/>
      </w:divBdr>
      <w:divsChild>
        <w:div w:id="1784499649">
          <w:marLeft w:val="0"/>
          <w:marRight w:val="0"/>
          <w:marTop w:val="0"/>
          <w:marBottom w:val="0"/>
          <w:divBdr>
            <w:top w:val="none" w:sz="0" w:space="0" w:color="auto"/>
            <w:left w:val="none" w:sz="0" w:space="0" w:color="auto"/>
            <w:bottom w:val="single" w:sz="6" w:space="12" w:color="CCCCCC"/>
            <w:right w:val="none" w:sz="0" w:space="0" w:color="auto"/>
          </w:divBdr>
          <w:divsChild>
            <w:div w:id="1171143333">
              <w:marLeft w:val="0"/>
              <w:marRight w:val="0"/>
              <w:marTop w:val="0"/>
              <w:marBottom w:val="0"/>
              <w:divBdr>
                <w:top w:val="none" w:sz="0" w:space="0" w:color="auto"/>
                <w:left w:val="none" w:sz="0" w:space="0" w:color="auto"/>
                <w:bottom w:val="none" w:sz="0" w:space="0" w:color="auto"/>
                <w:right w:val="none" w:sz="0" w:space="0" w:color="auto"/>
              </w:divBdr>
              <w:divsChild>
                <w:div w:id="1691252580">
                  <w:marLeft w:val="0"/>
                  <w:marRight w:val="0"/>
                  <w:marTop w:val="0"/>
                  <w:marBottom w:val="0"/>
                  <w:divBdr>
                    <w:top w:val="none" w:sz="0" w:space="0" w:color="auto"/>
                    <w:left w:val="none" w:sz="0" w:space="0" w:color="auto"/>
                    <w:bottom w:val="none" w:sz="0" w:space="0" w:color="auto"/>
                    <w:right w:val="none" w:sz="0" w:space="0" w:color="auto"/>
                  </w:divBdr>
                  <w:divsChild>
                    <w:div w:id="1391154870">
                      <w:marLeft w:val="0"/>
                      <w:marRight w:val="0"/>
                      <w:marTop w:val="75"/>
                      <w:marBottom w:val="0"/>
                      <w:divBdr>
                        <w:top w:val="none" w:sz="0" w:space="0" w:color="auto"/>
                        <w:left w:val="none" w:sz="0" w:space="0" w:color="auto"/>
                        <w:bottom w:val="none" w:sz="0" w:space="0" w:color="auto"/>
                        <w:right w:val="none" w:sz="0" w:space="0" w:color="auto"/>
                      </w:divBdr>
                    </w:div>
                    <w:div w:id="549464974">
                      <w:marLeft w:val="0"/>
                      <w:marRight w:val="0"/>
                      <w:marTop w:val="75"/>
                      <w:marBottom w:val="0"/>
                      <w:divBdr>
                        <w:top w:val="none" w:sz="0" w:space="0" w:color="auto"/>
                        <w:left w:val="none" w:sz="0" w:space="0" w:color="auto"/>
                        <w:bottom w:val="none" w:sz="0" w:space="0" w:color="auto"/>
                        <w:right w:val="none" w:sz="0" w:space="0" w:color="auto"/>
                      </w:divBdr>
                    </w:div>
                    <w:div w:id="1956868470">
                      <w:marLeft w:val="0"/>
                      <w:marRight w:val="0"/>
                      <w:marTop w:val="0"/>
                      <w:marBottom w:val="0"/>
                      <w:divBdr>
                        <w:top w:val="none" w:sz="0" w:space="0" w:color="auto"/>
                        <w:left w:val="none" w:sz="0" w:space="0" w:color="auto"/>
                        <w:bottom w:val="none" w:sz="0" w:space="0" w:color="auto"/>
                        <w:right w:val="none" w:sz="0" w:space="0" w:color="auto"/>
                      </w:divBdr>
                    </w:div>
                  </w:divsChild>
                </w:div>
                <w:div w:id="15960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43628">
          <w:marLeft w:val="0"/>
          <w:marRight w:val="0"/>
          <w:marTop w:val="0"/>
          <w:marBottom w:val="0"/>
          <w:divBdr>
            <w:top w:val="none" w:sz="0" w:space="0" w:color="auto"/>
            <w:left w:val="none" w:sz="0" w:space="0" w:color="auto"/>
            <w:bottom w:val="single" w:sz="6" w:space="12" w:color="CCCCCC"/>
            <w:right w:val="none" w:sz="0" w:space="0" w:color="auto"/>
          </w:divBdr>
          <w:divsChild>
            <w:div w:id="793257585">
              <w:marLeft w:val="0"/>
              <w:marRight w:val="0"/>
              <w:marTop w:val="0"/>
              <w:marBottom w:val="0"/>
              <w:divBdr>
                <w:top w:val="none" w:sz="0" w:space="0" w:color="auto"/>
                <w:left w:val="none" w:sz="0" w:space="0" w:color="auto"/>
                <w:bottom w:val="none" w:sz="0" w:space="0" w:color="auto"/>
                <w:right w:val="none" w:sz="0" w:space="0" w:color="auto"/>
              </w:divBdr>
              <w:divsChild>
                <w:div w:id="621376849">
                  <w:marLeft w:val="0"/>
                  <w:marRight w:val="0"/>
                  <w:marTop w:val="0"/>
                  <w:marBottom w:val="0"/>
                  <w:divBdr>
                    <w:top w:val="none" w:sz="0" w:space="0" w:color="auto"/>
                    <w:left w:val="none" w:sz="0" w:space="0" w:color="auto"/>
                    <w:bottom w:val="none" w:sz="0" w:space="0" w:color="auto"/>
                    <w:right w:val="none" w:sz="0" w:space="0" w:color="auto"/>
                  </w:divBdr>
                  <w:divsChild>
                    <w:div w:id="823473101">
                      <w:marLeft w:val="0"/>
                      <w:marRight w:val="0"/>
                      <w:marTop w:val="75"/>
                      <w:marBottom w:val="0"/>
                      <w:divBdr>
                        <w:top w:val="none" w:sz="0" w:space="0" w:color="auto"/>
                        <w:left w:val="none" w:sz="0" w:space="0" w:color="auto"/>
                        <w:bottom w:val="none" w:sz="0" w:space="0" w:color="auto"/>
                        <w:right w:val="none" w:sz="0" w:space="0" w:color="auto"/>
                      </w:divBdr>
                    </w:div>
                    <w:div w:id="1631860388">
                      <w:marLeft w:val="0"/>
                      <w:marRight w:val="0"/>
                      <w:marTop w:val="75"/>
                      <w:marBottom w:val="0"/>
                      <w:divBdr>
                        <w:top w:val="none" w:sz="0" w:space="0" w:color="auto"/>
                        <w:left w:val="none" w:sz="0" w:space="0" w:color="auto"/>
                        <w:bottom w:val="none" w:sz="0" w:space="0" w:color="auto"/>
                        <w:right w:val="none" w:sz="0" w:space="0" w:color="auto"/>
                      </w:divBdr>
                    </w:div>
                    <w:div w:id="951281499">
                      <w:marLeft w:val="0"/>
                      <w:marRight w:val="0"/>
                      <w:marTop w:val="0"/>
                      <w:marBottom w:val="0"/>
                      <w:divBdr>
                        <w:top w:val="none" w:sz="0" w:space="0" w:color="auto"/>
                        <w:left w:val="none" w:sz="0" w:space="0" w:color="auto"/>
                        <w:bottom w:val="none" w:sz="0" w:space="0" w:color="auto"/>
                        <w:right w:val="none" w:sz="0" w:space="0" w:color="auto"/>
                      </w:divBdr>
                    </w:div>
                  </w:divsChild>
                </w:div>
                <w:div w:id="145512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514471">
      <w:bodyDiv w:val="1"/>
      <w:marLeft w:val="0"/>
      <w:marRight w:val="0"/>
      <w:marTop w:val="0"/>
      <w:marBottom w:val="0"/>
      <w:divBdr>
        <w:top w:val="none" w:sz="0" w:space="0" w:color="auto"/>
        <w:left w:val="none" w:sz="0" w:space="0" w:color="auto"/>
        <w:bottom w:val="none" w:sz="0" w:space="0" w:color="auto"/>
        <w:right w:val="none" w:sz="0" w:space="0" w:color="auto"/>
      </w:divBdr>
      <w:divsChild>
        <w:div w:id="1337999022">
          <w:marLeft w:val="0"/>
          <w:marRight w:val="0"/>
          <w:marTop w:val="0"/>
          <w:marBottom w:val="0"/>
          <w:divBdr>
            <w:top w:val="none" w:sz="0" w:space="0" w:color="auto"/>
            <w:left w:val="none" w:sz="0" w:space="0" w:color="auto"/>
            <w:bottom w:val="single" w:sz="6" w:space="12" w:color="CCCCCC"/>
            <w:right w:val="none" w:sz="0" w:space="0" w:color="auto"/>
          </w:divBdr>
          <w:divsChild>
            <w:div w:id="2090344512">
              <w:marLeft w:val="0"/>
              <w:marRight w:val="0"/>
              <w:marTop w:val="0"/>
              <w:marBottom w:val="0"/>
              <w:divBdr>
                <w:top w:val="none" w:sz="0" w:space="0" w:color="auto"/>
                <w:left w:val="none" w:sz="0" w:space="0" w:color="auto"/>
                <w:bottom w:val="none" w:sz="0" w:space="0" w:color="auto"/>
                <w:right w:val="none" w:sz="0" w:space="0" w:color="auto"/>
              </w:divBdr>
              <w:divsChild>
                <w:div w:id="1063063352">
                  <w:marLeft w:val="0"/>
                  <w:marRight w:val="0"/>
                  <w:marTop w:val="0"/>
                  <w:marBottom w:val="0"/>
                  <w:divBdr>
                    <w:top w:val="none" w:sz="0" w:space="0" w:color="auto"/>
                    <w:left w:val="none" w:sz="0" w:space="0" w:color="auto"/>
                    <w:bottom w:val="none" w:sz="0" w:space="0" w:color="auto"/>
                    <w:right w:val="none" w:sz="0" w:space="0" w:color="auto"/>
                  </w:divBdr>
                  <w:divsChild>
                    <w:div w:id="995497462">
                      <w:marLeft w:val="0"/>
                      <w:marRight w:val="0"/>
                      <w:marTop w:val="75"/>
                      <w:marBottom w:val="0"/>
                      <w:divBdr>
                        <w:top w:val="none" w:sz="0" w:space="0" w:color="auto"/>
                        <w:left w:val="none" w:sz="0" w:space="0" w:color="auto"/>
                        <w:bottom w:val="none" w:sz="0" w:space="0" w:color="auto"/>
                        <w:right w:val="none" w:sz="0" w:space="0" w:color="auto"/>
                      </w:divBdr>
                    </w:div>
                    <w:div w:id="87652615">
                      <w:marLeft w:val="0"/>
                      <w:marRight w:val="0"/>
                      <w:marTop w:val="0"/>
                      <w:marBottom w:val="0"/>
                      <w:divBdr>
                        <w:top w:val="none" w:sz="0" w:space="0" w:color="auto"/>
                        <w:left w:val="none" w:sz="0" w:space="0" w:color="auto"/>
                        <w:bottom w:val="none" w:sz="0" w:space="0" w:color="auto"/>
                        <w:right w:val="none" w:sz="0" w:space="0" w:color="auto"/>
                      </w:divBdr>
                    </w:div>
                  </w:divsChild>
                </w:div>
                <w:div w:id="177566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676305">
      <w:bodyDiv w:val="1"/>
      <w:marLeft w:val="0"/>
      <w:marRight w:val="0"/>
      <w:marTop w:val="0"/>
      <w:marBottom w:val="0"/>
      <w:divBdr>
        <w:top w:val="none" w:sz="0" w:space="0" w:color="auto"/>
        <w:left w:val="none" w:sz="0" w:space="0" w:color="auto"/>
        <w:bottom w:val="none" w:sz="0" w:space="0" w:color="auto"/>
        <w:right w:val="none" w:sz="0" w:space="0" w:color="auto"/>
      </w:divBdr>
      <w:divsChild>
        <w:div w:id="1282348442">
          <w:marLeft w:val="0"/>
          <w:marRight w:val="0"/>
          <w:marTop w:val="0"/>
          <w:marBottom w:val="0"/>
          <w:divBdr>
            <w:top w:val="none" w:sz="0" w:space="0" w:color="auto"/>
            <w:left w:val="none" w:sz="0" w:space="0" w:color="auto"/>
            <w:bottom w:val="single" w:sz="6" w:space="12" w:color="CCCCCC"/>
            <w:right w:val="none" w:sz="0" w:space="0" w:color="auto"/>
          </w:divBdr>
          <w:divsChild>
            <w:div w:id="1072971005">
              <w:marLeft w:val="0"/>
              <w:marRight w:val="0"/>
              <w:marTop w:val="0"/>
              <w:marBottom w:val="0"/>
              <w:divBdr>
                <w:top w:val="none" w:sz="0" w:space="0" w:color="auto"/>
                <w:left w:val="none" w:sz="0" w:space="0" w:color="auto"/>
                <w:bottom w:val="none" w:sz="0" w:space="0" w:color="auto"/>
                <w:right w:val="none" w:sz="0" w:space="0" w:color="auto"/>
              </w:divBdr>
              <w:divsChild>
                <w:div w:id="16128373">
                  <w:marLeft w:val="0"/>
                  <w:marRight w:val="0"/>
                  <w:marTop w:val="0"/>
                  <w:marBottom w:val="0"/>
                  <w:divBdr>
                    <w:top w:val="none" w:sz="0" w:space="0" w:color="auto"/>
                    <w:left w:val="none" w:sz="0" w:space="0" w:color="auto"/>
                    <w:bottom w:val="none" w:sz="0" w:space="0" w:color="auto"/>
                    <w:right w:val="none" w:sz="0" w:space="0" w:color="auto"/>
                  </w:divBdr>
                  <w:divsChild>
                    <w:div w:id="1903640687">
                      <w:marLeft w:val="0"/>
                      <w:marRight w:val="0"/>
                      <w:marTop w:val="75"/>
                      <w:marBottom w:val="0"/>
                      <w:divBdr>
                        <w:top w:val="none" w:sz="0" w:space="0" w:color="auto"/>
                        <w:left w:val="none" w:sz="0" w:space="0" w:color="auto"/>
                        <w:bottom w:val="none" w:sz="0" w:space="0" w:color="auto"/>
                        <w:right w:val="none" w:sz="0" w:space="0" w:color="auto"/>
                      </w:divBdr>
                    </w:div>
                    <w:div w:id="2099790429">
                      <w:marLeft w:val="0"/>
                      <w:marRight w:val="0"/>
                      <w:marTop w:val="0"/>
                      <w:marBottom w:val="0"/>
                      <w:divBdr>
                        <w:top w:val="none" w:sz="0" w:space="0" w:color="auto"/>
                        <w:left w:val="none" w:sz="0" w:space="0" w:color="auto"/>
                        <w:bottom w:val="none" w:sz="0" w:space="0" w:color="auto"/>
                        <w:right w:val="none" w:sz="0" w:space="0" w:color="auto"/>
                      </w:divBdr>
                    </w:div>
                  </w:divsChild>
                </w:div>
                <w:div w:id="50721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796845">
      <w:bodyDiv w:val="1"/>
      <w:marLeft w:val="0"/>
      <w:marRight w:val="0"/>
      <w:marTop w:val="0"/>
      <w:marBottom w:val="0"/>
      <w:divBdr>
        <w:top w:val="none" w:sz="0" w:space="0" w:color="auto"/>
        <w:left w:val="none" w:sz="0" w:space="0" w:color="auto"/>
        <w:bottom w:val="none" w:sz="0" w:space="0" w:color="auto"/>
        <w:right w:val="none" w:sz="0" w:space="0" w:color="auto"/>
      </w:divBdr>
      <w:divsChild>
        <w:div w:id="234437321">
          <w:marLeft w:val="0"/>
          <w:marRight w:val="0"/>
          <w:marTop w:val="0"/>
          <w:marBottom w:val="0"/>
          <w:divBdr>
            <w:top w:val="none" w:sz="0" w:space="0" w:color="auto"/>
            <w:left w:val="none" w:sz="0" w:space="0" w:color="auto"/>
            <w:bottom w:val="single" w:sz="6" w:space="12" w:color="CCCCCC"/>
            <w:right w:val="none" w:sz="0" w:space="0" w:color="auto"/>
          </w:divBdr>
          <w:divsChild>
            <w:div w:id="1838686501">
              <w:marLeft w:val="0"/>
              <w:marRight w:val="0"/>
              <w:marTop w:val="0"/>
              <w:marBottom w:val="0"/>
              <w:divBdr>
                <w:top w:val="none" w:sz="0" w:space="0" w:color="auto"/>
                <w:left w:val="none" w:sz="0" w:space="0" w:color="auto"/>
                <w:bottom w:val="none" w:sz="0" w:space="0" w:color="auto"/>
                <w:right w:val="none" w:sz="0" w:space="0" w:color="auto"/>
              </w:divBdr>
              <w:divsChild>
                <w:div w:id="1196040468">
                  <w:marLeft w:val="0"/>
                  <w:marRight w:val="0"/>
                  <w:marTop w:val="0"/>
                  <w:marBottom w:val="0"/>
                  <w:divBdr>
                    <w:top w:val="none" w:sz="0" w:space="0" w:color="auto"/>
                    <w:left w:val="none" w:sz="0" w:space="0" w:color="auto"/>
                    <w:bottom w:val="none" w:sz="0" w:space="0" w:color="auto"/>
                    <w:right w:val="none" w:sz="0" w:space="0" w:color="auto"/>
                  </w:divBdr>
                  <w:divsChild>
                    <w:div w:id="1198012230">
                      <w:marLeft w:val="0"/>
                      <w:marRight w:val="0"/>
                      <w:marTop w:val="75"/>
                      <w:marBottom w:val="0"/>
                      <w:divBdr>
                        <w:top w:val="none" w:sz="0" w:space="0" w:color="auto"/>
                        <w:left w:val="none" w:sz="0" w:space="0" w:color="auto"/>
                        <w:bottom w:val="none" w:sz="0" w:space="0" w:color="auto"/>
                        <w:right w:val="none" w:sz="0" w:space="0" w:color="auto"/>
                      </w:divBdr>
                    </w:div>
                    <w:div w:id="133917418">
                      <w:marLeft w:val="0"/>
                      <w:marRight w:val="0"/>
                      <w:marTop w:val="0"/>
                      <w:marBottom w:val="0"/>
                      <w:divBdr>
                        <w:top w:val="none" w:sz="0" w:space="0" w:color="auto"/>
                        <w:left w:val="none" w:sz="0" w:space="0" w:color="auto"/>
                        <w:bottom w:val="none" w:sz="0" w:space="0" w:color="auto"/>
                        <w:right w:val="none" w:sz="0" w:space="0" w:color="auto"/>
                      </w:divBdr>
                    </w:div>
                  </w:divsChild>
                </w:div>
                <w:div w:id="41255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federalismi.it" TargetMode="External"/><Relationship Id="rId2" Type="http://schemas.openxmlformats.org/officeDocument/2006/relationships/hyperlink" Target="http://www.federalismi.it" TargetMode="External"/><Relationship Id="rId1" Type="http://schemas.openxmlformats.org/officeDocument/2006/relationships/hyperlink" Target="http://www.treccani.it" TargetMode="External"/><Relationship Id="rId5" Type="http://schemas.openxmlformats.org/officeDocument/2006/relationships/hyperlink" Target="http://www.federalismi.it" TargetMode="External"/><Relationship Id="rId4" Type="http://schemas.openxmlformats.org/officeDocument/2006/relationships/hyperlink" Target="http://www.federalism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DD597-7264-431E-A4B4-C155B72B1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7566</Words>
  <Characters>43127</Characters>
  <Application>Microsoft Office Word</Application>
  <DocSecurity>4</DocSecurity>
  <Lines>359</Lines>
  <Paragraphs>101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COZZOLI Pamela</cp:lastModifiedBy>
  <cp:revision>2</cp:revision>
  <dcterms:created xsi:type="dcterms:W3CDTF">2026-01-09T06:36:00Z</dcterms:created>
  <dcterms:modified xsi:type="dcterms:W3CDTF">2026-01-09T06:36:00Z</dcterms:modified>
</cp:coreProperties>
</file>