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0FF8" w14:textId="5E72DDC7" w:rsidR="00C6172A" w:rsidRPr="00C27AE9" w:rsidRDefault="00F77028" w:rsidP="00C6172A">
      <w:pPr>
        <w:widowControl w:val="0"/>
        <w:spacing w:line="240" w:lineRule="atLeast"/>
        <w:jc w:val="both"/>
        <w:rPr>
          <w:rFonts w:ascii="Garamond" w:hAnsi="Garamond"/>
          <w:b/>
          <w:sz w:val="26"/>
          <w:szCs w:val="26"/>
        </w:rPr>
      </w:pPr>
      <w:r w:rsidRPr="00C27AE9">
        <w:rPr>
          <w:rFonts w:ascii="Garamond" w:hAnsi="Garamond"/>
          <w:b/>
          <w:sz w:val="26"/>
          <w:szCs w:val="26"/>
        </w:rPr>
        <w:t xml:space="preserve"> </w:t>
      </w:r>
      <w:r w:rsidR="00EC5BBE" w:rsidRPr="00C27AE9">
        <w:rPr>
          <w:rFonts w:ascii="Garamond" w:hAnsi="Garamond"/>
          <w:b/>
          <w:sz w:val="26"/>
          <w:szCs w:val="26"/>
        </w:rPr>
        <w:t xml:space="preserve">La regolazione del </w:t>
      </w:r>
      <w:r w:rsidR="00BF3D4E" w:rsidRPr="00C27AE9">
        <w:rPr>
          <w:rFonts w:ascii="Garamond" w:hAnsi="Garamond"/>
          <w:b/>
          <w:sz w:val="26"/>
          <w:szCs w:val="26"/>
        </w:rPr>
        <w:t>servizio di gestione dei rifiuti urbani</w:t>
      </w:r>
      <w:r w:rsidR="00EC5BBE" w:rsidRPr="00C27AE9">
        <w:rPr>
          <w:rFonts w:ascii="Garamond" w:hAnsi="Garamond"/>
          <w:b/>
          <w:sz w:val="26"/>
          <w:szCs w:val="26"/>
        </w:rPr>
        <w:t xml:space="preserve"> </w:t>
      </w:r>
      <w:r w:rsidR="009050CE" w:rsidRPr="00C27AE9">
        <w:rPr>
          <w:rFonts w:ascii="Garamond" w:hAnsi="Garamond"/>
          <w:b/>
          <w:sz w:val="26"/>
          <w:szCs w:val="26"/>
        </w:rPr>
        <w:t xml:space="preserve">e la dialettica con il contratto di servizio </w:t>
      </w:r>
      <w:r w:rsidR="00EC5BBE" w:rsidRPr="00C27AE9">
        <w:rPr>
          <w:rFonts w:ascii="Garamond" w:hAnsi="Garamond"/>
          <w:b/>
          <w:sz w:val="26"/>
          <w:szCs w:val="26"/>
        </w:rPr>
        <w:t>nella giurisprudenza amministrativa:</w:t>
      </w:r>
      <w:r w:rsidR="00307DAA" w:rsidRPr="00C27AE9">
        <w:rPr>
          <w:rFonts w:ascii="Garamond" w:hAnsi="Garamond"/>
          <w:b/>
          <w:sz w:val="26"/>
          <w:szCs w:val="26"/>
        </w:rPr>
        <w:t xml:space="preserve"> punti fermi e nodi ancora da sciogliere</w:t>
      </w:r>
    </w:p>
    <w:p w14:paraId="380ECB8E" w14:textId="77777777" w:rsidR="00307DAA" w:rsidRPr="00C27AE9" w:rsidRDefault="00307DAA" w:rsidP="00C6172A">
      <w:pPr>
        <w:widowControl w:val="0"/>
        <w:spacing w:line="240" w:lineRule="atLeast"/>
        <w:jc w:val="both"/>
        <w:rPr>
          <w:rFonts w:ascii="Garamond" w:hAnsi="Garamond"/>
          <w:b/>
          <w:sz w:val="26"/>
          <w:szCs w:val="26"/>
        </w:rPr>
      </w:pPr>
    </w:p>
    <w:p w14:paraId="68C38B59" w14:textId="0FF8DDC8" w:rsidR="00307DAA" w:rsidRPr="00C27AE9" w:rsidRDefault="00307DAA" w:rsidP="00C6172A">
      <w:pPr>
        <w:widowControl w:val="0"/>
        <w:spacing w:line="240" w:lineRule="atLeast"/>
        <w:jc w:val="both"/>
        <w:rPr>
          <w:rFonts w:ascii="Garamond" w:hAnsi="Garamond"/>
          <w:bCs/>
          <w:sz w:val="26"/>
          <w:szCs w:val="26"/>
        </w:rPr>
      </w:pPr>
      <w:r w:rsidRPr="00C27AE9">
        <w:rPr>
          <w:rFonts w:ascii="Garamond" w:hAnsi="Garamond"/>
          <w:bCs/>
          <w:sz w:val="26"/>
          <w:szCs w:val="26"/>
        </w:rPr>
        <w:t>di M</w:t>
      </w:r>
      <w:r w:rsidR="00CF77BB">
        <w:rPr>
          <w:rFonts w:ascii="Garamond" w:hAnsi="Garamond"/>
          <w:bCs/>
          <w:sz w:val="26"/>
          <w:szCs w:val="26"/>
        </w:rPr>
        <w:t>ARCO LANCIERI</w:t>
      </w:r>
    </w:p>
    <w:p w14:paraId="5E6367A5" w14:textId="77777777" w:rsidR="00C6172A" w:rsidRPr="00C27AE9" w:rsidRDefault="00C6172A" w:rsidP="00C6172A">
      <w:pPr>
        <w:widowControl w:val="0"/>
        <w:spacing w:line="240" w:lineRule="atLeast"/>
        <w:jc w:val="both"/>
        <w:rPr>
          <w:rFonts w:ascii="Garamond" w:hAnsi="Garamond"/>
          <w:b/>
          <w:sz w:val="26"/>
          <w:szCs w:val="26"/>
        </w:rPr>
      </w:pPr>
    </w:p>
    <w:p w14:paraId="268C1AE1" w14:textId="77777777" w:rsidR="00CF63ED" w:rsidRPr="00C27AE9" w:rsidRDefault="00CF63ED" w:rsidP="000E2A06">
      <w:pPr>
        <w:pStyle w:val="Rientrocorpodeltesto"/>
        <w:widowControl w:val="0"/>
        <w:spacing w:after="0"/>
        <w:ind w:left="0" w:firstLine="454"/>
        <w:jc w:val="both"/>
        <w:rPr>
          <w:rFonts w:ascii="Garamond" w:hAnsi="Garamond"/>
          <w:sz w:val="26"/>
          <w:szCs w:val="26"/>
        </w:rPr>
      </w:pPr>
    </w:p>
    <w:p w14:paraId="7512DD69" w14:textId="24E3B996" w:rsidR="0024253A" w:rsidRPr="005B5D74" w:rsidRDefault="0024253A" w:rsidP="0024253A">
      <w:pPr>
        <w:pStyle w:val="Rientrocorpodeltesto"/>
        <w:widowControl w:val="0"/>
        <w:spacing w:after="0"/>
        <w:ind w:left="0"/>
        <w:jc w:val="both"/>
        <w:rPr>
          <w:rFonts w:ascii="Garamond" w:hAnsi="Garamond"/>
        </w:rPr>
      </w:pPr>
      <w:r w:rsidRPr="005B5D74">
        <w:rPr>
          <w:rFonts w:ascii="Garamond" w:hAnsi="Garamond"/>
        </w:rPr>
        <w:t>Sommario: 1.</w:t>
      </w:r>
      <w:r w:rsidR="0089533B" w:rsidRPr="005B5D74">
        <w:rPr>
          <w:rFonts w:ascii="Garamond" w:hAnsi="Garamond"/>
        </w:rPr>
        <w:t xml:space="preserve"> </w:t>
      </w:r>
      <w:r w:rsidRPr="005B5D74">
        <w:rPr>
          <w:rFonts w:ascii="Garamond" w:hAnsi="Garamond"/>
        </w:rPr>
        <w:t xml:space="preserve">Premessa – 2. </w:t>
      </w:r>
      <w:r w:rsidR="00B34E1F" w:rsidRPr="005B5D74">
        <w:rPr>
          <w:rFonts w:ascii="Garamond" w:hAnsi="Garamond"/>
        </w:rPr>
        <w:t>La funzione della disciplina regolatoria nel settore dei rifiuti urbani ed il ruolo dell’Arera</w:t>
      </w:r>
      <w:r w:rsidR="00E11FAC" w:rsidRPr="005B5D74">
        <w:rPr>
          <w:rFonts w:ascii="Garamond" w:hAnsi="Garamond"/>
        </w:rPr>
        <w:t xml:space="preserve"> e degli E</w:t>
      </w:r>
      <w:r w:rsidR="00443078" w:rsidRPr="005B5D74">
        <w:rPr>
          <w:rFonts w:ascii="Garamond" w:hAnsi="Garamond"/>
        </w:rPr>
        <w:t xml:space="preserve">nti </w:t>
      </w:r>
      <w:r w:rsidR="00E11FAC" w:rsidRPr="005B5D74">
        <w:rPr>
          <w:rFonts w:ascii="Garamond" w:hAnsi="Garamond"/>
        </w:rPr>
        <w:t>T</w:t>
      </w:r>
      <w:r w:rsidR="00443078" w:rsidRPr="005B5D74">
        <w:rPr>
          <w:rFonts w:ascii="Garamond" w:hAnsi="Garamond"/>
        </w:rPr>
        <w:t xml:space="preserve">erritorialmente </w:t>
      </w:r>
      <w:r w:rsidR="00E11FAC" w:rsidRPr="005B5D74">
        <w:rPr>
          <w:rFonts w:ascii="Garamond" w:hAnsi="Garamond"/>
        </w:rPr>
        <w:t>C</w:t>
      </w:r>
      <w:r w:rsidR="00443078" w:rsidRPr="005B5D74">
        <w:rPr>
          <w:rFonts w:ascii="Garamond" w:hAnsi="Garamond"/>
        </w:rPr>
        <w:t>ompetenti</w:t>
      </w:r>
      <w:r w:rsidR="00B34E1F" w:rsidRPr="005B5D74">
        <w:rPr>
          <w:rFonts w:ascii="Garamond" w:hAnsi="Garamond"/>
        </w:rPr>
        <w:t xml:space="preserve"> – 3. </w:t>
      </w:r>
      <w:r w:rsidRPr="005B5D74">
        <w:rPr>
          <w:rFonts w:ascii="Garamond" w:hAnsi="Garamond"/>
        </w:rPr>
        <w:t xml:space="preserve">L’eterointegrazione </w:t>
      </w:r>
      <w:r w:rsidR="00155906">
        <w:rPr>
          <w:rFonts w:ascii="Garamond" w:hAnsi="Garamond"/>
        </w:rPr>
        <w:t xml:space="preserve">contrattuale ed </w:t>
      </w:r>
      <w:r w:rsidRPr="005B5D74">
        <w:rPr>
          <w:rFonts w:ascii="Garamond" w:hAnsi="Garamond"/>
        </w:rPr>
        <w:t>i</w:t>
      </w:r>
      <w:r w:rsidR="00155906">
        <w:rPr>
          <w:rFonts w:ascii="Garamond" w:hAnsi="Garamond"/>
        </w:rPr>
        <w:t>l</w:t>
      </w:r>
      <w:r w:rsidRPr="005B5D74">
        <w:rPr>
          <w:rFonts w:ascii="Garamond" w:hAnsi="Garamond"/>
        </w:rPr>
        <w:t xml:space="preserve"> contratt</w:t>
      </w:r>
      <w:r w:rsidR="00155906">
        <w:rPr>
          <w:rFonts w:ascii="Garamond" w:hAnsi="Garamond"/>
        </w:rPr>
        <w:t>o</w:t>
      </w:r>
      <w:r w:rsidRPr="005B5D74">
        <w:rPr>
          <w:rFonts w:ascii="Garamond" w:hAnsi="Garamond"/>
        </w:rPr>
        <w:t xml:space="preserve"> di servizio</w:t>
      </w:r>
      <w:r w:rsidR="00155906">
        <w:rPr>
          <w:rFonts w:ascii="Garamond" w:hAnsi="Garamond"/>
        </w:rPr>
        <w:t xml:space="preserve"> “regolato”</w:t>
      </w:r>
      <w:r w:rsidRPr="005B5D74">
        <w:rPr>
          <w:rFonts w:ascii="Garamond" w:hAnsi="Garamond"/>
        </w:rPr>
        <w:t xml:space="preserve"> – </w:t>
      </w:r>
      <w:r w:rsidR="00F44B89" w:rsidRPr="005B5D74">
        <w:rPr>
          <w:rFonts w:ascii="Garamond" w:hAnsi="Garamond"/>
        </w:rPr>
        <w:t xml:space="preserve">4. </w:t>
      </w:r>
      <w:r w:rsidRPr="005B5D74">
        <w:rPr>
          <w:rFonts w:ascii="Garamond" w:hAnsi="Garamond"/>
        </w:rPr>
        <w:t xml:space="preserve">L’adeguamento del canone contrattuale e </w:t>
      </w:r>
      <w:r w:rsidR="00443078" w:rsidRPr="005B5D74">
        <w:rPr>
          <w:rFonts w:ascii="Garamond" w:hAnsi="Garamond"/>
        </w:rPr>
        <w:t xml:space="preserve">le </w:t>
      </w:r>
      <w:r w:rsidRPr="005B5D74">
        <w:rPr>
          <w:rFonts w:ascii="Garamond" w:hAnsi="Garamond"/>
        </w:rPr>
        <w:t xml:space="preserve">clausole di revisione dei prezzi – </w:t>
      </w:r>
      <w:r w:rsidR="00C27AE9" w:rsidRPr="005B5D74">
        <w:rPr>
          <w:rFonts w:ascii="Garamond" w:hAnsi="Garamond"/>
        </w:rPr>
        <w:t>5</w:t>
      </w:r>
      <w:r w:rsidRPr="005B5D74">
        <w:rPr>
          <w:rFonts w:ascii="Garamond" w:hAnsi="Garamond"/>
        </w:rPr>
        <w:t>. L</w:t>
      </w:r>
      <w:r w:rsidR="004959BE" w:rsidRPr="005B5D74">
        <w:rPr>
          <w:rFonts w:ascii="Garamond" w:hAnsi="Garamond"/>
        </w:rPr>
        <w:t xml:space="preserve">’impugnabilità dei provvedimenti di </w:t>
      </w:r>
      <w:r w:rsidR="00B32CC6" w:rsidRPr="005B5D74">
        <w:rPr>
          <w:rFonts w:ascii="Garamond" w:hAnsi="Garamond"/>
        </w:rPr>
        <w:t xml:space="preserve">determinazione </w:t>
      </w:r>
      <w:r w:rsidR="004959BE" w:rsidRPr="005B5D74">
        <w:rPr>
          <w:rFonts w:ascii="Garamond" w:hAnsi="Garamond"/>
        </w:rPr>
        <w:t>validazione tariffaria dell’ETC</w:t>
      </w:r>
    </w:p>
    <w:p w14:paraId="50875F2E" w14:textId="77777777" w:rsidR="0024253A" w:rsidRPr="00C27AE9" w:rsidRDefault="0024253A" w:rsidP="00A943D0">
      <w:pPr>
        <w:pStyle w:val="Rientrocorpodeltesto"/>
        <w:widowControl w:val="0"/>
        <w:spacing w:after="0"/>
        <w:ind w:left="0"/>
        <w:jc w:val="both"/>
        <w:rPr>
          <w:rFonts w:ascii="Garamond" w:hAnsi="Garamond"/>
          <w:sz w:val="26"/>
          <w:szCs w:val="26"/>
        </w:rPr>
      </w:pPr>
    </w:p>
    <w:p w14:paraId="6A92BF8A" w14:textId="77777777" w:rsidR="0024253A" w:rsidRPr="00C27AE9" w:rsidRDefault="0024253A" w:rsidP="000E2A06">
      <w:pPr>
        <w:pStyle w:val="Rientrocorpodeltesto"/>
        <w:widowControl w:val="0"/>
        <w:spacing w:after="0"/>
        <w:ind w:left="0" w:firstLine="454"/>
        <w:jc w:val="both"/>
        <w:rPr>
          <w:rFonts w:ascii="Garamond" w:hAnsi="Garamond"/>
          <w:sz w:val="26"/>
          <w:szCs w:val="26"/>
        </w:rPr>
      </w:pPr>
    </w:p>
    <w:p w14:paraId="7B53A2B0" w14:textId="26AE264A" w:rsidR="0024253A" w:rsidRPr="00C27AE9" w:rsidRDefault="00C6634A" w:rsidP="0024253A">
      <w:pPr>
        <w:pStyle w:val="Rientrocorpodeltesto"/>
        <w:widowControl w:val="0"/>
        <w:numPr>
          <w:ilvl w:val="0"/>
          <w:numId w:val="2"/>
        </w:numPr>
        <w:spacing w:after="0"/>
        <w:jc w:val="both"/>
        <w:rPr>
          <w:rFonts w:ascii="Garamond" w:hAnsi="Garamond"/>
          <w:b/>
          <w:bCs/>
          <w:sz w:val="26"/>
          <w:szCs w:val="26"/>
        </w:rPr>
      </w:pPr>
      <w:r w:rsidRPr="00C27AE9">
        <w:rPr>
          <w:rFonts w:ascii="Garamond" w:hAnsi="Garamond"/>
          <w:b/>
          <w:bCs/>
          <w:sz w:val="26"/>
          <w:szCs w:val="26"/>
        </w:rPr>
        <w:t>Premessa</w:t>
      </w:r>
    </w:p>
    <w:p w14:paraId="2B1184D3" w14:textId="77777777" w:rsidR="00226277" w:rsidRPr="00C27AE9" w:rsidRDefault="00226277" w:rsidP="000E2A06">
      <w:pPr>
        <w:pStyle w:val="Rientrocorpodeltesto"/>
        <w:widowControl w:val="0"/>
        <w:spacing w:after="0"/>
        <w:ind w:left="0" w:firstLine="454"/>
        <w:jc w:val="both"/>
        <w:rPr>
          <w:rFonts w:ascii="Garamond" w:hAnsi="Garamond"/>
          <w:sz w:val="26"/>
          <w:szCs w:val="26"/>
        </w:rPr>
      </w:pPr>
    </w:p>
    <w:p w14:paraId="2A186DD2" w14:textId="55604C19" w:rsidR="00426F0C" w:rsidRPr="00C27AE9" w:rsidRDefault="00C6172A" w:rsidP="00CA1DD3">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La pr</w:t>
      </w:r>
      <w:r w:rsidR="00FF57A9" w:rsidRPr="00C27AE9">
        <w:rPr>
          <w:rFonts w:ascii="Garamond" w:hAnsi="Garamond"/>
          <w:sz w:val="26"/>
          <w:szCs w:val="26"/>
        </w:rPr>
        <w:t xml:space="preserve">esente riflessione trae origine da una </w:t>
      </w:r>
      <w:r w:rsidR="00650223" w:rsidRPr="00C27AE9">
        <w:rPr>
          <w:rFonts w:ascii="Garamond" w:hAnsi="Garamond"/>
          <w:sz w:val="26"/>
          <w:szCs w:val="26"/>
        </w:rPr>
        <w:t xml:space="preserve">sempre più frequente </w:t>
      </w:r>
      <w:r w:rsidR="00FF57A9" w:rsidRPr="00C27AE9">
        <w:rPr>
          <w:rFonts w:ascii="Garamond" w:hAnsi="Garamond"/>
          <w:sz w:val="26"/>
          <w:szCs w:val="26"/>
        </w:rPr>
        <w:t xml:space="preserve">constatazione: </w:t>
      </w:r>
      <w:r w:rsidR="00650223" w:rsidRPr="00C27AE9">
        <w:rPr>
          <w:rFonts w:ascii="Garamond" w:hAnsi="Garamond"/>
          <w:sz w:val="26"/>
          <w:szCs w:val="26"/>
        </w:rPr>
        <w:t>i</w:t>
      </w:r>
      <w:r w:rsidR="00EC5BBE" w:rsidRPr="00C27AE9">
        <w:rPr>
          <w:rFonts w:ascii="Garamond" w:hAnsi="Garamond"/>
          <w:sz w:val="26"/>
          <w:szCs w:val="26"/>
        </w:rPr>
        <w:t>l tema</w:t>
      </w:r>
      <w:r w:rsidR="00650223" w:rsidRPr="00C27AE9">
        <w:rPr>
          <w:rFonts w:ascii="Garamond" w:hAnsi="Garamond"/>
          <w:sz w:val="26"/>
          <w:szCs w:val="26"/>
        </w:rPr>
        <w:t xml:space="preserve"> - particolarmente attuale - </w:t>
      </w:r>
      <w:r w:rsidR="00EC5BBE" w:rsidRPr="00C27AE9">
        <w:rPr>
          <w:rFonts w:ascii="Garamond" w:hAnsi="Garamond"/>
          <w:sz w:val="26"/>
          <w:szCs w:val="26"/>
        </w:rPr>
        <w:t>del</w:t>
      </w:r>
      <w:r w:rsidR="00FF57A9" w:rsidRPr="00C27AE9">
        <w:rPr>
          <w:rFonts w:ascii="Garamond" w:hAnsi="Garamond"/>
          <w:sz w:val="26"/>
          <w:szCs w:val="26"/>
        </w:rPr>
        <w:t xml:space="preserve">la </w:t>
      </w:r>
      <w:r w:rsidR="00F95594" w:rsidRPr="00C27AE9">
        <w:rPr>
          <w:rFonts w:ascii="Garamond" w:hAnsi="Garamond"/>
          <w:sz w:val="26"/>
          <w:szCs w:val="26"/>
        </w:rPr>
        <w:t xml:space="preserve">disciplina del </w:t>
      </w:r>
      <w:r w:rsidR="00FF57A9" w:rsidRPr="00C27AE9">
        <w:rPr>
          <w:rFonts w:ascii="Garamond" w:hAnsi="Garamond"/>
          <w:sz w:val="26"/>
          <w:szCs w:val="26"/>
        </w:rPr>
        <w:t xml:space="preserve">servizio pubblico </w:t>
      </w:r>
      <w:r w:rsidR="00F95594" w:rsidRPr="00C27AE9">
        <w:rPr>
          <w:rFonts w:ascii="Garamond" w:hAnsi="Garamond"/>
          <w:sz w:val="26"/>
          <w:szCs w:val="26"/>
        </w:rPr>
        <w:t xml:space="preserve">di raccolta </w:t>
      </w:r>
      <w:r w:rsidR="00FF57A9" w:rsidRPr="00C27AE9">
        <w:rPr>
          <w:rFonts w:ascii="Garamond" w:hAnsi="Garamond"/>
          <w:sz w:val="26"/>
          <w:szCs w:val="26"/>
        </w:rPr>
        <w:t>dei rifiuti</w:t>
      </w:r>
      <w:r w:rsidR="00C6634A" w:rsidRPr="00C27AE9">
        <w:rPr>
          <w:rFonts w:ascii="Garamond" w:hAnsi="Garamond"/>
          <w:sz w:val="26"/>
          <w:szCs w:val="26"/>
        </w:rPr>
        <w:t xml:space="preserve"> urbani</w:t>
      </w:r>
      <w:r w:rsidR="00FF57A9" w:rsidRPr="00C27AE9">
        <w:rPr>
          <w:rFonts w:ascii="Garamond" w:hAnsi="Garamond"/>
          <w:sz w:val="26"/>
          <w:szCs w:val="26"/>
        </w:rPr>
        <w:t xml:space="preserve"> </w:t>
      </w:r>
      <w:r w:rsidR="00650223" w:rsidRPr="00C27AE9">
        <w:rPr>
          <w:rFonts w:ascii="Garamond" w:hAnsi="Garamond"/>
          <w:sz w:val="26"/>
          <w:szCs w:val="26"/>
        </w:rPr>
        <w:t xml:space="preserve">impone oggi all’interprete di compiere </w:t>
      </w:r>
      <w:r w:rsidR="00F95594" w:rsidRPr="00C27AE9">
        <w:rPr>
          <w:rFonts w:ascii="Garamond" w:hAnsi="Garamond"/>
          <w:sz w:val="26"/>
          <w:szCs w:val="26"/>
        </w:rPr>
        <w:t xml:space="preserve">un particolare sforzo; </w:t>
      </w:r>
      <w:r w:rsidR="00650223" w:rsidRPr="00C27AE9">
        <w:rPr>
          <w:rFonts w:ascii="Garamond" w:hAnsi="Garamond"/>
          <w:sz w:val="26"/>
          <w:szCs w:val="26"/>
        </w:rPr>
        <w:t>ossia quello di</w:t>
      </w:r>
      <w:r w:rsidR="00CA1DD3" w:rsidRPr="00C27AE9">
        <w:rPr>
          <w:rFonts w:ascii="Garamond" w:hAnsi="Garamond"/>
          <w:sz w:val="26"/>
          <w:szCs w:val="26"/>
        </w:rPr>
        <w:t xml:space="preserve"> provare </w:t>
      </w:r>
      <w:r w:rsidR="00C6634A" w:rsidRPr="00C27AE9">
        <w:rPr>
          <w:rFonts w:ascii="Garamond" w:hAnsi="Garamond"/>
          <w:sz w:val="26"/>
          <w:szCs w:val="26"/>
        </w:rPr>
        <w:t xml:space="preserve">ad </w:t>
      </w:r>
      <w:r w:rsidR="00FF57A9" w:rsidRPr="00C27AE9">
        <w:rPr>
          <w:rFonts w:ascii="Garamond" w:hAnsi="Garamond"/>
          <w:sz w:val="26"/>
          <w:szCs w:val="26"/>
        </w:rPr>
        <w:t xml:space="preserve">orientarsi (se non </w:t>
      </w:r>
      <w:r w:rsidR="00C6634A" w:rsidRPr="00C27AE9">
        <w:rPr>
          <w:rFonts w:ascii="Garamond" w:hAnsi="Garamond"/>
          <w:sz w:val="26"/>
          <w:szCs w:val="26"/>
        </w:rPr>
        <w:t xml:space="preserve">proprio </w:t>
      </w:r>
      <w:r w:rsidR="00226277" w:rsidRPr="00C27AE9">
        <w:rPr>
          <w:rFonts w:ascii="Garamond" w:hAnsi="Garamond"/>
          <w:sz w:val="26"/>
          <w:szCs w:val="26"/>
        </w:rPr>
        <w:t xml:space="preserve">a </w:t>
      </w:r>
      <w:r w:rsidR="00FF57A9" w:rsidRPr="00C27AE9">
        <w:rPr>
          <w:rFonts w:ascii="Garamond" w:hAnsi="Garamond"/>
          <w:sz w:val="26"/>
          <w:szCs w:val="26"/>
        </w:rPr>
        <w:t xml:space="preserve">districarsi) tra </w:t>
      </w:r>
      <w:r w:rsidR="00426F0C" w:rsidRPr="00C27AE9">
        <w:rPr>
          <w:rFonts w:ascii="Garamond" w:hAnsi="Garamond"/>
          <w:sz w:val="26"/>
          <w:szCs w:val="26"/>
        </w:rPr>
        <w:t xml:space="preserve">plurime e </w:t>
      </w:r>
      <w:r w:rsidR="00C6634A" w:rsidRPr="00C27AE9">
        <w:rPr>
          <w:rFonts w:ascii="Garamond" w:hAnsi="Garamond"/>
          <w:sz w:val="26"/>
          <w:szCs w:val="26"/>
        </w:rPr>
        <w:t xml:space="preserve">distinte </w:t>
      </w:r>
      <w:r w:rsidR="00FF57A9" w:rsidRPr="00C27AE9">
        <w:rPr>
          <w:rFonts w:ascii="Garamond" w:hAnsi="Garamond"/>
          <w:sz w:val="26"/>
          <w:szCs w:val="26"/>
        </w:rPr>
        <w:t>fonti giuridiche</w:t>
      </w:r>
      <w:r w:rsidR="00A36AD2" w:rsidRPr="00C27AE9">
        <w:rPr>
          <w:rFonts w:ascii="Garamond" w:hAnsi="Garamond"/>
          <w:sz w:val="26"/>
          <w:szCs w:val="26"/>
        </w:rPr>
        <w:t xml:space="preserve">, </w:t>
      </w:r>
      <w:r w:rsidR="00FF57A9" w:rsidRPr="00C27AE9">
        <w:rPr>
          <w:rFonts w:ascii="Garamond" w:hAnsi="Garamond"/>
          <w:sz w:val="26"/>
          <w:szCs w:val="26"/>
        </w:rPr>
        <w:t xml:space="preserve">tutte di </w:t>
      </w:r>
      <w:r w:rsidR="00A36AD2" w:rsidRPr="00C27AE9">
        <w:rPr>
          <w:rFonts w:ascii="Garamond" w:hAnsi="Garamond"/>
          <w:sz w:val="26"/>
          <w:szCs w:val="26"/>
        </w:rPr>
        <w:t xml:space="preserve">rango primario </w:t>
      </w:r>
      <w:r w:rsidR="00C6634A" w:rsidRPr="00C27AE9">
        <w:rPr>
          <w:rFonts w:ascii="Garamond" w:hAnsi="Garamond"/>
          <w:sz w:val="26"/>
          <w:szCs w:val="26"/>
        </w:rPr>
        <w:t>e in linea di principio concorrenti tra loro</w:t>
      </w:r>
      <w:r w:rsidR="00426F0C" w:rsidRPr="00C27AE9">
        <w:rPr>
          <w:rFonts w:ascii="Garamond" w:hAnsi="Garamond"/>
          <w:sz w:val="26"/>
          <w:szCs w:val="26"/>
        </w:rPr>
        <w:t xml:space="preserve"> e affrontare</w:t>
      </w:r>
      <w:r w:rsidR="00650223" w:rsidRPr="00C27AE9">
        <w:rPr>
          <w:rFonts w:ascii="Garamond" w:hAnsi="Garamond"/>
          <w:sz w:val="26"/>
          <w:szCs w:val="26"/>
        </w:rPr>
        <w:t xml:space="preserve"> quindi</w:t>
      </w:r>
      <w:r w:rsidR="00426F0C" w:rsidRPr="00C27AE9">
        <w:rPr>
          <w:rFonts w:ascii="Garamond" w:hAnsi="Garamond"/>
          <w:sz w:val="26"/>
          <w:szCs w:val="26"/>
        </w:rPr>
        <w:t>, per forza di cose, la complessità</w:t>
      </w:r>
      <w:r w:rsidR="00EC5BBE" w:rsidRPr="00C27AE9">
        <w:rPr>
          <w:rFonts w:ascii="Garamond" w:hAnsi="Garamond"/>
          <w:sz w:val="26"/>
          <w:szCs w:val="26"/>
        </w:rPr>
        <w:t>.</w:t>
      </w:r>
    </w:p>
    <w:p w14:paraId="0E65ED37" w14:textId="4390CEFF" w:rsidR="00F84190" w:rsidRPr="00C27AE9" w:rsidRDefault="00656592" w:rsidP="000E2A06">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Tale aspetto è stato prontamente colto dal giudice amministrativo, che ha definito la vigente normativa in tema di gestione dei rifiuti urbani come </w:t>
      </w:r>
      <w:r w:rsidR="00696B1C" w:rsidRPr="00C27AE9">
        <w:rPr>
          <w:rFonts w:ascii="Garamond" w:eastAsia="Arial" w:hAnsi="Garamond" w:cs="Arial"/>
          <w:color w:val="000000"/>
          <w:sz w:val="26"/>
          <w:szCs w:val="26"/>
        </w:rPr>
        <w:t>«</w:t>
      </w:r>
      <w:r w:rsidR="00F84190" w:rsidRPr="00C27AE9">
        <w:rPr>
          <w:rFonts w:ascii="Garamond" w:hAnsi="Garamond"/>
          <w:i/>
          <w:iCs/>
          <w:sz w:val="26"/>
          <w:szCs w:val="26"/>
        </w:rPr>
        <w:t>una disciplina estremamente articolata, risultante da fonti di varia natura e rango, presidiata da una congerie di dispositivi sia autoritativi che di mercato e con il coinvolgimento di una pluralità di soggetti istituzionali</w:t>
      </w:r>
      <w:r w:rsidR="00696B1C" w:rsidRPr="00C27AE9">
        <w:rPr>
          <w:rFonts w:ascii="Garamond" w:eastAsia="Arial" w:hAnsi="Garamond" w:cs="Arial"/>
          <w:color w:val="000000"/>
          <w:sz w:val="26"/>
          <w:szCs w:val="26"/>
        </w:rPr>
        <w:t>»</w:t>
      </w:r>
      <w:r w:rsidR="00A6459E" w:rsidRPr="00C27AE9">
        <w:rPr>
          <w:rFonts w:ascii="Garamond" w:hAnsi="Garamond"/>
          <w:i/>
          <w:iCs/>
          <w:sz w:val="26"/>
          <w:szCs w:val="26"/>
        </w:rPr>
        <w:t xml:space="preserve"> </w:t>
      </w:r>
      <w:r w:rsidRPr="00C27AE9">
        <w:rPr>
          <w:rFonts w:ascii="Garamond" w:hAnsi="Garamond"/>
          <w:sz w:val="26"/>
          <w:szCs w:val="26"/>
        </w:rPr>
        <w:t>(</w:t>
      </w:r>
      <w:r w:rsidRPr="00C27AE9">
        <w:rPr>
          <w:rStyle w:val="Rimandonotaapidipagina"/>
          <w:rFonts w:ascii="Garamond" w:hAnsi="Garamond"/>
          <w:sz w:val="26"/>
          <w:szCs w:val="26"/>
        </w:rPr>
        <w:footnoteReference w:id="1"/>
      </w:r>
      <w:r w:rsidRPr="00C27AE9">
        <w:rPr>
          <w:rFonts w:ascii="Garamond" w:hAnsi="Garamond"/>
          <w:sz w:val="26"/>
          <w:szCs w:val="26"/>
        </w:rPr>
        <w:t>).</w:t>
      </w:r>
    </w:p>
    <w:p w14:paraId="47D5A846" w14:textId="2B777764" w:rsidR="00CA1DD3" w:rsidRPr="00C27AE9" w:rsidRDefault="00CA1DD3" w:rsidP="000E2A06">
      <w:pPr>
        <w:pStyle w:val="Rientrocorpodeltesto"/>
        <w:widowControl w:val="0"/>
        <w:spacing w:after="0"/>
        <w:ind w:left="0" w:firstLine="454"/>
        <w:jc w:val="both"/>
        <w:rPr>
          <w:rFonts w:ascii="Garamond" w:hAnsi="Garamond"/>
          <w:sz w:val="26"/>
          <w:szCs w:val="26"/>
          <w:u w:val="single"/>
        </w:rPr>
      </w:pPr>
      <w:r w:rsidRPr="00C27AE9">
        <w:rPr>
          <w:rFonts w:ascii="Garamond" w:hAnsi="Garamond"/>
          <w:sz w:val="26"/>
          <w:szCs w:val="26"/>
        </w:rPr>
        <w:t xml:space="preserve">Il riferimento è principalmente al fenomeno della regolazione, che dal 2017 ha </w:t>
      </w:r>
      <w:r w:rsidR="00F95594" w:rsidRPr="00C27AE9">
        <w:rPr>
          <w:rFonts w:ascii="Garamond" w:hAnsi="Garamond"/>
          <w:sz w:val="26"/>
          <w:szCs w:val="26"/>
        </w:rPr>
        <w:t xml:space="preserve">pervaso </w:t>
      </w:r>
      <w:r w:rsidRPr="00C27AE9">
        <w:rPr>
          <w:rFonts w:ascii="Garamond" w:hAnsi="Garamond"/>
          <w:sz w:val="26"/>
          <w:szCs w:val="26"/>
        </w:rPr>
        <w:t>anche il settore dei rifiut</w:t>
      </w:r>
      <w:r w:rsidR="00BD0EFE" w:rsidRPr="00C27AE9">
        <w:rPr>
          <w:rFonts w:ascii="Garamond" w:hAnsi="Garamond"/>
          <w:sz w:val="26"/>
          <w:szCs w:val="26"/>
        </w:rPr>
        <w:t xml:space="preserve">i ed il cui ruolo è stato </w:t>
      </w:r>
      <w:r w:rsidR="005B5D74">
        <w:rPr>
          <w:rFonts w:ascii="Garamond" w:hAnsi="Garamond"/>
          <w:sz w:val="26"/>
          <w:szCs w:val="26"/>
        </w:rPr>
        <w:t xml:space="preserve">ulteriormente </w:t>
      </w:r>
      <w:r w:rsidR="00BD0EFE" w:rsidRPr="00C27AE9">
        <w:rPr>
          <w:rFonts w:ascii="Garamond" w:hAnsi="Garamond"/>
          <w:sz w:val="26"/>
          <w:szCs w:val="26"/>
        </w:rPr>
        <w:t>accentuato dal d.lgs n. 201 del 2022, come noto recante il “</w:t>
      </w:r>
      <w:r w:rsidR="00BD0EFE" w:rsidRPr="00C27AE9">
        <w:rPr>
          <w:rFonts w:ascii="Garamond" w:hAnsi="Garamond"/>
          <w:i/>
          <w:iCs/>
          <w:sz w:val="26"/>
          <w:szCs w:val="26"/>
        </w:rPr>
        <w:t>Riordino della disciplina dei servizi pubblici locali di rilevanza economica</w:t>
      </w:r>
      <w:r w:rsidR="00BD0EFE" w:rsidRPr="00C27AE9">
        <w:rPr>
          <w:rFonts w:ascii="Garamond" w:hAnsi="Garamond"/>
          <w:sz w:val="26"/>
          <w:szCs w:val="26"/>
        </w:rPr>
        <w:t>”.</w:t>
      </w:r>
    </w:p>
    <w:p w14:paraId="701BCA3F" w14:textId="73B029B1" w:rsidR="004B079E" w:rsidRPr="00C27AE9" w:rsidRDefault="004B079E" w:rsidP="000E2A06">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Anche la dottrina, a sua volta, ha evidenziato come il legislatore stesso sia pienamente consapevole della complessità del quadro normativo e dell</w:t>
      </w:r>
      <w:r w:rsidR="00696B1C" w:rsidRPr="00C27AE9">
        <w:rPr>
          <w:rFonts w:ascii="Garamond" w:hAnsi="Garamond"/>
          <w:sz w:val="26"/>
          <w:szCs w:val="26"/>
        </w:rPr>
        <w:t>a spiccata settorialità delle</w:t>
      </w:r>
      <w:r w:rsidRPr="00C27AE9">
        <w:rPr>
          <w:rFonts w:ascii="Garamond" w:hAnsi="Garamond"/>
          <w:sz w:val="26"/>
          <w:szCs w:val="26"/>
        </w:rPr>
        <w:t xml:space="preserve"> vigenti discipline relative alle singole tipologie di servizi pubblici, avendo previsto con il</w:t>
      </w:r>
      <w:r w:rsidR="00BD0EFE" w:rsidRPr="00C27AE9">
        <w:rPr>
          <w:rFonts w:ascii="Garamond" w:hAnsi="Garamond"/>
          <w:sz w:val="26"/>
          <w:szCs w:val="26"/>
        </w:rPr>
        <w:t xml:space="preserve"> citato D.lgs n. 201/2022</w:t>
      </w:r>
      <w:r w:rsidRPr="00C27AE9">
        <w:rPr>
          <w:rFonts w:ascii="Garamond" w:hAnsi="Garamond"/>
          <w:sz w:val="26"/>
          <w:szCs w:val="26"/>
        </w:rPr>
        <w:t xml:space="preserve"> </w:t>
      </w:r>
      <w:r w:rsidR="006E338E" w:rsidRPr="00C27AE9">
        <w:rPr>
          <w:rFonts w:ascii="Garamond" w:hAnsi="Garamond"/>
          <w:sz w:val="26"/>
          <w:szCs w:val="26"/>
        </w:rPr>
        <w:t xml:space="preserve">una vera e propria clausola </w:t>
      </w:r>
      <w:r w:rsidRPr="00C27AE9">
        <w:rPr>
          <w:rFonts w:ascii="Garamond" w:hAnsi="Garamond"/>
          <w:sz w:val="26"/>
          <w:szCs w:val="26"/>
        </w:rPr>
        <w:t>“di salvaguardia” per taluni settori</w:t>
      </w:r>
      <w:r w:rsidR="007D2EEC" w:rsidRPr="00C27AE9">
        <w:rPr>
          <w:rFonts w:ascii="Garamond" w:hAnsi="Garamond"/>
          <w:sz w:val="26"/>
          <w:szCs w:val="26"/>
        </w:rPr>
        <w:t xml:space="preserve"> (cfr. art. 4)</w:t>
      </w:r>
      <w:r w:rsidRPr="00C27AE9">
        <w:rPr>
          <w:rFonts w:ascii="Garamond" w:hAnsi="Garamond"/>
          <w:sz w:val="26"/>
          <w:szCs w:val="26"/>
        </w:rPr>
        <w:t>, tra cui per l’appunto quello della gestione dei rifiuti urbani (</w:t>
      </w:r>
      <w:r w:rsidRPr="00C27AE9">
        <w:rPr>
          <w:rStyle w:val="Rimandonotaapidipagina"/>
          <w:rFonts w:ascii="Garamond" w:hAnsi="Garamond"/>
          <w:sz w:val="26"/>
          <w:szCs w:val="26"/>
        </w:rPr>
        <w:footnoteReference w:id="2"/>
      </w:r>
      <w:r w:rsidR="006E338E" w:rsidRPr="00C27AE9">
        <w:rPr>
          <w:rFonts w:ascii="Garamond" w:hAnsi="Garamond"/>
          <w:sz w:val="26"/>
          <w:szCs w:val="26"/>
        </w:rPr>
        <w:t>)</w:t>
      </w:r>
      <w:r w:rsidRPr="00C27AE9">
        <w:rPr>
          <w:rFonts w:ascii="Garamond" w:hAnsi="Garamond"/>
          <w:sz w:val="26"/>
          <w:szCs w:val="26"/>
        </w:rPr>
        <w:t>.</w:t>
      </w:r>
    </w:p>
    <w:p w14:paraId="2A4238D0" w14:textId="134C8766" w:rsidR="00696B1C" w:rsidRPr="00C27AE9" w:rsidRDefault="007D2EEC" w:rsidP="000E2A06">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A </w:t>
      </w:r>
      <w:r w:rsidR="0033532B" w:rsidRPr="00C27AE9">
        <w:rPr>
          <w:rFonts w:ascii="Garamond" w:hAnsi="Garamond"/>
          <w:sz w:val="26"/>
          <w:szCs w:val="26"/>
        </w:rPr>
        <w:t xml:space="preserve">quest’ultimo si riferisce </w:t>
      </w:r>
      <w:r w:rsidR="00D705B3" w:rsidRPr="00C27AE9">
        <w:rPr>
          <w:rFonts w:ascii="Garamond" w:hAnsi="Garamond"/>
          <w:sz w:val="26"/>
          <w:szCs w:val="26"/>
        </w:rPr>
        <w:t xml:space="preserve">in particolare </w:t>
      </w:r>
      <w:r w:rsidRPr="00C27AE9">
        <w:rPr>
          <w:rFonts w:ascii="Garamond" w:hAnsi="Garamond"/>
          <w:sz w:val="26"/>
          <w:szCs w:val="26"/>
        </w:rPr>
        <w:t xml:space="preserve">l’art. 33 del medesimo </w:t>
      </w:r>
      <w:r w:rsidR="0033532B" w:rsidRPr="00C27AE9">
        <w:rPr>
          <w:rFonts w:ascii="Garamond" w:hAnsi="Garamond"/>
          <w:sz w:val="26"/>
          <w:szCs w:val="26"/>
        </w:rPr>
        <w:t>D.lgs n. 201 del 2022, che svolge funzioni di raccordo con le preesistenti norme afferenti tale settore, oltre a quello del servizio idrico</w:t>
      </w:r>
      <w:r w:rsidR="00BD0EFE" w:rsidRPr="00C27AE9">
        <w:rPr>
          <w:rFonts w:ascii="Garamond" w:hAnsi="Garamond"/>
          <w:sz w:val="26"/>
          <w:szCs w:val="26"/>
        </w:rPr>
        <w:t>.</w:t>
      </w:r>
    </w:p>
    <w:p w14:paraId="57A94858" w14:textId="251E4634" w:rsidR="007D2EEC" w:rsidRPr="00C27AE9" w:rsidRDefault="00696B1C" w:rsidP="000E2A06">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E’ stato </w:t>
      </w:r>
      <w:r w:rsidR="00A943D0" w:rsidRPr="00C27AE9">
        <w:rPr>
          <w:rFonts w:ascii="Garamond" w:hAnsi="Garamond"/>
          <w:sz w:val="26"/>
          <w:szCs w:val="26"/>
        </w:rPr>
        <w:t xml:space="preserve">altresì </w:t>
      </w:r>
      <w:r w:rsidRPr="00C27AE9">
        <w:rPr>
          <w:rFonts w:ascii="Garamond" w:hAnsi="Garamond"/>
          <w:sz w:val="26"/>
          <w:szCs w:val="26"/>
        </w:rPr>
        <w:t>rilevato che “</w:t>
      </w:r>
      <w:r w:rsidRPr="00C27AE9">
        <w:rPr>
          <w:rFonts w:ascii="Garamond" w:hAnsi="Garamond"/>
          <w:i/>
          <w:iCs/>
          <w:sz w:val="26"/>
          <w:szCs w:val="26"/>
        </w:rPr>
        <w:t xml:space="preserve">in aggiunta a tali espliciti rinvii alle discipline di settore, il decreto delinea un regime speciale riservato alla categoria, finalmente oggetto di apposita definizione, dei servizi pubblici locali a rete (art. 2 comma 1, lett. d del D.lgs n. 201/2022 (…) alla quale pacificamente </w:t>
      </w:r>
      <w:r w:rsidRPr="00C27AE9">
        <w:rPr>
          <w:rFonts w:ascii="Garamond" w:hAnsi="Garamond"/>
          <w:i/>
          <w:iCs/>
          <w:sz w:val="26"/>
          <w:szCs w:val="26"/>
        </w:rPr>
        <w:lastRenderedPageBreak/>
        <w:t>afferisc(e) il settore dei rifiuti (…). Ne risulta un quadro complesso: accanto alle espresse nor</w:t>
      </w:r>
      <w:r w:rsidR="0091220E" w:rsidRPr="00C27AE9">
        <w:rPr>
          <w:rFonts w:ascii="Garamond" w:hAnsi="Garamond"/>
          <w:i/>
          <w:iCs/>
          <w:sz w:val="26"/>
          <w:szCs w:val="26"/>
        </w:rPr>
        <w:t>m</w:t>
      </w:r>
      <w:r w:rsidRPr="00C27AE9">
        <w:rPr>
          <w:rFonts w:ascii="Garamond" w:hAnsi="Garamond"/>
          <w:i/>
          <w:iCs/>
          <w:sz w:val="26"/>
          <w:szCs w:val="26"/>
        </w:rPr>
        <w:t>e di salvaguardia si rinvengono disposizioni dedicate ai servizi a rete che, ancorché</w:t>
      </w:r>
      <w:r w:rsidR="0091220E" w:rsidRPr="00C27AE9">
        <w:rPr>
          <w:rFonts w:ascii="Garamond" w:hAnsi="Garamond"/>
          <w:i/>
          <w:iCs/>
          <w:sz w:val="26"/>
          <w:szCs w:val="26"/>
        </w:rPr>
        <w:t xml:space="preserve"> </w:t>
      </w:r>
      <w:r w:rsidRPr="00C27AE9">
        <w:rPr>
          <w:rFonts w:ascii="Garamond" w:hAnsi="Garamond"/>
          <w:i/>
          <w:iCs/>
          <w:sz w:val="26"/>
          <w:szCs w:val="26"/>
        </w:rPr>
        <w:t xml:space="preserve">speciali, sono comunque assistite dalla clausola di prevalenza nella </w:t>
      </w:r>
      <w:r w:rsidR="0091220E" w:rsidRPr="00C27AE9">
        <w:rPr>
          <w:rFonts w:ascii="Garamond" w:hAnsi="Garamond"/>
          <w:i/>
          <w:iCs/>
          <w:sz w:val="26"/>
          <w:szCs w:val="26"/>
        </w:rPr>
        <w:t>m</w:t>
      </w:r>
      <w:r w:rsidRPr="00C27AE9">
        <w:rPr>
          <w:rFonts w:ascii="Garamond" w:hAnsi="Garamond"/>
          <w:i/>
          <w:iCs/>
          <w:sz w:val="26"/>
          <w:szCs w:val="26"/>
        </w:rPr>
        <w:t xml:space="preserve">isura in cui contribuiscono a delineare un regime generale </w:t>
      </w:r>
      <w:r w:rsidR="0091220E" w:rsidRPr="00C27AE9">
        <w:rPr>
          <w:rFonts w:ascii="Garamond" w:hAnsi="Garamond"/>
          <w:i/>
          <w:iCs/>
          <w:sz w:val="26"/>
          <w:szCs w:val="26"/>
        </w:rPr>
        <w:t>rispetto a quelli settoriali.</w:t>
      </w:r>
      <w:r w:rsidRPr="00C27AE9">
        <w:rPr>
          <w:rFonts w:ascii="Garamond" w:hAnsi="Garamond"/>
          <w:sz w:val="26"/>
          <w:szCs w:val="26"/>
        </w:rPr>
        <w:t>”</w:t>
      </w:r>
      <w:r w:rsidR="0033532B" w:rsidRPr="00C27AE9">
        <w:rPr>
          <w:rStyle w:val="Rimandonotaapidipagina"/>
          <w:rFonts w:ascii="Garamond" w:hAnsi="Garamond"/>
          <w:sz w:val="26"/>
          <w:szCs w:val="26"/>
        </w:rPr>
        <w:footnoteReference w:id="3"/>
      </w:r>
      <w:r w:rsidR="0033532B" w:rsidRPr="00C27AE9">
        <w:rPr>
          <w:rFonts w:ascii="Garamond" w:hAnsi="Garamond"/>
          <w:sz w:val="26"/>
          <w:szCs w:val="26"/>
        </w:rPr>
        <w:t>.</w:t>
      </w:r>
    </w:p>
    <w:p w14:paraId="2AEBD11F" w14:textId="1BAED61B" w:rsidR="00F95594" w:rsidRPr="00C27AE9" w:rsidRDefault="00F95594" w:rsidP="006E338E">
      <w:pPr>
        <w:pStyle w:val="Rientrocorpodeltesto"/>
        <w:widowControl w:val="0"/>
        <w:spacing w:after="0"/>
        <w:ind w:left="0" w:firstLine="454"/>
        <w:jc w:val="both"/>
        <w:rPr>
          <w:rFonts w:ascii="Garamond" w:hAnsi="Garamond"/>
          <w:color w:val="EE0000"/>
          <w:sz w:val="26"/>
          <w:szCs w:val="26"/>
        </w:rPr>
      </w:pPr>
      <w:r w:rsidRPr="00C27AE9">
        <w:rPr>
          <w:rFonts w:ascii="Garamond" w:hAnsi="Garamond"/>
          <w:color w:val="000000" w:themeColor="text1"/>
          <w:sz w:val="26"/>
          <w:szCs w:val="26"/>
        </w:rPr>
        <w:t>Emerge dunque incontestabilmente il carattere di disciplina settoriale speciale per il complesso di norme che regolano il servizio di gestione dei rifiuti</w:t>
      </w:r>
      <w:r w:rsidR="0091220E" w:rsidRPr="00C27AE9">
        <w:rPr>
          <w:rFonts w:ascii="Garamond" w:hAnsi="Garamond"/>
          <w:color w:val="000000" w:themeColor="text1"/>
          <w:sz w:val="26"/>
          <w:szCs w:val="26"/>
        </w:rPr>
        <w:t xml:space="preserve"> urbani</w:t>
      </w:r>
      <w:r w:rsidR="00EE4A77" w:rsidRPr="00C27AE9">
        <w:rPr>
          <w:rFonts w:ascii="Garamond" w:hAnsi="Garamond"/>
          <w:color w:val="000000" w:themeColor="text1"/>
          <w:sz w:val="26"/>
          <w:szCs w:val="26"/>
        </w:rPr>
        <w:t>.</w:t>
      </w:r>
    </w:p>
    <w:p w14:paraId="251BBCD2" w14:textId="77777777" w:rsidR="009E272E" w:rsidRDefault="0091220E" w:rsidP="009E272E">
      <w:pPr>
        <w:pStyle w:val="Rientrocorpodeltesto"/>
        <w:widowControl w:val="0"/>
        <w:spacing w:after="0"/>
        <w:ind w:left="0" w:firstLine="454"/>
        <w:jc w:val="both"/>
        <w:rPr>
          <w:rFonts w:ascii="Garamond" w:hAnsi="Garamond"/>
          <w:color w:val="000000" w:themeColor="text1"/>
          <w:sz w:val="26"/>
          <w:szCs w:val="26"/>
        </w:rPr>
      </w:pPr>
      <w:r w:rsidRPr="00C27AE9">
        <w:rPr>
          <w:rFonts w:ascii="Garamond" w:hAnsi="Garamond"/>
          <w:color w:val="000000" w:themeColor="text1"/>
          <w:sz w:val="26"/>
          <w:szCs w:val="26"/>
        </w:rPr>
        <w:t xml:space="preserve">La dottrina, in sostanza, pare concorde nel ritenere che </w:t>
      </w:r>
      <w:r w:rsidR="00EE4A77" w:rsidRPr="00C27AE9">
        <w:rPr>
          <w:rFonts w:ascii="Garamond" w:hAnsi="Garamond"/>
          <w:color w:val="000000" w:themeColor="text1"/>
          <w:sz w:val="26"/>
          <w:szCs w:val="26"/>
        </w:rPr>
        <w:t xml:space="preserve">nella gestione dei rifiuti urbani </w:t>
      </w:r>
      <w:r w:rsidRPr="00C27AE9">
        <w:rPr>
          <w:rFonts w:ascii="Garamond" w:hAnsi="Garamond"/>
          <w:color w:val="000000" w:themeColor="text1"/>
          <w:sz w:val="26"/>
          <w:szCs w:val="26"/>
        </w:rPr>
        <w:t>“</w:t>
      </w:r>
      <w:r w:rsidRPr="00C27AE9">
        <w:rPr>
          <w:rFonts w:ascii="Garamond" w:hAnsi="Garamond"/>
          <w:i/>
          <w:iCs/>
          <w:color w:val="000000" w:themeColor="text1"/>
          <w:sz w:val="26"/>
          <w:szCs w:val="26"/>
        </w:rPr>
        <w:t>il risultato complessivo è quello di una profonda specialità, in cui i tasselli principali dell’organizzazione del servizio (come la discipli</w:t>
      </w:r>
      <w:r w:rsidR="00EE4A77" w:rsidRPr="00C27AE9">
        <w:rPr>
          <w:rFonts w:ascii="Garamond" w:hAnsi="Garamond"/>
          <w:i/>
          <w:iCs/>
          <w:color w:val="000000" w:themeColor="text1"/>
          <w:sz w:val="26"/>
          <w:szCs w:val="26"/>
        </w:rPr>
        <w:t>n</w:t>
      </w:r>
      <w:r w:rsidRPr="00C27AE9">
        <w:rPr>
          <w:rFonts w:ascii="Garamond" w:hAnsi="Garamond"/>
          <w:i/>
          <w:iCs/>
          <w:color w:val="000000" w:themeColor="text1"/>
          <w:sz w:val="26"/>
          <w:szCs w:val="26"/>
        </w:rPr>
        <w:t>a delle reti e la delimitazione degli ambiti territoriali ottimali), gli atti di regolazione (come i contratti e le tariffe)</w:t>
      </w:r>
      <w:r w:rsidR="00EE4A77" w:rsidRPr="00C27AE9">
        <w:rPr>
          <w:rFonts w:ascii="Garamond" w:hAnsi="Garamond"/>
          <w:i/>
          <w:iCs/>
          <w:color w:val="000000" w:themeColor="text1"/>
          <w:sz w:val="26"/>
          <w:szCs w:val="26"/>
        </w:rPr>
        <w:t xml:space="preserve"> e gli strumenti di tutela dell’utenza (…) sono diversi da quelli previsti per gli altri servizi pubblici non a rete ma anche rispetto agli altri servizi pubblici a rete</w:t>
      </w:r>
      <w:r w:rsidR="00EE4A77" w:rsidRPr="00C27AE9">
        <w:rPr>
          <w:rFonts w:ascii="Garamond" w:hAnsi="Garamond"/>
          <w:color w:val="000000" w:themeColor="text1"/>
          <w:sz w:val="26"/>
          <w:szCs w:val="26"/>
        </w:rPr>
        <w:t>”</w:t>
      </w:r>
      <w:r w:rsidR="00EE4A77" w:rsidRPr="00C27AE9">
        <w:rPr>
          <w:rStyle w:val="Rimandonotaapidipagina"/>
          <w:rFonts w:ascii="Garamond" w:hAnsi="Garamond"/>
          <w:color w:val="000000" w:themeColor="text1"/>
          <w:sz w:val="26"/>
          <w:szCs w:val="26"/>
        </w:rPr>
        <w:footnoteReference w:id="4"/>
      </w:r>
      <w:r w:rsidR="00EE4A77" w:rsidRPr="00C27AE9">
        <w:rPr>
          <w:rFonts w:ascii="Garamond" w:hAnsi="Garamond"/>
          <w:color w:val="000000" w:themeColor="text1"/>
          <w:sz w:val="26"/>
          <w:szCs w:val="26"/>
        </w:rPr>
        <w:t>.</w:t>
      </w:r>
      <w:r w:rsidRPr="00C27AE9">
        <w:rPr>
          <w:rFonts w:ascii="Garamond" w:hAnsi="Garamond"/>
          <w:color w:val="000000" w:themeColor="text1"/>
          <w:sz w:val="26"/>
          <w:szCs w:val="26"/>
        </w:rPr>
        <w:t xml:space="preserve"> </w:t>
      </w:r>
    </w:p>
    <w:p w14:paraId="595D20BE" w14:textId="575CFB26" w:rsidR="00EC5BBE" w:rsidRPr="009E272E" w:rsidRDefault="00511806" w:rsidP="009E272E">
      <w:pPr>
        <w:pStyle w:val="Rientrocorpodeltesto"/>
        <w:widowControl w:val="0"/>
        <w:spacing w:after="0"/>
        <w:ind w:left="0" w:firstLine="454"/>
        <w:jc w:val="both"/>
        <w:rPr>
          <w:rFonts w:ascii="Garamond" w:hAnsi="Garamond"/>
          <w:color w:val="000000" w:themeColor="text1"/>
          <w:sz w:val="26"/>
          <w:szCs w:val="26"/>
        </w:rPr>
      </w:pPr>
      <w:r w:rsidRPr="00C27AE9">
        <w:rPr>
          <w:rFonts w:ascii="Garamond" w:eastAsia="Arial" w:hAnsi="Garamond" w:cs="Arial"/>
          <w:color w:val="000000"/>
          <w:sz w:val="26"/>
          <w:szCs w:val="26"/>
        </w:rPr>
        <w:t>L’</w:t>
      </w:r>
      <w:r w:rsidR="00842F62" w:rsidRPr="00C27AE9">
        <w:rPr>
          <w:rFonts w:ascii="Garamond" w:eastAsia="Arial" w:hAnsi="Garamond" w:cs="Arial"/>
          <w:color w:val="000000"/>
          <w:sz w:val="26"/>
          <w:szCs w:val="26"/>
        </w:rPr>
        <w:t>impostazione</w:t>
      </w:r>
      <w:r w:rsidRPr="00C27AE9">
        <w:rPr>
          <w:rFonts w:ascii="Garamond" w:eastAsia="Arial" w:hAnsi="Garamond" w:cs="Arial"/>
          <w:color w:val="000000"/>
          <w:sz w:val="26"/>
          <w:szCs w:val="26"/>
        </w:rPr>
        <w:t xml:space="preserve"> volta </w:t>
      </w:r>
      <w:r w:rsidR="00842F62" w:rsidRPr="00C27AE9">
        <w:rPr>
          <w:rFonts w:ascii="Garamond" w:eastAsia="Arial" w:hAnsi="Garamond" w:cs="Arial"/>
          <w:color w:val="000000"/>
          <w:sz w:val="26"/>
          <w:szCs w:val="26"/>
        </w:rPr>
        <w:t xml:space="preserve">a connotare sempre più in termini di specialità il settore della gestione dei rifiuti </w:t>
      </w:r>
      <w:r w:rsidR="006E338E" w:rsidRPr="00C27AE9">
        <w:rPr>
          <w:rFonts w:ascii="Garamond" w:eastAsia="Arial" w:hAnsi="Garamond" w:cs="Arial"/>
          <w:color w:val="000000"/>
          <w:sz w:val="26"/>
          <w:szCs w:val="26"/>
        </w:rPr>
        <w:t xml:space="preserve">è senz’altro da ascrivere alla circostanza per cui </w:t>
      </w:r>
      <w:r w:rsidR="00656592" w:rsidRPr="00C27AE9">
        <w:rPr>
          <w:rFonts w:ascii="Garamond" w:hAnsi="Garamond"/>
          <w:sz w:val="26"/>
          <w:szCs w:val="26"/>
        </w:rPr>
        <w:t>d</w:t>
      </w:r>
      <w:r w:rsidR="00426F0C" w:rsidRPr="00C27AE9">
        <w:rPr>
          <w:rFonts w:ascii="Garamond" w:hAnsi="Garamond"/>
          <w:sz w:val="26"/>
          <w:szCs w:val="26"/>
        </w:rPr>
        <w:t>al 201</w:t>
      </w:r>
      <w:r w:rsidR="00656592" w:rsidRPr="00C27AE9">
        <w:rPr>
          <w:rFonts w:ascii="Garamond" w:hAnsi="Garamond"/>
          <w:sz w:val="26"/>
          <w:szCs w:val="26"/>
        </w:rPr>
        <w:t xml:space="preserve">7 </w:t>
      </w:r>
      <w:r w:rsidR="00426F0C" w:rsidRPr="00C27AE9">
        <w:rPr>
          <w:rFonts w:ascii="Garamond" w:hAnsi="Garamond"/>
          <w:sz w:val="26"/>
          <w:szCs w:val="26"/>
        </w:rPr>
        <w:t>il settore dei rifiuti urbani rientra tra i servizi pubblici locali a rete in cui opera una autorità di regolazione indipendente.</w:t>
      </w:r>
      <w:r w:rsidR="00EC5BBE" w:rsidRPr="00C27AE9">
        <w:rPr>
          <w:rFonts w:ascii="Garamond" w:hAnsi="Garamond"/>
          <w:sz w:val="26"/>
          <w:szCs w:val="26"/>
        </w:rPr>
        <w:t xml:space="preserve"> </w:t>
      </w:r>
    </w:p>
    <w:p w14:paraId="1F563D15" w14:textId="05A3FDB9" w:rsidR="00EA4A5C" w:rsidRPr="00C27AE9" w:rsidRDefault="00426F0C" w:rsidP="00EA4A5C">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L</w:t>
      </w:r>
      <w:r w:rsidR="00C6634A" w:rsidRPr="00C27AE9">
        <w:rPr>
          <w:rFonts w:ascii="Garamond" w:hAnsi="Garamond"/>
          <w:sz w:val="26"/>
          <w:szCs w:val="26"/>
        </w:rPr>
        <w:t>a</w:t>
      </w:r>
      <w:r w:rsidR="00FF57A9" w:rsidRPr="00C27AE9">
        <w:rPr>
          <w:rFonts w:ascii="Garamond" w:hAnsi="Garamond"/>
          <w:sz w:val="26"/>
          <w:szCs w:val="26"/>
        </w:rPr>
        <w:t xml:space="preserve"> legge n. 205 del 2017</w:t>
      </w:r>
      <w:r w:rsidR="00C6634A" w:rsidRPr="00C27AE9">
        <w:rPr>
          <w:rFonts w:ascii="Garamond" w:hAnsi="Garamond"/>
          <w:sz w:val="26"/>
          <w:szCs w:val="26"/>
        </w:rPr>
        <w:t>,</w:t>
      </w:r>
      <w:r w:rsidR="00FF57A9" w:rsidRPr="00C27AE9">
        <w:rPr>
          <w:rFonts w:ascii="Garamond" w:hAnsi="Garamond"/>
          <w:sz w:val="26"/>
          <w:szCs w:val="26"/>
        </w:rPr>
        <w:t xml:space="preserve"> </w:t>
      </w:r>
      <w:r w:rsidR="005B5D74">
        <w:rPr>
          <w:rFonts w:ascii="Garamond" w:hAnsi="Garamond"/>
          <w:sz w:val="26"/>
          <w:szCs w:val="26"/>
        </w:rPr>
        <w:t>come noto</w:t>
      </w:r>
      <w:r w:rsidRPr="00C27AE9">
        <w:rPr>
          <w:rFonts w:ascii="Garamond" w:hAnsi="Garamond"/>
          <w:sz w:val="26"/>
          <w:szCs w:val="26"/>
        </w:rPr>
        <w:t xml:space="preserve">, </w:t>
      </w:r>
      <w:r w:rsidR="00FF57A9" w:rsidRPr="00C27AE9">
        <w:rPr>
          <w:rFonts w:ascii="Garamond" w:hAnsi="Garamond"/>
          <w:sz w:val="26"/>
          <w:szCs w:val="26"/>
        </w:rPr>
        <w:t xml:space="preserve">ha affidato la </w:t>
      </w:r>
      <w:r w:rsidR="00A36AD2" w:rsidRPr="00C27AE9">
        <w:rPr>
          <w:rFonts w:ascii="Garamond" w:hAnsi="Garamond"/>
          <w:sz w:val="26"/>
          <w:szCs w:val="26"/>
        </w:rPr>
        <w:t xml:space="preserve">regolazione </w:t>
      </w:r>
      <w:r w:rsidR="00C6634A" w:rsidRPr="00C27AE9">
        <w:rPr>
          <w:rFonts w:ascii="Garamond" w:hAnsi="Garamond"/>
          <w:sz w:val="26"/>
          <w:szCs w:val="26"/>
        </w:rPr>
        <w:t>del ciclo d</w:t>
      </w:r>
      <w:r w:rsidR="00FF57A9" w:rsidRPr="00C27AE9">
        <w:rPr>
          <w:rFonts w:ascii="Garamond" w:hAnsi="Garamond"/>
          <w:sz w:val="26"/>
          <w:szCs w:val="26"/>
        </w:rPr>
        <w:t xml:space="preserve">ei rifiuti </w:t>
      </w:r>
      <w:r w:rsidR="00C6634A" w:rsidRPr="00C27AE9">
        <w:rPr>
          <w:rFonts w:ascii="Garamond" w:hAnsi="Garamond"/>
          <w:sz w:val="26"/>
          <w:szCs w:val="26"/>
        </w:rPr>
        <w:t xml:space="preserve">urbani </w:t>
      </w:r>
      <w:r w:rsidR="00A36AD2" w:rsidRPr="00C27AE9">
        <w:rPr>
          <w:rFonts w:ascii="Garamond" w:hAnsi="Garamond"/>
          <w:sz w:val="26"/>
          <w:szCs w:val="26"/>
        </w:rPr>
        <w:t>al</w:t>
      </w:r>
      <w:r w:rsidR="00FF57A9" w:rsidRPr="00C27AE9">
        <w:rPr>
          <w:rFonts w:ascii="Garamond" w:hAnsi="Garamond"/>
          <w:sz w:val="26"/>
          <w:szCs w:val="26"/>
        </w:rPr>
        <w:t xml:space="preserve">l’Autorità indipendente prima denominata AEEG e per l’occasione ridenominata </w:t>
      </w:r>
      <w:r w:rsidR="00A36AD2" w:rsidRPr="00C27AE9">
        <w:rPr>
          <w:rFonts w:ascii="Garamond" w:hAnsi="Garamond"/>
          <w:sz w:val="26"/>
          <w:szCs w:val="26"/>
        </w:rPr>
        <w:t>«</w:t>
      </w:r>
      <w:r w:rsidR="00A36AD2" w:rsidRPr="00C27AE9">
        <w:rPr>
          <w:rFonts w:ascii="Garamond" w:hAnsi="Garamond"/>
          <w:i/>
          <w:iCs/>
          <w:sz w:val="26"/>
          <w:szCs w:val="26"/>
        </w:rPr>
        <w:t>Autorita' di regolazione per energia, reti e ambiente» (ARERA</w:t>
      </w:r>
      <w:r w:rsidR="00BC3440" w:rsidRPr="00C27AE9">
        <w:rPr>
          <w:rFonts w:ascii="Garamond" w:hAnsi="Garamond"/>
          <w:sz w:val="26"/>
          <w:szCs w:val="26"/>
        </w:rPr>
        <w:t>)</w:t>
      </w:r>
      <w:r w:rsidR="00696B1C" w:rsidRPr="00C27AE9">
        <w:rPr>
          <w:rFonts w:ascii="Garamond" w:hAnsi="Garamond"/>
          <w:sz w:val="26"/>
          <w:szCs w:val="26"/>
        </w:rPr>
        <w:t>»</w:t>
      </w:r>
      <w:r w:rsidRPr="00C27AE9">
        <w:rPr>
          <w:rFonts w:ascii="Garamond" w:hAnsi="Garamond"/>
          <w:sz w:val="26"/>
          <w:szCs w:val="26"/>
        </w:rPr>
        <w:t>.</w:t>
      </w:r>
    </w:p>
    <w:p w14:paraId="2FD92986" w14:textId="5AAD680C" w:rsidR="00F37F6F" w:rsidRPr="00C27AE9" w:rsidRDefault="00EA4A5C" w:rsidP="00F37F6F">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Per regolazione si intende una particolare tipologia “</w:t>
      </w:r>
      <w:r w:rsidRPr="00C27AE9">
        <w:rPr>
          <w:rFonts w:ascii="Garamond" w:hAnsi="Garamond"/>
          <w:i/>
          <w:iCs/>
          <w:sz w:val="26"/>
          <w:szCs w:val="26"/>
        </w:rPr>
        <w:t xml:space="preserve">di azione pubblica che incide ‘sulla’ economia, senza comprimerne i meccanismi spontanei, bensì definendo un quadro di regole e valori che devono essere tutelati. Il funzionamento del mercato viene in parte sottratto alla ponderazione politica degli interessi per essere affidato a dispositivi neutrali che, facendo leva sulla spontanea propensione degli operatori economici all’efficienza allocativa e produttiva, simulano la pressione concorrenziale. </w:t>
      </w:r>
      <w:r w:rsidR="00F37F6F" w:rsidRPr="00C27AE9">
        <w:rPr>
          <w:rFonts w:ascii="Garamond" w:hAnsi="Garamond"/>
          <w:i/>
          <w:iCs/>
          <w:sz w:val="26"/>
          <w:szCs w:val="26"/>
        </w:rPr>
        <w:t>(…)</w:t>
      </w:r>
      <w:r w:rsidRPr="00C27AE9">
        <w:rPr>
          <w:rFonts w:ascii="Garamond" w:hAnsi="Garamond"/>
          <w:i/>
          <w:iCs/>
          <w:sz w:val="26"/>
          <w:szCs w:val="26"/>
        </w:rPr>
        <w:t>.</w:t>
      </w:r>
    </w:p>
    <w:p w14:paraId="671345A5" w14:textId="35B9B172" w:rsidR="006E338E" w:rsidRPr="00C27AE9" w:rsidRDefault="00EA4A5C" w:rsidP="00F37F6F">
      <w:pPr>
        <w:pStyle w:val="Rientrocorpodeltesto"/>
        <w:widowControl w:val="0"/>
        <w:spacing w:after="0"/>
        <w:ind w:left="0" w:firstLine="454"/>
        <w:jc w:val="both"/>
        <w:rPr>
          <w:rFonts w:ascii="Garamond" w:hAnsi="Garamond"/>
          <w:sz w:val="26"/>
          <w:szCs w:val="26"/>
        </w:rPr>
      </w:pPr>
      <w:r w:rsidRPr="00C27AE9">
        <w:rPr>
          <w:rFonts w:ascii="Garamond" w:hAnsi="Garamond"/>
          <w:i/>
          <w:iCs/>
          <w:sz w:val="26"/>
          <w:szCs w:val="26"/>
        </w:rPr>
        <w:t xml:space="preserve">Sul versante tecnico-economico, la legge può invece delegare all’Autorità indipendente il compito di ‘implementare’ – anche con ampio margine di autonomia operativa – il dettato normativo con i meccanismi che meglio siano in grado di assicurare l’equilibrio ottimale del sistema in termini di razionalità economica e desiderabilità sociale </w:t>
      </w:r>
      <w:r w:rsidRPr="00C27AE9">
        <w:rPr>
          <w:rFonts w:ascii="Garamond" w:hAnsi="Garamond"/>
          <w:sz w:val="26"/>
          <w:szCs w:val="26"/>
        </w:rPr>
        <w:t>(</w:t>
      </w:r>
      <w:r w:rsidRPr="00C27AE9">
        <w:rPr>
          <w:rStyle w:val="Rimandonotaapidipagina"/>
          <w:rFonts w:ascii="Garamond" w:hAnsi="Garamond"/>
          <w:sz w:val="26"/>
          <w:szCs w:val="26"/>
        </w:rPr>
        <w:footnoteReference w:id="5"/>
      </w:r>
      <w:r w:rsidRPr="00C27AE9">
        <w:rPr>
          <w:rFonts w:ascii="Garamond" w:hAnsi="Garamond"/>
          <w:sz w:val="26"/>
          <w:szCs w:val="26"/>
        </w:rPr>
        <w:t>).</w:t>
      </w:r>
    </w:p>
    <w:p w14:paraId="640F6918" w14:textId="1A64E41F" w:rsidR="009E24DA" w:rsidRPr="00C27AE9" w:rsidRDefault="00656592" w:rsidP="004D3A0A">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Il ciclo dei rifiuti, </w:t>
      </w:r>
      <w:r w:rsidR="00A943D0" w:rsidRPr="00C27AE9">
        <w:rPr>
          <w:rFonts w:ascii="Garamond" w:hAnsi="Garamond"/>
          <w:sz w:val="26"/>
          <w:szCs w:val="26"/>
        </w:rPr>
        <w:t>in definitiva,</w:t>
      </w:r>
      <w:r w:rsidRPr="00C27AE9">
        <w:rPr>
          <w:rFonts w:ascii="Garamond" w:hAnsi="Garamond"/>
          <w:sz w:val="26"/>
          <w:szCs w:val="26"/>
        </w:rPr>
        <w:t xml:space="preserve"> </w:t>
      </w:r>
      <w:r w:rsidR="00BC3440" w:rsidRPr="00C27AE9">
        <w:rPr>
          <w:rFonts w:ascii="Garamond" w:hAnsi="Garamond"/>
          <w:sz w:val="26"/>
          <w:szCs w:val="26"/>
        </w:rPr>
        <w:t xml:space="preserve">costituisce al tempo stesso </w:t>
      </w:r>
      <w:r w:rsidRPr="00C27AE9">
        <w:rPr>
          <w:rFonts w:ascii="Garamond" w:hAnsi="Garamond"/>
          <w:sz w:val="26"/>
          <w:szCs w:val="26"/>
        </w:rPr>
        <w:t xml:space="preserve">un’attività economica “regolata”, </w:t>
      </w:r>
      <w:r w:rsidR="00BC3440" w:rsidRPr="00C27AE9">
        <w:rPr>
          <w:rFonts w:ascii="Garamond" w:hAnsi="Garamond"/>
          <w:sz w:val="26"/>
          <w:szCs w:val="26"/>
        </w:rPr>
        <w:t xml:space="preserve">nonché </w:t>
      </w:r>
      <w:r w:rsidRPr="00C27AE9">
        <w:rPr>
          <w:rFonts w:ascii="Garamond" w:hAnsi="Garamond"/>
          <w:sz w:val="26"/>
          <w:szCs w:val="26"/>
        </w:rPr>
        <w:t>l’oggetto di un servizio di interesse economico generale</w:t>
      </w:r>
      <w:r w:rsidR="00C459D7" w:rsidRPr="00C27AE9">
        <w:rPr>
          <w:rFonts w:ascii="Garamond" w:hAnsi="Garamond"/>
          <w:sz w:val="26"/>
          <w:szCs w:val="26"/>
        </w:rPr>
        <w:t>, secondo quanto previsto dal d.lgs n. 201 del 2022</w:t>
      </w:r>
      <w:r w:rsidRPr="00C27AE9">
        <w:rPr>
          <w:rFonts w:ascii="Garamond" w:hAnsi="Garamond"/>
          <w:sz w:val="26"/>
          <w:szCs w:val="26"/>
        </w:rPr>
        <w:t xml:space="preserve">. </w:t>
      </w:r>
    </w:p>
    <w:p w14:paraId="2997A12B" w14:textId="6771FD63" w:rsidR="00C459D7" w:rsidRPr="00C27AE9" w:rsidRDefault="009E272E" w:rsidP="00C459D7">
      <w:pPr>
        <w:pStyle w:val="Rientrocorpodeltesto"/>
        <w:widowControl w:val="0"/>
        <w:spacing w:after="0"/>
        <w:ind w:left="0" w:firstLine="454"/>
        <w:jc w:val="both"/>
        <w:rPr>
          <w:rFonts w:ascii="Garamond" w:hAnsi="Garamond"/>
          <w:sz w:val="26"/>
          <w:szCs w:val="26"/>
        </w:rPr>
      </w:pPr>
      <w:r>
        <w:rPr>
          <w:rFonts w:ascii="Garamond" w:hAnsi="Garamond"/>
          <w:sz w:val="26"/>
          <w:szCs w:val="26"/>
        </w:rPr>
        <w:t>Ciò nondimeno nè</w:t>
      </w:r>
      <w:r w:rsidR="005B5D74">
        <w:rPr>
          <w:rFonts w:ascii="Garamond" w:hAnsi="Garamond"/>
          <w:sz w:val="26"/>
          <w:szCs w:val="26"/>
        </w:rPr>
        <w:t xml:space="preserve"> quest’ultimo </w:t>
      </w:r>
      <w:r>
        <w:rPr>
          <w:rFonts w:ascii="Garamond" w:hAnsi="Garamond"/>
          <w:sz w:val="26"/>
          <w:szCs w:val="26"/>
        </w:rPr>
        <w:t xml:space="preserve">né </w:t>
      </w:r>
      <w:r w:rsidR="006E338E" w:rsidRPr="00C27AE9">
        <w:rPr>
          <w:rFonts w:ascii="Garamond" w:hAnsi="Garamond"/>
          <w:sz w:val="26"/>
          <w:szCs w:val="26"/>
        </w:rPr>
        <w:t xml:space="preserve">la disciplina regolatoria esauriscono le fonti normative che disciplinano la materia dei rifiuti; tra queste </w:t>
      </w:r>
      <w:r>
        <w:rPr>
          <w:rFonts w:ascii="Garamond" w:hAnsi="Garamond"/>
          <w:sz w:val="26"/>
          <w:szCs w:val="26"/>
        </w:rPr>
        <w:t xml:space="preserve">vi è anche </w:t>
      </w:r>
      <w:r w:rsidR="000F77F6" w:rsidRPr="00C27AE9">
        <w:rPr>
          <w:rFonts w:ascii="Garamond" w:hAnsi="Garamond"/>
          <w:sz w:val="26"/>
          <w:szCs w:val="26"/>
        </w:rPr>
        <w:t>i</w:t>
      </w:r>
      <w:r w:rsidR="00A36AD2" w:rsidRPr="00C27AE9">
        <w:rPr>
          <w:rFonts w:ascii="Garamond" w:hAnsi="Garamond"/>
          <w:sz w:val="26"/>
          <w:szCs w:val="26"/>
        </w:rPr>
        <w:t>l</w:t>
      </w:r>
      <w:r w:rsidR="00FF57A9" w:rsidRPr="00C27AE9">
        <w:rPr>
          <w:rFonts w:ascii="Garamond" w:hAnsi="Garamond"/>
          <w:sz w:val="26"/>
          <w:szCs w:val="26"/>
        </w:rPr>
        <w:t xml:space="preserve"> d.lgs n. 36 del 2023, il nuovo codice dei contratti pubblici</w:t>
      </w:r>
      <w:r w:rsidR="006E338E" w:rsidRPr="00C27AE9">
        <w:rPr>
          <w:rFonts w:ascii="Garamond" w:hAnsi="Garamond"/>
          <w:sz w:val="26"/>
          <w:szCs w:val="26"/>
        </w:rPr>
        <w:t>, per le parti di competenza</w:t>
      </w:r>
      <w:r w:rsidR="00FF57A9" w:rsidRPr="00C27AE9">
        <w:rPr>
          <w:rFonts w:ascii="Garamond" w:hAnsi="Garamond"/>
          <w:sz w:val="26"/>
          <w:szCs w:val="26"/>
        </w:rPr>
        <w:t>.</w:t>
      </w:r>
    </w:p>
    <w:p w14:paraId="632554F4" w14:textId="3A1F52A5" w:rsidR="004D3A0A" w:rsidRPr="00C27AE9" w:rsidRDefault="004D3A0A" w:rsidP="00EA4A5C">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Di recente, </w:t>
      </w:r>
      <w:r w:rsidR="00A943D0" w:rsidRPr="00C27AE9">
        <w:rPr>
          <w:rFonts w:ascii="Garamond" w:hAnsi="Garamond"/>
          <w:sz w:val="26"/>
          <w:szCs w:val="26"/>
        </w:rPr>
        <w:t xml:space="preserve">sulla scorta di </w:t>
      </w:r>
      <w:r w:rsidRPr="00C27AE9">
        <w:rPr>
          <w:rFonts w:ascii="Garamond" w:hAnsi="Garamond"/>
          <w:sz w:val="26"/>
          <w:szCs w:val="26"/>
        </w:rPr>
        <w:t xml:space="preserve">alcune pronunce del giudice amministrativo </w:t>
      </w:r>
      <w:r w:rsidR="00F254C0" w:rsidRPr="00C27AE9">
        <w:rPr>
          <w:rFonts w:ascii="Garamond" w:hAnsi="Garamond"/>
          <w:sz w:val="26"/>
          <w:szCs w:val="26"/>
        </w:rPr>
        <w:t xml:space="preserve">(v. </w:t>
      </w:r>
      <w:r w:rsidR="00F254C0" w:rsidRPr="00C27AE9">
        <w:rPr>
          <w:rFonts w:ascii="Garamond" w:hAnsi="Garamond"/>
          <w:i/>
          <w:iCs/>
          <w:sz w:val="26"/>
          <w:szCs w:val="26"/>
        </w:rPr>
        <w:t>infra</w:t>
      </w:r>
      <w:r w:rsidR="00F254C0" w:rsidRPr="00C27AE9">
        <w:rPr>
          <w:rFonts w:ascii="Garamond" w:hAnsi="Garamond"/>
          <w:sz w:val="26"/>
          <w:szCs w:val="26"/>
        </w:rPr>
        <w:t xml:space="preserve">) </w:t>
      </w:r>
      <w:r w:rsidRPr="00C27AE9">
        <w:rPr>
          <w:rFonts w:ascii="Garamond" w:hAnsi="Garamond"/>
          <w:sz w:val="26"/>
          <w:szCs w:val="26"/>
        </w:rPr>
        <w:t>s</w:t>
      </w:r>
      <w:r w:rsidR="00A943D0" w:rsidRPr="00C27AE9">
        <w:rPr>
          <w:rFonts w:ascii="Garamond" w:hAnsi="Garamond"/>
          <w:sz w:val="26"/>
          <w:szCs w:val="26"/>
        </w:rPr>
        <w:t xml:space="preserve">i è sostenuta la tesi </w:t>
      </w:r>
      <w:r w:rsidRPr="00C27AE9">
        <w:rPr>
          <w:rFonts w:ascii="Garamond" w:hAnsi="Garamond"/>
          <w:sz w:val="26"/>
          <w:szCs w:val="26"/>
        </w:rPr>
        <w:t>secondo cui</w:t>
      </w:r>
      <w:r w:rsidR="00C459D7" w:rsidRPr="00C27AE9">
        <w:rPr>
          <w:rFonts w:ascii="Garamond" w:hAnsi="Garamond"/>
          <w:sz w:val="26"/>
          <w:szCs w:val="26"/>
        </w:rPr>
        <w:t>,</w:t>
      </w:r>
      <w:r w:rsidRPr="00C27AE9">
        <w:rPr>
          <w:rFonts w:ascii="Garamond" w:hAnsi="Garamond"/>
          <w:sz w:val="26"/>
          <w:szCs w:val="26"/>
        </w:rPr>
        <w:t xml:space="preserve"> </w:t>
      </w:r>
      <w:r w:rsidR="00B1347A">
        <w:rPr>
          <w:rFonts w:ascii="Garamond" w:hAnsi="Garamond"/>
          <w:sz w:val="26"/>
          <w:szCs w:val="26"/>
        </w:rPr>
        <w:t>sia p</w:t>
      </w:r>
      <w:r w:rsidR="00A943D0" w:rsidRPr="00C27AE9">
        <w:rPr>
          <w:rFonts w:ascii="Garamond" w:hAnsi="Garamond"/>
          <w:sz w:val="26"/>
          <w:szCs w:val="26"/>
        </w:rPr>
        <w:t>ur</w:t>
      </w:r>
      <w:r w:rsidR="00C459D7" w:rsidRPr="00C27AE9">
        <w:rPr>
          <w:rFonts w:ascii="Garamond" w:hAnsi="Garamond"/>
          <w:sz w:val="26"/>
          <w:szCs w:val="26"/>
        </w:rPr>
        <w:t xml:space="preserve"> </w:t>
      </w:r>
      <w:r w:rsidRPr="00C27AE9">
        <w:rPr>
          <w:rFonts w:ascii="Garamond" w:hAnsi="Garamond"/>
          <w:sz w:val="26"/>
          <w:szCs w:val="26"/>
        </w:rPr>
        <w:t xml:space="preserve">a fronte </w:t>
      </w:r>
      <w:r w:rsidR="00C459D7" w:rsidRPr="00C27AE9">
        <w:rPr>
          <w:rFonts w:ascii="Garamond" w:hAnsi="Garamond"/>
          <w:sz w:val="26"/>
          <w:szCs w:val="26"/>
        </w:rPr>
        <w:t>di</w:t>
      </w:r>
      <w:r w:rsidRPr="00C27AE9">
        <w:rPr>
          <w:rFonts w:ascii="Garamond" w:hAnsi="Garamond"/>
          <w:sz w:val="26"/>
          <w:szCs w:val="26"/>
        </w:rPr>
        <w:t xml:space="preserve"> una </w:t>
      </w:r>
      <w:r w:rsidR="000E4D4F" w:rsidRPr="00C27AE9">
        <w:rPr>
          <w:rFonts w:ascii="Garamond" w:hAnsi="Garamond"/>
          <w:sz w:val="26"/>
          <w:szCs w:val="26"/>
        </w:rPr>
        <w:t xml:space="preserve">sempre più spiccata </w:t>
      </w:r>
      <w:r w:rsidRPr="00C27AE9">
        <w:rPr>
          <w:rFonts w:ascii="Garamond" w:hAnsi="Garamond"/>
          <w:sz w:val="26"/>
          <w:szCs w:val="26"/>
        </w:rPr>
        <w:t xml:space="preserve">settorializzazione delle regole </w:t>
      </w:r>
      <w:r w:rsidR="00C459D7" w:rsidRPr="00C27AE9">
        <w:rPr>
          <w:rFonts w:ascii="Garamond" w:hAnsi="Garamond"/>
          <w:sz w:val="26"/>
          <w:szCs w:val="26"/>
        </w:rPr>
        <w:t xml:space="preserve">che </w:t>
      </w:r>
      <w:r w:rsidRPr="00C27AE9">
        <w:rPr>
          <w:rFonts w:ascii="Garamond" w:hAnsi="Garamond"/>
          <w:sz w:val="26"/>
          <w:szCs w:val="26"/>
        </w:rPr>
        <w:t>disciplina</w:t>
      </w:r>
      <w:r w:rsidR="00C459D7" w:rsidRPr="00C27AE9">
        <w:rPr>
          <w:rFonts w:ascii="Garamond" w:hAnsi="Garamond"/>
          <w:sz w:val="26"/>
          <w:szCs w:val="26"/>
        </w:rPr>
        <w:t>no</w:t>
      </w:r>
      <w:r w:rsidRPr="00C27AE9">
        <w:rPr>
          <w:rFonts w:ascii="Garamond" w:hAnsi="Garamond"/>
          <w:sz w:val="26"/>
          <w:szCs w:val="26"/>
        </w:rPr>
        <w:t xml:space="preserve"> il servizio di gestione dei rifiuti urbani, </w:t>
      </w:r>
      <w:r w:rsidR="00C459D7" w:rsidRPr="00C27AE9">
        <w:rPr>
          <w:rFonts w:ascii="Garamond" w:hAnsi="Garamond"/>
          <w:sz w:val="26"/>
          <w:szCs w:val="26"/>
        </w:rPr>
        <w:t xml:space="preserve">le stesse non sono in grado di prevalere su taluni </w:t>
      </w:r>
      <w:r w:rsidRPr="00C27AE9">
        <w:rPr>
          <w:rFonts w:ascii="Garamond" w:hAnsi="Garamond"/>
          <w:sz w:val="26"/>
          <w:szCs w:val="26"/>
        </w:rPr>
        <w:t>principi fondamentali valevoli per tutti i contratti pubblici</w:t>
      </w:r>
      <w:r w:rsidR="00423133" w:rsidRPr="00C27AE9">
        <w:rPr>
          <w:rFonts w:ascii="Garamond" w:hAnsi="Garamond"/>
          <w:sz w:val="26"/>
          <w:szCs w:val="26"/>
        </w:rPr>
        <w:t>,</w:t>
      </w:r>
      <w:r w:rsidRPr="00C27AE9">
        <w:rPr>
          <w:rFonts w:ascii="Garamond" w:hAnsi="Garamond"/>
          <w:sz w:val="26"/>
          <w:szCs w:val="26"/>
        </w:rPr>
        <w:t xml:space="preserve"> ri</w:t>
      </w:r>
      <w:r w:rsidR="00A943D0" w:rsidRPr="00C27AE9">
        <w:rPr>
          <w:rFonts w:ascii="Garamond" w:hAnsi="Garamond"/>
          <w:sz w:val="26"/>
          <w:szCs w:val="26"/>
        </w:rPr>
        <w:t xml:space="preserve">tenuti non </w:t>
      </w:r>
      <w:r w:rsidRPr="00C27AE9">
        <w:rPr>
          <w:rFonts w:ascii="Garamond" w:hAnsi="Garamond"/>
          <w:sz w:val="26"/>
          <w:szCs w:val="26"/>
        </w:rPr>
        <w:t>derog</w:t>
      </w:r>
      <w:r w:rsidR="00A943D0" w:rsidRPr="00C27AE9">
        <w:rPr>
          <w:rFonts w:ascii="Garamond" w:hAnsi="Garamond"/>
          <w:sz w:val="26"/>
          <w:szCs w:val="26"/>
        </w:rPr>
        <w:t xml:space="preserve">abili; in questo caso </w:t>
      </w:r>
      <w:r w:rsidR="009050CE" w:rsidRPr="00C27AE9">
        <w:rPr>
          <w:rFonts w:ascii="Garamond" w:hAnsi="Garamond"/>
          <w:sz w:val="26"/>
          <w:szCs w:val="26"/>
        </w:rPr>
        <w:t xml:space="preserve">il </w:t>
      </w:r>
      <w:r w:rsidR="00E11FAC" w:rsidRPr="00C27AE9">
        <w:rPr>
          <w:rFonts w:ascii="Garamond" w:hAnsi="Garamond"/>
          <w:sz w:val="26"/>
          <w:szCs w:val="26"/>
        </w:rPr>
        <w:t xml:space="preserve">richiamato </w:t>
      </w:r>
      <w:r w:rsidR="009050CE" w:rsidRPr="00C27AE9">
        <w:rPr>
          <w:rFonts w:ascii="Garamond" w:hAnsi="Garamond"/>
          <w:sz w:val="26"/>
          <w:szCs w:val="26"/>
        </w:rPr>
        <w:t>principio di specialità non troverebbe applicazione</w:t>
      </w:r>
      <w:r w:rsidR="00A943D0" w:rsidRPr="00C27AE9">
        <w:rPr>
          <w:rFonts w:ascii="Garamond" w:hAnsi="Garamond"/>
          <w:sz w:val="26"/>
          <w:szCs w:val="26"/>
        </w:rPr>
        <w:t xml:space="preserve"> e viceversa riemergerebbe una sostanziale impermeabilità del contratto di </w:t>
      </w:r>
      <w:r w:rsidR="00A943D0" w:rsidRPr="00C27AE9">
        <w:rPr>
          <w:rFonts w:ascii="Garamond" w:hAnsi="Garamond"/>
          <w:sz w:val="26"/>
          <w:szCs w:val="26"/>
        </w:rPr>
        <w:lastRenderedPageBreak/>
        <w:t>servizio rispetto alle regole del MTR.</w:t>
      </w:r>
    </w:p>
    <w:p w14:paraId="27A2CA7A" w14:textId="48761D2D" w:rsidR="00A36AD2" w:rsidRPr="00C27AE9" w:rsidRDefault="00C459D7" w:rsidP="00503D6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Vero è che i</w:t>
      </w:r>
      <w:r w:rsidR="004D3A0A" w:rsidRPr="00C27AE9">
        <w:rPr>
          <w:rFonts w:ascii="Garamond" w:hAnsi="Garamond"/>
          <w:sz w:val="26"/>
          <w:szCs w:val="26"/>
        </w:rPr>
        <w:t>n questo quadro di norme coesistenti</w:t>
      </w:r>
      <w:r w:rsidR="00503D68">
        <w:rPr>
          <w:rFonts w:ascii="Garamond" w:hAnsi="Garamond"/>
          <w:sz w:val="26"/>
          <w:szCs w:val="26"/>
        </w:rPr>
        <w:t>,</w:t>
      </w:r>
      <w:r w:rsidR="004D3A0A" w:rsidRPr="00C27AE9">
        <w:rPr>
          <w:rFonts w:ascii="Garamond" w:hAnsi="Garamond"/>
          <w:sz w:val="26"/>
          <w:szCs w:val="26"/>
        </w:rPr>
        <w:t xml:space="preserve"> </w:t>
      </w:r>
      <w:r w:rsidR="00423133" w:rsidRPr="00C27AE9">
        <w:rPr>
          <w:rFonts w:ascii="Garamond" w:hAnsi="Garamond"/>
          <w:sz w:val="26"/>
          <w:szCs w:val="26"/>
        </w:rPr>
        <w:t xml:space="preserve">a volte </w:t>
      </w:r>
      <w:r w:rsidR="006E338E" w:rsidRPr="00C27AE9">
        <w:rPr>
          <w:rFonts w:ascii="Garamond" w:hAnsi="Garamond"/>
          <w:sz w:val="26"/>
          <w:szCs w:val="26"/>
        </w:rPr>
        <w:t xml:space="preserve">non è ben chiarita la </w:t>
      </w:r>
      <w:r w:rsidR="00503D68">
        <w:rPr>
          <w:rFonts w:ascii="Garamond" w:hAnsi="Garamond"/>
          <w:sz w:val="26"/>
          <w:szCs w:val="26"/>
        </w:rPr>
        <w:t xml:space="preserve">ripartizione </w:t>
      </w:r>
      <w:r w:rsidR="006E338E" w:rsidRPr="00C27AE9">
        <w:rPr>
          <w:rFonts w:ascii="Garamond" w:hAnsi="Garamond"/>
          <w:sz w:val="26"/>
          <w:szCs w:val="26"/>
        </w:rPr>
        <w:t xml:space="preserve">dei </w:t>
      </w:r>
      <w:r w:rsidR="00423133" w:rsidRPr="00C27AE9">
        <w:rPr>
          <w:rFonts w:ascii="Garamond" w:hAnsi="Garamond"/>
          <w:sz w:val="26"/>
          <w:szCs w:val="26"/>
        </w:rPr>
        <w:t xml:space="preserve">rispettivi </w:t>
      </w:r>
      <w:r w:rsidR="006E338E" w:rsidRPr="00C27AE9">
        <w:rPr>
          <w:rFonts w:ascii="Garamond" w:hAnsi="Garamond"/>
          <w:sz w:val="26"/>
          <w:szCs w:val="26"/>
        </w:rPr>
        <w:t>ruoli</w:t>
      </w:r>
      <w:r w:rsidR="007F2985" w:rsidRPr="00C27AE9">
        <w:rPr>
          <w:rFonts w:ascii="Garamond" w:hAnsi="Garamond"/>
          <w:sz w:val="26"/>
          <w:szCs w:val="26"/>
        </w:rPr>
        <w:t xml:space="preserve"> e compiti; </w:t>
      </w:r>
      <w:r w:rsidR="006E338E" w:rsidRPr="00C27AE9">
        <w:rPr>
          <w:rFonts w:ascii="Garamond" w:hAnsi="Garamond"/>
          <w:sz w:val="26"/>
          <w:szCs w:val="26"/>
        </w:rPr>
        <w:t>t</w:t>
      </w:r>
      <w:r w:rsidR="000F77F6" w:rsidRPr="00C27AE9">
        <w:rPr>
          <w:rFonts w:ascii="Garamond" w:hAnsi="Garamond"/>
          <w:sz w:val="26"/>
          <w:szCs w:val="26"/>
        </w:rPr>
        <w:t xml:space="preserve">rattandosi di </w:t>
      </w:r>
      <w:r w:rsidR="00A36AD2" w:rsidRPr="00C27AE9">
        <w:rPr>
          <w:rFonts w:ascii="Garamond" w:hAnsi="Garamond"/>
          <w:sz w:val="26"/>
          <w:szCs w:val="26"/>
        </w:rPr>
        <w:t xml:space="preserve">fonti </w:t>
      </w:r>
      <w:r w:rsidR="00BF3D4E" w:rsidRPr="00C27AE9">
        <w:rPr>
          <w:rFonts w:ascii="Garamond" w:hAnsi="Garamond"/>
          <w:sz w:val="26"/>
          <w:szCs w:val="26"/>
        </w:rPr>
        <w:t>di pari rango</w:t>
      </w:r>
      <w:r w:rsidR="00F254C0" w:rsidRPr="00C27AE9">
        <w:rPr>
          <w:rStyle w:val="Rimandonotaapidipagina"/>
          <w:rFonts w:ascii="Garamond" w:hAnsi="Garamond"/>
          <w:sz w:val="26"/>
          <w:szCs w:val="26"/>
        </w:rPr>
        <w:footnoteReference w:id="6"/>
      </w:r>
      <w:r w:rsidR="00BF3D4E" w:rsidRPr="00C27AE9">
        <w:rPr>
          <w:rFonts w:ascii="Garamond" w:hAnsi="Garamond"/>
          <w:sz w:val="26"/>
          <w:szCs w:val="26"/>
        </w:rPr>
        <w:t xml:space="preserve"> </w:t>
      </w:r>
      <w:r w:rsidR="000F77F6" w:rsidRPr="00C27AE9">
        <w:rPr>
          <w:rFonts w:ascii="Garamond" w:hAnsi="Garamond"/>
          <w:sz w:val="26"/>
          <w:szCs w:val="26"/>
        </w:rPr>
        <w:t xml:space="preserve">e </w:t>
      </w:r>
      <w:r w:rsidR="00BF3D4E" w:rsidRPr="00C27AE9">
        <w:rPr>
          <w:rFonts w:ascii="Garamond" w:hAnsi="Garamond"/>
          <w:sz w:val="26"/>
          <w:szCs w:val="26"/>
        </w:rPr>
        <w:t xml:space="preserve">che </w:t>
      </w:r>
      <w:r w:rsidR="00EC5BBE" w:rsidRPr="00C27AE9">
        <w:rPr>
          <w:rFonts w:ascii="Garamond" w:hAnsi="Garamond"/>
          <w:sz w:val="26"/>
          <w:szCs w:val="26"/>
        </w:rPr>
        <w:t xml:space="preserve">teoricamente </w:t>
      </w:r>
      <w:r w:rsidR="00A36AD2" w:rsidRPr="00C27AE9">
        <w:rPr>
          <w:rFonts w:ascii="Garamond" w:hAnsi="Garamond"/>
          <w:sz w:val="26"/>
          <w:szCs w:val="26"/>
        </w:rPr>
        <w:t>disciplin</w:t>
      </w:r>
      <w:r w:rsidR="00BF3D4E" w:rsidRPr="00C27AE9">
        <w:rPr>
          <w:rFonts w:ascii="Garamond" w:hAnsi="Garamond"/>
          <w:sz w:val="26"/>
          <w:szCs w:val="26"/>
        </w:rPr>
        <w:t>a</w:t>
      </w:r>
      <w:r w:rsidR="00A36AD2" w:rsidRPr="00C27AE9">
        <w:rPr>
          <w:rFonts w:ascii="Garamond" w:hAnsi="Garamond"/>
          <w:sz w:val="26"/>
          <w:szCs w:val="26"/>
        </w:rPr>
        <w:t>no</w:t>
      </w:r>
      <w:r w:rsidR="000F77F6" w:rsidRPr="00C27AE9">
        <w:rPr>
          <w:rFonts w:ascii="Garamond" w:hAnsi="Garamond"/>
          <w:sz w:val="26"/>
          <w:szCs w:val="26"/>
        </w:rPr>
        <w:t xml:space="preserve"> – in taluni aspetti - </w:t>
      </w:r>
      <w:r w:rsidR="00A36AD2" w:rsidRPr="00C27AE9">
        <w:rPr>
          <w:rFonts w:ascii="Garamond" w:hAnsi="Garamond"/>
          <w:sz w:val="26"/>
          <w:szCs w:val="26"/>
        </w:rPr>
        <w:t>la stessa materia</w:t>
      </w:r>
      <w:r w:rsidR="000F77F6" w:rsidRPr="00C27AE9">
        <w:rPr>
          <w:rFonts w:ascii="Garamond" w:hAnsi="Garamond"/>
          <w:sz w:val="26"/>
          <w:szCs w:val="26"/>
        </w:rPr>
        <w:t xml:space="preserve"> e non sempre </w:t>
      </w:r>
      <w:r w:rsidR="00A36AD2" w:rsidRPr="00C27AE9">
        <w:rPr>
          <w:rFonts w:ascii="Garamond" w:hAnsi="Garamond"/>
          <w:sz w:val="26"/>
          <w:szCs w:val="26"/>
        </w:rPr>
        <w:t xml:space="preserve">in modo </w:t>
      </w:r>
      <w:r w:rsidR="000F77F6" w:rsidRPr="00C27AE9">
        <w:rPr>
          <w:rFonts w:ascii="Garamond" w:hAnsi="Garamond"/>
          <w:sz w:val="26"/>
          <w:szCs w:val="26"/>
        </w:rPr>
        <w:t xml:space="preserve">conciliabile </w:t>
      </w:r>
      <w:r w:rsidR="00BF3D4E" w:rsidRPr="00C27AE9">
        <w:rPr>
          <w:rFonts w:ascii="Garamond" w:hAnsi="Garamond"/>
          <w:sz w:val="26"/>
          <w:szCs w:val="26"/>
        </w:rPr>
        <w:t xml:space="preserve">tra loro, non è </w:t>
      </w:r>
      <w:r w:rsidR="009050CE" w:rsidRPr="00C27AE9">
        <w:rPr>
          <w:rFonts w:ascii="Garamond" w:hAnsi="Garamond"/>
          <w:sz w:val="26"/>
          <w:szCs w:val="26"/>
        </w:rPr>
        <w:t xml:space="preserve">affatto </w:t>
      </w:r>
      <w:r w:rsidR="00BF3D4E" w:rsidRPr="00C27AE9">
        <w:rPr>
          <w:rFonts w:ascii="Garamond" w:hAnsi="Garamond"/>
          <w:sz w:val="26"/>
          <w:szCs w:val="26"/>
        </w:rPr>
        <w:t>agevole per l’interprete individuare il corretto criterio risolutivo della (eventuale) antinomia</w:t>
      </w:r>
      <w:r w:rsidR="00226277" w:rsidRPr="00C27AE9">
        <w:rPr>
          <w:rFonts w:ascii="Garamond" w:hAnsi="Garamond"/>
          <w:sz w:val="26"/>
          <w:szCs w:val="26"/>
        </w:rPr>
        <w:t xml:space="preserve"> tra norme concorrenti</w:t>
      </w:r>
      <w:r w:rsidR="00A36AD2" w:rsidRPr="00C27AE9">
        <w:rPr>
          <w:rFonts w:ascii="Garamond" w:hAnsi="Garamond"/>
          <w:sz w:val="26"/>
          <w:szCs w:val="26"/>
        </w:rPr>
        <w:t>.</w:t>
      </w:r>
    </w:p>
    <w:p w14:paraId="609FD857" w14:textId="764A242E" w:rsidR="00EF030B" w:rsidRPr="00C27AE9" w:rsidRDefault="009A06F1" w:rsidP="00EF030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Emerge</w:t>
      </w:r>
      <w:r w:rsidR="00503D68">
        <w:rPr>
          <w:rFonts w:ascii="Garamond" w:hAnsi="Garamond"/>
          <w:sz w:val="26"/>
          <w:szCs w:val="26"/>
        </w:rPr>
        <w:t>,</w:t>
      </w:r>
      <w:r w:rsidRPr="00C27AE9">
        <w:rPr>
          <w:rFonts w:ascii="Garamond" w:hAnsi="Garamond"/>
          <w:sz w:val="26"/>
          <w:szCs w:val="26"/>
        </w:rPr>
        <w:t xml:space="preserve"> in particolare, nei recenti arresti giurisprudenziali, una intensa dialettica tra la disciplina regolatoria adottata per i rifiuti da Arera e la disciplina dei contratti pubblici, manifestatasi – com’è ovvio che sia - in uno degli aspetti più sensibili, ossia quello della regolamentazione economica del rapporto di servizio. </w:t>
      </w:r>
    </w:p>
    <w:p w14:paraId="6221845C" w14:textId="3C4E114A" w:rsidR="00226277" w:rsidRPr="00C27AE9" w:rsidRDefault="00226277" w:rsidP="00EF030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Il presente scritto si propone di </w:t>
      </w:r>
      <w:r w:rsidR="009A06F1" w:rsidRPr="00C27AE9">
        <w:rPr>
          <w:rFonts w:ascii="Garamond" w:hAnsi="Garamond"/>
          <w:sz w:val="26"/>
          <w:szCs w:val="26"/>
        </w:rPr>
        <w:t xml:space="preserve">approfondire </w:t>
      </w:r>
      <w:r w:rsidR="00804055" w:rsidRPr="00C27AE9">
        <w:rPr>
          <w:rFonts w:ascii="Garamond" w:hAnsi="Garamond"/>
          <w:sz w:val="26"/>
          <w:szCs w:val="26"/>
        </w:rPr>
        <w:t xml:space="preserve">le questioni </w:t>
      </w:r>
      <w:r w:rsidR="009A06F1" w:rsidRPr="00C27AE9">
        <w:rPr>
          <w:rFonts w:ascii="Garamond" w:hAnsi="Garamond"/>
          <w:sz w:val="26"/>
          <w:szCs w:val="26"/>
        </w:rPr>
        <w:t xml:space="preserve">più rilevanti </w:t>
      </w:r>
      <w:r w:rsidR="00804055" w:rsidRPr="00C27AE9">
        <w:rPr>
          <w:rFonts w:ascii="Garamond" w:hAnsi="Garamond"/>
          <w:sz w:val="26"/>
          <w:szCs w:val="26"/>
        </w:rPr>
        <w:t xml:space="preserve">in cui </w:t>
      </w:r>
      <w:r w:rsidR="009A06F1" w:rsidRPr="00C27AE9">
        <w:rPr>
          <w:rFonts w:ascii="Garamond" w:hAnsi="Garamond"/>
          <w:sz w:val="26"/>
          <w:szCs w:val="26"/>
        </w:rPr>
        <w:t>tale dialettica</w:t>
      </w:r>
      <w:r w:rsidR="00804055" w:rsidRPr="00C27AE9">
        <w:rPr>
          <w:rFonts w:ascii="Garamond" w:hAnsi="Garamond"/>
          <w:sz w:val="26"/>
          <w:szCs w:val="26"/>
        </w:rPr>
        <w:t xml:space="preserve"> si </w:t>
      </w:r>
      <w:r w:rsidR="00BC3440" w:rsidRPr="00C27AE9">
        <w:rPr>
          <w:rFonts w:ascii="Garamond" w:hAnsi="Garamond"/>
          <w:sz w:val="26"/>
          <w:szCs w:val="26"/>
        </w:rPr>
        <w:t xml:space="preserve">è sinora </w:t>
      </w:r>
      <w:r w:rsidR="00804055" w:rsidRPr="00C27AE9">
        <w:rPr>
          <w:rFonts w:ascii="Garamond" w:hAnsi="Garamond"/>
          <w:sz w:val="26"/>
          <w:szCs w:val="26"/>
        </w:rPr>
        <w:t>manifesta</w:t>
      </w:r>
      <w:r w:rsidR="00BC3440" w:rsidRPr="00C27AE9">
        <w:rPr>
          <w:rFonts w:ascii="Garamond" w:hAnsi="Garamond"/>
          <w:sz w:val="26"/>
          <w:szCs w:val="26"/>
        </w:rPr>
        <w:t>ta</w:t>
      </w:r>
      <w:r w:rsidR="00C27AE9" w:rsidRPr="00C27AE9">
        <w:rPr>
          <w:rFonts w:ascii="Garamond" w:hAnsi="Garamond"/>
          <w:sz w:val="26"/>
          <w:szCs w:val="26"/>
        </w:rPr>
        <w:t xml:space="preserve"> nella prassi applicativa</w:t>
      </w:r>
      <w:r w:rsidR="007F2985" w:rsidRPr="00C27AE9">
        <w:rPr>
          <w:rFonts w:ascii="Garamond" w:hAnsi="Garamond"/>
          <w:sz w:val="26"/>
          <w:szCs w:val="26"/>
        </w:rPr>
        <w:t>.</w:t>
      </w:r>
    </w:p>
    <w:p w14:paraId="1E6CEDF4" w14:textId="77777777" w:rsidR="00A36AD2" w:rsidRPr="00C27AE9" w:rsidRDefault="00A36AD2" w:rsidP="00BC0DE8">
      <w:pPr>
        <w:pStyle w:val="Rientrocorpodeltesto"/>
        <w:widowControl w:val="0"/>
        <w:spacing w:after="0"/>
        <w:ind w:left="0"/>
        <w:jc w:val="both"/>
        <w:rPr>
          <w:rFonts w:ascii="Garamond" w:hAnsi="Garamond"/>
          <w:sz w:val="26"/>
          <w:szCs w:val="26"/>
        </w:rPr>
      </w:pPr>
    </w:p>
    <w:p w14:paraId="5B82D5F3" w14:textId="69D23AA6" w:rsidR="0089533B" w:rsidRPr="00C27AE9" w:rsidRDefault="0089533B" w:rsidP="003E7B7D">
      <w:pPr>
        <w:pStyle w:val="Rientrocorpodeltesto"/>
        <w:widowControl w:val="0"/>
        <w:spacing w:after="0"/>
        <w:ind w:left="0" w:firstLine="454"/>
        <w:jc w:val="both"/>
        <w:rPr>
          <w:rFonts w:ascii="Garamond" w:hAnsi="Garamond"/>
          <w:b/>
          <w:bCs/>
          <w:sz w:val="26"/>
          <w:szCs w:val="26"/>
        </w:rPr>
      </w:pPr>
      <w:r w:rsidRPr="00C27AE9">
        <w:rPr>
          <w:rFonts w:ascii="Garamond" w:hAnsi="Garamond"/>
          <w:b/>
          <w:bCs/>
          <w:sz w:val="26"/>
          <w:szCs w:val="26"/>
        </w:rPr>
        <w:t xml:space="preserve">2. La </w:t>
      </w:r>
      <w:r w:rsidR="006E2A60" w:rsidRPr="00C27AE9">
        <w:rPr>
          <w:rFonts w:ascii="Garamond" w:hAnsi="Garamond"/>
          <w:b/>
          <w:bCs/>
          <w:sz w:val="26"/>
          <w:szCs w:val="26"/>
        </w:rPr>
        <w:t xml:space="preserve">funzione della </w:t>
      </w:r>
      <w:r w:rsidRPr="00C27AE9">
        <w:rPr>
          <w:rFonts w:ascii="Garamond" w:hAnsi="Garamond"/>
          <w:b/>
          <w:bCs/>
          <w:sz w:val="26"/>
          <w:szCs w:val="26"/>
        </w:rPr>
        <w:t xml:space="preserve">disciplina regolatoria </w:t>
      </w:r>
      <w:r w:rsidR="00B34E1F" w:rsidRPr="00C27AE9">
        <w:rPr>
          <w:rFonts w:ascii="Garamond" w:hAnsi="Garamond"/>
          <w:b/>
          <w:bCs/>
          <w:sz w:val="26"/>
          <w:szCs w:val="26"/>
        </w:rPr>
        <w:t xml:space="preserve">nel settore dei rifiuti urbani </w:t>
      </w:r>
      <w:r w:rsidRPr="00C27AE9">
        <w:rPr>
          <w:rFonts w:ascii="Garamond" w:hAnsi="Garamond"/>
          <w:b/>
          <w:bCs/>
          <w:sz w:val="26"/>
          <w:szCs w:val="26"/>
        </w:rPr>
        <w:t xml:space="preserve">e il ruolo dell’Autorità ARERA </w:t>
      </w:r>
      <w:r w:rsidR="00E11FAC" w:rsidRPr="00C27AE9">
        <w:rPr>
          <w:rFonts w:ascii="Garamond" w:hAnsi="Garamond"/>
          <w:b/>
          <w:bCs/>
          <w:sz w:val="26"/>
          <w:szCs w:val="26"/>
        </w:rPr>
        <w:t>e degli ETC</w:t>
      </w:r>
    </w:p>
    <w:p w14:paraId="27A1C63A" w14:textId="77777777" w:rsidR="0089533B" w:rsidRPr="00C27AE9" w:rsidRDefault="0089533B" w:rsidP="003E7B7D">
      <w:pPr>
        <w:pStyle w:val="Rientrocorpodeltesto"/>
        <w:widowControl w:val="0"/>
        <w:spacing w:after="0"/>
        <w:ind w:left="0" w:firstLine="454"/>
        <w:jc w:val="both"/>
        <w:rPr>
          <w:rFonts w:ascii="Garamond" w:hAnsi="Garamond"/>
          <w:sz w:val="26"/>
          <w:szCs w:val="26"/>
        </w:rPr>
      </w:pPr>
    </w:p>
    <w:p w14:paraId="7FD8E98D" w14:textId="77777777" w:rsidR="00D777BE" w:rsidRPr="00C27AE9" w:rsidRDefault="00D777BE" w:rsidP="003E7B7D">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Si è detto poc’anzi che il settore dei rifiuti urbani rientra attualmente tra i servizi cd. regolati.</w:t>
      </w:r>
    </w:p>
    <w:p w14:paraId="6DAE5669" w14:textId="28527ED8" w:rsidR="0089533B" w:rsidRPr="00C27AE9" w:rsidRDefault="0089533B"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Come noto, l’art 1 co. 527 della legge n. 205/17 ha previsto che “</w:t>
      </w:r>
      <w:r w:rsidRPr="00C27AE9">
        <w:rPr>
          <w:rFonts w:ascii="Garamond" w:hAnsi="Garamond"/>
          <w:i/>
          <w:iCs/>
          <w:sz w:val="26"/>
          <w:szCs w:val="26"/>
        </w:rPr>
        <w:t>al fine di migliorare il sistema di regolazione del ciclo dei rifiuti, anche differenziati, urbani e assimilati, per garantire accessibilità, fruibilità e diffusione omogenee sull’intero territorio nazionale nonché adeguati livelli di qualità in condizioni di efficienza ed economicità della gestione, armonizzando gli obiettivi economico-finanziari con quelli generali di carattere sociale, ambientale e di impiego appropriato delle risorse, nonché di garantire l’adeguamento infrastrutturale agli obiettivi imposti dalla normativa europea</w:t>
      </w:r>
      <w:r w:rsidRPr="00C27AE9">
        <w:rPr>
          <w:rFonts w:ascii="Garamond" w:hAnsi="Garamond"/>
          <w:sz w:val="26"/>
          <w:szCs w:val="26"/>
        </w:rPr>
        <w:t xml:space="preserve">”, l’ARERA è chiamata ad esercitare funzioni di regolazione e controllo in materia di rifiuti urbani e assimilati, precisando che tali funzioni sono attribuite con i medesimi poteri e nel quadro dei principi, delle finalità e delle attribuzioni, anche di natura sanzionatoria, stabiliti dalla legge n. 481/1995, </w:t>
      </w:r>
      <w:r w:rsidR="001A337C" w:rsidRPr="00C27AE9">
        <w:rPr>
          <w:rFonts w:ascii="Garamond" w:hAnsi="Garamond"/>
          <w:sz w:val="26"/>
          <w:szCs w:val="26"/>
        </w:rPr>
        <w:t xml:space="preserve">legge </w:t>
      </w:r>
      <w:r w:rsidRPr="00C27AE9">
        <w:rPr>
          <w:rFonts w:ascii="Garamond" w:hAnsi="Garamond"/>
          <w:sz w:val="26"/>
          <w:szCs w:val="26"/>
        </w:rPr>
        <w:t xml:space="preserve">istitutiva </w:t>
      </w:r>
      <w:r w:rsidR="001A337C" w:rsidRPr="00C27AE9">
        <w:rPr>
          <w:rFonts w:ascii="Garamond" w:hAnsi="Garamond"/>
          <w:sz w:val="26"/>
          <w:szCs w:val="26"/>
        </w:rPr>
        <w:t>delle Autorità di regolazione di servizi di pubblica utilità, competenti, rispettivamente, per l'energia elettrica, il gas ed il sistema idrico e per le telecomuni</w:t>
      </w:r>
      <w:r w:rsidR="00EA0B70" w:rsidRPr="00C27AE9">
        <w:rPr>
          <w:rFonts w:ascii="Garamond" w:hAnsi="Garamond"/>
          <w:sz w:val="26"/>
          <w:szCs w:val="26"/>
        </w:rPr>
        <w:t>c</w:t>
      </w:r>
      <w:r w:rsidR="001A337C" w:rsidRPr="00C27AE9">
        <w:rPr>
          <w:rFonts w:ascii="Garamond" w:hAnsi="Garamond"/>
          <w:sz w:val="26"/>
          <w:szCs w:val="26"/>
        </w:rPr>
        <w:t>azioni.</w:t>
      </w:r>
    </w:p>
    <w:p w14:paraId="05F1FD26" w14:textId="2D354C1D" w:rsidR="006E2A60" w:rsidRPr="00C27AE9" w:rsidRDefault="0089533B" w:rsidP="00BC3440">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I</w:t>
      </w:r>
      <w:r w:rsidR="001A337C" w:rsidRPr="00C27AE9">
        <w:rPr>
          <w:rFonts w:ascii="Garamond" w:hAnsi="Garamond"/>
          <w:sz w:val="26"/>
          <w:szCs w:val="26"/>
        </w:rPr>
        <w:t>l predetto art</w:t>
      </w:r>
      <w:r w:rsidR="00503D68">
        <w:rPr>
          <w:rFonts w:ascii="Garamond" w:hAnsi="Garamond"/>
          <w:sz w:val="26"/>
          <w:szCs w:val="26"/>
        </w:rPr>
        <w:t>.</w:t>
      </w:r>
      <w:r w:rsidR="001A337C" w:rsidRPr="00C27AE9">
        <w:rPr>
          <w:rFonts w:ascii="Garamond" w:hAnsi="Garamond"/>
          <w:sz w:val="26"/>
          <w:szCs w:val="26"/>
        </w:rPr>
        <w:t xml:space="preserve"> 1 della l.n. 205/2017 </w:t>
      </w:r>
      <w:r w:rsidRPr="00C27AE9">
        <w:rPr>
          <w:rFonts w:ascii="Garamond" w:hAnsi="Garamond"/>
          <w:sz w:val="26"/>
          <w:szCs w:val="26"/>
        </w:rPr>
        <w:t xml:space="preserve">espressamente attribuisce all’Autorità, tra le altre, le funzioni di </w:t>
      </w:r>
      <w:r w:rsidRPr="00C27AE9">
        <w:rPr>
          <w:rFonts w:ascii="Garamond" w:hAnsi="Garamond"/>
          <w:i/>
          <w:iCs/>
          <w:sz w:val="26"/>
          <w:szCs w:val="26"/>
        </w:rPr>
        <w:t xml:space="preserve">“predisposizione ed aggiornamento del metodo tariffario per la determinazione dei </w:t>
      </w:r>
      <w:r w:rsidRPr="00C27AE9">
        <w:rPr>
          <w:rFonts w:ascii="Garamond" w:hAnsi="Garamond"/>
          <w:i/>
          <w:iCs/>
          <w:sz w:val="26"/>
          <w:szCs w:val="26"/>
          <w:u w:val="single"/>
        </w:rPr>
        <w:t>corrispettivi</w:t>
      </w:r>
      <w:r w:rsidRPr="00C27AE9">
        <w:rPr>
          <w:rFonts w:ascii="Garamond" w:hAnsi="Garamond"/>
          <w:i/>
          <w:iCs/>
          <w:sz w:val="26"/>
          <w:szCs w:val="26"/>
        </w:rPr>
        <w:t xml:space="preserve"> del servizio integrato dei rifiuti e dei singoli servizi che costituiscono attività di gestione, a copertura dei costi di esercizio e di investimento, compresa la remunerazione dei capitali, sulla base della valutazione dei costi efficienti e del principio ‘chi inquina paga’” (lett. f); </w:t>
      </w:r>
      <w:r w:rsidR="00E428EE" w:rsidRPr="00C27AE9">
        <w:rPr>
          <w:rFonts w:ascii="Garamond" w:hAnsi="Garamond"/>
          <w:sz w:val="26"/>
          <w:szCs w:val="26"/>
        </w:rPr>
        <w:t xml:space="preserve">e quelle di </w:t>
      </w:r>
      <w:r w:rsidRPr="00C27AE9">
        <w:rPr>
          <w:rFonts w:ascii="Garamond" w:hAnsi="Garamond"/>
          <w:i/>
          <w:iCs/>
          <w:sz w:val="26"/>
          <w:szCs w:val="26"/>
        </w:rPr>
        <w:t xml:space="preserve">“approvazione delle tariffe definite, ai sensi della legislazione vigente, dall’ente di governo dell’ambito territoriale ottimale per il servizio integrato e dai gestori degli impianti di trattamento” </w:t>
      </w:r>
      <w:r w:rsidRPr="00C27AE9">
        <w:rPr>
          <w:rFonts w:ascii="Garamond" w:hAnsi="Garamond"/>
          <w:sz w:val="26"/>
          <w:szCs w:val="26"/>
        </w:rPr>
        <w:t>(lett. h.).</w:t>
      </w:r>
    </w:p>
    <w:p w14:paraId="340BB0CF" w14:textId="70B5BB44" w:rsidR="006E2A60" w:rsidRPr="00C27AE9" w:rsidRDefault="006E2A60"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A seguito dell'attribuzione delle predette funzioni, </w:t>
      </w:r>
      <w:r w:rsidR="00D777BE" w:rsidRPr="00C27AE9">
        <w:rPr>
          <w:rFonts w:ascii="Garamond" w:hAnsi="Garamond"/>
          <w:sz w:val="26"/>
          <w:szCs w:val="26"/>
        </w:rPr>
        <w:t xml:space="preserve">ARERA, </w:t>
      </w:r>
      <w:r w:rsidRPr="00C27AE9">
        <w:rPr>
          <w:rFonts w:ascii="Garamond" w:hAnsi="Garamond"/>
          <w:sz w:val="26"/>
          <w:szCs w:val="26"/>
        </w:rPr>
        <w:t>con l'obiettivo di introdurre un nuovo sistema tariffario in materia di ciclo dei rifiuti, anche differenziati, urbani e assimilati (RU):</w:t>
      </w:r>
    </w:p>
    <w:p w14:paraId="5A1CBD3B" w14:textId="22A9D2C8" w:rsidR="00E733A5" w:rsidRPr="00C27AE9" w:rsidRDefault="006E2A60"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con deliberazione del 31.10.2019 n. 443/2019/R/RIF, ha adottato la "</w:t>
      </w:r>
      <w:r w:rsidRPr="00C27AE9">
        <w:rPr>
          <w:rFonts w:ascii="Garamond" w:hAnsi="Garamond"/>
          <w:i/>
          <w:iCs/>
          <w:sz w:val="26"/>
          <w:szCs w:val="26"/>
        </w:rPr>
        <w:t xml:space="preserve">Definizione dei criteri di riconoscimento dei costi efficienti di esercizio e di investimento del servizio integrato dei rifiuti, </w:t>
      </w:r>
      <w:r w:rsidRPr="00C27AE9">
        <w:rPr>
          <w:rFonts w:ascii="Garamond" w:hAnsi="Garamond"/>
          <w:i/>
          <w:iCs/>
          <w:sz w:val="26"/>
          <w:szCs w:val="26"/>
        </w:rPr>
        <w:lastRenderedPageBreak/>
        <w:t>per il periodo 2018-2021</w:t>
      </w:r>
      <w:r w:rsidRPr="00C27AE9">
        <w:rPr>
          <w:rFonts w:ascii="Garamond" w:hAnsi="Garamond"/>
          <w:sz w:val="26"/>
          <w:szCs w:val="26"/>
        </w:rPr>
        <w:t xml:space="preserve">" </w:t>
      </w:r>
      <w:r w:rsidR="00503D68">
        <w:rPr>
          <w:rFonts w:ascii="Garamond" w:hAnsi="Garamond"/>
          <w:sz w:val="26"/>
          <w:szCs w:val="26"/>
        </w:rPr>
        <w:t xml:space="preserve">ed ha </w:t>
      </w:r>
      <w:r w:rsidRPr="00C27AE9">
        <w:rPr>
          <w:rFonts w:ascii="Garamond" w:hAnsi="Garamond"/>
          <w:sz w:val="26"/>
          <w:szCs w:val="26"/>
        </w:rPr>
        <w:t>approva</w:t>
      </w:r>
      <w:r w:rsidR="00503D68">
        <w:rPr>
          <w:rFonts w:ascii="Garamond" w:hAnsi="Garamond"/>
          <w:sz w:val="26"/>
          <w:szCs w:val="26"/>
        </w:rPr>
        <w:t>t</w:t>
      </w:r>
      <w:r w:rsidRPr="00C27AE9">
        <w:rPr>
          <w:rFonts w:ascii="Garamond" w:hAnsi="Garamond"/>
          <w:sz w:val="26"/>
          <w:szCs w:val="26"/>
        </w:rPr>
        <w:t>o il Metodo Tariffario Rifiuti (MTR), che ha sostituito il cd. metodo normalizzato di cui al d.P.R. n. 158</w:t>
      </w:r>
      <w:r w:rsidR="00503D68">
        <w:rPr>
          <w:rFonts w:ascii="Garamond" w:hAnsi="Garamond"/>
          <w:sz w:val="26"/>
          <w:szCs w:val="26"/>
        </w:rPr>
        <w:t>/1999</w:t>
      </w:r>
      <w:r w:rsidRPr="00C27AE9">
        <w:rPr>
          <w:rFonts w:ascii="Garamond" w:hAnsi="Garamond"/>
          <w:sz w:val="26"/>
          <w:szCs w:val="26"/>
        </w:rPr>
        <w:t xml:space="preserve"> e che si fonda su criteri di riconoscimento dei cd. costi efficienti;</w:t>
      </w:r>
      <w:r w:rsidR="003A4ED1" w:rsidRPr="00C27AE9">
        <w:rPr>
          <w:rFonts w:ascii="Garamond" w:hAnsi="Garamond"/>
          <w:sz w:val="26"/>
          <w:szCs w:val="26"/>
        </w:rPr>
        <w:t xml:space="preserve"> per tali</w:t>
      </w:r>
      <w:r w:rsidR="001656CD" w:rsidRPr="00C27AE9">
        <w:rPr>
          <w:rFonts w:ascii="Garamond" w:hAnsi="Garamond"/>
          <w:sz w:val="26"/>
          <w:szCs w:val="26"/>
        </w:rPr>
        <w:t xml:space="preserve"> debbono intendersi </w:t>
      </w:r>
      <w:r w:rsidR="00533A25" w:rsidRPr="00C27AE9">
        <w:rPr>
          <w:rFonts w:ascii="Garamond" w:hAnsi="Garamond"/>
          <w:sz w:val="26"/>
          <w:szCs w:val="26"/>
        </w:rPr>
        <w:t>tutti quei costi per i quali sia riscontrabile la riferibilità a costi certi nella loro esistenza ed inoltre la loro stretta connessione con criteri di corretta gestione aziendale; di qui la scelta di riferirsi ai costi emergenti dalle scritture contabili obbligatorie, adeguata all’esigenza di verificare quali siano i costi effettivamente sostenuti e per apprezzarne la coerenza con parametri di efficienza</w:t>
      </w:r>
      <w:r w:rsidR="00E733A5" w:rsidRPr="00C27AE9">
        <w:rPr>
          <w:rFonts w:ascii="Garamond" w:hAnsi="Garamond"/>
          <w:sz w:val="26"/>
          <w:szCs w:val="26"/>
        </w:rPr>
        <w:t xml:space="preserve">. </w:t>
      </w:r>
    </w:p>
    <w:p w14:paraId="3F8AB543" w14:textId="7597C2E5" w:rsidR="006E2A60" w:rsidRPr="00C27AE9" w:rsidRDefault="00E733A5"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La giurisprudenza ha rilevato sul punto che «</w:t>
      </w:r>
      <w:r w:rsidRPr="00C27AE9">
        <w:rPr>
          <w:rFonts w:ascii="Garamond" w:hAnsi="Garamond"/>
          <w:i/>
          <w:iCs/>
          <w:sz w:val="26"/>
          <w:szCs w:val="26"/>
        </w:rPr>
        <w:t>Nel rispetto del full cost recovery la regolazione incentivante riconosce sul piano tariffario i costi dichiarati da ciascuna impresa nella misura in cui essi sono efficienti rispetto agli standard predeterminati mediante tecniche di selezione delle componenti ammissibili e di “modellizzazione” del comportamento – per l’appunto – efficiente sulla base dell’analisi dell’assetto di imprese accomunate da particolari caratteristiche strutturali, cosicché il gestore è incentivato ad adottare uno sforzo di efficientamento dei costi endogeni ed i rischi risultano più equilibratamente distribuiti tra gestore medesimo e utenza (…) Il Metodo tariffario (MTR-1) prende quindi in considerazione solo i costi “efficienti” della gestione, rimanendo a carico del gestore quelli non ritenuti tali</w:t>
      </w:r>
      <w:r w:rsidRPr="00C27AE9">
        <w:rPr>
          <w:rFonts w:ascii="Garamond" w:hAnsi="Garamond"/>
          <w:sz w:val="26"/>
          <w:szCs w:val="26"/>
        </w:rPr>
        <w:t xml:space="preserve">» </w:t>
      </w:r>
      <w:r w:rsidR="00533A25" w:rsidRPr="00C27AE9">
        <w:rPr>
          <w:rStyle w:val="Rimandonotaapidipagina"/>
          <w:rFonts w:ascii="Garamond" w:hAnsi="Garamond"/>
          <w:sz w:val="26"/>
          <w:szCs w:val="26"/>
        </w:rPr>
        <w:footnoteReference w:id="7"/>
      </w:r>
      <w:r w:rsidR="00533A25" w:rsidRPr="00C27AE9">
        <w:rPr>
          <w:rFonts w:ascii="Garamond" w:hAnsi="Garamond"/>
          <w:sz w:val="26"/>
          <w:szCs w:val="26"/>
        </w:rPr>
        <w:t>.</w:t>
      </w:r>
    </w:p>
    <w:p w14:paraId="3E8B83A1" w14:textId="0732F183" w:rsidR="00E733A5" w:rsidRPr="00C27AE9" w:rsidRDefault="00E733A5"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Si tratta quindi di «</w:t>
      </w:r>
      <w:r w:rsidRPr="00C27AE9">
        <w:rPr>
          <w:rFonts w:ascii="Garamond" w:hAnsi="Garamond"/>
          <w:i/>
          <w:iCs/>
          <w:sz w:val="26"/>
          <w:szCs w:val="26"/>
        </w:rPr>
        <w:t>costi definibili come standard, nel s</w:t>
      </w:r>
      <w:r w:rsidR="009B68E2" w:rsidRPr="00C27AE9">
        <w:rPr>
          <w:rFonts w:ascii="Garamond" w:hAnsi="Garamond"/>
          <w:i/>
          <w:iCs/>
          <w:sz w:val="26"/>
          <w:szCs w:val="26"/>
        </w:rPr>
        <w:t>enso che al gestore non è consentito di traslare puramente e semplicemente i costi di volta in volta da lui in concreto sopportati sull’utenza: al recupero di questi costi è imposto un limite, allo scopo di spingere verso una maggiore efficienza</w:t>
      </w:r>
      <w:r w:rsidR="009B68E2" w:rsidRPr="00C27AE9">
        <w:rPr>
          <w:rFonts w:ascii="Garamond" w:hAnsi="Garamond"/>
          <w:sz w:val="26"/>
          <w:szCs w:val="26"/>
        </w:rPr>
        <w:t>»</w:t>
      </w:r>
      <w:r w:rsidR="009B68E2" w:rsidRPr="00C27AE9">
        <w:rPr>
          <w:rStyle w:val="Rimandonotaapidipagina"/>
          <w:rFonts w:ascii="Garamond" w:hAnsi="Garamond"/>
          <w:sz w:val="26"/>
          <w:szCs w:val="26"/>
        </w:rPr>
        <w:footnoteReference w:id="8"/>
      </w:r>
    </w:p>
    <w:p w14:paraId="482ACA87" w14:textId="1C58B1FF" w:rsidR="00423252" w:rsidRPr="00C27AE9" w:rsidRDefault="006E2A60" w:rsidP="00423252">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con deliberazione del 3.08.2021</w:t>
      </w:r>
      <w:r w:rsidR="00937E23" w:rsidRPr="00C27AE9">
        <w:rPr>
          <w:rFonts w:ascii="Garamond" w:hAnsi="Garamond"/>
          <w:sz w:val="26"/>
          <w:szCs w:val="26"/>
        </w:rPr>
        <w:t xml:space="preserve"> </w:t>
      </w:r>
      <w:r w:rsidRPr="00C27AE9">
        <w:rPr>
          <w:rFonts w:ascii="Garamond" w:hAnsi="Garamond"/>
          <w:sz w:val="26"/>
          <w:szCs w:val="26"/>
        </w:rPr>
        <w:t>n. 363/2021/R/RIF ha approvato il "</w:t>
      </w:r>
      <w:r w:rsidRPr="00C27AE9">
        <w:rPr>
          <w:rFonts w:ascii="Garamond" w:hAnsi="Garamond"/>
          <w:i/>
          <w:iCs/>
          <w:sz w:val="26"/>
          <w:szCs w:val="26"/>
        </w:rPr>
        <w:t>metodo tariffario rifiuti (MTR-2) per il secondo periodo regolatorio 2022-2025</w:t>
      </w:r>
      <w:r w:rsidRPr="00C27AE9">
        <w:rPr>
          <w:rFonts w:ascii="Garamond" w:hAnsi="Garamond"/>
          <w:sz w:val="26"/>
          <w:szCs w:val="26"/>
        </w:rPr>
        <w:t>"; con l’occasione, ha previsto che l’obbligo di predisporre il PEF del servizio</w:t>
      </w:r>
      <w:r w:rsidR="0089686A" w:rsidRPr="00C27AE9">
        <w:rPr>
          <w:rStyle w:val="Rimandonotaapidipagina"/>
          <w:rFonts w:ascii="Garamond" w:hAnsi="Garamond"/>
          <w:sz w:val="26"/>
          <w:szCs w:val="26"/>
        </w:rPr>
        <w:footnoteReference w:id="9"/>
      </w:r>
      <w:r w:rsidRPr="00C27AE9">
        <w:rPr>
          <w:rFonts w:ascii="Garamond" w:hAnsi="Garamond"/>
          <w:sz w:val="26"/>
          <w:szCs w:val="26"/>
        </w:rPr>
        <w:t xml:space="preserve"> fosse non più su base annuale</w:t>
      </w:r>
      <w:r w:rsidR="009F6101" w:rsidRPr="00C27AE9">
        <w:rPr>
          <w:rFonts w:ascii="Garamond" w:hAnsi="Garamond"/>
          <w:sz w:val="26"/>
          <w:szCs w:val="26"/>
        </w:rPr>
        <w:t xml:space="preserve">, come nel MTR-1 ma </w:t>
      </w:r>
      <w:r w:rsidRPr="00C27AE9">
        <w:rPr>
          <w:rFonts w:ascii="Garamond" w:hAnsi="Garamond"/>
          <w:sz w:val="26"/>
          <w:szCs w:val="26"/>
        </w:rPr>
        <w:t xml:space="preserve">su scala quadriennale (2022-2025), </w:t>
      </w:r>
      <w:r w:rsidR="009F6101" w:rsidRPr="00C27AE9">
        <w:rPr>
          <w:rFonts w:ascii="Garamond" w:hAnsi="Garamond"/>
          <w:sz w:val="26"/>
          <w:szCs w:val="26"/>
        </w:rPr>
        <w:t xml:space="preserve">con l’obbligo di aggiornarlo </w:t>
      </w:r>
      <w:r w:rsidRPr="00C27AE9">
        <w:rPr>
          <w:rFonts w:ascii="Garamond" w:hAnsi="Garamond"/>
          <w:sz w:val="26"/>
          <w:szCs w:val="26"/>
        </w:rPr>
        <w:t>con cadenza biennale</w:t>
      </w:r>
      <w:r w:rsidR="009F6101" w:rsidRPr="00C27AE9">
        <w:rPr>
          <w:rFonts w:ascii="Garamond" w:hAnsi="Garamond"/>
          <w:sz w:val="26"/>
          <w:szCs w:val="26"/>
        </w:rPr>
        <w:t xml:space="preserve"> nel corso del periodo regolatorio.</w:t>
      </w:r>
    </w:p>
    <w:p w14:paraId="217F1F0F" w14:textId="4601EE89" w:rsidR="00423252" w:rsidRPr="00C27AE9" w:rsidRDefault="00423252" w:rsidP="00B91929">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Tale modifica dell’estensione temporale del PEF è evidentemente funzionale al principio, insito nella regolazione MTR</w:t>
      </w:r>
      <w:r w:rsidR="00B91929" w:rsidRPr="00C27AE9">
        <w:rPr>
          <w:rFonts w:ascii="Garamond" w:hAnsi="Garamond"/>
          <w:sz w:val="26"/>
          <w:szCs w:val="26"/>
        </w:rPr>
        <w:t xml:space="preserve">, secondo cui l’equilibrio economico-finanziario della gestione deve essere assicurato attraverso una pianificazione che tenga conto di  </w:t>
      </w:r>
      <w:r w:rsidR="00BC3440" w:rsidRPr="00C27AE9">
        <w:rPr>
          <w:rFonts w:ascii="Garamond" w:hAnsi="Garamond"/>
          <w:sz w:val="26"/>
          <w:szCs w:val="26"/>
        </w:rPr>
        <w:t xml:space="preserve">periodi </w:t>
      </w:r>
      <w:r w:rsidR="00B91929" w:rsidRPr="00C27AE9">
        <w:rPr>
          <w:rFonts w:ascii="Garamond" w:hAnsi="Garamond"/>
          <w:sz w:val="26"/>
          <w:szCs w:val="26"/>
        </w:rPr>
        <w:t>temporali medio lunghi, comunque superiori al singolo esercizio, dal momento che l'equilibrio è un risultato da raggiungere con riferimento all'intera gestione del servizio (in questi termini, in particolare, la Delibera Arera n. 262/2023 /RIF)</w:t>
      </w:r>
      <w:r w:rsidR="00457E2B" w:rsidRPr="00C27AE9">
        <w:rPr>
          <w:rStyle w:val="Rimandonotaapidipagina"/>
          <w:rFonts w:ascii="Garamond" w:hAnsi="Garamond"/>
          <w:sz w:val="26"/>
          <w:szCs w:val="26"/>
        </w:rPr>
        <w:footnoteReference w:id="10"/>
      </w:r>
      <w:r w:rsidR="00B91929" w:rsidRPr="00C27AE9">
        <w:rPr>
          <w:rFonts w:ascii="Garamond" w:hAnsi="Garamond"/>
          <w:sz w:val="26"/>
          <w:szCs w:val="26"/>
        </w:rPr>
        <w:t>.</w:t>
      </w:r>
    </w:p>
    <w:p w14:paraId="41507E07" w14:textId="680800D8" w:rsidR="00423252" w:rsidRPr="00C27AE9" w:rsidRDefault="00423252" w:rsidP="00423252">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Come chiarito di recente, «</w:t>
      </w:r>
      <w:r w:rsidRPr="00C27AE9">
        <w:rPr>
          <w:rFonts w:ascii="Garamond" w:hAnsi="Garamond"/>
          <w:i/>
          <w:iCs/>
          <w:sz w:val="26"/>
          <w:szCs w:val="26"/>
        </w:rPr>
        <w:t xml:space="preserve">se la gestione del servizio è una sola e ha una durata pluriennale e se la valutazione dell’equilibrio economico-finanziario del singolo PEF annuale deve avvenire in funzione della “gestione” nel suo complesso, allora ne consegue che tale valutazione deve riguardare un arco di tempo necessariamente pluriennale in quanto la convenienza economica e la sostenibilità finanziaria della gestione, in cui si sostanzia l’equilibrio economico-finanziario, non possono che fare riferimento a tutta la durata della concessione, o quantomeno ad un periodo di tempo sufficientemente significativo e non </w:t>
      </w:r>
      <w:r w:rsidRPr="00C27AE9">
        <w:rPr>
          <w:rFonts w:ascii="Garamond" w:hAnsi="Garamond"/>
          <w:i/>
          <w:iCs/>
          <w:sz w:val="26"/>
          <w:szCs w:val="26"/>
        </w:rPr>
        <w:lastRenderedPageBreak/>
        <w:t>sicuramente limitato ai risultati dell’esercizio sulla base del quale viene calibrato il PEF</w:t>
      </w:r>
      <w:r w:rsidRPr="00C27AE9">
        <w:rPr>
          <w:rFonts w:ascii="Garamond" w:hAnsi="Garamond"/>
          <w:sz w:val="26"/>
          <w:szCs w:val="26"/>
        </w:rPr>
        <w:t>»</w:t>
      </w:r>
      <w:r w:rsidRPr="00C27AE9">
        <w:rPr>
          <w:rStyle w:val="Rimandonotaapidipagina"/>
          <w:rFonts w:ascii="Garamond" w:hAnsi="Garamond"/>
          <w:sz w:val="26"/>
          <w:szCs w:val="26"/>
        </w:rPr>
        <w:footnoteReference w:id="11"/>
      </w:r>
      <w:r w:rsidRPr="00C27AE9">
        <w:rPr>
          <w:rFonts w:ascii="Garamond" w:hAnsi="Garamond"/>
          <w:sz w:val="26"/>
          <w:szCs w:val="26"/>
        </w:rPr>
        <w:t>.</w:t>
      </w:r>
    </w:p>
    <w:p w14:paraId="623631F1" w14:textId="4C83F7E9" w:rsidR="009F6101" w:rsidRPr="00C27AE9" w:rsidRDefault="009F6101"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Anche tale provvedimento</w:t>
      </w:r>
      <w:r w:rsidR="00423252" w:rsidRPr="00C27AE9">
        <w:rPr>
          <w:rFonts w:ascii="Garamond" w:hAnsi="Garamond"/>
          <w:sz w:val="26"/>
          <w:szCs w:val="26"/>
        </w:rPr>
        <w:t xml:space="preserve"> (MTR-2)</w:t>
      </w:r>
      <w:r w:rsidRPr="00C27AE9">
        <w:rPr>
          <w:rFonts w:ascii="Garamond" w:hAnsi="Garamond"/>
          <w:sz w:val="26"/>
          <w:szCs w:val="26"/>
        </w:rPr>
        <w:t xml:space="preserve"> si fonda sul principio dei </w:t>
      </w:r>
      <w:r w:rsidR="006E2A60" w:rsidRPr="00C27AE9">
        <w:rPr>
          <w:rFonts w:ascii="Garamond" w:hAnsi="Garamond"/>
          <w:sz w:val="26"/>
          <w:szCs w:val="26"/>
        </w:rPr>
        <w:t>costi c.d. "efficienti"</w:t>
      </w:r>
      <w:r w:rsidRPr="00C27AE9">
        <w:rPr>
          <w:rFonts w:ascii="Garamond" w:hAnsi="Garamond"/>
          <w:sz w:val="26"/>
          <w:szCs w:val="26"/>
        </w:rPr>
        <w:t xml:space="preserve">, ossia il </w:t>
      </w:r>
      <w:r w:rsidR="006E2A60" w:rsidRPr="00C27AE9">
        <w:rPr>
          <w:rFonts w:ascii="Garamond" w:hAnsi="Garamond"/>
          <w:sz w:val="26"/>
          <w:szCs w:val="26"/>
        </w:rPr>
        <w:t xml:space="preserve">riconoscimento </w:t>
      </w:r>
      <w:r w:rsidR="005000DF" w:rsidRPr="00C27AE9">
        <w:rPr>
          <w:rFonts w:ascii="Garamond" w:hAnsi="Garamond"/>
          <w:sz w:val="26"/>
          <w:szCs w:val="26"/>
        </w:rPr>
        <w:t xml:space="preserve">in tariffa </w:t>
      </w:r>
      <w:r w:rsidR="006E2A60" w:rsidRPr="00C27AE9">
        <w:rPr>
          <w:rFonts w:ascii="Garamond" w:hAnsi="Garamond"/>
          <w:sz w:val="26"/>
          <w:szCs w:val="26"/>
        </w:rPr>
        <w:t>dei soli costi che trovino giustificazione nella migliore tecnica imprenditoriale di gestione in condizioni di efficienza ed economicità</w:t>
      </w:r>
      <w:r w:rsidR="00503D68">
        <w:rPr>
          <w:rFonts w:ascii="Garamond" w:hAnsi="Garamond"/>
          <w:sz w:val="26"/>
          <w:szCs w:val="26"/>
        </w:rPr>
        <w:t xml:space="preserve">; </w:t>
      </w:r>
      <w:r w:rsidR="006E2A60" w:rsidRPr="00C27AE9">
        <w:rPr>
          <w:rFonts w:ascii="Garamond" w:hAnsi="Garamond"/>
          <w:sz w:val="26"/>
          <w:szCs w:val="26"/>
        </w:rPr>
        <w:t xml:space="preserve">la determinazione delle tariffe si traduce </w:t>
      </w:r>
      <w:r w:rsidR="00503D68">
        <w:rPr>
          <w:rFonts w:ascii="Garamond" w:hAnsi="Garamond"/>
          <w:sz w:val="26"/>
          <w:szCs w:val="26"/>
        </w:rPr>
        <w:t xml:space="preserve">infatti </w:t>
      </w:r>
      <w:r w:rsidR="006E2A60" w:rsidRPr="00C27AE9">
        <w:rPr>
          <w:rFonts w:ascii="Garamond" w:hAnsi="Garamond"/>
          <w:sz w:val="26"/>
          <w:szCs w:val="26"/>
        </w:rPr>
        <w:t xml:space="preserve">nell’imposizione a carico dei contribuenti (attraverso la TARI) dei relativi costi, </w:t>
      </w:r>
      <w:r w:rsidR="00BC553F" w:rsidRPr="00C27AE9">
        <w:rPr>
          <w:rFonts w:ascii="Garamond" w:hAnsi="Garamond"/>
          <w:sz w:val="26"/>
          <w:szCs w:val="26"/>
        </w:rPr>
        <w:t xml:space="preserve">ragione </w:t>
      </w:r>
      <w:r w:rsidR="006E2A60" w:rsidRPr="00C27AE9">
        <w:rPr>
          <w:rFonts w:ascii="Garamond" w:hAnsi="Garamond"/>
          <w:sz w:val="26"/>
          <w:szCs w:val="26"/>
        </w:rPr>
        <w:t>per cui</w:t>
      </w:r>
      <w:r w:rsidR="00503D68">
        <w:rPr>
          <w:rFonts w:ascii="Garamond" w:hAnsi="Garamond"/>
          <w:sz w:val="26"/>
          <w:szCs w:val="26"/>
        </w:rPr>
        <w:t xml:space="preserve"> </w:t>
      </w:r>
      <w:r w:rsidR="006E2A60" w:rsidRPr="00C27AE9">
        <w:rPr>
          <w:rFonts w:ascii="Garamond" w:hAnsi="Garamond"/>
          <w:sz w:val="26"/>
          <w:szCs w:val="26"/>
        </w:rPr>
        <w:t>non devono essere riconosciuti costi superflui.</w:t>
      </w:r>
    </w:p>
    <w:p w14:paraId="705D0F42" w14:textId="6A801CE8" w:rsidR="001A337C" w:rsidRPr="00C27AE9" w:rsidRDefault="0089533B"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La determinazione delle entrate tariffarie avviene </w:t>
      </w:r>
      <w:r w:rsidR="009F6101" w:rsidRPr="00C27AE9">
        <w:rPr>
          <w:rFonts w:ascii="Garamond" w:hAnsi="Garamond"/>
          <w:sz w:val="26"/>
          <w:szCs w:val="26"/>
        </w:rPr>
        <w:t xml:space="preserve">pertanto </w:t>
      </w:r>
      <w:r w:rsidRPr="00C27AE9">
        <w:rPr>
          <w:rFonts w:ascii="Garamond" w:hAnsi="Garamond"/>
          <w:sz w:val="26"/>
          <w:szCs w:val="26"/>
        </w:rPr>
        <w:t>sulla base di dati certi, verificabili e desumibili da fonti contabili obbligatorie, nonché in funzione della copertura di oneri attesi connessi a specifiche finalità di miglioramento delle prestazioni (art. 4 delibera n. 363/2021).</w:t>
      </w:r>
    </w:p>
    <w:p w14:paraId="343BD09C" w14:textId="505A0F8B" w:rsidR="0089533B" w:rsidRPr="00C27AE9" w:rsidRDefault="0089533B"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I costi ammessi a riconoscimento</w:t>
      </w:r>
      <w:r w:rsidR="001A337C" w:rsidRPr="00C27AE9">
        <w:rPr>
          <w:rFonts w:ascii="Garamond" w:hAnsi="Garamond"/>
          <w:sz w:val="26"/>
          <w:szCs w:val="26"/>
        </w:rPr>
        <w:t xml:space="preserve"> (cd. costi efficienti)</w:t>
      </w:r>
      <w:r w:rsidRPr="00C27AE9">
        <w:rPr>
          <w:rFonts w:ascii="Garamond" w:hAnsi="Garamond"/>
          <w:sz w:val="26"/>
          <w:szCs w:val="26"/>
        </w:rPr>
        <w:t xml:space="preserve"> in ogni anno (a) sono determinati sulla base di quelli effettivi rilevati nell’anno di riferimento (a-2)</w:t>
      </w:r>
      <w:r w:rsidR="00D7670C" w:rsidRPr="00C27AE9">
        <w:rPr>
          <w:rStyle w:val="Rimandonotaapidipagina"/>
          <w:rFonts w:ascii="Garamond" w:hAnsi="Garamond"/>
          <w:sz w:val="26"/>
          <w:szCs w:val="26"/>
        </w:rPr>
        <w:footnoteReference w:id="12"/>
      </w:r>
      <w:r w:rsidRPr="00C27AE9">
        <w:rPr>
          <w:rFonts w:ascii="Garamond" w:hAnsi="Garamond"/>
          <w:sz w:val="26"/>
          <w:szCs w:val="26"/>
        </w:rPr>
        <w:t xml:space="preserve"> come risultanti dalle fonti contabili obbligatorie (art.7 MTR-2).</w:t>
      </w:r>
    </w:p>
    <w:p w14:paraId="66800BF8" w14:textId="0E47AFF3" w:rsidR="00D96354" w:rsidRPr="00C27AE9" w:rsidRDefault="0089533B"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La delibera citata</w:t>
      </w:r>
      <w:r w:rsidR="009F6101" w:rsidRPr="00C27AE9">
        <w:rPr>
          <w:rFonts w:ascii="Garamond" w:hAnsi="Garamond"/>
          <w:sz w:val="26"/>
          <w:szCs w:val="26"/>
        </w:rPr>
        <w:t xml:space="preserve"> ha dunque</w:t>
      </w:r>
      <w:r w:rsidRPr="00C27AE9">
        <w:rPr>
          <w:rFonts w:ascii="Garamond" w:hAnsi="Garamond"/>
          <w:sz w:val="26"/>
          <w:szCs w:val="26"/>
        </w:rPr>
        <w:t xml:space="preserve"> disciplinato in modo puntuale la procedura di approvazione del </w:t>
      </w:r>
      <w:r w:rsidR="001A337C" w:rsidRPr="00C27AE9">
        <w:rPr>
          <w:rFonts w:ascii="Garamond" w:hAnsi="Garamond"/>
          <w:sz w:val="26"/>
          <w:szCs w:val="26"/>
        </w:rPr>
        <w:t>P</w:t>
      </w:r>
      <w:r w:rsidRPr="00C27AE9">
        <w:rPr>
          <w:rFonts w:ascii="Garamond" w:hAnsi="Garamond"/>
          <w:sz w:val="26"/>
          <w:szCs w:val="26"/>
        </w:rPr>
        <w:t>EF</w:t>
      </w:r>
      <w:r w:rsidR="003824DF">
        <w:rPr>
          <w:rFonts w:ascii="Garamond" w:hAnsi="Garamond"/>
          <w:sz w:val="26"/>
          <w:szCs w:val="26"/>
        </w:rPr>
        <w:t xml:space="preserve"> </w:t>
      </w:r>
      <w:r w:rsidRPr="00C27AE9">
        <w:rPr>
          <w:rFonts w:ascii="Garamond" w:hAnsi="Garamond"/>
          <w:sz w:val="26"/>
          <w:szCs w:val="26"/>
        </w:rPr>
        <w:t>quadriennale (art. 7) attribuendo all’ETC (Ente di governo</w:t>
      </w:r>
      <w:r w:rsidR="001A337C" w:rsidRPr="00C27AE9">
        <w:rPr>
          <w:rFonts w:ascii="Garamond" w:hAnsi="Garamond"/>
          <w:sz w:val="26"/>
          <w:szCs w:val="26"/>
        </w:rPr>
        <w:t xml:space="preserve"> dell’Ambito territoriale di riferimento</w:t>
      </w:r>
      <w:r w:rsidRPr="00C27AE9">
        <w:rPr>
          <w:rFonts w:ascii="Garamond" w:hAnsi="Garamond"/>
          <w:sz w:val="26"/>
          <w:szCs w:val="26"/>
        </w:rPr>
        <w:t xml:space="preserve">) </w:t>
      </w:r>
      <w:r w:rsidR="00E11FAC" w:rsidRPr="00C27AE9">
        <w:rPr>
          <w:rFonts w:ascii="Garamond" w:hAnsi="Garamond"/>
          <w:sz w:val="26"/>
          <w:szCs w:val="26"/>
        </w:rPr>
        <w:t xml:space="preserve">il compito </w:t>
      </w:r>
      <w:r w:rsidRPr="00C27AE9">
        <w:rPr>
          <w:rFonts w:ascii="Garamond" w:hAnsi="Garamond"/>
          <w:sz w:val="26"/>
          <w:szCs w:val="26"/>
        </w:rPr>
        <w:t xml:space="preserve">di </w:t>
      </w:r>
      <w:r w:rsidR="009F6101" w:rsidRPr="00C27AE9">
        <w:rPr>
          <w:rFonts w:ascii="Garamond" w:hAnsi="Garamond"/>
          <w:sz w:val="26"/>
          <w:szCs w:val="26"/>
        </w:rPr>
        <w:t>determinare la tariffa del servizio e conseguentemente procedere alla validazione del PEF 2022-2025.</w:t>
      </w:r>
    </w:p>
    <w:p w14:paraId="73244302" w14:textId="6B6DA659" w:rsidR="007F2985" w:rsidRPr="00C27AE9" w:rsidRDefault="009F6101"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Il</w:t>
      </w:r>
      <w:r w:rsidR="00D96354" w:rsidRPr="00C27AE9">
        <w:rPr>
          <w:rFonts w:ascii="Garamond" w:hAnsi="Garamond"/>
          <w:sz w:val="26"/>
          <w:szCs w:val="26"/>
        </w:rPr>
        <w:t xml:space="preserve"> PEF validato è quindi destinato ad essere trasmesso all’Autorità per la sua definitiva approvazione. </w:t>
      </w:r>
      <w:r w:rsidR="00D02481" w:rsidRPr="00C27AE9">
        <w:rPr>
          <w:rFonts w:ascii="Garamond" w:hAnsi="Garamond"/>
          <w:sz w:val="26"/>
          <w:szCs w:val="26"/>
        </w:rPr>
        <w:t xml:space="preserve">Al riguardo, </w:t>
      </w:r>
      <w:r w:rsidR="00D96354" w:rsidRPr="00C27AE9">
        <w:rPr>
          <w:rFonts w:ascii="Garamond" w:hAnsi="Garamond"/>
          <w:sz w:val="26"/>
          <w:szCs w:val="26"/>
        </w:rPr>
        <w:t>l’art. 7.8 della deliberazione 363/2021 dispone in proposito che “</w:t>
      </w:r>
      <w:r w:rsidR="00D96354" w:rsidRPr="00C27AE9">
        <w:rPr>
          <w:rFonts w:ascii="Garamond" w:hAnsi="Garamond"/>
          <w:i/>
          <w:iCs/>
          <w:sz w:val="26"/>
          <w:szCs w:val="26"/>
        </w:rPr>
        <w:t>Fino all’approvazione da parte dell’Autorità di cui al comma precedente si applicano quali prezzi massimi del servizio, quelli determinati dagli organismi competenti</w:t>
      </w:r>
      <w:r w:rsidR="00D96354" w:rsidRPr="00C27AE9">
        <w:rPr>
          <w:rFonts w:ascii="Garamond" w:hAnsi="Garamond"/>
          <w:sz w:val="26"/>
          <w:szCs w:val="26"/>
        </w:rPr>
        <w:t>”.</w:t>
      </w:r>
      <w:r w:rsidR="001A337C" w:rsidRPr="00C27AE9">
        <w:rPr>
          <w:rFonts w:ascii="Garamond" w:hAnsi="Garamond"/>
          <w:color w:val="EE0000"/>
          <w:sz w:val="26"/>
          <w:szCs w:val="26"/>
        </w:rPr>
        <w:t xml:space="preserve"> </w:t>
      </w:r>
    </w:p>
    <w:p w14:paraId="44063A5A" w14:textId="67147FA2" w:rsidR="00B34E1F" w:rsidRPr="00C27AE9" w:rsidRDefault="00D96354" w:rsidP="00D7670C">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Sempre la delibera n. 363/2021 ha previsto le modalità di riconoscimento dei costi ammissibili fondata sulle fonti obbligatorie dell’a-</w:t>
      </w:r>
      <w:r w:rsidR="00457E2B" w:rsidRPr="00C27AE9">
        <w:rPr>
          <w:rFonts w:ascii="Garamond" w:hAnsi="Garamond"/>
          <w:sz w:val="26"/>
          <w:szCs w:val="26"/>
        </w:rPr>
        <w:t>2</w:t>
      </w:r>
      <w:r w:rsidRPr="00C27AE9">
        <w:rPr>
          <w:rFonts w:ascii="Garamond" w:hAnsi="Garamond"/>
          <w:sz w:val="26"/>
          <w:szCs w:val="26"/>
        </w:rPr>
        <w:t xml:space="preserve"> </w:t>
      </w:r>
      <w:r w:rsidR="00D7670C" w:rsidRPr="00C27AE9">
        <w:rPr>
          <w:rFonts w:ascii="Garamond" w:hAnsi="Garamond"/>
          <w:sz w:val="26"/>
          <w:szCs w:val="26"/>
        </w:rPr>
        <w:t xml:space="preserve">anche </w:t>
      </w:r>
      <w:r w:rsidRPr="00C27AE9">
        <w:rPr>
          <w:rFonts w:ascii="Garamond" w:hAnsi="Garamond"/>
          <w:sz w:val="26"/>
          <w:szCs w:val="26"/>
        </w:rPr>
        <w:t>al fine di determinare l’aggiornamento biennale obbligatorio del corrispettivo del servizio per le annualità 2024- 2025 (art.</w:t>
      </w:r>
      <w:r w:rsidR="009F6101" w:rsidRPr="00C27AE9">
        <w:rPr>
          <w:rFonts w:ascii="Garamond" w:hAnsi="Garamond"/>
          <w:sz w:val="26"/>
          <w:szCs w:val="26"/>
        </w:rPr>
        <w:t xml:space="preserve"> </w:t>
      </w:r>
      <w:r w:rsidRPr="00C27AE9">
        <w:rPr>
          <w:rFonts w:ascii="Garamond" w:hAnsi="Garamond"/>
          <w:sz w:val="26"/>
          <w:szCs w:val="26"/>
        </w:rPr>
        <w:t>8)</w:t>
      </w:r>
      <w:r w:rsidR="009F6101" w:rsidRPr="00C27AE9">
        <w:rPr>
          <w:rFonts w:ascii="Garamond" w:hAnsi="Garamond"/>
          <w:sz w:val="26"/>
          <w:szCs w:val="26"/>
        </w:rPr>
        <w:t>; c</w:t>
      </w:r>
      <w:r w:rsidRPr="00C27AE9">
        <w:rPr>
          <w:rFonts w:ascii="Garamond" w:hAnsi="Garamond"/>
          <w:sz w:val="26"/>
          <w:szCs w:val="26"/>
        </w:rPr>
        <w:t xml:space="preserve">on la </w:t>
      </w:r>
      <w:r w:rsidR="009F6101" w:rsidRPr="00C27AE9">
        <w:rPr>
          <w:rFonts w:ascii="Garamond" w:hAnsi="Garamond"/>
          <w:sz w:val="26"/>
          <w:szCs w:val="26"/>
        </w:rPr>
        <w:t xml:space="preserve">successiva </w:t>
      </w:r>
      <w:r w:rsidRPr="00C27AE9">
        <w:rPr>
          <w:rFonts w:ascii="Garamond" w:hAnsi="Garamond"/>
          <w:sz w:val="26"/>
          <w:szCs w:val="26"/>
        </w:rPr>
        <w:t>delibera</w:t>
      </w:r>
      <w:r w:rsidR="0078206E" w:rsidRPr="00C27AE9">
        <w:rPr>
          <w:rFonts w:ascii="Garamond" w:hAnsi="Garamond"/>
          <w:sz w:val="26"/>
          <w:szCs w:val="26"/>
        </w:rPr>
        <w:t>zione</w:t>
      </w:r>
      <w:r w:rsidRPr="00C27AE9">
        <w:rPr>
          <w:rFonts w:ascii="Garamond" w:hAnsi="Garamond"/>
          <w:sz w:val="26"/>
          <w:szCs w:val="26"/>
        </w:rPr>
        <w:t xml:space="preserve"> n. 389 del 2023</w:t>
      </w:r>
      <w:r w:rsidR="009F6101" w:rsidRPr="00C27AE9">
        <w:rPr>
          <w:rFonts w:ascii="Garamond" w:hAnsi="Garamond"/>
          <w:sz w:val="26"/>
          <w:szCs w:val="26"/>
        </w:rPr>
        <w:t>, in attuazione di quanto</w:t>
      </w:r>
      <w:r w:rsidR="0078206E" w:rsidRPr="00C27AE9">
        <w:rPr>
          <w:rFonts w:ascii="Garamond" w:hAnsi="Garamond"/>
          <w:sz w:val="26"/>
          <w:szCs w:val="26"/>
        </w:rPr>
        <w:t xml:space="preserve"> </w:t>
      </w:r>
      <w:r w:rsidR="009F6101" w:rsidRPr="00C27AE9">
        <w:rPr>
          <w:rFonts w:ascii="Garamond" w:hAnsi="Garamond"/>
          <w:sz w:val="26"/>
          <w:szCs w:val="26"/>
        </w:rPr>
        <w:t>stabilito nell’art. 8 della deliberazione n. 363/2021, ha approvato l’“</w:t>
      </w:r>
      <w:r w:rsidR="009F6101" w:rsidRPr="00C27AE9">
        <w:rPr>
          <w:rFonts w:ascii="Garamond" w:hAnsi="Garamond"/>
          <w:i/>
          <w:iCs/>
          <w:sz w:val="26"/>
          <w:szCs w:val="26"/>
        </w:rPr>
        <w:t>aggiornamento biennale (2024-2025) del metodo tariffario rifiuti (MTR-2)</w:t>
      </w:r>
      <w:r w:rsidR="009F6101" w:rsidRPr="00C27AE9">
        <w:rPr>
          <w:rFonts w:ascii="Garamond" w:hAnsi="Garamond"/>
          <w:sz w:val="26"/>
          <w:szCs w:val="26"/>
        </w:rPr>
        <w:t xml:space="preserve">” contenente la metodologia per l’aggiornamento delle tariffe, sulla base della quale i gestori e gli “organismi competenti” sono tenuti, rispettivamente, a presentare l’aggiornamento del PEF e a procedere alla sua validazione </w:t>
      </w:r>
      <w:r w:rsidRPr="00C27AE9">
        <w:rPr>
          <w:rFonts w:ascii="Garamond" w:hAnsi="Garamond"/>
          <w:sz w:val="26"/>
          <w:szCs w:val="26"/>
        </w:rPr>
        <w:t>per le annualità 2024 e 2025.</w:t>
      </w:r>
    </w:p>
    <w:p w14:paraId="7BCF2F35" w14:textId="61F709A4" w:rsidR="0078206E" w:rsidRPr="00C27AE9" w:rsidRDefault="00D7670C"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 </w:t>
      </w:r>
      <w:r w:rsidR="00B34E1F" w:rsidRPr="00C27AE9">
        <w:rPr>
          <w:rFonts w:ascii="Garamond" w:hAnsi="Garamond"/>
          <w:sz w:val="26"/>
          <w:szCs w:val="26"/>
        </w:rPr>
        <w:t xml:space="preserve">Da ultimo, </w:t>
      </w:r>
      <w:r w:rsidR="0078206E" w:rsidRPr="00C27AE9">
        <w:rPr>
          <w:rFonts w:ascii="Garamond" w:hAnsi="Garamond"/>
          <w:sz w:val="26"/>
          <w:szCs w:val="26"/>
        </w:rPr>
        <w:t>con deliberazione 05.08.2025 n. 397, ARERA ha approvato il "</w:t>
      </w:r>
      <w:r w:rsidR="0078206E" w:rsidRPr="00C27AE9">
        <w:rPr>
          <w:rFonts w:ascii="Garamond" w:hAnsi="Garamond"/>
          <w:i/>
          <w:iCs/>
          <w:sz w:val="26"/>
          <w:szCs w:val="26"/>
        </w:rPr>
        <w:t>metodo tariffario rifiuti (MTR-3) per il secondo periodo regolatorio 2026-2029</w:t>
      </w:r>
      <w:r w:rsidR="0078206E" w:rsidRPr="00C27AE9">
        <w:rPr>
          <w:rFonts w:ascii="Garamond" w:hAnsi="Garamond"/>
          <w:sz w:val="26"/>
          <w:szCs w:val="26"/>
        </w:rPr>
        <w:t>".</w:t>
      </w:r>
    </w:p>
    <w:p w14:paraId="07F1F94D" w14:textId="77777777" w:rsidR="00D7670C" w:rsidRPr="00C27AE9" w:rsidRDefault="00D777BE" w:rsidP="00D7670C">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Tale provvedimento conferma sostanzialmente la pregressa impostazione, ma apporta anche alcuni correttivi e introduce qualche aspetto di novità</w:t>
      </w:r>
      <w:r w:rsidR="008660FF" w:rsidRPr="00C27AE9">
        <w:rPr>
          <w:rFonts w:ascii="Garamond" w:hAnsi="Garamond"/>
          <w:sz w:val="26"/>
          <w:szCs w:val="26"/>
        </w:rPr>
        <w:t xml:space="preserve">, tra cui una più definita scansione delle tempistiche procedimentali e, per la prima volta, </w:t>
      </w:r>
      <w:r w:rsidR="00D10B22" w:rsidRPr="00C27AE9">
        <w:rPr>
          <w:rFonts w:ascii="Garamond" w:hAnsi="Garamond"/>
          <w:sz w:val="26"/>
          <w:szCs w:val="26"/>
        </w:rPr>
        <w:t xml:space="preserve">la previsione di </w:t>
      </w:r>
      <w:r w:rsidR="008660FF" w:rsidRPr="00C27AE9">
        <w:rPr>
          <w:rFonts w:ascii="Garamond" w:hAnsi="Garamond"/>
          <w:sz w:val="26"/>
          <w:szCs w:val="26"/>
        </w:rPr>
        <w:t>un termine espresso di 180 giorni entro il quale Arera deve approvare il pef trasmesso dall’ETC</w:t>
      </w:r>
      <w:r w:rsidR="00912647" w:rsidRPr="00C27AE9">
        <w:rPr>
          <w:rStyle w:val="Rimandonotaapidipagina"/>
          <w:rFonts w:ascii="Garamond" w:hAnsi="Garamond"/>
          <w:sz w:val="26"/>
          <w:szCs w:val="26"/>
        </w:rPr>
        <w:footnoteReference w:id="13"/>
      </w:r>
      <w:r w:rsidR="00D10B22" w:rsidRPr="00C27AE9">
        <w:rPr>
          <w:rFonts w:ascii="Garamond" w:hAnsi="Garamond"/>
          <w:sz w:val="26"/>
          <w:szCs w:val="26"/>
        </w:rPr>
        <w:t>.</w:t>
      </w:r>
      <w:r w:rsidR="00D7670C" w:rsidRPr="00C27AE9">
        <w:rPr>
          <w:rFonts w:ascii="Garamond" w:hAnsi="Garamond"/>
          <w:sz w:val="26"/>
          <w:szCs w:val="26"/>
        </w:rPr>
        <w:t xml:space="preserve"> </w:t>
      </w:r>
    </w:p>
    <w:p w14:paraId="39C7E70C" w14:textId="5C9294B0" w:rsidR="00D7670C" w:rsidRPr="00C27AE9" w:rsidRDefault="008660FF" w:rsidP="00D7670C">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lastRenderedPageBreak/>
        <w:t xml:space="preserve">L’art. </w:t>
      </w:r>
      <w:r w:rsidR="00D7670C" w:rsidRPr="00C27AE9">
        <w:rPr>
          <w:rFonts w:ascii="Garamond" w:hAnsi="Garamond"/>
          <w:sz w:val="26"/>
          <w:szCs w:val="26"/>
        </w:rPr>
        <w:t>4.5</w:t>
      </w:r>
      <w:r w:rsidR="00401178" w:rsidRPr="00C27AE9">
        <w:rPr>
          <w:rFonts w:ascii="Garamond" w:hAnsi="Garamond"/>
          <w:sz w:val="26"/>
          <w:szCs w:val="26"/>
        </w:rPr>
        <w:t xml:space="preserve"> </w:t>
      </w:r>
      <w:r w:rsidR="00D7670C" w:rsidRPr="00C27AE9">
        <w:rPr>
          <w:rFonts w:ascii="Garamond" w:hAnsi="Garamond"/>
          <w:sz w:val="26"/>
          <w:szCs w:val="26"/>
        </w:rPr>
        <w:t xml:space="preserve">del </w:t>
      </w:r>
      <w:r w:rsidRPr="00C27AE9">
        <w:rPr>
          <w:rFonts w:ascii="Garamond" w:hAnsi="Garamond"/>
          <w:sz w:val="26"/>
          <w:szCs w:val="26"/>
        </w:rPr>
        <w:t xml:space="preserve">MTR-3 ha </w:t>
      </w:r>
      <w:r w:rsidR="00443078" w:rsidRPr="00C27AE9">
        <w:rPr>
          <w:rFonts w:ascii="Garamond" w:hAnsi="Garamond"/>
          <w:sz w:val="26"/>
          <w:szCs w:val="26"/>
        </w:rPr>
        <w:t>ribadito</w:t>
      </w:r>
      <w:r w:rsidRPr="00C27AE9">
        <w:rPr>
          <w:rFonts w:ascii="Garamond" w:hAnsi="Garamond"/>
          <w:sz w:val="26"/>
          <w:szCs w:val="26"/>
        </w:rPr>
        <w:t xml:space="preserve"> la regola secondo cui nelle more dell’approvazione dell’Autorità si applicano, quali prezzi massimi del servizio, quelli transitoriamente determinati dall’ETC. </w:t>
      </w:r>
      <w:r w:rsidR="00D7670C" w:rsidRPr="00C27AE9">
        <w:rPr>
          <w:rFonts w:ascii="Garamond" w:hAnsi="Garamond"/>
          <w:sz w:val="26"/>
          <w:szCs w:val="26"/>
        </w:rPr>
        <w:t>È comunque possibile, in caso di equilibrio economico finanziario della gestione, applicare, con l’accordo del gestore, valori inferiori, indicando, con riferimento al piano economico finanziario, le componenti di costo ammissibili ai sensi della disciplina tariffaria che non si ritengono di coprire integralmente, al fine di verificare la coerenza con gli obiettivi definiti. Si assume vi sia accordo del gestore ove l’applicazione di valori inferiori rispetto a quelli risultanti dall’applicazione del MTR-3 soddisfi ambedue le seguenti condizioni:</w:t>
      </w:r>
    </w:p>
    <w:p w14:paraId="44F77939" w14:textId="77777777" w:rsidR="00D7670C" w:rsidRPr="00C27AE9" w:rsidRDefault="00D7670C" w:rsidP="00D7670C">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a) consenta di preservare eventuali efficienze nei costi derivanti dall’esperimento delle procedure ad evidenza pubblica;</w:t>
      </w:r>
    </w:p>
    <w:p w14:paraId="1625AD4E" w14:textId="2732DC9E" w:rsidR="00457B76" w:rsidRPr="00C27AE9" w:rsidRDefault="00D7670C" w:rsidP="0040117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b) corrisponda agli elementi oggetto dell’offerta economica di aggiudicazione delle medesime procedure.</w:t>
      </w:r>
      <w:r w:rsidR="00457B76" w:rsidRPr="00C27AE9">
        <w:rPr>
          <w:rFonts w:ascii="Garamond" w:hAnsi="Garamond"/>
          <w:sz w:val="26"/>
          <w:szCs w:val="26"/>
        </w:rPr>
        <w:t xml:space="preserve"> </w:t>
      </w:r>
    </w:p>
    <w:p w14:paraId="23DA78F6" w14:textId="3D782942" w:rsidR="00A364B4" w:rsidRPr="00C27AE9" w:rsidRDefault="00937E23" w:rsidP="00A364B4">
      <w:pPr>
        <w:pStyle w:val="Rientrocorpodeltesto"/>
        <w:widowControl w:val="0"/>
        <w:spacing w:after="0"/>
        <w:ind w:left="0" w:firstLine="454"/>
        <w:jc w:val="both"/>
        <w:rPr>
          <w:rFonts w:ascii="Garamond" w:hAnsi="Garamond"/>
          <w:i/>
          <w:iCs/>
          <w:sz w:val="26"/>
          <w:szCs w:val="26"/>
        </w:rPr>
      </w:pPr>
      <w:r w:rsidRPr="00C27AE9">
        <w:rPr>
          <w:rFonts w:ascii="Garamond" w:hAnsi="Garamond"/>
          <w:sz w:val="26"/>
          <w:szCs w:val="26"/>
        </w:rPr>
        <w:t>Sul</w:t>
      </w:r>
      <w:r w:rsidR="00A364B4" w:rsidRPr="00C27AE9">
        <w:rPr>
          <w:rFonts w:ascii="Garamond" w:hAnsi="Garamond"/>
          <w:sz w:val="26"/>
          <w:szCs w:val="26"/>
        </w:rPr>
        <w:t xml:space="preserve"> modo di relazionarsi</w:t>
      </w:r>
      <w:r w:rsidRPr="00C27AE9">
        <w:rPr>
          <w:rFonts w:ascii="Garamond" w:hAnsi="Garamond"/>
          <w:sz w:val="26"/>
          <w:szCs w:val="26"/>
        </w:rPr>
        <w:t>, menzionato in tale disposizione, tra la disc</w:t>
      </w:r>
      <w:r w:rsidR="00A364B4" w:rsidRPr="00C27AE9">
        <w:rPr>
          <w:rFonts w:ascii="Garamond" w:hAnsi="Garamond"/>
          <w:sz w:val="26"/>
          <w:szCs w:val="26"/>
        </w:rPr>
        <w:t>i</w:t>
      </w:r>
      <w:r w:rsidRPr="00C27AE9">
        <w:rPr>
          <w:rFonts w:ascii="Garamond" w:hAnsi="Garamond"/>
          <w:sz w:val="26"/>
          <w:szCs w:val="26"/>
        </w:rPr>
        <w:t>plina regolatoria</w:t>
      </w:r>
      <w:r w:rsidR="00A364B4" w:rsidRPr="00C27AE9">
        <w:rPr>
          <w:rFonts w:ascii="Garamond" w:hAnsi="Garamond"/>
          <w:sz w:val="26"/>
          <w:szCs w:val="26"/>
        </w:rPr>
        <w:t xml:space="preserve"> </w:t>
      </w:r>
      <w:r w:rsidRPr="00C27AE9">
        <w:rPr>
          <w:rFonts w:ascii="Garamond" w:hAnsi="Garamond"/>
          <w:sz w:val="26"/>
          <w:szCs w:val="26"/>
        </w:rPr>
        <w:t xml:space="preserve">e gli esiti </w:t>
      </w:r>
      <w:r w:rsidR="00A364B4" w:rsidRPr="00C27AE9">
        <w:rPr>
          <w:rFonts w:ascii="Garamond" w:hAnsi="Garamond"/>
          <w:sz w:val="26"/>
          <w:szCs w:val="26"/>
        </w:rPr>
        <w:t xml:space="preserve">delle procedure di gara, specie per quanto concerne la regolamentazione economica del rapporto di servizio, si tornerà </w:t>
      </w:r>
      <w:r w:rsidR="00A364B4" w:rsidRPr="00C27AE9">
        <w:rPr>
          <w:rFonts w:ascii="Garamond" w:hAnsi="Garamond"/>
          <w:i/>
          <w:iCs/>
          <w:sz w:val="26"/>
          <w:szCs w:val="26"/>
        </w:rPr>
        <w:t>infra</w:t>
      </w:r>
      <w:r w:rsidR="00A364B4" w:rsidRPr="00C27AE9">
        <w:rPr>
          <w:rFonts w:ascii="Garamond" w:hAnsi="Garamond"/>
          <w:sz w:val="26"/>
          <w:szCs w:val="26"/>
        </w:rPr>
        <w:t>.</w:t>
      </w:r>
    </w:p>
    <w:p w14:paraId="5F8F2505" w14:textId="76F35A0F" w:rsidR="00401178" w:rsidRPr="00C27AE9" w:rsidRDefault="00E428EE" w:rsidP="00A364B4">
      <w:pPr>
        <w:pStyle w:val="Rientrocorpodeltesto"/>
        <w:widowControl w:val="0"/>
        <w:spacing w:after="0"/>
        <w:ind w:left="0" w:firstLine="454"/>
        <w:jc w:val="both"/>
        <w:rPr>
          <w:rFonts w:ascii="Garamond" w:hAnsi="Garamond"/>
          <w:i/>
          <w:iCs/>
          <w:sz w:val="26"/>
          <w:szCs w:val="26"/>
        </w:rPr>
      </w:pPr>
      <w:r w:rsidRPr="00C27AE9">
        <w:rPr>
          <w:rFonts w:ascii="Garamond" w:hAnsi="Garamond"/>
          <w:sz w:val="26"/>
          <w:szCs w:val="26"/>
        </w:rPr>
        <w:t xml:space="preserve">Occorre qui </w:t>
      </w:r>
      <w:r w:rsidR="00A364B4" w:rsidRPr="00C27AE9">
        <w:rPr>
          <w:rFonts w:ascii="Garamond" w:hAnsi="Garamond"/>
          <w:sz w:val="26"/>
          <w:szCs w:val="26"/>
        </w:rPr>
        <w:t>rimarcare che i</w:t>
      </w:r>
      <w:r w:rsidR="00937E23" w:rsidRPr="00C27AE9">
        <w:rPr>
          <w:rFonts w:ascii="Garamond" w:hAnsi="Garamond"/>
          <w:sz w:val="26"/>
          <w:szCs w:val="26"/>
        </w:rPr>
        <w:t xml:space="preserve"> </w:t>
      </w:r>
      <w:r w:rsidR="00401178" w:rsidRPr="00C27AE9">
        <w:rPr>
          <w:rFonts w:ascii="Garamond" w:hAnsi="Garamond"/>
          <w:sz w:val="26"/>
          <w:szCs w:val="26"/>
        </w:rPr>
        <w:t>provvedimenti richiamati</w:t>
      </w:r>
      <w:r w:rsidR="00937E23" w:rsidRPr="00C27AE9">
        <w:rPr>
          <w:rFonts w:ascii="Garamond" w:hAnsi="Garamond"/>
          <w:sz w:val="26"/>
          <w:szCs w:val="26"/>
        </w:rPr>
        <w:t xml:space="preserve"> sono espressione de</w:t>
      </w:r>
      <w:r w:rsidR="00401178" w:rsidRPr="00C27AE9">
        <w:rPr>
          <w:rFonts w:ascii="Garamond" w:hAnsi="Garamond"/>
          <w:sz w:val="26"/>
          <w:szCs w:val="26"/>
        </w:rPr>
        <w:t xml:space="preserve">i poteri di cd. regolazione tariffaria </w:t>
      </w:r>
      <w:r w:rsidR="00A364B4" w:rsidRPr="00C27AE9">
        <w:rPr>
          <w:rFonts w:ascii="Garamond" w:hAnsi="Garamond"/>
          <w:sz w:val="26"/>
          <w:szCs w:val="26"/>
        </w:rPr>
        <w:t xml:space="preserve">espressamente devoluti </w:t>
      </w:r>
      <w:r w:rsidR="00937E23" w:rsidRPr="00C27AE9">
        <w:rPr>
          <w:rFonts w:ascii="Garamond" w:hAnsi="Garamond"/>
          <w:sz w:val="26"/>
          <w:szCs w:val="26"/>
        </w:rPr>
        <w:t>ad ARERA</w:t>
      </w:r>
      <w:r w:rsidR="0006718D" w:rsidRPr="00C27AE9">
        <w:rPr>
          <w:rFonts w:ascii="Garamond" w:hAnsi="Garamond"/>
          <w:sz w:val="26"/>
          <w:szCs w:val="26"/>
        </w:rPr>
        <w:t xml:space="preserve"> </w:t>
      </w:r>
      <w:r w:rsidR="00401178" w:rsidRPr="00C27AE9">
        <w:rPr>
          <w:rFonts w:ascii="Garamond" w:hAnsi="Garamond"/>
          <w:sz w:val="26"/>
          <w:szCs w:val="26"/>
        </w:rPr>
        <w:t>dall’art. 1 co. 527 l.n. 2025/2017</w:t>
      </w:r>
      <w:r w:rsidRPr="00C27AE9">
        <w:rPr>
          <w:rFonts w:ascii="Garamond" w:hAnsi="Garamond"/>
          <w:sz w:val="26"/>
          <w:szCs w:val="26"/>
        </w:rPr>
        <w:t>.</w:t>
      </w:r>
    </w:p>
    <w:p w14:paraId="3C8C4826" w14:textId="745B2EF1" w:rsidR="00FE68C8" w:rsidRPr="00C27AE9" w:rsidRDefault="00937E23" w:rsidP="00937E23">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Detta</w:t>
      </w:r>
      <w:r w:rsidR="00457B76" w:rsidRPr="00C27AE9">
        <w:rPr>
          <w:rFonts w:ascii="Garamond" w:hAnsi="Garamond"/>
          <w:sz w:val="26"/>
          <w:szCs w:val="26"/>
        </w:rPr>
        <w:t xml:space="preserve"> tipologia </w:t>
      </w:r>
      <w:r w:rsidR="0006718D" w:rsidRPr="00C27AE9">
        <w:rPr>
          <w:rFonts w:ascii="Garamond" w:hAnsi="Garamond"/>
          <w:sz w:val="26"/>
          <w:szCs w:val="26"/>
        </w:rPr>
        <w:t xml:space="preserve">di </w:t>
      </w:r>
      <w:r w:rsidR="00457B76" w:rsidRPr="00C27AE9">
        <w:rPr>
          <w:rFonts w:ascii="Garamond" w:hAnsi="Garamond"/>
          <w:sz w:val="26"/>
          <w:szCs w:val="26"/>
        </w:rPr>
        <w:t>regola</w:t>
      </w:r>
      <w:r w:rsidR="0006718D" w:rsidRPr="00C27AE9">
        <w:rPr>
          <w:rFonts w:ascii="Garamond" w:hAnsi="Garamond"/>
          <w:sz w:val="26"/>
          <w:szCs w:val="26"/>
        </w:rPr>
        <w:t>zione</w:t>
      </w:r>
      <w:r w:rsidR="00457B76" w:rsidRPr="00C27AE9">
        <w:rPr>
          <w:rFonts w:ascii="Garamond" w:hAnsi="Garamond"/>
          <w:sz w:val="26"/>
          <w:szCs w:val="26"/>
        </w:rPr>
        <w:t xml:space="preserve"> </w:t>
      </w:r>
      <w:r w:rsidRPr="00C27AE9">
        <w:rPr>
          <w:rFonts w:ascii="Garamond" w:hAnsi="Garamond"/>
          <w:sz w:val="26"/>
          <w:szCs w:val="26"/>
        </w:rPr>
        <w:t xml:space="preserve">è </w:t>
      </w:r>
      <w:r w:rsidR="00457B76" w:rsidRPr="00C27AE9">
        <w:rPr>
          <w:rFonts w:ascii="Garamond" w:hAnsi="Garamond"/>
          <w:sz w:val="26"/>
          <w:szCs w:val="26"/>
        </w:rPr>
        <w:t xml:space="preserve">volta a definire un sistema </w:t>
      </w:r>
      <w:r w:rsidR="00E549E6" w:rsidRPr="00C27AE9">
        <w:rPr>
          <w:rFonts w:ascii="Garamond" w:hAnsi="Garamond"/>
          <w:sz w:val="26"/>
          <w:szCs w:val="26"/>
        </w:rPr>
        <w:t xml:space="preserve">(metodo) </w:t>
      </w:r>
      <w:r w:rsidR="00457B76" w:rsidRPr="00C27AE9">
        <w:rPr>
          <w:rFonts w:ascii="Garamond" w:hAnsi="Garamond"/>
          <w:sz w:val="26"/>
          <w:szCs w:val="26"/>
        </w:rPr>
        <w:t xml:space="preserve">tariffario certo, trasparente e basato su criteri di riconoscimento di costi efficienti del servizio, </w:t>
      </w:r>
      <w:r w:rsidR="00E549E6" w:rsidRPr="00C27AE9">
        <w:rPr>
          <w:rFonts w:ascii="Garamond" w:hAnsi="Garamond"/>
          <w:sz w:val="26"/>
          <w:szCs w:val="26"/>
        </w:rPr>
        <w:t>al tempo stesso di natura incentivante, diretto cioè a prevenire il pericolo di un trasferimento sull’utenza di eventuali inefficienze aziendali</w:t>
      </w:r>
      <w:r w:rsidR="00457B76" w:rsidRPr="00C27AE9">
        <w:rPr>
          <w:rFonts w:ascii="Garamond" w:hAnsi="Garamond"/>
          <w:sz w:val="26"/>
          <w:szCs w:val="26"/>
        </w:rPr>
        <w:t>.</w:t>
      </w:r>
    </w:p>
    <w:p w14:paraId="451E1DCD" w14:textId="6F9B1C90" w:rsidR="007F54A9" w:rsidRPr="00C27AE9" w:rsidRDefault="00937E23" w:rsidP="00FB1D25">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Più in particolare, come osservato in dottrina, </w:t>
      </w:r>
      <w:r w:rsidR="00457B76" w:rsidRPr="00C27AE9">
        <w:rPr>
          <w:rFonts w:ascii="Garamond" w:hAnsi="Garamond"/>
          <w:sz w:val="26"/>
          <w:szCs w:val="26"/>
        </w:rPr>
        <w:t>la regolazione tariffaria</w:t>
      </w:r>
      <w:r w:rsidR="00587979" w:rsidRPr="00C27AE9">
        <w:rPr>
          <w:rFonts w:ascii="Garamond" w:hAnsi="Garamond"/>
          <w:sz w:val="26"/>
          <w:szCs w:val="26"/>
        </w:rPr>
        <w:t xml:space="preserve"> </w:t>
      </w:r>
      <w:r w:rsidR="00457B76" w:rsidRPr="00C27AE9">
        <w:rPr>
          <w:rFonts w:ascii="Garamond" w:hAnsi="Garamond"/>
          <w:sz w:val="26"/>
          <w:szCs w:val="26"/>
        </w:rPr>
        <w:t>si occupa di disciplinare “</w:t>
      </w:r>
      <w:r w:rsidR="00457B76" w:rsidRPr="00C27AE9">
        <w:rPr>
          <w:rFonts w:ascii="Garamond" w:hAnsi="Garamond"/>
          <w:i/>
          <w:iCs/>
          <w:sz w:val="26"/>
          <w:szCs w:val="26"/>
        </w:rPr>
        <w:t xml:space="preserve">i corrispettivi da riconoscersi ai gestori e ai prezzi da applicare agli utenti (art. 1 comma 527, lett. f) e g) legge n. 205/2017 e legge n. 481/1995) con riguardo (…) ai servizi in privativa (raccolta e trasporto fino all’avvio al trattamento </w:t>
      </w:r>
      <w:r w:rsidR="00FE68C8" w:rsidRPr="00C27AE9">
        <w:rPr>
          <w:rFonts w:ascii="Garamond" w:hAnsi="Garamond"/>
          <w:i/>
          <w:iCs/>
          <w:sz w:val="26"/>
          <w:szCs w:val="26"/>
        </w:rPr>
        <w:t>(…)</w:t>
      </w:r>
      <w:r w:rsidR="00FE68C8" w:rsidRPr="00C27AE9">
        <w:rPr>
          <w:rFonts w:ascii="Garamond" w:hAnsi="Garamond"/>
          <w:sz w:val="26"/>
          <w:szCs w:val="26"/>
        </w:rPr>
        <w:t>”</w:t>
      </w:r>
      <w:r w:rsidR="00587979" w:rsidRPr="00C27AE9">
        <w:rPr>
          <w:rStyle w:val="Rimandonotaapidipagina"/>
          <w:rFonts w:ascii="Garamond" w:hAnsi="Garamond"/>
          <w:sz w:val="26"/>
          <w:szCs w:val="26"/>
        </w:rPr>
        <w:footnoteReference w:id="14"/>
      </w:r>
      <w:r w:rsidR="00587979" w:rsidRPr="00C27AE9">
        <w:rPr>
          <w:rFonts w:ascii="Garamond" w:hAnsi="Garamond"/>
          <w:sz w:val="26"/>
          <w:szCs w:val="26"/>
        </w:rPr>
        <w:t>.</w:t>
      </w:r>
    </w:p>
    <w:p w14:paraId="36210FEA" w14:textId="610C1977" w:rsidR="00673C62" w:rsidRPr="00C27AE9" w:rsidRDefault="00A364B4"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C</w:t>
      </w:r>
      <w:r w:rsidR="007F54A9" w:rsidRPr="00C27AE9">
        <w:rPr>
          <w:rFonts w:ascii="Garamond" w:hAnsi="Garamond"/>
          <w:sz w:val="26"/>
          <w:szCs w:val="26"/>
        </w:rPr>
        <w:t>hiarit</w:t>
      </w:r>
      <w:r w:rsidRPr="00C27AE9">
        <w:rPr>
          <w:rFonts w:ascii="Garamond" w:hAnsi="Garamond"/>
          <w:sz w:val="26"/>
          <w:szCs w:val="26"/>
        </w:rPr>
        <w:t>a la funzione della regolazione tariffaria e con essa</w:t>
      </w:r>
      <w:r w:rsidR="007F54A9" w:rsidRPr="00C27AE9">
        <w:rPr>
          <w:rFonts w:ascii="Garamond" w:hAnsi="Garamond"/>
          <w:sz w:val="26"/>
          <w:szCs w:val="26"/>
        </w:rPr>
        <w:t xml:space="preserve"> il ruolo dell’ARERA quale regolatore nazionale nella materia, </w:t>
      </w:r>
      <w:r w:rsidR="00E145FF" w:rsidRPr="00C27AE9">
        <w:rPr>
          <w:rFonts w:ascii="Garamond" w:hAnsi="Garamond"/>
          <w:sz w:val="26"/>
          <w:szCs w:val="26"/>
        </w:rPr>
        <w:t xml:space="preserve">può delinearsi il </w:t>
      </w:r>
      <w:r w:rsidR="007F54A9" w:rsidRPr="00C27AE9">
        <w:rPr>
          <w:rFonts w:ascii="Garamond" w:hAnsi="Garamond"/>
          <w:sz w:val="26"/>
          <w:szCs w:val="26"/>
        </w:rPr>
        <w:t xml:space="preserve">ruolo </w:t>
      </w:r>
      <w:r w:rsidR="00E145FF" w:rsidRPr="00C27AE9">
        <w:rPr>
          <w:rFonts w:ascii="Garamond" w:hAnsi="Garamond"/>
          <w:sz w:val="26"/>
          <w:szCs w:val="26"/>
        </w:rPr>
        <w:t xml:space="preserve">che </w:t>
      </w:r>
      <w:r w:rsidR="00CD1301" w:rsidRPr="00C27AE9">
        <w:rPr>
          <w:rFonts w:ascii="Garamond" w:hAnsi="Garamond"/>
          <w:sz w:val="26"/>
          <w:szCs w:val="26"/>
        </w:rPr>
        <w:t xml:space="preserve">a loro volta </w:t>
      </w:r>
      <w:r w:rsidR="00E145FF" w:rsidRPr="00C27AE9">
        <w:rPr>
          <w:rFonts w:ascii="Garamond" w:hAnsi="Garamond"/>
          <w:sz w:val="26"/>
          <w:szCs w:val="26"/>
        </w:rPr>
        <w:t xml:space="preserve">svolgono </w:t>
      </w:r>
      <w:r w:rsidR="007F54A9" w:rsidRPr="00C27AE9">
        <w:rPr>
          <w:rFonts w:ascii="Garamond" w:hAnsi="Garamond"/>
          <w:sz w:val="26"/>
          <w:szCs w:val="26"/>
        </w:rPr>
        <w:t>gli Enti territorialmente competenti (ETC)</w:t>
      </w:r>
      <w:r w:rsidR="009B68E2" w:rsidRPr="00C27AE9">
        <w:rPr>
          <w:rStyle w:val="Rimandonotaapidipagina"/>
          <w:rFonts w:ascii="Garamond" w:hAnsi="Garamond"/>
          <w:sz w:val="26"/>
          <w:szCs w:val="26"/>
        </w:rPr>
        <w:footnoteReference w:id="15"/>
      </w:r>
      <w:r w:rsidR="007F54A9" w:rsidRPr="00C27AE9">
        <w:rPr>
          <w:rFonts w:ascii="Garamond" w:hAnsi="Garamond"/>
          <w:sz w:val="26"/>
          <w:szCs w:val="26"/>
        </w:rPr>
        <w:t>.</w:t>
      </w:r>
    </w:p>
    <w:p w14:paraId="1FB2E0FD" w14:textId="77777777" w:rsidR="006E45F3" w:rsidRPr="00C27AE9" w:rsidRDefault="007F54A9" w:rsidP="006E45F3">
      <w:pPr>
        <w:pStyle w:val="Rientrocorpodeltesto"/>
        <w:widowControl w:val="0"/>
        <w:spacing w:after="0"/>
        <w:ind w:left="0" w:firstLine="454"/>
        <w:jc w:val="both"/>
        <w:rPr>
          <w:rFonts w:ascii="Garamond" w:eastAsia="Arial" w:hAnsi="Garamond" w:cs="Arial"/>
          <w:color w:val="000000"/>
          <w:sz w:val="26"/>
          <w:szCs w:val="26"/>
        </w:rPr>
      </w:pPr>
      <w:r w:rsidRPr="00C27AE9">
        <w:rPr>
          <w:rFonts w:ascii="Garamond" w:hAnsi="Garamond"/>
          <w:sz w:val="26"/>
          <w:szCs w:val="26"/>
        </w:rPr>
        <w:t xml:space="preserve">Al riguardo, </w:t>
      </w:r>
      <w:r w:rsidRPr="00C27AE9">
        <w:rPr>
          <w:rFonts w:ascii="Garamond" w:eastAsia="Arial" w:hAnsi="Garamond" w:cs="Arial"/>
          <w:color w:val="000000"/>
          <w:sz w:val="26"/>
          <w:szCs w:val="26"/>
        </w:rPr>
        <w:t xml:space="preserve">la giurisprudenza ha da tempo evidenziato che </w:t>
      </w:r>
      <w:bookmarkStart w:id="0" w:name="OLE_LINK2"/>
      <w:r w:rsidRPr="00C27AE9">
        <w:rPr>
          <w:rFonts w:ascii="Garamond" w:eastAsia="Arial" w:hAnsi="Garamond" w:cs="Arial"/>
          <w:color w:val="000000"/>
          <w:sz w:val="26"/>
          <w:szCs w:val="26"/>
        </w:rPr>
        <w:t>«</w:t>
      </w:r>
      <w:r w:rsidRPr="00C27AE9">
        <w:rPr>
          <w:rFonts w:ascii="Garamond" w:eastAsia="Arial" w:hAnsi="Garamond" w:cs="Arial"/>
          <w:i/>
          <w:iCs/>
          <w:color w:val="000000"/>
          <w:sz w:val="26"/>
          <w:szCs w:val="26"/>
        </w:rPr>
        <w:t>laddove la gestione del servizio sia stata organizzata a livello di ambito, l’ente competente per l’organizzazione del servizio (…) soggiace alla disciplina regolatoria secondo il paradigma dettato dall’art. 1 comma 527 della legge 2017 n. 205. La regolazione introdotta integra, unitamente alla normativa di riferimento, la cornice entro la quale si esplicano le attribuzioni degli Enti locali</w:t>
      </w:r>
      <w:r w:rsidRPr="00C27AE9">
        <w:rPr>
          <w:rFonts w:ascii="Garamond" w:eastAsia="Arial" w:hAnsi="Garamond" w:cs="Arial"/>
          <w:color w:val="000000"/>
          <w:sz w:val="26"/>
          <w:szCs w:val="26"/>
        </w:rPr>
        <w:t>»</w:t>
      </w:r>
      <w:bookmarkEnd w:id="0"/>
      <w:r w:rsidRPr="00C27AE9">
        <w:rPr>
          <w:rFonts w:ascii="Garamond" w:eastAsia="Arial" w:hAnsi="Garamond" w:cs="Arial"/>
          <w:color w:val="000000"/>
          <w:sz w:val="26"/>
          <w:szCs w:val="26"/>
        </w:rPr>
        <w:t>.</w:t>
      </w:r>
      <w:r w:rsidRPr="00C27AE9">
        <w:rPr>
          <w:rStyle w:val="Rimandonotaapidipagina"/>
          <w:rFonts w:ascii="Garamond" w:eastAsia="Arial" w:hAnsi="Garamond" w:cs="Arial"/>
          <w:color w:val="000000"/>
          <w:sz w:val="26"/>
          <w:szCs w:val="26"/>
        </w:rPr>
        <w:footnoteReference w:id="16"/>
      </w:r>
    </w:p>
    <w:p w14:paraId="366DB9FD" w14:textId="2249F5DC" w:rsidR="006E45F3" w:rsidRPr="00C27AE9" w:rsidRDefault="00B91929" w:rsidP="006E45F3">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lastRenderedPageBreak/>
        <w:t xml:space="preserve">L’ETC, dunque, è deputato ad applicare e far osservare i criteri tariffari rivenienti dalla regolazione ARERA, presidiando la salvaguardia dei principi regolatori del MTR e degli interessi pubblici alla cui tutela tale disciplina </w:t>
      </w:r>
      <w:r w:rsidR="00E428EE" w:rsidRPr="00C27AE9">
        <w:rPr>
          <w:rFonts w:ascii="Garamond" w:hAnsi="Garamond"/>
          <w:sz w:val="26"/>
          <w:szCs w:val="26"/>
        </w:rPr>
        <w:t xml:space="preserve">è </w:t>
      </w:r>
      <w:r w:rsidRPr="00C27AE9">
        <w:rPr>
          <w:rFonts w:ascii="Garamond" w:hAnsi="Garamond"/>
          <w:sz w:val="26"/>
          <w:szCs w:val="26"/>
        </w:rPr>
        <w:t>appositamente pre</w:t>
      </w:r>
      <w:r w:rsidR="00E428EE" w:rsidRPr="00C27AE9">
        <w:rPr>
          <w:rFonts w:ascii="Garamond" w:hAnsi="Garamond"/>
          <w:sz w:val="26"/>
          <w:szCs w:val="26"/>
        </w:rPr>
        <w:t>posta</w:t>
      </w:r>
      <w:r w:rsidRPr="00C27AE9">
        <w:rPr>
          <w:rFonts w:ascii="Garamond" w:hAnsi="Garamond"/>
          <w:sz w:val="26"/>
          <w:szCs w:val="26"/>
        </w:rPr>
        <w:t>.</w:t>
      </w:r>
    </w:p>
    <w:p w14:paraId="3841AD3A" w14:textId="14AFBB2C" w:rsidR="006E45F3" w:rsidRPr="00C27AE9" w:rsidRDefault="006E45F3" w:rsidP="006E45F3">
      <w:pPr>
        <w:pStyle w:val="Rientrocorpodeltesto"/>
        <w:widowControl w:val="0"/>
        <w:spacing w:after="0"/>
        <w:ind w:left="0" w:firstLine="454"/>
        <w:jc w:val="both"/>
        <w:rPr>
          <w:rFonts w:ascii="Garamond" w:eastAsia="Arial" w:hAnsi="Garamond" w:cs="Arial"/>
          <w:color w:val="000000"/>
          <w:sz w:val="26"/>
          <w:szCs w:val="26"/>
        </w:rPr>
      </w:pPr>
      <w:r w:rsidRPr="00C27AE9">
        <w:rPr>
          <w:rFonts w:ascii="Garamond" w:hAnsi="Garamond"/>
          <w:sz w:val="26"/>
          <w:szCs w:val="26"/>
        </w:rPr>
        <w:t xml:space="preserve"> In forza del suesposto quadro normativo di riferimento e della conseguente disciplina regolatoria del MTR, all’ETC secondo la citata disciplina, sono quindi affidate le seguenti principali competenze:</w:t>
      </w:r>
    </w:p>
    <w:p w14:paraId="552032EF" w14:textId="540F4238" w:rsidR="006E45F3" w:rsidRPr="00C27AE9" w:rsidRDefault="006E45F3" w:rsidP="006E45F3">
      <w:pPr>
        <w:pStyle w:val="Rientrocorpodeltesto"/>
        <w:widowControl w:val="0"/>
        <w:spacing w:after="0"/>
        <w:ind w:left="0" w:firstLine="454"/>
        <w:jc w:val="both"/>
        <w:rPr>
          <w:rFonts w:ascii="Garamond" w:eastAsia="Arial" w:hAnsi="Garamond" w:cs="Arial"/>
          <w:color w:val="000000"/>
          <w:sz w:val="26"/>
          <w:szCs w:val="26"/>
        </w:rPr>
      </w:pPr>
      <w:r w:rsidRPr="00C27AE9">
        <w:rPr>
          <w:rFonts w:ascii="Garamond" w:hAnsi="Garamond"/>
          <w:sz w:val="26"/>
          <w:szCs w:val="26"/>
        </w:rPr>
        <w:t>a) adozione delle determinazioni tariffarie, che devono poi essere trasmesse all’ARERA per la loro definitiva approvazione, secondo quanto disposto dall’art. 1 co. 527, lett. h, l.n. 205/2017; in via transitoria, sino all’approvazione da parte dell’Autorità, si applicano, quali prezzi massimi, i corrispettivi determinati dall’ETC;</w:t>
      </w:r>
    </w:p>
    <w:p w14:paraId="11875AB2" w14:textId="7A3D12A6" w:rsidR="006E45F3" w:rsidRPr="00C27AE9" w:rsidRDefault="006E45F3" w:rsidP="006E45F3">
      <w:pPr>
        <w:pStyle w:val="Rientrocorpodeltesto"/>
        <w:widowControl w:val="0"/>
        <w:spacing w:after="0"/>
        <w:ind w:left="0" w:firstLine="454"/>
        <w:jc w:val="both"/>
        <w:rPr>
          <w:rFonts w:ascii="Garamond" w:eastAsia="Arial" w:hAnsi="Garamond" w:cs="Arial"/>
          <w:color w:val="000000"/>
          <w:sz w:val="26"/>
          <w:szCs w:val="26"/>
        </w:rPr>
      </w:pPr>
      <w:r w:rsidRPr="00C27AE9">
        <w:rPr>
          <w:rFonts w:ascii="Garamond" w:hAnsi="Garamond"/>
          <w:sz w:val="26"/>
          <w:szCs w:val="26"/>
        </w:rPr>
        <w:t>b) aggiornamento biennale della predisposizione tariffaria e conseguente trasmissione ad ARERA per la relativa approvazione.</w:t>
      </w:r>
    </w:p>
    <w:p w14:paraId="4567C01A" w14:textId="4FFC8510" w:rsidR="00094088" w:rsidRPr="00C27AE9" w:rsidRDefault="006E45F3" w:rsidP="006E45F3">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Al riguardo, il Consiglio di Stato ha evidenziato che </w:t>
      </w:r>
      <w:r w:rsidR="00AD2121" w:rsidRPr="00C27AE9">
        <w:rPr>
          <w:rFonts w:ascii="Garamond" w:eastAsia="Arial" w:hAnsi="Garamond" w:cs="Arial"/>
          <w:color w:val="000000"/>
          <w:sz w:val="26"/>
          <w:szCs w:val="26"/>
        </w:rPr>
        <w:t>«</w:t>
      </w:r>
      <w:r w:rsidRPr="00C27AE9">
        <w:rPr>
          <w:rFonts w:ascii="Garamond" w:hAnsi="Garamond"/>
          <w:i/>
          <w:iCs/>
          <w:sz w:val="26"/>
          <w:szCs w:val="26"/>
        </w:rPr>
        <w:t xml:space="preserve">l’ETC ha un </w:t>
      </w:r>
      <w:bookmarkStart w:id="1" w:name="OLE_LINK6"/>
      <w:r w:rsidRPr="00C27AE9">
        <w:rPr>
          <w:rFonts w:ascii="Garamond" w:hAnsi="Garamond"/>
          <w:i/>
          <w:iCs/>
          <w:sz w:val="26"/>
          <w:szCs w:val="26"/>
        </w:rPr>
        <w:t>ruolo determinante nella determinazione dei parametri per la predisposizione delle tariffe in base al MTR-2(…)</w:t>
      </w:r>
      <w:r w:rsidR="000B1F18" w:rsidRPr="00C27AE9">
        <w:rPr>
          <w:rFonts w:ascii="Garamond" w:hAnsi="Garamond"/>
          <w:i/>
          <w:iCs/>
          <w:sz w:val="26"/>
          <w:szCs w:val="26"/>
        </w:rPr>
        <w:t>;</w:t>
      </w:r>
      <w:r w:rsidRPr="00C27AE9">
        <w:rPr>
          <w:rFonts w:ascii="Garamond" w:hAnsi="Garamond"/>
          <w:i/>
          <w:iCs/>
          <w:sz w:val="26"/>
          <w:szCs w:val="26"/>
        </w:rPr>
        <w:t xml:space="preserve"> </w:t>
      </w:r>
      <w:r w:rsidR="000B1F18" w:rsidRPr="00C27AE9">
        <w:rPr>
          <w:rFonts w:ascii="Garamond" w:hAnsi="Garamond"/>
          <w:i/>
          <w:iCs/>
          <w:sz w:val="26"/>
          <w:szCs w:val="26"/>
        </w:rPr>
        <w:t xml:space="preserve">è l’ETC che </w:t>
      </w:r>
      <w:r w:rsidRPr="00C27AE9">
        <w:rPr>
          <w:rFonts w:ascii="Garamond" w:hAnsi="Garamond"/>
          <w:i/>
          <w:iCs/>
          <w:sz w:val="26"/>
          <w:szCs w:val="26"/>
        </w:rPr>
        <w:t>valida il piano economico – finanziario del gestore</w:t>
      </w:r>
      <w:r w:rsidR="000B1F18" w:rsidRPr="00C27AE9">
        <w:rPr>
          <w:rFonts w:ascii="Garamond" w:hAnsi="Garamond"/>
          <w:i/>
          <w:iCs/>
          <w:sz w:val="26"/>
          <w:szCs w:val="26"/>
        </w:rPr>
        <w:t xml:space="preserve"> (…) e verifica l’equilibrio economico finanziario del gestore</w:t>
      </w:r>
      <w:r w:rsidRPr="00C27AE9">
        <w:rPr>
          <w:rFonts w:ascii="Garamond" w:hAnsi="Garamond"/>
          <w:sz w:val="26"/>
          <w:szCs w:val="26"/>
        </w:rPr>
        <w:t xml:space="preserve">”; </w:t>
      </w:r>
      <w:r w:rsidR="000B1F18" w:rsidRPr="00C27AE9">
        <w:rPr>
          <w:rFonts w:ascii="Garamond" w:hAnsi="Garamond"/>
          <w:sz w:val="26"/>
          <w:szCs w:val="26"/>
        </w:rPr>
        <w:t xml:space="preserve">(…) </w:t>
      </w:r>
      <w:r w:rsidRPr="00C27AE9">
        <w:rPr>
          <w:rFonts w:ascii="Garamond" w:hAnsi="Garamond"/>
          <w:i/>
          <w:iCs/>
          <w:sz w:val="26"/>
          <w:szCs w:val="26"/>
        </w:rPr>
        <w:t>l’Ente territoriale è quindi il soggetto deputato dall’ordinamento alla predisposizione concreta delle tariffe” e svolge quindi “un ruolo fondamentale nella validazione dei piani economico-finanziari dei gestori dei servizi</w:t>
      </w:r>
      <w:r w:rsidR="000B1F18" w:rsidRPr="00C27AE9">
        <w:rPr>
          <w:rFonts w:ascii="Garamond" w:hAnsi="Garamond"/>
          <w:i/>
          <w:iCs/>
          <w:sz w:val="26"/>
          <w:szCs w:val="26"/>
        </w:rPr>
        <w:t xml:space="preserve"> e nella determinazione dei costi riconosciuti</w:t>
      </w:r>
      <w:r w:rsidR="00AD2121" w:rsidRPr="00C27AE9">
        <w:rPr>
          <w:rFonts w:ascii="Garamond" w:eastAsia="Arial" w:hAnsi="Garamond" w:cs="Arial"/>
          <w:color w:val="000000"/>
          <w:sz w:val="26"/>
          <w:szCs w:val="26"/>
        </w:rPr>
        <w:t>»</w:t>
      </w:r>
      <w:bookmarkEnd w:id="1"/>
      <w:r w:rsidRPr="00C27AE9">
        <w:rPr>
          <w:rStyle w:val="Rimandonotaapidipagina"/>
          <w:rFonts w:ascii="Garamond" w:hAnsi="Garamond"/>
          <w:sz w:val="26"/>
          <w:szCs w:val="26"/>
        </w:rPr>
        <w:footnoteReference w:id="17"/>
      </w:r>
      <w:r w:rsidRPr="00C27AE9">
        <w:rPr>
          <w:rFonts w:ascii="Garamond" w:hAnsi="Garamond"/>
          <w:sz w:val="26"/>
          <w:szCs w:val="26"/>
        </w:rPr>
        <w:t>.</w:t>
      </w:r>
    </w:p>
    <w:p w14:paraId="0C3421A0" w14:textId="06925D26" w:rsidR="00094088" w:rsidRPr="00C27AE9" w:rsidRDefault="00094088" w:rsidP="007F54A9">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Tali compiti sono pienamente coerenti con le attribuzioni riconosciute agli enti affidanti </w:t>
      </w:r>
      <w:r w:rsidR="004C6F4C" w:rsidRPr="00C27AE9">
        <w:rPr>
          <w:rFonts w:ascii="Garamond" w:hAnsi="Garamond"/>
          <w:sz w:val="26"/>
          <w:szCs w:val="26"/>
        </w:rPr>
        <w:t xml:space="preserve">in materia di “tariffe” </w:t>
      </w:r>
      <w:r w:rsidRPr="00C27AE9">
        <w:rPr>
          <w:rFonts w:ascii="Garamond" w:hAnsi="Garamond"/>
          <w:sz w:val="26"/>
          <w:szCs w:val="26"/>
        </w:rPr>
        <w:t xml:space="preserve">dall’art. 26 </w:t>
      </w:r>
      <w:r w:rsidR="001835BA" w:rsidRPr="00C27AE9">
        <w:rPr>
          <w:rFonts w:ascii="Garamond" w:hAnsi="Garamond"/>
          <w:sz w:val="26"/>
          <w:szCs w:val="26"/>
        </w:rPr>
        <w:t>d</w:t>
      </w:r>
      <w:r w:rsidRPr="00C27AE9">
        <w:rPr>
          <w:rFonts w:ascii="Garamond" w:hAnsi="Garamond"/>
          <w:sz w:val="26"/>
          <w:szCs w:val="26"/>
        </w:rPr>
        <w:t>el D.lgs n. 201 del 2022, il quale</w:t>
      </w:r>
      <w:r w:rsidR="00E145FF" w:rsidRPr="00C27AE9">
        <w:rPr>
          <w:rFonts w:ascii="Garamond" w:hAnsi="Garamond"/>
          <w:sz w:val="26"/>
          <w:szCs w:val="26"/>
        </w:rPr>
        <w:t xml:space="preserve"> in ogni caso</w:t>
      </w:r>
      <w:r w:rsidRPr="00C27AE9">
        <w:rPr>
          <w:rFonts w:ascii="Garamond" w:hAnsi="Garamond"/>
          <w:sz w:val="26"/>
          <w:szCs w:val="26"/>
        </w:rPr>
        <w:t xml:space="preserve"> fa espressamente salve “</w:t>
      </w:r>
      <w:r w:rsidRPr="00C27AE9">
        <w:rPr>
          <w:rFonts w:ascii="Garamond" w:hAnsi="Garamond"/>
          <w:i/>
          <w:iCs/>
          <w:sz w:val="26"/>
          <w:szCs w:val="26"/>
        </w:rPr>
        <w:t>le competenze delle autorità di regolazione e le disposizioni contenute nelle norme di settore</w:t>
      </w:r>
      <w:r w:rsidRPr="00C27AE9">
        <w:rPr>
          <w:rFonts w:ascii="Garamond" w:hAnsi="Garamond"/>
          <w:sz w:val="26"/>
          <w:szCs w:val="26"/>
        </w:rPr>
        <w:t>”.</w:t>
      </w:r>
    </w:p>
    <w:p w14:paraId="2C73F510" w14:textId="2A1D413B" w:rsidR="0090346A" w:rsidRPr="00C27AE9" w:rsidRDefault="0090346A" w:rsidP="0090346A">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In tal senso, si è significativamente affermato che </w:t>
      </w:r>
      <w:bookmarkStart w:id="2" w:name="OLE_LINK3"/>
      <w:r w:rsidR="00AD2121" w:rsidRPr="00C27AE9">
        <w:rPr>
          <w:rFonts w:ascii="Garamond" w:eastAsia="Arial" w:hAnsi="Garamond" w:cs="Arial"/>
          <w:color w:val="000000"/>
          <w:sz w:val="26"/>
          <w:szCs w:val="26"/>
        </w:rPr>
        <w:t>«</w:t>
      </w:r>
      <w:r w:rsidRPr="00C27AE9">
        <w:rPr>
          <w:rFonts w:ascii="Garamond" w:hAnsi="Garamond"/>
          <w:i/>
          <w:iCs/>
          <w:sz w:val="26"/>
          <w:szCs w:val="26"/>
        </w:rPr>
        <w:t>la recente normativa (d.lgs n. 201/2022) sembra attribuire agli enti di governo d’ambito la natura di autorità di regolazione locale</w:t>
      </w:r>
      <w:r w:rsidR="000B1F18" w:rsidRPr="00C27AE9">
        <w:rPr>
          <w:rFonts w:ascii="Garamond" w:hAnsi="Garamond"/>
          <w:i/>
          <w:iCs/>
          <w:sz w:val="26"/>
          <w:szCs w:val="26"/>
        </w:rPr>
        <w:t xml:space="preserve"> (…). Si può quindi sostenere che (…) vi sia un passaggio pieno all’Ente di governo delle funzioni relative alle dinamiche gestionali e finanziarie della gestione del servizio dei rifiuti</w:t>
      </w:r>
      <w:bookmarkEnd w:id="2"/>
      <w:r w:rsidR="00AD2121" w:rsidRPr="00C27AE9">
        <w:rPr>
          <w:rFonts w:ascii="Garamond" w:eastAsia="Arial" w:hAnsi="Garamond" w:cs="Arial"/>
          <w:color w:val="000000"/>
          <w:sz w:val="26"/>
          <w:szCs w:val="26"/>
        </w:rPr>
        <w:t>»</w:t>
      </w:r>
      <w:r w:rsidRPr="00C27AE9">
        <w:rPr>
          <w:rStyle w:val="Rimandonotaapidipagina"/>
          <w:rFonts w:ascii="Garamond" w:hAnsi="Garamond"/>
          <w:sz w:val="26"/>
          <w:szCs w:val="26"/>
        </w:rPr>
        <w:footnoteReference w:id="18"/>
      </w:r>
      <w:r w:rsidRPr="00C27AE9">
        <w:rPr>
          <w:rFonts w:ascii="Garamond" w:hAnsi="Garamond"/>
          <w:sz w:val="26"/>
          <w:szCs w:val="26"/>
        </w:rPr>
        <w:t>.</w:t>
      </w:r>
    </w:p>
    <w:p w14:paraId="4503C73E" w14:textId="68383AC4" w:rsidR="001835BA" w:rsidRPr="00C27AE9" w:rsidRDefault="000B1F18" w:rsidP="0090346A">
      <w:pPr>
        <w:pStyle w:val="Rientrocorpodeltesto"/>
        <w:widowControl w:val="0"/>
        <w:spacing w:after="0"/>
        <w:ind w:left="0" w:firstLine="454"/>
        <w:jc w:val="both"/>
        <w:rPr>
          <w:rFonts w:ascii="Garamond" w:eastAsia="Arial" w:hAnsi="Garamond" w:cs="Arial"/>
          <w:color w:val="000000"/>
          <w:sz w:val="26"/>
          <w:szCs w:val="26"/>
        </w:rPr>
      </w:pPr>
      <w:bookmarkStart w:id="3" w:name="OLE_LINK4"/>
      <w:r w:rsidRPr="00C27AE9">
        <w:rPr>
          <w:rFonts w:ascii="Garamond" w:hAnsi="Garamond"/>
          <w:sz w:val="26"/>
          <w:szCs w:val="26"/>
        </w:rPr>
        <w:t xml:space="preserve">Sul punto </w:t>
      </w:r>
      <w:r w:rsidR="004C6F4C" w:rsidRPr="00C27AE9">
        <w:rPr>
          <w:rFonts w:ascii="Garamond" w:hAnsi="Garamond"/>
          <w:sz w:val="26"/>
          <w:szCs w:val="26"/>
        </w:rPr>
        <w:t>è</w:t>
      </w:r>
      <w:r w:rsidRPr="00C27AE9">
        <w:rPr>
          <w:rFonts w:ascii="Garamond" w:hAnsi="Garamond"/>
          <w:sz w:val="26"/>
          <w:szCs w:val="26"/>
        </w:rPr>
        <w:t xml:space="preserve"> concorde a</w:t>
      </w:r>
      <w:r w:rsidR="0090346A" w:rsidRPr="00C27AE9">
        <w:rPr>
          <w:rFonts w:ascii="Garamond" w:hAnsi="Garamond"/>
          <w:sz w:val="26"/>
          <w:szCs w:val="26"/>
        </w:rPr>
        <w:t xml:space="preserve">nche </w:t>
      </w:r>
      <w:r w:rsidR="0090346A" w:rsidRPr="00C27AE9">
        <w:rPr>
          <w:rFonts w:ascii="Garamond" w:eastAsia="Arial" w:hAnsi="Garamond" w:cs="Arial"/>
          <w:color w:val="000000"/>
          <w:sz w:val="26"/>
          <w:szCs w:val="26"/>
        </w:rPr>
        <w:t>l</w:t>
      </w:r>
      <w:r w:rsidR="001835BA" w:rsidRPr="00C27AE9">
        <w:rPr>
          <w:rFonts w:ascii="Garamond" w:eastAsia="Arial" w:hAnsi="Garamond" w:cs="Arial"/>
          <w:color w:val="000000"/>
          <w:sz w:val="26"/>
          <w:szCs w:val="26"/>
        </w:rPr>
        <w:t xml:space="preserve">a dottrina, </w:t>
      </w:r>
      <w:r w:rsidR="004C6F4C" w:rsidRPr="00C27AE9">
        <w:rPr>
          <w:rFonts w:ascii="Garamond" w:eastAsia="Arial" w:hAnsi="Garamond" w:cs="Arial"/>
          <w:color w:val="000000"/>
          <w:sz w:val="26"/>
          <w:szCs w:val="26"/>
        </w:rPr>
        <w:t>ch</w:t>
      </w:r>
      <w:r w:rsidRPr="00C27AE9">
        <w:rPr>
          <w:rFonts w:ascii="Garamond" w:eastAsia="Arial" w:hAnsi="Garamond" w:cs="Arial"/>
          <w:color w:val="000000"/>
          <w:sz w:val="26"/>
          <w:szCs w:val="26"/>
        </w:rPr>
        <w:t xml:space="preserve">e </w:t>
      </w:r>
      <w:r w:rsidR="001835BA" w:rsidRPr="00C27AE9">
        <w:rPr>
          <w:rFonts w:ascii="Garamond" w:eastAsia="Arial" w:hAnsi="Garamond" w:cs="Arial"/>
          <w:color w:val="000000"/>
          <w:sz w:val="26"/>
          <w:szCs w:val="26"/>
        </w:rPr>
        <w:t xml:space="preserve">ha evidenziato come il D.lgs n. 201/2022 abbia </w:t>
      </w:r>
      <w:r w:rsidR="00267F57" w:rsidRPr="00C27AE9">
        <w:rPr>
          <w:rFonts w:ascii="Garamond" w:eastAsia="Arial" w:hAnsi="Garamond" w:cs="Arial"/>
          <w:color w:val="000000"/>
          <w:sz w:val="26"/>
          <w:szCs w:val="26"/>
        </w:rPr>
        <w:t xml:space="preserve">persino </w:t>
      </w:r>
      <w:r w:rsidR="001835BA" w:rsidRPr="00C27AE9">
        <w:rPr>
          <w:rFonts w:ascii="Garamond" w:eastAsia="Arial" w:hAnsi="Garamond" w:cs="Arial"/>
          <w:color w:val="000000"/>
          <w:sz w:val="26"/>
          <w:szCs w:val="26"/>
        </w:rPr>
        <w:t>accentuato il ruolo degli enti di governo d’ambito come “regolatori locali”</w:t>
      </w:r>
      <w:r w:rsidR="00267F57" w:rsidRPr="00C27AE9">
        <w:rPr>
          <w:rFonts w:ascii="Garamond" w:eastAsia="Arial" w:hAnsi="Garamond" w:cs="Arial"/>
          <w:color w:val="000000"/>
          <w:sz w:val="26"/>
          <w:szCs w:val="26"/>
        </w:rPr>
        <w:t>, sottolineandone “</w:t>
      </w:r>
      <w:r w:rsidR="00267F57" w:rsidRPr="00C27AE9">
        <w:rPr>
          <w:rFonts w:ascii="Garamond" w:eastAsia="Arial" w:hAnsi="Garamond" w:cs="Arial"/>
          <w:i/>
          <w:iCs/>
          <w:color w:val="000000"/>
          <w:sz w:val="26"/>
          <w:szCs w:val="26"/>
        </w:rPr>
        <w:t>la netta alterità rispetto ai Comuni in essi ricompresi</w:t>
      </w:r>
      <w:bookmarkEnd w:id="3"/>
      <w:r w:rsidR="00267F57" w:rsidRPr="00C27AE9">
        <w:rPr>
          <w:rFonts w:ascii="Garamond" w:eastAsia="Arial" w:hAnsi="Garamond" w:cs="Arial"/>
          <w:color w:val="000000"/>
          <w:sz w:val="26"/>
          <w:szCs w:val="26"/>
        </w:rPr>
        <w:t>”</w:t>
      </w:r>
      <w:r w:rsidR="008206DD" w:rsidRPr="00C27AE9">
        <w:rPr>
          <w:rStyle w:val="Rimandonotaapidipagina"/>
          <w:rFonts w:ascii="Garamond" w:eastAsia="Arial" w:hAnsi="Garamond" w:cs="Arial"/>
          <w:color w:val="000000"/>
          <w:sz w:val="26"/>
          <w:szCs w:val="26"/>
        </w:rPr>
        <w:footnoteReference w:id="19"/>
      </w:r>
      <w:r w:rsidR="007D22AD" w:rsidRPr="00C27AE9">
        <w:rPr>
          <w:rFonts w:ascii="Garamond" w:eastAsia="Arial" w:hAnsi="Garamond" w:cs="Arial"/>
          <w:color w:val="000000"/>
          <w:sz w:val="26"/>
          <w:szCs w:val="26"/>
        </w:rPr>
        <w:t>.</w:t>
      </w:r>
    </w:p>
    <w:p w14:paraId="75690768" w14:textId="52785B09" w:rsidR="007D22AD" w:rsidRPr="00C27AE9" w:rsidRDefault="007D22AD" w:rsidP="0090346A">
      <w:pPr>
        <w:pStyle w:val="Rientrocorpodeltesto"/>
        <w:widowControl w:val="0"/>
        <w:spacing w:after="0"/>
        <w:ind w:left="0" w:firstLine="454"/>
        <w:jc w:val="both"/>
        <w:rPr>
          <w:rFonts w:ascii="Garamond" w:eastAsia="Arial" w:hAnsi="Garamond" w:cs="Arial"/>
          <w:color w:val="000000"/>
          <w:sz w:val="26"/>
          <w:szCs w:val="26"/>
        </w:rPr>
      </w:pPr>
      <w:r w:rsidRPr="00C27AE9">
        <w:rPr>
          <w:rFonts w:ascii="Garamond" w:eastAsia="Arial" w:hAnsi="Garamond" w:cs="Arial"/>
          <w:color w:val="000000"/>
          <w:sz w:val="26"/>
          <w:szCs w:val="26"/>
        </w:rPr>
        <w:t xml:space="preserve">La giurisprudenza si è poi </w:t>
      </w:r>
      <w:r w:rsidR="000B70E8" w:rsidRPr="00C27AE9">
        <w:rPr>
          <w:rFonts w:ascii="Garamond" w:eastAsia="Arial" w:hAnsi="Garamond" w:cs="Arial"/>
          <w:color w:val="000000"/>
          <w:sz w:val="26"/>
          <w:szCs w:val="26"/>
        </w:rPr>
        <w:t xml:space="preserve">pronunciata </w:t>
      </w:r>
      <w:r w:rsidRPr="00C27AE9">
        <w:rPr>
          <w:rFonts w:ascii="Garamond" w:eastAsia="Arial" w:hAnsi="Garamond" w:cs="Arial"/>
          <w:color w:val="000000"/>
          <w:sz w:val="26"/>
          <w:szCs w:val="26"/>
        </w:rPr>
        <w:t xml:space="preserve">anche sul potere degli ETC di stabilire, con la determinazioni tariffarie, “i prezzi massimi del servizio” da applicare </w:t>
      </w:r>
      <w:r w:rsidR="00E549E6" w:rsidRPr="00C27AE9">
        <w:rPr>
          <w:rFonts w:ascii="Garamond" w:eastAsia="Arial" w:hAnsi="Garamond" w:cs="Arial"/>
          <w:color w:val="000000"/>
          <w:sz w:val="26"/>
          <w:szCs w:val="26"/>
        </w:rPr>
        <w:t xml:space="preserve">temporaneamente </w:t>
      </w:r>
      <w:r w:rsidRPr="00C27AE9">
        <w:rPr>
          <w:rFonts w:ascii="Garamond" w:eastAsia="Arial" w:hAnsi="Garamond" w:cs="Arial"/>
          <w:color w:val="000000"/>
          <w:sz w:val="26"/>
          <w:szCs w:val="26"/>
        </w:rPr>
        <w:t>fino a che non intervenga l’approvazione finale del PEF da parte di Arera</w:t>
      </w:r>
      <w:r w:rsidR="00C76E8B" w:rsidRPr="00C27AE9">
        <w:rPr>
          <w:rFonts w:ascii="Garamond" w:eastAsia="Arial" w:hAnsi="Garamond" w:cs="Arial"/>
          <w:color w:val="000000"/>
          <w:sz w:val="26"/>
          <w:szCs w:val="26"/>
        </w:rPr>
        <w:t xml:space="preserve">; </w:t>
      </w:r>
      <w:r w:rsidR="00E549E6" w:rsidRPr="00C27AE9">
        <w:rPr>
          <w:rFonts w:ascii="Garamond" w:eastAsia="Arial" w:hAnsi="Garamond" w:cs="Arial"/>
          <w:color w:val="000000"/>
          <w:sz w:val="26"/>
          <w:szCs w:val="26"/>
        </w:rPr>
        <w:t xml:space="preserve">in sede giudiziaria, infatti, un appaltatore aveva impugnato </w:t>
      </w:r>
      <w:r w:rsidR="00C76E8B" w:rsidRPr="00C27AE9">
        <w:rPr>
          <w:rFonts w:ascii="Garamond" w:eastAsia="Arial" w:hAnsi="Garamond" w:cs="Arial"/>
          <w:color w:val="000000"/>
          <w:sz w:val="26"/>
          <w:szCs w:val="26"/>
        </w:rPr>
        <w:t>la norma che lo prevede (art. 7.8 MTR-2</w:t>
      </w:r>
      <w:r w:rsidR="000B70E8" w:rsidRPr="00C27AE9">
        <w:rPr>
          <w:rFonts w:ascii="Garamond" w:eastAsia="Arial" w:hAnsi="Garamond" w:cs="Arial"/>
          <w:color w:val="000000"/>
          <w:sz w:val="26"/>
          <w:szCs w:val="26"/>
        </w:rPr>
        <w:t>, ora art. 7.14 MTR-3</w:t>
      </w:r>
      <w:r w:rsidR="00C76E8B" w:rsidRPr="00C27AE9">
        <w:rPr>
          <w:rFonts w:ascii="Garamond" w:eastAsia="Arial" w:hAnsi="Garamond" w:cs="Arial"/>
          <w:color w:val="000000"/>
          <w:sz w:val="26"/>
          <w:szCs w:val="26"/>
        </w:rPr>
        <w:t xml:space="preserve">) </w:t>
      </w:r>
      <w:r w:rsidR="00E549E6" w:rsidRPr="00C27AE9">
        <w:rPr>
          <w:rFonts w:ascii="Garamond" w:eastAsia="Arial" w:hAnsi="Garamond" w:cs="Arial"/>
          <w:color w:val="000000"/>
          <w:sz w:val="26"/>
          <w:szCs w:val="26"/>
        </w:rPr>
        <w:t xml:space="preserve">asserendo che la stessa </w:t>
      </w:r>
      <w:r w:rsidR="00C76E8B" w:rsidRPr="00C27AE9">
        <w:rPr>
          <w:rFonts w:ascii="Garamond" w:eastAsia="Arial" w:hAnsi="Garamond" w:cs="Arial"/>
          <w:color w:val="000000"/>
          <w:sz w:val="26"/>
          <w:szCs w:val="26"/>
        </w:rPr>
        <w:t>avrebbe configurato una</w:t>
      </w:r>
      <w:r w:rsidR="00155906">
        <w:rPr>
          <w:rFonts w:ascii="Garamond" w:eastAsia="Arial" w:hAnsi="Garamond" w:cs="Arial"/>
          <w:color w:val="000000"/>
          <w:sz w:val="26"/>
          <w:szCs w:val="26"/>
        </w:rPr>
        <w:t xml:space="preserve"> delega </w:t>
      </w:r>
      <w:r w:rsidR="00C76E8B" w:rsidRPr="00C27AE9">
        <w:rPr>
          <w:rFonts w:ascii="Garamond" w:eastAsia="Arial" w:hAnsi="Garamond" w:cs="Arial"/>
          <w:color w:val="000000"/>
          <w:sz w:val="26"/>
          <w:szCs w:val="26"/>
        </w:rPr>
        <w:t xml:space="preserve">illegittima </w:t>
      </w:r>
      <w:r w:rsidR="00155906">
        <w:rPr>
          <w:rFonts w:ascii="Garamond" w:eastAsia="Arial" w:hAnsi="Garamond" w:cs="Arial"/>
          <w:color w:val="000000"/>
          <w:sz w:val="26"/>
          <w:szCs w:val="26"/>
        </w:rPr>
        <w:t>perché</w:t>
      </w:r>
      <w:r w:rsidR="00C76E8B" w:rsidRPr="00C27AE9">
        <w:rPr>
          <w:rFonts w:ascii="Garamond" w:eastAsia="Arial" w:hAnsi="Garamond" w:cs="Arial"/>
          <w:color w:val="000000"/>
          <w:sz w:val="26"/>
          <w:szCs w:val="26"/>
        </w:rPr>
        <w:t xml:space="preserve"> ex lege non prevista di poteri e funzioni da parte di Arera all’Ente territorialmente competente.</w:t>
      </w:r>
    </w:p>
    <w:p w14:paraId="4E3A218E" w14:textId="09834D35" w:rsidR="007D22AD" w:rsidRPr="00C27AE9" w:rsidRDefault="00B84362" w:rsidP="0090346A">
      <w:pPr>
        <w:pStyle w:val="Rientrocorpodeltesto"/>
        <w:widowControl w:val="0"/>
        <w:spacing w:after="0"/>
        <w:ind w:left="0" w:firstLine="454"/>
        <w:jc w:val="both"/>
        <w:rPr>
          <w:rFonts w:ascii="Garamond" w:hAnsi="Garamond"/>
          <w:sz w:val="26"/>
          <w:szCs w:val="26"/>
        </w:rPr>
      </w:pPr>
      <w:r w:rsidRPr="00C27AE9">
        <w:rPr>
          <w:rFonts w:ascii="Garamond" w:eastAsia="Arial" w:hAnsi="Garamond" w:cs="Arial"/>
          <w:color w:val="000000"/>
          <w:sz w:val="26"/>
          <w:szCs w:val="26"/>
        </w:rPr>
        <w:t>I</w:t>
      </w:r>
      <w:r w:rsidR="007D22AD" w:rsidRPr="00C27AE9">
        <w:rPr>
          <w:rFonts w:ascii="Garamond" w:eastAsia="Arial" w:hAnsi="Garamond" w:cs="Arial"/>
          <w:color w:val="000000"/>
          <w:sz w:val="26"/>
          <w:szCs w:val="26"/>
        </w:rPr>
        <w:t xml:space="preserve">l </w:t>
      </w:r>
      <w:r w:rsidR="00E549E6" w:rsidRPr="00C27AE9">
        <w:rPr>
          <w:rFonts w:ascii="Garamond" w:eastAsia="Arial" w:hAnsi="Garamond" w:cs="Arial"/>
          <w:color w:val="000000"/>
          <w:sz w:val="26"/>
          <w:szCs w:val="26"/>
        </w:rPr>
        <w:t xml:space="preserve">TAR </w:t>
      </w:r>
      <w:r w:rsidR="009E272E">
        <w:rPr>
          <w:rFonts w:ascii="Garamond" w:eastAsia="Arial" w:hAnsi="Garamond" w:cs="Arial"/>
          <w:color w:val="000000"/>
          <w:sz w:val="26"/>
          <w:szCs w:val="26"/>
        </w:rPr>
        <w:t xml:space="preserve">Lombardia non </w:t>
      </w:r>
      <w:r w:rsidR="007D22AD" w:rsidRPr="00C27AE9">
        <w:rPr>
          <w:rFonts w:ascii="Garamond" w:eastAsia="Arial" w:hAnsi="Garamond" w:cs="Arial"/>
          <w:color w:val="000000"/>
          <w:sz w:val="26"/>
          <w:szCs w:val="26"/>
        </w:rPr>
        <w:t xml:space="preserve">ha </w:t>
      </w:r>
      <w:r w:rsidR="009E272E">
        <w:rPr>
          <w:rFonts w:ascii="Garamond" w:eastAsia="Arial" w:hAnsi="Garamond" w:cs="Arial"/>
          <w:color w:val="000000"/>
          <w:sz w:val="26"/>
          <w:szCs w:val="26"/>
        </w:rPr>
        <w:t>però aderito a</w:t>
      </w:r>
      <w:r w:rsidRPr="00C27AE9">
        <w:rPr>
          <w:rFonts w:ascii="Garamond" w:eastAsia="Arial" w:hAnsi="Garamond" w:cs="Arial"/>
          <w:color w:val="000000"/>
          <w:sz w:val="26"/>
          <w:szCs w:val="26"/>
        </w:rPr>
        <w:t xml:space="preserve"> tale tesi, </w:t>
      </w:r>
      <w:r w:rsidR="007D22AD" w:rsidRPr="00C27AE9">
        <w:rPr>
          <w:rFonts w:ascii="Garamond" w:eastAsia="Arial" w:hAnsi="Garamond" w:cs="Arial"/>
          <w:color w:val="000000"/>
          <w:sz w:val="26"/>
          <w:szCs w:val="26"/>
        </w:rPr>
        <w:t>afferma</w:t>
      </w:r>
      <w:r w:rsidRPr="00C27AE9">
        <w:rPr>
          <w:rFonts w:ascii="Garamond" w:eastAsia="Arial" w:hAnsi="Garamond" w:cs="Arial"/>
          <w:color w:val="000000"/>
          <w:sz w:val="26"/>
          <w:szCs w:val="26"/>
        </w:rPr>
        <w:t>ndo</w:t>
      </w:r>
      <w:r w:rsidR="007D22AD" w:rsidRPr="00C27AE9">
        <w:rPr>
          <w:rFonts w:ascii="Garamond" w:eastAsia="Arial" w:hAnsi="Garamond" w:cs="Arial"/>
          <w:color w:val="000000"/>
          <w:sz w:val="26"/>
          <w:szCs w:val="26"/>
        </w:rPr>
        <w:t xml:space="preserve"> che </w:t>
      </w:r>
      <w:r w:rsidR="004C6F4C" w:rsidRPr="00C27AE9">
        <w:rPr>
          <w:rFonts w:ascii="Garamond" w:eastAsia="Arial" w:hAnsi="Garamond" w:cs="Arial"/>
          <w:color w:val="000000"/>
          <w:sz w:val="26"/>
          <w:szCs w:val="26"/>
        </w:rPr>
        <w:t xml:space="preserve">il potere contestato </w:t>
      </w:r>
      <w:r w:rsidRPr="00C27AE9">
        <w:rPr>
          <w:rFonts w:ascii="Garamond" w:eastAsia="Arial" w:hAnsi="Garamond" w:cs="Arial"/>
          <w:color w:val="000000"/>
          <w:sz w:val="26"/>
          <w:szCs w:val="26"/>
        </w:rPr>
        <w:t>«</w:t>
      </w:r>
      <w:r w:rsidRPr="00C27AE9">
        <w:rPr>
          <w:rFonts w:ascii="Garamond" w:eastAsia="Arial" w:hAnsi="Garamond" w:cs="Arial"/>
          <w:i/>
          <w:iCs/>
          <w:color w:val="000000"/>
          <w:sz w:val="26"/>
          <w:szCs w:val="26"/>
        </w:rPr>
        <w:t>non costituisce l’esercizio di un potere autonomo di ARERA, implicito od esplicito, bensì il riconoscimento della titolarità della funzione in capo agli enti locali</w:t>
      </w:r>
      <w:r w:rsidRPr="00C27AE9">
        <w:rPr>
          <w:rFonts w:ascii="Garamond" w:eastAsia="Arial" w:hAnsi="Garamond" w:cs="Arial"/>
          <w:color w:val="000000"/>
          <w:sz w:val="26"/>
          <w:szCs w:val="26"/>
        </w:rPr>
        <w:t>»; invece, «</w:t>
      </w:r>
      <w:r w:rsidR="00C76E8B" w:rsidRPr="00C27AE9">
        <w:rPr>
          <w:rFonts w:ascii="Garamond" w:eastAsia="Arial" w:hAnsi="Garamond" w:cs="Arial"/>
          <w:i/>
          <w:iCs/>
          <w:color w:val="000000"/>
          <w:sz w:val="26"/>
          <w:szCs w:val="26"/>
        </w:rPr>
        <w:t xml:space="preserve">In tale ambito l’approvazione di ARERA assume il valore di ultimo atto di un procedimento complesso con funzioni di controllo del rispetto del metodo prefissato. La natura di atto di controllo si desume direttamente dall’art. 1 comma 527 della l. 27 dicembre 2017 n. 205 che qualifica i poteri dell’ARERA come </w:t>
      </w:r>
      <w:r w:rsidR="00C76E8B" w:rsidRPr="00C27AE9">
        <w:rPr>
          <w:rFonts w:ascii="Garamond" w:eastAsia="Arial" w:hAnsi="Garamond" w:cs="Arial"/>
          <w:i/>
          <w:iCs/>
          <w:color w:val="000000"/>
          <w:sz w:val="26"/>
          <w:szCs w:val="26"/>
        </w:rPr>
        <w:lastRenderedPageBreak/>
        <w:t>“funzioni di regolazione e di controllo”</w:t>
      </w:r>
      <w:r w:rsidR="007D22AD" w:rsidRPr="00C27AE9">
        <w:rPr>
          <w:rFonts w:ascii="Garamond" w:hAnsi="Garamond"/>
          <w:sz w:val="26"/>
          <w:szCs w:val="26"/>
        </w:rPr>
        <w:t>»</w:t>
      </w:r>
      <w:r w:rsidRPr="00C27AE9">
        <w:rPr>
          <w:rStyle w:val="Rimandonotaapidipagina"/>
          <w:rFonts w:ascii="Garamond" w:hAnsi="Garamond"/>
          <w:sz w:val="26"/>
          <w:szCs w:val="26"/>
        </w:rPr>
        <w:footnoteReference w:id="20"/>
      </w:r>
      <w:r w:rsidR="004959BE" w:rsidRPr="00C27AE9">
        <w:rPr>
          <w:rFonts w:ascii="Garamond" w:hAnsi="Garamond"/>
          <w:sz w:val="26"/>
          <w:szCs w:val="26"/>
        </w:rPr>
        <w:t>.</w:t>
      </w:r>
    </w:p>
    <w:p w14:paraId="6B401D95" w14:textId="77777777" w:rsidR="004C6F4C" w:rsidRPr="00C27AE9" w:rsidRDefault="004C6F4C" w:rsidP="00AD2DDF">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Va detto però che l</w:t>
      </w:r>
      <w:r w:rsidR="004959BE" w:rsidRPr="00C27AE9">
        <w:rPr>
          <w:rFonts w:ascii="Garamond" w:hAnsi="Garamond"/>
          <w:sz w:val="26"/>
          <w:szCs w:val="26"/>
        </w:rPr>
        <w:t xml:space="preserve">a qualificazione dei provvedimenti di Arera di approvazione dei pef </w:t>
      </w:r>
      <w:r w:rsidRPr="00C27AE9">
        <w:rPr>
          <w:rFonts w:ascii="Garamond" w:hAnsi="Garamond"/>
          <w:sz w:val="26"/>
          <w:szCs w:val="26"/>
        </w:rPr>
        <w:t xml:space="preserve">come </w:t>
      </w:r>
      <w:r w:rsidR="006E18DB" w:rsidRPr="00C27AE9">
        <w:rPr>
          <w:rFonts w:ascii="Garamond" w:hAnsi="Garamond"/>
          <w:sz w:val="26"/>
          <w:szCs w:val="26"/>
        </w:rPr>
        <w:t xml:space="preserve">atti di controllo non è unanimemente condivisa. </w:t>
      </w:r>
    </w:p>
    <w:p w14:paraId="30E75BCC" w14:textId="3A5D3B82" w:rsidR="004502F4" w:rsidRPr="00C27AE9" w:rsidRDefault="006E18DB" w:rsidP="00AD2DDF">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Il </w:t>
      </w:r>
      <w:r w:rsidR="004959BE" w:rsidRPr="00C27AE9">
        <w:rPr>
          <w:rFonts w:ascii="Garamond" w:hAnsi="Garamond"/>
          <w:sz w:val="26"/>
          <w:szCs w:val="26"/>
        </w:rPr>
        <w:t>C</w:t>
      </w:r>
      <w:r w:rsidRPr="00C27AE9">
        <w:rPr>
          <w:rFonts w:ascii="Garamond" w:hAnsi="Garamond"/>
          <w:sz w:val="26"/>
          <w:szCs w:val="26"/>
        </w:rPr>
        <w:t xml:space="preserve">onsiglio di Stato, ad es., in </w:t>
      </w:r>
      <w:r w:rsidR="0054399D" w:rsidRPr="00C27AE9">
        <w:rPr>
          <w:rFonts w:ascii="Garamond" w:hAnsi="Garamond"/>
          <w:sz w:val="26"/>
          <w:szCs w:val="26"/>
        </w:rPr>
        <w:t>alcune</w:t>
      </w:r>
      <w:r w:rsidRPr="00C27AE9">
        <w:rPr>
          <w:rFonts w:ascii="Garamond" w:hAnsi="Garamond"/>
          <w:sz w:val="26"/>
          <w:szCs w:val="26"/>
        </w:rPr>
        <w:t xml:space="preserve"> recent</w:t>
      </w:r>
      <w:r w:rsidR="0054399D" w:rsidRPr="00C27AE9">
        <w:rPr>
          <w:rFonts w:ascii="Garamond" w:hAnsi="Garamond"/>
          <w:sz w:val="26"/>
          <w:szCs w:val="26"/>
        </w:rPr>
        <w:t>i</w:t>
      </w:r>
      <w:r w:rsidRPr="00C27AE9">
        <w:rPr>
          <w:rFonts w:ascii="Garamond" w:hAnsi="Garamond"/>
          <w:sz w:val="26"/>
          <w:szCs w:val="26"/>
        </w:rPr>
        <w:t xml:space="preserve"> pronunc</w:t>
      </w:r>
      <w:r w:rsidR="0054399D" w:rsidRPr="00C27AE9">
        <w:rPr>
          <w:rFonts w:ascii="Garamond" w:hAnsi="Garamond"/>
          <w:sz w:val="26"/>
          <w:szCs w:val="26"/>
        </w:rPr>
        <w:t>e</w:t>
      </w:r>
      <w:r w:rsidRPr="00C27AE9">
        <w:rPr>
          <w:rFonts w:ascii="Garamond" w:hAnsi="Garamond"/>
          <w:sz w:val="26"/>
          <w:szCs w:val="26"/>
        </w:rPr>
        <w:t xml:space="preserve">, ha affermato che </w:t>
      </w:r>
      <w:r w:rsidR="00AD2121" w:rsidRPr="00C27AE9">
        <w:rPr>
          <w:rFonts w:ascii="Garamond" w:eastAsia="Arial" w:hAnsi="Garamond" w:cs="Arial"/>
          <w:color w:val="000000"/>
          <w:sz w:val="26"/>
          <w:szCs w:val="26"/>
        </w:rPr>
        <w:t>«</w:t>
      </w:r>
      <w:r w:rsidRPr="00C27AE9">
        <w:rPr>
          <w:rFonts w:ascii="Garamond" w:hAnsi="Garamond"/>
          <w:i/>
          <w:iCs/>
          <w:sz w:val="26"/>
          <w:szCs w:val="26"/>
        </w:rPr>
        <w:t>la qualificazione dell’intervento dell’ARERA come atto di controllo non è pertinente ai suoi poteri specifici di intervento sul PEF, dato che esso (…) non si concreta in una passiva ricezione dei costi esposti, ma comporta un intervento attivo su di essi per promuovere una maggiore efficienza del sistema</w:t>
      </w:r>
      <w:r w:rsidR="00AD2121" w:rsidRPr="00C27AE9">
        <w:rPr>
          <w:rFonts w:ascii="Garamond" w:hAnsi="Garamond"/>
          <w:sz w:val="26"/>
          <w:szCs w:val="26"/>
        </w:rPr>
        <w:t>»</w:t>
      </w:r>
      <w:r w:rsidRPr="00C27AE9">
        <w:rPr>
          <w:rStyle w:val="Rimandonotaapidipagina"/>
          <w:rFonts w:ascii="Garamond" w:hAnsi="Garamond"/>
          <w:sz w:val="26"/>
          <w:szCs w:val="26"/>
        </w:rPr>
        <w:footnoteReference w:id="21"/>
      </w:r>
      <w:r w:rsidRPr="00C27AE9">
        <w:rPr>
          <w:rFonts w:ascii="Garamond" w:hAnsi="Garamond"/>
          <w:sz w:val="26"/>
          <w:szCs w:val="26"/>
        </w:rPr>
        <w:t>.</w:t>
      </w:r>
      <w:r w:rsidR="00AD2DDF" w:rsidRPr="00C27AE9">
        <w:rPr>
          <w:rFonts w:ascii="Garamond" w:hAnsi="Garamond"/>
          <w:sz w:val="26"/>
          <w:szCs w:val="26"/>
        </w:rPr>
        <w:t xml:space="preserve"> </w:t>
      </w:r>
      <w:r w:rsidR="000E0733" w:rsidRPr="00C27AE9">
        <w:rPr>
          <w:rFonts w:ascii="Garamond" w:hAnsi="Garamond"/>
          <w:sz w:val="26"/>
          <w:szCs w:val="26"/>
        </w:rPr>
        <w:t>Sareb</w:t>
      </w:r>
      <w:r w:rsidR="00AD2DDF" w:rsidRPr="00C27AE9">
        <w:rPr>
          <w:rFonts w:ascii="Garamond" w:hAnsi="Garamond"/>
          <w:sz w:val="26"/>
          <w:szCs w:val="26"/>
        </w:rPr>
        <w:t>be</w:t>
      </w:r>
      <w:r w:rsidR="000E0733" w:rsidRPr="00C27AE9">
        <w:rPr>
          <w:rFonts w:ascii="Garamond" w:hAnsi="Garamond"/>
          <w:sz w:val="26"/>
          <w:szCs w:val="26"/>
        </w:rPr>
        <w:t xml:space="preserve"> </w:t>
      </w:r>
      <w:r w:rsidR="00E63586" w:rsidRPr="00C27AE9">
        <w:rPr>
          <w:rFonts w:ascii="Garamond" w:hAnsi="Garamond"/>
          <w:sz w:val="26"/>
          <w:szCs w:val="26"/>
        </w:rPr>
        <w:t>però t</w:t>
      </w:r>
      <w:r w:rsidR="00AD2DDF" w:rsidRPr="00C27AE9">
        <w:rPr>
          <w:rFonts w:ascii="Garamond" w:hAnsi="Garamond"/>
          <w:sz w:val="26"/>
          <w:szCs w:val="26"/>
        </w:rPr>
        <w:t>ale</w:t>
      </w:r>
      <w:r w:rsidR="000E0733" w:rsidRPr="00C27AE9">
        <w:rPr>
          <w:rFonts w:ascii="Garamond" w:hAnsi="Garamond"/>
          <w:sz w:val="26"/>
          <w:szCs w:val="26"/>
        </w:rPr>
        <w:t xml:space="preserve"> l’atto di mancata approvazione di un PEF formato</w:t>
      </w:r>
      <w:r w:rsidR="00AD2DDF" w:rsidRPr="00C27AE9">
        <w:rPr>
          <w:rFonts w:ascii="Garamond" w:hAnsi="Garamond"/>
          <w:sz w:val="26"/>
          <w:szCs w:val="26"/>
        </w:rPr>
        <w:t>si</w:t>
      </w:r>
      <w:r w:rsidR="000E0733" w:rsidRPr="00C27AE9">
        <w:rPr>
          <w:rFonts w:ascii="Garamond" w:hAnsi="Garamond"/>
          <w:sz w:val="26"/>
          <w:szCs w:val="26"/>
        </w:rPr>
        <w:t xml:space="preserve"> su </w:t>
      </w:r>
      <w:r w:rsidR="00AD2DDF" w:rsidRPr="00C27AE9">
        <w:rPr>
          <w:rFonts w:ascii="Garamond" w:hAnsi="Garamond"/>
          <w:sz w:val="26"/>
          <w:szCs w:val="26"/>
        </w:rPr>
        <w:t xml:space="preserve">di </w:t>
      </w:r>
      <w:r w:rsidR="000E0733" w:rsidRPr="00C27AE9">
        <w:rPr>
          <w:rFonts w:ascii="Garamond" w:hAnsi="Garamond"/>
          <w:sz w:val="26"/>
          <w:szCs w:val="26"/>
        </w:rPr>
        <w:t>un’illegittima applicazione di una norma di legge ordinaria, poiché in quel caso “</w:t>
      </w:r>
      <w:r w:rsidR="000E0733" w:rsidRPr="00C27AE9">
        <w:rPr>
          <w:rFonts w:ascii="Garamond" w:hAnsi="Garamond"/>
          <w:i/>
          <w:iCs/>
          <w:sz w:val="26"/>
          <w:szCs w:val="26"/>
        </w:rPr>
        <w:t>l’ARERA non potrebbe esercitare i propri poteri di modifica, ma dovrebbe limitarsi a rifiutare l’approvazione, con un atto appunto qualificabile come controllo negativo</w:t>
      </w:r>
      <w:r w:rsidR="00AD2121" w:rsidRPr="00C27AE9">
        <w:rPr>
          <w:rFonts w:ascii="Garamond" w:hAnsi="Garamond"/>
          <w:sz w:val="26"/>
          <w:szCs w:val="26"/>
        </w:rPr>
        <w:t>»</w:t>
      </w:r>
      <w:r w:rsidR="004502F4" w:rsidRPr="00C27AE9">
        <w:rPr>
          <w:rFonts w:ascii="Garamond" w:hAnsi="Garamond"/>
          <w:sz w:val="26"/>
          <w:szCs w:val="26"/>
        </w:rPr>
        <w:t>.</w:t>
      </w:r>
    </w:p>
    <w:p w14:paraId="0025F882" w14:textId="7E51FD61" w:rsidR="000E0733" w:rsidRPr="00C27AE9" w:rsidRDefault="004502F4" w:rsidP="00264572">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Tuttavia, in altra pronuncia </w:t>
      </w:r>
      <w:r w:rsidR="00264572" w:rsidRPr="00C27AE9">
        <w:rPr>
          <w:rFonts w:ascii="Garamond" w:hAnsi="Garamond"/>
          <w:sz w:val="26"/>
          <w:szCs w:val="26"/>
        </w:rPr>
        <w:t xml:space="preserve">proprio </w:t>
      </w:r>
      <w:r w:rsidRPr="00C27AE9">
        <w:rPr>
          <w:rFonts w:ascii="Garamond" w:hAnsi="Garamond"/>
          <w:sz w:val="26"/>
          <w:szCs w:val="26"/>
        </w:rPr>
        <w:t xml:space="preserve">della medesima Sezione, il giudice d’appello si è espresso in senso opposto, affermando che </w:t>
      </w:r>
      <w:r w:rsidR="00AD2121" w:rsidRPr="00C27AE9">
        <w:rPr>
          <w:rFonts w:ascii="Garamond" w:eastAsia="Arial" w:hAnsi="Garamond" w:cs="Arial"/>
          <w:color w:val="000000"/>
          <w:sz w:val="26"/>
          <w:szCs w:val="26"/>
        </w:rPr>
        <w:t>«</w:t>
      </w:r>
      <w:r w:rsidRPr="00C27AE9">
        <w:rPr>
          <w:rFonts w:ascii="Garamond" w:hAnsi="Garamond"/>
          <w:i/>
          <w:iCs/>
          <w:sz w:val="26"/>
          <w:szCs w:val="26"/>
        </w:rPr>
        <w:t>il provvedimento dell’Arera debba essere qualificato, rispetto al provvedimento emanato dal Consiglio (comunale) e dichiarato espressamente eseguibile, quale atto di controllo del provvedimento emanato da quest’ultimo</w:t>
      </w:r>
      <w:r w:rsidR="00264572" w:rsidRPr="00C27AE9">
        <w:rPr>
          <w:rFonts w:ascii="Garamond" w:hAnsi="Garamond"/>
          <w:i/>
          <w:iCs/>
          <w:sz w:val="26"/>
          <w:szCs w:val="26"/>
        </w:rPr>
        <w:t>”</w:t>
      </w:r>
      <w:r w:rsidR="000E0733" w:rsidRPr="00C27AE9">
        <w:rPr>
          <w:rStyle w:val="Rimandonotaapidipagina"/>
          <w:rFonts w:ascii="Garamond" w:hAnsi="Garamond"/>
          <w:sz w:val="26"/>
          <w:szCs w:val="26"/>
        </w:rPr>
        <w:footnoteReference w:id="22"/>
      </w:r>
      <w:r w:rsidR="000E0733" w:rsidRPr="00C27AE9">
        <w:rPr>
          <w:rFonts w:ascii="Garamond" w:hAnsi="Garamond"/>
          <w:sz w:val="26"/>
          <w:szCs w:val="26"/>
        </w:rPr>
        <w:t>.</w:t>
      </w:r>
    </w:p>
    <w:p w14:paraId="4F180554" w14:textId="4B144033" w:rsidR="00673C62" w:rsidRPr="00C27AE9" w:rsidRDefault="00AD2DDF" w:rsidP="00AD2DDF">
      <w:pPr>
        <w:pStyle w:val="Rientrocorpodeltesto"/>
        <w:widowControl w:val="0"/>
        <w:spacing w:after="0"/>
        <w:ind w:left="0" w:firstLine="454"/>
        <w:jc w:val="both"/>
        <w:rPr>
          <w:rFonts w:ascii="Garamond" w:hAnsi="Garamond"/>
          <w:i/>
          <w:iCs/>
          <w:sz w:val="26"/>
          <w:szCs w:val="26"/>
        </w:rPr>
      </w:pPr>
      <w:r w:rsidRPr="00C27AE9">
        <w:rPr>
          <w:rFonts w:ascii="Garamond" w:hAnsi="Garamond"/>
          <w:sz w:val="26"/>
          <w:szCs w:val="26"/>
        </w:rPr>
        <w:t>La natura del provvedimento con il quale ARERA approva il PEF adottato dall’ETC rimane</w:t>
      </w:r>
      <w:r w:rsidR="00BC1849" w:rsidRPr="00C27AE9">
        <w:rPr>
          <w:rFonts w:ascii="Garamond" w:hAnsi="Garamond"/>
          <w:sz w:val="26"/>
          <w:szCs w:val="26"/>
        </w:rPr>
        <w:t>,</w:t>
      </w:r>
      <w:r w:rsidRPr="00C27AE9">
        <w:rPr>
          <w:rFonts w:ascii="Garamond" w:hAnsi="Garamond"/>
          <w:sz w:val="26"/>
          <w:szCs w:val="26"/>
        </w:rPr>
        <w:t xml:space="preserve"> quindi, allo stato, ancora controversa.</w:t>
      </w:r>
    </w:p>
    <w:p w14:paraId="0BBE0737" w14:textId="77777777" w:rsidR="003E7B7D" w:rsidRPr="00C27AE9" w:rsidRDefault="003E7B7D" w:rsidP="00BC0DE8">
      <w:pPr>
        <w:pStyle w:val="Rientrocorpodeltesto"/>
        <w:widowControl w:val="0"/>
        <w:spacing w:after="0"/>
        <w:ind w:left="0" w:firstLine="454"/>
        <w:jc w:val="both"/>
        <w:rPr>
          <w:rFonts w:ascii="Garamond" w:hAnsi="Garamond"/>
          <w:i/>
          <w:iCs/>
          <w:sz w:val="26"/>
          <w:szCs w:val="26"/>
          <w:highlight w:val="yellow"/>
        </w:rPr>
      </w:pPr>
    </w:p>
    <w:p w14:paraId="1F6771A6" w14:textId="66F00FC7" w:rsidR="003E7B7D" w:rsidRPr="00C27AE9" w:rsidRDefault="003E7B7D" w:rsidP="003E7B7D">
      <w:pPr>
        <w:pStyle w:val="Rientrocorpodeltesto"/>
        <w:widowControl w:val="0"/>
        <w:spacing w:after="0"/>
        <w:ind w:left="0" w:firstLine="454"/>
        <w:jc w:val="both"/>
        <w:rPr>
          <w:rFonts w:ascii="Garamond" w:hAnsi="Garamond"/>
          <w:b/>
          <w:bCs/>
          <w:sz w:val="26"/>
          <w:szCs w:val="26"/>
        </w:rPr>
      </w:pPr>
      <w:r w:rsidRPr="00C27AE9">
        <w:rPr>
          <w:rFonts w:ascii="Garamond" w:hAnsi="Garamond"/>
          <w:b/>
          <w:bCs/>
          <w:sz w:val="26"/>
          <w:szCs w:val="26"/>
        </w:rPr>
        <w:t xml:space="preserve">3. L’eterointegrazione </w:t>
      </w:r>
      <w:r w:rsidR="00155906">
        <w:rPr>
          <w:rFonts w:ascii="Garamond" w:hAnsi="Garamond"/>
          <w:b/>
          <w:bCs/>
          <w:sz w:val="26"/>
          <w:szCs w:val="26"/>
        </w:rPr>
        <w:t xml:space="preserve">contrattuale ed il </w:t>
      </w:r>
      <w:r w:rsidR="009B4A79" w:rsidRPr="00C27AE9">
        <w:rPr>
          <w:rFonts w:ascii="Garamond" w:hAnsi="Garamond"/>
          <w:b/>
          <w:bCs/>
          <w:sz w:val="26"/>
          <w:szCs w:val="26"/>
        </w:rPr>
        <w:t>contratt</w:t>
      </w:r>
      <w:r w:rsidR="00155906">
        <w:rPr>
          <w:rFonts w:ascii="Garamond" w:hAnsi="Garamond"/>
          <w:b/>
          <w:bCs/>
          <w:sz w:val="26"/>
          <w:szCs w:val="26"/>
        </w:rPr>
        <w:t>o</w:t>
      </w:r>
      <w:r w:rsidR="009B4A79" w:rsidRPr="00C27AE9">
        <w:rPr>
          <w:rFonts w:ascii="Garamond" w:hAnsi="Garamond"/>
          <w:b/>
          <w:bCs/>
          <w:sz w:val="26"/>
          <w:szCs w:val="26"/>
        </w:rPr>
        <w:t xml:space="preserve"> di servizio</w:t>
      </w:r>
      <w:r w:rsidR="00155906">
        <w:rPr>
          <w:rFonts w:ascii="Garamond" w:hAnsi="Garamond"/>
          <w:b/>
          <w:bCs/>
          <w:sz w:val="26"/>
          <w:szCs w:val="26"/>
        </w:rPr>
        <w:t xml:space="preserve"> “regolato”</w:t>
      </w:r>
    </w:p>
    <w:p w14:paraId="1BBEA2A5" w14:textId="77777777" w:rsidR="003E7B7D" w:rsidRPr="00C27AE9" w:rsidRDefault="003E7B7D" w:rsidP="003E7B7D">
      <w:pPr>
        <w:pStyle w:val="Rientrocorpodeltesto"/>
        <w:widowControl w:val="0"/>
        <w:spacing w:after="0"/>
        <w:ind w:left="0" w:firstLine="454"/>
        <w:jc w:val="both"/>
        <w:rPr>
          <w:rFonts w:ascii="Garamond" w:hAnsi="Garamond"/>
          <w:b/>
          <w:bCs/>
          <w:sz w:val="26"/>
          <w:szCs w:val="26"/>
        </w:rPr>
      </w:pPr>
    </w:p>
    <w:p w14:paraId="61B40CA5" w14:textId="01B421C4" w:rsidR="003E7B7D" w:rsidRPr="00C27AE9" w:rsidRDefault="003E7B7D" w:rsidP="003E7B7D">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Il principale tratto </w:t>
      </w:r>
      <w:r w:rsidR="005C3108" w:rsidRPr="00C27AE9">
        <w:rPr>
          <w:rFonts w:ascii="Garamond" w:hAnsi="Garamond"/>
          <w:sz w:val="26"/>
          <w:szCs w:val="26"/>
        </w:rPr>
        <w:t>distintivo</w:t>
      </w:r>
      <w:r w:rsidRPr="00C27AE9">
        <w:rPr>
          <w:rFonts w:ascii="Garamond" w:hAnsi="Garamond"/>
          <w:sz w:val="26"/>
          <w:szCs w:val="26"/>
        </w:rPr>
        <w:t xml:space="preserve"> della disciplina regolatoria introdotta da ARERA è senza dubbio quello dell’efficacia</w:t>
      </w:r>
      <w:r w:rsidR="009B4A79" w:rsidRPr="00C27AE9">
        <w:rPr>
          <w:rFonts w:ascii="Garamond" w:hAnsi="Garamond"/>
          <w:sz w:val="26"/>
          <w:szCs w:val="26"/>
        </w:rPr>
        <w:t xml:space="preserve"> </w:t>
      </w:r>
      <w:r w:rsidRPr="00C27AE9">
        <w:rPr>
          <w:rFonts w:ascii="Garamond" w:hAnsi="Garamond"/>
          <w:sz w:val="26"/>
          <w:szCs w:val="26"/>
        </w:rPr>
        <w:t xml:space="preserve">eterointegrativa rispetto ai rapporti contrattuali, </w:t>
      </w:r>
      <w:r w:rsidR="00081741" w:rsidRPr="00C27AE9">
        <w:rPr>
          <w:rFonts w:ascii="Garamond" w:hAnsi="Garamond"/>
          <w:sz w:val="26"/>
          <w:szCs w:val="26"/>
        </w:rPr>
        <w:t xml:space="preserve">soprattutto con riferimento alla parte economica </w:t>
      </w:r>
      <w:r w:rsidR="00081741" w:rsidRPr="00C27AE9">
        <w:rPr>
          <w:rFonts w:ascii="Garamond" w:hAnsi="Garamond"/>
          <w:i/>
          <w:iCs/>
          <w:sz w:val="26"/>
          <w:szCs w:val="26"/>
        </w:rPr>
        <w:t>e</w:t>
      </w:r>
      <w:r w:rsidR="00B4128A" w:rsidRPr="00C27AE9">
        <w:rPr>
          <w:rFonts w:ascii="Garamond" w:hAnsi="Garamond"/>
          <w:i/>
          <w:iCs/>
          <w:sz w:val="26"/>
          <w:szCs w:val="26"/>
        </w:rPr>
        <w:t>rgo</w:t>
      </w:r>
      <w:r w:rsidR="00B4128A" w:rsidRPr="00C27AE9">
        <w:rPr>
          <w:rFonts w:ascii="Garamond" w:hAnsi="Garamond"/>
          <w:sz w:val="26"/>
          <w:szCs w:val="26"/>
        </w:rPr>
        <w:t xml:space="preserve"> </w:t>
      </w:r>
      <w:r w:rsidR="00081741" w:rsidRPr="00C27AE9">
        <w:rPr>
          <w:rFonts w:ascii="Garamond" w:hAnsi="Garamond"/>
          <w:sz w:val="26"/>
          <w:szCs w:val="26"/>
        </w:rPr>
        <w:t xml:space="preserve">ai corrispettivi del servizio, </w:t>
      </w:r>
      <w:r w:rsidR="005C3108" w:rsidRPr="00C27AE9">
        <w:rPr>
          <w:rFonts w:ascii="Garamond" w:hAnsi="Garamond"/>
          <w:sz w:val="26"/>
          <w:szCs w:val="26"/>
        </w:rPr>
        <w:t>anche per</w:t>
      </w:r>
      <w:r w:rsidR="00081741" w:rsidRPr="00C27AE9">
        <w:rPr>
          <w:rFonts w:ascii="Garamond" w:hAnsi="Garamond"/>
          <w:sz w:val="26"/>
          <w:szCs w:val="26"/>
        </w:rPr>
        <w:t xml:space="preserve"> i contratti già in essere</w:t>
      </w:r>
      <w:r w:rsidRPr="00C27AE9">
        <w:rPr>
          <w:rFonts w:ascii="Garamond" w:hAnsi="Garamond"/>
          <w:sz w:val="26"/>
          <w:szCs w:val="26"/>
        </w:rPr>
        <w:t>; è comprensibile, quindi, che proprio rispetto a questi ultimi si sia immediatamente generato un contenzios</w:t>
      </w:r>
      <w:r w:rsidR="0062670A" w:rsidRPr="00C27AE9">
        <w:rPr>
          <w:rFonts w:ascii="Garamond" w:hAnsi="Garamond"/>
          <w:sz w:val="26"/>
          <w:szCs w:val="26"/>
        </w:rPr>
        <w:t>o dinanzi al giudice amministrativo</w:t>
      </w:r>
      <w:r w:rsidRPr="00C27AE9">
        <w:rPr>
          <w:rFonts w:ascii="Garamond" w:hAnsi="Garamond"/>
          <w:sz w:val="26"/>
          <w:szCs w:val="26"/>
        </w:rPr>
        <w:t xml:space="preserve">. </w:t>
      </w:r>
    </w:p>
    <w:p w14:paraId="50D5E70E" w14:textId="08BF70B1" w:rsidR="0062670A" w:rsidRPr="00C27AE9" w:rsidRDefault="003E7B7D" w:rsidP="0062670A">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Le </w:t>
      </w:r>
      <w:r w:rsidR="00BC1849" w:rsidRPr="00C27AE9">
        <w:rPr>
          <w:rFonts w:ascii="Garamond" w:hAnsi="Garamond"/>
          <w:sz w:val="26"/>
          <w:szCs w:val="26"/>
        </w:rPr>
        <w:t xml:space="preserve">imprese </w:t>
      </w:r>
      <w:r w:rsidRPr="00C27AE9">
        <w:rPr>
          <w:rFonts w:ascii="Garamond" w:hAnsi="Garamond"/>
          <w:sz w:val="26"/>
          <w:szCs w:val="26"/>
        </w:rPr>
        <w:t>appaltatrici (o i concessionari) hanno</w:t>
      </w:r>
      <w:r w:rsidR="0062670A" w:rsidRPr="00C27AE9">
        <w:rPr>
          <w:rFonts w:ascii="Garamond" w:hAnsi="Garamond"/>
          <w:sz w:val="26"/>
          <w:szCs w:val="26"/>
        </w:rPr>
        <w:t xml:space="preserve"> infatti </w:t>
      </w:r>
      <w:r w:rsidR="005C3108" w:rsidRPr="00C27AE9">
        <w:rPr>
          <w:rFonts w:ascii="Garamond" w:hAnsi="Garamond"/>
          <w:sz w:val="26"/>
          <w:szCs w:val="26"/>
        </w:rPr>
        <w:t xml:space="preserve">immediatamente </w:t>
      </w:r>
      <w:r w:rsidR="0062670A" w:rsidRPr="00C27AE9">
        <w:rPr>
          <w:rFonts w:ascii="Garamond" w:hAnsi="Garamond"/>
          <w:sz w:val="26"/>
          <w:szCs w:val="26"/>
        </w:rPr>
        <w:t>contestato l’e</w:t>
      </w:r>
      <w:r w:rsidR="005C3108" w:rsidRPr="00C27AE9">
        <w:rPr>
          <w:rFonts w:ascii="Garamond" w:hAnsi="Garamond"/>
          <w:sz w:val="26"/>
          <w:szCs w:val="26"/>
        </w:rPr>
        <w:t xml:space="preserve">fficacia </w:t>
      </w:r>
      <w:r w:rsidR="0062670A" w:rsidRPr="00C27AE9">
        <w:rPr>
          <w:rFonts w:ascii="Garamond" w:hAnsi="Garamond"/>
          <w:sz w:val="26"/>
          <w:szCs w:val="26"/>
        </w:rPr>
        <w:t>retroattiv</w:t>
      </w:r>
      <w:r w:rsidR="005C3108" w:rsidRPr="00C27AE9">
        <w:rPr>
          <w:rFonts w:ascii="Garamond" w:hAnsi="Garamond"/>
          <w:sz w:val="26"/>
          <w:szCs w:val="26"/>
        </w:rPr>
        <w:t xml:space="preserve">a dell’eterointegrazione rispetto ai </w:t>
      </w:r>
      <w:r w:rsidR="0062670A" w:rsidRPr="00C27AE9">
        <w:rPr>
          <w:rFonts w:ascii="Garamond" w:hAnsi="Garamond"/>
          <w:sz w:val="26"/>
          <w:szCs w:val="26"/>
        </w:rPr>
        <w:t xml:space="preserve">contratti in corso di esecuzione, mancando a loro dire una norma di legge che, ai sensi dell’art. 1339 c.c., disponga espressamente in tal senso </w:t>
      </w:r>
      <w:r w:rsidR="00BC1849" w:rsidRPr="00C27AE9">
        <w:rPr>
          <w:rFonts w:ascii="Garamond" w:hAnsi="Garamond"/>
          <w:sz w:val="26"/>
          <w:szCs w:val="26"/>
        </w:rPr>
        <w:t>e potendo quindi la disciplina M</w:t>
      </w:r>
      <w:r w:rsidR="001A1327" w:rsidRPr="00C27AE9">
        <w:rPr>
          <w:rFonts w:ascii="Garamond" w:hAnsi="Garamond"/>
          <w:sz w:val="26"/>
          <w:szCs w:val="26"/>
        </w:rPr>
        <w:t>T</w:t>
      </w:r>
      <w:r w:rsidR="00BC1849" w:rsidRPr="00C27AE9">
        <w:rPr>
          <w:rFonts w:ascii="Garamond" w:hAnsi="Garamond"/>
          <w:sz w:val="26"/>
          <w:szCs w:val="26"/>
        </w:rPr>
        <w:t xml:space="preserve">R </w:t>
      </w:r>
      <w:r w:rsidR="005C3108" w:rsidRPr="00C27AE9">
        <w:rPr>
          <w:rFonts w:ascii="Garamond" w:hAnsi="Garamond"/>
          <w:sz w:val="26"/>
          <w:szCs w:val="26"/>
        </w:rPr>
        <w:t xml:space="preserve">essere applicata </w:t>
      </w:r>
      <w:r w:rsidR="00BC1849" w:rsidRPr="00C27AE9">
        <w:rPr>
          <w:rFonts w:ascii="Garamond" w:hAnsi="Garamond"/>
          <w:sz w:val="26"/>
          <w:szCs w:val="26"/>
        </w:rPr>
        <w:t xml:space="preserve">solo ai contratti stipulati successivamente alla sua entrata in vigore. </w:t>
      </w:r>
    </w:p>
    <w:p w14:paraId="34F00967" w14:textId="77777777" w:rsidR="005C3108" w:rsidRPr="00C27AE9" w:rsidRDefault="00FC7331" w:rsidP="00FC7331">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L’efficacia eterointegrativa delle norme regolatorie si pone tuttavia come un connotato indispensabile d</w:t>
      </w:r>
      <w:r w:rsidR="005C3108" w:rsidRPr="00C27AE9">
        <w:rPr>
          <w:rFonts w:ascii="Garamond" w:hAnsi="Garamond"/>
          <w:sz w:val="26"/>
          <w:szCs w:val="26"/>
        </w:rPr>
        <w:t>ella</w:t>
      </w:r>
      <w:r w:rsidRPr="00C27AE9">
        <w:rPr>
          <w:rFonts w:ascii="Garamond" w:hAnsi="Garamond"/>
          <w:sz w:val="26"/>
          <w:szCs w:val="26"/>
        </w:rPr>
        <w:t xml:space="preserve"> disciplina</w:t>
      </w:r>
      <w:r w:rsidR="005C3108" w:rsidRPr="00C27AE9">
        <w:rPr>
          <w:rFonts w:ascii="Garamond" w:hAnsi="Garamond"/>
          <w:sz w:val="26"/>
          <w:szCs w:val="26"/>
        </w:rPr>
        <w:t xml:space="preserve"> regolatoria</w:t>
      </w:r>
      <w:r w:rsidRPr="00C27AE9">
        <w:rPr>
          <w:rFonts w:ascii="Garamond" w:hAnsi="Garamond"/>
          <w:sz w:val="26"/>
          <w:szCs w:val="26"/>
        </w:rPr>
        <w:t xml:space="preserve">, </w:t>
      </w:r>
      <w:r w:rsidR="00081741" w:rsidRPr="00C27AE9">
        <w:rPr>
          <w:rFonts w:ascii="Garamond" w:hAnsi="Garamond"/>
          <w:sz w:val="26"/>
          <w:szCs w:val="26"/>
        </w:rPr>
        <w:t xml:space="preserve">essendo </w:t>
      </w:r>
      <w:r w:rsidRPr="00C27AE9">
        <w:rPr>
          <w:rFonts w:ascii="Garamond" w:hAnsi="Garamond"/>
          <w:sz w:val="26"/>
          <w:szCs w:val="26"/>
        </w:rPr>
        <w:t xml:space="preserve">strettamente funzionale al raggiungimento degli obiettivi che il legislatore si </w:t>
      </w:r>
      <w:r w:rsidR="005C3108" w:rsidRPr="00C27AE9">
        <w:rPr>
          <w:rFonts w:ascii="Garamond" w:hAnsi="Garamond"/>
          <w:sz w:val="26"/>
          <w:szCs w:val="26"/>
        </w:rPr>
        <w:t xml:space="preserve">è </w:t>
      </w:r>
      <w:r w:rsidRPr="00C27AE9">
        <w:rPr>
          <w:rFonts w:ascii="Garamond" w:hAnsi="Garamond"/>
          <w:sz w:val="26"/>
          <w:szCs w:val="26"/>
        </w:rPr>
        <w:t>prefi</w:t>
      </w:r>
      <w:r w:rsidR="005C3108" w:rsidRPr="00C27AE9">
        <w:rPr>
          <w:rFonts w:ascii="Garamond" w:hAnsi="Garamond"/>
          <w:sz w:val="26"/>
          <w:szCs w:val="26"/>
        </w:rPr>
        <w:t>sso</w:t>
      </w:r>
      <w:r w:rsidRPr="00C27AE9">
        <w:rPr>
          <w:rFonts w:ascii="Garamond" w:hAnsi="Garamond"/>
          <w:sz w:val="26"/>
          <w:szCs w:val="26"/>
        </w:rPr>
        <w:t xml:space="preserve"> di conseguire</w:t>
      </w:r>
      <w:r w:rsidR="0011018E" w:rsidRPr="00C27AE9">
        <w:rPr>
          <w:rFonts w:ascii="Garamond" w:hAnsi="Garamond"/>
          <w:sz w:val="26"/>
          <w:szCs w:val="26"/>
        </w:rPr>
        <w:t xml:space="preserve">. </w:t>
      </w:r>
    </w:p>
    <w:p w14:paraId="39B08F4C" w14:textId="05F22131" w:rsidR="00FC7331" w:rsidRPr="00C27AE9" w:rsidRDefault="0011018E" w:rsidP="00FC7331">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Si è rilevato, in proposito, che “</w:t>
      </w:r>
      <w:r w:rsidRPr="00C27AE9">
        <w:rPr>
          <w:rFonts w:ascii="Garamond" w:hAnsi="Garamond"/>
          <w:i/>
          <w:iCs/>
          <w:sz w:val="26"/>
          <w:szCs w:val="26"/>
        </w:rPr>
        <w:t>un determinato settore entra nel dominio della regolazione indipendente quando la sopraggiunta disciplina regolatoria  - fonte eteronoma del contratto – va a impattare sull’autonomia contrattuale, nella transizione da un regolazione per contratto ad una per autorità indipendente che segna l’evoluzione dell’assetto di governo dei servizi da una dimensione essenzialmente locale comunale ad una accentrata (sul regolatore nazionale), o anche duale ma comunque a trazione nazionale. In questa prospettiva (…) le nuove misure regolatorie sono destinate a penetrare all’interno del regolamento pattizio attraverso l’eterointegrazione contrattuale</w:t>
      </w:r>
      <w:r w:rsidRPr="00C27AE9">
        <w:rPr>
          <w:rFonts w:ascii="Garamond" w:hAnsi="Garamond"/>
          <w:sz w:val="26"/>
          <w:szCs w:val="26"/>
        </w:rPr>
        <w:t>”</w:t>
      </w:r>
      <w:r w:rsidR="00423252" w:rsidRPr="00C27AE9">
        <w:rPr>
          <w:rStyle w:val="Rimandonotaapidipagina"/>
          <w:rFonts w:ascii="Garamond" w:hAnsi="Garamond"/>
          <w:sz w:val="26"/>
          <w:szCs w:val="26"/>
        </w:rPr>
        <w:footnoteReference w:id="23"/>
      </w:r>
      <w:r w:rsidR="00FC7331" w:rsidRPr="00C27AE9">
        <w:rPr>
          <w:rFonts w:ascii="Garamond" w:hAnsi="Garamond"/>
          <w:sz w:val="26"/>
          <w:szCs w:val="26"/>
        </w:rPr>
        <w:t>.</w:t>
      </w:r>
    </w:p>
    <w:p w14:paraId="5C9177DF" w14:textId="39C94E28" w:rsidR="00861465" w:rsidRPr="00C27AE9" w:rsidRDefault="0011018E" w:rsidP="001A1327">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lastRenderedPageBreak/>
        <w:t xml:space="preserve">Anche </w:t>
      </w:r>
      <w:r w:rsidR="00FC7331" w:rsidRPr="00C27AE9">
        <w:rPr>
          <w:rFonts w:ascii="Garamond" w:hAnsi="Garamond"/>
          <w:sz w:val="26"/>
          <w:szCs w:val="26"/>
        </w:rPr>
        <w:t xml:space="preserve">la giurisprudenza ha </w:t>
      </w:r>
      <w:r w:rsidR="001A1327" w:rsidRPr="00C27AE9">
        <w:rPr>
          <w:rFonts w:ascii="Garamond" w:hAnsi="Garamond"/>
          <w:sz w:val="26"/>
          <w:szCs w:val="26"/>
        </w:rPr>
        <w:t xml:space="preserve">osservato </w:t>
      </w:r>
      <w:r w:rsidR="00FC7331" w:rsidRPr="00C27AE9">
        <w:rPr>
          <w:rFonts w:ascii="Garamond" w:hAnsi="Garamond"/>
          <w:sz w:val="26"/>
          <w:szCs w:val="26"/>
        </w:rPr>
        <w:t xml:space="preserve">come in tutti </w:t>
      </w:r>
      <w:r w:rsidR="001A1327" w:rsidRPr="00C27AE9">
        <w:rPr>
          <w:rFonts w:ascii="Garamond" w:hAnsi="Garamond"/>
          <w:sz w:val="26"/>
          <w:szCs w:val="26"/>
        </w:rPr>
        <w:t xml:space="preserve">i </w:t>
      </w:r>
      <w:r w:rsidR="00FC7331" w:rsidRPr="00C27AE9">
        <w:rPr>
          <w:rFonts w:ascii="Garamond" w:hAnsi="Garamond"/>
          <w:sz w:val="26"/>
          <w:szCs w:val="26"/>
        </w:rPr>
        <w:t xml:space="preserve">settori regolati il legislatore con apposite norme abbia attribuito all'Autorità investita di tale compito </w:t>
      </w:r>
      <w:r w:rsidR="00BC1849" w:rsidRPr="00C27AE9">
        <w:rPr>
          <w:rFonts w:ascii="Garamond" w:hAnsi="Garamond"/>
          <w:sz w:val="26"/>
          <w:szCs w:val="26"/>
        </w:rPr>
        <w:t>«</w:t>
      </w:r>
      <w:r w:rsidR="00FC7331" w:rsidRPr="00C27AE9">
        <w:rPr>
          <w:rFonts w:ascii="Garamond" w:hAnsi="Garamond"/>
          <w:i/>
          <w:iCs/>
          <w:sz w:val="26"/>
          <w:szCs w:val="26"/>
        </w:rPr>
        <w:t>poteri ampi di eterointegrazione, suppletiva e cogente, dei contratti per il perseguimento di specifici obiettivi individuati. Tal potere, in quanto attribuito da una norma imperativa, diventa esso stesso, insieme a tale norma, parametro di validità del contratto. Il contenuto dei contratti viene così integrato, secondo lo schema dell'art. 1374 c.c., dall'esercizio di tal</w:t>
      </w:r>
      <w:r w:rsidR="001A1327" w:rsidRPr="00C27AE9">
        <w:rPr>
          <w:rFonts w:ascii="Garamond" w:hAnsi="Garamond"/>
          <w:i/>
          <w:iCs/>
          <w:sz w:val="26"/>
          <w:szCs w:val="26"/>
        </w:rPr>
        <w:t>e</w:t>
      </w:r>
      <w:r w:rsidR="00FC7331" w:rsidRPr="00C27AE9">
        <w:rPr>
          <w:rFonts w:ascii="Garamond" w:hAnsi="Garamond"/>
          <w:i/>
          <w:iCs/>
          <w:sz w:val="26"/>
          <w:szCs w:val="26"/>
        </w:rPr>
        <w:t xml:space="preserve"> potere da parte dell'Autorità o, se del caso (per i contratti contenenti clausole difformi da quanto statuito dall'Autorità stessa), queste ultime sono nulle, ai sensi dell’art. 1418, I c., c.c</w:t>
      </w:r>
      <w:r w:rsidR="001A1327" w:rsidRPr="00C27AE9">
        <w:rPr>
          <w:rFonts w:ascii="Garamond" w:hAnsi="Garamond"/>
          <w:i/>
          <w:iCs/>
          <w:sz w:val="26"/>
          <w:szCs w:val="26"/>
        </w:rPr>
        <w:t>.</w:t>
      </w:r>
      <w:r w:rsidR="00BC1849" w:rsidRPr="00C27AE9">
        <w:rPr>
          <w:rFonts w:ascii="Garamond" w:hAnsi="Garamond"/>
          <w:sz w:val="26"/>
          <w:szCs w:val="26"/>
        </w:rPr>
        <w:t>»</w:t>
      </w:r>
      <w:r w:rsidR="00FC7331" w:rsidRPr="00C27AE9">
        <w:rPr>
          <w:rStyle w:val="Rimandonotaapidipagina"/>
          <w:rFonts w:ascii="Garamond" w:hAnsi="Garamond"/>
          <w:sz w:val="26"/>
          <w:szCs w:val="26"/>
        </w:rPr>
        <w:footnoteReference w:id="24"/>
      </w:r>
      <w:r w:rsidR="00FC7331" w:rsidRPr="00C27AE9">
        <w:rPr>
          <w:rFonts w:ascii="Garamond" w:hAnsi="Garamond"/>
          <w:sz w:val="26"/>
          <w:szCs w:val="26"/>
        </w:rPr>
        <w:t>.</w:t>
      </w:r>
    </w:p>
    <w:p w14:paraId="7D2B3AAF" w14:textId="69968D4C" w:rsidR="00544D25" w:rsidRPr="00C27AE9" w:rsidRDefault="00861465" w:rsidP="00122A1A">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Il fenomeno è stato poi esaminato </w:t>
      </w:r>
      <w:r w:rsidR="00BB39D4">
        <w:rPr>
          <w:rFonts w:ascii="Garamond" w:hAnsi="Garamond"/>
          <w:sz w:val="26"/>
          <w:szCs w:val="26"/>
        </w:rPr>
        <w:t xml:space="preserve">in modo </w:t>
      </w:r>
      <w:r w:rsidRPr="00C27AE9">
        <w:rPr>
          <w:rFonts w:ascii="Garamond" w:hAnsi="Garamond"/>
          <w:sz w:val="26"/>
          <w:szCs w:val="26"/>
        </w:rPr>
        <w:t xml:space="preserve">approfondito proprio </w:t>
      </w:r>
      <w:r w:rsidR="00544D25" w:rsidRPr="00C27AE9">
        <w:rPr>
          <w:rFonts w:ascii="Garamond" w:hAnsi="Garamond"/>
          <w:sz w:val="26"/>
          <w:szCs w:val="26"/>
        </w:rPr>
        <w:t xml:space="preserve">in relazione </w:t>
      </w:r>
      <w:r w:rsidRPr="00C27AE9">
        <w:rPr>
          <w:rFonts w:ascii="Garamond" w:hAnsi="Garamond"/>
          <w:sz w:val="26"/>
          <w:szCs w:val="26"/>
        </w:rPr>
        <w:t>ai poteri regolatori d</w:t>
      </w:r>
      <w:r w:rsidR="00081741" w:rsidRPr="00C27AE9">
        <w:rPr>
          <w:rFonts w:ascii="Garamond" w:hAnsi="Garamond"/>
          <w:sz w:val="26"/>
          <w:szCs w:val="26"/>
        </w:rPr>
        <w:t>ell’</w:t>
      </w:r>
      <w:r w:rsidRPr="00C27AE9">
        <w:rPr>
          <w:rFonts w:ascii="Garamond" w:hAnsi="Garamond"/>
          <w:sz w:val="26"/>
          <w:szCs w:val="26"/>
        </w:rPr>
        <w:t xml:space="preserve">ARERA, sia pur con riferimento al Servizio idrico integrato (dal quale il </w:t>
      </w:r>
      <w:r w:rsidR="00B4128A" w:rsidRPr="00C27AE9">
        <w:rPr>
          <w:rFonts w:ascii="Garamond" w:hAnsi="Garamond"/>
          <w:sz w:val="26"/>
          <w:szCs w:val="26"/>
        </w:rPr>
        <w:t>s</w:t>
      </w:r>
      <w:r w:rsidRPr="00C27AE9">
        <w:rPr>
          <w:rFonts w:ascii="Garamond" w:hAnsi="Garamond"/>
          <w:sz w:val="26"/>
          <w:szCs w:val="26"/>
        </w:rPr>
        <w:t>ettore rifiuti ha largamente mutuato l’assetto regolatorio</w:t>
      </w:r>
      <w:r w:rsidR="00081741" w:rsidRPr="00C27AE9">
        <w:rPr>
          <w:rStyle w:val="Rimandonotaapidipagina"/>
          <w:rFonts w:ascii="Garamond" w:hAnsi="Garamond"/>
          <w:sz w:val="26"/>
          <w:szCs w:val="26"/>
        </w:rPr>
        <w:footnoteReference w:id="25"/>
      </w:r>
      <w:r w:rsidRPr="00C27AE9">
        <w:rPr>
          <w:rFonts w:ascii="Garamond" w:hAnsi="Garamond"/>
          <w:sz w:val="26"/>
          <w:szCs w:val="26"/>
        </w:rPr>
        <w:t>) da un</w:t>
      </w:r>
      <w:r w:rsidR="00BC1849" w:rsidRPr="00C27AE9">
        <w:rPr>
          <w:rFonts w:ascii="Garamond" w:hAnsi="Garamond"/>
          <w:sz w:val="26"/>
          <w:szCs w:val="26"/>
        </w:rPr>
        <w:t>a</w:t>
      </w:r>
      <w:r w:rsidRPr="00C27AE9">
        <w:rPr>
          <w:rFonts w:ascii="Garamond" w:hAnsi="Garamond"/>
          <w:sz w:val="26"/>
          <w:szCs w:val="26"/>
        </w:rPr>
        <w:t xml:space="preserve"> pronuncia del giudice d’appello, </w:t>
      </w:r>
      <w:r w:rsidR="00B4128A" w:rsidRPr="00C27AE9">
        <w:rPr>
          <w:rFonts w:ascii="Garamond" w:hAnsi="Garamond"/>
          <w:sz w:val="26"/>
          <w:szCs w:val="26"/>
        </w:rPr>
        <w:t>che merita di essere diffusamente riportata:</w:t>
      </w:r>
    </w:p>
    <w:p w14:paraId="08ECE1A8" w14:textId="7E773A77" w:rsidR="00861465" w:rsidRPr="00C27AE9" w:rsidRDefault="00B4128A" w:rsidP="00122A1A">
      <w:pPr>
        <w:pStyle w:val="Rientrocorpodeltesto"/>
        <w:widowControl w:val="0"/>
        <w:spacing w:after="0"/>
        <w:ind w:left="0" w:firstLine="454"/>
        <w:jc w:val="both"/>
        <w:rPr>
          <w:rFonts w:ascii="Garamond" w:hAnsi="Garamond"/>
          <w:i/>
          <w:iCs/>
          <w:sz w:val="26"/>
          <w:szCs w:val="26"/>
        </w:rPr>
      </w:pPr>
      <w:r w:rsidRPr="00C27AE9">
        <w:rPr>
          <w:rFonts w:ascii="Garamond" w:hAnsi="Garamond"/>
          <w:sz w:val="26"/>
          <w:szCs w:val="26"/>
        </w:rPr>
        <w:t>«</w:t>
      </w:r>
      <w:r w:rsidR="00ED0D9E" w:rsidRPr="00C27AE9">
        <w:rPr>
          <w:rFonts w:ascii="Garamond" w:hAnsi="Garamond"/>
          <w:i/>
          <w:iCs/>
          <w:sz w:val="26"/>
          <w:szCs w:val="26"/>
        </w:rPr>
        <w:t>Gli atti di fonte secondaria adottati nell’esercizio della funzione regolatoria condizionano in vario modo lo svolgimento dell’autonomia privata, giungendo finanche a limitarne il campo elettivo di esplicazione, nella misura in cui</w:t>
      </w:r>
      <w:r w:rsidR="00544D25" w:rsidRPr="00C27AE9">
        <w:rPr>
          <w:rFonts w:ascii="Garamond" w:hAnsi="Garamond"/>
          <w:i/>
          <w:iCs/>
          <w:sz w:val="26"/>
          <w:szCs w:val="26"/>
        </w:rPr>
        <w:t xml:space="preserve"> (…) </w:t>
      </w:r>
      <w:r w:rsidR="00ED0D9E" w:rsidRPr="00C27AE9">
        <w:rPr>
          <w:rFonts w:ascii="Garamond" w:hAnsi="Garamond"/>
          <w:i/>
          <w:iCs/>
          <w:sz w:val="26"/>
          <w:szCs w:val="26"/>
        </w:rPr>
        <w:t>integrano il contenuto del regolamento (spesso con riguardo anche alle variabili economiche dello scambio); impongono il compimento di negozi giuridici o ne vietano la stipulazione; disciplinano il comportamento da tenersi nella fase esecutiva.</w:t>
      </w:r>
    </w:p>
    <w:p w14:paraId="05129206" w14:textId="70BAC7A0" w:rsidR="00861465" w:rsidRPr="00C27AE9" w:rsidRDefault="00544D25" w:rsidP="00544D25">
      <w:pPr>
        <w:pStyle w:val="Rientrocorpodeltesto"/>
        <w:widowControl w:val="0"/>
        <w:spacing w:after="0"/>
        <w:ind w:left="0" w:firstLine="454"/>
        <w:jc w:val="both"/>
        <w:rPr>
          <w:rFonts w:ascii="Garamond" w:hAnsi="Garamond"/>
          <w:i/>
          <w:iCs/>
          <w:sz w:val="26"/>
          <w:szCs w:val="26"/>
        </w:rPr>
      </w:pPr>
      <w:r w:rsidRPr="00C27AE9">
        <w:rPr>
          <w:rFonts w:ascii="Garamond" w:hAnsi="Garamond"/>
          <w:i/>
          <w:iCs/>
          <w:sz w:val="26"/>
          <w:szCs w:val="26"/>
        </w:rPr>
        <w:t xml:space="preserve">(…) </w:t>
      </w:r>
      <w:r w:rsidR="00ED0D9E" w:rsidRPr="00C27AE9">
        <w:rPr>
          <w:rFonts w:ascii="Garamond" w:hAnsi="Garamond"/>
          <w:i/>
          <w:iCs/>
          <w:sz w:val="26"/>
          <w:szCs w:val="26"/>
        </w:rPr>
        <w:t>Senza dubbio la fonte amministrativa secondaria deve necessariamente operare su espressa delega del legislatore. La necessaria intermediazione della legge si desume, non solo dalla natura relativa della riserva di cui agli artt. 41 e 42 della Costituzione (la libertà di fare contratti strumentali all’esercizio dell’iniziativa economica è infatti costituzionalmente protetta nella stessa misura in cui riceve protezione l’iniziativa economica, ovvero nella stessa misura in cui è tutelata la proprietà dei beni negoziati), ma anche dalle pertinenti disposizioni del codice civile. L’art. 1372 c.c., nell’attribuire “forza di legge” alla manifestazione di volontà sorretta da comune intenzione, esclude la possibilità di modificare “in via amministrativa” l’assetto di interessi stabilito dalle parti, salvo che tale potere non sia previsto dalla legge (art. 1374 c.c.) ovvero prefigurato nell’accordo stesso. In definitiva, essendo il potere di autoregolamentazione dei privati attribuito dalla legge, la “conformazione amministrativa” del contratto richiede un fondamento normativo avente pari rango nel sistema delle fonti. L’art. 1339 c.c., secondo il consolidato orientamento interpretativo, si riferisce non soltanto al caso nel quale la legge individui essa stessa direttamente la clausola da inserirsi nel contratto, ma anche all’ipotesi in cui la legge preveda che l’individuazione della clausola sia fatta da una fonte normativa da essa autorizzata.</w:t>
      </w:r>
    </w:p>
    <w:p w14:paraId="33098263" w14:textId="339A9F6F" w:rsidR="00861465" w:rsidRPr="00C27AE9" w:rsidRDefault="00544D25" w:rsidP="00544D25">
      <w:pPr>
        <w:pStyle w:val="Rientrocorpodeltesto"/>
        <w:widowControl w:val="0"/>
        <w:spacing w:after="0"/>
        <w:ind w:left="0" w:firstLine="454"/>
        <w:jc w:val="both"/>
        <w:rPr>
          <w:rFonts w:ascii="Garamond" w:hAnsi="Garamond"/>
          <w:i/>
          <w:iCs/>
          <w:sz w:val="26"/>
          <w:szCs w:val="26"/>
        </w:rPr>
      </w:pPr>
      <w:r w:rsidRPr="00C27AE9">
        <w:rPr>
          <w:rFonts w:ascii="Garamond" w:hAnsi="Garamond"/>
          <w:i/>
          <w:iCs/>
          <w:sz w:val="26"/>
          <w:szCs w:val="26"/>
        </w:rPr>
        <w:t xml:space="preserve">(…) </w:t>
      </w:r>
      <w:r w:rsidR="00ED0D9E" w:rsidRPr="00C27AE9">
        <w:rPr>
          <w:rFonts w:ascii="Garamond" w:hAnsi="Garamond"/>
          <w:i/>
          <w:iCs/>
          <w:sz w:val="26"/>
          <w:szCs w:val="26"/>
        </w:rPr>
        <w:t>Quando il contratto rappresenta una componente del processo regolatorio, l’inadempimento delle relative obbligazioni non assume rilievo soltanto sul piano delle relazioni intersoggettive, bensì è idoneo a ripercuotersi sul funzionamento dell’intero mercato. L’inadeguatezza dei tradizionali rimedi civilistici “interni” alle ragioni del contratto, rende necessario l’esercizio di poteri correttivi pubblicistici idonei ad estendere il proprio raggio d’azione al di là dello stretto perimetro definito dall’interesse delle parti.</w:t>
      </w:r>
    </w:p>
    <w:p w14:paraId="7D0DCE6B" w14:textId="77777777" w:rsidR="00716FD5" w:rsidRPr="00C27AE9" w:rsidRDefault="00ED0D9E" w:rsidP="00716FD5">
      <w:pPr>
        <w:pStyle w:val="Rientrocorpodeltesto"/>
        <w:widowControl w:val="0"/>
        <w:spacing w:after="0"/>
        <w:ind w:left="0" w:firstLine="454"/>
        <w:jc w:val="both"/>
        <w:rPr>
          <w:rFonts w:ascii="Garamond" w:hAnsi="Garamond"/>
          <w:i/>
          <w:iCs/>
          <w:sz w:val="26"/>
          <w:szCs w:val="26"/>
        </w:rPr>
      </w:pPr>
      <w:r w:rsidRPr="00C27AE9">
        <w:rPr>
          <w:rFonts w:ascii="Garamond" w:hAnsi="Garamond"/>
          <w:i/>
          <w:iCs/>
          <w:sz w:val="26"/>
          <w:szCs w:val="26"/>
        </w:rPr>
        <w:t xml:space="preserve">Ciò non deve sorprendere: l’interazione della disciplina codicistica con le regole del mercato, pur non essendo in grado di “estirpare” il contratto dalle sue radici volontaristiche (in ciò la differenza con la figura delineata dall’art. 11 della l. n. 241 del 1990, la quale costituisce una specifica modalità di esercizio della funzione amministrativa connotata dal consenso), ha indubbiamente determinato un </w:t>
      </w:r>
      <w:r w:rsidRPr="00C27AE9">
        <w:rPr>
          <w:rFonts w:ascii="Garamond" w:hAnsi="Garamond"/>
          <w:i/>
          <w:iCs/>
          <w:sz w:val="26"/>
          <w:szCs w:val="26"/>
        </w:rPr>
        <w:lastRenderedPageBreak/>
        <w:t>appannamento della figura paradigmatica del contratto civilistico inteso come sistema articolato di libere transazioni</w:t>
      </w:r>
      <w:r w:rsidR="00B4128A" w:rsidRPr="00C27AE9">
        <w:rPr>
          <w:rFonts w:ascii="Garamond" w:hAnsi="Garamond"/>
          <w:sz w:val="26"/>
          <w:szCs w:val="26"/>
        </w:rPr>
        <w:t>»</w:t>
      </w:r>
      <w:r w:rsidR="00861465" w:rsidRPr="00C27AE9">
        <w:rPr>
          <w:rStyle w:val="Rimandonotaapidipagina"/>
          <w:rFonts w:ascii="Garamond" w:hAnsi="Garamond"/>
          <w:sz w:val="26"/>
          <w:szCs w:val="26"/>
        </w:rPr>
        <w:footnoteReference w:id="26"/>
      </w:r>
      <w:r w:rsidRPr="00C27AE9">
        <w:rPr>
          <w:rFonts w:ascii="Garamond" w:hAnsi="Garamond"/>
          <w:sz w:val="26"/>
          <w:szCs w:val="26"/>
        </w:rPr>
        <w:t xml:space="preserve">. </w:t>
      </w:r>
    </w:p>
    <w:p w14:paraId="14161FCB" w14:textId="6F35BEC3" w:rsidR="001575C3" w:rsidRPr="00C27AE9" w:rsidRDefault="0011018E" w:rsidP="00716FD5">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A</w:t>
      </w:r>
      <w:r w:rsidR="00AE494E" w:rsidRPr="00C27AE9">
        <w:rPr>
          <w:rFonts w:ascii="Garamond" w:hAnsi="Garamond"/>
          <w:sz w:val="26"/>
          <w:szCs w:val="26"/>
        </w:rPr>
        <w:t>nche nel settore dei rifiuti, la giurisprudenza amministrativa, sollecitata dagli operatori privati</w:t>
      </w:r>
      <w:r w:rsidR="00716FD5" w:rsidRPr="00C27AE9">
        <w:rPr>
          <w:rFonts w:ascii="Garamond" w:hAnsi="Garamond"/>
          <w:sz w:val="26"/>
          <w:szCs w:val="26"/>
        </w:rPr>
        <w:t xml:space="preserve"> che contestavano l</w:t>
      </w:r>
      <w:r w:rsidR="00544D25" w:rsidRPr="00C27AE9">
        <w:rPr>
          <w:rFonts w:ascii="Garamond" w:hAnsi="Garamond"/>
          <w:sz w:val="26"/>
          <w:szCs w:val="26"/>
        </w:rPr>
        <w:t xml:space="preserve">’assoggettamento </w:t>
      </w:r>
      <w:r w:rsidR="00716FD5" w:rsidRPr="00C27AE9">
        <w:rPr>
          <w:rFonts w:ascii="Garamond" w:hAnsi="Garamond"/>
          <w:sz w:val="26"/>
          <w:szCs w:val="26"/>
        </w:rPr>
        <w:t>del</w:t>
      </w:r>
      <w:r w:rsidR="00CD1301" w:rsidRPr="00C27AE9">
        <w:rPr>
          <w:rFonts w:ascii="Garamond" w:hAnsi="Garamond"/>
          <w:sz w:val="26"/>
          <w:szCs w:val="26"/>
        </w:rPr>
        <w:t xml:space="preserve"> canone contrattuale</w:t>
      </w:r>
      <w:r w:rsidR="00716FD5" w:rsidRPr="00C27AE9">
        <w:rPr>
          <w:rFonts w:ascii="Garamond" w:hAnsi="Garamond"/>
          <w:sz w:val="26"/>
          <w:szCs w:val="26"/>
        </w:rPr>
        <w:t xml:space="preserve"> </w:t>
      </w:r>
      <w:r w:rsidR="00544D25" w:rsidRPr="00C27AE9">
        <w:rPr>
          <w:rFonts w:ascii="Garamond" w:hAnsi="Garamond"/>
          <w:sz w:val="26"/>
          <w:szCs w:val="26"/>
        </w:rPr>
        <w:t xml:space="preserve">alle regole </w:t>
      </w:r>
      <w:r w:rsidR="00716FD5" w:rsidRPr="00C27AE9">
        <w:rPr>
          <w:rFonts w:ascii="Garamond" w:hAnsi="Garamond"/>
          <w:sz w:val="26"/>
          <w:szCs w:val="26"/>
        </w:rPr>
        <w:t xml:space="preserve"> </w:t>
      </w:r>
      <w:r w:rsidR="00CD1301" w:rsidRPr="00C27AE9">
        <w:rPr>
          <w:rFonts w:ascii="Garamond" w:hAnsi="Garamond"/>
          <w:sz w:val="26"/>
          <w:szCs w:val="26"/>
        </w:rPr>
        <w:t xml:space="preserve">– nei contratti in corso </w:t>
      </w:r>
      <w:r w:rsidR="002114FB" w:rsidRPr="00C27AE9">
        <w:rPr>
          <w:rFonts w:ascii="Garamond" w:hAnsi="Garamond"/>
          <w:sz w:val="26"/>
          <w:szCs w:val="26"/>
        </w:rPr>
        <w:t>–</w:t>
      </w:r>
      <w:r w:rsidR="00CD1301" w:rsidRPr="00C27AE9">
        <w:rPr>
          <w:rFonts w:ascii="Garamond" w:hAnsi="Garamond"/>
          <w:sz w:val="26"/>
          <w:szCs w:val="26"/>
        </w:rPr>
        <w:t xml:space="preserve"> </w:t>
      </w:r>
      <w:r w:rsidR="002114FB" w:rsidRPr="00C27AE9">
        <w:rPr>
          <w:rFonts w:ascii="Garamond" w:hAnsi="Garamond"/>
          <w:sz w:val="26"/>
          <w:szCs w:val="26"/>
        </w:rPr>
        <w:t xml:space="preserve">per la prima volta, </w:t>
      </w:r>
      <w:r w:rsidR="00716FD5" w:rsidRPr="00C27AE9">
        <w:rPr>
          <w:rFonts w:ascii="Garamond" w:hAnsi="Garamond"/>
          <w:sz w:val="26"/>
          <w:szCs w:val="26"/>
        </w:rPr>
        <w:t>del Metodo Tariffario Rifiuti (MTR-1)</w:t>
      </w:r>
      <w:r w:rsidR="00AE494E" w:rsidRPr="00C27AE9">
        <w:rPr>
          <w:rFonts w:ascii="Garamond" w:hAnsi="Garamond"/>
          <w:sz w:val="26"/>
          <w:szCs w:val="26"/>
        </w:rPr>
        <w:t xml:space="preserve">, </w:t>
      </w:r>
      <w:r w:rsidR="00782128" w:rsidRPr="00C27AE9">
        <w:rPr>
          <w:rFonts w:ascii="Garamond" w:hAnsi="Garamond"/>
          <w:sz w:val="26"/>
          <w:szCs w:val="26"/>
        </w:rPr>
        <w:t xml:space="preserve">non </w:t>
      </w:r>
      <w:r w:rsidR="003E7B7D" w:rsidRPr="00C27AE9">
        <w:rPr>
          <w:rFonts w:ascii="Garamond" w:hAnsi="Garamond"/>
          <w:sz w:val="26"/>
          <w:szCs w:val="26"/>
        </w:rPr>
        <w:t xml:space="preserve">ha </w:t>
      </w:r>
      <w:r w:rsidR="00782128" w:rsidRPr="00C27AE9">
        <w:rPr>
          <w:rFonts w:ascii="Garamond" w:hAnsi="Garamond"/>
          <w:sz w:val="26"/>
          <w:szCs w:val="26"/>
        </w:rPr>
        <w:t xml:space="preserve">mancato di chiarire </w:t>
      </w:r>
      <w:r w:rsidR="00AE494E" w:rsidRPr="00C27AE9">
        <w:rPr>
          <w:rFonts w:ascii="Garamond" w:hAnsi="Garamond"/>
          <w:sz w:val="26"/>
          <w:szCs w:val="26"/>
        </w:rPr>
        <w:t xml:space="preserve">immediatamente </w:t>
      </w:r>
      <w:r w:rsidR="003E7B7D" w:rsidRPr="00C27AE9">
        <w:rPr>
          <w:rFonts w:ascii="Garamond" w:hAnsi="Garamond"/>
          <w:sz w:val="26"/>
          <w:szCs w:val="26"/>
        </w:rPr>
        <w:t xml:space="preserve">che </w:t>
      </w:r>
      <w:r w:rsidR="00716FD5" w:rsidRPr="00C27AE9">
        <w:rPr>
          <w:rFonts w:ascii="Garamond" w:hAnsi="Garamond"/>
          <w:sz w:val="26"/>
          <w:szCs w:val="26"/>
        </w:rPr>
        <w:t>«</w:t>
      </w:r>
      <w:r w:rsidR="00716FD5" w:rsidRPr="00C27AE9">
        <w:rPr>
          <w:rFonts w:ascii="Garamond" w:hAnsi="Garamond"/>
          <w:i/>
          <w:iCs/>
          <w:sz w:val="26"/>
          <w:szCs w:val="26"/>
        </w:rPr>
        <w:t>L’articolo 1, comma 527, lettera f), della legge 27 dicembre 2017, n. 205, attribuisce all’A.r.e.r.a.</w:t>
      </w:r>
      <w:r w:rsidR="001575C3" w:rsidRPr="00C27AE9">
        <w:rPr>
          <w:rFonts w:ascii="Garamond" w:hAnsi="Garamond"/>
          <w:i/>
          <w:iCs/>
          <w:sz w:val="26"/>
          <w:szCs w:val="26"/>
        </w:rPr>
        <w:t xml:space="preserve"> (…) il potere regolatorio, da esercitarsi a livello nazionale, da parte di un’Autorità indipendente collocata in posizione di equidistanza rispetto a tutti i soggetti coinvolti nel servizio di pubblica utilità del ciclo dei rifiuti urbani e assimilati</w:t>
      </w:r>
      <w:r w:rsidR="001575C3" w:rsidRPr="00C27AE9">
        <w:rPr>
          <w:rFonts w:ascii="Garamond" w:hAnsi="Garamond"/>
          <w:sz w:val="26"/>
          <w:szCs w:val="26"/>
        </w:rPr>
        <w:t>.</w:t>
      </w:r>
    </w:p>
    <w:p w14:paraId="514153D3" w14:textId="398C31E7" w:rsidR="003E7B7D" w:rsidRPr="00C27AE9" w:rsidRDefault="001575C3" w:rsidP="00716FD5">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 </w:t>
      </w:r>
      <w:r w:rsidR="003E7B7D" w:rsidRPr="00C27AE9">
        <w:rPr>
          <w:rFonts w:ascii="Garamond" w:hAnsi="Garamond"/>
          <w:i/>
          <w:iCs/>
          <w:sz w:val="26"/>
          <w:szCs w:val="26"/>
        </w:rPr>
        <w:t>L’applicazione retroattiva del nuovo metodo regolatorio, in quanto prevedibile e ragionevole rispetto alle ragioni imperative di interesse generale con esso perseguite, deve dunque ritenersi legittima</w:t>
      </w:r>
      <w:r w:rsidR="00716FD5" w:rsidRPr="00C27AE9">
        <w:rPr>
          <w:rFonts w:ascii="Garamond" w:hAnsi="Garamond"/>
          <w:sz w:val="26"/>
          <w:szCs w:val="26"/>
        </w:rPr>
        <w:t>»; e</w:t>
      </w:r>
      <w:r w:rsidR="003E7B7D" w:rsidRPr="00C27AE9">
        <w:rPr>
          <w:rFonts w:ascii="Garamond" w:hAnsi="Garamond"/>
          <w:sz w:val="26"/>
          <w:szCs w:val="26"/>
        </w:rPr>
        <w:t xml:space="preserve">d ancora che </w:t>
      </w:r>
      <w:r w:rsidR="00716FD5" w:rsidRPr="00C27AE9">
        <w:rPr>
          <w:rFonts w:ascii="Garamond" w:hAnsi="Garamond"/>
          <w:sz w:val="26"/>
          <w:szCs w:val="26"/>
        </w:rPr>
        <w:t>«</w:t>
      </w:r>
      <w:r w:rsidR="003E7B7D" w:rsidRPr="00C27AE9">
        <w:rPr>
          <w:rFonts w:ascii="Garamond" w:hAnsi="Garamond"/>
          <w:i/>
          <w:iCs/>
          <w:sz w:val="26"/>
          <w:szCs w:val="26"/>
        </w:rPr>
        <w:t>L’eterointegrazione dei contratti di durata in corso di esecuzione da parte del potere regolatorio tariffario attribuito all’A.r.e.r.a. deve inoltre ritenersi compatibile con l’efficacia retroattiva del metodo regolatorio, in quanto rientra nello sforzo esigibile dal gestore del servizio la previsione di razionali sviluppi dell’intervento regolatorio, in relazione alle finalità fissate dal legislatore, e la relativa conformazione ad esso dell’attività imprenditoriale</w:t>
      </w:r>
      <w:r w:rsidR="00716FD5" w:rsidRPr="00C27AE9">
        <w:rPr>
          <w:rFonts w:ascii="Garamond" w:hAnsi="Garamond"/>
          <w:sz w:val="26"/>
          <w:szCs w:val="26"/>
        </w:rPr>
        <w:t>»</w:t>
      </w:r>
      <w:r w:rsidR="00716FD5" w:rsidRPr="00C27AE9">
        <w:rPr>
          <w:rStyle w:val="Rimandonotaapidipagina"/>
          <w:rFonts w:ascii="Garamond" w:hAnsi="Garamond"/>
          <w:sz w:val="26"/>
          <w:szCs w:val="26"/>
        </w:rPr>
        <w:footnoteReference w:id="27"/>
      </w:r>
      <w:r w:rsidR="003E7B7D" w:rsidRPr="00C27AE9">
        <w:rPr>
          <w:rFonts w:ascii="Garamond" w:hAnsi="Garamond"/>
          <w:sz w:val="26"/>
          <w:szCs w:val="26"/>
        </w:rPr>
        <w:t>.</w:t>
      </w:r>
    </w:p>
    <w:p w14:paraId="559F9661" w14:textId="5AE3B3FD" w:rsidR="000B4C1B" w:rsidRPr="00C27AE9" w:rsidRDefault="00851F56" w:rsidP="00716FD5">
      <w:pPr>
        <w:pStyle w:val="Rientrocorpodeltesto"/>
        <w:widowControl w:val="0"/>
        <w:spacing w:after="0"/>
        <w:ind w:left="0" w:firstLine="454"/>
        <w:jc w:val="both"/>
        <w:rPr>
          <w:rFonts w:ascii="Garamond" w:hAnsi="Garamond"/>
          <w:sz w:val="26"/>
          <w:szCs w:val="26"/>
          <w:highlight w:val="yellow"/>
        </w:rPr>
      </w:pPr>
      <w:r w:rsidRPr="00C27AE9">
        <w:rPr>
          <w:rFonts w:ascii="Garamond" w:hAnsi="Garamond"/>
          <w:sz w:val="26"/>
          <w:szCs w:val="26"/>
        </w:rPr>
        <w:t>Il Giudice amministrativo</w:t>
      </w:r>
      <w:r w:rsidR="003824DF">
        <w:rPr>
          <w:rFonts w:ascii="Garamond" w:hAnsi="Garamond"/>
          <w:sz w:val="26"/>
          <w:szCs w:val="26"/>
        </w:rPr>
        <w:t xml:space="preserve"> </w:t>
      </w:r>
      <w:r w:rsidRPr="00C27AE9">
        <w:rPr>
          <w:rFonts w:ascii="Garamond" w:hAnsi="Garamond"/>
          <w:sz w:val="26"/>
          <w:szCs w:val="26"/>
        </w:rPr>
        <w:t xml:space="preserve">ha </w:t>
      </w:r>
      <w:r w:rsidR="003824DF">
        <w:rPr>
          <w:rFonts w:ascii="Garamond" w:hAnsi="Garamond"/>
          <w:sz w:val="26"/>
          <w:szCs w:val="26"/>
        </w:rPr>
        <w:t xml:space="preserve">dunque </w:t>
      </w:r>
      <w:r w:rsidRPr="00C27AE9">
        <w:rPr>
          <w:rFonts w:ascii="Garamond" w:hAnsi="Garamond"/>
          <w:sz w:val="26"/>
          <w:szCs w:val="26"/>
        </w:rPr>
        <w:t>escluso la configurabilità di una lesione dell’affidamento riposto nella perdurante applicazione della pregressa disciplina</w:t>
      </w:r>
      <w:r w:rsidR="003824DF">
        <w:rPr>
          <w:rFonts w:ascii="Garamond" w:hAnsi="Garamond"/>
          <w:sz w:val="26"/>
          <w:szCs w:val="26"/>
        </w:rPr>
        <w:t>;</w:t>
      </w:r>
      <w:r w:rsidRPr="00C27AE9">
        <w:rPr>
          <w:rFonts w:ascii="Garamond" w:hAnsi="Garamond"/>
          <w:sz w:val="26"/>
          <w:szCs w:val="26"/>
        </w:rPr>
        <w:t xml:space="preserve"> occorre </w:t>
      </w:r>
      <w:r w:rsidR="003824DF">
        <w:rPr>
          <w:rFonts w:ascii="Garamond" w:hAnsi="Garamond"/>
          <w:sz w:val="26"/>
          <w:szCs w:val="26"/>
        </w:rPr>
        <w:t>tuttavia p</w:t>
      </w:r>
      <w:r w:rsidRPr="00C27AE9">
        <w:rPr>
          <w:rFonts w:ascii="Garamond" w:hAnsi="Garamond"/>
          <w:sz w:val="26"/>
          <w:szCs w:val="26"/>
        </w:rPr>
        <w:t xml:space="preserve">recisare che </w:t>
      </w:r>
      <w:r w:rsidR="003824DF">
        <w:rPr>
          <w:rFonts w:ascii="Garamond" w:hAnsi="Garamond"/>
          <w:sz w:val="26"/>
          <w:szCs w:val="26"/>
        </w:rPr>
        <w:t xml:space="preserve">nella specie </w:t>
      </w:r>
      <w:r w:rsidRPr="00C27AE9">
        <w:rPr>
          <w:rFonts w:ascii="Garamond" w:hAnsi="Garamond"/>
          <w:sz w:val="26"/>
          <w:szCs w:val="26"/>
        </w:rPr>
        <w:t>si tratta di retroattività “impropria”, ossia quella per cui la legge sopravvenuta incide sui contratti di servizio già stipulati, ma soltanto con decorrenza successiva alla sua entrata in vigore</w:t>
      </w:r>
      <w:r w:rsidR="003824DF">
        <w:rPr>
          <w:rFonts w:ascii="Garamond" w:hAnsi="Garamond"/>
          <w:sz w:val="26"/>
          <w:szCs w:val="26"/>
        </w:rPr>
        <w:t xml:space="preserve"> e</w:t>
      </w:r>
      <w:r w:rsidRPr="00C27AE9">
        <w:rPr>
          <w:rFonts w:ascii="Garamond" w:hAnsi="Garamond"/>
          <w:sz w:val="26"/>
          <w:szCs w:val="26"/>
        </w:rPr>
        <w:t xml:space="preserve"> con riferimento alle prestazioni non ancora eseguite</w:t>
      </w:r>
      <w:r w:rsidR="00CF3C30" w:rsidRPr="00C27AE9">
        <w:rPr>
          <w:rStyle w:val="Rimandonotaapidipagina"/>
          <w:rFonts w:ascii="Garamond" w:hAnsi="Garamond"/>
          <w:sz w:val="26"/>
          <w:szCs w:val="26"/>
        </w:rPr>
        <w:footnoteReference w:id="28"/>
      </w:r>
      <w:r w:rsidRPr="00C27AE9">
        <w:rPr>
          <w:rFonts w:ascii="Garamond" w:hAnsi="Garamond"/>
          <w:sz w:val="26"/>
          <w:szCs w:val="26"/>
        </w:rPr>
        <w:t>.</w:t>
      </w:r>
    </w:p>
    <w:p w14:paraId="69D1644D" w14:textId="5A03F4EF" w:rsidR="00AE494E" w:rsidRPr="00C27AE9" w:rsidRDefault="003E7B7D" w:rsidP="00AE494E">
      <w:pPr>
        <w:pStyle w:val="Rientrocorpodeltesto"/>
        <w:widowControl w:val="0"/>
        <w:spacing w:after="0"/>
        <w:ind w:left="0" w:firstLine="454"/>
        <w:jc w:val="both"/>
        <w:rPr>
          <w:rFonts w:ascii="Garamond" w:hAnsi="Garamond"/>
          <w:i/>
          <w:iCs/>
          <w:sz w:val="26"/>
          <w:szCs w:val="26"/>
        </w:rPr>
      </w:pPr>
      <w:r w:rsidRPr="00C27AE9">
        <w:rPr>
          <w:rFonts w:ascii="Garamond" w:hAnsi="Garamond"/>
          <w:sz w:val="26"/>
          <w:szCs w:val="26"/>
        </w:rPr>
        <w:t xml:space="preserve">Con successiva pronuncia, poi, sempre </w:t>
      </w:r>
      <w:r w:rsidR="00AE494E" w:rsidRPr="00C27AE9">
        <w:rPr>
          <w:rFonts w:ascii="Garamond" w:hAnsi="Garamond"/>
          <w:sz w:val="26"/>
          <w:szCs w:val="26"/>
        </w:rPr>
        <w:t xml:space="preserve">il </w:t>
      </w:r>
      <w:r w:rsidRPr="00C27AE9">
        <w:rPr>
          <w:rFonts w:ascii="Garamond" w:hAnsi="Garamond"/>
          <w:sz w:val="26"/>
          <w:szCs w:val="26"/>
        </w:rPr>
        <w:t xml:space="preserve">TAR </w:t>
      </w:r>
      <w:r w:rsidR="00AE494E" w:rsidRPr="00C27AE9">
        <w:rPr>
          <w:rFonts w:ascii="Garamond" w:hAnsi="Garamond"/>
          <w:sz w:val="26"/>
          <w:szCs w:val="26"/>
        </w:rPr>
        <w:t>Lombardia di M</w:t>
      </w:r>
      <w:r w:rsidRPr="00C27AE9">
        <w:rPr>
          <w:rFonts w:ascii="Garamond" w:hAnsi="Garamond"/>
          <w:sz w:val="26"/>
          <w:szCs w:val="26"/>
        </w:rPr>
        <w:t>ilan</w:t>
      </w:r>
      <w:r w:rsidR="00AE494E" w:rsidRPr="00C27AE9">
        <w:rPr>
          <w:rFonts w:ascii="Garamond" w:hAnsi="Garamond"/>
          <w:sz w:val="26"/>
          <w:szCs w:val="26"/>
        </w:rPr>
        <w:t xml:space="preserve">o, funzionalmente competente, </w:t>
      </w:r>
      <w:r w:rsidRPr="00C27AE9">
        <w:rPr>
          <w:rFonts w:ascii="Garamond" w:hAnsi="Garamond"/>
          <w:sz w:val="26"/>
          <w:szCs w:val="26"/>
        </w:rPr>
        <w:t xml:space="preserve">ha </w:t>
      </w:r>
      <w:r w:rsidR="00AE494E" w:rsidRPr="00C27AE9">
        <w:rPr>
          <w:rFonts w:ascii="Garamond" w:hAnsi="Garamond"/>
          <w:sz w:val="26"/>
          <w:szCs w:val="26"/>
        </w:rPr>
        <w:t xml:space="preserve">ulteriormente </w:t>
      </w:r>
      <w:r w:rsidRPr="00C27AE9">
        <w:rPr>
          <w:rFonts w:ascii="Garamond" w:hAnsi="Garamond"/>
          <w:sz w:val="26"/>
          <w:szCs w:val="26"/>
        </w:rPr>
        <w:t xml:space="preserve">precisato che </w:t>
      </w:r>
      <w:r w:rsidR="00AE494E" w:rsidRPr="00C27AE9">
        <w:rPr>
          <w:rFonts w:ascii="Garamond" w:hAnsi="Garamond"/>
          <w:sz w:val="26"/>
          <w:szCs w:val="26"/>
        </w:rPr>
        <w:t>«</w:t>
      </w:r>
      <w:r w:rsidRPr="00C27AE9">
        <w:rPr>
          <w:rFonts w:ascii="Garamond" w:hAnsi="Garamond"/>
          <w:i/>
          <w:iCs/>
          <w:sz w:val="26"/>
          <w:szCs w:val="26"/>
        </w:rPr>
        <w:t>La disciplina regolatoria in esame sottende esigenze generali, che assurgono al rango di valori fondamentali del sistema, interno ed eurounitario, chiaramente enunciati dall’art. 1, comma 527, della legge 2017 n. 205.</w:t>
      </w:r>
    </w:p>
    <w:p w14:paraId="383644C8" w14:textId="77777777" w:rsidR="00AE494E" w:rsidRPr="00C27AE9" w:rsidRDefault="003E7B7D" w:rsidP="00AE494E">
      <w:pPr>
        <w:pStyle w:val="Rientrocorpodeltesto"/>
        <w:widowControl w:val="0"/>
        <w:spacing w:after="0"/>
        <w:ind w:left="0" w:firstLine="454"/>
        <w:jc w:val="both"/>
        <w:rPr>
          <w:rFonts w:ascii="Garamond" w:hAnsi="Garamond"/>
          <w:sz w:val="26"/>
          <w:szCs w:val="26"/>
        </w:rPr>
      </w:pPr>
      <w:r w:rsidRPr="00C27AE9">
        <w:rPr>
          <w:rFonts w:ascii="Garamond" w:hAnsi="Garamond"/>
          <w:i/>
          <w:iCs/>
          <w:sz w:val="26"/>
          <w:szCs w:val="26"/>
        </w:rPr>
        <w:t>Pertanto, la disciplina in contestazione ha natura imperativa e deve esserne garantita l’operatività anche nella disciplina di rapporti in corso di svolgimento, secondo il meccanismo dell’eterointegrazione contrattuale, ex art. 1339 c.c., con sostituzione automatica della clausola difforme, da qualificare come nulla per contrarietà a norma imperativa, secondo la previsione dell’art. 1419, comma 2, c.c.</w:t>
      </w:r>
      <w:r w:rsidR="00AE494E" w:rsidRPr="00C27AE9">
        <w:rPr>
          <w:rFonts w:ascii="Garamond" w:hAnsi="Garamond"/>
          <w:sz w:val="26"/>
          <w:szCs w:val="26"/>
        </w:rPr>
        <w:t>»</w:t>
      </w:r>
      <w:r w:rsidRPr="00C27AE9">
        <w:rPr>
          <w:rFonts w:ascii="Garamond" w:hAnsi="Garamond"/>
          <w:sz w:val="26"/>
          <w:szCs w:val="26"/>
        </w:rPr>
        <w:t>.</w:t>
      </w:r>
    </w:p>
    <w:p w14:paraId="259D356B" w14:textId="301B8879" w:rsidR="00B22AE3" w:rsidRPr="00C27AE9" w:rsidRDefault="00B22AE3" w:rsidP="00AE494E">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In un siffatto contesto, pertanto, non appare affatto irragionevole «</w:t>
      </w:r>
      <w:r w:rsidRPr="00C27AE9">
        <w:rPr>
          <w:rFonts w:ascii="Garamond" w:hAnsi="Garamond"/>
          <w:i/>
          <w:iCs/>
          <w:sz w:val="26"/>
          <w:szCs w:val="26"/>
        </w:rPr>
        <w:t>la previsione di limiti massimi di oscillazione dei parametri</w:t>
      </w:r>
      <w:r w:rsidRPr="00C27AE9">
        <w:rPr>
          <w:rFonts w:ascii="Garamond" w:hAnsi="Garamond"/>
          <w:sz w:val="26"/>
          <w:szCs w:val="26"/>
        </w:rPr>
        <w:t xml:space="preserve"> (per la determinazione dei corrispettivi, n.d.r.)</w:t>
      </w:r>
      <w:r w:rsidR="000B4C1B" w:rsidRPr="00C27AE9">
        <w:rPr>
          <w:rFonts w:ascii="Garamond" w:hAnsi="Garamond"/>
          <w:sz w:val="26"/>
          <w:szCs w:val="26"/>
        </w:rPr>
        <w:t xml:space="preserve">, </w:t>
      </w:r>
      <w:r w:rsidR="000B4C1B" w:rsidRPr="00C27AE9">
        <w:rPr>
          <w:rFonts w:ascii="Garamond" w:hAnsi="Garamond"/>
          <w:i/>
          <w:iCs/>
          <w:sz w:val="26"/>
          <w:szCs w:val="26"/>
        </w:rPr>
        <w:t>atteso che lo scopo della regolazione, in parte qua, è proprio quello di porre un limite alla crescita annuale delle entrate tariffarie, che incide direttamente sul costo del servizio per gli utenti</w:t>
      </w:r>
      <w:r w:rsidR="000B4C1B" w:rsidRPr="00C27AE9">
        <w:rPr>
          <w:rFonts w:ascii="Garamond" w:hAnsi="Garamond"/>
          <w:sz w:val="26"/>
          <w:szCs w:val="26"/>
        </w:rPr>
        <w:t>».</w:t>
      </w:r>
      <w:r w:rsidR="00CD1301" w:rsidRPr="00C27AE9">
        <w:rPr>
          <w:rStyle w:val="Rimandonotaapidipagina"/>
          <w:rFonts w:ascii="Garamond" w:hAnsi="Garamond"/>
          <w:sz w:val="26"/>
          <w:szCs w:val="26"/>
        </w:rPr>
        <w:footnoteReference w:id="29"/>
      </w:r>
    </w:p>
    <w:p w14:paraId="473F8B03" w14:textId="7CE791D7" w:rsidR="00AE494E" w:rsidRPr="00C27AE9" w:rsidRDefault="003E7B7D" w:rsidP="00AE494E">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La norma, dunque, che la giurisprudenza ha individuato quale fonte normativa imperativa attributiva del potere regolatorio e </w:t>
      </w:r>
      <w:r w:rsidR="00AE494E" w:rsidRPr="00C27AE9">
        <w:rPr>
          <w:rFonts w:ascii="Garamond" w:hAnsi="Garamond"/>
          <w:sz w:val="26"/>
          <w:szCs w:val="26"/>
        </w:rPr>
        <w:t>su cui si fonda l’eterointegrazione</w:t>
      </w:r>
      <w:r w:rsidR="000B4C1B" w:rsidRPr="00C27AE9">
        <w:rPr>
          <w:rFonts w:ascii="Garamond" w:hAnsi="Garamond"/>
          <w:sz w:val="26"/>
          <w:szCs w:val="26"/>
        </w:rPr>
        <w:t xml:space="preserve"> contrattuale </w:t>
      </w:r>
      <w:r w:rsidRPr="00C27AE9">
        <w:rPr>
          <w:rFonts w:ascii="Garamond" w:hAnsi="Garamond"/>
          <w:sz w:val="26"/>
          <w:szCs w:val="26"/>
        </w:rPr>
        <w:t>è proprio l’art. 1 comma 527 l.n. 205/2017</w:t>
      </w:r>
      <w:r w:rsidR="00851F56" w:rsidRPr="00C27AE9">
        <w:rPr>
          <w:rFonts w:ascii="Garamond" w:hAnsi="Garamond"/>
          <w:sz w:val="26"/>
          <w:szCs w:val="26"/>
        </w:rPr>
        <w:t xml:space="preserve"> </w:t>
      </w:r>
      <w:r w:rsidR="00851F56" w:rsidRPr="00C27AE9">
        <w:rPr>
          <w:rStyle w:val="Rimandonotaapidipagina"/>
          <w:rFonts w:ascii="Garamond" w:hAnsi="Garamond"/>
          <w:sz w:val="26"/>
          <w:szCs w:val="26"/>
        </w:rPr>
        <w:footnoteReference w:id="30"/>
      </w:r>
      <w:r w:rsidRPr="00C27AE9">
        <w:rPr>
          <w:rFonts w:ascii="Garamond" w:hAnsi="Garamond"/>
          <w:sz w:val="26"/>
          <w:szCs w:val="26"/>
        </w:rPr>
        <w:t>.</w:t>
      </w:r>
    </w:p>
    <w:p w14:paraId="3A36C4EA" w14:textId="7209FA08" w:rsidR="0030529A" w:rsidRPr="00C27AE9" w:rsidRDefault="0030529A" w:rsidP="00AE494E">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A quest’ultim</w:t>
      </w:r>
      <w:r w:rsidR="002114FB" w:rsidRPr="00C27AE9">
        <w:rPr>
          <w:rFonts w:ascii="Garamond" w:hAnsi="Garamond"/>
          <w:sz w:val="26"/>
          <w:szCs w:val="26"/>
        </w:rPr>
        <w:t xml:space="preserve">a si è però aggiunto </w:t>
      </w:r>
      <w:r w:rsidR="00CA72DA" w:rsidRPr="00C27AE9">
        <w:rPr>
          <w:rFonts w:ascii="Garamond" w:hAnsi="Garamond"/>
          <w:sz w:val="26"/>
          <w:szCs w:val="26"/>
        </w:rPr>
        <w:t xml:space="preserve">di recente </w:t>
      </w:r>
      <w:r w:rsidRPr="00C27AE9">
        <w:rPr>
          <w:rFonts w:ascii="Garamond" w:hAnsi="Garamond"/>
          <w:sz w:val="26"/>
          <w:szCs w:val="26"/>
        </w:rPr>
        <w:t>l’art. 24 del D.lgs n. 201 del 2022</w:t>
      </w:r>
      <w:r w:rsidR="004F44A6" w:rsidRPr="00C27AE9">
        <w:rPr>
          <w:rFonts w:ascii="Garamond" w:hAnsi="Garamond"/>
          <w:sz w:val="26"/>
          <w:szCs w:val="26"/>
        </w:rPr>
        <w:t xml:space="preserve">, che </w:t>
      </w:r>
      <w:r w:rsidR="004F44A6" w:rsidRPr="00C27AE9">
        <w:rPr>
          <w:rFonts w:ascii="Garamond" w:hAnsi="Garamond"/>
          <w:sz w:val="26"/>
          <w:szCs w:val="26"/>
        </w:rPr>
        <w:lastRenderedPageBreak/>
        <w:t>nel disciplinare il “</w:t>
      </w:r>
      <w:r w:rsidR="00CA72DA" w:rsidRPr="00C27AE9">
        <w:rPr>
          <w:rFonts w:ascii="Garamond" w:hAnsi="Garamond"/>
          <w:sz w:val="26"/>
          <w:szCs w:val="26"/>
        </w:rPr>
        <w:t>c</w:t>
      </w:r>
      <w:r w:rsidR="004F44A6" w:rsidRPr="00C27AE9">
        <w:rPr>
          <w:rFonts w:ascii="Garamond" w:hAnsi="Garamond"/>
          <w:sz w:val="26"/>
          <w:szCs w:val="26"/>
        </w:rPr>
        <w:t xml:space="preserve">ontratto di servizio” nei suoi contenuti essenziali, </w:t>
      </w:r>
      <w:r w:rsidR="00AC0745" w:rsidRPr="00C27AE9">
        <w:rPr>
          <w:rFonts w:ascii="Garamond" w:hAnsi="Garamond"/>
          <w:sz w:val="26"/>
          <w:szCs w:val="26"/>
        </w:rPr>
        <w:t xml:space="preserve">comprese </w:t>
      </w:r>
      <w:r w:rsidR="004F44A6" w:rsidRPr="00C27AE9">
        <w:rPr>
          <w:rFonts w:ascii="Garamond" w:hAnsi="Garamond"/>
          <w:sz w:val="26"/>
          <w:szCs w:val="26"/>
        </w:rPr>
        <w:t>le condizioni economiche del rapporto (comma 3 lett. e), fa espressamente “</w:t>
      </w:r>
      <w:r w:rsidR="004F44A6" w:rsidRPr="00C27AE9">
        <w:rPr>
          <w:rFonts w:ascii="Garamond" w:hAnsi="Garamond"/>
          <w:i/>
          <w:iCs/>
          <w:sz w:val="26"/>
          <w:szCs w:val="26"/>
        </w:rPr>
        <w:t>salvo quanto previsto dalle discipline di settore</w:t>
      </w:r>
      <w:r w:rsidR="004F44A6" w:rsidRPr="00C27AE9">
        <w:rPr>
          <w:rFonts w:ascii="Garamond" w:hAnsi="Garamond"/>
          <w:sz w:val="26"/>
          <w:szCs w:val="26"/>
        </w:rPr>
        <w:t>”, con espresso ed inequivoco riferimento alla regolazione quale fonte eteronoma del contratto di servizio</w:t>
      </w:r>
      <w:r w:rsidR="004F44A6" w:rsidRPr="00C27AE9">
        <w:rPr>
          <w:rStyle w:val="Rimandonotaapidipagina"/>
          <w:rFonts w:ascii="Garamond" w:hAnsi="Garamond"/>
          <w:sz w:val="26"/>
          <w:szCs w:val="26"/>
        </w:rPr>
        <w:footnoteReference w:id="31"/>
      </w:r>
      <w:r w:rsidR="004F44A6" w:rsidRPr="00C27AE9">
        <w:rPr>
          <w:rFonts w:ascii="Garamond" w:hAnsi="Garamond"/>
          <w:sz w:val="26"/>
          <w:szCs w:val="26"/>
        </w:rPr>
        <w:t>.</w:t>
      </w:r>
      <w:r w:rsidRPr="00C27AE9">
        <w:rPr>
          <w:rFonts w:ascii="Garamond" w:hAnsi="Garamond"/>
          <w:sz w:val="26"/>
          <w:szCs w:val="26"/>
        </w:rPr>
        <w:t xml:space="preserve"> </w:t>
      </w:r>
    </w:p>
    <w:p w14:paraId="10926E5A" w14:textId="3A8D8C14" w:rsidR="00782128" w:rsidRPr="00C27AE9" w:rsidRDefault="00345357" w:rsidP="0078212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Può dunque assumersi quale dato pacificamente acquisito nella giurisprudenza, quello della «</w:t>
      </w:r>
      <w:r w:rsidRPr="00C27AE9">
        <w:rPr>
          <w:rFonts w:ascii="Garamond" w:hAnsi="Garamond"/>
          <w:i/>
          <w:iCs/>
          <w:sz w:val="26"/>
          <w:szCs w:val="26"/>
        </w:rPr>
        <w:t xml:space="preserve">legittimità della introduzione del MTR, </w:t>
      </w:r>
      <w:r w:rsidR="003E7B7D" w:rsidRPr="00C27AE9">
        <w:rPr>
          <w:rFonts w:ascii="Garamond" w:hAnsi="Garamond"/>
          <w:i/>
          <w:iCs/>
          <w:sz w:val="26"/>
          <w:szCs w:val="26"/>
        </w:rPr>
        <w:t>l’irrilevanza dei rapporti negoziali preesistenti (…), (nonché) la possibilità del ‘regolatore’ di incidere sui livelli di rischio operativo trasferito sul gestore</w:t>
      </w:r>
      <w:r w:rsidR="0011018E" w:rsidRPr="00C27AE9">
        <w:rPr>
          <w:rFonts w:ascii="Garamond" w:hAnsi="Garamond"/>
          <w:sz w:val="26"/>
          <w:szCs w:val="26"/>
        </w:rPr>
        <w:t>»</w:t>
      </w:r>
      <w:r w:rsidRPr="00C27AE9">
        <w:rPr>
          <w:rFonts w:ascii="Garamond" w:hAnsi="Garamond"/>
          <w:sz w:val="26"/>
          <w:szCs w:val="26"/>
        </w:rPr>
        <w:t xml:space="preserve">; </w:t>
      </w:r>
      <w:r w:rsidR="003E7B7D" w:rsidRPr="00C27AE9">
        <w:rPr>
          <w:rFonts w:ascii="Garamond" w:hAnsi="Garamond"/>
          <w:sz w:val="26"/>
          <w:szCs w:val="26"/>
        </w:rPr>
        <w:t xml:space="preserve"> ed </w:t>
      </w:r>
      <w:r w:rsidR="0011018E" w:rsidRPr="00C27AE9">
        <w:rPr>
          <w:rFonts w:ascii="Garamond" w:hAnsi="Garamond"/>
          <w:sz w:val="26"/>
          <w:szCs w:val="26"/>
        </w:rPr>
        <w:t>«</w:t>
      </w:r>
      <w:r w:rsidR="003E7B7D" w:rsidRPr="00C27AE9">
        <w:rPr>
          <w:rFonts w:ascii="Garamond" w:hAnsi="Garamond"/>
          <w:i/>
          <w:iCs/>
          <w:sz w:val="26"/>
          <w:szCs w:val="26"/>
        </w:rPr>
        <w:t>è stata ribadita l’assenza di forme di affidamento qualificato che possano costituire limite non solo al potere regolatorio esercitato da ARERA ma anche alla relativa applicazione da parte degli enti territorialmente competenti</w:t>
      </w:r>
      <w:r w:rsidR="0011018E" w:rsidRPr="00C27AE9">
        <w:rPr>
          <w:rFonts w:ascii="Garamond" w:hAnsi="Garamond"/>
          <w:sz w:val="26"/>
          <w:szCs w:val="26"/>
        </w:rPr>
        <w:t>»</w:t>
      </w:r>
      <w:r w:rsidR="003E7B7D" w:rsidRPr="00C27AE9">
        <w:rPr>
          <w:rFonts w:ascii="Garamond" w:hAnsi="Garamond"/>
          <w:sz w:val="26"/>
          <w:szCs w:val="26"/>
        </w:rPr>
        <w:t xml:space="preserve">  per poi evidenziare che </w:t>
      </w:r>
      <w:r w:rsidR="0011018E" w:rsidRPr="00C27AE9">
        <w:rPr>
          <w:rFonts w:ascii="Garamond" w:hAnsi="Garamond"/>
          <w:sz w:val="26"/>
          <w:szCs w:val="26"/>
        </w:rPr>
        <w:t>«</w:t>
      </w:r>
      <w:r w:rsidR="003E7B7D" w:rsidRPr="00C27AE9">
        <w:rPr>
          <w:rFonts w:ascii="Garamond" w:hAnsi="Garamond"/>
          <w:i/>
          <w:iCs/>
          <w:sz w:val="26"/>
          <w:szCs w:val="26"/>
        </w:rPr>
        <w:t xml:space="preserve">l’impatto del sistema tariffario su(i) rapport(i) </w:t>
      </w:r>
      <w:r w:rsidRPr="00C27AE9">
        <w:rPr>
          <w:rFonts w:ascii="Garamond" w:hAnsi="Garamond"/>
          <w:i/>
          <w:iCs/>
          <w:sz w:val="26"/>
          <w:szCs w:val="26"/>
        </w:rPr>
        <w:t>(…)</w:t>
      </w:r>
      <w:r w:rsidR="003C2B9F" w:rsidRPr="00C27AE9">
        <w:rPr>
          <w:rFonts w:ascii="Garamond" w:hAnsi="Garamond"/>
          <w:i/>
          <w:iCs/>
          <w:sz w:val="26"/>
          <w:szCs w:val="26"/>
        </w:rPr>
        <w:t xml:space="preserve"> </w:t>
      </w:r>
      <w:r w:rsidR="003E7B7D" w:rsidRPr="00C27AE9">
        <w:rPr>
          <w:rFonts w:ascii="Garamond" w:hAnsi="Garamond"/>
          <w:i/>
          <w:iCs/>
          <w:sz w:val="26"/>
          <w:szCs w:val="26"/>
        </w:rPr>
        <w:t>esistent(i) è conforme al dettato normativo primario</w:t>
      </w:r>
      <w:r w:rsidRPr="00C27AE9">
        <w:rPr>
          <w:rFonts w:ascii="Garamond" w:hAnsi="Garamond"/>
          <w:sz w:val="26"/>
          <w:szCs w:val="26"/>
        </w:rPr>
        <w:t>»</w:t>
      </w:r>
      <w:r w:rsidR="00782128" w:rsidRPr="00C27AE9">
        <w:rPr>
          <w:rStyle w:val="Rimandonotaapidipagina"/>
          <w:rFonts w:ascii="Garamond" w:hAnsi="Garamond"/>
          <w:sz w:val="26"/>
          <w:szCs w:val="26"/>
        </w:rPr>
        <w:footnoteReference w:id="32"/>
      </w:r>
      <w:r w:rsidR="003E7B7D" w:rsidRPr="00C27AE9">
        <w:rPr>
          <w:rFonts w:ascii="Garamond" w:hAnsi="Garamond"/>
          <w:sz w:val="26"/>
          <w:szCs w:val="26"/>
        </w:rPr>
        <w:t>.</w:t>
      </w:r>
    </w:p>
    <w:p w14:paraId="7AED96CA" w14:textId="55A01248" w:rsidR="003C2B9F" w:rsidRPr="00C27AE9" w:rsidRDefault="003C2B9F" w:rsidP="007B0A6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Di recente, </w:t>
      </w:r>
      <w:r w:rsidR="007B0A6B" w:rsidRPr="00C27AE9">
        <w:rPr>
          <w:rFonts w:ascii="Garamond" w:hAnsi="Garamond"/>
          <w:sz w:val="26"/>
          <w:szCs w:val="26"/>
        </w:rPr>
        <w:t>poi,</w:t>
      </w:r>
      <w:r w:rsidRPr="00C27AE9">
        <w:rPr>
          <w:rFonts w:ascii="Garamond" w:hAnsi="Garamond"/>
          <w:sz w:val="26"/>
          <w:szCs w:val="26"/>
        </w:rPr>
        <w:t xml:space="preserve"> alcun</w:t>
      </w:r>
      <w:r w:rsidR="007B0A6B" w:rsidRPr="00C27AE9">
        <w:rPr>
          <w:rFonts w:ascii="Garamond" w:hAnsi="Garamond"/>
          <w:sz w:val="26"/>
          <w:szCs w:val="26"/>
        </w:rPr>
        <w:t xml:space="preserve">i </w:t>
      </w:r>
      <w:r w:rsidRPr="00C27AE9">
        <w:rPr>
          <w:rFonts w:ascii="Garamond" w:hAnsi="Garamond"/>
          <w:sz w:val="26"/>
          <w:szCs w:val="26"/>
        </w:rPr>
        <w:t>contenzios</w:t>
      </w:r>
      <w:r w:rsidR="007B0A6B" w:rsidRPr="00C27AE9">
        <w:rPr>
          <w:rFonts w:ascii="Garamond" w:hAnsi="Garamond"/>
          <w:sz w:val="26"/>
          <w:szCs w:val="26"/>
        </w:rPr>
        <w:t>i</w:t>
      </w:r>
      <w:r w:rsidRPr="00C27AE9">
        <w:rPr>
          <w:rFonts w:ascii="Garamond" w:hAnsi="Garamond"/>
          <w:sz w:val="26"/>
          <w:szCs w:val="26"/>
        </w:rPr>
        <w:t xml:space="preserve"> hanno </w:t>
      </w:r>
      <w:r w:rsidR="00AC0745" w:rsidRPr="00C27AE9">
        <w:rPr>
          <w:rFonts w:ascii="Garamond" w:hAnsi="Garamond"/>
          <w:sz w:val="26"/>
          <w:szCs w:val="26"/>
        </w:rPr>
        <w:t xml:space="preserve">fornito alla giurisprudenza </w:t>
      </w:r>
      <w:r w:rsidRPr="00C27AE9">
        <w:rPr>
          <w:rFonts w:ascii="Garamond" w:hAnsi="Garamond"/>
          <w:sz w:val="26"/>
          <w:szCs w:val="26"/>
        </w:rPr>
        <w:t xml:space="preserve">l’occasione per svolgere importanti precisazioni </w:t>
      </w:r>
      <w:r w:rsidR="00AC0745" w:rsidRPr="00C27AE9">
        <w:rPr>
          <w:rFonts w:ascii="Garamond" w:hAnsi="Garamond"/>
          <w:sz w:val="26"/>
          <w:szCs w:val="26"/>
        </w:rPr>
        <w:t xml:space="preserve">in relazione </w:t>
      </w:r>
      <w:r w:rsidRPr="00C27AE9">
        <w:rPr>
          <w:rFonts w:ascii="Garamond" w:hAnsi="Garamond"/>
          <w:sz w:val="26"/>
          <w:szCs w:val="26"/>
        </w:rPr>
        <w:t>alla portata espansiva dell’efficacia eterointegrativa del MTR rispetto al rapporto contrattuale</w:t>
      </w:r>
      <w:r w:rsidR="00AC0745" w:rsidRPr="00C27AE9">
        <w:rPr>
          <w:rFonts w:ascii="Garamond" w:hAnsi="Garamond"/>
          <w:sz w:val="26"/>
          <w:szCs w:val="26"/>
        </w:rPr>
        <w:t>, individuandone taluni limiti</w:t>
      </w:r>
      <w:r w:rsidRPr="00C27AE9">
        <w:rPr>
          <w:rFonts w:ascii="Garamond" w:hAnsi="Garamond"/>
          <w:sz w:val="26"/>
          <w:szCs w:val="26"/>
        </w:rPr>
        <w:t xml:space="preserve">.  </w:t>
      </w:r>
    </w:p>
    <w:p w14:paraId="4629CC4C" w14:textId="11E7C096" w:rsidR="00550D3D" w:rsidRPr="00C27AE9" w:rsidRDefault="003C2B9F" w:rsidP="00BC1849">
      <w:pPr>
        <w:pStyle w:val="Rientrocorpodeltesto"/>
        <w:widowControl w:val="0"/>
        <w:spacing w:after="0"/>
        <w:ind w:left="0" w:firstLine="454"/>
        <w:jc w:val="both"/>
        <w:rPr>
          <w:rFonts w:ascii="Garamond" w:hAnsi="Garamond"/>
          <w:i/>
          <w:iCs/>
          <w:sz w:val="26"/>
          <w:szCs w:val="26"/>
        </w:rPr>
      </w:pPr>
      <w:r w:rsidRPr="00C27AE9">
        <w:rPr>
          <w:rFonts w:ascii="Garamond" w:hAnsi="Garamond"/>
          <w:sz w:val="26"/>
          <w:szCs w:val="26"/>
        </w:rPr>
        <w:t xml:space="preserve">Dovendo infatti esprimersi sulla pretesa di </w:t>
      </w:r>
      <w:r w:rsidR="00550D3D" w:rsidRPr="00C27AE9">
        <w:rPr>
          <w:rFonts w:ascii="Garamond" w:hAnsi="Garamond"/>
          <w:sz w:val="26"/>
          <w:szCs w:val="26"/>
        </w:rPr>
        <w:t xml:space="preserve">alcuni </w:t>
      </w:r>
      <w:r w:rsidRPr="00C27AE9">
        <w:rPr>
          <w:rFonts w:ascii="Garamond" w:hAnsi="Garamond"/>
          <w:sz w:val="26"/>
          <w:szCs w:val="26"/>
        </w:rPr>
        <w:t>gestor</w:t>
      </w:r>
      <w:r w:rsidR="00550D3D" w:rsidRPr="00C27AE9">
        <w:rPr>
          <w:rFonts w:ascii="Garamond" w:hAnsi="Garamond"/>
          <w:sz w:val="26"/>
          <w:szCs w:val="26"/>
        </w:rPr>
        <w:t>i</w:t>
      </w:r>
      <w:r w:rsidRPr="00C27AE9">
        <w:rPr>
          <w:rFonts w:ascii="Garamond" w:hAnsi="Garamond"/>
          <w:sz w:val="26"/>
          <w:szCs w:val="26"/>
        </w:rPr>
        <w:t xml:space="preserve"> di vedersi riconosciuto un corrispettivo più </w:t>
      </w:r>
      <w:r w:rsidR="00AC0745" w:rsidRPr="00C27AE9">
        <w:rPr>
          <w:rFonts w:ascii="Garamond" w:hAnsi="Garamond"/>
          <w:sz w:val="26"/>
          <w:szCs w:val="26"/>
        </w:rPr>
        <w:t>elevato</w:t>
      </w:r>
      <w:r w:rsidRPr="00C27AE9">
        <w:rPr>
          <w:rFonts w:ascii="Garamond" w:hAnsi="Garamond"/>
          <w:sz w:val="26"/>
          <w:szCs w:val="26"/>
        </w:rPr>
        <w:t xml:space="preserve"> di quelle contrattuale di gara, </w:t>
      </w:r>
      <w:r w:rsidR="007B0A6B" w:rsidRPr="00C27AE9">
        <w:rPr>
          <w:rFonts w:ascii="Garamond" w:hAnsi="Garamond"/>
          <w:sz w:val="26"/>
          <w:szCs w:val="26"/>
        </w:rPr>
        <w:t xml:space="preserve">in quanto </w:t>
      </w:r>
      <w:r w:rsidR="00A44F46" w:rsidRPr="00C27AE9">
        <w:rPr>
          <w:rFonts w:ascii="Garamond" w:hAnsi="Garamond"/>
          <w:sz w:val="26"/>
          <w:szCs w:val="26"/>
        </w:rPr>
        <w:t xml:space="preserve">così </w:t>
      </w:r>
      <w:r w:rsidRPr="00C27AE9">
        <w:rPr>
          <w:rFonts w:ascii="Garamond" w:hAnsi="Garamond"/>
          <w:sz w:val="26"/>
          <w:szCs w:val="26"/>
        </w:rPr>
        <w:t xml:space="preserve">determinato </w:t>
      </w:r>
      <w:r w:rsidR="00AC0745" w:rsidRPr="00C27AE9">
        <w:rPr>
          <w:rFonts w:ascii="Garamond" w:hAnsi="Garamond"/>
          <w:sz w:val="26"/>
          <w:szCs w:val="26"/>
        </w:rPr>
        <w:t xml:space="preserve">in sede di </w:t>
      </w:r>
      <w:r w:rsidRPr="00C27AE9">
        <w:rPr>
          <w:rFonts w:ascii="Garamond" w:hAnsi="Garamond"/>
          <w:sz w:val="26"/>
          <w:szCs w:val="26"/>
        </w:rPr>
        <w:t>valida</w:t>
      </w:r>
      <w:r w:rsidR="00AC0745" w:rsidRPr="00C27AE9">
        <w:rPr>
          <w:rFonts w:ascii="Garamond" w:hAnsi="Garamond"/>
          <w:sz w:val="26"/>
          <w:szCs w:val="26"/>
        </w:rPr>
        <w:t xml:space="preserve">zione del PEF </w:t>
      </w:r>
      <w:r w:rsidRPr="00C27AE9">
        <w:rPr>
          <w:rFonts w:ascii="Garamond" w:hAnsi="Garamond"/>
          <w:sz w:val="26"/>
          <w:szCs w:val="26"/>
        </w:rPr>
        <w:t>ai sensi dell’MTR-2, il Giudice amministrativo si è espresso negativamente</w:t>
      </w:r>
      <w:r w:rsidR="00A44F46" w:rsidRPr="00C27AE9">
        <w:rPr>
          <w:rFonts w:ascii="Garamond" w:hAnsi="Garamond"/>
          <w:sz w:val="26"/>
          <w:szCs w:val="26"/>
        </w:rPr>
        <w:t xml:space="preserve">, affermando che l’eterointegrazione dei contratti da parte della regolazione di Arera può operare solo in “diminuzione” ma </w:t>
      </w:r>
      <w:r w:rsidR="00550D3D" w:rsidRPr="00C27AE9">
        <w:rPr>
          <w:rFonts w:ascii="Garamond" w:hAnsi="Garamond"/>
          <w:sz w:val="26"/>
          <w:szCs w:val="26"/>
        </w:rPr>
        <w:t>«</w:t>
      </w:r>
      <w:r w:rsidR="00550D3D" w:rsidRPr="00C27AE9">
        <w:rPr>
          <w:rFonts w:ascii="Garamond" w:hAnsi="Garamond"/>
          <w:i/>
          <w:iCs/>
          <w:sz w:val="26"/>
          <w:szCs w:val="26"/>
        </w:rPr>
        <w:t>non p</w:t>
      </w:r>
      <w:r w:rsidR="00AC0745" w:rsidRPr="00C27AE9">
        <w:rPr>
          <w:rFonts w:ascii="Garamond" w:hAnsi="Garamond"/>
          <w:i/>
          <w:iCs/>
          <w:sz w:val="26"/>
          <w:szCs w:val="26"/>
        </w:rPr>
        <w:t>(uò)</w:t>
      </w:r>
      <w:r w:rsidR="00550D3D" w:rsidRPr="00C27AE9">
        <w:rPr>
          <w:rFonts w:ascii="Garamond" w:hAnsi="Garamond"/>
          <w:i/>
          <w:iCs/>
          <w:sz w:val="26"/>
          <w:szCs w:val="26"/>
        </w:rPr>
        <w:t xml:space="preserve"> valere in aumento rispetto ai corrispettivi contrattuali pattuiti con il gestore del servizio</w:t>
      </w:r>
      <w:r w:rsidR="00550D3D" w:rsidRPr="00C27AE9">
        <w:rPr>
          <w:rFonts w:ascii="Garamond" w:hAnsi="Garamond"/>
          <w:sz w:val="26"/>
          <w:szCs w:val="26"/>
        </w:rPr>
        <w:t>».</w:t>
      </w:r>
    </w:p>
    <w:p w14:paraId="277C1B01" w14:textId="33AA4FF3" w:rsidR="00EB1A9A" w:rsidRPr="00C27AE9" w:rsidRDefault="00CD1301" w:rsidP="00EB1A9A">
      <w:pPr>
        <w:pStyle w:val="Rientrocorpodeltesto"/>
        <w:widowControl w:val="0"/>
        <w:spacing w:after="0"/>
        <w:ind w:left="0" w:firstLine="454"/>
        <w:jc w:val="both"/>
        <w:rPr>
          <w:rFonts w:ascii="Garamond" w:hAnsi="Garamond"/>
          <w:i/>
          <w:iCs/>
          <w:sz w:val="26"/>
          <w:szCs w:val="26"/>
        </w:rPr>
      </w:pPr>
      <w:r w:rsidRPr="00C27AE9">
        <w:rPr>
          <w:rFonts w:ascii="Garamond" w:hAnsi="Garamond"/>
          <w:sz w:val="26"/>
          <w:szCs w:val="26"/>
        </w:rPr>
        <w:t xml:space="preserve">Si è </w:t>
      </w:r>
      <w:r w:rsidR="00550D3D" w:rsidRPr="00C27AE9">
        <w:rPr>
          <w:rFonts w:ascii="Garamond" w:hAnsi="Garamond"/>
          <w:sz w:val="26"/>
          <w:szCs w:val="26"/>
        </w:rPr>
        <w:t>osservato al riguardo</w:t>
      </w:r>
      <w:r w:rsidR="00574831" w:rsidRPr="00C27AE9">
        <w:rPr>
          <w:rFonts w:ascii="Garamond" w:hAnsi="Garamond"/>
          <w:sz w:val="26"/>
          <w:szCs w:val="26"/>
        </w:rPr>
        <w:t xml:space="preserve"> </w:t>
      </w:r>
      <w:r w:rsidR="00550D3D" w:rsidRPr="00C27AE9">
        <w:rPr>
          <w:rFonts w:ascii="Garamond" w:hAnsi="Garamond"/>
          <w:sz w:val="26"/>
          <w:szCs w:val="26"/>
        </w:rPr>
        <w:t>che «</w:t>
      </w:r>
      <w:r w:rsidR="00550D3D" w:rsidRPr="00C27AE9">
        <w:rPr>
          <w:rFonts w:ascii="Garamond" w:hAnsi="Garamond"/>
          <w:i/>
          <w:iCs/>
          <w:sz w:val="26"/>
          <w:szCs w:val="26"/>
        </w:rPr>
        <w:t>un’eterointegrazione che operasse</w:t>
      </w:r>
      <w:r w:rsidR="003A4526" w:rsidRPr="00C27AE9">
        <w:rPr>
          <w:rFonts w:ascii="Garamond" w:hAnsi="Garamond"/>
          <w:i/>
          <w:iCs/>
          <w:sz w:val="26"/>
          <w:szCs w:val="26"/>
        </w:rPr>
        <w:t xml:space="preserve"> </w:t>
      </w:r>
      <w:r w:rsidR="00550D3D" w:rsidRPr="00C27AE9">
        <w:rPr>
          <w:rFonts w:ascii="Garamond" w:hAnsi="Garamond"/>
          <w:i/>
          <w:iCs/>
          <w:sz w:val="26"/>
          <w:szCs w:val="26"/>
        </w:rPr>
        <w:t>in aumento rispetto ai prezzi pattuiti tra gli enti territorialmente competenti e i gestori, sarebbe in contrasto con la finalità di assicurare “condizioni di efficienza ed economicità della gestione”, alla quale – secondo l’espressa previsione dell’art. 1, co. 527, legge 205/2017 – deve essere orientato il potere regolatorio di ARERA</w:t>
      </w:r>
      <w:r w:rsidR="00EB1A9A" w:rsidRPr="00C27AE9">
        <w:rPr>
          <w:rFonts w:ascii="Garamond" w:hAnsi="Garamond"/>
          <w:i/>
          <w:iCs/>
          <w:sz w:val="26"/>
          <w:szCs w:val="26"/>
        </w:rPr>
        <w:t xml:space="preserve"> (…). </w:t>
      </w:r>
      <w:r w:rsidR="00550D3D" w:rsidRPr="00C27AE9">
        <w:rPr>
          <w:rFonts w:ascii="Garamond" w:hAnsi="Garamond"/>
          <w:i/>
          <w:iCs/>
          <w:sz w:val="26"/>
          <w:szCs w:val="26"/>
        </w:rPr>
        <w:t>Infatti, in presenza di un prezzo più conveniente per l’ente pubblico, frutto dell’esperimento di una procedura di gara per l’affidamento del servizio di gestione dei rifiuti, l’automatica elevazione di tale prezzo fino al prezzo massimo risultante dall’applicazione del metodo tariffario introdotto da ARERA, e delle sue successive modifiche che via via intervengano nel corso del tempo, determinerebbe una perdita di efficienza nella gestione del servizio, per il quale, a parità di qualità, dovrebbero essere impiegate maggiori risorse economiche da parte dell’ente pubblico, da recuperare presumibilmente con un incremento della TARI.</w:t>
      </w:r>
    </w:p>
    <w:p w14:paraId="5676E2A7" w14:textId="21642031" w:rsidR="00550D3D" w:rsidRPr="00C27AE9" w:rsidRDefault="00EB1A9A" w:rsidP="00EB1A9A">
      <w:pPr>
        <w:pStyle w:val="Rientrocorpodeltesto"/>
        <w:widowControl w:val="0"/>
        <w:spacing w:after="0"/>
        <w:ind w:left="0" w:firstLine="454"/>
        <w:jc w:val="both"/>
        <w:rPr>
          <w:rFonts w:ascii="Garamond" w:hAnsi="Garamond"/>
          <w:i/>
          <w:iCs/>
          <w:sz w:val="26"/>
          <w:szCs w:val="26"/>
        </w:rPr>
      </w:pPr>
      <w:r w:rsidRPr="00C27AE9">
        <w:rPr>
          <w:rFonts w:ascii="Garamond" w:hAnsi="Garamond"/>
          <w:i/>
          <w:iCs/>
          <w:sz w:val="26"/>
          <w:szCs w:val="26"/>
        </w:rPr>
        <w:t xml:space="preserve">(…) </w:t>
      </w:r>
      <w:r w:rsidR="00550D3D" w:rsidRPr="00C27AE9">
        <w:rPr>
          <w:rFonts w:ascii="Garamond" w:hAnsi="Garamond"/>
          <w:i/>
          <w:iCs/>
          <w:sz w:val="26"/>
          <w:szCs w:val="26"/>
        </w:rPr>
        <w:t>Un’eterointegrazione che operasse anche in aumento rispetto ai prezzi pattuiti, inoltre, non si concilierebbe con la disciplina di derivazione europea delle gare per l’affidamento del servizio, che con quell’eterointegrazione in aumento potrebbe essere facilmente elusa, qualora un concorrente si aggiudicasse la gara con un’offerta economica bassa ma poi, in corso di esecuzione del contratto, proponesse un p.e.f. con costi maggiorati, che fosse approvato dal Comune: in questo modo l’offerta economica bassa, che aveva consentito all’operatore di aggiudicarsi la gara, verrebbe sostanzialmente superata e sostituita con un prezzo maggiore a carico del Comune</w:t>
      </w:r>
      <w:r w:rsidRPr="00C27AE9">
        <w:rPr>
          <w:rFonts w:ascii="Garamond" w:hAnsi="Garamond"/>
          <w:i/>
          <w:iCs/>
          <w:sz w:val="26"/>
          <w:szCs w:val="26"/>
        </w:rPr>
        <w:t>»</w:t>
      </w:r>
      <w:r w:rsidRPr="00C27AE9">
        <w:rPr>
          <w:rStyle w:val="Rimandonotaapidipagina"/>
          <w:rFonts w:ascii="Garamond" w:hAnsi="Garamond"/>
          <w:i/>
          <w:iCs/>
          <w:sz w:val="26"/>
          <w:szCs w:val="26"/>
        </w:rPr>
        <w:footnoteReference w:id="33"/>
      </w:r>
      <w:r w:rsidR="00574831" w:rsidRPr="00C27AE9">
        <w:rPr>
          <w:rFonts w:ascii="Garamond" w:hAnsi="Garamond"/>
          <w:i/>
          <w:iCs/>
          <w:sz w:val="26"/>
          <w:szCs w:val="26"/>
        </w:rPr>
        <w:t>.</w:t>
      </w:r>
    </w:p>
    <w:p w14:paraId="1D859ECD" w14:textId="605EB6B2" w:rsidR="003C2B9F" w:rsidRPr="00C27AE9" w:rsidRDefault="00BC1849" w:rsidP="00A44F46">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N</w:t>
      </w:r>
      <w:r w:rsidR="007C6D6E" w:rsidRPr="00C27AE9">
        <w:rPr>
          <w:rFonts w:ascii="Garamond" w:hAnsi="Garamond"/>
          <w:sz w:val="26"/>
          <w:szCs w:val="26"/>
        </w:rPr>
        <w:t>el conf</w:t>
      </w:r>
      <w:r w:rsidRPr="00C27AE9">
        <w:rPr>
          <w:rFonts w:ascii="Garamond" w:hAnsi="Garamond"/>
          <w:sz w:val="26"/>
          <w:szCs w:val="26"/>
        </w:rPr>
        <w:t>e</w:t>
      </w:r>
      <w:r w:rsidR="007C6D6E" w:rsidRPr="00C27AE9">
        <w:rPr>
          <w:rFonts w:ascii="Garamond" w:hAnsi="Garamond"/>
          <w:sz w:val="26"/>
          <w:szCs w:val="26"/>
        </w:rPr>
        <w:t xml:space="preserve">rmare tale indirizzo, </w:t>
      </w:r>
      <w:r w:rsidRPr="00C27AE9">
        <w:rPr>
          <w:rFonts w:ascii="Garamond" w:hAnsi="Garamond"/>
          <w:sz w:val="26"/>
          <w:szCs w:val="26"/>
        </w:rPr>
        <w:t xml:space="preserve">il giudice d’appello </w:t>
      </w:r>
      <w:r w:rsidR="007C6D6E" w:rsidRPr="00C27AE9">
        <w:rPr>
          <w:rFonts w:ascii="Garamond" w:hAnsi="Garamond"/>
          <w:sz w:val="26"/>
          <w:szCs w:val="26"/>
        </w:rPr>
        <w:t xml:space="preserve">ha osservato che </w:t>
      </w:r>
      <w:r w:rsidR="00A44F46" w:rsidRPr="00C27AE9">
        <w:rPr>
          <w:rFonts w:ascii="Garamond" w:hAnsi="Garamond"/>
          <w:sz w:val="26"/>
          <w:szCs w:val="26"/>
        </w:rPr>
        <w:t>«</w:t>
      </w:r>
      <w:r w:rsidR="00A44F46" w:rsidRPr="00C27AE9">
        <w:rPr>
          <w:rFonts w:ascii="Garamond" w:hAnsi="Garamond"/>
          <w:i/>
          <w:iCs/>
          <w:sz w:val="26"/>
          <w:szCs w:val="26"/>
        </w:rPr>
        <w:t xml:space="preserve">il sistema del MTR è volto istituzionalmente all’efficiente contenimento dei costi, non ad una particolare remunerazione del capitale privato, remunerazione che anzi, allargando la visuale a tutte le tariffazioni che seguono il </w:t>
      </w:r>
      <w:r w:rsidR="00A44F46" w:rsidRPr="00C27AE9">
        <w:rPr>
          <w:rFonts w:ascii="Garamond" w:hAnsi="Garamond"/>
          <w:i/>
          <w:iCs/>
          <w:sz w:val="26"/>
          <w:szCs w:val="26"/>
        </w:rPr>
        <w:lastRenderedPageBreak/>
        <w:t>metodo del price cap, è tendenzialmente avversata dall’ordinamento. (…) Di conseguenza, non è affatto assurdo, né illegittimo, che a fronte di un risultato migliore ottenuto mediante la gara concorrenziale, il Comune faccia proprio il relativo vantaggio così ottenuto e non lo riversi puramente e semplicemente all’operatore privato, in accordo con quanto prevedono le clausole delle deliber</w:t>
      </w:r>
      <w:r w:rsidR="00574831" w:rsidRPr="00C27AE9">
        <w:rPr>
          <w:rFonts w:ascii="Garamond" w:hAnsi="Garamond"/>
          <w:i/>
          <w:iCs/>
          <w:sz w:val="26"/>
          <w:szCs w:val="26"/>
        </w:rPr>
        <w:t>e</w:t>
      </w:r>
      <w:r w:rsidR="00A44F46" w:rsidRPr="00C27AE9">
        <w:rPr>
          <w:rFonts w:ascii="Garamond" w:hAnsi="Garamond"/>
          <w:sz w:val="26"/>
          <w:szCs w:val="26"/>
        </w:rPr>
        <w:t>»</w:t>
      </w:r>
      <w:r w:rsidR="00A44F46" w:rsidRPr="00C27AE9">
        <w:rPr>
          <w:rStyle w:val="Rimandonotaapidipagina"/>
          <w:rFonts w:ascii="Garamond" w:hAnsi="Garamond"/>
          <w:sz w:val="26"/>
          <w:szCs w:val="26"/>
        </w:rPr>
        <w:footnoteReference w:id="34"/>
      </w:r>
      <w:r w:rsidR="000E3949" w:rsidRPr="00C27AE9">
        <w:rPr>
          <w:rFonts w:ascii="Garamond" w:hAnsi="Garamond"/>
          <w:sz w:val="26"/>
          <w:szCs w:val="26"/>
        </w:rPr>
        <w:t>.</w:t>
      </w:r>
    </w:p>
    <w:p w14:paraId="2E7015B9" w14:textId="28B598DF" w:rsidR="00F143E8" w:rsidRPr="00C27AE9" w:rsidRDefault="00574831" w:rsidP="00A44F46">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Si è </w:t>
      </w:r>
      <w:r w:rsidR="0011018E" w:rsidRPr="00C27AE9">
        <w:rPr>
          <w:rFonts w:ascii="Garamond" w:hAnsi="Garamond"/>
          <w:sz w:val="26"/>
          <w:szCs w:val="26"/>
        </w:rPr>
        <w:t xml:space="preserve">dunque </w:t>
      </w:r>
      <w:r w:rsidR="00F143E8" w:rsidRPr="00C27AE9">
        <w:rPr>
          <w:rFonts w:ascii="Garamond" w:hAnsi="Garamond"/>
          <w:sz w:val="26"/>
          <w:szCs w:val="26"/>
        </w:rPr>
        <w:t xml:space="preserve">consolidato l’indirizzo secondo cui </w:t>
      </w:r>
      <w:r w:rsidR="0011018E" w:rsidRPr="00C27AE9">
        <w:rPr>
          <w:rFonts w:ascii="Garamond" w:hAnsi="Garamond"/>
          <w:sz w:val="26"/>
          <w:szCs w:val="26"/>
        </w:rPr>
        <w:t>l’</w:t>
      </w:r>
      <w:r w:rsidR="00F143E8" w:rsidRPr="00C27AE9">
        <w:rPr>
          <w:rFonts w:ascii="Garamond" w:hAnsi="Garamond"/>
          <w:sz w:val="26"/>
          <w:szCs w:val="26"/>
        </w:rPr>
        <w:t>eterointegrazione dei contratti da parte della regolazione di Arera</w:t>
      </w:r>
      <w:r w:rsidR="00C467DF" w:rsidRPr="00C27AE9">
        <w:rPr>
          <w:rFonts w:ascii="Garamond" w:hAnsi="Garamond"/>
          <w:sz w:val="26"/>
          <w:szCs w:val="26"/>
        </w:rPr>
        <w:t xml:space="preserve"> </w:t>
      </w:r>
      <w:r w:rsidRPr="00C27AE9">
        <w:rPr>
          <w:rFonts w:ascii="Garamond" w:hAnsi="Garamond"/>
          <w:sz w:val="26"/>
          <w:szCs w:val="26"/>
        </w:rPr>
        <w:t xml:space="preserve">con riferimento </w:t>
      </w:r>
      <w:r w:rsidR="00C467DF" w:rsidRPr="00C27AE9">
        <w:rPr>
          <w:rFonts w:ascii="Garamond" w:hAnsi="Garamond"/>
          <w:sz w:val="26"/>
          <w:szCs w:val="26"/>
        </w:rPr>
        <w:t>alla determinazione dei corrispettivi</w:t>
      </w:r>
      <w:r w:rsidR="00F143E8" w:rsidRPr="00C27AE9">
        <w:rPr>
          <w:rFonts w:ascii="Garamond" w:hAnsi="Garamond"/>
          <w:sz w:val="26"/>
          <w:szCs w:val="26"/>
        </w:rPr>
        <w:t xml:space="preserve"> può operare solo in “diminuzione” e giammai “in aumento”</w:t>
      </w:r>
      <w:r w:rsidR="00E428EE" w:rsidRPr="00C27AE9">
        <w:rPr>
          <w:rFonts w:ascii="Garamond" w:hAnsi="Garamond"/>
          <w:sz w:val="26"/>
          <w:szCs w:val="26"/>
        </w:rPr>
        <w:t xml:space="preserve">; in ciò evidentemente individuandosi un plausibile punto di equilibrio nella dialettica tra la fonte regolatoria e la disciplina contrattuale del rapporto di servizio.  </w:t>
      </w:r>
    </w:p>
    <w:p w14:paraId="77A2908B" w14:textId="63CE7DFF" w:rsidR="00C467DF" w:rsidRPr="00C27AE9" w:rsidRDefault="00C467DF" w:rsidP="00A44F46">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Emerge in ogni caso</w:t>
      </w:r>
      <w:r w:rsidR="00286069" w:rsidRPr="00C27AE9">
        <w:rPr>
          <w:rFonts w:ascii="Garamond" w:hAnsi="Garamond"/>
          <w:sz w:val="26"/>
          <w:szCs w:val="26"/>
        </w:rPr>
        <w:t>, da quanto sopra,</w:t>
      </w:r>
      <w:r w:rsidRPr="00C27AE9">
        <w:rPr>
          <w:rFonts w:ascii="Garamond" w:hAnsi="Garamond"/>
          <w:sz w:val="26"/>
          <w:szCs w:val="26"/>
        </w:rPr>
        <w:t xml:space="preserve"> il riconoscimento dell’incidenza diretta dei provvedimenti di determinazione tariff</w:t>
      </w:r>
      <w:r w:rsidR="00E428EE" w:rsidRPr="00C27AE9">
        <w:rPr>
          <w:rFonts w:ascii="Garamond" w:hAnsi="Garamond"/>
          <w:sz w:val="26"/>
          <w:szCs w:val="26"/>
        </w:rPr>
        <w:t xml:space="preserve">aria </w:t>
      </w:r>
      <w:r w:rsidRPr="00C27AE9">
        <w:rPr>
          <w:rFonts w:ascii="Garamond" w:hAnsi="Garamond"/>
          <w:sz w:val="26"/>
          <w:szCs w:val="26"/>
        </w:rPr>
        <w:t>che l’ETC adotta in applicazione del MTR sul corrispettivo contrattuale (canone del servizio)</w:t>
      </w:r>
      <w:r w:rsidR="00E428EE" w:rsidRPr="00C27AE9">
        <w:rPr>
          <w:rFonts w:ascii="Garamond" w:hAnsi="Garamond"/>
          <w:sz w:val="26"/>
          <w:szCs w:val="26"/>
        </w:rPr>
        <w:t xml:space="preserve">; </w:t>
      </w:r>
      <w:r w:rsidRPr="00C27AE9">
        <w:rPr>
          <w:rFonts w:ascii="Garamond" w:hAnsi="Garamond"/>
          <w:sz w:val="26"/>
          <w:szCs w:val="26"/>
        </w:rPr>
        <w:t xml:space="preserve">laddove </w:t>
      </w:r>
      <w:r w:rsidR="00E428EE" w:rsidRPr="00C27AE9">
        <w:rPr>
          <w:rFonts w:ascii="Garamond" w:hAnsi="Garamond"/>
          <w:sz w:val="26"/>
          <w:szCs w:val="26"/>
        </w:rPr>
        <w:t xml:space="preserve">infatti, </w:t>
      </w:r>
      <w:r w:rsidRPr="00C27AE9">
        <w:rPr>
          <w:rFonts w:ascii="Garamond" w:hAnsi="Garamond"/>
          <w:sz w:val="26"/>
          <w:szCs w:val="26"/>
        </w:rPr>
        <w:t>quest’ultimo risulti maggiore dell’importo complessivo dei costi riconosciuti quali costi efficienti</w:t>
      </w:r>
      <w:r w:rsidR="00574831" w:rsidRPr="00C27AE9">
        <w:rPr>
          <w:rFonts w:ascii="Garamond" w:hAnsi="Garamond"/>
          <w:sz w:val="26"/>
          <w:szCs w:val="26"/>
        </w:rPr>
        <w:t xml:space="preserve">, </w:t>
      </w:r>
      <w:r w:rsidR="00E428EE" w:rsidRPr="00C27AE9">
        <w:rPr>
          <w:rFonts w:ascii="Garamond" w:hAnsi="Garamond"/>
          <w:sz w:val="26"/>
          <w:szCs w:val="26"/>
        </w:rPr>
        <w:t xml:space="preserve">in applicazione </w:t>
      </w:r>
      <w:r w:rsidR="00574831" w:rsidRPr="00C27AE9">
        <w:rPr>
          <w:rFonts w:ascii="Garamond" w:hAnsi="Garamond"/>
          <w:sz w:val="26"/>
          <w:szCs w:val="26"/>
        </w:rPr>
        <w:t xml:space="preserve">dell’art. 2 comma 17 n. 481/1995 </w:t>
      </w:r>
      <w:r w:rsidR="00E428EE" w:rsidRPr="00C27AE9">
        <w:rPr>
          <w:rFonts w:ascii="Garamond" w:hAnsi="Garamond"/>
          <w:sz w:val="26"/>
          <w:szCs w:val="26"/>
        </w:rPr>
        <w:t xml:space="preserve">detto canone dovrà essere ricondotto al </w:t>
      </w:r>
      <w:r w:rsidR="00574831" w:rsidRPr="00C27AE9">
        <w:rPr>
          <w:rFonts w:ascii="Garamond" w:hAnsi="Garamond"/>
          <w:sz w:val="26"/>
          <w:szCs w:val="26"/>
        </w:rPr>
        <w:t xml:space="preserve">prezzo </w:t>
      </w:r>
      <w:r w:rsidR="00E428EE" w:rsidRPr="00C27AE9">
        <w:rPr>
          <w:rFonts w:ascii="Garamond" w:hAnsi="Garamond"/>
          <w:sz w:val="26"/>
          <w:szCs w:val="26"/>
        </w:rPr>
        <w:t xml:space="preserve">(tetto) </w:t>
      </w:r>
      <w:r w:rsidR="00574831" w:rsidRPr="00C27AE9">
        <w:rPr>
          <w:rFonts w:ascii="Garamond" w:hAnsi="Garamond"/>
          <w:sz w:val="26"/>
          <w:szCs w:val="26"/>
        </w:rPr>
        <w:t>massimo riconoscibile a favore del gestore</w:t>
      </w:r>
      <w:r w:rsidR="00E428EE" w:rsidRPr="00C27AE9">
        <w:rPr>
          <w:rFonts w:ascii="Garamond" w:hAnsi="Garamond"/>
          <w:sz w:val="26"/>
          <w:szCs w:val="26"/>
        </w:rPr>
        <w:t xml:space="preserve"> in virtù del MTR</w:t>
      </w:r>
      <w:r w:rsidR="00574831" w:rsidRPr="00C27AE9">
        <w:rPr>
          <w:rFonts w:ascii="Garamond" w:hAnsi="Garamond"/>
          <w:sz w:val="26"/>
          <w:szCs w:val="26"/>
        </w:rPr>
        <w:t>.</w:t>
      </w:r>
      <w:r w:rsidRPr="00C27AE9">
        <w:rPr>
          <w:rFonts w:ascii="Garamond" w:hAnsi="Garamond"/>
          <w:sz w:val="26"/>
          <w:szCs w:val="26"/>
        </w:rPr>
        <w:t xml:space="preserve"> </w:t>
      </w:r>
    </w:p>
    <w:p w14:paraId="7F8BD287" w14:textId="139059EB" w:rsidR="00FB77B0" w:rsidRPr="00C27AE9" w:rsidRDefault="00B30296" w:rsidP="001F13AE">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La </w:t>
      </w:r>
      <w:r w:rsidR="00574831" w:rsidRPr="00C27AE9">
        <w:rPr>
          <w:rFonts w:ascii="Garamond" w:hAnsi="Garamond"/>
          <w:sz w:val="26"/>
          <w:szCs w:val="26"/>
        </w:rPr>
        <w:t>fonte eteronoma regolatoria</w:t>
      </w:r>
      <w:r w:rsidRPr="00C27AE9">
        <w:rPr>
          <w:rFonts w:ascii="Garamond" w:hAnsi="Garamond"/>
          <w:sz w:val="26"/>
          <w:szCs w:val="26"/>
        </w:rPr>
        <w:t xml:space="preserve">, tuttavia, non opera solo rispetto al contenuto </w:t>
      </w:r>
      <w:r w:rsidR="007B0A6B" w:rsidRPr="00C27AE9">
        <w:rPr>
          <w:rFonts w:ascii="Garamond" w:hAnsi="Garamond"/>
          <w:sz w:val="26"/>
          <w:szCs w:val="26"/>
        </w:rPr>
        <w:t xml:space="preserve">economico </w:t>
      </w:r>
      <w:r w:rsidRPr="00C27AE9">
        <w:rPr>
          <w:rFonts w:ascii="Garamond" w:hAnsi="Garamond"/>
          <w:sz w:val="26"/>
          <w:szCs w:val="26"/>
        </w:rPr>
        <w:t xml:space="preserve">del contratto; l’art. 1 comma 527 l.n. 205/2017, infatti, alla lett. e), </w:t>
      </w:r>
      <w:r w:rsidR="00E74C6C" w:rsidRPr="00C27AE9">
        <w:rPr>
          <w:rFonts w:ascii="Garamond" w:hAnsi="Garamond"/>
          <w:sz w:val="26"/>
          <w:szCs w:val="26"/>
        </w:rPr>
        <w:t xml:space="preserve">affida all’Autorità anche il compito </w:t>
      </w:r>
      <w:r w:rsidR="007B0A6B" w:rsidRPr="00C27AE9">
        <w:rPr>
          <w:rFonts w:ascii="Garamond" w:hAnsi="Garamond"/>
          <w:sz w:val="26"/>
          <w:szCs w:val="26"/>
        </w:rPr>
        <w:t>relativo a</w:t>
      </w:r>
      <w:r w:rsidR="00E74C6C" w:rsidRPr="00C27AE9">
        <w:rPr>
          <w:rFonts w:ascii="Garamond" w:hAnsi="Garamond"/>
          <w:sz w:val="26"/>
          <w:szCs w:val="26"/>
        </w:rPr>
        <w:t>lla “</w:t>
      </w:r>
      <w:r w:rsidRPr="00C27AE9">
        <w:rPr>
          <w:rFonts w:ascii="Garamond" w:hAnsi="Garamond"/>
          <w:i/>
          <w:iCs/>
          <w:sz w:val="26"/>
          <w:szCs w:val="26"/>
        </w:rPr>
        <w:t>definizione di schemi tipo dei contratti di servizio di cui all'articolo 203 del decreto legislativo 3 aprile 2006, n. 152</w:t>
      </w:r>
      <w:r w:rsidR="00E74C6C" w:rsidRPr="00C27AE9">
        <w:rPr>
          <w:rFonts w:ascii="Garamond" w:hAnsi="Garamond"/>
          <w:i/>
          <w:iCs/>
          <w:sz w:val="26"/>
          <w:szCs w:val="26"/>
        </w:rPr>
        <w:t>”</w:t>
      </w:r>
      <w:r w:rsidR="00E74C6C" w:rsidRPr="00C27AE9">
        <w:rPr>
          <w:rFonts w:ascii="Garamond" w:hAnsi="Garamond"/>
          <w:sz w:val="26"/>
          <w:szCs w:val="26"/>
        </w:rPr>
        <w:t>.</w:t>
      </w:r>
      <w:r w:rsidR="00FB77B0" w:rsidRPr="00C27AE9">
        <w:rPr>
          <w:rFonts w:ascii="Garamond" w:hAnsi="Garamond"/>
          <w:sz w:val="26"/>
          <w:szCs w:val="26"/>
        </w:rPr>
        <w:t xml:space="preserve"> </w:t>
      </w:r>
      <w:r w:rsidR="001F13AE" w:rsidRPr="00C27AE9">
        <w:rPr>
          <w:rFonts w:ascii="Garamond" w:hAnsi="Garamond"/>
          <w:sz w:val="26"/>
          <w:szCs w:val="26"/>
        </w:rPr>
        <w:t>Analoga previsione contempla l’articolo 7, comma 2, del d.lgs. 201/2022.</w:t>
      </w:r>
    </w:p>
    <w:p w14:paraId="3455EE85" w14:textId="13549C81" w:rsidR="001F13AE" w:rsidRPr="00C27AE9" w:rsidRDefault="00294854" w:rsidP="001F13AE">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ARERA ha esercitato tale </w:t>
      </w:r>
      <w:r w:rsidR="00574831" w:rsidRPr="00C27AE9">
        <w:rPr>
          <w:rFonts w:ascii="Garamond" w:hAnsi="Garamond"/>
          <w:sz w:val="26"/>
          <w:szCs w:val="26"/>
        </w:rPr>
        <w:t xml:space="preserve">specifica </w:t>
      </w:r>
      <w:r w:rsidRPr="00C27AE9">
        <w:rPr>
          <w:rFonts w:ascii="Garamond" w:hAnsi="Garamond"/>
          <w:sz w:val="26"/>
          <w:szCs w:val="26"/>
        </w:rPr>
        <w:t>competenza</w:t>
      </w:r>
      <w:r w:rsidR="001F13AE" w:rsidRPr="00C27AE9">
        <w:rPr>
          <w:rFonts w:ascii="Garamond" w:hAnsi="Garamond"/>
          <w:sz w:val="26"/>
          <w:szCs w:val="26"/>
        </w:rPr>
        <w:t xml:space="preserve"> adottando la delibera n. 385 del 3 agosto 2023, con la quale ha approvato lo schema tipo di contratto di servizio per la regolazione dei rapporti fra enti affidanti e gestori del servizio dei rifiuti urbani. Tale atto fissa i contenuti minimi essenziali obbligatoriamente richiesti dalla normativa vigente, ferma restando l’autonomia contrattuale delle parti nel disciplinare contenuti ulteriori, nel rispetto della normativa vigente e dei provvedimenti di regolazione dell’Autorità.</w:t>
      </w:r>
    </w:p>
    <w:p w14:paraId="4447990E" w14:textId="1BCBD0C4" w:rsidR="00294854" w:rsidRPr="00C27AE9" w:rsidRDefault="001F13AE" w:rsidP="001F13AE">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La delibera in questione ha previsto altresì che i contratti di servizio in essere siano resi conformi allo schema tipo</w:t>
      </w:r>
      <w:r w:rsidR="00EF05DB" w:rsidRPr="00C27AE9">
        <w:rPr>
          <w:rFonts w:ascii="Garamond" w:hAnsi="Garamond"/>
          <w:sz w:val="26"/>
          <w:szCs w:val="26"/>
        </w:rPr>
        <w:t xml:space="preserve"> entr</w:t>
      </w:r>
      <w:r w:rsidR="00574831" w:rsidRPr="00C27AE9">
        <w:rPr>
          <w:rFonts w:ascii="Garamond" w:hAnsi="Garamond"/>
          <w:sz w:val="26"/>
          <w:szCs w:val="26"/>
        </w:rPr>
        <w:t xml:space="preserve">o </w:t>
      </w:r>
      <w:r w:rsidR="00EF05DB" w:rsidRPr="00C27AE9">
        <w:rPr>
          <w:rFonts w:ascii="Garamond" w:hAnsi="Garamond"/>
          <w:sz w:val="26"/>
          <w:szCs w:val="26"/>
        </w:rPr>
        <w:t>un termine prefissato (ordinatorio).</w:t>
      </w:r>
    </w:p>
    <w:p w14:paraId="09FBEC0E" w14:textId="1AD0A3A5" w:rsidR="007B0A6B" w:rsidRPr="00C27AE9" w:rsidRDefault="00FB77B0" w:rsidP="00FB77B0">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Come recentemente chiaritosi, la disciplina del contratto redatto dall</w:t>
      </w:r>
      <w:r w:rsidR="00BB39D4">
        <w:rPr>
          <w:rFonts w:ascii="Garamond" w:hAnsi="Garamond"/>
          <w:sz w:val="26"/>
          <w:szCs w:val="26"/>
        </w:rPr>
        <w:t>’Ente affidante</w:t>
      </w:r>
      <w:r w:rsidRPr="00C27AE9">
        <w:rPr>
          <w:rFonts w:ascii="Garamond" w:hAnsi="Garamond"/>
          <w:sz w:val="26"/>
          <w:szCs w:val="26"/>
        </w:rPr>
        <w:t xml:space="preserve"> è in ogni caso </w:t>
      </w:r>
      <w:r w:rsidR="007B0A6B" w:rsidRPr="00C27AE9">
        <w:rPr>
          <w:rFonts w:ascii="Garamond" w:hAnsi="Garamond"/>
          <w:sz w:val="26"/>
          <w:szCs w:val="26"/>
        </w:rPr>
        <w:t>«</w:t>
      </w:r>
      <w:r w:rsidRPr="00C27AE9">
        <w:rPr>
          <w:rFonts w:ascii="Garamond" w:hAnsi="Garamond"/>
          <w:i/>
          <w:iCs/>
          <w:sz w:val="26"/>
          <w:szCs w:val="26"/>
        </w:rPr>
        <w:t>eterointegrata dalla disciplina cogente ed imperativa della Deliberazione Arera n. 385/2023 /RIF e dal relativo Schema tipo di Contratto ad essa allegato</w:t>
      </w:r>
      <w:r w:rsidR="007B0A6B" w:rsidRPr="00C27AE9">
        <w:rPr>
          <w:rFonts w:ascii="Garamond" w:hAnsi="Garamond"/>
          <w:sz w:val="26"/>
          <w:szCs w:val="26"/>
        </w:rPr>
        <w:t>»</w:t>
      </w:r>
      <w:r w:rsidR="007B0A6B" w:rsidRPr="00C27AE9">
        <w:rPr>
          <w:rStyle w:val="Rimandonotaapidipagina"/>
          <w:rFonts w:ascii="Garamond" w:hAnsi="Garamond"/>
          <w:sz w:val="26"/>
          <w:szCs w:val="26"/>
        </w:rPr>
        <w:footnoteReference w:id="35"/>
      </w:r>
      <w:r w:rsidRPr="00C27AE9">
        <w:rPr>
          <w:rFonts w:ascii="Garamond" w:hAnsi="Garamond"/>
          <w:sz w:val="26"/>
          <w:szCs w:val="26"/>
        </w:rPr>
        <w:t>.</w:t>
      </w:r>
    </w:p>
    <w:p w14:paraId="786A0B2E" w14:textId="1C840FC4" w:rsidR="001F13AE" w:rsidRPr="00C27AE9" w:rsidRDefault="001F13AE" w:rsidP="001F13AE">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Nello </w:t>
      </w:r>
      <w:r w:rsidR="00FB77B0" w:rsidRPr="00C27AE9">
        <w:rPr>
          <w:rFonts w:ascii="Garamond" w:hAnsi="Garamond"/>
          <w:sz w:val="26"/>
          <w:szCs w:val="26"/>
        </w:rPr>
        <w:t xml:space="preserve">Schema tipo, </w:t>
      </w:r>
      <w:r w:rsidR="00D72862" w:rsidRPr="00C27AE9">
        <w:rPr>
          <w:rFonts w:ascii="Garamond" w:hAnsi="Garamond"/>
          <w:sz w:val="26"/>
          <w:szCs w:val="26"/>
        </w:rPr>
        <w:t>in</w:t>
      </w:r>
      <w:r w:rsidRPr="00C27AE9">
        <w:rPr>
          <w:rFonts w:ascii="Garamond" w:hAnsi="Garamond"/>
          <w:sz w:val="26"/>
          <w:szCs w:val="26"/>
        </w:rPr>
        <w:t xml:space="preserve"> particolare, spiccano gli articoli volti a </w:t>
      </w:r>
      <w:r w:rsidR="0062393A" w:rsidRPr="00C27AE9">
        <w:rPr>
          <w:rFonts w:ascii="Garamond" w:hAnsi="Garamond"/>
          <w:sz w:val="26"/>
          <w:szCs w:val="26"/>
        </w:rPr>
        <w:t>disciplinare l</w:t>
      </w:r>
      <w:r w:rsidRPr="00C27AE9">
        <w:rPr>
          <w:rFonts w:ascii="Garamond" w:hAnsi="Garamond"/>
          <w:sz w:val="26"/>
          <w:szCs w:val="26"/>
        </w:rPr>
        <w:t>e condizioni economiche del rapporto</w:t>
      </w:r>
      <w:r w:rsidR="00DE7895" w:rsidRPr="00C27AE9">
        <w:rPr>
          <w:rFonts w:ascii="Garamond" w:hAnsi="Garamond"/>
          <w:sz w:val="26"/>
          <w:szCs w:val="26"/>
        </w:rPr>
        <w:t>, perché sanciscono espressamente il principio secondo cui la disciplina regolatoria interviene direttamente nella determinazione del corrispettivo spettante al gestore del servizio e quindi del canone contrattuale</w:t>
      </w:r>
      <w:r w:rsidRPr="00C27AE9">
        <w:rPr>
          <w:rFonts w:ascii="Garamond" w:hAnsi="Garamond"/>
          <w:sz w:val="26"/>
          <w:szCs w:val="26"/>
        </w:rPr>
        <w:t>.</w:t>
      </w:r>
    </w:p>
    <w:p w14:paraId="5504BC60" w14:textId="4E7B84E4" w:rsidR="00FB77B0" w:rsidRPr="00C27AE9" w:rsidRDefault="001F13AE" w:rsidP="001F13AE">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L</w:t>
      </w:r>
      <w:r w:rsidR="00D72862" w:rsidRPr="00C27AE9">
        <w:rPr>
          <w:rFonts w:ascii="Garamond" w:hAnsi="Garamond"/>
          <w:sz w:val="26"/>
          <w:szCs w:val="26"/>
        </w:rPr>
        <w:t>’art. 6.1</w:t>
      </w:r>
      <w:r w:rsidR="00580EA2" w:rsidRPr="00C27AE9">
        <w:rPr>
          <w:rFonts w:ascii="Garamond" w:hAnsi="Garamond"/>
          <w:sz w:val="26"/>
          <w:szCs w:val="26"/>
        </w:rPr>
        <w:t>, rubricato “</w:t>
      </w:r>
      <w:r w:rsidR="00580EA2" w:rsidRPr="00C27AE9">
        <w:rPr>
          <w:rFonts w:ascii="Garamond" w:hAnsi="Garamond"/>
          <w:i/>
          <w:iCs/>
          <w:sz w:val="26"/>
          <w:szCs w:val="26"/>
        </w:rPr>
        <w:t>corrispettivo contrattuale</w:t>
      </w:r>
      <w:r w:rsidR="00580EA2" w:rsidRPr="00C27AE9">
        <w:rPr>
          <w:rFonts w:ascii="Garamond" w:hAnsi="Garamond"/>
          <w:sz w:val="26"/>
          <w:szCs w:val="26"/>
        </w:rPr>
        <w:t xml:space="preserve">”, </w:t>
      </w:r>
      <w:r w:rsidR="00D72862" w:rsidRPr="00C27AE9">
        <w:rPr>
          <w:rFonts w:ascii="Garamond" w:hAnsi="Garamond"/>
          <w:sz w:val="26"/>
          <w:szCs w:val="26"/>
        </w:rPr>
        <w:t xml:space="preserve">dispone </w:t>
      </w:r>
      <w:r w:rsidR="00DE7895" w:rsidRPr="00C27AE9">
        <w:rPr>
          <w:rFonts w:ascii="Garamond" w:hAnsi="Garamond"/>
          <w:sz w:val="26"/>
          <w:szCs w:val="26"/>
        </w:rPr>
        <w:t xml:space="preserve">infatti </w:t>
      </w:r>
      <w:r w:rsidR="00D72862" w:rsidRPr="00C27AE9">
        <w:rPr>
          <w:rFonts w:ascii="Garamond" w:hAnsi="Garamond"/>
          <w:sz w:val="26"/>
          <w:szCs w:val="26"/>
        </w:rPr>
        <w:t>che “</w:t>
      </w:r>
      <w:r w:rsidR="00D72862" w:rsidRPr="00C27AE9">
        <w:rPr>
          <w:rFonts w:ascii="Garamond" w:hAnsi="Garamond"/>
          <w:i/>
          <w:iCs/>
          <w:sz w:val="26"/>
          <w:szCs w:val="26"/>
        </w:rPr>
        <w:t>Il corrispettivo relativo al servizio integrato di gestione dei rifiuti ovvero delle singole attività che lo compongono è determinato secondo il metodo tariffario pro tempore vigente</w:t>
      </w:r>
      <w:r w:rsidR="00D72862" w:rsidRPr="00C27AE9">
        <w:rPr>
          <w:rFonts w:ascii="Garamond" w:hAnsi="Garamond"/>
          <w:sz w:val="26"/>
          <w:szCs w:val="26"/>
        </w:rPr>
        <w:t xml:space="preserve">”; il successivo </w:t>
      </w:r>
      <w:r w:rsidR="00FB77B0" w:rsidRPr="00C27AE9">
        <w:rPr>
          <w:rFonts w:ascii="Garamond" w:hAnsi="Garamond"/>
          <w:sz w:val="26"/>
          <w:szCs w:val="26"/>
        </w:rPr>
        <w:t>art. 7</w:t>
      </w:r>
      <w:r w:rsidR="00580EA2" w:rsidRPr="00C27AE9">
        <w:rPr>
          <w:rFonts w:ascii="Garamond" w:hAnsi="Garamond"/>
          <w:sz w:val="26"/>
          <w:szCs w:val="26"/>
        </w:rPr>
        <w:t>.1</w:t>
      </w:r>
      <w:r w:rsidR="00FB77B0" w:rsidRPr="00C27AE9">
        <w:rPr>
          <w:rFonts w:ascii="Garamond" w:hAnsi="Garamond"/>
          <w:sz w:val="26"/>
          <w:szCs w:val="26"/>
        </w:rPr>
        <w:t>, prevede</w:t>
      </w:r>
      <w:r w:rsidR="00D72862" w:rsidRPr="00C27AE9">
        <w:rPr>
          <w:rFonts w:ascii="Garamond" w:hAnsi="Garamond"/>
          <w:sz w:val="26"/>
          <w:szCs w:val="26"/>
        </w:rPr>
        <w:t xml:space="preserve">  a sua volta </w:t>
      </w:r>
      <w:r w:rsidR="00FB77B0" w:rsidRPr="00C27AE9">
        <w:rPr>
          <w:rFonts w:ascii="Garamond" w:hAnsi="Garamond"/>
          <w:sz w:val="26"/>
          <w:szCs w:val="26"/>
        </w:rPr>
        <w:t>che l’Ente affidante “</w:t>
      </w:r>
      <w:r w:rsidR="00FB77B0" w:rsidRPr="00C27AE9">
        <w:rPr>
          <w:rFonts w:ascii="Garamond" w:hAnsi="Garamond"/>
          <w:i/>
          <w:iCs/>
          <w:sz w:val="26"/>
          <w:szCs w:val="26"/>
        </w:rPr>
        <w:t>garantisce per tutta la durata dell’affidamento la coerenza fra il corrispettivo spettante al Gestore e l’ammontare dei costi riconosciuti dal metodo tariffario pro tempore vigente, assicurandone l’adeguamento in sede di approvazione e aggiornamento della predisposizione tariffaria ai sensi dalla regolazione vigente</w:t>
      </w:r>
      <w:r w:rsidR="00FB77B0" w:rsidRPr="00C27AE9">
        <w:rPr>
          <w:rFonts w:ascii="Garamond" w:hAnsi="Garamond"/>
          <w:sz w:val="26"/>
          <w:szCs w:val="26"/>
        </w:rPr>
        <w:t xml:space="preserve">”. </w:t>
      </w:r>
    </w:p>
    <w:p w14:paraId="3AF22FAE" w14:textId="36455502" w:rsidR="00E302C2" w:rsidRPr="00C27AE9" w:rsidRDefault="00C20E76" w:rsidP="00E302C2">
      <w:pPr>
        <w:pStyle w:val="Rientrocorpodeltesto"/>
        <w:widowControl w:val="0"/>
        <w:spacing w:after="0"/>
        <w:ind w:left="0" w:firstLine="454"/>
        <w:jc w:val="both"/>
        <w:rPr>
          <w:rFonts w:ascii="Garamond" w:hAnsi="Garamond"/>
          <w:sz w:val="26"/>
          <w:szCs w:val="26"/>
        </w:rPr>
      </w:pPr>
      <w:r>
        <w:rPr>
          <w:rFonts w:ascii="Garamond" w:hAnsi="Garamond"/>
          <w:sz w:val="26"/>
          <w:szCs w:val="26"/>
        </w:rPr>
        <w:t>S</w:t>
      </w:r>
      <w:r w:rsidR="00E302C2" w:rsidRPr="00C27AE9">
        <w:rPr>
          <w:rFonts w:ascii="Garamond" w:hAnsi="Garamond"/>
          <w:sz w:val="26"/>
          <w:szCs w:val="26"/>
        </w:rPr>
        <w:t xml:space="preserve">i tratta </w:t>
      </w:r>
      <w:r>
        <w:rPr>
          <w:rFonts w:ascii="Garamond" w:hAnsi="Garamond"/>
          <w:sz w:val="26"/>
          <w:szCs w:val="26"/>
        </w:rPr>
        <w:t xml:space="preserve">dunque </w:t>
      </w:r>
      <w:r w:rsidR="00E302C2" w:rsidRPr="00C27AE9">
        <w:rPr>
          <w:rFonts w:ascii="Garamond" w:hAnsi="Garamond"/>
          <w:sz w:val="26"/>
          <w:szCs w:val="26"/>
        </w:rPr>
        <w:t xml:space="preserve">di clausole sostanzialmente ricognitive della disciplina regolatoria già da tempo pienamente efficace ed operativa (MTR 1 e MTR-2); tuttavia, </w:t>
      </w:r>
      <w:r>
        <w:rPr>
          <w:rFonts w:ascii="Garamond" w:hAnsi="Garamond"/>
          <w:sz w:val="26"/>
          <w:szCs w:val="26"/>
        </w:rPr>
        <w:t>l’indubbio elemento di novità è rappresentato dal fatto che, tramite l’</w:t>
      </w:r>
      <w:r w:rsidR="00E302C2" w:rsidRPr="00C27AE9">
        <w:rPr>
          <w:rFonts w:ascii="Garamond" w:hAnsi="Garamond"/>
          <w:sz w:val="26"/>
          <w:szCs w:val="26"/>
        </w:rPr>
        <w:t>adegua</w:t>
      </w:r>
      <w:r>
        <w:rPr>
          <w:rFonts w:ascii="Garamond" w:hAnsi="Garamond"/>
          <w:sz w:val="26"/>
          <w:szCs w:val="26"/>
        </w:rPr>
        <w:t xml:space="preserve">mento, </w:t>
      </w:r>
      <w:r w:rsidR="00E302C2" w:rsidRPr="00C27AE9">
        <w:rPr>
          <w:rFonts w:ascii="Garamond" w:hAnsi="Garamond"/>
          <w:sz w:val="26"/>
          <w:szCs w:val="26"/>
        </w:rPr>
        <w:t xml:space="preserve">per la prima </w:t>
      </w:r>
      <w:r w:rsidR="00E302C2" w:rsidRPr="00C27AE9">
        <w:rPr>
          <w:rFonts w:ascii="Garamond" w:hAnsi="Garamond"/>
          <w:sz w:val="26"/>
          <w:szCs w:val="26"/>
        </w:rPr>
        <w:lastRenderedPageBreak/>
        <w:t xml:space="preserve">volta tali regole </w:t>
      </w:r>
      <w:r w:rsidR="00BB39D4">
        <w:rPr>
          <w:rFonts w:ascii="Garamond" w:hAnsi="Garamond"/>
          <w:sz w:val="26"/>
          <w:szCs w:val="26"/>
        </w:rPr>
        <w:t>concreta</w:t>
      </w:r>
      <w:r w:rsidR="00B96F69" w:rsidRPr="00C27AE9">
        <w:rPr>
          <w:rFonts w:ascii="Garamond" w:hAnsi="Garamond"/>
          <w:sz w:val="26"/>
          <w:szCs w:val="26"/>
        </w:rPr>
        <w:t>mente trov</w:t>
      </w:r>
      <w:r>
        <w:rPr>
          <w:rFonts w:ascii="Garamond" w:hAnsi="Garamond"/>
          <w:sz w:val="26"/>
          <w:szCs w:val="26"/>
        </w:rPr>
        <w:t>a</w:t>
      </w:r>
      <w:r w:rsidR="00B96F69" w:rsidRPr="00C27AE9">
        <w:rPr>
          <w:rFonts w:ascii="Garamond" w:hAnsi="Garamond"/>
          <w:sz w:val="26"/>
          <w:szCs w:val="26"/>
        </w:rPr>
        <w:t xml:space="preserve">no </w:t>
      </w:r>
      <w:r w:rsidR="00E302C2" w:rsidRPr="00C27AE9">
        <w:rPr>
          <w:rFonts w:ascii="Garamond" w:hAnsi="Garamond"/>
          <w:sz w:val="26"/>
          <w:szCs w:val="26"/>
        </w:rPr>
        <w:t xml:space="preserve">ingresso diretto nella disciplina contrattuale, </w:t>
      </w:r>
      <w:r w:rsidR="00BB39D4">
        <w:rPr>
          <w:rFonts w:ascii="Garamond" w:hAnsi="Garamond"/>
          <w:sz w:val="26"/>
          <w:szCs w:val="26"/>
        </w:rPr>
        <w:t xml:space="preserve">in tal modo </w:t>
      </w:r>
      <w:r w:rsidR="00E302C2" w:rsidRPr="00C27AE9">
        <w:rPr>
          <w:rFonts w:ascii="Garamond" w:hAnsi="Garamond"/>
          <w:sz w:val="26"/>
          <w:szCs w:val="26"/>
        </w:rPr>
        <w:t xml:space="preserve">rendendo le parti contraenti pienamente consapevoli dell’interazione tra le due distinte fonti </w:t>
      </w:r>
      <w:r w:rsidR="00BB39D4">
        <w:rPr>
          <w:rFonts w:ascii="Garamond" w:hAnsi="Garamond"/>
          <w:sz w:val="26"/>
          <w:szCs w:val="26"/>
        </w:rPr>
        <w:t xml:space="preserve">dispositive </w:t>
      </w:r>
      <w:r>
        <w:rPr>
          <w:rFonts w:ascii="Garamond" w:hAnsi="Garamond"/>
          <w:sz w:val="26"/>
          <w:szCs w:val="26"/>
        </w:rPr>
        <w:t xml:space="preserve">all’interno </w:t>
      </w:r>
      <w:r w:rsidR="00E302C2" w:rsidRPr="00C27AE9">
        <w:rPr>
          <w:rFonts w:ascii="Garamond" w:hAnsi="Garamond"/>
          <w:sz w:val="26"/>
          <w:szCs w:val="26"/>
        </w:rPr>
        <w:t xml:space="preserve"> del rapporto di servizio.</w:t>
      </w:r>
    </w:p>
    <w:p w14:paraId="60C49879" w14:textId="77777777" w:rsidR="00B96F69" w:rsidRPr="00C27AE9" w:rsidRDefault="00F147D7" w:rsidP="00B96F69">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A tale proposito, in dottrina si è affermato che alla luce dell’attuale complesso quadro normativo, il rapporto instaurato tra l’Ente affidante e l’Operatore economico, pur derivando da una gara pubblica, “</w:t>
      </w:r>
      <w:r w:rsidRPr="00C27AE9">
        <w:rPr>
          <w:rFonts w:ascii="Garamond" w:hAnsi="Garamond"/>
          <w:i/>
          <w:iCs/>
          <w:sz w:val="26"/>
          <w:szCs w:val="26"/>
        </w:rPr>
        <w:t xml:space="preserve">non può essere più qualificato quale contratto di appalto (o concessione) di servizi in senso tradizionale, ma deve piuttosto ricondursi alla categoria del </w:t>
      </w:r>
      <w:r w:rsidRPr="00C27AE9">
        <w:rPr>
          <w:rFonts w:ascii="Garamond" w:hAnsi="Garamond"/>
          <w:b/>
          <w:bCs/>
          <w:i/>
          <w:iCs/>
          <w:sz w:val="26"/>
          <w:szCs w:val="26"/>
        </w:rPr>
        <w:t>contratto di servizio pubblico regolato</w:t>
      </w:r>
      <w:r w:rsidRPr="00C27AE9">
        <w:rPr>
          <w:rFonts w:ascii="Garamond" w:hAnsi="Garamond"/>
          <w:sz w:val="26"/>
          <w:szCs w:val="26"/>
        </w:rPr>
        <w:t>”</w:t>
      </w:r>
      <w:r w:rsidRPr="00C27AE9">
        <w:rPr>
          <w:rStyle w:val="Rimandonotaapidipagina"/>
          <w:rFonts w:ascii="Garamond" w:hAnsi="Garamond"/>
          <w:sz w:val="26"/>
          <w:szCs w:val="26"/>
        </w:rPr>
        <w:footnoteReference w:id="36"/>
      </w:r>
      <w:r w:rsidRPr="00C27AE9">
        <w:rPr>
          <w:rFonts w:ascii="Garamond" w:hAnsi="Garamond"/>
          <w:sz w:val="26"/>
          <w:szCs w:val="26"/>
        </w:rPr>
        <w:t>.</w:t>
      </w:r>
    </w:p>
    <w:p w14:paraId="01AA6B40" w14:textId="64BDCF3F" w:rsidR="00B96F69" w:rsidRPr="00C27AE9" w:rsidRDefault="00F147D7" w:rsidP="00B96F69">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In altri termini, “</w:t>
      </w:r>
      <w:r w:rsidRPr="00C27AE9">
        <w:rPr>
          <w:rFonts w:ascii="Garamond" w:hAnsi="Garamond"/>
          <w:i/>
          <w:iCs/>
          <w:sz w:val="26"/>
          <w:szCs w:val="26"/>
        </w:rPr>
        <w:t xml:space="preserve">l’utilizzo delle regole del Codice dei contratti pubblici attiene alla fase di selezione del gestore, in funzione dei principi di concorrenza e imparzialità; ma con riferimento alla natura sostanziale del rapporto la disciplina resta ancorata ad un più ampio spettro di norme pubblicistiche </w:t>
      </w:r>
      <w:r w:rsidR="00B96F69" w:rsidRPr="00C27AE9">
        <w:rPr>
          <w:rFonts w:ascii="Garamond" w:hAnsi="Garamond"/>
          <w:i/>
          <w:iCs/>
          <w:sz w:val="26"/>
          <w:szCs w:val="26"/>
        </w:rPr>
        <w:t>(compreso il Codice dei contratti pubblici) e regolatorie (le deliberazioni ARERA, in attuazione del D.lgs n. 201/2022), volte a garantire l’erogazione continuativa, efficiente e sostenibile di un servizio di interesse economico generale</w:t>
      </w:r>
      <w:r w:rsidR="00B96F69" w:rsidRPr="00C27AE9">
        <w:rPr>
          <w:rFonts w:ascii="Garamond" w:hAnsi="Garamond"/>
          <w:sz w:val="26"/>
          <w:szCs w:val="26"/>
        </w:rPr>
        <w:t>”</w:t>
      </w:r>
      <w:r w:rsidR="00B96F69" w:rsidRPr="00C27AE9">
        <w:rPr>
          <w:rStyle w:val="Rimandonotaapidipagina"/>
          <w:rFonts w:ascii="Garamond" w:hAnsi="Garamond"/>
          <w:sz w:val="26"/>
          <w:szCs w:val="26"/>
        </w:rPr>
        <w:footnoteReference w:id="37"/>
      </w:r>
    </w:p>
    <w:p w14:paraId="18E540E2" w14:textId="4137C8AF" w:rsidR="00B96F69" w:rsidRPr="00C27AE9" w:rsidRDefault="00B96F69" w:rsidP="00B96F69">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T</w:t>
      </w:r>
      <w:r w:rsidR="00BB39D4">
        <w:rPr>
          <w:rFonts w:ascii="Garamond" w:hAnsi="Garamond"/>
          <w:sz w:val="26"/>
          <w:szCs w:val="26"/>
        </w:rPr>
        <w:t>uttavia, non può ancora dirsi che t</w:t>
      </w:r>
      <w:r w:rsidRPr="00C27AE9">
        <w:rPr>
          <w:rFonts w:ascii="Garamond" w:hAnsi="Garamond"/>
          <w:sz w:val="26"/>
          <w:szCs w:val="26"/>
        </w:rPr>
        <w:t>ale inte</w:t>
      </w:r>
      <w:r w:rsidR="002804F7" w:rsidRPr="00C27AE9">
        <w:rPr>
          <w:rFonts w:ascii="Garamond" w:hAnsi="Garamond"/>
          <w:sz w:val="26"/>
          <w:szCs w:val="26"/>
        </w:rPr>
        <w:t>g</w:t>
      </w:r>
      <w:r w:rsidRPr="00C27AE9">
        <w:rPr>
          <w:rFonts w:ascii="Garamond" w:hAnsi="Garamond"/>
          <w:sz w:val="26"/>
          <w:szCs w:val="26"/>
        </w:rPr>
        <w:t xml:space="preserve">razione e “convivenza” tra diverse </w:t>
      </w:r>
      <w:r w:rsidR="00C20E76">
        <w:rPr>
          <w:rFonts w:ascii="Garamond" w:hAnsi="Garamond"/>
          <w:sz w:val="26"/>
          <w:szCs w:val="26"/>
        </w:rPr>
        <w:t xml:space="preserve">fonti </w:t>
      </w:r>
      <w:r w:rsidRPr="00C27AE9">
        <w:rPr>
          <w:rFonts w:ascii="Garamond" w:hAnsi="Garamond"/>
          <w:sz w:val="26"/>
          <w:szCs w:val="26"/>
        </w:rPr>
        <w:t xml:space="preserve">all’interno del contratto di servizio cd. regolato </w:t>
      </w:r>
      <w:r w:rsidR="00C20E76">
        <w:rPr>
          <w:rFonts w:ascii="Garamond" w:hAnsi="Garamond"/>
          <w:sz w:val="26"/>
          <w:szCs w:val="26"/>
        </w:rPr>
        <w:t xml:space="preserve">si esplichi </w:t>
      </w:r>
      <w:r w:rsidR="00BB39D4">
        <w:rPr>
          <w:rFonts w:ascii="Garamond" w:hAnsi="Garamond"/>
          <w:sz w:val="26"/>
          <w:szCs w:val="26"/>
        </w:rPr>
        <w:t>pienamente all’insegna dell’armonia.</w:t>
      </w:r>
    </w:p>
    <w:p w14:paraId="1FCC5347" w14:textId="2C0911D4" w:rsidR="00580EA2" w:rsidRPr="00C27AE9" w:rsidRDefault="00B96F69" w:rsidP="00B96F69">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D</w:t>
      </w:r>
      <w:r w:rsidR="0062393A" w:rsidRPr="00C27AE9">
        <w:rPr>
          <w:rFonts w:ascii="Garamond" w:hAnsi="Garamond"/>
          <w:sz w:val="26"/>
          <w:szCs w:val="26"/>
        </w:rPr>
        <w:t>i recente</w:t>
      </w:r>
      <w:r w:rsidRPr="00C27AE9">
        <w:rPr>
          <w:rFonts w:ascii="Garamond" w:hAnsi="Garamond"/>
          <w:sz w:val="26"/>
          <w:szCs w:val="26"/>
        </w:rPr>
        <w:t xml:space="preserve">, </w:t>
      </w:r>
      <w:r w:rsidR="00904DE4" w:rsidRPr="00C27AE9">
        <w:rPr>
          <w:rFonts w:ascii="Garamond" w:hAnsi="Garamond"/>
          <w:sz w:val="26"/>
          <w:szCs w:val="26"/>
        </w:rPr>
        <w:t>infatti</w:t>
      </w:r>
      <w:r w:rsidRPr="00C27AE9">
        <w:rPr>
          <w:rFonts w:ascii="Garamond" w:hAnsi="Garamond"/>
          <w:sz w:val="26"/>
          <w:szCs w:val="26"/>
        </w:rPr>
        <w:t>, i</w:t>
      </w:r>
      <w:r w:rsidR="00580EA2" w:rsidRPr="00C27AE9">
        <w:rPr>
          <w:rFonts w:ascii="Garamond" w:hAnsi="Garamond"/>
          <w:sz w:val="26"/>
          <w:szCs w:val="26"/>
        </w:rPr>
        <w:t>l TAR Lombardia</w:t>
      </w:r>
      <w:r w:rsidRPr="00C27AE9">
        <w:rPr>
          <w:rFonts w:ascii="Garamond" w:hAnsi="Garamond"/>
          <w:sz w:val="26"/>
          <w:szCs w:val="26"/>
        </w:rPr>
        <w:t xml:space="preserve"> ha annullato </w:t>
      </w:r>
      <w:r w:rsidR="00904DE4" w:rsidRPr="00C27AE9">
        <w:rPr>
          <w:rFonts w:ascii="Garamond" w:hAnsi="Garamond"/>
          <w:sz w:val="26"/>
          <w:szCs w:val="26"/>
        </w:rPr>
        <w:t xml:space="preserve">taluni degli articoli </w:t>
      </w:r>
      <w:r w:rsidRPr="00C27AE9">
        <w:rPr>
          <w:rFonts w:ascii="Garamond" w:hAnsi="Garamond"/>
          <w:sz w:val="26"/>
          <w:szCs w:val="26"/>
        </w:rPr>
        <w:t>dello Schema tipo</w:t>
      </w:r>
      <w:r w:rsidR="00904DE4" w:rsidRPr="00C27AE9">
        <w:rPr>
          <w:rFonts w:ascii="Garamond" w:hAnsi="Garamond"/>
          <w:sz w:val="26"/>
          <w:szCs w:val="26"/>
        </w:rPr>
        <w:t xml:space="preserve"> per asserito contrasto con il D.lgs n. 36 del 2023.</w:t>
      </w:r>
      <w:r w:rsidRPr="00C27AE9">
        <w:rPr>
          <w:rFonts w:ascii="Garamond" w:hAnsi="Garamond"/>
          <w:sz w:val="26"/>
          <w:szCs w:val="26"/>
        </w:rPr>
        <w:t xml:space="preserve"> </w:t>
      </w:r>
      <w:r w:rsidR="00904DE4" w:rsidRPr="00C27AE9">
        <w:rPr>
          <w:rFonts w:ascii="Garamond" w:hAnsi="Garamond"/>
          <w:sz w:val="26"/>
          <w:szCs w:val="26"/>
        </w:rPr>
        <w:t xml:space="preserve">Tra questi, in particolare, l’art. 7.1., riguardo al quale il TAR Milano ha affermato che </w:t>
      </w:r>
      <w:r w:rsidR="00580EA2" w:rsidRPr="00C27AE9">
        <w:rPr>
          <w:rFonts w:ascii="Garamond" w:hAnsi="Garamond"/>
          <w:sz w:val="26"/>
          <w:szCs w:val="26"/>
        </w:rPr>
        <w:t>«</w:t>
      </w:r>
      <w:r w:rsidR="00580EA2" w:rsidRPr="00C27AE9">
        <w:rPr>
          <w:rFonts w:ascii="Garamond" w:hAnsi="Garamond"/>
          <w:i/>
          <w:iCs/>
          <w:sz w:val="26"/>
          <w:szCs w:val="26"/>
        </w:rPr>
        <w:t>l’art. 7.1, prevedendo l’atipico meccanismo di adeguamento del corrispettivo contrattuale della “coerenza con i costi riconosciuti dal metodo tariffario”, si pone in netto contrasto con la norma di rango primario di cui all’art. 60 del d. lgs. 36/2023, che ha introdotto l’obbligo di previsione di clausole di revisione dei prezzi, sicché, contrariamente a quanto affermato nella deliberazione impugnata (pag. 11) esso non rispetta la normativa vigente e pertanto è illegittimo</w:t>
      </w:r>
      <w:r w:rsidR="00580EA2" w:rsidRPr="00C27AE9">
        <w:rPr>
          <w:rFonts w:ascii="Garamond" w:hAnsi="Garamond"/>
          <w:sz w:val="26"/>
          <w:szCs w:val="26"/>
        </w:rPr>
        <w:t>».</w:t>
      </w:r>
      <w:r w:rsidR="00580EA2" w:rsidRPr="00C27AE9">
        <w:rPr>
          <w:rStyle w:val="Rimandonotaapidipagina"/>
          <w:rFonts w:ascii="Garamond" w:hAnsi="Garamond"/>
          <w:sz w:val="26"/>
          <w:szCs w:val="26"/>
        </w:rPr>
        <w:footnoteReference w:id="38"/>
      </w:r>
    </w:p>
    <w:p w14:paraId="42574620" w14:textId="7B744F39" w:rsidR="000744DC" w:rsidRPr="00C27AE9" w:rsidRDefault="00155906" w:rsidP="00284427">
      <w:pPr>
        <w:pStyle w:val="Rientrocorpodeltesto"/>
        <w:widowControl w:val="0"/>
        <w:spacing w:after="0"/>
        <w:ind w:left="0" w:firstLine="454"/>
        <w:jc w:val="both"/>
        <w:rPr>
          <w:rFonts w:ascii="Garamond" w:hAnsi="Garamond"/>
          <w:sz w:val="26"/>
          <w:szCs w:val="26"/>
        </w:rPr>
      </w:pPr>
      <w:r>
        <w:rPr>
          <w:rFonts w:ascii="Garamond" w:hAnsi="Garamond"/>
          <w:sz w:val="26"/>
          <w:szCs w:val="26"/>
        </w:rPr>
        <w:t>L</w:t>
      </w:r>
      <w:r w:rsidR="00DE7895" w:rsidRPr="00C27AE9">
        <w:rPr>
          <w:rFonts w:ascii="Garamond" w:hAnsi="Garamond"/>
          <w:sz w:val="26"/>
          <w:szCs w:val="26"/>
        </w:rPr>
        <w:t>’Autorità ha proposto appell</w:t>
      </w:r>
      <w:r>
        <w:rPr>
          <w:rFonts w:ascii="Garamond" w:hAnsi="Garamond"/>
          <w:sz w:val="26"/>
          <w:szCs w:val="26"/>
        </w:rPr>
        <w:t>o avverso tali pronunce</w:t>
      </w:r>
      <w:r w:rsidR="00DE7895" w:rsidRPr="00C27AE9">
        <w:rPr>
          <w:rFonts w:ascii="Garamond" w:hAnsi="Garamond"/>
          <w:sz w:val="26"/>
          <w:szCs w:val="26"/>
        </w:rPr>
        <w:t xml:space="preserve">, </w:t>
      </w:r>
      <w:r w:rsidR="00284427" w:rsidRPr="00C27AE9">
        <w:rPr>
          <w:rFonts w:ascii="Garamond" w:hAnsi="Garamond"/>
          <w:sz w:val="26"/>
          <w:szCs w:val="26"/>
        </w:rPr>
        <w:t xml:space="preserve">poiché invece </w:t>
      </w:r>
      <w:r w:rsidR="00DE7895" w:rsidRPr="00C27AE9">
        <w:rPr>
          <w:rFonts w:ascii="Garamond" w:hAnsi="Garamond"/>
          <w:sz w:val="26"/>
          <w:szCs w:val="26"/>
        </w:rPr>
        <w:t>rit</w:t>
      </w:r>
      <w:r w:rsidR="00284427" w:rsidRPr="00C27AE9">
        <w:rPr>
          <w:rFonts w:ascii="Garamond" w:hAnsi="Garamond"/>
          <w:sz w:val="26"/>
          <w:szCs w:val="26"/>
        </w:rPr>
        <w:t>i</w:t>
      </w:r>
      <w:r w:rsidR="00DE7895" w:rsidRPr="00C27AE9">
        <w:rPr>
          <w:rFonts w:ascii="Garamond" w:hAnsi="Garamond"/>
          <w:sz w:val="26"/>
          <w:szCs w:val="26"/>
        </w:rPr>
        <w:t>ene</w:t>
      </w:r>
      <w:r w:rsidR="00615032" w:rsidRPr="00C27AE9">
        <w:rPr>
          <w:rFonts w:ascii="Garamond" w:hAnsi="Garamond"/>
          <w:sz w:val="26"/>
          <w:szCs w:val="26"/>
        </w:rPr>
        <w:t xml:space="preserve"> che la previsione di cui all’art. 7.1.</w:t>
      </w:r>
      <w:r w:rsidR="00EF05DB" w:rsidRPr="00C27AE9">
        <w:rPr>
          <w:rFonts w:ascii="Garamond" w:hAnsi="Garamond"/>
          <w:sz w:val="26"/>
          <w:szCs w:val="26"/>
        </w:rPr>
        <w:t xml:space="preserve"> non comporti alcun contrasto con i principi del Codice dei contratti pubblici</w:t>
      </w:r>
      <w:r w:rsidR="00BB39D4">
        <w:rPr>
          <w:rFonts w:ascii="Garamond" w:hAnsi="Garamond"/>
          <w:sz w:val="26"/>
          <w:szCs w:val="26"/>
        </w:rPr>
        <w:t xml:space="preserve"> e che </w:t>
      </w:r>
      <w:r w:rsidR="00EF05DB" w:rsidRPr="00C27AE9">
        <w:rPr>
          <w:rFonts w:ascii="Garamond" w:hAnsi="Garamond"/>
          <w:sz w:val="26"/>
          <w:szCs w:val="26"/>
        </w:rPr>
        <w:t>la</w:t>
      </w:r>
      <w:r w:rsidR="00615032" w:rsidRPr="00C27AE9">
        <w:rPr>
          <w:rFonts w:ascii="Garamond" w:hAnsi="Garamond"/>
          <w:sz w:val="26"/>
          <w:szCs w:val="26"/>
        </w:rPr>
        <w:t xml:space="preserve"> </w:t>
      </w:r>
      <w:r w:rsidR="005D5760" w:rsidRPr="00C27AE9">
        <w:rPr>
          <w:rFonts w:ascii="Garamond" w:hAnsi="Garamond"/>
          <w:sz w:val="26"/>
          <w:szCs w:val="26"/>
        </w:rPr>
        <w:t xml:space="preserve">stessa </w:t>
      </w:r>
      <w:r w:rsidR="00EF05DB" w:rsidRPr="00C27AE9">
        <w:rPr>
          <w:rFonts w:ascii="Garamond" w:hAnsi="Garamond"/>
          <w:sz w:val="26"/>
          <w:szCs w:val="26"/>
        </w:rPr>
        <w:t xml:space="preserve">disciplina regolatoria </w:t>
      </w:r>
      <w:r w:rsidR="00BB39D4">
        <w:rPr>
          <w:rFonts w:ascii="Garamond" w:hAnsi="Garamond"/>
          <w:sz w:val="26"/>
          <w:szCs w:val="26"/>
        </w:rPr>
        <w:t xml:space="preserve">rechi </w:t>
      </w:r>
      <w:r w:rsidR="00EF05DB" w:rsidRPr="00C27AE9">
        <w:rPr>
          <w:rFonts w:ascii="Garamond" w:hAnsi="Garamond"/>
          <w:sz w:val="26"/>
          <w:szCs w:val="26"/>
        </w:rPr>
        <w:t>al suo interno una pluralità di disposizioni e strumenti volti a preservare l’equilibrio economico contrattuale</w:t>
      </w:r>
      <w:r w:rsidR="0062393A" w:rsidRPr="00C27AE9">
        <w:rPr>
          <w:rFonts w:ascii="Garamond" w:hAnsi="Garamond"/>
          <w:sz w:val="26"/>
          <w:szCs w:val="26"/>
        </w:rPr>
        <w:t xml:space="preserve">; tra queste anche quelle che prevedono in determinate ipotesi </w:t>
      </w:r>
      <w:r w:rsidR="00615032" w:rsidRPr="00C27AE9">
        <w:rPr>
          <w:rFonts w:ascii="Garamond" w:hAnsi="Garamond"/>
          <w:sz w:val="26"/>
          <w:szCs w:val="26"/>
        </w:rPr>
        <w:t xml:space="preserve">proprio </w:t>
      </w:r>
      <w:r w:rsidR="00EF05DB" w:rsidRPr="00C27AE9">
        <w:rPr>
          <w:rFonts w:ascii="Garamond" w:hAnsi="Garamond"/>
          <w:sz w:val="26"/>
          <w:szCs w:val="26"/>
        </w:rPr>
        <w:t xml:space="preserve">la revisione del corrispettivo </w:t>
      </w:r>
      <w:r w:rsidR="00284427" w:rsidRPr="00C27AE9">
        <w:rPr>
          <w:rFonts w:ascii="Garamond" w:hAnsi="Garamond"/>
          <w:sz w:val="26"/>
          <w:szCs w:val="26"/>
        </w:rPr>
        <w:t xml:space="preserve">e il riequilibrio </w:t>
      </w:r>
      <w:r w:rsidR="00EF05DB" w:rsidRPr="00C27AE9">
        <w:rPr>
          <w:rFonts w:ascii="Garamond" w:hAnsi="Garamond"/>
          <w:sz w:val="26"/>
          <w:szCs w:val="26"/>
        </w:rPr>
        <w:t xml:space="preserve">ove ciò si renda necessario allo scopo di rimediare a circostanze </w:t>
      </w:r>
      <w:r w:rsidR="0062393A" w:rsidRPr="00C27AE9">
        <w:rPr>
          <w:rFonts w:ascii="Garamond" w:hAnsi="Garamond"/>
          <w:sz w:val="26"/>
          <w:szCs w:val="26"/>
        </w:rPr>
        <w:t>esogene</w:t>
      </w:r>
      <w:r w:rsidR="00EF05DB" w:rsidRPr="00C27AE9">
        <w:rPr>
          <w:rFonts w:ascii="Garamond" w:hAnsi="Garamond"/>
          <w:sz w:val="26"/>
          <w:szCs w:val="26"/>
        </w:rPr>
        <w:t xml:space="preserve"> che abbiano negativamente inciso sulla gestione</w:t>
      </w:r>
      <w:r w:rsidR="0062393A" w:rsidRPr="00C27AE9">
        <w:rPr>
          <w:rFonts w:ascii="Garamond" w:hAnsi="Garamond"/>
          <w:sz w:val="26"/>
          <w:szCs w:val="26"/>
        </w:rPr>
        <w:t xml:space="preserve"> e</w:t>
      </w:r>
      <w:r w:rsidR="00EF05DB" w:rsidRPr="00C27AE9">
        <w:rPr>
          <w:rFonts w:ascii="Garamond" w:hAnsi="Garamond"/>
          <w:sz w:val="26"/>
          <w:szCs w:val="26"/>
        </w:rPr>
        <w:t xml:space="preserve"> determina</w:t>
      </w:r>
      <w:r w:rsidR="0062393A" w:rsidRPr="00C27AE9">
        <w:rPr>
          <w:rFonts w:ascii="Garamond" w:hAnsi="Garamond"/>
          <w:sz w:val="26"/>
          <w:szCs w:val="26"/>
        </w:rPr>
        <w:t>t</w:t>
      </w:r>
      <w:r w:rsidR="00EF05DB" w:rsidRPr="00C27AE9">
        <w:rPr>
          <w:rFonts w:ascii="Garamond" w:hAnsi="Garamond"/>
          <w:sz w:val="26"/>
          <w:szCs w:val="26"/>
        </w:rPr>
        <w:t>o uno squilibrio economico nel</w:t>
      </w:r>
      <w:r w:rsidR="00122A1A" w:rsidRPr="00C27AE9">
        <w:rPr>
          <w:rFonts w:ascii="Garamond" w:hAnsi="Garamond"/>
          <w:sz w:val="26"/>
          <w:szCs w:val="26"/>
        </w:rPr>
        <w:t xml:space="preserve"> rapporto</w:t>
      </w:r>
      <w:r w:rsidR="00EF05DB" w:rsidRPr="00C27AE9">
        <w:rPr>
          <w:rFonts w:ascii="Garamond" w:hAnsi="Garamond"/>
          <w:sz w:val="26"/>
          <w:szCs w:val="26"/>
        </w:rPr>
        <w:t>.</w:t>
      </w:r>
    </w:p>
    <w:p w14:paraId="0DE5AB06" w14:textId="530F86A2" w:rsidR="00284427" w:rsidRPr="00C27AE9" w:rsidRDefault="00284427" w:rsidP="00284427">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Arera</w:t>
      </w:r>
      <w:r w:rsidR="00904DE4" w:rsidRPr="00C27AE9">
        <w:rPr>
          <w:rFonts w:ascii="Garamond" w:hAnsi="Garamond"/>
          <w:sz w:val="26"/>
          <w:szCs w:val="26"/>
        </w:rPr>
        <w:t xml:space="preserve"> ritiene </w:t>
      </w:r>
      <w:r w:rsidRPr="00C27AE9">
        <w:rPr>
          <w:rFonts w:ascii="Garamond" w:hAnsi="Garamond"/>
          <w:sz w:val="26"/>
          <w:szCs w:val="26"/>
        </w:rPr>
        <w:t>in sostanza che nell’ambito dello Schema tipo la predetta disposizione costituisca piuttosto, assieme all’articolo precedente, art. 6.1., il legittimo raccordo tra la disciplina contrattuale e la regolazione tariffaria MTR</w:t>
      </w:r>
      <w:r w:rsidR="00CB04F2">
        <w:rPr>
          <w:rStyle w:val="Rimandonotaapidipagina"/>
          <w:rFonts w:ascii="Garamond" w:hAnsi="Garamond"/>
          <w:sz w:val="26"/>
          <w:szCs w:val="26"/>
        </w:rPr>
        <w:footnoteReference w:id="39"/>
      </w:r>
      <w:r w:rsidRPr="00C27AE9">
        <w:rPr>
          <w:rFonts w:ascii="Garamond" w:hAnsi="Garamond"/>
          <w:sz w:val="26"/>
          <w:szCs w:val="26"/>
        </w:rPr>
        <w:t xml:space="preserve">. </w:t>
      </w:r>
    </w:p>
    <w:p w14:paraId="75A090C5" w14:textId="73C71A4F" w:rsidR="00BD51E3" w:rsidRPr="00C27AE9" w:rsidRDefault="00904DE4" w:rsidP="00BD51E3">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lastRenderedPageBreak/>
        <w:t xml:space="preserve">Rilievi critici </w:t>
      </w:r>
      <w:r w:rsidR="002804F7" w:rsidRPr="00C27AE9">
        <w:rPr>
          <w:rFonts w:ascii="Garamond" w:hAnsi="Garamond"/>
          <w:sz w:val="26"/>
          <w:szCs w:val="26"/>
        </w:rPr>
        <w:t>sulla</w:t>
      </w:r>
      <w:r w:rsidR="00284427" w:rsidRPr="00C27AE9">
        <w:rPr>
          <w:rFonts w:ascii="Garamond" w:hAnsi="Garamond"/>
          <w:sz w:val="26"/>
          <w:szCs w:val="26"/>
        </w:rPr>
        <w:t xml:space="preserve"> </w:t>
      </w:r>
      <w:r w:rsidR="002C5130" w:rsidRPr="00C27AE9">
        <w:rPr>
          <w:rFonts w:ascii="Garamond" w:hAnsi="Garamond"/>
          <w:sz w:val="26"/>
          <w:szCs w:val="26"/>
        </w:rPr>
        <w:t xml:space="preserve">ricostruzione operata </w:t>
      </w:r>
      <w:r w:rsidR="00155906">
        <w:rPr>
          <w:rFonts w:ascii="Garamond" w:hAnsi="Garamond"/>
          <w:sz w:val="26"/>
          <w:szCs w:val="26"/>
        </w:rPr>
        <w:t xml:space="preserve">nella specie </w:t>
      </w:r>
      <w:r w:rsidR="002C5130" w:rsidRPr="00C27AE9">
        <w:rPr>
          <w:rFonts w:ascii="Garamond" w:hAnsi="Garamond"/>
          <w:sz w:val="26"/>
          <w:szCs w:val="26"/>
        </w:rPr>
        <w:t>dal TAR Milano</w:t>
      </w:r>
      <w:r w:rsidR="00284427" w:rsidRPr="00C27AE9">
        <w:rPr>
          <w:rFonts w:ascii="Garamond" w:hAnsi="Garamond"/>
          <w:sz w:val="26"/>
          <w:szCs w:val="26"/>
        </w:rPr>
        <w:t xml:space="preserve"> </w:t>
      </w:r>
      <w:r w:rsidR="002804F7" w:rsidRPr="00C27AE9">
        <w:rPr>
          <w:rFonts w:ascii="Garamond" w:hAnsi="Garamond"/>
          <w:sz w:val="26"/>
          <w:szCs w:val="26"/>
        </w:rPr>
        <w:t>sono stati espressi anche in</w:t>
      </w:r>
      <w:r w:rsidRPr="00C27AE9">
        <w:rPr>
          <w:rFonts w:ascii="Garamond" w:hAnsi="Garamond"/>
          <w:sz w:val="26"/>
          <w:szCs w:val="26"/>
        </w:rPr>
        <w:t xml:space="preserve"> dottrina</w:t>
      </w:r>
      <w:r w:rsidR="00284427" w:rsidRPr="00C27AE9">
        <w:rPr>
          <w:rFonts w:ascii="Garamond" w:hAnsi="Garamond"/>
          <w:sz w:val="26"/>
          <w:szCs w:val="26"/>
        </w:rPr>
        <w:t>:</w:t>
      </w:r>
      <w:r w:rsidR="000744DC" w:rsidRPr="00C27AE9">
        <w:rPr>
          <w:rFonts w:ascii="Garamond" w:hAnsi="Garamond"/>
          <w:sz w:val="26"/>
          <w:szCs w:val="26"/>
        </w:rPr>
        <w:t xml:space="preserve"> si è in particolare rilevato che </w:t>
      </w:r>
      <w:r w:rsidR="002C5130" w:rsidRPr="00C27AE9">
        <w:rPr>
          <w:rFonts w:ascii="Garamond" w:hAnsi="Garamond"/>
          <w:sz w:val="26"/>
          <w:szCs w:val="26"/>
        </w:rPr>
        <w:t>“</w:t>
      </w:r>
      <w:r w:rsidR="002C5130" w:rsidRPr="00C27AE9">
        <w:rPr>
          <w:rFonts w:ascii="Garamond" w:hAnsi="Garamond"/>
          <w:i/>
          <w:iCs/>
          <w:sz w:val="26"/>
          <w:szCs w:val="26"/>
        </w:rPr>
        <w:t xml:space="preserve">la distinzione operata dal Giudice amministrativo tra corrispettivo contrattuale e valori tariffari (..) </w:t>
      </w:r>
      <w:r w:rsidR="000744DC" w:rsidRPr="00C27AE9">
        <w:rPr>
          <w:rFonts w:ascii="Garamond" w:hAnsi="Garamond"/>
          <w:i/>
          <w:iCs/>
          <w:sz w:val="26"/>
          <w:szCs w:val="26"/>
        </w:rPr>
        <w:t>rischia di non cogliere appieno la funzione di coordinamento che Arera attribuisce al meccanismo di coerenza con i costi riconosciuti dal metodo tariffario</w:t>
      </w:r>
      <w:r w:rsidR="000744DC" w:rsidRPr="00C27AE9">
        <w:rPr>
          <w:rFonts w:ascii="Garamond" w:hAnsi="Garamond"/>
          <w:sz w:val="26"/>
          <w:szCs w:val="26"/>
        </w:rPr>
        <w:t>”</w:t>
      </w:r>
      <w:r w:rsidR="00BD51E3" w:rsidRPr="00C27AE9">
        <w:rPr>
          <w:rFonts w:ascii="Garamond" w:hAnsi="Garamond"/>
          <w:sz w:val="26"/>
          <w:szCs w:val="26"/>
        </w:rPr>
        <w:t xml:space="preserve">; ed </w:t>
      </w:r>
      <w:r w:rsidR="002804F7" w:rsidRPr="00C27AE9">
        <w:rPr>
          <w:rFonts w:ascii="Garamond" w:hAnsi="Garamond"/>
          <w:sz w:val="26"/>
          <w:szCs w:val="26"/>
        </w:rPr>
        <w:t xml:space="preserve">inoltre </w:t>
      </w:r>
      <w:r w:rsidR="00BD51E3" w:rsidRPr="00C27AE9">
        <w:rPr>
          <w:rFonts w:ascii="Garamond" w:hAnsi="Garamond"/>
          <w:sz w:val="26"/>
          <w:szCs w:val="26"/>
        </w:rPr>
        <w:t>che “</w:t>
      </w:r>
      <w:r w:rsidR="00BD51E3" w:rsidRPr="00C27AE9">
        <w:rPr>
          <w:rFonts w:ascii="Garamond" w:hAnsi="Garamond"/>
          <w:i/>
          <w:iCs/>
          <w:sz w:val="26"/>
          <w:szCs w:val="26"/>
        </w:rPr>
        <w:t>la previsione di cui al punto 7.1 dello Schema di contratto, in effetti sembra perseguire la medesima finalità sottesa all’art. 9 del D.lgs n. 36/2023, (…) pur avvalendosi di strumenti propri della regolazione settoriale</w:t>
      </w:r>
      <w:r w:rsidR="00BD51E3" w:rsidRPr="00C27AE9">
        <w:rPr>
          <w:rFonts w:ascii="Garamond" w:hAnsi="Garamond"/>
          <w:sz w:val="26"/>
          <w:szCs w:val="26"/>
        </w:rPr>
        <w:t>”; pertanto, “</w:t>
      </w:r>
      <w:r w:rsidR="00BD51E3" w:rsidRPr="00C27AE9">
        <w:rPr>
          <w:rFonts w:ascii="Garamond" w:hAnsi="Garamond"/>
          <w:i/>
          <w:iCs/>
          <w:sz w:val="26"/>
          <w:szCs w:val="26"/>
        </w:rPr>
        <w:t>pur nel rispetto di tale orientamento, appare auspicabile un’evoluzione interpretativa che consenta una maggiore integrazione tra la disciplina di settore e quella generale dei contratti pubblici</w:t>
      </w:r>
      <w:r w:rsidR="00BD51E3" w:rsidRPr="00C27AE9">
        <w:rPr>
          <w:rFonts w:ascii="Garamond" w:hAnsi="Garamond"/>
          <w:sz w:val="26"/>
          <w:szCs w:val="26"/>
        </w:rPr>
        <w:t xml:space="preserve">. </w:t>
      </w:r>
      <w:r w:rsidR="00BD51E3" w:rsidRPr="00C27AE9">
        <w:rPr>
          <w:rFonts w:ascii="Garamond" w:hAnsi="Garamond"/>
          <w:i/>
          <w:iCs/>
          <w:sz w:val="26"/>
          <w:szCs w:val="26"/>
        </w:rPr>
        <w:t xml:space="preserve">Ciò anche alla luce del D.lgs. 201/2022, che attribuisce ad Arera un ruolo di regolazione del mercato volto a garantire oltre all’efficienza, tariffaria, la stabilità economica e la sostenibilità complessiva dei rapporti contrattuali nel servizio pubblico locale” </w:t>
      </w:r>
      <w:r w:rsidR="00615032" w:rsidRPr="00C27AE9">
        <w:rPr>
          <w:rStyle w:val="Rimandonotaapidipagina"/>
          <w:rFonts w:ascii="Garamond" w:hAnsi="Garamond"/>
          <w:sz w:val="26"/>
          <w:szCs w:val="26"/>
        </w:rPr>
        <w:footnoteReference w:id="40"/>
      </w:r>
      <w:r w:rsidR="0062393A" w:rsidRPr="00C27AE9">
        <w:rPr>
          <w:rFonts w:ascii="Garamond" w:hAnsi="Garamond"/>
          <w:sz w:val="26"/>
          <w:szCs w:val="26"/>
        </w:rPr>
        <w:t>.</w:t>
      </w:r>
    </w:p>
    <w:p w14:paraId="1D40EA95" w14:textId="0D91665E" w:rsidR="0014040C" w:rsidRPr="00C27AE9" w:rsidRDefault="0014040C" w:rsidP="00C20E76">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Su tale interessante e complessa questione, ad ogni modo, si </w:t>
      </w:r>
      <w:r w:rsidR="00C20E76">
        <w:rPr>
          <w:rFonts w:ascii="Garamond" w:hAnsi="Garamond"/>
          <w:sz w:val="26"/>
          <w:szCs w:val="26"/>
        </w:rPr>
        <w:t xml:space="preserve">esprimerà </w:t>
      </w:r>
      <w:r w:rsidRPr="00C27AE9">
        <w:rPr>
          <w:rFonts w:ascii="Garamond" w:hAnsi="Garamond"/>
          <w:sz w:val="26"/>
          <w:szCs w:val="26"/>
        </w:rPr>
        <w:t xml:space="preserve">nei prossimi mesi </w:t>
      </w:r>
      <w:r w:rsidR="00C20E76">
        <w:rPr>
          <w:rFonts w:ascii="Garamond" w:hAnsi="Garamond"/>
          <w:sz w:val="26"/>
          <w:szCs w:val="26"/>
        </w:rPr>
        <w:t>i</w:t>
      </w:r>
      <w:r w:rsidRPr="00C27AE9">
        <w:rPr>
          <w:rFonts w:ascii="Garamond" w:hAnsi="Garamond"/>
          <w:sz w:val="26"/>
          <w:szCs w:val="26"/>
        </w:rPr>
        <w:t>l Consiglio di Stato.</w:t>
      </w:r>
    </w:p>
    <w:p w14:paraId="2EBC893A" w14:textId="6F6C82E1" w:rsidR="0030748B" w:rsidRPr="00C27AE9" w:rsidRDefault="00284427" w:rsidP="0030748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Tornando allo Schema tipo e a</w:t>
      </w:r>
      <w:r w:rsidR="0014040C" w:rsidRPr="00C27AE9">
        <w:rPr>
          <w:rFonts w:ascii="Garamond" w:hAnsi="Garamond"/>
          <w:sz w:val="26"/>
          <w:szCs w:val="26"/>
        </w:rPr>
        <w:t>l</w:t>
      </w:r>
      <w:r w:rsidRPr="00C27AE9">
        <w:rPr>
          <w:rFonts w:ascii="Garamond" w:hAnsi="Garamond"/>
          <w:sz w:val="26"/>
          <w:szCs w:val="26"/>
        </w:rPr>
        <w:t>l</w:t>
      </w:r>
      <w:r w:rsidR="0014040C" w:rsidRPr="00C27AE9">
        <w:rPr>
          <w:rFonts w:ascii="Garamond" w:hAnsi="Garamond"/>
          <w:sz w:val="26"/>
          <w:szCs w:val="26"/>
        </w:rPr>
        <w:t>a</w:t>
      </w:r>
      <w:r w:rsidRPr="00C27AE9">
        <w:rPr>
          <w:rFonts w:ascii="Garamond" w:hAnsi="Garamond"/>
          <w:sz w:val="26"/>
          <w:szCs w:val="26"/>
        </w:rPr>
        <w:t xml:space="preserve"> su</w:t>
      </w:r>
      <w:r w:rsidR="0014040C" w:rsidRPr="00C27AE9">
        <w:rPr>
          <w:rFonts w:ascii="Garamond" w:hAnsi="Garamond"/>
          <w:sz w:val="26"/>
          <w:szCs w:val="26"/>
        </w:rPr>
        <w:t>a</w:t>
      </w:r>
      <w:r w:rsidRPr="00C27AE9">
        <w:rPr>
          <w:rFonts w:ascii="Garamond" w:hAnsi="Garamond"/>
          <w:sz w:val="26"/>
          <w:szCs w:val="26"/>
        </w:rPr>
        <w:t xml:space="preserve"> </w:t>
      </w:r>
      <w:r w:rsidR="0014040C" w:rsidRPr="00C27AE9">
        <w:rPr>
          <w:rFonts w:ascii="Garamond" w:hAnsi="Garamond"/>
          <w:sz w:val="26"/>
          <w:szCs w:val="26"/>
        </w:rPr>
        <w:t>collocazione all’interno d</w:t>
      </w:r>
      <w:r w:rsidRPr="00C27AE9">
        <w:rPr>
          <w:rFonts w:ascii="Garamond" w:hAnsi="Garamond"/>
          <w:sz w:val="26"/>
          <w:szCs w:val="26"/>
        </w:rPr>
        <w:t>el sistema regolatorio, va segnalato che n</w:t>
      </w:r>
      <w:r w:rsidR="0062393A" w:rsidRPr="00C27AE9">
        <w:rPr>
          <w:rFonts w:ascii="Garamond" w:hAnsi="Garamond"/>
          <w:sz w:val="26"/>
          <w:szCs w:val="26"/>
        </w:rPr>
        <w:t xml:space="preserve">ella </w:t>
      </w:r>
      <w:r w:rsidR="0030748B" w:rsidRPr="00C27AE9">
        <w:rPr>
          <w:rFonts w:ascii="Garamond" w:hAnsi="Garamond"/>
          <w:sz w:val="26"/>
          <w:szCs w:val="26"/>
        </w:rPr>
        <w:t>delibera n. 385/2023</w:t>
      </w:r>
      <w:r w:rsidR="0062393A" w:rsidRPr="00C27AE9">
        <w:rPr>
          <w:rFonts w:ascii="Garamond" w:hAnsi="Garamond"/>
          <w:sz w:val="26"/>
          <w:szCs w:val="26"/>
        </w:rPr>
        <w:t xml:space="preserve"> Arera </w:t>
      </w:r>
      <w:r w:rsidR="004C327D" w:rsidRPr="00C27AE9">
        <w:rPr>
          <w:rFonts w:ascii="Garamond" w:hAnsi="Garamond"/>
          <w:sz w:val="26"/>
          <w:szCs w:val="26"/>
        </w:rPr>
        <w:t xml:space="preserve">afferma </w:t>
      </w:r>
      <w:r w:rsidR="0030748B" w:rsidRPr="00C27AE9">
        <w:rPr>
          <w:rFonts w:ascii="Garamond" w:hAnsi="Garamond"/>
          <w:sz w:val="26"/>
          <w:szCs w:val="26"/>
        </w:rPr>
        <w:t>che “</w:t>
      </w:r>
      <w:r w:rsidR="0030748B" w:rsidRPr="00C27AE9">
        <w:rPr>
          <w:rFonts w:ascii="Garamond" w:hAnsi="Garamond"/>
          <w:i/>
          <w:iCs/>
          <w:sz w:val="26"/>
          <w:szCs w:val="26"/>
        </w:rPr>
        <w:t>la definizione di un quadro di riferimento uniforme per la predisposizione dei contratti di servizio rappresenti un fondamentale elemento di completamento del nuovo sistema di regole introdotto dall’Autorità nel settore die rifiuti urban</w:t>
      </w:r>
      <w:r w:rsidR="0030748B" w:rsidRPr="00C27AE9">
        <w:rPr>
          <w:rFonts w:ascii="Garamond" w:hAnsi="Garamond"/>
          <w:sz w:val="26"/>
          <w:szCs w:val="26"/>
        </w:rPr>
        <w:t>i”.</w:t>
      </w:r>
    </w:p>
    <w:p w14:paraId="1DBB8AEE" w14:textId="24571EA4" w:rsidR="0030748B" w:rsidRPr="00C27AE9" w:rsidRDefault="0014040C" w:rsidP="0030748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N</w:t>
      </w:r>
      <w:r w:rsidR="0030748B" w:rsidRPr="00C27AE9">
        <w:rPr>
          <w:rFonts w:ascii="Garamond" w:hAnsi="Garamond"/>
          <w:sz w:val="26"/>
          <w:szCs w:val="26"/>
        </w:rPr>
        <w:t>ell’ottica d</w:t>
      </w:r>
      <w:r w:rsidR="0062393A" w:rsidRPr="00C27AE9">
        <w:rPr>
          <w:rFonts w:ascii="Garamond" w:hAnsi="Garamond"/>
          <w:sz w:val="26"/>
          <w:szCs w:val="26"/>
        </w:rPr>
        <w:t>ell’Autorità</w:t>
      </w:r>
      <w:r w:rsidRPr="00C27AE9">
        <w:rPr>
          <w:rFonts w:ascii="Garamond" w:hAnsi="Garamond"/>
          <w:sz w:val="26"/>
          <w:szCs w:val="26"/>
        </w:rPr>
        <w:t>, dunque,</w:t>
      </w:r>
      <w:r w:rsidR="0062393A" w:rsidRPr="00C27AE9">
        <w:rPr>
          <w:rFonts w:ascii="Garamond" w:hAnsi="Garamond"/>
          <w:sz w:val="26"/>
          <w:szCs w:val="26"/>
        </w:rPr>
        <w:t xml:space="preserve"> l’approvazione d</w:t>
      </w:r>
      <w:r w:rsidRPr="00C27AE9">
        <w:rPr>
          <w:rFonts w:ascii="Garamond" w:hAnsi="Garamond"/>
          <w:sz w:val="26"/>
          <w:szCs w:val="26"/>
        </w:rPr>
        <w:t>ello</w:t>
      </w:r>
      <w:r w:rsidR="0062393A" w:rsidRPr="00C27AE9">
        <w:rPr>
          <w:rFonts w:ascii="Garamond" w:hAnsi="Garamond"/>
          <w:sz w:val="26"/>
          <w:szCs w:val="26"/>
        </w:rPr>
        <w:t xml:space="preserve"> Schema tipo di contratto uniforme </w:t>
      </w:r>
      <w:r w:rsidR="005E2AB4">
        <w:rPr>
          <w:rFonts w:ascii="Garamond" w:hAnsi="Garamond"/>
          <w:sz w:val="26"/>
          <w:szCs w:val="26"/>
        </w:rPr>
        <w:t xml:space="preserve">ha </w:t>
      </w:r>
      <w:r w:rsidR="0030748B" w:rsidRPr="00C27AE9">
        <w:rPr>
          <w:rFonts w:ascii="Garamond" w:hAnsi="Garamond"/>
          <w:sz w:val="26"/>
          <w:szCs w:val="26"/>
        </w:rPr>
        <w:t>rappresent</w:t>
      </w:r>
      <w:r w:rsidRPr="00C27AE9">
        <w:rPr>
          <w:rFonts w:ascii="Garamond" w:hAnsi="Garamond"/>
          <w:sz w:val="26"/>
          <w:szCs w:val="26"/>
        </w:rPr>
        <w:t>a</w:t>
      </w:r>
      <w:r w:rsidR="005E2AB4">
        <w:rPr>
          <w:rFonts w:ascii="Garamond" w:hAnsi="Garamond"/>
          <w:sz w:val="26"/>
          <w:szCs w:val="26"/>
        </w:rPr>
        <w:t>to</w:t>
      </w:r>
      <w:r w:rsidR="0030748B" w:rsidRPr="00C27AE9">
        <w:rPr>
          <w:rFonts w:ascii="Garamond" w:hAnsi="Garamond"/>
          <w:sz w:val="26"/>
          <w:szCs w:val="26"/>
        </w:rPr>
        <w:t xml:space="preserve"> un ulteriore step di completamento di un percorso complessivo di riforma, voluto dal legislato</w:t>
      </w:r>
      <w:r w:rsidR="004C327D" w:rsidRPr="00C27AE9">
        <w:rPr>
          <w:rFonts w:ascii="Garamond" w:hAnsi="Garamond"/>
          <w:sz w:val="26"/>
          <w:szCs w:val="26"/>
        </w:rPr>
        <w:t>re</w:t>
      </w:r>
      <w:r w:rsidR="0030748B" w:rsidRPr="00C27AE9">
        <w:rPr>
          <w:rFonts w:ascii="Garamond" w:hAnsi="Garamond"/>
          <w:sz w:val="26"/>
          <w:szCs w:val="26"/>
        </w:rPr>
        <w:t>, che persegue l’obiettivo di sottoporre in modo omogeneo il settore dei rifiuti alla disciplina regolatoria.</w:t>
      </w:r>
    </w:p>
    <w:p w14:paraId="2F99F73D" w14:textId="31874329" w:rsidR="000B1E09" w:rsidRPr="00C27AE9" w:rsidRDefault="0014040C" w:rsidP="0030748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L</w:t>
      </w:r>
      <w:r w:rsidR="00EF05DB" w:rsidRPr="00C27AE9">
        <w:rPr>
          <w:rFonts w:ascii="Garamond" w:hAnsi="Garamond"/>
          <w:sz w:val="26"/>
          <w:szCs w:val="26"/>
        </w:rPr>
        <w:t>a giurisprudenza</w:t>
      </w:r>
      <w:r w:rsidR="00C20E76">
        <w:rPr>
          <w:rFonts w:ascii="Garamond" w:hAnsi="Garamond"/>
          <w:sz w:val="26"/>
          <w:szCs w:val="26"/>
        </w:rPr>
        <w:t>,</w:t>
      </w:r>
      <w:r w:rsidR="00EF05DB" w:rsidRPr="00C27AE9">
        <w:rPr>
          <w:rFonts w:ascii="Garamond" w:hAnsi="Garamond"/>
          <w:sz w:val="26"/>
          <w:szCs w:val="26"/>
        </w:rPr>
        <w:t xml:space="preserve"> </w:t>
      </w:r>
      <w:r w:rsidR="00C20E76">
        <w:rPr>
          <w:rFonts w:ascii="Garamond" w:hAnsi="Garamond"/>
          <w:sz w:val="26"/>
          <w:szCs w:val="26"/>
        </w:rPr>
        <w:t xml:space="preserve">a </w:t>
      </w:r>
      <w:r w:rsidRPr="00C27AE9">
        <w:rPr>
          <w:rFonts w:ascii="Garamond" w:hAnsi="Garamond"/>
          <w:sz w:val="26"/>
          <w:szCs w:val="26"/>
        </w:rPr>
        <w:t>sua volta</w:t>
      </w:r>
      <w:r w:rsidR="00C20E76">
        <w:rPr>
          <w:rFonts w:ascii="Garamond" w:hAnsi="Garamond"/>
          <w:sz w:val="26"/>
          <w:szCs w:val="26"/>
        </w:rPr>
        <w:t>,</w:t>
      </w:r>
      <w:r w:rsidRPr="00C27AE9">
        <w:rPr>
          <w:rFonts w:ascii="Garamond" w:hAnsi="Garamond"/>
          <w:sz w:val="26"/>
          <w:szCs w:val="26"/>
        </w:rPr>
        <w:t xml:space="preserve"> </w:t>
      </w:r>
      <w:r w:rsidR="00EF05DB" w:rsidRPr="00C27AE9">
        <w:rPr>
          <w:rFonts w:ascii="Garamond" w:hAnsi="Garamond"/>
          <w:sz w:val="26"/>
          <w:szCs w:val="26"/>
        </w:rPr>
        <w:t xml:space="preserve">concorde nel ritenere che </w:t>
      </w:r>
      <w:r w:rsidR="003017B6" w:rsidRPr="00C27AE9">
        <w:rPr>
          <w:rFonts w:ascii="Garamond" w:hAnsi="Garamond"/>
          <w:sz w:val="26"/>
          <w:szCs w:val="26"/>
        </w:rPr>
        <w:t xml:space="preserve">lo </w:t>
      </w:r>
      <w:r w:rsidR="0062393A" w:rsidRPr="00C27AE9">
        <w:rPr>
          <w:rFonts w:ascii="Garamond" w:hAnsi="Garamond"/>
          <w:sz w:val="26"/>
          <w:szCs w:val="26"/>
        </w:rPr>
        <w:t xml:space="preserve">stesso </w:t>
      </w:r>
      <w:r w:rsidR="003017B6" w:rsidRPr="00C27AE9">
        <w:rPr>
          <w:rFonts w:ascii="Garamond" w:hAnsi="Garamond"/>
          <w:sz w:val="26"/>
          <w:szCs w:val="26"/>
        </w:rPr>
        <w:t xml:space="preserve">non </w:t>
      </w:r>
      <w:r w:rsidR="0062393A" w:rsidRPr="00C27AE9">
        <w:rPr>
          <w:rFonts w:ascii="Garamond" w:hAnsi="Garamond"/>
          <w:sz w:val="26"/>
          <w:szCs w:val="26"/>
        </w:rPr>
        <w:t>abbia</w:t>
      </w:r>
      <w:r w:rsidR="003017B6" w:rsidRPr="00C27AE9">
        <w:rPr>
          <w:rFonts w:ascii="Garamond" w:hAnsi="Garamond"/>
          <w:sz w:val="26"/>
          <w:szCs w:val="26"/>
        </w:rPr>
        <w:t xml:space="preserve"> introdotto nuovi obblighi </w:t>
      </w:r>
      <w:r w:rsidR="00284427" w:rsidRPr="00C27AE9">
        <w:rPr>
          <w:rFonts w:ascii="Garamond" w:hAnsi="Garamond"/>
          <w:sz w:val="26"/>
          <w:szCs w:val="26"/>
        </w:rPr>
        <w:t xml:space="preserve">all’interno del quadro regolatorio </w:t>
      </w:r>
      <w:r w:rsidR="003017B6" w:rsidRPr="00C27AE9">
        <w:rPr>
          <w:rFonts w:ascii="Garamond" w:hAnsi="Garamond"/>
          <w:sz w:val="26"/>
          <w:szCs w:val="26"/>
        </w:rPr>
        <w:t xml:space="preserve">ma </w:t>
      </w:r>
      <w:r w:rsidR="0062393A" w:rsidRPr="00C27AE9">
        <w:rPr>
          <w:rFonts w:ascii="Garamond" w:hAnsi="Garamond"/>
          <w:sz w:val="26"/>
          <w:szCs w:val="26"/>
        </w:rPr>
        <w:t xml:space="preserve">che </w:t>
      </w:r>
      <w:r w:rsidR="003017B6" w:rsidRPr="00C27AE9">
        <w:rPr>
          <w:rFonts w:ascii="Garamond" w:hAnsi="Garamond"/>
          <w:sz w:val="26"/>
          <w:szCs w:val="26"/>
        </w:rPr>
        <w:t>si limit</w:t>
      </w:r>
      <w:r w:rsidR="0062393A" w:rsidRPr="00C27AE9">
        <w:rPr>
          <w:rFonts w:ascii="Garamond" w:hAnsi="Garamond"/>
          <w:sz w:val="26"/>
          <w:szCs w:val="26"/>
        </w:rPr>
        <w:t>i</w:t>
      </w:r>
      <w:r w:rsidR="003017B6" w:rsidRPr="00C27AE9">
        <w:rPr>
          <w:rFonts w:ascii="Garamond" w:hAnsi="Garamond"/>
          <w:sz w:val="26"/>
          <w:szCs w:val="26"/>
        </w:rPr>
        <w:t xml:space="preserve"> a fissare </w:t>
      </w:r>
      <w:r w:rsidR="003017B6" w:rsidRPr="00C27AE9">
        <w:rPr>
          <w:rFonts w:ascii="Garamond" w:hAnsi="Garamond"/>
          <w:i/>
          <w:iCs/>
          <w:sz w:val="26"/>
          <w:szCs w:val="26"/>
        </w:rPr>
        <w:t>«i contenuti minimi essenziali di obblighi (…) evidentemente già previsti dalla disciplina regolatoria e dall’art. 24 del d.lgs. 201/2022, norma imperativa idonea ad integrare il contratto di servizio secondo il meccanismo di cui all’art. 1374 codice civile</w:t>
      </w:r>
      <w:r w:rsidR="003017B6" w:rsidRPr="00C27AE9">
        <w:rPr>
          <w:rFonts w:ascii="Garamond" w:hAnsi="Garamond"/>
          <w:sz w:val="26"/>
          <w:szCs w:val="26"/>
        </w:rPr>
        <w:t>»</w:t>
      </w:r>
      <w:r w:rsidR="003017B6" w:rsidRPr="00C27AE9">
        <w:rPr>
          <w:rStyle w:val="Rimandonotaapidipagina"/>
          <w:rFonts w:ascii="Garamond" w:hAnsi="Garamond"/>
          <w:sz w:val="26"/>
          <w:szCs w:val="26"/>
        </w:rPr>
        <w:footnoteReference w:id="41"/>
      </w:r>
      <w:r w:rsidR="000B1E09" w:rsidRPr="00C27AE9">
        <w:rPr>
          <w:rFonts w:ascii="Garamond" w:hAnsi="Garamond"/>
          <w:sz w:val="26"/>
          <w:szCs w:val="26"/>
        </w:rPr>
        <w:t>.</w:t>
      </w:r>
      <w:r w:rsidR="0030748B" w:rsidRPr="00C27AE9">
        <w:rPr>
          <w:rFonts w:ascii="Garamond" w:hAnsi="Garamond"/>
          <w:sz w:val="26"/>
          <w:szCs w:val="26"/>
        </w:rPr>
        <w:t xml:space="preserve"> </w:t>
      </w:r>
    </w:p>
    <w:p w14:paraId="0252B67B" w14:textId="5843B04A" w:rsidR="00EF05DB" w:rsidRPr="00C27AE9" w:rsidRDefault="000B1E09" w:rsidP="0030748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I</w:t>
      </w:r>
      <w:r w:rsidR="003017B6" w:rsidRPr="00C27AE9">
        <w:rPr>
          <w:rFonts w:ascii="Garamond" w:hAnsi="Garamond"/>
          <w:sz w:val="26"/>
          <w:szCs w:val="26"/>
        </w:rPr>
        <w:t xml:space="preserve">n una prospettiva ancora più ampia, </w:t>
      </w:r>
      <w:r w:rsidR="0062393A" w:rsidRPr="00C27AE9">
        <w:rPr>
          <w:rFonts w:ascii="Garamond" w:hAnsi="Garamond"/>
          <w:sz w:val="26"/>
          <w:szCs w:val="26"/>
        </w:rPr>
        <w:t>si è</w:t>
      </w:r>
      <w:r w:rsidR="009454BF" w:rsidRPr="00C27AE9">
        <w:rPr>
          <w:rFonts w:ascii="Garamond" w:hAnsi="Garamond"/>
          <w:sz w:val="26"/>
          <w:szCs w:val="26"/>
        </w:rPr>
        <w:t xml:space="preserve"> </w:t>
      </w:r>
      <w:r w:rsidR="003017B6" w:rsidRPr="00C27AE9">
        <w:rPr>
          <w:rFonts w:ascii="Garamond" w:hAnsi="Garamond"/>
          <w:sz w:val="26"/>
          <w:szCs w:val="26"/>
        </w:rPr>
        <w:t xml:space="preserve">sottolineato che </w:t>
      </w:r>
      <w:r w:rsidR="003017B6" w:rsidRPr="00C27AE9">
        <w:rPr>
          <w:rFonts w:ascii="Garamond" w:hAnsi="Garamond"/>
          <w:i/>
          <w:iCs/>
          <w:sz w:val="26"/>
          <w:szCs w:val="26"/>
        </w:rPr>
        <w:t>«la sopravvenuta disciplina di cui al’MTR-2 e quella relativa al contratto di servizio, deliberate da Arera, non sono espressione di un approccio innovativo dell’Autorità di regolazione bensì rappresentano l’applicazione di un principio già sotteso anche al MTR-1, del quale le delibere regolatorie sopravvenute costituiscono una più compiuta e articolata declinazione</w:t>
      </w:r>
      <w:r w:rsidR="003017B6" w:rsidRPr="00C27AE9">
        <w:rPr>
          <w:rFonts w:ascii="Garamond" w:hAnsi="Garamond"/>
          <w:sz w:val="26"/>
          <w:szCs w:val="26"/>
        </w:rPr>
        <w:t>»</w:t>
      </w:r>
      <w:r w:rsidR="003017B6" w:rsidRPr="00C27AE9">
        <w:rPr>
          <w:rStyle w:val="Rimandonotaapidipagina"/>
          <w:rFonts w:ascii="Garamond" w:hAnsi="Garamond"/>
          <w:sz w:val="26"/>
          <w:szCs w:val="26"/>
        </w:rPr>
        <w:footnoteReference w:id="42"/>
      </w:r>
      <w:r w:rsidR="0030748B" w:rsidRPr="00C27AE9">
        <w:rPr>
          <w:rFonts w:ascii="Garamond" w:hAnsi="Garamond"/>
          <w:sz w:val="26"/>
          <w:szCs w:val="26"/>
        </w:rPr>
        <w:t>.</w:t>
      </w:r>
    </w:p>
    <w:p w14:paraId="3105F7D5" w14:textId="15F7C975" w:rsidR="00F44B89" w:rsidRPr="00C27AE9" w:rsidRDefault="00395BDA" w:rsidP="005E2AB4">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Appare </w:t>
      </w:r>
      <w:r w:rsidR="00176306" w:rsidRPr="00C27AE9">
        <w:rPr>
          <w:rFonts w:ascii="Garamond" w:hAnsi="Garamond"/>
          <w:sz w:val="26"/>
          <w:szCs w:val="26"/>
        </w:rPr>
        <w:t xml:space="preserve">quindi </w:t>
      </w:r>
      <w:r w:rsidRPr="00C27AE9">
        <w:rPr>
          <w:rFonts w:ascii="Garamond" w:hAnsi="Garamond"/>
          <w:sz w:val="26"/>
          <w:szCs w:val="26"/>
        </w:rPr>
        <w:t xml:space="preserve">pacifica la valenza </w:t>
      </w:r>
      <w:r w:rsidR="000B1E09" w:rsidRPr="00C27AE9">
        <w:rPr>
          <w:rFonts w:ascii="Garamond" w:hAnsi="Garamond"/>
          <w:sz w:val="26"/>
          <w:szCs w:val="26"/>
        </w:rPr>
        <w:t xml:space="preserve">meramente </w:t>
      </w:r>
      <w:r w:rsidRPr="00C27AE9">
        <w:rPr>
          <w:rFonts w:ascii="Garamond" w:hAnsi="Garamond"/>
          <w:sz w:val="26"/>
          <w:szCs w:val="26"/>
        </w:rPr>
        <w:t>ricognitiva e non novativa della disciplina contrattuale contenuta nello Schema tipo di contratto varato dall’Autorità</w:t>
      </w:r>
      <w:r w:rsidR="005E2AB4">
        <w:rPr>
          <w:rFonts w:ascii="Garamond" w:hAnsi="Garamond"/>
          <w:sz w:val="26"/>
          <w:szCs w:val="26"/>
        </w:rPr>
        <w:t>.</w:t>
      </w:r>
    </w:p>
    <w:p w14:paraId="2129AD02" w14:textId="35B843E6" w:rsidR="00D377FD" w:rsidRPr="00C27AE9" w:rsidRDefault="00155906" w:rsidP="00395BDA">
      <w:pPr>
        <w:pStyle w:val="Rientrocorpodeltesto"/>
        <w:widowControl w:val="0"/>
        <w:spacing w:after="0"/>
        <w:ind w:left="0" w:firstLine="454"/>
        <w:jc w:val="both"/>
        <w:rPr>
          <w:rFonts w:ascii="Garamond" w:hAnsi="Garamond"/>
          <w:sz w:val="26"/>
          <w:szCs w:val="26"/>
        </w:rPr>
      </w:pPr>
      <w:r>
        <w:rPr>
          <w:rFonts w:ascii="Garamond" w:hAnsi="Garamond"/>
          <w:sz w:val="26"/>
          <w:szCs w:val="26"/>
        </w:rPr>
        <w:t xml:space="preserve">Provando a tirare le fila rispetto a </w:t>
      </w:r>
      <w:r w:rsidR="0089686A" w:rsidRPr="00C27AE9">
        <w:rPr>
          <w:rFonts w:ascii="Garamond" w:hAnsi="Garamond"/>
          <w:sz w:val="26"/>
          <w:szCs w:val="26"/>
        </w:rPr>
        <w:t>quanto sin qui esposto</w:t>
      </w:r>
      <w:r w:rsidR="00F44B89" w:rsidRPr="00C27AE9">
        <w:rPr>
          <w:rFonts w:ascii="Garamond" w:hAnsi="Garamond"/>
          <w:sz w:val="26"/>
          <w:szCs w:val="26"/>
        </w:rPr>
        <w:t xml:space="preserve"> nei paragrafi precedenti</w:t>
      </w:r>
      <w:r w:rsidR="0089686A" w:rsidRPr="00C27AE9">
        <w:rPr>
          <w:rFonts w:ascii="Garamond" w:hAnsi="Garamond"/>
          <w:sz w:val="26"/>
          <w:szCs w:val="26"/>
        </w:rPr>
        <w:t>, s</w:t>
      </w:r>
      <w:r w:rsidR="00D377FD" w:rsidRPr="00C27AE9">
        <w:rPr>
          <w:rFonts w:ascii="Garamond" w:hAnsi="Garamond"/>
          <w:sz w:val="26"/>
          <w:szCs w:val="26"/>
        </w:rPr>
        <w:t xml:space="preserve">embra </w:t>
      </w:r>
      <w:r w:rsidR="00176306" w:rsidRPr="00C27AE9">
        <w:rPr>
          <w:rFonts w:ascii="Garamond" w:hAnsi="Garamond"/>
          <w:sz w:val="26"/>
          <w:szCs w:val="26"/>
        </w:rPr>
        <w:t>r</w:t>
      </w:r>
      <w:r w:rsidR="00D377FD" w:rsidRPr="00C27AE9">
        <w:rPr>
          <w:rFonts w:ascii="Garamond" w:hAnsi="Garamond"/>
          <w:sz w:val="26"/>
          <w:szCs w:val="26"/>
        </w:rPr>
        <w:t xml:space="preserve">agionevole </w:t>
      </w:r>
      <w:r w:rsidR="00176306" w:rsidRPr="00C27AE9">
        <w:rPr>
          <w:rFonts w:ascii="Garamond" w:hAnsi="Garamond"/>
          <w:sz w:val="26"/>
          <w:szCs w:val="26"/>
        </w:rPr>
        <w:t xml:space="preserve">poter </w:t>
      </w:r>
      <w:r w:rsidR="00D377FD" w:rsidRPr="00C27AE9">
        <w:rPr>
          <w:rFonts w:ascii="Garamond" w:hAnsi="Garamond"/>
          <w:sz w:val="26"/>
          <w:szCs w:val="26"/>
        </w:rPr>
        <w:t>formulare una prima conclusione</w:t>
      </w:r>
      <w:r w:rsidR="003C1560" w:rsidRPr="00C27AE9">
        <w:rPr>
          <w:rFonts w:ascii="Garamond" w:hAnsi="Garamond"/>
          <w:sz w:val="26"/>
          <w:szCs w:val="26"/>
        </w:rPr>
        <w:t>.</w:t>
      </w:r>
    </w:p>
    <w:p w14:paraId="5F07EEBE" w14:textId="4B92C3AF" w:rsidR="00D6730D" w:rsidRPr="00C27AE9" w:rsidRDefault="00CB32E1" w:rsidP="000018A7">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L</w:t>
      </w:r>
      <w:r w:rsidR="000018A7" w:rsidRPr="00C27AE9">
        <w:rPr>
          <w:rFonts w:ascii="Garamond" w:hAnsi="Garamond"/>
          <w:sz w:val="26"/>
          <w:szCs w:val="26"/>
        </w:rPr>
        <w:t xml:space="preserve">’introduzione del Metodo tariffario è </w:t>
      </w:r>
      <w:r w:rsidR="005E2AB4">
        <w:rPr>
          <w:rFonts w:ascii="Garamond" w:hAnsi="Garamond"/>
          <w:sz w:val="26"/>
          <w:szCs w:val="26"/>
        </w:rPr>
        <w:t xml:space="preserve">strettamente </w:t>
      </w:r>
      <w:r w:rsidR="000018A7" w:rsidRPr="00C27AE9">
        <w:rPr>
          <w:rFonts w:ascii="Garamond" w:hAnsi="Garamond"/>
          <w:sz w:val="26"/>
          <w:szCs w:val="26"/>
        </w:rPr>
        <w:t>funzionale alla determinazione de</w:t>
      </w:r>
      <w:r w:rsidR="005E2AB4">
        <w:rPr>
          <w:rFonts w:ascii="Garamond" w:hAnsi="Garamond"/>
          <w:sz w:val="26"/>
          <w:szCs w:val="26"/>
        </w:rPr>
        <w:t>l</w:t>
      </w:r>
      <w:r w:rsidR="000018A7" w:rsidRPr="00C27AE9">
        <w:rPr>
          <w:rFonts w:ascii="Garamond" w:hAnsi="Garamond"/>
          <w:sz w:val="26"/>
          <w:szCs w:val="26"/>
        </w:rPr>
        <w:t xml:space="preserve"> corrispettiv</w:t>
      </w:r>
      <w:r w:rsidR="005E2AB4">
        <w:rPr>
          <w:rFonts w:ascii="Garamond" w:hAnsi="Garamond"/>
          <w:sz w:val="26"/>
          <w:szCs w:val="26"/>
        </w:rPr>
        <w:t>o contrattuale e non soltanto all’individuazione dei valori TARI</w:t>
      </w:r>
      <w:r w:rsidR="000018A7" w:rsidRPr="00C27AE9">
        <w:rPr>
          <w:rFonts w:ascii="Garamond" w:hAnsi="Garamond"/>
          <w:sz w:val="26"/>
          <w:szCs w:val="26"/>
        </w:rPr>
        <w:t>; i</w:t>
      </w:r>
      <w:r w:rsidR="00D6730D" w:rsidRPr="00C27AE9">
        <w:rPr>
          <w:rFonts w:ascii="Garamond" w:hAnsi="Garamond"/>
          <w:sz w:val="26"/>
          <w:szCs w:val="26"/>
        </w:rPr>
        <w:t>l dato letterale</w:t>
      </w:r>
      <w:r w:rsidR="0089686A" w:rsidRPr="00C27AE9">
        <w:rPr>
          <w:rFonts w:ascii="Garamond" w:hAnsi="Garamond"/>
          <w:sz w:val="26"/>
          <w:szCs w:val="26"/>
        </w:rPr>
        <w:t xml:space="preserve"> </w:t>
      </w:r>
      <w:r w:rsidRPr="00C27AE9">
        <w:rPr>
          <w:rFonts w:ascii="Garamond" w:hAnsi="Garamond"/>
          <w:sz w:val="26"/>
          <w:szCs w:val="26"/>
        </w:rPr>
        <w:t xml:space="preserve">dell’art. 1 co. 527 l.n. 205/2017 </w:t>
      </w:r>
      <w:r w:rsidR="0089686A" w:rsidRPr="00C27AE9">
        <w:rPr>
          <w:rFonts w:ascii="Garamond" w:hAnsi="Garamond"/>
          <w:sz w:val="26"/>
          <w:szCs w:val="26"/>
        </w:rPr>
        <w:t>(</w:t>
      </w:r>
      <w:r w:rsidR="005E2AB4">
        <w:rPr>
          <w:rFonts w:ascii="Garamond" w:hAnsi="Garamond"/>
          <w:sz w:val="26"/>
          <w:szCs w:val="26"/>
        </w:rPr>
        <w:t xml:space="preserve">che </w:t>
      </w:r>
      <w:r w:rsidR="0089686A" w:rsidRPr="00C27AE9">
        <w:rPr>
          <w:rFonts w:ascii="Garamond" w:hAnsi="Garamond"/>
          <w:sz w:val="26"/>
          <w:szCs w:val="26"/>
        </w:rPr>
        <w:t>impieg</w:t>
      </w:r>
      <w:r w:rsidR="005E2AB4">
        <w:rPr>
          <w:rFonts w:ascii="Garamond" w:hAnsi="Garamond"/>
          <w:sz w:val="26"/>
          <w:szCs w:val="26"/>
        </w:rPr>
        <w:t>a</w:t>
      </w:r>
      <w:r w:rsidR="0089686A" w:rsidRPr="00C27AE9">
        <w:rPr>
          <w:rFonts w:ascii="Garamond" w:hAnsi="Garamond"/>
          <w:sz w:val="26"/>
          <w:szCs w:val="26"/>
        </w:rPr>
        <w:t xml:space="preserve"> </w:t>
      </w:r>
      <w:r w:rsidR="005E2AB4">
        <w:rPr>
          <w:rFonts w:ascii="Garamond" w:hAnsi="Garamond"/>
          <w:sz w:val="26"/>
          <w:szCs w:val="26"/>
        </w:rPr>
        <w:t>i</w:t>
      </w:r>
      <w:r w:rsidR="0089686A" w:rsidRPr="00C27AE9">
        <w:rPr>
          <w:rFonts w:ascii="Garamond" w:hAnsi="Garamond"/>
          <w:sz w:val="26"/>
          <w:szCs w:val="26"/>
        </w:rPr>
        <w:t>l termine “corrispettivo”</w:t>
      </w:r>
      <w:r w:rsidR="00341080" w:rsidRPr="00C27AE9">
        <w:rPr>
          <w:rFonts w:ascii="Garamond" w:hAnsi="Garamond"/>
          <w:sz w:val="26"/>
          <w:szCs w:val="26"/>
        </w:rPr>
        <w:t>)</w:t>
      </w:r>
      <w:r w:rsidR="00D6730D" w:rsidRPr="00C27AE9">
        <w:rPr>
          <w:rFonts w:ascii="Garamond" w:hAnsi="Garamond"/>
          <w:sz w:val="26"/>
          <w:szCs w:val="26"/>
        </w:rPr>
        <w:t xml:space="preserve"> evoca </w:t>
      </w:r>
      <w:r w:rsidR="005E2AB4">
        <w:rPr>
          <w:rFonts w:ascii="Garamond" w:hAnsi="Garamond"/>
          <w:sz w:val="26"/>
          <w:szCs w:val="26"/>
        </w:rPr>
        <w:t xml:space="preserve">chiaramente </w:t>
      </w:r>
      <w:r w:rsidR="00D6730D" w:rsidRPr="00C27AE9">
        <w:rPr>
          <w:rFonts w:ascii="Garamond" w:hAnsi="Garamond"/>
          <w:sz w:val="26"/>
          <w:szCs w:val="26"/>
        </w:rPr>
        <w:t>il concetto di reciprocità delle obbligazioni derivanti dal</w:t>
      </w:r>
      <w:r w:rsidR="008918F7" w:rsidRPr="00C27AE9">
        <w:rPr>
          <w:rFonts w:ascii="Garamond" w:hAnsi="Garamond"/>
          <w:sz w:val="26"/>
          <w:szCs w:val="26"/>
        </w:rPr>
        <w:t xml:space="preserve"> contratto </w:t>
      </w:r>
      <w:r w:rsidR="00D6730D" w:rsidRPr="00C27AE9">
        <w:rPr>
          <w:rFonts w:ascii="Garamond" w:hAnsi="Garamond"/>
          <w:sz w:val="26"/>
          <w:szCs w:val="26"/>
        </w:rPr>
        <w:t>d</w:t>
      </w:r>
      <w:r w:rsidR="008918F7" w:rsidRPr="00C27AE9">
        <w:rPr>
          <w:rFonts w:ascii="Garamond" w:hAnsi="Garamond"/>
          <w:sz w:val="26"/>
          <w:szCs w:val="26"/>
        </w:rPr>
        <w:t>i</w:t>
      </w:r>
      <w:r w:rsidR="00D6730D" w:rsidRPr="00C27AE9">
        <w:rPr>
          <w:rFonts w:ascii="Garamond" w:hAnsi="Garamond"/>
          <w:sz w:val="26"/>
          <w:szCs w:val="26"/>
        </w:rPr>
        <w:t xml:space="preserve"> servizio</w:t>
      </w:r>
      <w:r w:rsidR="00187867" w:rsidRPr="00C27AE9">
        <w:rPr>
          <w:rFonts w:ascii="Garamond" w:hAnsi="Garamond"/>
          <w:sz w:val="26"/>
          <w:szCs w:val="26"/>
        </w:rPr>
        <w:t>.</w:t>
      </w:r>
    </w:p>
    <w:p w14:paraId="39E091D6" w14:textId="3123F6EF" w:rsidR="000018A7" w:rsidRPr="00C27AE9" w:rsidRDefault="000018A7" w:rsidP="000018A7">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lastRenderedPageBreak/>
        <w:t>Il concetto di corrispettivo, infatti, “</w:t>
      </w:r>
      <w:r w:rsidRPr="00C27AE9">
        <w:rPr>
          <w:rFonts w:ascii="Garamond" w:hAnsi="Garamond"/>
          <w:i/>
          <w:iCs/>
          <w:sz w:val="26"/>
          <w:szCs w:val="26"/>
        </w:rPr>
        <w:t>si riferisce al ricavo (cd. vincolo dei ricavi) che deve essere corrisposto al gestore a copertura dei costi di esercizio e di investimento (compresa la remunerazione dei capitali per l’erogazione di ciascuna specifica attività di cui si compone l’affidamento del servizio integrato</w:t>
      </w:r>
      <w:r w:rsidRPr="00C27AE9">
        <w:rPr>
          <w:rFonts w:ascii="Garamond" w:hAnsi="Garamond"/>
          <w:sz w:val="26"/>
          <w:szCs w:val="26"/>
        </w:rPr>
        <w:t xml:space="preserve">” </w:t>
      </w:r>
      <w:r w:rsidRPr="00C27AE9">
        <w:rPr>
          <w:rStyle w:val="Rimandonotaapidipagina"/>
          <w:rFonts w:ascii="Garamond" w:hAnsi="Garamond"/>
          <w:sz w:val="26"/>
          <w:szCs w:val="26"/>
        </w:rPr>
        <w:footnoteReference w:id="43"/>
      </w:r>
      <w:r w:rsidRPr="00C27AE9">
        <w:rPr>
          <w:rFonts w:ascii="Garamond" w:hAnsi="Garamond"/>
          <w:sz w:val="26"/>
          <w:szCs w:val="26"/>
        </w:rPr>
        <w:t>.</w:t>
      </w:r>
    </w:p>
    <w:p w14:paraId="79CE1828" w14:textId="201CD678" w:rsidR="00EE0AEB" w:rsidRPr="00C27AE9" w:rsidRDefault="00EE0AEB" w:rsidP="00EE0AE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Tale assunto è coerente con la </w:t>
      </w:r>
      <w:r w:rsidRPr="00C27AE9">
        <w:rPr>
          <w:rFonts w:ascii="Garamond" w:hAnsi="Garamond"/>
          <w:i/>
          <w:iCs/>
          <w:sz w:val="26"/>
          <w:szCs w:val="26"/>
        </w:rPr>
        <w:t>ratio</w:t>
      </w:r>
      <w:r w:rsidRPr="00C27AE9">
        <w:rPr>
          <w:rFonts w:ascii="Garamond" w:hAnsi="Garamond"/>
          <w:sz w:val="26"/>
          <w:szCs w:val="26"/>
        </w:rPr>
        <w:t xml:space="preserve"> della regolazione, che  </w:t>
      </w:r>
      <w:r w:rsidR="00CB32E1" w:rsidRPr="00C27AE9">
        <w:rPr>
          <w:rFonts w:ascii="Garamond" w:hAnsi="Garamond"/>
          <w:sz w:val="26"/>
          <w:szCs w:val="26"/>
        </w:rPr>
        <w:t xml:space="preserve">come si è visto, </w:t>
      </w:r>
      <w:r w:rsidRPr="00C27AE9">
        <w:rPr>
          <w:rFonts w:ascii="Garamond" w:hAnsi="Garamond"/>
          <w:sz w:val="26"/>
          <w:szCs w:val="26"/>
        </w:rPr>
        <w:t>è proprio quella di incidere sul prezzo del servizio, al fine di tutelare gli utenti finali, come ben evidenziato anche di recente dal Giudice amministrativo, secondo cui “</w:t>
      </w:r>
      <w:r w:rsidRPr="00C27AE9">
        <w:rPr>
          <w:rFonts w:ascii="Garamond" w:hAnsi="Garamond"/>
          <w:i/>
          <w:iCs/>
          <w:sz w:val="26"/>
          <w:szCs w:val="26"/>
        </w:rPr>
        <w:t>il metodo tariffario rifiuti (…) MTR, costituisce il meccanismo mediante il quale l’ordinamento consente il bilanciamento tra l’esigenza di rendere economica la gestione del servizio rifiuti, remunerando adeguatamente i costi per rendere il servizio e la necessità di evitare che per il servizio venga preteso un corrispettivo eccessivamente gravoso da chi lo gestisce quale unico operatore e dunque in monopolio (Cons. Stato, sez. II, 24 marzo 2025, n. 2421, pag. 30 e 32)</w:t>
      </w:r>
      <w:r w:rsidRPr="00C27AE9">
        <w:rPr>
          <w:rFonts w:ascii="Garamond" w:hAnsi="Garamond"/>
          <w:sz w:val="26"/>
          <w:szCs w:val="26"/>
        </w:rPr>
        <w:t>”</w:t>
      </w:r>
      <w:r w:rsidRPr="00C27AE9">
        <w:rPr>
          <w:rStyle w:val="Rimandonotaapidipagina"/>
          <w:rFonts w:ascii="Garamond" w:hAnsi="Garamond"/>
          <w:sz w:val="26"/>
          <w:szCs w:val="26"/>
        </w:rPr>
        <w:footnoteReference w:id="44"/>
      </w:r>
      <w:r w:rsidRPr="00C27AE9">
        <w:rPr>
          <w:rFonts w:ascii="Garamond" w:hAnsi="Garamond"/>
          <w:sz w:val="26"/>
          <w:szCs w:val="26"/>
        </w:rPr>
        <w:t xml:space="preserve">.   </w:t>
      </w:r>
    </w:p>
    <w:p w14:paraId="7281A74C" w14:textId="11BA33AC" w:rsidR="00EE0AEB" w:rsidRPr="00C27AE9" w:rsidRDefault="00EE0AEB" w:rsidP="00EE0AE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Come rilevato in precedenza da autorevole dottrina</w:t>
      </w:r>
      <w:r w:rsidRPr="00C27AE9">
        <w:rPr>
          <w:rStyle w:val="Rimandonotaapidipagina"/>
          <w:rFonts w:ascii="Garamond" w:hAnsi="Garamond"/>
          <w:sz w:val="26"/>
          <w:szCs w:val="26"/>
        </w:rPr>
        <w:footnoteReference w:id="45"/>
      </w:r>
      <w:r w:rsidRPr="00C27AE9">
        <w:rPr>
          <w:rFonts w:ascii="Garamond" w:hAnsi="Garamond"/>
          <w:sz w:val="26"/>
          <w:szCs w:val="26"/>
        </w:rPr>
        <w:t>, la ragione che ha indotto il legislatore a compiere la scelta di introdurre il regime della regolazione tariffaria nell’ambito dei rifiuti urbani e che “</w:t>
      </w:r>
      <w:r w:rsidRPr="00C27AE9">
        <w:rPr>
          <w:rFonts w:ascii="Garamond" w:hAnsi="Garamond"/>
          <w:i/>
          <w:iCs/>
          <w:sz w:val="26"/>
          <w:szCs w:val="26"/>
        </w:rPr>
        <w:t>ne costituisce, altresì, l’essenza stessa, consiste nel correggere le conseguenze che deriverebbero dal fallimento del mercato lasciato a sé stesso, sia in considerazione delle diverse posizioni di forza degli operatori coinvolti, che dell’indiscussa situazione di disparità sussistente tra esercente il servizio e cliente finale</w:t>
      </w:r>
      <w:r w:rsidRPr="00C27AE9">
        <w:rPr>
          <w:rFonts w:ascii="Garamond" w:hAnsi="Garamond"/>
          <w:sz w:val="26"/>
          <w:szCs w:val="26"/>
        </w:rPr>
        <w:t xml:space="preserve">”. </w:t>
      </w:r>
    </w:p>
    <w:p w14:paraId="72FBF6AF" w14:textId="73C8CA75" w:rsidR="00EE0AEB" w:rsidRPr="00C27AE9" w:rsidRDefault="00EE0AEB" w:rsidP="00EE0AE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Con tale lettura concorda dottrina più recente, secondo cui “</w:t>
      </w:r>
      <w:r w:rsidRPr="00C27AE9">
        <w:rPr>
          <w:rFonts w:ascii="Garamond" w:hAnsi="Garamond"/>
          <w:i/>
          <w:iCs/>
          <w:sz w:val="26"/>
          <w:szCs w:val="26"/>
        </w:rPr>
        <w:t xml:space="preserve">sebbene la gestione del servizio viene affidata tramite meccanismi concorrenziali volti ad individuare la migliore offerta presente sul mercato, ci si è resi conto che il sistema della concorrenza per il mercato non era sufficiente a garantire una gestione efficiente e soprattutto si prestava ad una crescita esponenziale del costo e quindi del prezzo versato degli utenti, in pregiudizio anche di interessi generali quali l’efficienza dell’azione amministrativa, la tutela dell’ambiente e della salute. </w:t>
      </w:r>
    </w:p>
    <w:p w14:paraId="456E7739" w14:textId="21169E4B" w:rsidR="000018A7" w:rsidRPr="00C27AE9" w:rsidRDefault="00EE0AEB" w:rsidP="00EE0AEB">
      <w:pPr>
        <w:pStyle w:val="Rientrocorpodeltesto"/>
        <w:widowControl w:val="0"/>
        <w:spacing w:after="0"/>
        <w:ind w:left="0" w:firstLine="454"/>
        <w:jc w:val="both"/>
        <w:rPr>
          <w:rFonts w:ascii="Garamond" w:hAnsi="Garamond"/>
          <w:sz w:val="26"/>
          <w:szCs w:val="26"/>
        </w:rPr>
      </w:pPr>
      <w:r w:rsidRPr="00C27AE9">
        <w:rPr>
          <w:rFonts w:ascii="Garamond" w:hAnsi="Garamond"/>
          <w:i/>
          <w:iCs/>
          <w:sz w:val="26"/>
          <w:szCs w:val="26"/>
        </w:rPr>
        <w:t>Pertanto, nel 2017 si è introdotta la regolazione della tariffa per il servizio, sulla cui base viene determinato sia il corrispettivo dovuto agli operatori che il prezzo dovuto dall’utenza</w:t>
      </w:r>
      <w:r w:rsidRPr="00C27AE9">
        <w:rPr>
          <w:rFonts w:ascii="Garamond" w:hAnsi="Garamond"/>
          <w:sz w:val="26"/>
          <w:szCs w:val="26"/>
        </w:rPr>
        <w:t>”</w:t>
      </w:r>
      <w:r w:rsidRPr="00C27AE9">
        <w:rPr>
          <w:rStyle w:val="Rimandonotaapidipagina"/>
          <w:rFonts w:ascii="Garamond" w:hAnsi="Garamond"/>
          <w:sz w:val="26"/>
          <w:szCs w:val="26"/>
        </w:rPr>
        <w:footnoteReference w:id="46"/>
      </w:r>
      <w:r w:rsidRPr="00C27AE9">
        <w:rPr>
          <w:rFonts w:ascii="Garamond" w:hAnsi="Garamond"/>
          <w:sz w:val="26"/>
          <w:szCs w:val="26"/>
        </w:rPr>
        <w:t>.</w:t>
      </w:r>
    </w:p>
    <w:p w14:paraId="74947DCE" w14:textId="27483E1C" w:rsidR="00CD0BFE" w:rsidRPr="00C27AE9" w:rsidRDefault="008B3067" w:rsidP="00BC0DE8">
      <w:pPr>
        <w:pStyle w:val="Rientrocorpodeltesto"/>
        <w:widowControl w:val="0"/>
        <w:spacing w:after="0"/>
        <w:ind w:left="0" w:firstLine="454"/>
        <w:jc w:val="both"/>
        <w:rPr>
          <w:rFonts w:ascii="Garamond" w:hAnsi="Garamond"/>
          <w:sz w:val="26"/>
          <w:szCs w:val="26"/>
        </w:rPr>
      </w:pPr>
      <w:r>
        <w:rPr>
          <w:rFonts w:ascii="Garamond" w:hAnsi="Garamond"/>
          <w:sz w:val="26"/>
          <w:szCs w:val="26"/>
        </w:rPr>
        <w:t>A tale impostazione</w:t>
      </w:r>
      <w:r w:rsidR="00CD0BFE" w:rsidRPr="00C27AE9">
        <w:rPr>
          <w:rFonts w:ascii="Garamond" w:hAnsi="Garamond"/>
          <w:sz w:val="26"/>
          <w:szCs w:val="26"/>
        </w:rPr>
        <w:t xml:space="preserve"> </w:t>
      </w:r>
      <w:r>
        <w:rPr>
          <w:rFonts w:ascii="Garamond" w:hAnsi="Garamond"/>
          <w:sz w:val="26"/>
          <w:szCs w:val="26"/>
        </w:rPr>
        <w:t xml:space="preserve">ha aderito, almeno </w:t>
      </w:r>
      <w:r w:rsidRPr="00C27AE9">
        <w:rPr>
          <w:rFonts w:ascii="Garamond" w:hAnsi="Garamond"/>
          <w:sz w:val="26"/>
          <w:szCs w:val="26"/>
        </w:rPr>
        <w:t>sino a poco tempo fa</w:t>
      </w:r>
      <w:r>
        <w:rPr>
          <w:rFonts w:ascii="Garamond" w:hAnsi="Garamond"/>
          <w:sz w:val="26"/>
          <w:szCs w:val="26"/>
        </w:rPr>
        <w:t xml:space="preserve">, </w:t>
      </w:r>
      <w:r w:rsidR="00CD0BFE" w:rsidRPr="00C27AE9">
        <w:rPr>
          <w:rFonts w:ascii="Garamond" w:hAnsi="Garamond"/>
          <w:sz w:val="26"/>
          <w:szCs w:val="26"/>
        </w:rPr>
        <w:t xml:space="preserve">la giurisprudenza, che con riferimento all’art. 2 comma 17 della l.n. 481/1995, a norma del quale </w:t>
      </w:r>
      <w:r w:rsidR="007614FF" w:rsidRPr="00C27AE9">
        <w:rPr>
          <w:rFonts w:ascii="Garamond" w:hAnsi="Garamond"/>
          <w:sz w:val="26"/>
          <w:szCs w:val="26"/>
        </w:rPr>
        <w:t>«</w:t>
      </w:r>
      <w:r w:rsidR="00CD0BFE" w:rsidRPr="00C27AE9">
        <w:rPr>
          <w:rFonts w:ascii="Garamond" w:hAnsi="Garamond"/>
          <w:i/>
          <w:iCs/>
          <w:sz w:val="26"/>
          <w:szCs w:val="26"/>
        </w:rPr>
        <w:t>si intendono per tariffe i prezzi massimi unitari dei servizi al netto delle imposte</w:t>
      </w:r>
      <w:r w:rsidR="007614FF" w:rsidRPr="00C27AE9">
        <w:rPr>
          <w:rFonts w:ascii="Garamond" w:hAnsi="Garamond"/>
          <w:i/>
          <w:iCs/>
          <w:sz w:val="26"/>
          <w:szCs w:val="26"/>
        </w:rPr>
        <w:t>»</w:t>
      </w:r>
      <w:r w:rsidR="00CD0BFE" w:rsidRPr="00C27AE9">
        <w:rPr>
          <w:rFonts w:ascii="Garamond" w:hAnsi="Garamond"/>
          <w:sz w:val="26"/>
          <w:szCs w:val="26"/>
        </w:rPr>
        <w:t>, ha affermato che «</w:t>
      </w:r>
      <w:r w:rsidR="00CD0BFE" w:rsidRPr="00C27AE9">
        <w:rPr>
          <w:rFonts w:ascii="Garamond" w:hAnsi="Garamond"/>
          <w:i/>
          <w:iCs/>
          <w:sz w:val="26"/>
          <w:szCs w:val="26"/>
        </w:rPr>
        <w:t>l’aggettivo “massimi” è inequivocabile nel senso che i singoli enti territorialmente competenti possono pattuire con i gestori del servizio dei rifiuti prezzi inferiore a quelli risultanti dall’applicazione del metodo tariffario rifiuti»</w:t>
      </w:r>
      <w:r w:rsidR="00CD0BFE" w:rsidRPr="00C27AE9">
        <w:rPr>
          <w:rFonts w:ascii="Garamond" w:hAnsi="Garamond"/>
          <w:sz w:val="26"/>
          <w:szCs w:val="26"/>
        </w:rPr>
        <w:t xml:space="preserve"> </w:t>
      </w:r>
      <w:r w:rsidR="00CD0BFE" w:rsidRPr="00C27AE9">
        <w:rPr>
          <w:rStyle w:val="Rimandonotaapidipagina"/>
          <w:rFonts w:ascii="Garamond" w:hAnsi="Garamond"/>
          <w:sz w:val="26"/>
          <w:szCs w:val="26"/>
        </w:rPr>
        <w:footnoteReference w:id="47"/>
      </w:r>
      <w:r w:rsidR="007614FF" w:rsidRPr="00C27AE9">
        <w:rPr>
          <w:rFonts w:ascii="Garamond" w:hAnsi="Garamond"/>
          <w:sz w:val="26"/>
          <w:szCs w:val="26"/>
        </w:rPr>
        <w:t xml:space="preserve">; mentre con riferimento alle norme del MTR, ha espressamente rilevato che </w:t>
      </w:r>
      <w:r w:rsidR="00F1300B" w:rsidRPr="00C27AE9">
        <w:rPr>
          <w:rFonts w:ascii="Garamond" w:hAnsi="Garamond"/>
          <w:sz w:val="26"/>
          <w:szCs w:val="26"/>
        </w:rPr>
        <w:t xml:space="preserve">sulla base di tali parametri </w:t>
      </w:r>
      <w:r w:rsidR="007614FF" w:rsidRPr="00C27AE9">
        <w:rPr>
          <w:rFonts w:ascii="Garamond" w:hAnsi="Garamond"/>
          <w:sz w:val="26"/>
          <w:szCs w:val="26"/>
        </w:rPr>
        <w:t>«</w:t>
      </w:r>
      <w:r w:rsidR="007614FF" w:rsidRPr="00C27AE9">
        <w:rPr>
          <w:rFonts w:ascii="Garamond" w:hAnsi="Garamond"/>
          <w:i/>
          <w:iCs/>
          <w:sz w:val="26"/>
          <w:szCs w:val="26"/>
        </w:rPr>
        <w:t>l’Ente territorialmente competente assume le pertinenti determinazioni e trasmette ad Arera il p.e.f. e i corrispettivi del servizio integrato dei rifiuti o dei singoli servizi che costituiscono l’attività di gestione</w:t>
      </w:r>
      <w:r w:rsidR="007614FF" w:rsidRPr="00C27AE9">
        <w:rPr>
          <w:rFonts w:ascii="Garamond" w:hAnsi="Garamond"/>
          <w:sz w:val="26"/>
          <w:szCs w:val="26"/>
        </w:rPr>
        <w:t>»</w:t>
      </w:r>
      <w:r w:rsidR="007614FF" w:rsidRPr="00C27AE9">
        <w:rPr>
          <w:rStyle w:val="Rimandonotaapidipagina"/>
          <w:rFonts w:ascii="Garamond" w:hAnsi="Garamond"/>
          <w:sz w:val="26"/>
          <w:szCs w:val="26"/>
        </w:rPr>
        <w:footnoteReference w:id="48"/>
      </w:r>
      <w:r w:rsidR="007614FF" w:rsidRPr="00C27AE9">
        <w:rPr>
          <w:rFonts w:ascii="Garamond" w:hAnsi="Garamond"/>
          <w:sz w:val="26"/>
          <w:szCs w:val="26"/>
        </w:rPr>
        <w:t xml:space="preserve">. </w:t>
      </w:r>
    </w:p>
    <w:p w14:paraId="67A84CEF" w14:textId="0BD481FB" w:rsidR="00FB1D25" w:rsidRDefault="00176306" w:rsidP="007172D6">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Che </w:t>
      </w:r>
      <w:r w:rsidR="00FB1D25" w:rsidRPr="00C27AE9">
        <w:rPr>
          <w:rFonts w:ascii="Garamond" w:hAnsi="Garamond"/>
          <w:sz w:val="26"/>
          <w:szCs w:val="26"/>
        </w:rPr>
        <w:t>il Metodo tariffario sia funzionale alla “determinazione dei corrispettivi”</w:t>
      </w:r>
      <w:r w:rsidR="00E666F8" w:rsidRPr="00C27AE9">
        <w:rPr>
          <w:rFonts w:ascii="Garamond" w:hAnsi="Garamond"/>
          <w:sz w:val="26"/>
          <w:szCs w:val="26"/>
        </w:rPr>
        <w:t xml:space="preserve"> </w:t>
      </w:r>
      <w:r w:rsidR="00FB1D25" w:rsidRPr="00C27AE9">
        <w:rPr>
          <w:rFonts w:ascii="Garamond" w:hAnsi="Garamond"/>
          <w:sz w:val="26"/>
          <w:szCs w:val="26"/>
        </w:rPr>
        <w:t>(canoni) spettanti al gestore del servizio</w:t>
      </w:r>
      <w:r w:rsidRPr="00C27AE9">
        <w:rPr>
          <w:rFonts w:ascii="Garamond" w:hAnsi="Garamond"/>
          <w:sz w:val="26"/>
          <w:szCs w:val="26"/>
        </w:rPr>
        <w:t xml:space="preserve"> </w:t>
      </w:r>
      <w:r w:rsidR="005E2AB4">
        <w:rPr>
          <w:rFonts w:ascii="Garamond" w:hAnsi="Garamond"/>
          <w:sz w:val="26"/>
          <w:szCs w:val="26"/>
        </w:rPr>
        <w:t xml:space="preserve">dovrebbe </w:t>
      </w:r>
      <w:r w:rsidR="008B3067">
        <w:rPr>
          <w:rFonts w:ascii="Garamond" w:hAnsi="Garamond"/>
          <w:sz w:val="26"/>
          <w:szCs w:val="26"/>
        </w:rPr>
        <w:t xml:space="preserve">allora </w:t>
      </w:r>
      <w:r w:rsidR="005E2AB4">
        <w:rPr>
          <w:rFonts w:ascii="Garamond" w:hAnsi="Garamond"/>
          <w:sz w:val="26"/>
          <w:szCs w:val="26"/>
        </w:rPr>
        <w:t>essere pacifico</w:t>
      </w:r>
      <w:r w:rsidR="00FB1D25" w:rsidRPr="00C27AE9">
        <w:rPr>
          <w:rFonts w:ascii="Garamond" w:hAnsi="Garamond"/>
          <w:sz w:val="26"/>
          <w:szCs w:val="26"/>
        </w:rPr>
        <w:t xml:space="preserve">, </w:t>
      </w:r>
      <w:r w:rsidR="005E2AB4">
        <w:rPr>
          <w:rFonts w:ascii="Garamond" w:hAnsi="Garamond"/>
          <w:sz w:val="26"/>
          <w:szCs w:val="26"/>
        </w:rPr>
        <w:t>dal momento che anche</w:t>
      </w:r>
      <w:r w:rsidR="00FB1D25" w:rsidRPr="00C27AE9">
        <w:rPr>
          <w:rFonts w:ascii="Garamond" w:hAnsi="Garamond"/>
          <w:sz w:val="26"/>
          <w:szCs w:val="26"/>
        </w:rPr>
        <w:t xml:space="preserve"> recentemente la giurisprudenza ha rimarcato la vincolatività dei provvedimenti dell’ETC di </w:t>
      </w:r>
      <w:r w:rsidR="00236B74" w:rsidRPr="00C27AE9">
        <w:rPr>
          <w:rFonts w:ascii="Garamond" w:hAnsi="Garamond"/>
          <w:sz w:val="26"/>
          <w:szCs w:val="26"/>
        </w:rPr>
        <w:t>«</w:t>
      </w:r>
      <w:r w:rsidR="00FB1D25" w:rsidRPr="00C27AE9">
        <w:rPr>
          <w:rFonts w:ascii="Garamond" w:hAnsi="Garamond"/>
          <w:i/>
          <w:iCs/>
          <w:sz w:val="26"/>
          <w:szCs w:val="26"/>
        </w:rPr>
        <w:t xml:space="preserve">validazione dell’aggiornamento biennale del PEF, con conseguente impossibilità per il </w:t>
      </w:r>
      <w:r w:rsidR="00FB1D25" w:rsidRPr="00C27AE9">
        <w:rPr>
          <w:rFonts w:ascii="Garamond" w:hAnsi="Garamond"/>
          <w:i/>
          <w:iCs/>
          <w:sz w:val="26"/>
          <w:szCs w:val="26"/>
        </w:rPr>
        <w:lastRenderedPageBreak/>
        <w:t>Comune di operare riduzioni de</w:t>
      </w:r>
      <w:r w:rsidR="005E2AB4">
        <w:rPr>
          <w:rFonts w:ascii="Garamond" w:hAnsi="Garamond"/>
          <w:i/>
          <w:iCs/>
          <w:sz w:val="26"/>
          <w:szCs w:val="26"/>
        </w:rPr>
        <w:t>l</w:t>
      </w:r>
      <w:r w:rsidR="00FB1D25" w:rsidRPr="00C27AE9">
        <w:rPr>
          <w:rFonts w:ascii="Garamond" w:hAnsi="Garamond"/>
          <w:i/>
          <w:iCs/>
          <w:sz w:val="26"/>
          <w:szCs w:val="26"/>
        </w:rPr>
        <w:t xml:space="preserve"> corrispettiv</w:t>
      </w:r>
      <w:r w:rsidR="005E2AB4">
        <w:rPr>
          <w:rFonts w:ascii="Garamond" w:hAnsi="Garamond"/>
          <w:i/>
          <w:iCs/>
          <w:sz w:val="26"/>
          <w:szCs w:val="26"/>
        </w:rPr>
        <w:t>o</w:t>
      </w:r>
      <w:r w:rsidR="00FB1D25" w:rsidRPr="00C27AE9">
        <w:rPr>
          <w:rFonts w:ascii="Garamond" w:hAnsi="Garamond"/>
          <w:i/>
          <w:iCs/>
          <w:sz w:val="26"/>
          <w:szCs w:val="26"/>
        </w:rPr>
        <w:t xml:space="preserve"> dovuto per il servizio di igiene urbana</w:t>
      </w:r>
      <w:r w:rsidR="00236B74" w:rsidRPr="00C27AE9">
        <w:rPr>
          <w:rFonts w:ascii="Garamond" w:hAnsi="Garamond"/>
          <w:sz w:val="26"/>
          <w:szCs w:val="26"/>
        </w:rPr>
        <w:t>»</w:t>
      </w:r>
      <w:r w:rsidR="00FB1D25" w:rsidRPr="00C27AE9">
        <w:rPr>
          <w:rStyle w:val="Rimandonotaapidipagina"/>
          <w:rFonts w:ascii="Garamond" w:hAnsi="Garamond"/>
          <w:sz w:val="26"/>
          <w:szCs w:val="26"/>
        </w:rPr>
        <w:footnoteReference w:id="49"/>
      </w:r>
      <w:r w:rsidR="007172D6" w:rsidRPr="00C27AE9">
        <w:rPr>
          <w:rFonts w:ascii="Garamond" w:hAnsi="Garamond"/>
          <w:sz w:val="26"/>
          <w:szCs w:val="26"/>
        </w:rPr>
        <w:t>.</w:t>
      </w:r>
    </w:p>
    <w:p w14:paraId="5C4F7211" w14:textId="0624F44D" w:rsidR="00236B74" w:rsidRPr="00C27AE9" w:rsidRDefault="00236B74" w:rsidP="007172D6">
      <w:pPr>
        <w:pStyle w:val="Rientrocorpodeltesto"/>
        <w:widowControl w:val="0"/>
        <w:spacing w:after="0"/>
        <w:ind w:left="0" w:firstLine="454"/>
        <w:jc w:val="both"/>
        <w:rPr>
          <w:rFonts w:ascii="Garamond" w:hAnsi="Garamond"/>
          <w:sz w:val="26"/>
          <w:szCs w:val="26"/>
        </w:rPr>
      </w:pPr>
      <w:r>
        <w:rPr>
          <w:rFonts w:ascii="Garamond" w:hAnsi="Garamond"/>
          <w:sz w:val="26"/>
          <w:szCs w:val="26"/>
        </w:rPr>
        <w:t xml:space="preserve">Il medesimo avviso è stato espresso anche da ANAC in una recente delibera, in cui ha affermato che </w:t>
      </w:r>
      <w:r w:rsidRPr="00C27AE9">
        <w:rPr>
          <w:rFonts w:ascii="Garamond" w:hAnsi="Garamond"/>
          <w:sz w:val="26"/>
          <w:szCs w:val="26"/>
        </w:rPr>
        <w:t>«</w:t>
      </w:r>
      <w:r w:rsidRPr="00236B74">
        <w:rPr>
          <w:rFonts w:ascii="Garamond" w:hAnsi="Garamond"/>
          <w:i/>
          <w:iCs/>
          <w:sz w:val="26"/>
          <w:szCs w:val="26"/>
        </w:rPr>
        <w:t>il corrispettivo contrattuale è determinato in conformità alla metodologia tariffaria pro tempore vigente, ovvero definito in base alle risultanze del PEF 2024-2025 approvato dall’ETC in conformità al MTR-2</w:t>
      </w:r>
      <w:r w:rsidRPr="00C27AE9">
        <w:rPr>
          <w:rFonts w:ascii="Garamond" w:hAnsi="Garamond"/>
          <w:sz w:val="26"/>
          <w:szCs w:val="26"/>
        </w:rPr>
        <w:t>»</w:t>
      </w:r>
      <w:r>
        <w:rPr>
          <w:rFonts w:ascii="Garamond" w:hAnsi="Garamond"/>
          <w:sz w:val="26"/>
          <w:szCs w:val="26"/>
        </w:rPr>
        <w:t xml:space="preserve"> e che pertanto </w:t>
      </w:r>
      <w:r w:rsidRPr="00C27AE9">
        <w:rPr>
          <w:rFonts w:ascii="Garamond" w:hAnsi="Garamond"/>
          <w:sz w:val="26"/>
          <w:szCs w:val="26"/>
        </w:rPr>
        <w:t>«</w:t>
      </w:r>
      <w:r w:rsidRPr="00F16853">
        <w:rPr>
          <w:rFonts w:ascii="Garamond" w:hAnsi="Garamond"/>
          <w:i/>
          <w:iCs/>
          <w:sz w:val="26"/>
          <w:szCs w:val="26"/>
        </w:rPr>
        <w:t>la fissazione di un prezzo di gara inferiore rispetto al PEF validato dall’EdA – in assenza di variazioni del servizio si pone in contrasto con la disciplina ARERA</w:t>
      </w:r>
      <w:r w:rsidRPr="00C27AE9">
        <w:rPr>
          <w:rFonts w:ascii="Garamond" w:hAnsi="Garamond"/>
          <w:sz w:val="26"/>
          <w:szCs w:val="26"/>
        </w:rPr>
        <w:t>»</w:t>
      </w:r>
      <w:r w:rsidR="00F16853">
        <w:rPr>
          <w:rStyle w:val="Rimandonotaapidipagina"/>
          <w:rFonts w:ascii="Garamond" w:hAnsi="Garamond"/>
          <w:sz w:val="26"/>
          <w:szCs w:val="26"/>
        </w:rPr>
        <w:footnoteReference w:id="50"/>
      </w:r>
    </w:p>
    <w:p w14:paraId="1B15B543" w14:textId="1DEF159F" w:rsidR="00EF5742" w:rsidRPr="00C27AE9" w:rsidRDefault="009921FF"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L</w:t>
      </w:r>
      <w:r w:rsidR="005E2AB4">
        <w:rPr>
          <w:rFonts w:ascii="Garamond" w:hAnsi="Garamond"/>
          <w:sz w:val="26"/>
          <w:szCs w:val="26"/>
        </w:rPr>
        <w:t xml:space="preserve">’assunto </w:t>
      </w:r>
      <w:r w:rsidR="001701B0" w:rsidRPr="00C27AE9">
        <w:rPr>
          <w:rFonts w:ascii="Garamond" w:hAnsi="Garamond"/>
          <w:sz w:val="26"/>
          <w:szCs w:val="26"/>
        </w:rPr>
        <w:t>qui sostenut</w:t>
      </w:r>
      <w:r w:rsidR="005E2AB4">
        <w:rPr>
          <w:rFonts w:ascii="Garamond" w:hAnsi="Garamond"/>
          <w:sz w:val="26"/>
          <w:szCs w:val="26"/>
        </w:rPr>
        <w:t>o</w:t>
      </w:r>
      <w:r w:rsidR="001701B0" w:rsidRPr="00C27AE9">
        <w:rPr>
          <w:rFonts w:ascii="Garamond" w:hAnsi="Garamond"/>
          <w:sz w:val="26"/>
          <w:szCs w:val="26"/>
        </w:rPr>
        <w:t xml:space="preserve">, </w:t>
      </w:r>
      <w:r w:rsidR="00341080" w:rsidRPr="00C27AE9">
        <w:rPr>
          <w:rFonts w:ascii="Garamond" w:hAnsi="Garamond"/>
          <w:sz w:val="26"/>
          <w:szCs w:val="26"/>
        </w:rPr>
        <w:t>t</w:t>
      </w:r>
      <w:r w:rsidR="00EF5742" w:rsidRPr="00C27AE9">
        <w:rPr>
          <w:rFonts w:ascii="Garamond" w:hAnsi="Garamond"/>
          <w:sz w:val="26"/>
          <w:szCs w:val="26"/>
        </w:rPr>
        <w:t>uttavia</w:t>
      </w:r>
      <w:r w:rsidR="006319A5" w:rsidRPr="00C27AE9">
        <w:rPr>
          <w:rFonts w:ascii="Garamond" w:hAnsi="Garamond"/>
          <w:sz w:val="26"/>
          <w:szCs w:val="26"/>
        </w:rPr>
        <w:t>,</w:t>
      </w:r>
      <w:r w:rsidR="00EF5742" w:rsidRPr="00C27AE9">
        <w:rPr>
          <w:rFonts w:ascii="Garamond" w:hAnsi="Garamond"/>
          <w:sz w:val="26"/>
          <w:szCs w:val="26"/>
        </w:rPr>
        <w:t xml:space="preserve"> </w:t>
      </w:r>
      <w:r w:rsidR="00341080" w:rsidRPr="00C27AE9">
        <w:rPr>
          <w:rFonts w:ascii="Garamond" w:hAnsi="Garamond"/>
          <w:sz w:val="26"/>
          <w:szCs w:val="26"/>
        </w:rPr>
        <w:t>è stat</w:t>
      </w:r>
      <w:r w:rsidR="005E2AB4">
        <w:rPr>
          <w:rFonts w:ascii="Garamond" w:hAnsi="Garamond"/>
          <w:sz w:val="26"/>
          <w:szCs w:val="26"/>
        </w:rPr>
        <w:t>o</w:t>
      </w:r>
      <w:r w:rsidR="00341080" w:rsidRPr="00C27AE9">
        <w:rPr>
          <w:rFonts w:ascii="Garamond" w:hAnsi="Garamond"/>
          <w:sz w:val="26"/>
          <w:szCs w:val="26"/>
        </w:rPr>
        <w:t xml:space="preserve"> di recente post</w:t>
      </w:r>
      <w:r w:rsidR="00CB04F2">
        <w:rPr>
          <w:rFonts w:ascii="Garamond" w:hAnsi="Garamond"/>
          <w:sz w:val="26"/>
          <w:szCs w:val="26"/>
        </w:rPr>
        <w:t>o</w:t>
      </w:r>
      <w:r w:rsidR="00341080" w:rsidRPr="00C27AE9">
        <w:rPr>
          <w:rFonts w:ascii="Garamond" w:hAnsi="Garamond"/>
          <w:sz w:val="26"/>
          <w:szCs w:val="26"/>
        </w:rPr>
        <w:t xml:space="preserve"> in discussione </w:t>
      </w:r>
      <w:r w:rsidR="00EF5742" w:rsidRPr="00C27AE9">
        <w:rPr>
          <w:rFonts w:ascii="Garamond" w:hAnsi="Garamond"/>
          <w:sz w:val="26"/>
          <w:szCs w:val="26"/>
        </w:rPr>
        <w:t xml:space="preserve">dal momento che </w:t>
      </w:r>
      <w:r w:rsidR="00ED49EE" w:rsidRPr="00C27AE9">
        <w:rPr>
          <w:rFonts w:ascii="Garamond" w:hAnsi="Garamond"/>
          <w:sz w:val="26"/>
          <w:szCs w:val="26"/>
        </w:rPr>
        <w:t xml:space="preserve">alcune </w:t>
      </w:r>
      <w:r w:rsidR="00EF5742" w:rsidRPr="00C27AE9">
        <w:rPr>
          <w:rFonts w:ascii="Garamond" w:hAnsi="Garamond"/>
          <w:sz w:val="26"/>
          <w:szCs w:val="26"/>
        </w:rPr>
        <w:t>recent</w:t>
      </w:r>
      <w:r w:rsidR="00ED49EE" w:rsidRPr="00C27AE9">
        <w:rPr>
          <w:rFonts w:ascii="Garamond" w:hAnsi="Garamond"/>
          <w:sz w:val="26"/>
          <w:szCs w:val="26"/>
        </w:rPr>
        <w:t>i</w:t>
      </w:r>
      <w:r w:rsidR="00EF5742" w:rsidRPr="00C27AE9">
        <w:rPr>
          <w:rFonts w:ascii="Garamond" w:hAnsi="Garamond"/>
          <w:sz w:val="26"/>
          <w:szCs w:val="26"/>
        </w:rPr>
        <w:t xml:space="preserve"> pronunc</w:t>
      </w:r>
      <w:r w:rsidR="00ED49EE" w:rsidRPr="00C27AE9">
        <w:rPr>
          <w:rFonts w:ascii="Garamond" w:hAnsi="Garamond"/>
          <w:sz w:val="26"/>
          <w:szCs w:val="26"/>
        </w:rPr>
        <w:t>e</w:t>
      </w:r>
      <w:r w:rsidR="00EF5742" w:rsidRPr="00C27AE9">
        <w:rPr>
          <w:rFonts w:ascii="Garamond" w:hAnsi="Garamond"/>
          <w:sz w:val="26"/>
          <w:szCs w:val="26"/>
        </w:rPr>
        <w:t xml:space="preserve"> del Consiglio di Stato ha</w:t>
      </w:r>
      <w:r w:rsidR="00ED49EE" w:rsidRPr="00C27AE9">
        <w:rPr>
          <w:rFonts w:ascii="Garamond" w:hAnsi="Garamond"/>
          <w:sz w:val="26"/>
          <w:szCs w:val="26"/>
        </w:rPr>
        <w:t>nno</w:t>
      </w:r>
      <w:r w:rsidR="00EF5742" w:rsidRPr="00C27AE9">
        <w:rPr>
          <w:rFonts w:ascii="Garamond" w:hAnsi="Garamond"/>
          <w:sz w:val="26"/>
          <w:szCs w:val="26"/>
        </w:rPr>
        <w:t xml:space="preserve"> invece affermato che “</w:t>
      </w:r>
      <w:r w:rsidR="00EF5742" w:rsidRPr="00C27AE9">
        <w:rPr>
          <w:rFonts w:ascii="Garamond" w:hAnsi="Garamond"/>
          <w:i/>
          <w:iCs/>
          <w:sz w:val="26"/>
          <w:szCs w:val="26"/>
        </w:rPr>
        <w:t>la disciplina del MTR è volta a determinare i valori massimi della TARI che l’amministrazione può porre a carico dei cittadini che fruiscono del servizio, non a determinare i corrispettivi contrattuali dovuti al gestore del servizio stesso. Questi ultimi corrispondono invece all’esito della gara indetta per affidarli e all’offerta fatta in quella sede dalla stessa parte interessata, per definizione capace di valutare il proprio interesse e quindi la remuneratività del prezzo offerto</w:t>
      </w:r>
      <w:r w:rsidR="00EF5742" w:rsidRPr="00C27AE9">
        <w:rPr>
          <w:rFonts w:ascii="Garamond" w:hAnsi="Garamond"/>
          <w:sz w:val="26"/>
          <w:szCs w:val="26"/>
        </w:rPr>
        <w:t>”</w:t>
      </w:r>
      <w:r w:rsidR="00EF5742" w:rsidRPr="00C27AE9">
        <w:rPr>
          <w:rStyle w:val="Rimandonotaapidipagina"/>
          <w:rFonts w:ascii="Garamond" w:hAnsi="Garamond"/>
          <w:sz w:val="26"/>
          <w:szCs w:val="26"/>
        </w:rPr>
        <w:footnoteReference w:id="51"/>
      </w:r>
      <w:r w:rsidR="00FA4639" w:rsidRPr="00C27AE9">
        <w:rPr>
          <w:rFonts w:ascii="Garamond" w:hAnsi="Garamond"/>
          <w:sz w:val="26"/>
          <w:szCs w:val="26"/>
        </w:rPr>
        <w:t>.</w:t>
      </w:r>
    </w:p>
    <w:p w14:paraId="1AD30744" w14:textId="292886C1" w:rsidR="005116BE" w:rsidRPr="00C27AE9" w:rsidRDefault="006319A5"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Tali affermazioni sono state </w:t>
      </w:r>
      <w:r w:rsidR="005116BE" w:rsidRPr="00C27AE9">
        <w:rPr>
          <w:rFonts w:ascii="Garamond" w:hAnsi="Garamond"/>
          <w:sz w:val="26"/>
          <w:szCs w:val="26"/>
        </w:rPr>
        <w:t xml:space="preserve">prontamente utilizzate per sostenere </w:t>
      </w:r>
      <w:r w:rsidR="00CB04F2">
        <w:rPr>
          <w:rFonts w:ascii="Garamond" w:hAnsi="Garamond"/>
          <w:sz w:val="26"/>
          <w:szCs w:val="26"/>
        </w:rPr>
        <w:t xml:space="preserve">una sostanziale impermeabilità del </w:t>
      </w:r>
      <w:r w:rsidR="00A36844">
        <w:rPr>
          <w:rFonts w:ascii="Garamond" w:hAnsi="Garamond"/>
          <w:sz w:val="26"/>
          <w:szCs w:val="26"/>
        </w:rPr>
        <w:t xml:space="preserve">corrispettivo </w:t>
      </w:r>
      <w:r w:rsidR="00CB04F2">
        <w:rPr>
          <w:rFonts w:ascii="Garamond" w:hAnsi="Garamond"/>
          <w:sz w:val="26"/>
          <w:szCs w:val="26"/>
        </w:rPr>
        <w:t>contratt</w:t>
      </w:r>
      <w:r w:rsidR="00A36844">
        <w:rPr>
          <w:rFonts w:ascii="Garamond" w:hAnsi="Garamond"/>
          <w:sz w:val="26"/>
          <w:szCs w:val="26"/>
        </w:rPr>
        <w:t>uale</w:t>
      </w:r>
      <w:r w:rsidR="00CB04F2">
        <w:rPr>
          <w:rFonts w:ascii="Garamond" w:hAnsi="Garamond"/>
          <w:sz w:val="26"/>
          <w:szCs w:val="26"/>
        </w:rPr>
        <w:t xml:space="preserve"> rispetto alla regolazione</w:t>
      </w:r>
      <w:r w:rsidR="00A36844">
        <w:rPr>
          <w:rFonts w:ascii="Garamond" w:hAnsi="Garamond"/>
          <w:sz w:val="26"/>
          <w:szCs w:val="26"/>
        </w:rPr>
        <w:t xml:space="preserve"> tariffaria</w:t>
      </w:r>
      <w:r w:rsidR="00CB04F2">
        <w:rPr>
          <w:rFonts w:ascii="Garamond" w:hAnsi="Garamond"/>
          <w:sz w:val="26"/>
          <w:szCs w:val="26"/>
        </w:rPr>
        <w:t xml:space="preserve"> </w:t>
      </w:r>
      <w:r w:rsidR="00A36844">
        <w:rPr>
          <w:rFonts w:ascii="Garamond" w:hAnsi="Garamond"/>
          <w:sz w:val="26"/>
          <w:szCs w:val="26"/>
        </w:rPr>
        <w:t xml:space="preserve">e </w:t>
      </w:r>
      <w:r w:rsidR="005116BE" w:rsidRPr="00C27AE9">
        <w:rPr>
          <w:rFonts w:ascii="Garamond" w:hAnsi="Garamond"/>
          <w:sz w:val="26"/>
          <w:szCs w:val="26"/>
        </w:rPr>
        <w:t xml:space="preserve">che l’unico costo funzionale alla predisposizione del PEF non potrebbe che essere rappresentato dall’importo dovuto al gestore a titolo di corrispettivo contrattuale, </w:t>
      </w:r>
      <w:r w:rsidR="00566ED4" w:rsidRPr="00C27AE9">
        <w:rPr>
          <w:rFonts w:ascii="Garamond" w:hAnsi="Garamond"/>
          <w:sz w:val="26"/>
          <w:szCs w:val="26"/>
        </w:rPr>
        <w:t xml:space="preserve">periodicamente </w:t>
      </w:r>
      <w:r w:rsidR="005116BE" w:rsidRPr="00C27AE9">
        <w:rPr>
          <w:rFonts w:ascii="Garamond" w:hAnsi="Garamond"/>
          <w:sz w:val="26"/>
          <w:szCs w:val="26"/>
        </w:rPr>
        <w:t xml:space="preserve">revisionato, </w:t>
      </w:r>
      <w:r w:rsidR="00A36844">
        <w:rPr>
          <w:rFonts w:ascii="Garamond" w:hAnsi="Garamond"/>
          <w:sz w:val="26"/>
          <w:szCs w:val="26"/>
        </w:rPr>
        <w:t>quand’</w:t>
      </w:r>
      <w:r w:rsidR="005116BE" w:rsidRPr="00C27AE9">
        <w:rPr>
          <w:rFonts w:ascii="Garamond" w:hAnsi="Garamond"/>
          <w:sz w:val="26"/>
          <w:szCs w:val="26"/>
        </w:rPr>
        <w:t xml:space="preserve">anche alla bisogna disgregato </w:t>
      </w:r>
      <w:r w:rsidR="00A36844">
        <w:rPr>
          <w:rFonts w:ascii="Garamond" w:hAnsi="Garamond"/>
          <w:sz w:val="26"/>
          <w:szCs w:val="26"/>
        </w:rPr>
        <w:t xml:space="preserve">al sol fine di rispettare </w:t>
      </w:r>
      <w:r w:rsidR="005116BE" w:rsidRPr="00C27AE9">
        <w:rPr>
          <w:rFonts w:ascii="Garamond" w:hAnsi="Garamond"/>
          <w:sz w:val="26"/>
          <w:szCs w:val="26"/>
        </w:rPr>
        <w:t>la classificazione dei costi indicata da ARERA.</w:t>
      </w:r>
    </w:p>
    <w:p w14:paraId="431EFF3D" w14:textId="7CA2293C" w:rsidR="00662324" w:rsidRPr="00C27AE9" w:rsidRDefault="005116BE"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Occorre per</w:t>
      </w:r>
      <w:r w:rsidR="00F16853">
        <w:rPr>
          <w:rFonts w:ascii="Garamond" w:hAnsi="Garamond"/>
          <w:sz w:val="26"/>
          <w:szCs w:val="26"/>
        </w:rPr>
        <w:t>ò</w:t>
      </w:r>
      <w:r w:rsidRPr="00C27AE9">
        <w:rPr>
          <w:rFonts w:ascii="Garamond" w:hAnsi="Garamond"/>
          <w:sz w:val="26"/>
          <w:szCs w:val="26"/>
        </w:rPr>
        <w:t xml:space="preserve"> domandarsi se </w:t>
      </w:r>
      <w:r w:rsidR="00FA4639" w:rsidRPr="00C27AE9">
        <w:rPr>
          <w:rFonts w:ascii="Garamond" w:hAnsi="Garamond"/>
          <w:sz w:val="26"/>
          <w:szCs w:val="26"/>
        </w:rPr>
        <w:t xml:space="preserve">davvero </w:t>
      </w:r>
      <w:r w:rsidR="00C87769" w:rsidRPr="00C27AE9">
        <w:rPr>
          <w:rFonts w:ascii="Garamond" w:hAnsi="Garamond"/>
          <w:sz w:val="26"/>
          <w:szCs w:val="26"/>
        </w:rPr>
        <w:t xml:space="preserve">la disciplina regolatoria non </w:t>
      </w:r>
      <w:r w:rsidRPr="00C27AE9">
        <w:rPr>
          <w:rFonts w:ascii="Garamond" w:hAnsi="Garamond"/>
          <w:sz w:val="26"/>
          <w:szCs w:val="26"/>
        </w:rPr>
        <w:t xml:space="preserve">abbia la funzione di </w:t>
      </w:r>
      <w:r w:rsidR="00C87769" w:rsidRPr="00C27AE9">
        <w:rPr>
          <w:rFonts w:ascii="Garamond" w:hAnsi="Garamond"/>
          <w:sz w:val="26"/>
          <w:szCs w:val="26"/>
        </w:rPr>
        <w:t>incid</w:t>
      </w:r>
      <w:r w:rsidR="00C46019" w:rsidRPr="00C27AE9">
        <w:rPr>
          <w:rFonts w:ascii="Garamond" w:hAnsi="Garamond"/>
          <w:sz w:val="26"/>
          <w:szCs w:val="26"/>
        </w:rPr>
        <w:t>e</w:t>
      </w:r>
      <w:r w:rsidRPr="00C27AE9">
        <w:rPr>
          <w:rFonts w:ascii="Garamond" w:hAnsi="Garamond"/>
          <w:sz w:val="26"/>
          <w:szCs w:val="26"/>
        </w:rPr>
        <w:t>re</w:t>
      </w:r>
      <w:r w:rsidR="00C87769" w:rsidRPr="00C27AE9">
        <w:rPr>
          <w:rFonts w:ascii="Garamond" w:hAnsi="Garamond"/>
          <w:sz w:val="26"/>
          <w:szCs w:val="26"/>
        </w:rPr>
        <w:t xml:space="preserve"> sul corrispettivo contrattuale dovuto al gestore</w:t>
      </w:r>
      <w:r w:rsidRPr="00C27AE9">
        <w:rPr>
          <w:rFonts w:ascii="Garamond" w:hAnsi="Garamond"/>
          <w:sz w:val="26"/>
          <w:szCs w:val="26"/>
        </w:rPr>
        <w:t>, bensì quella più circoscritta di stabilire i valori massimi della TARI da prelevare dalle tasche dei cittadini.</w:t>
      </w:r>
    </w:p>
    <w:p w14:paraId="308F6163" w14:textId="0FDB4277" w:rsidR="00BC0DE8" w:rsidRPr="00C27AE9" w:rsidRDefault="00C87769"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In realtà</w:t>
      </w:r>
      <w:r w:rsidR="00A36844">
        <w:rPr>
          <w:rFonts w:ascii="Garamond" w:hAnsi="Garamond"/>
          <w:sz w:val="26"/>
          <w:szCs w:val="26"/>
        </w:rPr>
        <w:t>, chi scrive è dell’avviso</w:t>
      </w:r>
      <w:r w:rsidRPr="00C27AE9">
        <w:rPr>
          <w:rFonts w:ascii="Garamond" w:hAnsi="Garamond"/>
          <w:sz w:val="26"/>
          <w:szCs w:val="26"/>
        </w:rPr>
        <w:t xml:space="preserve"> che debba essere tenuta per ferma la prima conclusione </w:t>
      </w:r>
      <w:r w:rsidR="00F16853">
        <w:rPr>
          <w:rFonts w:ascii="Garamond" w:hAnsi="Garamond"/>
          <w:sz w:val="26"/>
          <w:szCs w:val="26"/>
        </w:rPr>
        <w:t xml:space="preserve">sopra </w:t>
      </w:r>
      <w:r w:rsidRPr="00C27AE9">
        <w:rPr>
          <w:rFonts w:ascii="Garamond" w:hAnsi="Garamond"/>
          <w:sz w:val="26"/>
          <w:szCs w:val="26"/>
        </w:rPr>
        <w:t>formulata</w:t>
      </w:r>
      <w:r w:rsidR="0019097A" w:rsidRPr="00C27AE9">
        <w:rPr>
          <w:rFonts w:ascii="Garamond" w:hAnsi="Garamond"/>
          <w:sz w:val="26"/>
          <w:szCs w:val="26"/>
        </w:rPr>
        <w:t>, sulla base di molteplici e concorrenti elementi</w:t>
      </w:r>
      <w:r w:rsidRPr="00C27AE9">
        <w:rPr>
          <w:rFonts w:ascii="Garamond" w:hAnsi="Garamond"/>
          <w:sz w:val="26"/>
          <w:szCs w:val="26"/>
        </w:rPr>
        <w:t>.</w:t>
      </w:r>
    </w:p>
    <w:p w14:paraId="7AB425AF" w14:textId="2240E0DA" w:rsidR="002D054B" w:rsidRPr="00C27AE9" w:rsidRDefault="0019097A"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In primo luogo, </w:t>
      </w:r>
      <w:r w:rsidR="002D054B" w:rsidRPr="00C27AE9">
        <w:rPr>
          <w:rFonts w:ascii="Garamond" w:hAnsi="Garamond"/>
          <w:sz w:val="26"/>
          <w:szCs w:val="26"/>
        </w:rPr>
        <w:t>perché il dato normativo sembra deporre inequivocabilmente in qu</w:t>
      </w:r>
      <w:r w:rsidR="00395BDA" w:rsidRPr="00C27AE9">
        <w:rPr>
          <w:rFonts w:ascii="Garamond" w:hAnsi="Garamond"/>
          <w:sz w:val="26"/>
          <w:szCs w:val="26"/>
        </w:rPr>
        <w:t>e</w:t>
      </w:r>
      <w:r w:rsidR="002D054B" w:rsidRPr="00C27AE9">
        <w:rPr>
          <w:rFonts w:ascii="Garamond" w:hAnsi="Garamond"/>
          <w:sz w:val="26"/>
          <w:szCs w:val="26"/>
        </w:rPr>
        <w:t>sto senso.</w:t>
      </w:r>
    </w:p>
    <w:p w14:paraId="53526DB5" w14:textId="69A80968" w:rsidR="002D054B" w:rsidRPr="00C27AE9" w:rsidRDefault="002D054B"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L’art. 1 comma 527 l.n. 205 del 2017 affida al MTR il compito di determinare i corrispettivi del servizio</w:t>
      </w:r>
      <w:r w:rsidR="00395BDA" w:rsidRPr="00C27AE9">
        <w:rPr>
          <w:rFonts w:ascii="Garamond" w:hAnsi="Garamond"/>
          <w:sz w:val="26"/>
          <w:szCs w:val="26"/>
        </w:rPr>
        <w:t xml:space="preserve">; a </w:t>
      </w:r>
      <w:r w:rsidR="00176306" w:rsidRPr="00C27AE9">
        <w:rPr>
          <w:rFonts w:ascii="Garamond" w:hAnsi="Garamond"/>
          <w:sz w:val="26"/>
          <w:szCs w:val="26"/>
        </w:rPr>
        <w:t xml:space="preserve">tale disposizione fa da contraltare quella che </w:t>
      </w:r>
      <w:r w:rsidRPr="00C27AE9">
        <w:rPr>
          <w:rFonts w:ascii="Garamond" w:hAnsi="Garamond"/>
          <w:sz w:val="26"/>
          <w:szCs w:val="26"/>
        </w:rPr>
        <w:t>ARERA ha</w:t>
      </w:r>
      <w:r w:rsidR="00176306" w:rsidRPr="00C27AE9">
        <w:rPr>
          <w:rFonts w:ascii="Garamond" w:hAnsi="Garamond"/>
          <w:sz w:val="26"/>
          <w:szCs w:val="26"/>
        </w:rPr>
        <w:t xml:space="preserve"> adottato con </w:t>
      </w:r>
      <w:r w:rsidRPr="00C27AE9">
        <w:rPr>
          <w:rFonts w:ascii="Garamond" w:hAnsi="Garamond"/>
          <w:sz w:val="26"/>
          <w:szCs w:val="26"/>
        </w:rPr>
        <w:t>l’art. 6.1 dello Schema tipo d</w:t>
      </w:r>
      <w:r w:rsidR="00176306" w:rsidRPr="00C27AE9">
        <w:rPr>
          <w:rFonts w:ascii="Garamond" w:hAnsi="Garamond"/>
          <w:sz w:val="26"/>
          <w:szCs w:val="26"/>
        </w:rPr>
        <w:t>el</w:t>
      </w:r>
      <w:r w:rsidRPr="00C27AE9">
        <w:rPr>
          <w:rFonts w:ascii="Garamond" w:hAnsi="Garamond"/>
          <w:sz w:val="26"/>
          <w:szCs w:val="26"/>
        </w:rPr>
        <w:t xml:space="preserve"> contratto di servizio, </w:t>
      </w:r>
      <w:r w:rsidR="00176306" w:rsidRPr="00C27AE9">
        <w:rPr>
          <w:rFonts w:ascii="Garamond" w:hAnsi="Garamond"/>
          <w:sz w:val="26"/>
          <w:szCs w:val="26"/>
        </w:rPr>
        <w:t xml:space="preserve">alla cui stregua </w:t>
      </w:r>
      <w:r w:rsidRPr="00C27AE9">
        <w:rPr>
          <w:rFonts w:ascii="Garamond" w:hAnsi="Garamond"/>
          <w:sz w:val="26"/>
          <w:szCs w:val="26"/>
        </w:rPr>
        <w:t>il corrispettivo contrattuale è determinato secondo il Metodo tariffario pro tempore vigente</w:t>
      </w:r>
      <w:r w:rsidR="00BB4FEA">
        <w:rPr>
          <w:rFonts w:ascii="Garamond" w:hAnsi="Garamond"/>
          <w:sz w:val="26"/>
          <w:szCs w:val="26"/>
        </w:rPr>
        <w:t>: la declinazione delle condizioni economiche del rapporto contrattuale trova quindi necessariamente piena collocazione nelle regole tariffarie definite dall’Autorità.</w:t>
      </w:r>
    </w:p>
    <w:p w14:paraId="4CFB176E" w14:textId="0E8E013B" w:rsidR="00BC0DE8" w:rsidRPr="00C27AE9" w:rsidRDefault="002D054B"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lastRenderedPageBreak/>
        <w:t xml:space="preserve">Inoltre, </w:t>
      </w:r>
      <w:r w:rsidR="0019097A" w:rsidRPr="00C27AE9">
        <w:rPr>
          <w:rFonts w:ascii="Garamond" w:hAnsi="Garamond"/>
          <w:sz w:val="26"/>
          <w:szCs w:val="26"/>
        </w:rPr>
        <w:t>va evidenziato che d</w:t>
      </w:r>
      <w:r w:rsidR="00C87769" w:rsidRPr="00C27AE9">
        <w:rPr>
          <w:rFonts w:ascii="Garamond" w:hAnsi="Garamond"/>
          <w:sz w:val="26"/>
          <w:szCs w:val="26"/>
        </w:rPr>
        <w:t>i recente, l’Adunanza Plenaria del Consiglio di Stato, sia pur con riferimento</w:t>
      </w:r>
      <w:r w:rsidR="00BC0DE8" w:rsidRPr="00C27AE9">
        <w:rPr>
          <w:rFonts w:ascii="Garamond" w:hAnsi="Garamond"/>
          <w:sz w:val="26"/>
          <w:szCs w:val="26"/>
        </w:rPr>
        <w:t xml:space="preserve"> </w:t>
      </w:r>
      <w:r w:rsidR="00C87769" w:rsidRPr="00C27AE9">
        <w:rPr>
          <w:rFonts w:ascii="Garamond" w:hAnsi="Garamond"/>
          <w:sz w:val="26"/>
          <w:szCs w:val="26"/>
        </w:rPr>
        <w:t xml:space="preserve">alla regolazione nell’ambito del Servizio Idrico integrato (ma </w:t>
      </w:r>
      <w:r w:rsidR="0019097A" w:rsidRPr="00C27AE9">
        <w:rPr>
          <w:rFonts w:ascii="Garamond" w:hAnsi="Garamond"/>
          <w:sz w:val="26"/>
          <w:szCs w:val="26"/>
        </w:rPr>
        <w:t xml:space="preserve">come già osservato </w:t>
      </w:r>
      <w:r w:rsidR="00C87769" w:rsidRPr="00C27AE9">
        <w:rPr>
          <w:rFonts w:ascii="Garamond" w:hAnsi="Garamond"/>
          <w:sz w:val="26"/>
          <w:szCs w:val="26"/>
        </w:rPr>
        <w:t>identica è la sua struttura</w:t>
      </w:r>
      <w:r w:rsidR="00BC0DE8" w:rsidRPr="00C27AE9">
        <w:rPr>
          <w:rFonts w:ascii="Garamond" w:hAnsi="Garamond"/>
          <w:sz w:val="26"/>
          <w:szCs w:val="26"/>
        </w:rPr>
        <w:t xml:space="preserve"> </w:t>
      </w:r>
      <w:r w:rsidR="00C87769" w:rsidRPr="00C27AE9">
        <w:rPr>
          <w:rFonts w:ascii="Garamond" w:hAnsi="Garamond"/>
          <w:sz w:val="26"/>
          <w:szCs w:val="26"/>
        </w:rPr>
        <w:t>nel Servizio di gestione dei rifiut</w:t>
      </w:r>
      <w:r w:rsidR="00804055" w:rsidRPr="00C27AE9">
        <w:rPr>
          <w:rFonts w:ascii="Garamond" w:hAnsi="Garamond"/>
          <w:sz w:val="26"/>
          <w:szCs w:val="26"/>
        </w:rPr>
        <w:t>i, avendone mutuato i principi)</w:t>
      </w:r>
      <w:r w:rsidR="00C87769" w:rsidRPr="00C27AE9">
        <w:rPr>
          <w:rFonts w:ascii="Garamond" w:hAnsi="Garamond"/>
          <w:sz w:val="26"/>
          <w:szCs w:val="26"/>
        </w:rPr>
        <w:t xml:space="preserve"> ha ribadito </w:t>
      </w:r>
      <w:r w:rsidR="00E666F8" w:rsidRPr="00C27AE9">
        <w:rPr>
          <w:rFonts w:ascii="Garamond" w:hAnsi="Garamond"/>
          <w:sz w:val="26"/>
          <w:szCs w:val="26"/>
        </w:rPr>
        <w:t xml:space="preserve">in termini generali </w:t>
      </w:r>
      <w:r w:rsidR="00C87769" w:rsidRPr="00C27AE9">
        <w:rPr>
          <w:rFonts w:ascii="Garamond" w:hAnsi="Garamond"/>
          <w:sz w:val="26"/>
          <w:szCs w:val="26"/>
        </w:rPr>
        <w:t xml:space="preserve">che </w:t>
      </w:r>
      <w:r w:rsidR="00C72867" w:rsidRPr="00C27AE9">
        <w:rPr>
          <w:rFonts w:ascii="Garamond" w:hAnsi="Garamond"/>
          <w:sz w:val="26"/>
          <w:szCs w:val="26"/>
        </w:rPr>
        <w:t>«</w:t>
      </w:r>
      <w:r w:rsidR="00C87769" w:rsidRPr="00C27AE9">
        <w:rPr>
          <w:rFonts w:ascii="Garamond" w:hAnsi="Garamond"/>
          <w:i/>
          <w:iCs/>
          <w:sz w:val="26"/>
          <w:szCs w:val="26"/>
        </w:rPr>
        <w:t>la regolazione tariffaria sottrae il corrispettivo del gestore alle libere negoziazioni di mercato</w:t>
      </w:r>
      <w:r w:rsidR="00C72867" w:rsidRPr="00C27AE9">
        <w:rPr>
          <w:rFonts w:ascii="Garamond" w:hAnsi="Garamond"/>
          <w:sz w:val="26"/>
          <w:szCs w:val="26"/>
        </w:rPr>
        <w:t>»</w:t>
      </w:r>
      <w:r w:rsidR="00942824" w:rsidRPr="00C27AE9">
        <w:rPr>
          <w:rStyle w:val="Rimandonotaapidipagina"/>
          <w:rFonts w:ascii="Garamond" w:hAnsi="Garamond"/>
          <w:sz w:val="26"/>
          <w:szCs w:val="26"/>
        </w:rPr>
        <w:footnoteReference w:id="52"/>
      </w:r>
      <w:r w:rsidR="00C87769" w:rsidRPr="00C27AE9">
        <w:rPr>
          <w:rFonts w:ascii="Garamond" w:hAnsi="Garamond"/>
          <w:sz w:val="26"/>
          <w:szCs w:val="26"/>
        </w:rPr>
        <w:t>.</w:t>
      </w:r>
    </w:p>
    <w:p w14:paraId="61D8CB92" w14:textId="4F128095" w:rsidR="009C4A17" w:rsidRPr="00C27AE9" w:rsidRDefault="009C4A17"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Il </w:t>
      </w:r>
      <w:r w:rsidRPr="00C27AE9">
        <w:rPr>
          <w:rFonts w:ascii="Garamond" w:hAnsi="Garamond"/>
          <w:i/>
          <w:iCs/>
          <w:sz w:val="26"/>
          <w:szCs w:val="26"/>
        </w:rPr>
        <w:t>focus</w:t>
      </w:r>
      <w:r w:rsidRPr="00C27AE9">
        <w:rPr>
          <w:rFonts w:ascii="Garamond" w:hAnsi="Garamond"/>
          <w:sz w:val="26"/>
          <w:szCs w:val="26"/>
        </w:rPr>
        <w:t xml:space="preserve"> della regolazione, quindi, ad avvis</w:t>
      </w:r>
      <w:r w:rsidR="002D054B" w:rsidRPr="00C27AE9">
        <w:rPr>
          <w:rFonts w:ascii="Garamond" w:hAnsi="Garamond"/>
          <w:sz w:val="26"/>
          <w:szCs w:val="26"/>
        </w:rPr>
        <w:t xml:space="preserve">o </w:t>
      </w:r>
      <w:r w:rsidRPr="00C27AE9">
        <w:rPr>
          <w:rFonts w:ascii="Garamond" w:hAnsi="Garamond"/>
          <w:sz w:val="26"/>
          <w:szCs w:val="26"/>
        </w:rPr>
        <w:t xml:space="preserve">della Plenaria, è rappresentato dal corrispettivo del </w:t>
      </w:r>
      <w:r w:rsidR="00A36844">
        <w:rPr>
          <w:rFonts w:ascii="Garamond" w:hAnsi="Garamond"/>
          <w:sz w:val="26"/>
          <w:szCs w:val="26"/>
        </w:rPr>
        <w:t>servizio</w:t>
      </w:r>
      <w:r w:rsidRPr="00C27AE9">
        <w:rPr>
          <w:rFonts w:ascii="Garamond" w:hAnsi="Garamond"/>
          <w:sz w:val="26"/>
          <w:szCs w:val="26"/>
        </w:rPr>
        <w:t xml:space="preserve"> e non già </w:t>
      </w:r>
      <w:r w:rsidR="00F16853">
        <w:rPr>
          <w:rFonts w:ascii="Garamond" w:hAnsi="Garamond"/>
          <w:sz w:val="26"/>
          <w:szCs w:val="26"/>
        </w:rPr>
        <w:t>dal</w:t>
      </w:r>
      <w:r w:rsidRPr="00C27AE9">
        <w:rPr>
          <w:rFonts w:ascii="Garamond" w:hAnsi="Garamond"/>
          <w:sz w:val="26"/>
          <w:szCs w:val="26"/>
        </w:rPr>
        <w:t xml:space="preserve">la mera determinazione dei valori della TARI, che ne costituisce piuttosto l’immediata conseguenza. </w:t>
      </w:r>
    </w:p>
    <w:p w14:paraId="2600F678" w14:textId="2BDDC8C5" w:rsidR="00A55018" w:rsidRPr="00C27AE9" w:rsidRDefault="00A55018"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Si tratta di una puntualizzazione </w:t>
      </w:r>
      <w:r w:rsidR="00395BDA" w:rsidRPr="00C27AE9">
        <w:rPr>
          <w:rFonts w:ascii="Garamond" w:hAnsi="Garamond"/>
          <w:sz w:val="26"/>
          <w:szCs w:val="26"/>
        </w:rPr>
        <w:t xml:space="preserve">non soltanto autorevole </w:t>
      </w:r>
      <w:r w:rsidR="00F16853">
        <w:rPr>
          <w:rFonts w:ascii="Garamond" w:hAnsi="Garamond"/>
          <w:sz w:val="26"/>
          <w:szCs w:val="26"/>
        </w:rPr>
        <w:t xml:space="preserve">e come tale difficilmente superabile, </w:t>
      </w:r>
      <w:r w:rsidR="00395BDA" w:rsidRPr="00C27AE9">
        <w:rPr>
          <w:rFonts w:ascii="Garamond" w:hAnsi="Garamond"/>
          <w:sz w:val="26"/>
          <w:szCs w:val="26"/>
        </w:rPr>
        <w:t xml:space="preserve">ma </w:t>
      </w:r>
      <w:r w:rsidR="00B8668B">
        <w:rPr>
          <w:rFonts w:ascii="Garamond" w:hAnsi="Garamond"/>
          <w:sz w:val="26"/>
          <w:szCs w:val="26"/>
        </w:rPr>
        <w:t xml:space="preserve">anche </w:t>
      </w:r>
      <w:r w:rsidRPr="00C27AE9">
        <w:rPr>
          <w:rFonts w:ascii="Garamond" w:hAnsi="Garamond"/>
          <w:sz w:val="26"/>
          <w:szCs w:val="26"/>
        </w:rPr>
        <w:t xml:space="preserve">dalle rilevanti implicazioni, </w:t>
      </w:r>
      <w:r w:rsidR="002866B5" w:rsidRPr="00C27AE9">
        <w:rPr>
          <w:rFonts w:ascii="Garamond" w:hAnsi="Garamond"/>
          <w:sz w:val="26"/>
          <w:szCs w:val="26"/>
        </w:rPr>
        <w:t xml:space="preserve">poiché dimostra che </w:t>
      </w:r>
      <w:r w:rsidRPr="00C27AE9">
        <w:rPr>
          <w:rFonts w:ascii="Garamond" w:hAnsi="Garamond"/>
          <w:sz w:val="26"/>
          <w:szCs w:val="26"/>
        </w:rPr>
        <w:t xml:space="preserve">il corrispettivo derivante dal contratto di servizio non è </w:t>
      </w:r>
      <w:r w:rsidR="00A36844">
        <w:rPr>
          <w:rFonts w:ascii="Garamond" w:hAnsi="Garamond"/>
          <w:sz w:val="26"/>
          <w:szCs w:val="26"/>
        </w:rPr>
        <w:t xml:space="preserve">affatto </w:t>
      </w:r>
      <w:r w:rsidRPr="00C27AE9">
        <w:rPr>
          <w:rFonts w:ascii="Garamond" w:hAnsi="Garamond"/>
          <w:sz w:val="26"/>
          <w:szCs w:val="26"/>
        </w:rPr>
        <w:t>immune agli effetti concreti che la regolazione tariffaria produce sul rapporto di servizio complessivamente inteso.</w:t>
      </w:r>
    </w:p>
    <w:p w14:paraId="2F7823FC" w14:textId="0E296E82" w:rsidR="00B82629" w:rsidRPr="00C27AE9" w:rsidRDefault="00BC0DE8" w:rsidP="00BC0DE8">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I</w:t>
      </w:r>
      <w:r w:rsidR="00942824" w:rsidRPr="00C27AE9">
        <w:rPr>
          <w:rFonts w:ascii="Garamond" w:hAnsi="Garamond"/>
          <w:sz w:val="26"/>
          <w:szCs w:val="26"/>
        </w:rPr>
        <w:t>l Supremo Consesso della giustizia amministrativa</w:t>
      </w:r>
      <w:r w:rsidR="00A36844">
        <w:rPr>
          <w:rFonts w:ascii="Garamond" w:hAnsi="Garamond"/>
          <w:sz w:val="26"/>
          <w:szCs w:val="26"/>
        </w:rPr>
        <w:t xml:space="preserve">, nella richiamata </w:t>
      </w:r>
      <w:r w:rsidR="00942824" w:rsidRPr="00C27AE9">
        <w:rPr>
          <w:rFonts w:ascii="Garamond" w:hAnsi="Garamond"/>
          <w:sz w:val="26"/>
          <w:szCs w:val="26"/>
        </w:rPr>
        <w:t>decisione</w:t>
      </w:r>
      <w:r w:rsidR="00A36844">
        <w:rPr>
          <w:rFonts w:ascii="Garamond" w:hAnsi="Garamond"/>
          <w:sz w:val="26"/>
          <w:szCs w:val="26"/>
        </w:rPr>
        <w:t xml:space="preserve">, chiama in causa </w:t>
      </w:r>
      <w:r w:rsidR="00942824" w:rsidRPr="00C27AE9">
        <w:rPr>
          <w:rFonts w:ascii="Garamond" w:hAnsi="Garamond"/>
          <w:sz w:val="26"/>
          <w:szCs w:val="26"/>
        </w:rPr>
        <w:t xml:space="preserve">il d.lgs n. 201 del 2022 </w:t>
      </w:r>
      <w:r w:rsidR="00E971B5" w:rsidRPr="00C27AE9">
        <w:rPr>
          <w:rFonts w:ascii="Garamond" w:hAnsi="Garamond"/>
          <w:sz w:val="26"/>
          <w:szCs w:val="26"/>
        </w:rPr>
        <w:t xml:space="preserve">quale </w:t>
      </w:r>
      <w:r w:rsidR="00942824" w:rsidRPr="00C27AE9">
        <w:rPr>
          <w:rFonts w:ascii="Garamond" w:hAnsi="Garamond"/>
          <w:sz w:val="26"/>
          <w:szCs w:val="26"/>
        </w:rPr>
        <w:t>fonte primaria</w:t>
      </w:r>
      <w:r w:rsidR="00E971B5" w:rsidRPr="00C27AE9">
        <w:rPr>
          <w:rFonts w:ascii="Garamond" w:hAnsi="Garamond"/>
          <w:sz w:val="26"/>
          <w:szCs w:val="26"/>
        </w:rPr>
        <w:t xml:space="preserve"> in materia</w:t>
      </w:r>
      <w:r w:rsidR="00942824" w:rsidRPr="00C27AE9">
        <w:rPr>
          <w:rFonts w:ascii="Garamond" w:hAnsi="Garamond"/>
          <w:sz w:val="26"/>
          <w:szCs w:val="26"/>
        </w:rPr>
        <w:t xml:space="preserve">, </w:t>
      </w:r>
      <w:r w:rsidR="00A36844">
        <w:rPr>
          <w:rFonts w:ascii="Garamond" w:hAnsi="Garamond"/>
          <w:sz w:val="26"/>
          <w:szCs w:val="26"/>
        </w:rPr>
        <w:t>notando come tale Decreto abbi</w:t>
      </w:r>
      <w:r w:rsidRPr="00C27AE9">
        <w:rPr>
          <w:rFonts w:ascii="Garamond" w:hAnsi="Garamond"/>
          <w:sz w:val="26"/>
          <w:szCs w:val="26"/>
        </w:rPr>
        <w:t>a</w:t>
      </w:r>
      <w:r w:rsidR="00942824" w:rsidRPr="00C27AE9">
        <w:rPr>
          <w:rFonts w:ascii="Garamond" w:hAnsi="Garamond"/>
          <w:sz w:val="26"/>
          <w:szCs w:val="26"/>
        </w:rPr>
        <w:t xml:space="preserve"> assegnato alla regolazione tariffaria il compito di assicurare che </w:t>
      </w:r>
      <w:r w:rsidR="00C72867" w:rsidRPr="00C27AE9">
        <w:rPr>
          <w:rFonts w:ascii="Garamond" w:hAnsi="Garamond"/>
          <w:sz w:val="26"/>
          <w:szCs w:val="26"/>
        </w:rPr>
        <w:t>«</w:t>
      </w:r>
      <w:r w:rsidR="00942824" w:rsidRPr="00C27AE9">
        <w:rPr>
          <w:rFonts w:ascii="Garamond" w:hAnsi="Garamond"/>
          <w:i/>
          <w:iCs/>
          <w:sz w:val="26"/>
          <w:szCs w:val="26"/>
        </w:rPr>
        <w:t>i servizi funzionino in base a condizioni economiche e finanziarie che consentano ai gestori di assolvere i propri compiti. Qualora, infatti, non venga remunerato adeguatamente, il servizio non sarebbe in grado di offrire garanzia di continuità e di sviluppo nel tempo</w:t>
      </w:r>
      <w:r w:rsidR="00C72867" w:rsidRPr="00C27AE9">
        <w:rPr>
          <w:rFonts w:ascii="Garamond" w:hAnsi="Garamond"/>
          <w:i/>
          <w:iCs/>
          <w:sz w:val="26"/>
          <w:szCs w:val="26"/>
        </w:rPr>
        <w:t>»</w:t>
      </w:r>
      <w:r w:rsidR="00942824" w:rsidRPr="00C27AE9">
        <w:rPr>
          <w:rFonts w:ascii="Garamond" w:hAnsi="Garamond"/>
          <w:sz w:val="26"/>
          <w:szCs w:val="26"/>
        </w:rPr>
        <w:t>.</w:t>
      </w:r>
      <w:r w:rsidR="00B82629" w:rsidRPr="00C27AE9">
        <w:rPr>
          <w:rFonts w:ascii="Garamond" w:hAnsi="Garamond"/>
          <w:sz w:val="26"/>
          <w:szCs w:val="26"/>
        </w:rPr>
        <w:t xml:space="preserve">  </w:t>
      </w:r>
    </w:p>
    <w:p w14:paraId="3BAF461C" w14:textId="763A7D10" w:rsidR="00942824" w:rsidRPr="00A36844" w:rsidRDefault="00A36844" w:rsidP="00A36844">
      <w:pPr>
        <w:pStyle w:val="Rientrocorpodeltesto"/>
        <w:widowControl w:val="0"/>
        <w:spacing w:after="0"/>
        <w:ind w:left="0" w:firstLine="454"/>
        <w:jc w:val="both"/>
        <w:rPr>
          <w:rFonts w:ascii="Garamond" w:hAnsi="Garamond"/>
          <w:i/>
          <w:iCs/>
          <w:sz w:val="26"/>
          <w:szCs w:val="26"/>
        </w:rPr>
      </w:pPr>
      <w:r>
        <w:rPr>
          <w:rFonts w:ascii="Garamond" w:hAnsi="Garamond"/>
          <w:sz w:val="26"/>
          <w:szCs w:val="26"/>
        </w:rPr>
        <w:t>L</w:t>
      </w:r>
      <w:r w:rsidR="00942824" w:rsidRPr="00C27AE9">
        <w:rPr>
          <w:rFonts w:ascii="Garamond" w:hAnsi="Garamond"/>
          <w:sz w:val="26"/>
          <w:szCs w:val="26"/>
        </w:rPr>
        <w:t xml:space="preserve">a necessità di un intervento regolatorio riposa </w:t>
      </w:r>
      <w:r>
        <w:rPr>
          <w:rFonts w:ascii="Garamond" w:hAnsi="Garamond"/>
          <w:sz w:val="26"/>
          <w:szCs w:val="26"/>
        </w:rPr>
        <w:t xml:space="preserve">dunque </w:t>
      </w:r>
      <w:r w:rsidR="00942824" w:rsidRPr="00C27AE9">
        <w:rPr>
          <w:rFonts w:ascii="Garamond" w:hAnsi="Garamond"/>
          <w:sz w:val="26"/>
          <w:szCs w:val="26"/>
        </w:rPr>
        <w:t xml:space="preserve">sulla constatazione per cui </w:t>
      </w:r>
      <w:r w:rsidR="00E971B5" w:rsidRPr="00C27AE9">
        <w:rPr>
          <w:rFonts w:ascii="Garamond" w:hAnsi="Garamond"/>
          <w:sz w:val="26"/>
          <w:szCs w:val="26"/>
        </w:rPr>
        <w:t>«</w:t>
      </w:r>
      <w:r w:rsidR="00942824" w:rsidRPr="00C27AE9">
        <w:rPr>
          <w:rFonts w:ascii="Garamond" w:hAnsi="Garamond"/>
          <w:i/>
          <w:iCs/>
          <w:sz w:val="26"/>
          <w:szCs w:val="26"/>
        </w:rPr>
        <w:t>le attività remunerate tramite il riconoscimento (</w:t>
      </w:r>
      <w:r w:rsidR="00BC0DE8" w:rsidRPr="00C27AE9">
        <w:rPr>
          <w:rFonts w:ascii="Garamond" w:hAnsi="Garamond"/>
          <w:i/>
          <w:iCs/>
          <w:sz w:val="26"/>
          <w:szCs w:val="26"/>
        </w:rPr>
        <w:t>‘</w:t>
      </w:r>
      <w:r w:rsidR="00942824" w:rsidRPr="00C27AE9">
        <w:rPr>
          <w:rFonts w:ascii="Garamond" w:hAnsi="Garamond"/>
          <w:i/>
          <w:iCs/>
          <w:sz w:val="26"/>
          <w:szCs w:val="26"/>
        </w:rPr>
        <w:t>a piè di lista</w:t>
      </w:r>
      <w:r w:rsidR="00BC0DE8" w:rsidRPr="00C27AE9">
        <w:rPr>
          <w:rFonts w:ascii="Garamond" w:hAnsi="Garamond"/>
          <w:i/>
          <w:iCs/>
          <w:sz w:val="26"/>
          <w:szCs w:val="26"/>
        </w:rPr>
        <w:t>’</w:t>
      </w:r>
      <w:r w:rsidR="00942824" w:rsidRPr="00C27AE9">
        <w:rPr>
          <w:rFonts w:ascii="Garamond" w:hAnsi="Garamond"/>
          <w:i/>
          <w:iCs/>
          <w:sz w:val="26"/>
          <w:szCs w:val="26"/>
        </w:rPr>
        <w:t>) dei costi storici hanno dimostrato – sulla base degli studi di settore – la patologica tendenza a comportamenti opportunistici di sovracapitalizzazione e alla inefficienza produttiva.</w:t>
      </w:r>
      <w:r>
        <w:rPr>
          <w:rFonts w:ascii="Garamond" w:hAnsi="Garamond"/>
          <w:i/>
          <w:iCs/>
          <w:sz w:val="26"/>
          <w:szCs w:val="26"/>
        </w:rPr>
        <w:t xml:space="preserve"> </w:t>
      </w:r>
      <w:r w:rsidR="00942824" w:rsidRPr="00C27AE9">
        <w:rPr>
          <w:rFonts w:ascii="Garamond" w:hAnsi="Garamond"/>
          <w:i/>
          <w:iCs/>
          <w:sz w:val="26"/>
          <w:szCs w:val="26"/>
        </w:rPr>
        <w:t xml:space="preserve">L’Ordinamento per tale motivo </w:t>
      </w:r>
      <w:r w:rsidR="00BC0DE8" w:rsidRPr="00C27AE9">
        <w:rPr>
          <w:rFonts w:ascii="Garamond" w:hAnsi="Garamond"/>
          <w:i/>
          <w:iCs/>
          <w:sz w:val="26"/>
          <w:szCs w:val="26"/>
        </w:rPr>
        <w:t>assegna alla regolazione il compito di mitigare il rischio di ‘abuso di potere economico’, attraverso una metodologia tariffaria che (sopperendo alla mancanza di pressione concorrenziale) stimoli l’efficientamento produttivo e la minimizzazione dei costi.  L’obiettivo del tendenziale allineamento delle tariffe ai costi efficienti di erogazione (sancito dalla legge 14 novembre 1995, n. 481) è stato ribadito dall’art. 26 comma 1 del citato decreto legislativo 23 dicembre 2022, n. 201</w:t>
      </w:r>
      <w:r w:rsidR="00E971B5" w:rsidRPr="00C27AE9">
        <w:rPr>
          <w:rFonts w:ascii="Garamond" w:hAnsi="Garamond"/>
          <w:i/>
          <w:iCs/>
          <w:sz w:val="26"/>
          <w:szCs w:val="26"/>
        </w:rPr>
        <w:t>»</w:t>
      </w:r>
      <w:r w:rsidR="00BC0DE8" w:rsidRPr="00C27AE9">
        <w:rPr>
          <w:rFonts w:ascii="Garamond" w:hAnsi="Garamond"/>
          <w:sz w:val="26"/>
          <w:szCs w:val="26"/>
        </w:rPr>
        <w:t>.</w:t>
      </w:r>
    </w:p>
    <w:p w14:paraId="0AAA8E57" w14:textId="52CC2CE1" w:rsidR="00870690" w:rsidRPr="00C27AE9" w:rsidRDefault="00A36844" w:rsidP="00B82629">
      <w:pPr>
        <w:pStyle w:val="Rientrocorpodeltesto"/>
        <w:widowControl w:val="0"/>
        <w:spacing w:after="0"/>
        <w:ind w:left="0" w:firstLine="454"/>
        <w:jc w:val="both"/>
        <w:rPr>
          <w:rFonts w:ascii="Garamond" w:hAnsi="Garamond"/>
          <w:sz w:val="26"/>
          <w:szCs w:val="26"/>
        </w:rPr>
      </w:pPr>
      <w:r>
        <w:rPr>
          <w:rFonts w:ascii="Garamond" w:hAnsi="Garamond"/>
          <w:sz w:val="26"/>
          <w:szCs w:val="26"/>
        </w:rPr>
        <w:t>A</w:t>
      </w:r>
      <w:r w:rsidR="00870690" w:rsidRPr="00C27AE9">
        <w:rPr>
          <w:rFonts w:ascii="Garamond" w:hAnsi="Garamond"/>
          <w:sz w:val="26"/>
          <w:szCs w:val="26"/>
        </w:rPr>
        <w:t>nalizza</w:t>
      </w:r>
      <w:r>
        <w:rPr>
          <w:rFonts w:ascii="Garamond" w:hAnsi="Garamond"/>
          <w:sz w:val="26"/>
          <w:szCs w:val="26"/>
        </w:rPr>
        <w:t xml:space="preserve">ndo poi </w:t>
      </w:r>
      <w:r w:rsidR="00870690" w:rsidRPr="00C27AE9">
        <w:rPr>
          <w:rFonts w:ascii="Garamond" w:hAnsi="Garamond"/>
          <w:sz w:val="26"/>
          <w:szCs w:val="26"/>
        </w:rPr>
        <w:t xml:space="preserve">la </w:t>
      </w:r>
      <w:r w:rsidR="00E666F8" w:rsidRPr="00C27AE9">
        <w:rPr>
          <w:rFonts w:ascii="Garamond" w:hAnsi="Garamond"/>
          <w:sz w:val="26"/>
          <w:szCs w:val="26"/>
        </w:rPr>
        <w:t>“</w:t>
      </w:r>
      <w:r w:rsidR="00870690" w:rsidRPr="00C27AE9">
        <w:rPr>
          <w:rFonts w:ascii="Garamond" w:hAnsi="Garamond"/>
          <w:sz w:val="26"/>
          <w:szCs w:val="26"/>
        </w:rPr>
        <w:t>struttura tariffaria</w:t>
      </w:r>
      <w:r w:rsidR="00E666F8" w:rsidRPr="00C27AE9">
        <w:rPr>
          <w:rFonts w:ascii="Garamond" w:hAnsi="Garamond"/>
          <w:sz w:val="26"/>
          <w:szCs w:val="26"/>
        </w:rPr>
        <w:t>”</w:t>
      </w:r>
      <w:r>
        <w:rPr>
          <w:rFonts w:ascii="Garamond" w:hAnsi="Garamond"/>
          <w:sz w:val="26"/>
          <w:szCs w:val="26"/>
        </w:rPr>
        <w:t xml:space="preserve">, la Plenaria ha </w:t>
      </w:r>
      <w:r w:rsidR="00870690" w:rsidRPr="00C27AE9">
        <w:rPr>
          <w:rFonts w:ascii="Garamond" w:hAnsi="Garamond"/>
          <w:sz w:val="26"/>
          <w:szCs w:val="26"/>
        </w:rPr>
        <w:t>afferma</w:t>
      </w:r>
      <w:r>
        <w:rPr>
          <w:rFonts w:ascii="Garamond" w:hAnsi="Garamond"/>
          <w:sz w:val="26"/>
          <w:szCs w:val="26"/>
        </w:rPr>
        <w:t>to</w:t>
      </w:r>
      <w:r w:rsidR="00870690" w:rsidRPr="00C27AE9">
        <w:rPr>
          <w:rFonts w:ascii="Garamond" w:hAnsi="Garamond"/>
          <w:sz w:val="26"/>
          <w:szCs w:val="26"/>
        </w:rPr>
        <w:t xml:space="preserve"> espressamente che il Metodo Tariffario riproduce </w:t>
      </w:r>
      <w:r w:rsidR="00E971B5" w:rsidRPr="00C27AE9">
        <w:rPr>
          <w:rFonts w:ascii="Garamond" w:hAnsi="Garamond"/>
          <w:sz w:val="26"/>
          <w:szCs w:val="26"/>
        </w:rPr>
        <w:t>«</w:t>
      </w:r>
      <w:r w:rsidR="00870690" w:rsidRPr="00C27AE9">
        <w:rPr>
          <w:rFonts w:ascii="Garamond" w:hAnsi="Garamond"/>
          <w:i/>
          <w:iCs/>
          <w:sz w:val="26"/>
          <w:szCs w:val="26"/>
        </w:rPr>
        <w:t>un meccanismo di price-cap nel quale i ricavi sono pari ai costi riconosciuti dal regolatore, sulla base delle informazioni che i gestori sono tenuti a trasmettere all’Autorità. L’importo complessivo riconosciuto al gestore a copertura dei costi di gestione e di investimento viene denominato vincolo ai ricavi del gestore</w:t>
      </w:r>
      <w:r w:rsidR="00E971B5" w:rsidRPr="00C27AE9">
        <w:rPr>
          <w:rFonts w:ascii="Garamond" w:hAnsi="Garamond"/>
          <w:i/>
          <w:iCs/>
          <w:sz w:val="26"/>
          <w:szCs w:val="26"/>
        </w:rPr>
        <w:t>»</w:t>
      </w:r>
      <w:r w:rsidR="00870690" w:rsidRPr="00C27AE9">
        <w:rPr>
          <w:rFonts w:ascii="Garamond" w:hAnsi="Garamond"/>
          <w:sz w:val="26"/>
          <w:szCs w:val="26"/>
        </w:rPr>
        <w:t>.</w:t>
      </w:r>
    </w:p>
    <w:p w14:paraId="46A2B71D" w14:textId="4ACDD28F" w:rsidR="00870690" w:rsidRPr="00C27AE9" w:rsidRDefault="00E666F8" w:rsidP="00B82629">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P</w:t>
      </w:r>
      <w:r w:rsidR="00870690" w:rsidRPr="00C27AE9">
        <w:rPr>
          <w:rFonts w:ascii="Garamond" w:hAnsi="Garamond"/>
          <w:sz w:val="26"/>
          <w:szCs w:val="26"/>
        </w:rPr>
        <w:t>er il Supremo Consesso di giustizia amministrativa</w:t>
      </w:r>
      <w:r w:rsidR="004B211A" w:rsidRPr="00C27AE9">
        <w:rPr>
          <w:rFonts w:ascii="Garamond" w:hAnsi="Garamond"/>
          <w:sz w:val="26"/>
          <w:szCs w:val="26"/>
        </w:rPr>
        <w:t xml:space="preserve">, </w:t>
      </w:r>
      <w:r w:rsidRPr="00C27AE9">
        <w:rPr>
          <w:rFonts w:ascii="Garamond" w:hAnsi="Garamond"/>
          <w:sz w:val="26"/>
          <w:szCs w:val="26"/>
        </w:rPr>
        <w:t xml:space="preserve">dunque, il </w:t>
      </w:r>
      <w:r w:rsidR="004B211A" w:rsidRPr="00C27AE9">
        <w:rPr>
          <w:rFonts w:ascii="Garamond" w:hAnsi="Garamond"/>
          <w:sz w:val="26"/>
          <w:szCs w:val="26"/>
        </w:rPr>
        <w:t>d.lgs n. 201 del 2022</w:t>
      </w:r>
      <w:r w:rsidR="00E971B5" w:rsidRPr="00C27AE9">
        <w:rPr>
          <w:rFonts w:ascii="Garamond" w:hAnsi="Garamond"/>
          <w:sz w:val="26"/>
          <w:szCs w:val="26"/>
        </w:rPr>
        <w:t xml:space="preserve"> </w:t>
      </w:r>
      <w:r w:rsidR="00A36844">
        <w:rPr>
          <w:rFonts w:ascii="Garamond" w:hAnsi="Garamond"/>
          <w:sz w:val="26"/>
          <w:szCs w:val="26"/>
        </w:rPr>
        <w:t>ha</w:t>
      </w:r>
      <w:r w:rsidR="00870690" w:rsidRPr="00C27AE9">
        <w:rPr>
          <w:rFonts w:ascii="Garamond" w:hAnsi="Garamond"/>
          <w:sz w:val="26"/>
          <w:szCs w:val="26"/>
        </w:rPr>
        <w:t xml:space="preserve"> </w:t>
      </w:r>
      <w:r w:rsidRPr="00C27AE9">
        <w:rPr>
          <w:rFonts w:ascii="Garamond" w:hAnsi="Garamond"/>
          <w:sz w:val="26"/>
          <w:szCs w:val="26"/>
        </w:rPr>
        <w:t>affida</w:t>
      </w:r>
      <w:r w:rsidR="00A36844">
        <w:rPr>
          <w:rFonts w:ascii="Garamond" w:hAnsi="Garamond"/>
          <w:sz w:val="26"/>
          <w:szCs w:val="26"/>
        </w:rPr>
        <w:t>to</w:t>
      </w:r>
      <w:r w:rsidRPr="00C27AE9">
        <w:rPr>
          <w:rFonts w:ascii="Garamond" w:hAnsi="Garamond"/>
          <w:sz w:val="26"/>
          <w:szCs w:val="26"/>
        </w:rPr>
        <w:t xml:space="preserve"> al</w:t>
      </w:r>
      <w:r w:rsidR="00870690" w:rsidRPr="00C27AE9">
        <w:rPr>
          <w:rFonts w:ascii="Garamond" w:hAnsi="Garamond"/>
          <w:sz w:val="26"/>
          <w:szCs w:val="26"/>
        </w:rPr>
        <w:t xml:space="preserve">la regolazione </w:t>
      </w:r>
      <w:r w:rsidR="00A36844">
        <w:rPr>
          <w:rFonts w:ascii="Garamond" w:hAnsi="Garamond"/>
          <w:sz w:val="26"/>
          <w:szCs w:val="26"/>
        </w:rPr>
        <w:t xml:space="preserve">lo specifico </w:t>
      </w:r>
      <w:r w:rsidRPr="00C27AE9">
        <w:rPr>
          <w:rFonts w:ascii="Garamond" w:hAnsi="Garamond"/>
          <w:sz w:val="26"/>
          <w:szCs w:val="26"/>
        </w:rPr>
        <w:t xml:space="preserve">compito di </w:t>
      </w:r>
      <w:r w:rsidR="00870690" w:rsidRPr="00C27AE9">
        <w:rPr>
          <w:rFonts w:ascii="Garamond" w:hAnsi="Garamond"/>
          <w:sz w:val="26"/>
          <w:szCs w:val="26"/>
        </w:rPr>
        <w:t>incid</w:t>
      </w:r>
      <w:r w:rsidRPr="00C27AE9">
        <w:rPr>
          <w:rFonts w:ascii="Garamond" w:hAnsi="Garamond"/>
          <w:sz w:val="26"/>
          <w:szCs w:val="26"/>
        </w:rPr>
        <w:t>ere</w:t>
      </w:r>
      <w:r w:rsidR="00870690" w:rsidRPr="00C27AE9">
        <w:rPr>
          <w:rFonts w:ascii="Garamond" w:hAnsi="Garamond"/>
          <w:sz w:val="26"/>
          <w:szCs w:val="26"/>
        </w:rPr>
        <w:t xml:space="preserve"> sulla struttura tariffaria </w:t>
      </w:r>
      <w:r w:rsidR="004B211A" w:rsidRPr="00C27AE9">
        <w:rPr>
          <w:rFonts w:ascii="Garamond" w:hAnsi="Garamond"/>
          <w:sz w:val="26"/>
          <w:szCs w:val="26"/>
        </w:rPr>
        <w:t>anche ai fini della determinazione dell’importo complessivo riconosciuto al gestore, ossia in altri termini, il suo corrispettivo.</w:t>
      </w:r>
    </w:p>
    <w:p w14:paraId="10EBB727" w14:textId="02AB5FF5" w:rsidR="0019097A" w:rsidRPr="00C27AE9" w:rsidRDefault="0019097A" w:rsidP="00E971B5">
      <w:pPr>
        <w:pStyle w:val="Rientrocorpodeltesto"/>
        <w:widowControl w:val="0"/>
        <w:spacing w:after="0"/>
        <w:ind w:left="0" w:firstLine="454"/>
        <w:jc w:val="both"/>
        <w:rPr>
          <w:rFonts w:ascii="Garamond" w:hAnsi="Garamond"/>
          <w:i/>
          <w:iCs/>
          <w:sz w:val="26"/>
          <w:szCs w:val="26"/>
        </w:rPr>
      </w:pPr>
      <w:r w:rsidRPr="00C27AE9">
        <w:rPr>
          <w:rFonts w:ascii="Garamond" w:hAnsi="Garamond"/>
          <w:sz w:val="26"/>
          <w:szCs w:val="26"/>
        </w:rPr>
        <w:t>E se né chiarita</w:t>
      </w:r>
      <w:r w:rsidR="00E971B5" w:rsidRPr="00C27AE9">
        <w:rPr>
          <w:rFonts w:ascii="Garamond" w:hAnsi="Garamond"/>
          <w:sz w:val="26"/>
          <w:szCs w:val="26"/>
        </w:rPr>
        <w:t xml:space="preserve"> </w:t>
      </w:r>
      <w:r w:rsidRPr="00C27AE9">
        <w:rPr>
          <w:rFonts w:ascii="Garamond" w:hAnsi="Garamond"/>
          <w:sz w:val="26"/>
          <w:szCs w:val="26"/>
        </w:rPr>
        <w:t>anche la ragione, che è quella di prevenire il rischio di abuso economico da parte di coloro i quali erogano il servizio, i gestori, e che per ciò stesso si trovano in una posizione di maggior forza e privilegiata</w:t>
      </w:r>
      <w:r w:rsidR="00E971B5" w:rsidRPr="00C27AE9">
        <w:rPr>
          <w:rFonts w:ascii="Garamond" w:hAnsi="Garamond"/>
          <w:sz w:val="26"/>
          <w:szCs w:val="26"/>
        </w:rPr>
        <w:t xml:space="preserve">, che ha generato </w:t>
      </w:r>
      <w:r w:rsidRPr="00C27AE9">
        <w:rPr>
          <w:rFonts w:ascii="Garamond" w:hAnsi="Garamond"/>
          <w:i/>
          <w:iCs/>
          <w:sz w:val="26"/>
          <w:szCs w:val="26"/>
        </w:rPr>
        <w:t xml:space="preserve">comportamenti opportunistici di sovracapitalizzazione </w:t>
      </w:r>
      <w:r w:rsidRPr="00C27AE9">
        <w:rPr>
          <w:rFonts w:ascii="Garamond" w:hAnsi="Garamond"/>
          <w:sz w:val="26"/>
          <w:szCs w:val="26"/>
        </w:rPr>
        <w:t xml:space="preserve">e </w:t>
      </w:r>
      <w:r w:rsidR="00E971B5" w:rsidRPr="00C27AE9">
        <w:rPr>
          <w:rFonts w:ascii="Garamond" w:hAnsi="Garamond"/>
          <w:sz w:val="26"/>
          <w:szCs w:val="26"/>
        </w:rPr>
        <w:t>anche i</w:t>
      </w:r>
      <w:r w:rsidRPr="00C27AE9">
        <w:rPr>
          <w:rFonts w:ascii="Garamond" w:hAnsi="Garamond"/>
          <w:i/>
          <w:iCs/>
          <w:sz w:val="26"/>
          <w:szCs w:val="26"/>
        </w:rPr>
        <w:t>nefficienza produttiva.</w:t>
      </w:r>
    </w:p>
    <w:p w14:paraId="2EB7A4C5" w14:textId="26027204" w:rsidR="0019097A" w:rsidRPr="00C27AE9" w:rsidRDefault="0019097A" w:rsidP="00B82629">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Sotto questo punto di vista, </w:t>
      </w:r>
      <w:r w:rsidR="0062698B" w:rsidRPr="00C27AE9">
        <w:rPr>
          <w:rFonts w:ascii="Garamond" w:hAnsi="Garamond"/>
          <w:sz w:val="26"/>
          <w:szCs w:val="26"/>
        </w:rPr>
        <w:t xml:space="preserve">l’Adunanza Plenaria </w:t>
      </w:r>
      <w:r w:rsidRPr="00C27AE9">
        <w:rPr>
          <w:rFonts w:ascii="Garamond" w:hAnsi="Garamond"/>
          <w:sz w:val="26"/>
          <w:szCs w:val="26"/>
        </w:rPr>
        <w:t xml:space="preserve">non </w:t>
      </w:r>
      <w:r w:rsidR="00B8668B">
        <w:rPr>
          <w:rFonts w:ascii="Garamond" w:hAnsi="Garamond"/>
          <w:sz w:val="26"/>
          <w:szCs w:val="26"/>
        </w:rPr>
        <w:t xml:space="preserve">pare </w:t>
      </w:r>
      <w:r w:rsidR="0062698B" w:rsidRPr="00C27AE9">
        <w:rPr>
          <w:rFonts w:ascii="Garamond" w:hAnsi="Garamond"/>
          <w:sz w:val="26"/>
          <w:szCs w:val="26"/>
        </w:rPr>
        <w:t xml:space="preserve">condividere </w:t>
      </w:r>
      <w:r w:rsidRPr="00C27AE9">
        <w:rPr>
          <w:rFonts w:ascii="Garamond" w:hAnsi="Garamond"/>
          <w:sz w:val="26"/>
          <w:szCs w:val="26"/>
        </w:rPr>
        <w:t xml:space="preserve">l’osservazione contenuta nella pronuncia </w:t>
      </w:r>
      <w:r w:rsidR="00E971B5" w:rsidRPr="00C27AE9">
        <w:rPr>
          <w:rFonts w:ascii="Garamond" w:hAnsi="Garamond"/>
          <w:sz w:val="26"/>
          <w:szCs w:val="26"/>
        </w:rPr>
        <w:t xml:space="preserve">della Quarta Sezione </w:t>
      </w:r>
      <w:r w:rsidRPr="00C27AE9">
        <w:rPr>
          <w:rFonts w:ascii="Garamond" w:hAnsi="Garamond"/>
          <w:sz w:val="26"/>
          <w:szCs w:val="26"/>
        </w:rPr>
        <w:t>n. 64</w:t>
      </w:r>
      <w:r w:rsidR="0062698B" w:rsidRPr="00C27AE9">
        <w:rPr>
          <w:rFonts w:ascii="Garamond" w:hAnsi="Garamond"/>
          <w:sz w:val="26"/>
          <w:szCs w:val="26"/>
        </w:rPr>
        <w:t>6</w:t>
      </w:r>
      <w:r w:rsidRPr="00C27AE9">
        <w:rPr>
          <w:rFonts w:ascii="Garamond" w:hAnsi="Garamond"/>
          <w:sz w:val="26"/>
          <w:szCs w:val="26"/>
        </w:rPr>
        <w:t>6/2025</w:t>
      </w:r>
      <w:r w:rsidR="0062698B" w:rsidRPr="00C27AE9">
        <w:rPr>
          <w:rFonts w:ascii="Garamond" w:hAnsi="Garamond"/>
          <w:sz w:val="26"/>
          <w:szCs w:val="26"/>
        </w:rPr>
        <w:t xml:space="preserve">, </w:t>
      </w:r>
      <w:r w:rsidRPr="00C27AE9">
        <w:rPr>
          <w:rFonts w:ascii="Garamond" w:hAnsi="Garamond"/>
          <w:sz w:val="26"/>
          <w:szCs w:val="26"/>
        </w:rPr>
        <w:t>che sembra invece riporre piena ed incondizionata fiducia nell’appaltatore</w:t>
      </w:r>
      <w:r w:rsidR="0062698B" w:rsidRPr="00C27AE9">
        <w:rPr>
          <w:rFonts w:ascii="Garamond" w:hAnsi="Garamond"/>
          <w:sz w:val="26"/>
          <w:szCs w:val="26"/>
        </w:rPr>
        <w:t>, ritenuto “</w:t>
      </w:r>
      <w:r w:rsidR="00C76683" w:rsidRPr="00C27AE9">
        <w:rPr>
          <w:rFonts w:ascii="Garamond" w:hAnsi="Garamond"/>
          <w:i/>
          <w:iCs/>
          <w:sz w:val="26"/>
          <w:szCs w:val="26"/>
        </w:rPr>
        <w:t>p</w:t>
      </w:r>
      <w:r w:rsidR="0062698B" w:rsidRPr="00C27AE9">
        <w:rPr>
          <w:rFonts w:ascii="Garamond" w:hAnsi="Garamond"/>
          <w:i/>
          <w:iCs/>
          <w:sz w:val="26"/>
          <w:szCs w:val="26"/>
        </w:rPr>
        <w:t>e</w:t>
      </w:r>
      <w:r w:rsidR="00C76683" w:rsidRPr="00C27AE9">
        <w:rPr>
          <w:rFonts w:ascii="Garamond" w:hAnsi="Garamond"/>
          <w:i/>
          <w:iCs/>
          <w:sz w:val="26"/>
          <w:szCs w:val="26"/>
        </w:rPr>
        <w:t>r de</w:t>
      </w:r>
      <w:r w:rsidR="0062698B" w:rsidRPr="00C27AE9">
        <w:rPr>
          <w:rFonts w:ascii="Garamond" w:hAnsi="Garamond"/>
          <w:i/>
          <w:iCs/>
          <w:sz w:val="26"/>
          <w:szCs w:val="26"/>
        </w:rPr>
        <w:t>finizione capace di valutare il proprio interesse e quindi la remuneratività del prezzo offerto</w:t>
      </w:r>
      <w:r w:rsidR="0062698B" w:rsidRPr="00C27AE9">
        <w:rPr>
          <w:rFonts w:ascii="Garamond" w:hAnsi="Garamond"/>
          <w:sz w:val="26"/>
          <w:szCs w:val="26"/>
        </w:rPr>
        <w:t>”.</w:t>
      </w:r>
    </w:p>
    <w:p w14:paraId="6E0472D8" w14:textId="0F9164AD" w:rsidR="0062698B" w:rsidRPr="00C27AE9" w:rsidRDefault="0062698B" w:rsidP="00B82629">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Se è senz’altro vero che l’imprenditore è in grado da solo senza interventi esterni di stabilire il grado di remuneratività del canone dallo stesso offerto per il servizio, non è </w:t>
      </w:r>
      <w:r w:rsidRPr="00C27AE9">
        <w:rPr>
          <w:rFonts w:ascii="Garamond" w:hAnsi="Garamond"/>
          <w:sz w:val="26"/>
          <w:szCs w:val="26"/>
        </w:rPr>
        <w:lastRenderedPageBreak/>
        <w:t>detto affatto (ed anzi è più probabile il contrario) che lo faccia anche tenendo conto degli interessi dell’utenza a pagare il giusto.</w:t>
      </w:r>
    </w:p>
    <w:p w14:paraId="1125A58A" w14:textId="2683AC4C" w:rsidR="0062698B" w:rsidRPr="00C27AE9" w:rsidRDefault="0062698B" w:rsidP="00B82629">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Ebbene, è proprio questo il compito che il legislatore affida al regolatore, ossia di regolare il mercato affinchè venga individuato un giusto equilibrio tra le ragioni dell’impresa e quelle della collettività degli utenti. </w:t>
      </w:r>
    </w:p>
    <w:p w14:paraId="46314986" w14:textId="0D8154FB" w:rsidR="004C027B" w:rsidRPr="00C27AE9" w:rsidRDefault="0062698B" w:rsidP="004C027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Ed è in quest’ottica</w:t>
      </w:r>
      <w:r w:rsidR="00E666F8" w:rsidRPr="00C27AE9">
        <w:rPr>
          <w:rFonts w:ascii="Garamond" w:hAnsi="Garamond"/>
          <w:sz w:val="26"/>
          <w:szCs w:val="26"/>
        </w:rPr>
        <w:t xml:space="preserve"> </w:t>
      </w:r>
      <w:r w:rsidRPr="00C27AE9">
        <w:rPr>
          <w:rFonts w:ascii="Garamond" w:hAnsi="Garamond"/>
          <w:sz w:val="26"/>
          <w:szCs w:val="26"/>
        </w:rPr>
        <w:t>che</w:t>
      </w:r>
      <w:r w:rsidR="004B211A" w:rsidRPr="00C27AE9">
        <w:rPr>
          <w:rFonts w:ascii="Garamond" w:hAnsi="Garamond"/>
          <w:sz w:val="26"/>
          <w:szCs w:val="26"/>
        </w:rPr>
        <w:t xml:space="preserve"> in precedenza </w:t>
      </w:r>
      <w:r w:rsidRPr="00C27AE9">
        <w:rPr>
          <w:rFonts w:ascii="Garamond" w:hAnsi="Garamond"/>
          <w:sz w:val="26"/>
          <w:szCs w:val="26"/>
        </w:rPr>
        <w:t xml:space="preserve">la stessa </w:t>
      </w:r>
      <w:r w:rsidR="004B211A" w:rsidRPr="00C27AE9">
        <w:rPr>
          <w:rFonts w:ascii="Garamond" w:hAnsi="Garamond"/>
          <w:sz w:val="26"/>
          <w:szCs w:val="26"/>
        </w:rPr>
        <w:t>giurisprudenza</w:t>
      </w:r>
      <w:r w:rsidR="002B6D42" w:rsidRPr="00C27AE9">
        <w:rPr>
          <w:rFonts w:ascii="Garamond" w:hAnsi="Garamond"/>
          <w:sz w:val="26"/>
          <w:szCs w:val="26"/>
        </w:rPr>
        <w:t xml:space="preserve"> aveva </w:t>
      </w:r>
      <w:r w:rsidRPr="00C27AE9">
        <w:rPr>
          <w:rFonts w:ascii="Garamond" w:hAnsi="Garamond"/>
          <w:sz w:val="26"/>
          <w:szCs w:val="26"/>
        </w:rPr>
        <w:t>rimarcato</w:t>
      </w:r>
      <w:r w:rsidR="002B6D42" w:rsidRPr="00C27AE9">
        <w:rPr>
          <w:rFonts w:ascii="Garamond" w:hAnsi="Garamond"/>
          <w:sz w:val="26"/>
          <w:szCs w:val="26"/>
        </w:rPr>
        <w:t xml:space="preserve"> come </w:t>
      </w:r>
      <w:r w:rsidR="00F16853" w:rsidRPr="00C27AE9">
        <w:rPr>
          <w:rFonts w:ascii="Garamond" w:hAnsi="Garamond"/>
          <w:sz w:val="26"/>
          <w:szCs w:val="26"/>
        </w:rPr>
        <w:t>«</w:t>
      </w:r>
      <w:r w:rsidR="002B6D42" w:rsidRPr="00C27AE9">
        <w:rPr>
          <w:rFonts w:ascii="Garamond" w:hAnsi="Garamond"/>
          <w:i/>
          <w:iCs/>
          <w:sz w:val="26"/>
          <w:szCs w:val="26"/>
        </w:rPr>
        <w:t>il metodo tariffario (sia) volto a quantificare le componenti di costo per remunerare i soggetti che hanno in appalto la raccolta rifiuti</w:t>
      </w:r>
      <w:r w:rsidR="00F16853" w:rsidRPr="00C27AE9">
        <w:rPr>
          <w:rFonts w:ascii="Garamond" w:hAnsi="Garamond"/>
          <w:i/>
          <w:iCs/>
          <w:sz w:val="26"/>
          <w:szCs w:val="26"/>
        </w:rPr>
        <w:t>»</w:t>
      </w:r>
      <w:r w:rsidR="002B6D42" w:rsidRPr="00C27AE9">
        <w:rPr>
          <w:rStyle w:val="Rimandonotaapidipagina"/>
          <w:rFonts w:ascii="Garamond" w:hAnsi="Garamond"/>
          <w:sz w:val="26"/>
          <w:szCs w:val="26"/>
        </w:rPr>
        <w:footnoteReference w:id="53"/>
      </w:r>
      <w:r w:rsidR="00463457" w:rsidRPr="00C27AE9">
        <w:rPr>
          <w:rFonts w:ascii="Garamond" w:hAnsi="Garamond"/>
          <w:sz w:val="26"/>
          <w:szCs w:val="26"/>
        </w:rPr>
        <w:t>, individuando quale strumento funzionale al conseguimento di tale obiettivo quello dell’eterointegrazione contrattuale</w:t>
      </w:r>
      <w:r w:rsidR="002B6D42" w:rsidRPr="00C27AE9">
        <w:rPr>
          <w:rFonts w:ascii="Garamond" w:hAnsi="Garamond"/>
          <w:sz w:val="26"/>
          <w:szCs w:val="26"/>
        </w:rPr>
        <w:t>.</w:t>
      </w:r>
    </w:p>
    <w:p w14:paraId="24D259F1" w14:textId="2E8D5444" w:rsidR="00463457" w:rsidRDefault="00463457" w:rsidP="004C027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Ove così non fosse anche quest’ultima non troverebbe più alcuna giustificazione né ragione di esistere.</w:t>
      </w:r>
    </w:p>
    <w:p w14:paraId="362C9137" w14:textId="7F403FEF" w:rsidR="00AA4B0C" w:rsidRPr="00C27AE9" w:rsidRDefault="00AA4B0C" w:rsidP="004C027B">
      <w:pPr>
        <w:pStyle w:val="Rientrocorpodeltesto"/>
        <w:widowControl w:val="0"/>
        <w:spacing w:after="0"/>
        <w:ind w:left="0" w:firstLine="454"/>
        <w:jc w:val="both"/>
        <w:rPr>
          <w:rFonts w:ascii="Garamond" w:hAnsi="Garamond"/>
          <w:sz w:val="26"/>
          <w:szCs w:val="26"/>
        </w:rPr>
      </w:pPr>
      <w:r>
        <w:rPr>
          <w:rFonts w:ascii="Garamond" w:hAnsi="Garamond"/>
          <w:sz w:val="26"/>
          <w:szCs w:val="26"/>
        </w:rPr>
        <w:t xml:space="preserve">L’Autorità stessa, sul tema, in sede processuale ha rilevato in più occasioni che qualora davvero si </w:t>
      </w:r>
      <w:r w:rsidRPr="00AA4B0C">
        <w:rPr>
          <w:rFonts w:ascii="Garamond" w:hAnsi="Garamond"/>
          <w:sz w:val="26"/>
          <w:szCs w:val="26"/>
        </w:rPr>
        <w:t>sci</w:t>
      </w:r>
      <w:r>
        <w:rPr>
          <w:rFonts w:ascii="Garamond" w:hAnsi="Garamond"/>
          <w:sz w:val="26"/>
          <w:szCs w:val="26"/>
        </w:rPr>
        <w:t xml:space="preserve">ndesse </w:t>
      </w:r>
      <w:r w:rsidRPr="00AA4B0C">
        <w:rPr>
          <w:rFonts w:ascii="Garamond" w:hAnsi="Garamond"/>
          <w:sz w:val="26"/>
          <w:szCs w:val="26"/>
        </w:rPr>
        <w:t xml:space="preserve"> completamente l’applicazione della regolazione tariffaria dalla determinazione del corrispettivo riconosciuto al gestore, </w:t>
      </w:r>
      <w:r>
        <w:rPr>
          <w:rFonts w:ascii="Garamond" w:hAnsi="Garamond"/>
          <w:sz w:val="26"/>
          <w:szCs w:val="26"/>
        </w:rPr>
        <w:t xml:space="preserve">e di </w:t>
      </w:r>
      <w:r w:rsidRPr="00AA4B0C">
        <w:rPr>
          <w:rFonts w:ascii="Garamond" w:hAnsi="Garamond"/>
          <w:sz w:val="26"/>
          <w:szCs w:val="26"/>
        </w:rPr>
        <w:t>conseguenza il risultato derivante dall’applicazione delle cl</w:t>
      </w:r>
      <w:r>
        <w:rPr>
          <w:rFonts w:ascii="Garamond" w:hAnsi="Garamond"/>
          <w:sz w:val="26"/>
          <w:szCs w:val="26"/>
        </w:rPr>
        <w:t>ausole</w:t>
      </w:r>
      <w:r w:rsidRPr="00AA4B0C">
        <w:rPr>
          <w:rFonts w:ascii="Garamond" w:hAnsi="Garamond"/>
          <w:sz w:val="26"/>
          <w:szCs w:val="26"/>
        </w:rPr>
        <w:t xml:space="preserve"> contrattuali assurgesse a limite inderogabile della remunerazione del gestore</w:t>
      </w:r>
      <w:r>
        <w:rPr>
          <w:rFonts w:ascii="Garamond" w:hAnsi="Garamond"/>
          <w:sz w:val="26"/>
          <w:szCs w:val="26"/>
        </w:rPr>
        <w:t xml:space="preserve">, a quel punto </w:t>
      </w:r>
      <w:r w:rsidRPr="00AA4B0C">
        <w:rPr>
          <w:rFonts w:ascii="Garamond" w:hAnsi="Garamond"/>
          <w:sz w:val="26"/>
          <w:szCs w:val="26"/>
        </w:rPr>
        <w:t>l</w:t>
      </w:r>
      <w:r>
        <w:rPr>
          <w:rFonts w:ascii="Garamond" w:hAnsi="Garamond"/>
          <w:sz w:val="26"/>
          <w:szCs w:val="26"/>
        </w:rPr>
        <w:t>a</w:t>
      </w:r>
      <w:r w:rsidRPr="00AA4B0C">
        <w:rPr>
          <w:rFonts w:ascii="Garamond" w:hAnsi="Garamond"/>
          <w:sz w:val="26"/>
          <w:szCs w:val="26"/>
        </w:rPr>
        <w:t xml:space="preserve"> regolazione in sé diverre</w:t>
      </w:r>
      <w:r>
        <w:rPr>
          <w:rFonts w:ascii="Garamond" w:hAnsi="Garamond"/>
          <w:sz w:val="26"/>
          <w:szCs w:val="26"/>
        </w:rPr>
        <w:t>bb</w:t>
      </w:r>
      <w:r w:rsidRPr="00AA4B0C">
        <w:rPr>
          <w:rFonts w:ascii="Garamond" w:hAnsi="Garamond"/>
          <w:sz w:val="26"/>
          <w:szCs w:val="26"/>
        </w:rPr>
        <w:t>e inut</w:t>
      </w:r>
      <w:r>
        <w:rPr>
          <w:rFonts w:ascii="Garamond" w:hAnsi="Garamond"/>
          <w:sz w:val="26"/>
          <w:szCs w:val="26"/>
        </w:rPr>
        <w:t>ile</w:t>
      </w:r>
      <w:r w:rsidRPr="00AA4B0C">
        <w:rPr>
          <w:rFonts w:ascii="Garamond" w:hAnsi="Garamond"/>
          <w:sz w:val="26"/>
          <w:szCs w:val="26"/>
        </w:rPr>
        <w:t xml:space="preserve"> e</w:t>
      </w:r>
      <w:r>
        <w:rPr>
          <w:rFonts w:ascii="Garamond" w:hAnsi="Garamond"/>
          <w:sz w:val="26"/>
          <w:szCs w:val="26"/>
        </w:rPr>
        <w:t xml:space="preserve"> sarebbe irrimediabilmente </w:t>
      </w:r>
      <w:r w:rsidRPr="00AA4B0C">
        <w:rPr>
          <w:rFonts w:ascii="Garamond" w:hAnsi="Garamond"/>
          <w:sz w:val="26"/>
          <w:szCs w:val="26"/>
        </w:rPr>
        <w:t>pregiudic</w:t>
      </w:r>
      <w:r>
        <w:rPr>
          <w:rFonts w:ascii="Garamond" w:hAnsi="Garamond"/>
          <w:sz w:val="26"/>
          <w:szCs w:val="26"/>
        </w:rPr>
        <w:t>ato</w:t>
      </w:r>
      <w:r w:rsidRPr="00AA4B0C">
        <w:rPr>
          <w:rFonts w:ascii="Garamond" w:hAnsi="Garamond"/>
          <w:sz w:val="26"/>
          <w:szCs w:val="26"/>
        </w:rPr>
        <w:t xml:space="preserve"> il mandato asseg</w:t>
      </w:r>
      <w:r>
        <w:rPr>
          <w:rFonts w:ascii="Garamond" w:hAnsi="Garamond"/>
          <w:sz w:val="26"/>
          <w:szCs w:val="26"/>
        </w:rPr>
        <w:t>n</w:t>
      </w:r>
      <w:r w:rsidRPr="00AA4B0C">
        <w:rPr>
          <w:rFonts w:ascii="Garamond" w:hAnsi="Garamond"/>
          <w:sz w:val="26"/>
          <w:szCs w:val="26"/>
        </w:rPr>
        <w:t>ato ad Arera</w:t>
      </w:r>
      <w:r>
        <w:rPr>
          <w:rFonts w:ascii="Garamond" w:hAnsi="Garamond"/>
          <w:sz w:val="26"/>
          <w:szCs w:val="26"/>
        </w:rPr>
        <w:t xml:space="preserve"> dal legislatore</w:t>
      </w:r>
      <w:r w:rsidRPr="00AA4B0C">
        <w:rPr>
          <w:rFonts w:ascii="Garamond" w:hAnsi="Garamond"/>
          <w:sz w:val="26"/>
          <w:szCs w:val="26"/>
        </w:rPr>
        <w:t>.</w:t>
      </w:r>
    </w:p>
    <w:p w14:paraId="25466729" w14:textId="7ED9AEC7" w:rsidR="002D054B" w:rsidRPr="00C27AE9" w:rsidRDefault="002D054B" w:rsidP="002D054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Sul tema si è espressa peraltro </w:t>
      </w:r>
      <w:r w:rsidR="00B8668B">
        <w:rPr>
          <w:rFonts w:ascii="Garamond" w:hAnsi="Garamond"/>
          <w:sz w:val="26"/>
          <w:szCs w:val="26"/>
        </w:rPr>
        <w:t xml:space="preserve">recentemente </w:t>
      </w:r>
      <w:r w:rsidRPr="00C27AE9">
        <w:rPr>
          <w:rFonts w:ascii="Garamond" w:hAnsi="Garamond"/>
          <w:sz w:val="26"/>
          <w:szCs w:val="26"/>
        </w:rPr>
        <w:t>anche l’ANA</w:t>
      </w:r>
      <w:r w:rsidR="00F16853">
        <w:rPr>
          <w:rFonts w:ascii="Garamond" w:hAnsi="Garamond"/>
          <w:sz w:val="26"/>
          <w:szCs w:val="26"/>
        </w:rPr>
        <w:t>C</w:t>
      </w:r>
      <w:r w:rsidRPr="00C27AE9">
        <w:rPr>
          <w:rFonts w:ascii="Garamond" w:hAnsi="Garamond"/>
          <w:sz w:val="26"/>
          <w:szCs w:val="26"/>
        </w:rPr>
        <w:t>, afferma</w:t>
      </w:r>
      <w:r w:rsidR="00F16853">
        <w:rPr>
          <w:rFonts w:ascii="Garamond" w:hAnsi="Garamond"/>
          <w:sz w:val="26"/>
          <w:szCs w:val="26"/>
        </w:rPr>
        <w:t>ndo</w:t>
      </w:r>
      <w:r w:rsidRPr="00C27AE9">
        <w:rPr>
          <w:rFonts w:ascii="Garamond" w:hAnsi="Garamond"/>
          <w:sz w:val="26"/>
          <w:szCs w:val="26"/>
        </w:rPr>
        <w:t xml:space="preserve"> che </w:t>
      </w:r>
      <w:r w:rsidR="00F16853" w:rsidRPr="00C27AE9">
        <w:rPr>
          <w:rFonts w:ascii="Garamond" w:hAnsi="Garamond"/>
          <w:sz w:val="26"/>
          <w:szCs w:val="26"/>
        </w:rPr>
        <w:t>«</w:t>
      </w:r>
      <w:r w:rsidRPr="00C27AE9">
        <w:rPr>
          <w:rFonts w:ascii="Garamond" w:hAnsi="Garamond"/>
          <w:i/>
          <w:iCs/>
          <w:sz w:val="26"/>
          <w:szCs w:val="26"/>
        </w:rPr>
        <w:t>l’osservanza delle modalità fissate da ARERA nel MTR per la determinazione dei costi del servizio integrato di gestione dei rifiuti sono vincolanti e obbligatorie non solo ai fini della quantificazione della TARI ma anche per la determinazione del corrispettivo spettante al gestore del servizio di igiene urbana. In disparte l’orientamento giurisprudenziale che, riconoscendo alla disciplina di ARERA natura imperativa, ne ha ricavato l’attitudine eterointegrativa dei rapporti in corso di esecuzione e dei corrispettivi contrattuali (TAR Lombardia, 17 agosto 2021, n. 1938 e 30 giugno 2020, n. 1249), rileva, in particolare, l’art. 6 dello schema tipo di contratto di servizio, adottato da ARERA con la deliberazione 385/2023/R/RIF, laddove stabilisce che “Il corrispettivo relativo al servizio integrato di gestione dei rifiuti ovvero delle singole attività che lo compongono è determinato secondo il metodo tariffario pro tempore vigente</w:t>
      </w:r>
      <w:r w:rsidRPr="00C27AE9">
        <w:rPr>
          <w:rFonts w:ascii="Garamond" w:hAnsi="Garamond"/>
          <w:sz w:val="26"/>
          <w:szCs w:val="26"/>
        </w:rPr>
        <w:t>”</w:t>
      </w:r>
      <w:r w:rsidR="00B8668B">
        <w:rPr>
          <w:rStyle w:val="Rimandonotaapidipagina"/>
          <w:rFonts w:ascii="Garamond" w:hAnsi="Garamond"/>
          <w:sz w:val="26"/>
          <w:szCs w:val="26"/>
        </w:rPr>
        <w:footnoteReference w:id="54"/>
      </w:r>
      <w:r w:rsidRPr="00C27AE9">
        <w:rPr>
          <w:rFonts w:ascii="Garamond" w:hAnsi="Garamond"/>
          <w:sz w:val="26"/>
          <w:szCs w:val="26"/>
        </w:rPr>
        <w:t>.</w:t>
      </w:r>
    </w:p>
    <w:p w14:paraId="5FB1F26B" w14:textId="7F6D0C5F" w:rsidR="004C027B" w:rsidRPr="00C27AE9" w:rsidRDefault="00C72867" w:rsidP="004C027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O</w:t>
      </w:r>
      <w:r w:rsidR="002866B5" w:rsidRPr="00C27AE9">
        <w:rPr>
          <w:rFonts w:ascii="Garamond" w:hAnsi="Garamond"/>
          <w:sz w:val="26"/>
          <w:szCs w:val="26"/>
        </w:rPr>
        <w:t xml:space="preserve">ccorre allora provare a </w:t>
      </w:r>
      <w:r w:rsidR="00451278" w:rsidRPr="00C27AE9">
        <w:rPr>
          <w:rFonts w:ascii="Garamond" w:hAnsi="Garamond"/>
          <w:sz w:val="26"/>
          <w:szCs w:val="26"/>
        </w:rPr>
        <w:t>chiari</w:t>
      </w:r>
      <w:r w:rsidR="002866B5" w:rsidRPr="00C27AE9">
        <w:rPr>
          <w:rFonts w:ascii="Garamond" w:hAnsi="Garamond"/>
          <w:sz w:val="26"/>
          <w:szCs w:val="26"/>
        </w:rPr>
        <w:t>re</w:t>
      </w:r>
      <w:r w:rsidR="00451278" w:rsidRPr="00C27AE9">
        <w:rPr>
          <w:rFonts w:ascii="Garamond" w:hAnsi="Garamond"/>
          <w:sz w:val="26"/>
          <w:szCs w:val="26"/>
        </w:rPr>
        <w:t xml:space="preserve"> l’effettiva portata</w:t>
      </w:r>
      <w:r w:rsidRPr="00C27AE9">
        <w:rPr>
          <w:rFonts w:ascii="Garamond" w:hAnsi="Garamond"/>
          <w:sz w:val="26"/>
          <w:szCs w:val="26"/>
        </w:rPr>
        <w:t xml:space="preserve"> delle considerazioni svolte dalla V^ Sezione del Consiglio n. 6466/2025, </w:t>
      </w:r>
      <w:r w:rsidR="00463457" w:rsidRPr="00C27AE9">
        <w:rPr>
          <w:rFonts w:ascii="Garamond" w:hAnsi="Garamond"/>
          <w:sz w:val="26"/>
          <w:szCs w:val="26"/>
        </w:rPr>
        <w:t xml:space="preserve">riprese </w:t>
      </w:r>
      <w:r w:rsidR="00B8668B">
        <w:rPr>
          <w:rFonts w:ascii="Garamond" w:hAnsi="Garamond"/>
          <w:sz w:val="26"/>
          <w:szCs w:val="26"/>
        </w:rPr>
        <w:t xml:space="preserve">poi </w:t>
      </w:r>
      <w:r w:rsidR="00463457" w:rsidRPr="00C27AE9">
        <w:rPr>
          <w:rFonts w:ascii="Garamond" w:hAnsi="Garamond"/>
          <w:sz w:val="26"/>
          <w:szCs w:val="26"/>
        </w:rPr>
        <w:t>dalla giurisprudenza successiva</w:t>
      </w:r>
      <w:r w:rsidRPr="00C27AE9">
        <w:rPr>
          <w:rFonts w:ascii="Garamond" w:hAnsi="Garamond"/>
          <w:sz w:val="26"/>
          <w:szCs w:val="26"/>
        </w:rPr>
        <w:t>,</w:t>
      </w:r>
      <w:r w:rsidR="00451278" w:rsidRPr="00C27AE9">
        <w:rPr>
          <w:rFonts w:ascii="Garamond" w:hAnsi="Garamond"/>
          <w:sz w:val="26"/>
          <w:szCs w:val="26"/>
        </w:rPr>
        <w:t xml:space="preserve"> onde </w:t>
      </w:r>
      <w:r w:rsidR="00E971B5" w:rsidRPr="00C27AE9">
        <w:rPr>
          <w:rFonts w:ascii="Garamond" w:hAnsi="Garamond"/>
          <w:sz w:val="26"/>
          <w:szCs w:val="26"/>
        </w:rPr>
        <w:t xml:space="preserve">raccordarle </w:t>
      </w:r>
      <w:r w:rsidR="00451278" w:rsidRPr="00C27AE9">
        <w:rPr>
          <w:rFonts w:ascii="Garamond" w:hAnsi="Garamond"/>
          <w:sz w:val="26"/>
          <w:szCs w:val="26"/>
        </w:rPr>
        <w:t xml:space="preserve">rispetto </w:t>
      </w:r>
      <w:r w:rsidR="004C027B" w:rsidRPr="00C27AE9">
        <w:rPr>
          <w:rFonts w:ascii="Garamond" w:hAnsi="Garamond"/>
          <w:sz w:val="26"/>
          <w:szCs w:val="26"/>
        </w:rPr>
        <w:t xml:space="preserve">al disposto di cui all’art. 1 comma 527 l.n. 205/2017 nonché </w:t>
      </w:r>
      <w:r w:rsidR="00451278" w:rsidRPr="00C27AE9">
        <w:rPr>
          <w:rFonts w:ascii="Garamond" w:hAnsi="Garamond"/>
          <w:sz w:val="26"/>
          <w:szCs w:val="26"/>
        </w:rPr>
        <w:t>alla disciplina dei servizi pubblici locali di interesse economico generale (D.</w:t>
      </w:r>
      <w:r w:rsidR="00E971B5" w:rsidRPr="00C27AE9">
        <w:rPr>
          <w:rFonts w:ascii="Garamond" w:hAnsi="Garamond"/>
          <w:sz w:val="26"/>
          <w:szCs w:val="26"/>
        </w:rPr>
        <w:t xml:space="preserve"> </w:t>
      </w:r>
      <w:r w:rsidR="00451278" w:rsidRPr="00C27AE9">
        <w:rPr>
          <w:rFonts w:ascii="Garamond" w:hAnsi="Garamond"/>
          <w:sz w:val="26"/>
          <w:szCs w:val="26"/>
        </w:rPr>
        <w:t>lgs n. 201/2022),.</w:t>
      </w:r>
    </w:p>
    <w:p w14:paraId="67439E52" w14:textId="7DCC0ED1" w:rsidR="00451278" w:rsidRPr="00C27AE9" w:rsidRDefault="004C027B" w:rsidP="00B54E61">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A</w:t>
      </w:r>
      <w:r w:rsidR="00B54E61">
        <w:rPr>
          <w:rFonts w:ascii="Garamond" w:hAnsi="Garamond"/>
          <w:sz w:val="26"/>
          <w:szCs w:val="26"/>
        </w:rPr>
        <w:t>d avviso di chi scrive</w:t>
      </w:r>
      <w:r w:rsidR="00463457" w:rsidRPr="00C27AE9">
        <w:rPr>
          <w:rFonts w:ascii="Garamond" w:hAnsi="Garamond"/>
          <w:sz w:val="26"/>
          <w:szCs w:val="26"/>
        </w:rPr>
        <w:t xml:space="preserve">, </w:t>
      </w:r>
      <w:r w:rsidRPr="00C27AE9">
        <w:rPr>
          <w:rFonts w:ascii="Garamond" w:hAnsi="Garamond"/>
          <w:sz w:val="26"/>
          <w:szCs w:val="26"/>
        </w:rPr>
        <w:t xml:space="preserve">tale pronuncia </w:t>
      </w:r>
      <w:r w:rsidR="002D054B" w:rsidRPr="00C27AE9">
        <w:rPr>
          <w:rFonts w:ascii="Garamond" w:hAnsi="Garamond"/>
          <w:sz w:val="26"/>
          <w:szCs w:val="26"/>
        </w:rPr>
        <w:t xml:space="preserve">non ha </w:t>
      </w:r>
      <w:r w:rsidR="00E666F8" w:rsidRPr="00C27AE9">
        <w:rPr>
          <w:rFonts w:ascii="Garamond" w:hAnsi="Garamond"/>
          <w:sz w:val="26"/>
          <w:szCs w:val="26"/>
        </w:rPr>
        <w:t>inteso</w:t>
      </w:r>
      <w:r w:rsidR="00463457" w:rsidRPr="00C27AE9">
        <w:rPr>
          <w:rFonts w:ascii="Garamond" w:hAnsi="Garamond"/>
          <w:sz w:val="26"/>
          <w:szCs w:val="26"/>
        </w:rPr>
        <w:t xml:space="preserve"> </w:t>
      </w:r>
      <w:r w:rsidR="002D054B" w:rsidRPr="00C27AE9">
        <w:rPr>
          <w:rFonts w:ascii="Garamond" w:hAnsi="Garamond"/>
          <w:sz w:val="26"/>
          <w:szCs w:val="26"/>
        </w:rPr>
        <w:t xml:space="preserve">affatto </w:t>
      </w:r>
      <w:r w:rsidR="00463457" w:rsidRPr="00C27AE9">
        <w:rPr>
          <w:rFonts w:ascii="Garamond" w:hAnsi="Garamond"/>
          <w:sz w:val="26"/>
          <w:szCs w:val="26"/>
        </w:rPr>
        <w:t xml:space="preserve">affermare </w:t>
      </w:r>
      <w:r w:rsidRPr="00C27AE9">
        <w:rPr>
          <w:rFonts w:ascii="Garamond" w:hAnsi="Garamond"/>
          <w:sz w:val="26"/>
          <w:szCs w:val="26"/>
        </w:rPr>
        <w:t xml:space="preserve">il principio </w:t>
      </w:r>
      <w:r w:rsidR="006C0171">
        <w:rPr>
          <w:rFonts w:ascii="Garamond" w:hAnsi="Garamond"/>
          <w:sz w:val="26"/>
          <w:szCs w:val="26"/>
        </w:rPr>
        <w:t xml:space="preserve">dell’impermeabilità del canone contrattuale rispetto al </w:t>
      </w:r>
      <w:r w:rsidR="00AC70BC" w:rsidRPr="00C27AE9">
        <w:rPr>
          <w:rFonts w:ascii="Garamond" w:hAnsi="Garamond"/>
          <w:sz w:val="26"/>
          <w:szCs w:val="26"/>
        </w:rPr>
        <w:t>MTR</w:t>
      </w:r>
      <w:r w:rsidR="006C0171">
        <w:rPr>
          <w:rFonts w:ascii="Garamond" w:hAnsi="Garamond"/>
          <w:sz w:val="26"/>
          <w:szCs w:val="26"/>
        </w:rPr>
        <w:t xml:space="preserve">; </w:t>
      </w:r>
      <w:r w:rsidR="00451278" w:rsidRPr="00C27AE9">
        <w:rPr>
          <w:rFonts w:ascii="Garamond" w:hAnsi="Garamond"/>
          <w:sz w:val="26"/>
          <w:szCs w:val="26"/>
        </w:rPr>
        <w:t xml:space="preserve">una siffatta interpretazione vanificherebbe totalmente la ratio legis cui </w:t>
      </w:r>
      <w:r w:rsidRPr="00C27AE9">
        <w:rPr>
          <w:rFonts w:ascii="Garamond" w:hAnsi="Garamond"/>
          <w:sz w:val="26"/>
          <w:szCs w:val="26"/>
        </w:rPr>
        <w:t xml:space="preserve">la regolazione </w:t>
      </w:r>
      <w:r w:rsidR="00451278" w:rsidRPr="00C27AE9">
        <w:rPr>
          <w:rFonts w:ascii="Garamond" w:hAnsi="Garamond"/>
          <w:sz w:val="26"/>
          <w:szCs w:val="26"/>
        </w:rPr>
        <w:t>assolve nella materia dei rifiuti (</w:t>
      </w:r>
      <w:r w:rsidR="00B54E61">
        <w:rPr>
          <w:rFonts w:ascii="Garamond" w:hAnsi="Garamond"/>
          <w:sz w:val="26"/>
          <w:szCs w:val="26"/>
        </w:rPr>
        <w:t xml:space="preserve">e </w:t>
      </w:r>
      <w:r w:rsidR="00451278" w:rsidRPr="00C27AE9">
        <w:rPr>
          <w:rFonts w:ascii="Garamond" w:hAnsi="Garamond"/>
          <w:sz w:val="26"/>
          <w:szCs w:val="26"/>
        </w:rPr>
        <w:t>nelle altre soggette a regolazione), comportandone una sostanziale abrogazione tacita, in palese contrasto con l’art. 1 comma 527 l. n.205/2017</w:t>
      </w:r>
      <w:r w:rsidR="00395BDA" w:rsidRPr="00C27AE9">
        <w:rPr>
          <w:rFonts w:ascii="Garamond" w:hAnsi="Garamond"/>
          <w:sz w:val="26"/>
          <w:szCs w:val="26"/>
        </w:rPr>
        <w:t>.</w:t>
      </w:r>
    </w:p>
    <w:p w14:paraId="139F8FD9" w14:textId="6F7877D3" w:rsidR="00451278" w:rsidRPr="00C27AE9" w:rsidRDefault="00451278" w:rsidP="004C027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Nella pronuncia n. 6466/2025, in realtà, </w:t>
      </w:r>
      <w:r w:rsidR="004C027B" w:rsidRPr="00C27AE9">
        <w:rPr>
          <w:rFonts w:ascii="Garamond" w:hAnsi="Garamond"/>
          <w:sz w:val="26"/>
          <w:szCs w:val="26"/>
        </w:rPr>
        <w:t>il Giudice d’appello</w:t>
      </w:r>
      <w:r w:rsidRPr="00C27AE9">
        <w:rPr>
          <w:rFonts w:ascii="Garamond" w:hAnsi="Garamond"/>
          <w:sz w:val="26"/>
          <w:szCs w:val="26"/>
        </w:rPr>
        <w:t xml:space="preserve"> ha semplicemente confermato una pronuncia d</w:t>
      </w:r>
      <w:r w:rsidR="00B54E61">
        <w:rPr>
          <w:rFonts w:ascii="Garamond" w:hAnsi="Garamond"/>
          <w:sz w:val="26"/>
          <w:szCs w:val="26"/>
        </w:rPr>
        <w:t xml:space="preserve">i primo grado </w:t>
      </w:r>
      <w:r w:rsidRPr="00C27AE9">
        <w:rPr>
          <w:rFonts w:ascii="Garamond" w:hAnsi="Garamond"/>
          <w:sz w:val="26"/>
          <w:szCs w:val="26"/>
        </w:rPr>
        <w:t xml:space="preserve">che aveva rigettato la pretesa del gestore di vedersi riconosciuto un corrispettivo più </w:t>
      </w:r>
      <w:r w:rsidR="00B54E61">
        <w:rPr>
          <w:rFonts w:ascii="Garamond" w:hAnsi="Garamond"/>
          <w:sz w:val="26"/>
          <w:szCs w:val="26"/>
        </w:rPr>
        <w:t xml:space="preserve">elevato </w:t>
      </w:r>
      <w:r w:rsidRPr="00C27AE9">
        <w:rPr>
          <w:rFonts w:ascii="Garamond" w:hAnsi="Garamond"/>
          <w:sz w:val="26"/>
          <w:szCs w:val="26"/>
        </w:rPr>
        <w:t>di quell</w:t>
      </w:r>
      <w:r w:rsidR="00B54E61">
        <w:rPr>
          <w:rFonts w:ascii="Garamond" w:hAnsi="Garamond"/>
          <w:sz w:val="26"/>
          <w:szCs w:val="26"/>
        </w:rPr>
        <w:t>o</w:t>
      </w:r>
      <w:r w:rsidRPr="00C27AE9">
        <w:rPr>
          <w:rFonts w:ascii="Garamond" w:hAnsi="Garamond"/>
          <w:sz w:val="26"/>
          <w:szCs w:val="26"/>
        </w:rPr>
        <w:t xml:space="preserve"> contrattuale di gara, quale quello determinato dall’ETC nel PEF secondo l’MTR-2.</w:t>
      </w:r>
      <w:r w:rsidR="00B54E61">
        <w:rPr>
          <w:rFonts w:ascii="Garamond" w:hAnsi="Garamond"/>
          <w:sz w:val="26"/>
          <w:szCs w:val="26"/>
        </w:rPr>
        <w:t xml:space="preserve"> </w:t>
      </w:r>
      <w:r w:rsidRPr="00C27AE9">
        <w:rPr>
          <w:rFonts w:ascii="Garamond" w:hAnsi="Garamond"/>
          <w:sz w:val="26"/>
          <w:szCs w:val="26"/>
        </w:rPr>
        <w:t xml:space="preserve">Nell’occasione, il </w:t>
      </w:r>
      <w:r w:rsidR="00B54E61">
        <w:rPr>
          <w:rFonts w:ascii="Garamond" w:hAnsi="Garamond"/>
          <w:sz w:val="26"/>
          <w:szCs w:val="26"/>
        </w:rPr>
        <w:t xml:space="preserve">Consiglio di Stato </w:t>
      </w:r>
      <w:r w:rsidRPr="00C27AE9">
        <w:rPr>
          <w:rFonts w:ascii="Garamond" w:hAnsi="Garamond"/>
          <w:sz w:val="26"/>
          <w:szCs w:val="26"/>
        </w:rPr>
        <w:t>ha d</w:t>
      </w:r>
      <w:r w:rsidR="00E666F8" w:rsidRPr="00C27AE9">
        <w:rPr>
          <w:rFonts w:ascii="Garamond" w:hAnsi="Garamond"/>
          <w:sz w:val="26"/>
          <w:szCs w:val="26"/>
        </w:rPr>
        <w:t>unque</w:t>
      </w:r>
      <w:r w:rsidRPr="00C27AE9">
        <w:rPr>
          <w:rFonts w:ascii="Garamond" w:hAnsi="Garamond"/>
          <w:sz w:val="26"/>
          <w:szCs w:val="26"/>
        </w:rPr>
        <w:t xml:space="preserve"> confermato l’indirizzo secondo cui l’eterointegrazione dei contratti da parte della regolazione di Arera può operare solo in “diminuzione” ma non anche “in </w:t>
      </w:r>
      <w:r w:rsidRPr="00C27AE9">
        <w:rPr>
          <w:rFonts w:ascii="Garamond" w:hAnsi="Garamond"/>
          <w:sz w:val="26"/>
          <w:szCs w:val="26"/>
        </w:rPr>
        <w:lastRenderedPageBreak/>
        <w:t>aumento”.</w:t>
      </w:r>
    </w:p>
    <w:p w14:paraId="6B5E380B" w14:textId="60937BC5" w:rsidR="00451278" w:rsidRPr="00C27AE9" w:rsidRDefault="00451278" w:rsidP="004C027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 Afferma infatti, la Quarta Sezione, che </w:t>
      </w:r>
      <w:r w:rsidR="00C72867" w:rsidRPr="00C27AE9">
        <w:rPr>
          <w:rFonts w:ascii="Garamond" w:hAnsi="Garamond"/>
          <w:sz w:val="26"/>
          <w:szCs w:val="26"/>
        </w:rPr>
        <w:t>«</w:t>
      </w:r>
      <w:r w:rsidRPr="00C27AE9">
        <w:rPr>
          <w:rFonts w:ascii="Garamond" w:hAnsi="Garamond"/>
          <w:i/>
          <w:iCs/>
          <w:sz w:val="26"/>
          <w:szCs w:val="26"/>
        </w:rPr>
        <w:t>sotto il profilo logico e teleologico, occorre (…) notare che il sistema del MTR è volto istituzionalmente all’efficiente contenimento dei costi, non ad una particolare remunerazione del capitale privato, remunerazione che anzi, allargando la visuale a tutte le tariffazioni che seguono il metodo del price cap, è tendenzialmente avversata dall’ordinamento. (…) Di conseguenza, non è affatto assurdo, né illegittimo, che a fronte di un risultato migliore ottenuto mediante la gara concorrenziale, il Comune faccia proprio il relativo vantaggio così ottenuto e non lo riversi puramente e semplicemente all’operatore privato, in accordo con quanto prevedono le clausole delle delibere ARERA (…)</w:t>
      </w:r>
      <w:r w:rsidR="00C72867" w:rsidRPr="00C27AE9">
        <w:rPr>
          <w:rFonts w:ascii="Garamond" w:hAnsi="Garamond"/>
          <w:sz w:val="26"/>
          <w:szCs w:val="26"/>
        </w:rPr>
        <w:t>»</w:t>
      </w:r>
      <w:r w:rsidRPr="00C27AE9">
        <w:rPr>
          <w:rFonts w:ascii="Garamond" w:hAnsi="Garamond"/>
          <w:sz w:val="26"/>
          <w:szCs w:val="26"/>
        </w:rPr>
        <w:t>.</w:t>
      </w:r>
    </w:p>
    <w:p w14:paraId="1898F163" w14:textId="3373D40E" w:rsidR="00451278" w:rsidRPr="00C27AE9" w:rsidRDefault="00451278" w:rsidP="004C027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E’ dunque in quest’ottica di preservazione delle economie scaturite dalla gara e dal confronto competitivo che il Giudice di appello ha </w:t>
      </w:r>
      <w:r w:rsidR="006C0171">
        <w:rPr>
          <w:rFonts w:ascii="Garamond" w:hAnsi="Garamond"/>
          <w:sz w:val="26"/>
          <w:szCs w:val="26"/>
        </w:rPr>
        <w:t xml:space="preserve">condivisibilmente </w:t>
      </w:r>
      <w:r w:rsidRPr="00C27AE9">
        <w:rPr>
          <w:rFonts w:ascii="Garamond" w:hAnsi="Garamond"/>
          <w:sz w:val="26"/>
          <w:szCs w:val="26"/>
        </w:rPr>
        <w:t xml:space="preserve">affermato che </w:t>
      </w:r>
      <w:r w:rsidR="00C72867" w:rsidRPr="00C27AE9">
        <w:rPr>
          <w:rFonts w:ascii="Garamond" w:hAnsi="Garamond"/>
          <w:sz w:val="26"/>
          <w:szCs w:val="26"/>
        </w:rPr>
        <w:t xml:space="preserve">in quel caso </w:t>
      </w:r>
      <w:r w:rsidRPr="00C27AE9">
        <w:rPr>
          <w:rFonts w:ascii="Garamond" w:hAnsi="Garamond"/>
          <w:sz w:val="26"/>
          <w:szCs w:val="26"/>
        </w:rPr>
        <w:t>l’MTR non deve determinare il corrispettivo del servizio, ma limitarsi unicamente a determinare il valore massimo de</w:t>
      </w:r>
      <w:r w:rsidR="00C72867" w:rsidRPr="00C27AE9">
        <w:rPr>
          <w:rFonts w:ascii="Garamond" w:hAnsi="Garamond"/>
          <w:sz w:val="26"/>
          <w:szCs w:val="26"/>
        </w:rPr>
        <w:t xml:space="preserve">i costi efficienti ricopribili tramite </w:t>
      </w:r>
      <w:r w:rsidRPr="00C27AE9">
        <w:rPr>
          <w:rFonts w:ascii="Garamond" w:hAnsi="Garamond"/>
          <w:sz w:val="26"/>
          <w:szCs w:val="26"/>
        </w:rPr>
        <w:t>TARI.</w:t>
      </w:r>
    </w:p>
    <w:p w14:paraId="3E713250" w14:textId="0961B35E" w:rsidR="00451278" w:rsidRPr="00C27AE9" w:rsidRDefault="00451278" w:rsidP="004C027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Non può </w:t>
      </w:r>
      <w:r w:rsidR="00037765">
        <w:rPr>
          <w:rFonts w:ascii="Garamond" w:hAnsi="Garamond"/>
          <w:sz w:val="26"/>
          <w:szCs w:val="26"/>
        </w:rPr>
        <w:t>desumers</w:t>
      </w:r>
      <w:r w:rsidR="004C027B" w:rsidRPr="00C27AE9">
        <w:rPr>
          <w:rFonts w:ascii="Garamond" w:hAnsi="Garamond"/>
          <w:sz w:val="26"/>
          <w:szCs w:val="26"/>
        </w:rPr>
        <w:t>i</w:t>
      </w:r>
      <w:r w:rsidR="00037765">
        <w:rPr>
          <w:rFonts w:ascii="Garamond" w:hAnsi="Garamond"/>
          <w:sz w:val="26"/>
          <w:szCs w:val="26"/>
        </w:rPr>
        <w:t>,</w:t>
      </w:r>
      <w:r w:rsidR="004C027B" w:rsidRPr="00C27AE9">
        <w:rPr>
          <w:rFonts w:ascii="Garamond" w:hAnsi="Garamond"/>
          <w:sz w:val="26"/>
          <w:szCs w:val="26"/>
        </w:rPr>
        <w:t xml:space="preserve"> pertanto</w:t>
      </w:r>
      <w:r w:rsidR="00037765">
        <w:rPr>
          <w:rFonts w:ascii="Garamond" w:hAnsi="Garamond"/>
          <w:sz w:val="26"/>
          <w:szCs w:val="26"/>
        </w:rPr>
        <w:t>,</w:t>
      </w:r>
      <w:r w:rsidR="004C027B" w:rsidRPr="00C27AE9">
        <w:rPr>
          <w:rFonts w:ascii="Garamond" w:hAnsi="Garamond"/>
          <w:sz w:val="26"/>
          <w:szCs w:val="26"/>
        </w:rPr>
        <w:t xml:space="preserve"> da tale pronuncia</w:t>
      </w:r>
      <w:r w:rsidR="00037765">
        <w:rPr>
          <w:rFonts w:ascii="Garamond" w:hAnsi="Garamond"/>
          <w:sz w:val="26"/>
          <w:szCs w:val="26"/>
        </w:rPr>
        <w:t>,</w:t>
      </w:r>
      <w:r w:rsidR="004C027B" w:rsidRPr="00C27AE9">
        <w:rPr>
          <w:rFonts w:ascii="Garamond" w:hAnsi="Garamond"/>
          <w:sz w:val="26"/>
          <w:szCs w:val="26"/>
        </w:rPr>
        <w:t xml:space="preserve"> l’intento </w:t>
      </w:r>
      <w:r w:rsidRPr="00C27AE9">
        <w:rPr>
          <w:rFonts w:ascii="Garamond" w:hAnsi="Garamond"/>
          <w:sz w:val="26"/>
          <w:szCs w:val="26"/>
        </w:rPr>
        <w:t>di collocare su fronti contrapposti la disciplina dei contratti pubblici e quella della regolazione</w:t>
      </w:r>
      <w:r w:rsidR="00395BDA" w:rsidRPr="00C27AE9">
        <w:rPr>
          <w:rFonts w:ascii="Garamond" w:hAnsi="Garamond"/>
          <w:sz w:val="26"/>
          <w:szCs w:val="26"/>
        </w:rPr>
        <w:t>, sancendo una pretesa impermeabilità della prima rispetto alla seconda</w:t>
      </w:r>
      <w:r w:rsidRPr="00C27AE9">
        <w:rPr>
          <w:rFonts w:ascii="Garamond" w:hAnsi="Garamond"/>
          <w:sz w:val="26"/>
          <w:szCs w:val="26"/>
        </w:rPr>
        <w:t>.</w:t>
      </w:r>
    </w:p>
    <w:p w14:paraId="17A40E9E" w14:textId="44580EEE" w:rsidR="00451278" w:rsidRPr="00C27AE9" w:rsidRDefault="00451278" w:rsidP="004C027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Nell’ottica del sistema, </w:t>
      </w:r>
      <w:r w:rsidR="00037765">
        <w:rPr>
          <w:rFonts w:ascii="Garamond" w:hAnsi="Garamond"/>
          <w:sz w:val="26"/>
          <w:szCs w:val="26"/>
        </w:rPr>
        <w:t>del resto</w:t>
      </w:r>
      <w:r w:rsidRPr="00C27AE9">
        <w:rPr>
          <w:rFonts w:ascii="Garamond" w:hAnsi="Garamond"/>
          <w:sz w:val="26"/>
          <w:szCs w:val="26"/>
        </w:rPr>
        <w:t>, corrispettivo del servizio ed entrat</w:t>
      </w:r>
      <w:r w:rsidR="00F44B89" w:rsidRPr="00C27AE9">
        <w:rPr>
          <w:rFonts w:ascii="Garamond" w:hAnsi="Garamond"/>
          <w:sz w:val="26"/>
          <w:szCs w:val="26"/>
        </w:rPr>
        <w:t>e</w:t>
      </w:r>
      <w:r w:rsidRPr="00C27AE9">
        <w:rPr>
          <w:rFonts w:ascii="Garamond" w:hAnsi="Garamond"/>
          <w:sz w:val="26"/>
          <w:szCs w:val="26"/>
        </w:rPr>
        <w:t xml:space="preserve"> tariffaria TARI sono due </w:t>
      </w:r>
      <w:r w:rsidR="00E666F8" w:rsidRPr="00C27AE9">
        <w:rPr>
          <w:rFonts w:ascii="Garamond" w:hAnsi="Garamond"/>
          <w:sz w:val="26"/>
          <w:szCs w:val="26"/>
        </w:rPr>
        <w:t xml:space="preserve">risvolti </w:t>
      </w:r>
      <w:r w:rsidRPr="00C27AE9">
        <w:rPr>
          <w:rFonts w:ascii="Garamond" w:hAnsi="Garamond"/>
          <w:sz w:val="26"/>
          <w:szCs w:val="26"/>
        </w:rPr>
        <w:t>della stessa medaglia, rappresentata dall’attuazione del noto principio della copertura integrale dei costi prevista dalla l.n. 14</w:t>
      </w:r>
      <w:r w:rsidR="00C72867" w:rsidRPr="00C27AE9">
        <w:rPr>
          <w:rFonts w:ascii="Garamond" w:hAnsi="Garamond"/>
          <w:sz w:val="26"/>
          <w:szCs w:val="26"/>
        </w:rPr>
        <w:t>7</w:t>
      </w:r>
      <w:r w:rsidR="004C027B" w:rsidRPr="00C27AE9">
        <w:rPr>
          <w:rFonts w:ascii="Garamond" w:hAnsi="Garamond"/>
          <w:sz w:val="26"/>
          <w:szCs w:val="26"/>
        </w:rPr>
        <w:t>/2013</w:t>
      </w:r>
      <w:r w:rsidR="00F44B89" w:rsidRPr="00C27AE9">
        <w:rPr>
          <w:rFonts w:ascii="Garamond" w:hAnsi="Garamond"/>
          <w:sz w:val="26"/>
          <w:szCs w:val="26"/>
        </w:rPr>
        <w:t xml:space="preserve"> (cd. full recovery cost)</w:t>
      </w:r>
      <w:r w:rsidR="004C027B" w:rsidRPr="00C27AE9">
        <w:rPr>
          <w:rFonts w:ascii="Garamond" w:hAnsi="Garamond"/>
          <w:sz w:val="26"/>
          <w:szCs w:val="26"/>
        </w:rPr>
        <w:t>.</w:t>
      </w:r>
    </w:p>
    <w:p w14:paraId="0BD177ED" w14:textId="4E376A41" w:rsidR="00451278" w:rsidRPr="00C27AE9" w:rsidRDefault="00451278" w:rsidP="004C027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E ciò è ben compreso dallo stesso giudice d’appello nella citata decisione n. 6466/2025, dove si chiarisce che tramite la regolazione tarifaria si </w:t>
      </w:r>
      <w:r w:rsidR="00B34F1D" w:rsidRPr="00C27AE9">
        <w:rPr>
          <w:rFonts w:ascii="Garamond" w:hAnsi="Garamond"/>
          <w:sz w:val="26"/>
          <w:szCs w:val="26"/>
        </w:rPr>
        <w:t>«</w:t>
      </w:r>
      <w:r w:rsidRPr="00C27AE9">
        <w:rPr>
          <w:rFonts w:ascii="Garamond" w:hAnsi="Garamond"/>
          <w:i/>
          <w:iCs/>
          <w:sz w:val="26"/>
          <w:szCs w:val="26"/>
        </w:rPr>
        <w:t>garan(isce) al gestore del servizio un ammontare predeterminato massimo di ricavi, pari al massimo importo di TARI esigibile, che comprende, con sufficiente approssimazione, i costi del servizio vero e proprio, i costi di uso del capitale, la remunerazione del capitale stesso e gli ammortamenti. Si tratta però di costi definibili come costi standard, nel senso che al gestore non è consentito di traslare puramente e semplicemente i costi di volta in volta da lui in concreto sopportati sull’utenza: al recupero di questi costi è imposto un limite, allo scopo di spingere verso una maggiore efficienza, con un meccanismo noto in economia come price cap, comune del resto ad altri servizi pubblici corrispondenti a monopoli naturali, come la distribuzione del gas naturale e la distribuzione dell’acqua potabile</w:t>
      </w:r>
      <w:r w:rsidR="00B34F1D" w:rsidRPr="00C27AE9">
        <w:rPr>
          <w:rFonts w:ascii="Garamond" w:hAnsi="Garamond"/>
          <w:sz w:val="26"/>
          <w:szCs w:val="26"/>
        </w:rPr>
        <w:t>»</w:t>
      </w:r>
      <w:r w:rsidR="004C027B" w:rsidRPr="00C27AE9">
        <w:rPr>
          <w:rStyle w:val="Rimandonotaapidipagina"/>
          <w:rFonts w:ascii="Garamond" w:hAnsi="Garamond"/>
          <w:sz w:val="26"/>
          <w:szCs w:val="26"/>
        </w:rPr>
        <w:footnoteReference w:id="55"/>
      </w:r>
      <w:r w:rsidR="004C027B" w:rsidRPr="00C27AE9">
        <w:rPr>
          <w:rFonts w:ascii="Garamond" w:hAnsi="Garamond"/>
          <w:sz w:val="26"/>
          <w:szCs w:val="26"/>
        </w:rPr>
        <w:t>.</w:t>
      </w:r>
    </w:p>
    <w:p w14:paraId="7DF27F3C" w14:textId="0AC88E57" w:rsidR="00451278" w:rsidRPr="00C27AE9" w:rsidRDefault="00451278" w:rsidP="004C027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Conclude quindi</w:t>
      </w:r>
      <w:r w:rsidR="00F44B89" w:rsidRPr="00C27AE9">
        <w:rPr>
          <w:rFonts w:ascii="Garamond" w:hAnsi="Garamond"/>
          <w:sz w:val="26"/>
          <w:szCs w:val="26"/>
        </w:rPr>
        <w:t>,</w:t>
      </w:r>
      <w:r w:rsidRPr="00C27AE9">
        <w:rPr>
          <w:rFonts w:ascii="Garamond" w:hAnsi="Garamond"/>
          <w:sz w:val="26"/>
          <w:szCs w:val="26"/>
        </w:rPr>
        <w:t xml:space="preserve"> l</w:t>
      </w:r>
      <w:r w:rsidR="004C027B" w:rsidRPr="00C27AE9">
        <w:rPr>
          <w:rFonts w:ascii="Garamond" w:hAnsi="Garamond"/>
          <w:sz w:val="26"/>
          <w:szCs w:val="26"/>
        </w:rPr>
        <w:t xml:space="preserve">a </w:t>
      </w:r>
      <w:r w:rsidR="00F44B89" w:rsidRPr="00C27AE9">
        <w:rPr>
          <w:rFonts w:ascii="Garamond" w:hAnsi="Garamond"/>
          <w:sz w:val="26"/>
          <w:szCs w:val="26"/>
        </w:rPr>
        <w:t>Quarta</w:t>
      </w:r>
      <w:r w:rsidRPr="00C27AE9">
        <w:rPr>
          <w:rFonts w:ascii="Garamond" w:hAnsi="Garamond"/>
          <w:sz w:val="26"/>
          <w:szCs w:val="26"/>
        </w:rPr>
        <w:t xml:space="preserve"> Sezione, affermando che </w:t>
      </w:r>
      <w:r w:rsidR="00C72867" w:rsidRPr="00C27AE9">
        <w:rPr>
          <w:rFonts w:ascii="Garamond" w:hAnsi="Garamond"/>
          <w:sz w:val="26"/>
          <w:szCs w:val="26"/>
        </w:rPr>
        <w:t>«</w:t>
      </w:r>
      <w:r w:rsidRPr="00C27AE9">
        <w:rPr>
          <w:rFonts w:ascii="Garamond" w:hAnsi="Garamond"/>
          <w:i/>
          <w:iCs/>
          <w:sz w:val="26"/>
          <w:szCs w:val="26"/>
        </w:rPr>
        <w:t>le delibere ARERA fissano effettivamente i prezzi massimi sul presupposto che essi garantiscano l’equilibrio finanziario della gestione, ma non significano affatto che ogni prezzo fissato in diminuzione non garantisca l’equilibrio stesso, perché altrimenti non si parlerebbe di prezzi massimi, ma piuttosto di prezzi imposti, né (…) in questo meccanismo si riscontra alcuna illegittimità</w:t>
      </w:r>
      <w:r w:rsidR="00C72867" w:rsidRPr="00C27AE9">
        <w:rPr>
          <w:rFonts w:ascii="Garamond" w:hAnsi="Garamond"/>
          <w:sz w:val="26"/>
          <w:szCs w:val="26"/>
        </w:rPr>
        <w:t>»</w:t>
      </w:r>
      <w:r w:rsidRPr="00C27AE9">
        <w:rPr>
          <w:rFonts w:ascii="Garamond" w:hAnsi="Garamond"/>
          <w:sz w:val="26"/>
          <w:szCs w:val="26"/>
        </w:rPr>
        <w:t>.</w:t>
      </w:r>
    </w:p>
    <w:p w14:paraId="5B080D37" w14:textId="39905F20" w:rsidR="00451278" w:rsidRPr="00C27AE9" w:rsidRDefault="00451278" w:rsidP="004C027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Da </w:t>
      </w:r>
      <w:r w:rsidR="004C027B" w:rsidRPr="00C27AE9">
        <w:rPr>
          <w:rFonts w:ascii="Garamond" w:hAnsi="Garamond"/>
          <w:sz w:val="26"/>
          <w:szCs w:val="26"/>
        </w:rPr>
        <w:t xml:space="preserve">tali considerazioni </w:t>
      </w:r>
      <w:r w:rsidRPr="00C27AE9">
        <w:rPr>
          <w:rFonts w:ascii="Garamond" w:hAnsi="Garamond"/>
          <w:sz w:val="26"/>
          <w:szCs w:val="26"/>
        </w:rPr>
        <w:t xml:space="preserve">si evince </w:t>
      </w:r>
      <w:r w:rsidR="004C027B" w:rsidRPr="00C27AE9">
        <w:rPr>
          <w:rFonts w:ascii="Garamond" w:hAnsi="Garamond"/>
          <w:sz w:val="26"/>
          <w:szCs w:val="26"/>
        </w:rPr>
        <w:t xml:space="preserve">in buona sostanza </w:t>
      </w:r>
      <w:r w:rsidRPr="00C27AE9">
        <w:rPr>
          <w:rFonts w:ascii="Garamond" w:hAnsi="Garamond"/>
          <w:sz w:val="26"/>
          <w:szCs w:val="26"/>
        </w:rPr>
        <w:t>che la regolazione incide eccome sul corrispettivo spettante al gestore del servizio, esattamente allo stesso modo in cui condiziona la determinazione delle entrate tariffarie del servizio, in ossequio al principio della copertura integrale dei costi del servizio medesimo.</w:t>
      </w:r>
    </w:p>
    <w:p w14:paraId="5EEFF0E3" w14:textId="77777777" w:rsidR="00451278" w:rsidRPr="00C27AE9" w:rsidRDefault="00451278" w:rsidP="004C027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Inequivocabile, del resto, in tal senso, è la disposizione di cui all’art. 2 co. 17 l.n. 481/1995, secondo cui “</w:t>
      </w:r>
      <w:r w:rsidRPr="00C27AE9">
        <w:rPr>
          <w:rFonts w:ascii="Garamond" w:hAnsi="Garamond"/>
          <w:i/>
          <w:iCs/>
          <w:sz w:val="26"/>
          <w:szCs w:val="26"/>
        </w:rPr>
        <w:t>Ai fini della presente legge si intendono per tariffe i prezzi massimi unitari dei servizi al netto delle imposte</w:t>
      </w:r>
      <w:r w:rsidRPr="00C27AE9">
        <w:rPr>
          <w:rFonts w:ascii="Garamond" w:hAnsi="Garamond"/>
          <w:sz w:val="26"/>
          <w:szCs w:val="26"/>
        </w:rPr>
        <w:t>”.</w:t>
      </w:r>
    </w:p>
    <w:p w14:paraId="35F9229C" w14:textId="6C0CF0F5" w:rsidR="00451278" w:rsidRPr="00C27AE9" w:rsidRDefault="00451278" w:rsidP="004C027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Ma ciò non vuol dire che la disciplina regolatoria non si faccia carico di preservare gli esiti della procedura di gara</w:t>
      </w:r>
      <w:r w:rsidR="00395BDA" w:rsidRPr="00C27AE9">
        <w:rPr>
          <w:rFonts w:ascii="Garamond" w:hAnsi="Garamond"/>
          <w:sz w:val="26"/>
          <w:szCs w:val="26"/>
        </w:rPr>
        <w:t xml:space="preserve"> e i presupposti principi concorrenziali</w:t>
      </w:r>
      <w:r w:rsidRPr="00C27AE9">
        <w:rPr>
          <w:rFonts w:ascii="Garamond" w:hAnsi="Garamond"/>
          <w:sz w:val="26"/>
          <w:szCs w:val="26"/>
        </w:rPr>
        <w:t xml:space="preserve">. Sono proprio tali esiti a costituire il punto di partenza per l’applicazione dei successivi aggiornamenti del corrispettivo in sede di validazione dei PEF ex MTR (cfr. ad es. la determina Arera n. 1 del 6.11.2023 sugli avvicendamenti gestionali e la stessa Del. n. 443/2019 – MTR 1, in </w:t>
      </w:r>
      <w:r w:rsidRPr="00C27AE9">
        <w:rPr>
          <w:rFonts w:ascii="Garamond" w:hAnsi="Garamond"/>
          <w:sz w:val="26"/>
          <w:szCs w:val="26"/>
        </w:rPr>
        <w:lastRenderedPageBreak/>
        <w:t>cui espressamente si rappresenta l’esigenza di consentire all’ente territorialmente competente “</w:t>
      </w:r>
      <w:r w:rsidRPr="00C27AE9">
        <w:rPr>
          <w:rFonts w:ascii="Garamond" w:hAnsi="Garamond"/>
          <w:i/>
          <w:iCs/>
          <w:sz w:val="26"/>
          <w:szCs w:val="26"/>
        </w:rPr>
        <w:t>di preservare eventuali efficienze nei costi derivanti dalla realizzazione di procedure concorsuali</w:t>
      </w:r>
      <w:r w:rsidRPr="00C27AE9">
        <w:rPr>
          <w:rFonts w:ascii="Garamond" w:hAnsi="Garamond"/>
          <w:sz w:val="26"/>
          <w:szCs w:val="26"/>
        </w:rPr>
        <w:t>”).</w:t>
      </w:r>
    </w:p>
    <w:p w14:paraId="35105A5A" w14:textId="728B221E" w:rsidR="00C705CC" w:rsidRPr="00C27AE9" w:rsidRDefault="00C705CC" w:rsidP="004C027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Il principio è oggi ribadito in modo estremamente chiaro </w:t>
      </w:r>
      <w:r w:rsidR="00155906">
        <w:rPr>
          <w:rFonts w:ascii="Garamond" w:hAnsi="Garamond"/>
          <w:sz w:val="26"/>
          <w:szCs w:val="26"/>
        </w:rPr>
        <w:t xml:space="preserve">ed in termini generali </w:t>
      </w:r>
      <w:r w:rsidR="008B3067">
        <w:rPr>
          <w:rFonts w:ascii="Garamond" w:hAnsi="Garamond"/>
          <w:sz w:val="26"/>
          <w:szCs w:val="26"/>
        </w:rPr>
        <w:t>d</w:t>
      </w:r>
      <w:r w:rsidRPr="00C27AE9">
        <w:rPr>
          <w:rFonts w:ascii="Garamond" w:hAnsi="Garamond"/>
          <w:sz w:val="26"/>
          <w:szCs w:val="26"/>
        </w:rPr>
        <w:t xml:space="preserve">all’art. 4.5 della Delibera Area n. 397/2025 che ha introdotto il MTR-3. </w:t>
      </w:r>
    </w:p>
    <w:p w14:paraId="6445C5BC" w14:textId="77777777" w:rsidR="00F44B89" w:rsidRPr="00C27AE9" w:rsidRDefault="00F44B89" w:rsidP="004C027B">
      <w:pPr>
        <w:pStyle w:val="Rientrocorpodeltesto"/>
        <w:widowControl w:val="0"/>
        <w:spacing w:after="0"/>
        <w:ind w:left="0" w:firstLine="454"/>
        <w:jc w:val="both"/>
        <w:rPr>
          <w:rFonts w:ascii="Garamond" w:hAnsi="Garamond"/>
          <w:sz w:val="26"/>
          <w:szCs w:val="26"/>
        </w:rPr>
      </w:pPr>
    </w:p>
    <w:p w14:paraId="2D1522CA" w14:textId="77777777" w:rsidR="00721DCB" w:rsidRDefault="006C0171" w:rsidP="00721DCB">
      <w:pPr>
        <w:pStyle w:val="Rientrocorpodeltesto"/>
        <w:widowControl w:val="0"/>
        <w:spacing w:after="0"/>
        <w:ind w:left="0" w:firstLine="454"/>
        <w:jc w:val="both"/>
        <w:rPr>
          <w:rFonts w:ascii="Garamond" w:hAnsi="Garamond"/>
          <w:b/>
          <w:bCs/>
          <w:sz w:val="26"/>
          <w:szCs w:val="26"/>
        </w:rPr>
      </w:pPr>
      <w:r>
        <w:rPr>
          <w:rFonts w:ascii="Garamond" w:hAnsi="Garamond"/>
          <w:b/>
          <w:bCs/>
          <w:sz w:val="26"/>
          <w:szCs w:val="26"/>
        </w:rPr>
        <w:t>4</w:t>
      </w:r>
      <w:r w:rsidR="00F44B89" w:rsidRPr="00C27AE9">
        <w:rPr>
          <w:rFonts w:ascii="Garamond" w:hAnsi="Garamond"/>
          <w:b/>
          <w:bCs/>
          <w:sz w:val="26"/>
          <w:szCs w:val="26"/>
        </w:rPr>
        <w:t>. L’adeguamento del canone contrattuale e le clausole di revisione dei prezzi</w:t>
      </w:r>
    </w:p>
    <w:p w14:paraId="3E812C14" w14:textId="77777777" w:rsidR="00721DCB" w:rsidRDefault="00721DCB" w:rsidP="00721DCB">
      <w:pPr>
        <w:pStyle w:val="Rientrocorpodeltesto"/>
        <w:widowControl w:val="0"/>
        <w:spacing w:after="0"/>
        <w:ind w:left="0" w:firstLine="454"/>
        <w:jc w:val="both"/>
        <w:rPr>
          <w:rFonts w:ascii="Garamond" w:hAnsi="Garamond"/>
          <w:b/>
          <w:bCs/>
          <w:sz w:val="26"/>
          <w:szCs w:val="26"/>
        </w:rPr>
      </w:pPr>
    </w:p>
    <w:p w14:paraId="1E12B5E3" w14:textId="77777777" w:rsidR="00133BBD" w:rsidRDefault="002D33B1" w:rsidP="00721DCB">
      <w:pPr>
        <w:pStyle w:val="Rientrocorpodeltesto"/>
        <w:widowControl w:val="0"/>
        <w:spacing w:after="0"/>
        <w:ind w:left="0" w:firstLine="454"/>
        <w:jc w:val="both"/>
        <w:rPr>
          <w:rFonts w:ascii="Garamond" w:hAnsi="Garamond"/>
          <w:sz w:val="26"/>
          <w:szCs w:val="26"/>
        </w:rPr>
      </w:pPr>
      <w:r>
        <w:rPr>
          <w:rFonts w:ascii="Garamond" w:hAnsi="Garamond"/>
          <w:sz w:val="26"/>
          <w:szCs w:val="26"/>
        </w:rPr>
        <w:t>L’introduzione d</w:t>
      </w:r>
      <w:r w:rsidR="00133BBD">
        <w:rPr>
          <w:rFonts w:ascii="Garamond" w:hAnsi="Garamond"/>
          <w:sz w:val="26"/>
          <w:szCs w:val="26"/>
        </w:rPr>
        <w:t>el MTR e con esso del meccanismo di adeguamento periodico</w:t>
      </w:r>
      <w:r w:rsidR="00133BBD" w:rsidRPr="00133BBD">
        <w:rPr>
          <w:rFonts w:ascii="Garamond" w:hAnsi="Garamond"/>
          <w:sz w:val="26"/>
          <w:szCs w:val="26"/>
        </w:rPr>
        <w:t xml:space="preserve"> </w:t>
      </w:r>
      <w:r w:rsidR="00133BBD">
        <w:rPr>
          <w:rFonts w:ascii="Garamond" w:hAnsi="Garamond"/>
          <w:sz w:val="26"/>
          <w:szCs w:val="26"/>
        </w:rPr>
        <w:t xml:space="preserve">del canone (con cadenza biennale) in sede di validazione del PEF ha fatto sorgere il quesito della sua compatibilità con le clausole di revisione periodica contenute nei contratti, tradizionalmente agganciate alle variazioni dell’indice ISTAT. </w:t>
      </w:r>
    </w:p>
    <w:p w14:paraId="1C4D49C4" w14:textId="35BE4962" w:rsidR="00E65659" w:rsidRDefault="00E65659" w:rsidP="00721DCB">
      <w:pPr>
        <w:pStyle w:val="Rientrocorpodeltesto"/>
        <w:widowControl w:val="0"/>
        <w:spacing w:after="0"/>
        <w:ind w:left="0" w:firstLine="454"/>
        <w:jc w:val="both"/>
        <w:rPr>
          <w:rFonts w:ascii="Garamond" w:hAnsi="Garamond"/>
          <w:sz w:val="26"/>
          <w:szCs w:val="26"/>
        </w:rPr>
      </w:pPr>
      <w:r>
        <w:rPr>
          <w:rFonts w:ascii="Garamond" w:hAnsi="Garamond"/>
          <w:sz w:val="26"/>
          <w:szCs w:val="26"/>
        </w:rPr>
        <w:t>Entrambi i meccanismi di aggiornamento del canone, infatti, rispondono alla medesima finalità di attualizzazione del corrispettivo contrattuale nei contratti di durata.</w:t>
      </w:r>
    </w:p>
    <w:p w14:paraId="715C656B" w14:textId="32B45EDF" w:rsidR="00867763" w:rsidRPr="00721DCB" w:rsidRDefault="00133BBD" w:rsidP="00721DCB">
      <w:pPr>
        <w:pStyle w:val="Rientrocorpodeltesto"/>
        <w:widowControl w:val="0"/>
        <w:spacing w:after="0"/>
        <w:ind w:left="0" w:firstLine="454"/>
        <w:jc w:val="both"/>
        <w:rPr>
          <w:rFonts w:ascii="Garamond" w:hAnsi="Garamond"/>
          <w:b/>
          <w:bCs/>
          <w:sz w:val="26"/>
          <w:szCs w:val="26"/>
        </w:rPr>
      </w:pPr>
      <w:r>
        <w:rPr>
          <w:rFonts w:ascii="Garamond" w:hAnsi="Garamond"/>
          <w:sz w:val="26"/>
          <w:szCs w:val="26"/>
        </w:rPr>
        <w:t xml:space="preserve">La giurisprudenza ha al riguardo affermato la prevalenza del meccanismo regolatorio di adeguamento </w:t>
      </w:r>
      <w:r w:rsidR="001777F7">
        <w:rPr>
          <w:rFonts w:ascii="Garamond" w:hAnsi="Garamond"/>
          <w:sz w:val="26"/>
          <w:szCs w:val="26"/>
        </w:rPr>
        <w:t xml:space="preserve">del corrispettivo tramite aggiornamento del PEF, osservando </w:t>
      </w:r>
      <w:r>
        <w:rPr>
          <w:rFonts w:ascii="Garamond" w:hAnsi="Garamond"/>
          <w:sz w:val="26"/>
          <w:szCs w:val="26"/>
        </w:rPr>
        <w:t>i</w:t>
      </w:r>
      <w:r w:rsidR="001777F7">
        <w:rPr>
          <w:rFonts w:ascii="Garamond" w:hAnsi="Garamond"/>
          <w:sz w:val="26"/>
          <w:szCs w:val="26"/>
        </w:rPr>
        <w:t>n</w:t>
      </w:r>
      <w:r>
        <w:rPr>
          <w:rFonts w:ascii="Garamond" w:hAnsi="Garamond"/>
          <w:sz w:val="26"/>
          <w:szCs w:val="26"/>
        </w:rPr>
        <w:t xml:space="preserve"> </w:t>
      </w:r>
      <w:r w:rsidR="001777F7">
        <w:rPr>
          <w:rFonts w:ascii="Garamond" w:hAnsi="Garamond"/>
          <w:sz w:val="26"/>
          <w:szCs w:val="26"/>
        </w:rPr>
        <w:t xml:space="preserve">proposito </w:t>
      </w:r>
      <w:r w:rsidR="00867763" w:rsidRPr="00867763">
        <w:rPr>
          <w:rFonts w:ascii="Garamond" w:hAnsi="Garamond"/>
          <w:sz w:val="26"/>
          <w:szCs w:val="26"/>
        </w:rPr>
        <w:t xml:space="preserve">che </w:t>
      </w:r>
      <w:r w:rsidR="001777F7" w:rsidRPr="00C27AE9">
        <w:rPr>
          <w:rFonts w:ascii="Garamond" w:hAnsi="Garamond"/>
          <w:sz w:val="26"/>
          <w:szCs w:val="26"/>
        </w:rPr>
        <w:t>«</w:t>
      </w:r>
      <w:r w:rsidR="00867763" w:rsidRPr="001777F7">
        <w:rPr>
          <w:rFonts w:ascii="Garamond" w:hAnsi="Garamond"/>
          <w:i/>
          <w:iCs/>
          <w:sz w:val="26"/>
          <w:szCs w:val="26"/>
        </w:rPr>
        <w:t>la regolazione introdotta dall’Autorità si basa sul criterio del riconoscimento dei costi efficienti e disdegna modalità di adeguamento automatico della tariffa, non ancorate all’applicazione dei criteri regolatori, anche per quanto attiene alla possibile incidenza delle variazioni dei costi nel tempo; ciò ne determina l’ontologica incompatibilità con il sistema revisionale pregresso, che era invece ancorato alla rilevazione delle variazioni delle componenti di costo a livello statistico o contrattuale</w:t>
      </w:r>
      <w:r w:rsidR="001777F7" w:rsidRPr="00C27AE9">
        <w:rPr>
          <w:rFonts w:ascii="Garamond" w:hAnsi="Garamond"/>
          <w:sz w:val="26"/>
          <w:szCs w:val="26"/>
        </w:rPr>
        <w:t>»</w:t>
      </w:r>
      <w:r w:rsidR="001777F7">
        <w:rPr>
          <w:rStyle w:val="Rimandonotaapidipagina"/>
          <w:rFonts w:ascii="Garamond" w:hAnsi="Garamond"/>
          <w:sz w:val="26"/>
          <w:szCs w:val="26"/>
        </w:rPr>
        <w:footnoteReference w:id="56"/>
      </w:r>
      <w:r w:rsidR="00867763" w:rsidRPr="00867763">
        <w:rPr>
          <w:rFonts w:ascii="Garamond" w:hAnsi="Garamond"/>
          <w:sz w:val="26"/>
          <w:szCs w:val="26"/>
        </w:rPr>
        <w:t>.</w:t>
      </w:r>
    </w:p>
    <w:p w14:paraId="5F366B11" w14:textId="77777777" w:rsidR="001777F7" w:rsidRDefault="00867763" w:rsidP="001777F7">
      <w:pPr>
        <w:pStyle w:val="Rientrocorpodeltesto"/>
        <w:widowControl w:val="0"/>
        <w:spacing w:after="0"/>
        <w:ind w:left="0" w:firstLine="454"/>
        <w:jc w:val="both"/>
        <w:rPr>
          <w:rFonts w:ascii="Garamond" w:hAnsi="Garamond"/>
          <w:sz w:val="26"/>
          <w:szCs w:val="26"/>
        </w:rPr>
      </w:pPr>
      <w:r w:rsidRPr="00867763">
        <w:rPr>
          <w:rFonts w:ascii="Garamond" w:hAnsi="Garamond"/>
          <w:sz w:val="26"/>
          <w:szCs w:val="26"/>
        </w:rPr>
        <w:t>Ed ancora</w:t>
      </w:r>
      <w:r w:rsidR="001777F7">
        <w:rPr>
          <w:rFonts w:ascii="Garamond" w:hAnsi="Garamond"/>
          <w:sz w:val="26"/>
          <w:szCs w:val="26"/>
        </w:rPr>
        <w:t>,</w:t>
      </w:r>
      <w:r w:rsidRPr="00867763">
        <w:rPr>
          <w:rFonts w:ascii="Garamond" w:hAnsi="Garamond"/>
          <w:sz w:val="26"/>
          <w:szCs w:val="26"/>
        </w:rPr>
        <w:t xml:space="preserve"> che </w:t>
      </w:r>
      <w:r w:rsidR="001777F7" w:rsidRPr="00C27AE9">
        <w:rPr>
          <w:rFonts w:ascii="Garamond" w:hAnsi="Garamond"/>
          <w:sz w:val="26"/>
          <w:szCs w:val="26"/>
        </w:rPr>
        <w:t>«</w:t>
      </w:r>
      <w:r w:rsidRPr="001777F7">
        <w:rPr>
          <w:rFonts w:ascii="Garamond" w:hAnsi="Garamond"/>
          <w:i/>
          <w:iCs/>
          <w:sz w:val="26"/>
          <w:szCs w:val="26"/>
        </w:rPr>
        <w:t>l’aggiornamento degli importi con la variazione ISTAT, secondo quanto previsto nel contratto, (…) disapplica il MTR-2 in una parte essenziale, elimin(a) la necessaria correlazione tra i costi del servizio e il livello tariffario che deve assicurare una gestione non in perdita. Se il corrispettivo viene calcolato unicamente in base al contratto, sia pure con il recupero dell’inflazione, le tariffe nel corso del rapporto vengono progressivamente svincolate dai costi. (…) il metodo tariffario non può essere la camera di compensazione per rimediare a errori di impostazione dell’offerta, perché questo implicherebbe un trasferimento del rischio di impresa dall’aggiudicatario agli utenti del servizio</w:t>
      </w:r>
      <w:r w:rsidR="001777F7" w:rsidRPr="00C27AE9">
        <w:rPr>
          <w:rFonts w:ascii="Garamond" w:hAnsi="Garamond"/>
          <w:sz w:val="26"/>
          <w:szCs w:val="26"/>
        </w:rPr>
        <w:t>»</w:t>
      </w:r>
      <w:r w:rsidR="001777F7">
        <w:rPr>
          <w:rStyle w:val="Rimandonotaapidipagina"/>
          <w:rFonts w:ascii="Garamond" w:hAnsi="Garamond"/>
          <w:sz w:val="26"/>
          <w:szCs w:val="26"/>
        </w:rPr>
        <w:footnoteReference w:id="57"/>
      </w:r>
    </w:p>
    <w:p w14:paraId="7548989A" w14:textId="77777777" w:rsidR="00BD5A4B" w:rsidRDefault="001777F7" w:rsidP="001777F7">
      <w:pPr>
        <w:pStyle w:val="Rientrocorpodeltesto"/>
        <w:widowControl w:val="0"/>
        <w:spacing w:after="0"/>
        <w:ind w:left="0" w:firstLine="454"/>
        <w:jc w:val="both"/>
        <w:rPr>
          <w:rFonts w:ascii="Garamond" w:hAnsi="Garamond"/>
          <w:sz w:val="26"/>
          <w:szCs w:val="26"/>
        </w:rPr>
      </w:pPr>
      <w:r>
        <w:rPr>
          <w:rFonts w:ascii="Garamond" w:hAnsi="Garamond"/>
          <w:sz w:val="26"/>
          <w:szCs w:val="26"/>
        </w:rPr>
        <w:t>A seguito, tuttavia, della pronuncia d’appello n. 6466/2025 più volte citata</w:t>
      </w:r>
      <w:r w:rsidR="00BD5A4B">
        <w:rPr>
          <w:rFonts w:ascii="Garamond" w:hAnsi="Garamond"/>
          <w:sz w:val="26"/>
          <w:szCs w:val="26"/>
        </w:rPr>
        <w:t xml:space="preserve"> e delle due sentenze del TAR Milano che hanno annullato l’art. 7.1. dello Schema tipo,</w:t>
      </w:r>
      <w:r>
        <w:rPr>
          <w:rFonts w:ascii="Garamond" w:hAnsi="Garamond"/>
          <w:sz w:val="26"/>
          <w:szCs w:val="26"/>
        </w:rPr>
        <w:t xml:space="preserve"> alcuni gestori hanno reclamato la reviviscenza delle clausole di revisione periodica, sostenendo che </w:t>
      </w:r>
      <w:r w:rsidR="00BD5A4B">
        <w:rPr>
          <w:rFonts w:ascii="Garamond" w:hAnsi="Garamond"/>
          <w:sz w:val="26"/>
          <w:szCs w:val="26"/>
        </w:rPr>
        <w:t xml:space="preserve">l’indirizzo sopra richiamato sarebbe stato superato. </w:t>
      </w:r>
    </w:p>
    <w:p w14:paraId="6F40B512" w14:textId="26130E6E" w:rsidR="001777F7" w:rsidRDefault="00BD5A4B" w:rsidP="001777F7">
      <w:pPr>
        <w:pStyle w:val="Rientrocorpodeltesto"/>
        <w:widowControl w:val="0"/>
        <w:spacing w:after="0"/>
        <w:ind w:left="0" w:firstLine="454"/>
        <w:jc w:val="both"/>
        <w:rPr>
          <w:rFonts w:ascii="Garamond" w:hAnsi="Garamond"/>
          <w:sz w:val="26"/>
          <w:szCs w:val="26"/>
        </w:rPr>
      </w:pPr>
      <w:r>
        <w:rPr>
          <w:rFonts w:ascii="Garamond" w:hAnsi="Garamond"/>
          <w:sz w:val="26"/>
          <w:szCs w:val="26"/>
        </w:rPr>
        <w:t xml:space="preserve">A nostro avviso, tuttavia, </w:t>
      </w:r>
      <w:r w:rsidR="007D524A">
        <w:rPr>
          <w:rFonts w:ascii="Garamond" w:hAnsi="Garamond"/>
          <w:sz w:val="26"/>
          <w:szCs w:val="26"/>
        </w:rPr>
        <w:t xml:space="preserve">la tesi non convince in quanto </w:t>
      </w:r>
      <w:r>
        <w:rPr>
          <w:rFonts w:ascii="Garamond" w:hAnsi="Garamond"/>
          <w:sz w:val="26"/>
          <w:szCs w:val="26"/>
        </w:rPr>
        <w:t xml:space="preserve">nessuna di tali sentenze ha </w:t>
      </w:r>
      <w:r w:rsidR="009D3BC7" w:rsidRPr="009D3BC7">
        <w:rPr>
          <w:rFonts w:ascii="Garamond" w:hAnsi="Garamond"/>
          <w:sz w:val="26"/>
          <w:szCs w:val="26"/>
        </w:rPr>
        <w:t>fa</w:t>
      </w:r>
      <w:r>
        <w:rPr>
          <w:rFonts w:ascii="Garamond" w:hAnsi="Garamond"/>
          <w:sz w:val="26"/>
          <w:szCs w:val="26"/>
        </w:rPr>
        <w:t>tto</w:t>
      </w:r>
      <w:r w:rsidR="009D3BC7" w:rsidRPr="009D3BC7">
        <w:rPr>
          <w:rFonts w:ascii="Garamond" w:hAnsi="Garamond"/>
          <w:sz w:val="26"/>
          <w:szCs w:val="26"/>
        </w:rPr>
        <w:t xml:space="preserve"> </w:t>
      </w:r>
      <w:r w:rsidR="00B534AA">
        <w:rPr>
          <w:rFonts w:ascii="Garamond" w:hAnsi="Garamond"/>
          <w:sz w:val="26"/>
          <w:szCs w:val="26"/>
        </w:rPr>
        <w:t xml:space="preserve">specifico </w:t>
      </w:r>
      <w:r w:rsidR="009D3BC7" w:rsidRPr="009D3BC7">
        <w:rPr>
          <w:rFonts w:ascii="Garamond" w:hAnsi="Garamond"/>
          <w:sz w:val="26"/>
          <w:szCs w:val="26"/>
        </w:rPr>
        <w:t>riferimento all’istituto della revisione annuale del canone.</w:t>
      </w:r>
    </w:p>
    <w:p w14:paraId="0F610BCA" w14:textId="7636A3C5" w:rsidR="00BD5A4B" w:rsidRDefault="00BD5A4B" w:rsidP="00BD5A4B">
      <w:pPr>
        <w:pStyle w:val="Rientrocorpodeltesto"/>
        <w:widowControl w:val="0"/>
        <w:spacing w:after="0"/>
        <w:ind w:left="0" w:firstLine="454"/>
        <w:jc w:val="both"/>
        <w:rPr>
          <w:rFonts w:ascii="Garamond" w:hAnsi="Garamond"/>
          <w:sz w:val="26"/>
          <w:szCs w:val="26"/>
        </w:rPr>
      </w:pPr>
      <w:r>
        <w:rPr>
          <w:rFonts w:ascii="Garamond" w:hAnsi="Garamond"/>
          <w:sz w:val="26"/>
          <w:szCs w:val="26"/>
        </w:rPr>
        <w:t>Le pronunce in questione fanno invece espresso riferimento al</w:t>
      </w:r>
      <w:r w:rsidR="009D3BC7" w:rsidRPr="009D3BC7">
        <w:rPr>
          <w:rFonts w:ascii="Garamond" w:hAnsi="Garamond"/>
          <w:sz w:val="26"/>
          <w:szCs w:val="26"/>
        </w:rPr>
        <w:t xml:space="preserve">la revisione prezzi ex art. 60 D.lgs n. 36/2023, </w:t>
      </w:r>
      <w:r>
        <w:rPr>
          <w:rFonts w:ascii="Garamond" w:hAnsi="Garamond"/>
          <w:sz w:val="26"/>
          <w:szCs w:val="26"/>
        </w:rPr>
        <w:t xml:space="preserve">quale </w:t>
      </w:r>
      <w:r w:rsidR="009D3BC7" w:rsidRPr="009D3BC7">
        <w:rPr>
          <w:rFonts w:ascii="Garamond" w:hAnsi="Garamond"/>
          <w:sz w:val="26"/>
          <w:szCs w:val="26"/>
        </w:rPr>
        <w:t xml:space="preserve">rimedio a disposizione del gestore qualora </w:t>
      </w:r>
      <w:r w:rsidRPr="00C27AE9">
        <w:rPr>
          <w:rFonts w:ascii="Garamond" w:hAnsi="Garamond"/>
          <w:sz w:val="26"/>
          <w:szCs w:val="26"/>
        </w:rPr>
        <w:t>«</w:t>
      </w:r>
      <w:r w:rsidR="009D3BC7" w:rsidRPr="00BD5A4B">
        <w:rPr>
          <w:rFonts w:ascii="Garamond" w:hAnsi="Garamond"/>
          <w:i/>
          <w:iCs/>
          <w:sz w:val="26"/>
          <w:szCs w:val="26"/>
        </w:rPr>
        <w:t>il corrispettivo fissato in sede di gara divenisse inadeguato per circostanze eccezionali</w:t>
      </w:r>
      <w:r w:rsidRPr="00C27AE9">
        <w:rPr>
          <w:rFonts w:ascii="Garamond" w:hAnsi="Garamond"/>
          <w:sz w:val="26"/>
          <w:szCs w:val="26"/>
        </w:rPr>
        <w:t>»</w:t>
      </w:r>
      <w:r w:rsidR="009D3BC7" w:rsidRPr="009D3BC7">
        <w:rPr>
          <w:rFonts w:ascii="Garamond" w:hAnsi="Garamond"/>
          <w:sz w:val="26"/>
          <w:szCs w:val="26"/>
        </w:rPr>
        <w:t xml:space="preserve"> </w:t>
      </w:r>
      <w:r>
        <w:rPr>
          <w:rFonts w:ascii="Garamond" w:hAnsi="Garamond"/>
          <w:sz w:val="26"/>
          <w:szCs w:val="26"/>
        </w:rPr>
        <w:t>o, in altri termini</w:t>
      </w:r>
      <w:r w:rsidR="009D3BC7" w:rsidRPr="009D3BC7">
        <w:rPr>
          <w:rFonts w:ascii="Garamond" w:hAnsi="Garamond"/>
          <w:sz w:val="26"/>
          <w:szCs w:val="26"/>
        </w:rPr>
        <w:t xml:space="preserve"> </w:t>
      </w:r>
      <w:r w:rsidRPr="00C27AE9">
        <w:rPr>
          <w:rFonts w:ascii="Garamond" w:hAnsi="Garamond"/>
          <w:sz w:val="26"/>
          <w:szCs w:val="26"/>
        </w:rPr>
        <w:t>«</w:t>
      </w:r>
      <w:r w:rsidR="009D3BC7" w:rsidRPr="00BD5A4B">
        <w:rPr>
          <w:rFonts w:ascii="Garamond" w:hAnsi="Garamond"/>
          <w:i/>
          <w:iCs/>
          <w:sz w:val="26"/>
          <w:szCs w:val="26"/>
        </w:rPr>
        <w:t>il rimedio della revisione dei prezzi per le sopravvenienze straordinarie</w:t>
      </w:r>
      <w:r w:rsidRPr="00C27AE9">
        <w:rPr>
          <w:rFonts w:ascii="Garamond" w:hAnsi="Garamond"/>
          <w:sz w:val="26"/>
          <w:szCs w:val="26"/>
        </w:rPr>
        <w:t>»</w:t>
      </w:r>
      <w:r w:rsidR="00B534AA">
        <w:rPr>
          <w:rFonts w:ascii="Garamond" w:hAnsi="Garamond"/>
          <w:sz w:val="26"/>
          <w:szCs w:val="26"/>
        </w:rPr>
        <w:t xml:space="preserve">; tale revisione </w:t>
      </w:r>
      <w:r w:rsidR="009D3BC7" w:rsidRPr="009D3BC7">
        <w:rPr>
          <w:rFonts w:ascii="Garamond" w:hAnsi="Garamond"/>
          <w:sz w:val="26"/>
          <w:szCs w:val="26"/>
        </w:rPr>
        <w:t xml:space="preserve">nulla ha a che vedere con l’adeguamento automatico </w:t>
      </w:r>
      <w:r>
        <w:rPr>
          <w:rFonts w:ascii="Garamond" w:hAnsi="Garamond"/>
          <w:sz w:val="26"/>
          <w:szCs w:val="26"/>
        </w:rPr>
        <w:t xml:space="preserve">con </w:t>
      </w:r>
      <w:r w:rsidR="009D3BC7" w:rsidRPr="009D3BC7">
        <w:rPr>
          <w:rFonts w:ascii="Garamond" w:hAnsi="Garamond"/>
          <w:sz w:val="26"/>
          <w:szCs w:val="26"/>
        </w:rPr>
        <w:t>cadenza annuale previsto dall</w:t>
      </w:r>
      <w:r w:rsidR="00B534AA">
        <w:rPr>
          <w:rFonts w:ascii="Garamond" w:hAnsi="Garamond"/>
          <w:sz w:val="26"/>
          <w:szCs w:val="26"/>
        </w:rPr>
        <w:t>e</w:t>
      </w:r>
      <w:r w:rsidR="009D3BC7" w:rsidRPr="009D3BC7">
        <w:rPr>
          <w:rFonts w:ascii="Garamond" w:hAnsi="Garamond"/>
          <w:sz w:val="26"/>
          <w:szCs w:val="26"/>
        </w:rPr>
        <w:t xml:space="preserve"> “vecchi</w:t>
      </w:r>
      <w:r w:rsidR="00B534AA">
        <w:rPr>
          <w:rFonts w:ascii="Garamond" w:hAnsi="Garamond"/>
          <w:sz w:val="26"/>
          <w:szCs w:val="26"/>
        </w:rPr>
        <w:t>e</w:t>
      </w:r>
      <w:r w:rsidR="009D3BC7" w:rsidRPr="009D3BC7">
        <w:rPr>
          <w:rFonts w:ascii="Garamond" w:hAnsi="Garamond"/>
          <w:sz w:val="26"/>
          <w:szCs w:val="26"/>
        </w:rPr>
        <w:t>” clausol</w:t>
      </w:r>
      <w:r w:rsidR="00B534AA">
        <w:rPr>
          <w:rFonts w:ascii="Garamond" w:hAnsi="Garamond"/>
          <w:sz w:val="26"/>
          <w:szCs w:val="26"/>
        </w:rPr>
        <w:t>e</w:t>
      </w:r>
      <w:r w:rsidR="009D3BC7" w:rsidRPr="009D3BC7">
        <w:rPr>
          <w:rFonts w:ascii="Garamond" w:hAnsi="Garamond"/>
          <w:sz w:val="26"/>
          <w:szCs w:val="26"/>
        </w:rPr>
        <w:t xml:space="preserve"> contrattual</w:t>
      </w:r>
      <w:r w:rsidR="00B534AA">
        <w:rPr>
          <w:rFonts w:ascii="Garamond" w:hAnsi="Garamond"/>
          <w:sz w:val="26"/>
          <w:szCs w:val="26"/>
        </w:rPr>
        <w:t>i</w:t>
      </w:r>
      <w:r w:rsidR="009D3BC7" w:rsidRPr="009D3BC7">
        <w:rPr>
          <w:rFonts w:ascii="Garamond" w:hAnsi="Garamond"/>
          <w:sz w:val="26"/>
          <w:szCs w:val="26"/>
        </w:rPr>
        <w:t>, del tutto svincolat</w:t>
      </w:r>
      <w:r w:rsidR="00B534AA">
        <w:rPr>
          <w:rFonts w:ascii="Garamond" w:hAnsi="Garamond"/>
          <w:sz w:val="26"/>
          <w:szCs w:val="26"/>
        </w:rPr>
        <w:t>e</w:t>
      </w:r>
      <w:r w:rsidR="009D3BC7" w:rsidRPr="009D3BC7">
        <w:rPr>
          <w:rFonts w:ascii="Garamond" w:hAnsi="Garamond"/>
          <w:sz w:val="26"/>
          <w:szCs w:val="26"/>
        </w:rPr>
        <w:t xml:space="preserve"> dalla rendicontazione dei costi.</w:t>
      </w:r>
    </w:p>
    <w:p w14:paraId="322F5318" w14:textId="77777777" w:rsidR="007D524A" w:rsidRDefault="00BD5A4B" w:rsidP="007D524A">
      <w:pPr>
        <w:pStyle w:val="Rientrocorpodeltesto"/>
        <w:widowControl w:val="0"/>
        <w:spacing w:after="0"/>
        <w:ind w:left="0" w:firstLine="454"/>
        <w:jc w:val="both"/>
        <w:rPr>
          <w:rFonts w:ascii="Garamond" w:hAnsi="Garamond"/>
          <w:sz w:val="26"/>
          <w:szCs w:val="26"/>
        </w:rPr>
      </w:pPr>
      <w:r>
        <w:rPr>
          <w:rFonts w:ascii="Garamond" w:hAnsi="Garamond"/>
          <w:sz w:val="26"/>
          <w:szCs w:val="26"/>
        </w:rPr>
        <w:t xml:space="preserve">La </w:t>
      </w:r>
      <w:r w:rsidR="009D3BC7" w:rsidRPr="009D3BC7">
        <w:rPr>
          <w:rFonts w:ascii="Garamond" w:hAnsi="Garamond"/>
          <w:sz w:val="26"/>
          <w:szCs w:val="26"/>
        </w:rPr>
        <w:t xml:space="preserve">pronuncia della IV Sezione, </w:t>
      </w:r>
      <w:r>
        <w:rPr>
          <w:rFonts w:ascii="Garamond" w:hAnsi="Garamond"/>
          <w:sz w:val="26"/>
          <w:szCs w:val="26"/>
        </w:rPr>
        <w:t xml:space="preserve">poi, si fa </w:t>
      </w:r>
      <w:r w:rsidR="009D3BC7" w:rsidRPr="009D3BC7">
        <w:rPr>
          <w:rFonts w:ascii="Garamond" w:hAnsi="Garamond"/>
          <w:sz w:val="26"/>
          <w:szCs w:val="26"/>
        </w:rPr>
        <w:t xml:space="preserve">altresì carico di precisare, ancor più chiaramente, di ritenere </w:t>
      </w:r>
      <w:r w:rsidRPr="00C27AE9">
        <w:rPr>
          <w:rFonts w:ascii="Garamond" w:hAnsi="Garamond"/>
          <w:sz w:val="26"/>
          <w:szCs w:val="26"/>
        </w:rPr>
        <w:t>«</w:t>
      </w:r>
      <w:r w:rsidR="009D3BC7" w:rsidRPr="00BD5A4B">
        <w:rPr>
          <w:rFonts w:ascii="Garamond" w:hAnsi="Garamond"/>
          <w:i/>
          <w:iCs/>
          <w:sz w:val="26"/>
          <w:szCs w:val="26"/>
        </w:rPr>
        <w:t xml:space="preserve">fisiologico che (…) il meccanismo della revisione prezzi (…) operi </w:t>
      </w:r>
      <w:r w:rsidRPr="00BD5A4B">
        <w:rPr>
          <w:rFonts w:ascii="Garamond" w:hAnsi="Garamond"/>
          <w:i/>
          <w:iCs/>
          <w:sz w:val="26"/>
          <w:szCs w:val="26"/>
        </w:rPr>
        <w:t xml:space="preserve">solo </w:t>
      </w:r>
      <w:r w:rsidR="009D3BC7" w:rsidRPr="00BD5A4B">
        <w:rPr>
          <w:rFonts w:ascii="Garamond" w:hAnsi="Garamond"/>
          <w:i/>
          <w:iCs/>
          <w:sz w:val="26"/>
          <w:szCs w:val="26"/>
        </w:rPr>
        <w:t xml:space="preserve">a fronte di circostanze straordinarie, dato che l’essere aggiudicatario di un contratto di servizio non significa non essere soggetti all’ordinario rischio di impresa, per cui anche un contratto pubblico può legittimamente </w:t>
      </w:r>
      <w:r w:rsidR="009D3BC7" w:rsidRPr="00BD5A4B">
        <w:rPr>
          <w:rFonts w:ascii="Garamond" w:hAnsi="Garamond"/>
          <w:i/>
          <w:iCs/>
          <w:sz w:val="26"/>
          <w:szCs w:val="26"/>
        </w:rPr>
        <w:lastRenderedPageBreak/>
        <w:t>tradursi in una perdita per l’impresa che lo abbia stipulato sbagliando i propri calcoli di convenienza</w:t>
      </w:r>
      <w:r w:rsidRPr="00C27AE9">
        <w:rPr>
          <w:rFonts w:ascii="Garamond" w:hAnsi="Garamond"/>
          <w:sz w:val="26"/>
          <w:szCs w:val="26"/>
        </w:rPr>
        <w:t>»</w:t>
      </w:r>
      <w:r w:rsidR="009D3BC7" w:rsidRPr="009D3BC7">
        <w:rPr>
          <w:rFonts w:ascii="Garamond" w:hAnsi="Garamond"/>
          <w:sz w:val="26"/>
          <w:szCs w:val="26"/>
        </w:rPr>
        <w:t>.</w:t>
      </w:r>
    </w:p>
    <w:p w14:paraId="59896DDC" w14:textId="609B8553" w:rsidR="007D524A" w:rsidRDefault="009D3BC7" w:rsidP="007D524A">
      <w:pPr>
        <w:pStyle w:val="Rientrocorpodeltesto"/>
        <w:widowControl w:val="0"/>
        <w:spacing w:after="0"/>
        <w:ind w:left="0" w:firstLine="454"/>
        <w:jc w:val="both"/>
        <w:rPr>
          <w:rFonts w:ascii="Garamond" w:hAnsi="Garamond"/>
          <w:sz w:val="26"/>
          <w:szCs w:val="26"/>
        </w:rPr>
      </w:pPr>
      <w:r w:rsidRPr="009D3BC7">
        <w:rPr>
          <w:rFonts w:ascii="Garamond" w:hAnsi="Garamond"/>
          <w:sz w:val="26"/>
          <w:szCs w:val="26"/>
        </w:rPr>
        <w:t xml:space="preserve">In altri termini, proprio le stesse sentenze </w:t>
      </w:r>
      <w:r w:rsidR="00BD5A4B">
        <w:rPr>
          <w:rFonts w:ascii="Garamond" w:hAnsi="Garamond"/>
          <w:sz w:val="26"/>
          <w:szCs w:val="26"/>
        </w:rPr>
        <w:t>invocate per supportare la tesi della prevalenza delle clausole revi</w:t>
      </w:r>
      <w:r w:rsidR="007D524A">
        <w:rPr>
          <w:rFonts w:ascii="Garamond" w:hAnsi="Garamond"/>
          <w:sz w:val="26"/>
          <w:szCs w:val="26"/>
        </w:rPr>
        <w:t>si</w:t>
      </w:r>
      <w:r w:rsidR="00BD5A4B">
        <w:rPr>
          <w:rFonts w:ascii="Garamond" w:hAnsi="Garamond"/>
          <w:sz w:val="26"/>
          <w:szCs w:val="26"/>
        </w:rPr>
        <w:t xml:space="preserve">onali periodiche </w:t>
      </w:r>
      <w:r w:rsidRPr="009D3BC7">
        <w:rPr>
          <w:rFonts w:ascii="Garamond" w:hAnsi="Garamond"/>
          <w:sz w:val="26"/>
          <w:szCs w:val="26"/>
        </w:rPr>
        <w:t>fanno riferimento ad un istituto diverso da quello cui si riferiscono i gestori</w:t>
      </w:r>
      <w:r w:rsidR="007D524A">
        <w:rPr>
          <w:rFonts w:ascii="Garamond" w:hAnsi="Garamond"/>
          <w:sz w:val="26"/>
          <w:szCs w:val="26"/>
        </w:rPr>
        <w:t>.</w:t>
      </w:r>
      <w:r w:rsidRPr="009D3BC7">
        <w:rPr>
          <w:rFonts w:ascii="Garamond" w:hAnsi="Garamond"/>
          <w:sz w:val="26"/>
          <w:szCs w:val="26"/>
        </w:rPr>
        <w:t xml:space="preserve"> </w:t>
      </w:r>
    </w:p>
    <w:p w14:paraId="675B26C3" w14:textId="77777777" w:rsidR="007D524A" w:rsidRDefault="009D3BC7" w:rsidP="007D524A">
      <w:pPr>
        <w:pStyle w:val="Rientrocorpodeltesto"/>
        <w:widowControl w:val="0"/>
        <w:spacing w:after="0"/>
        <w:ind w:left="0" w:firstLine="454"/>
        <w:jc w:val="both"/>
        <w:rPr>
          <w:rFonts w:ascii="Garamond" w:hAnsi="Garamond"/>
          <w:sz w:val="26"/>
          <w:szCs w:val="26"/>
        </w:rPr>
      </w:pPr>
      <w:r w:rsidRPr="009D3BC7">
        <w:rPr>
          <w:rFonts w:ascii="Garamond" w:hAnsi="Garamond"/>
          <w:sz w:val="26"/>
          <w:szCs w:val="26"/>
        </w:rPr>
        <w:t>L’art. 60 del D. lgs n. 36/2023 (commi 1 e 2), infat</w:t>
      </w:r>
      <w:r w:rsidR="007D524A">
        <w:rPr>
          <w:rFonts w:ascii="Garamond" w:hAnsi="Garamond"/>
          <w:sz w:val="26"/>
          <w:szCs w:val="26"/>
        </w:rPr>
        <w:t xml:space="preserve">ti, prevede </w:t>
      </w:r>
      <w:r w:rsidRPr="009D3BC7">
        <w:rPr>
          <w:rFonts w:ascii="Garamond" w:hAnsi="Garamond"/>
          <w:sz w:val="26"/>
          <w:szCs w:val="26"/>
        </w:rPr>
        <w:t>l’obbligo di inserire clausole di revisione prezzi le quali “</w:t>
      </w:r>
      <w:r w:rsidRPr="007D524A">
        <w:rPr>
          <w:rFonts w:ascii="Garamond" w:hAnsi="Garamond"/>
          <w:i/>
          <w:iCs/>
          <w:sz w:val="26"/>
          <w:szCs w:val="26"/>
        </w:rPr>
        <w:t>si attivano al verificarsi di particolari condizioni di natura oggettiva che determinano una variazione della fornitura o del servizio, in aumento o in diminuzione, superiore al 5 per cento dell'importo complessivo e operano nella misura dell'80 per cento della variazione stessa, in relazione alle prestazioni da eseguire</w:t>
      </w:r>
      <w:r w:rsidRPr="009D3BC7">
        <w:rPr>
          <w:rFonts w:ascii="Garamond" w:hAnsi="Garamond"/>
          <w:sz w:val="26"/>
          <w:szCs w:val="26"/>
        </w:rPr>
        <w:t>”.</w:t>
      </w:r>
    </w:p>
    <w:p w14:paraId="17EC99EB" w14:textId="0D4890F9" w:rsidR="007D524A" w:rsidRDefault="009D3BC7" w:rsidP="007D524A">
      <w:pPr>
        <w:pStyle w:val="Rientrocorpodeltesto"/>
        <w:widowControl w:val="0"/>
        <w:spacing w:after="0"/>
        <w:ind w:left="0" w:firstLine="454"/>
        <w:jc w:val="both"/>
        <w:rPr>
          <w:rFonts w:ascii="Garamond" w:hAnsi="Garamond"/>
          <w:sz w:val="26"/>
          <w:szCs w:val="26"/>
        </w:rPr>
      </w:pPr>
      <w:r w:rsidRPr="009D3BC7">
        <w:rPr>
          <w:rFonts w:ascii="Garamond" w:hAnsi="Garamond"/>
          <w:sz w:val="26"/>
          <w:szCs w:val="26"/>
        </w:rPr>
        <w:t xml:space="preserve">La norma, in sostanza, richiede per la sua concreta applicazione il verificarsi di determinate condizioni </w:t>
      </w:r>
      <w:r w:rsidR="00AD16A9">
        <w:rPr>
          <w:rFonts w:ascii="Garamond" w:hAnsi="Garamond"/>
          <w:sz w:val="26"/>
          <w:szCs w:val="26"/>
        </w:rPr>
        <w:t xml:space="preserve">oggettive </w:t>
      </w:r>
      <w:r w:rsidRPr="009D3BC7">
        <w:rPr>
          <w:rFonts w:ascii="Garamond" w:hAnsi="Garamond"/>
          <w:sz w:val="26"/>
          <w:szCs w:val="26"/>
        </w:rPr>
        <w:t xml:space="preserve">(donde il richiamo </w:t>
      </w:r>
      <w:r w:rsidR="007D524A">
        <w:rPr>
          <w:rFonts w:ascii="Garamond" w:hAnsi="Garamond"/>
          <w:sz w:val="26"/>
          <w:szCs w:val="26"/>
        </w:rPr>
        <w:t xml:space="preserve">in tali pronunce </w:t>
      </w:r>
      <w:r w:rsidRPr="009D3BC7">
        <w:rPr>
          <w:rFonts w:ascii="Garamond" w:hAnsi="Garamond"/>
          <w:sz w:val="26"/>
          <w:szCs w:val="26"/>
        </w:rPr>
        <w:t xml:space="preserve">alle “circostanze eccezionali” e alle </w:t>
      </w:r>
      <w:r w:rsidR="007D524A">
        <w:rPr>
          <w:rFonts w:ascii="Garamond" w:hAnsi="Garamond"/>
          <w:sz w:val="26"/>
          <w:szCs w:val="26"/>
        </w:rPr>
        <w:t>“</w:t>
      </w:r>
      <w:r w:rsidRPr="009D3BC7">
        <w:rPr>
          <w:rFonts w:ascii="Garamond" w:hAnsi="Garamond"/>
          <w:sz w:val="26"/>
          <w:szCs w:val="26"/>
        </w:rPr>
        <w:t>sopravvenienze straordinarie”), in mancanza delle quali il meccanismo revisionale non opera, non ravvisandosi la necessità, in difetto di tali circostanze, di provvedere ad un riequilibrio economico-finanziario della gestione</w:t>
      </w:r>
      <w:r w:rsidR="00AD16A9">
        <w:rPr>
          <w:rStyle w:val="Rimandonotaapidipagina"/>
          <w:rFonts w:ascii="Garamond" w:hAnsi="Garamond"/>
          <w:sz w:val="26"/>
          <w:szCs w:val="26"/>
        </w:rPr>
        <w:footnoteReference w:id="58"/>
      </w:r>
      <w:r w:rsidRPr="009D3BC7">
        <w:rPr>
          <w:rFonts w:ascii="Garamond" w:hAnsi="Garamond"/>
          <w:sz w:val="26"/>
          <w:szCs w:val="26"/>
        </w:rPr>
        <w:t xml:space="preserve">. </w:t>
      </w:r>
    </w:p>
    <w:p w14:paraId="525CA290" w14:textId="77777777" w:rsidR="007D524A" w:rsidRDefault="009D3BC7" w:rsidP="007D524A">
      <w:pPr>
        <w:pStyle w:val="Rientrocorpodeltesto"/>
        <w:widowControl w:val="0"/>
        <w:spacing w:after="0"/>
        <w:ind w:left="0" w:firstLine="454"/>
        <w:jc w:val="both"/>
        <w:rPr>
          <w:rFonts w:ascii="Garamond" w:hAnsi="Garamond"/>
          <w:sz w:val="26"/>
          <w:szCs w:val="26"/>
        </w:rPr>
      </w:pPr>
      <w:r w:rsidRPr="009D3BC7">
        <w:rPr>
          <w:rFonts w:ascii="Garamond" w:hAnsi="Garamond"/>
          <w:sz w:val="26"/>
          <w:szCs w:val="26"/>
        </w:rPr>
        <w:t xml:space="preserve">Del tutto diverso è il meccanismo di revisione annuale che viene applicato periodicamente </w:t>
      </w:r>
      <w:r w:rsidR="007D524A">
        <w:rPr>
          <w:rFonts w:ascii="Garamond" w:hAnsi="Garamond"/>
          <w:sz w:val="26"/>
          <w:szCs w:val="26"/>
        </w:rPr>
        <w:t>e automaticamente</w:t>
      </w:r>
      <w:r w:rsidRPr="009D3BC7">
        <w:rPr>
          <w:rFonts w:ascii="Garamond" w:hAnsi="Garamond"/>
          <w:sz w:val="26"/>
          <w:szCs w:val="26"/>
        </w:rPr>
        <w:t>, a prescindere dal verificarsi di particolari situazioni che mettano a repentaglio l’equilibrio contrattuale.</w:t>
      </w:r>
      <w:r w:rsidR="007D524A">
        <w:rPr>
          <w:rFonts w:ascii="Garamond" w:hAnsi="Garamond"/>
          <w:sz w:val="26"/>
          <w:szCs w:val="26"/>
        </w:rPr>
        <w:t xml:space="preserve"> </w:t>
      </w:r>
    </w:p>
    <w:p w14:paraId="71119D25" w14:textId="77777777" w:rsidR="007D524A" w:rsidRDefault="009D3BC7" w:rsidP="007D524A">
      <w:pPr>
        <w:pStyle w:val="Rientrocorpodeltesto"/>
        <w:widowControl w:val="0"/>
        <w:spacing w:after="0"/>
        <w:ind w:left="0" w:firstLine="454"/>
        <w:jc w:val="both"/>
        <w:rPr>
          <w:rFonts w:ascii="Garamond" w:hAnsi="Garamond"/>
          <w:sz w:val="26"/>
          <w:szCs w:val="26"/>
        </w:rPr>
      </w:pPr>
      <w:r w:rsidRPr="009D3BC7">
        <w:rPr>
          <w:rFonts w:ascii="Garamond" w:hAnsi="Garamond"/>
          <w:sz w:val="26"/>
          <w:szCs w:val="26"/>
        </w:rPr>
        <w:t>E la conferma di tale diversità la si ricava dal successivo comma 2 bis dell’art. 60, in cui invece si prevede “</w:t>
      </w:r>
      <w:r w:rsidRPr="007D524A">
        <w:rPr>
          <w:rFonts w:ascii="Garamond" w:hAnsi="Garamond"/>
          <w:i/>
          <w:iCs/>
          <w:sz w:val="26"/>
          <w:szCs w:val="26"/>
        </w:rPr>
        <w:t>la facoltà di inserire nel contratto, oltre alle clausole di cui al comma 1, meccanismi ordinari di adeguamento del prezzo del contratto all'indice inflattivo convenzionalmente individuato tra le parti</w:t>
      </w:r>
      <w:r w:rsidRPr="009D3BC7">
        <w:rPr>
          <w:rFonts w:ascii="Garamond" w:hAnsi="Garamond"/>
          <w:sz w:val="26"/>
          <w:szCs w:val="26"/>
        </w:rPr>
        <w:t>”.</w:t>
      </w:r>
    </w:p>
    <w:p w14:paraId="1070C7E1" w14:textId="77777777" w:rsidR="007D524A" w:rsidRDefault="009D3BC7" w:rsidP="007D524A">
      <w:pPr>
        <w:pStyle w:val="Rientrocorpodeltesto"/>
        <w:widowControl w:val="0"/>
        <w:spacing w:after="0"/>
        <w:ind w:left="0" w:firstLine="454"/>
        <w:jc w:val="both"/>
        <w:rPr>
          <w:rFonts w:ascii="Garamond" w:hAnsi="Garamond"/>
          <w:sz w:val="26"/>
          <w:szCs w:val="26"/>
        </w:rPr>
      </w:pPr>
      <w:r w:rsidRPr="009D3BC7">
        <w:rPr>
          <w:rFonts w:ascii="Garamond" w:hAnsi="Garamond"/>
          <w:sz w:val="26"/>
          <w:szCs w:val="26"/>
        </w:rPr>
        <w:t>Da un lato, quindi, un meccanismo (commi 1-2) volto a fronteggiare il verificarsi di sopravvenienze esogene che inficino l’equilibrio economico-finanziario del contratto, quindi di natura straordinaria e per ciò stesso anche obbligatorio, in quanto funzionale a preservare il principio di conservazione di cui all’art. 9 D.lgs n. 36/2023; dall’altro, invece, un meccanismo ordinario e perciò facoltativo di adeguamento del prezzo del contratto.</w:t>
      </w:r>
    </w:p>
    <w:p w14:paraId="6F5707DD" w14:textId="66E71C9A" w:rsidR="007D524A" w:rsidRDefault="007D524A" w:rsidP="007D524A">
      <w:pPr>
        <w:pStyle w:val="Rientrocorpodeltesto"/>
        <w:widowControl w:val="0"/>
        <w:spacing w:after="0"/>
        <w:ind w:left="0" w:firstLine="454"/>
        <w:jc w:val="both"/>
        <w:rPr>
          <w:rFonts w:ascii="Garamond" w:hAnsi="Garamond"/>
          <w:sz w:val="26"/>
          <w:szCs w:val="26"/>
        </w:rPr>
      </w:pPr>
      <w:r>
        <w:rPr>
          <w:rFonts w:ascii="Garamond" w:hAnsi="Garamond"/>
          <w:sz w:val="26"/>
          <w:szCs w:val="26"/>
        </w:rPr>
        <w:t xml:space="preserve">Non si ritiene dunque condivisibile la tesi, ad es., secondo cui </w:t>
      </w:r>
      <w:r w:rsidR="009D3BC7" w:rsidRPr="009D3BC7">
        <w:rPr>
          <w:rFonts w:ascii="Garamond" w:hAnsi="Garamond"/>
          <w:sz w:val="26"/>
          <w:szCs w:val="26"/>
        </w:rPr>
        <w:t xml:space="preserve">il contratto tipo predisposto da Arera </w:t>
      </w:r>
      <w:r>
        <w:rPr>
          <w:rFonts w:ascii="Garamond" w:hAnsi="Garamond"/>
          <w:sz w:val="26"/>
          <w:szCs w:val="26"/>
        </w:rPr>
        <w:t xml:space="preserve">avrebbe illegittimamente </w:t>
      </w:r>
      <w:r w:rsidR="009D3BC7" w:rsidRPr="009D3BC7">
        <w:rPr>
          <w:rFonts w:ascii="Garamond" w:hAnsi="Garamond"/>
          <w:sz w:val="26"/>
          <w:szCs w:val="26"/>
        </w:rPr>
        <w:t>disatte</w:t>
      </w:r>
      <w:r>
        <w:rPr>
          <w:rFonts w:ascii="Garamond" w:hAnsi="Garamond"/>
          <w:sz w:val="26"/>
          <w:szCs w:val="26"/>
        </w:rPr>
        <w:t xml:space="preserve">so </w:t>
      </w:r>
      <w:r w:rsidR="009D3BC7" w:rsidRPr="009D3BC7">
        <w:rPr>
          <w:rFonts w:ascii="Garamond" w:hAnsi="Garamond"/>
          <w:sz w:val="26"/>
          <w:szCs w:val="26"/>
        </w:rPr>
        <w:t>un istituto obbligatorio quale è quello della revisione periodica del prezzo</w:t>
      </w:r>
      <w:r>
        <w:rPr>
          <w:rFonts w:ascii="Garamond" w:hAnsi="Garamond"/>
          <w:sz w:val="26"/>
          <w:szCs w:val="26"/>
        </w:rPr>
        <w:t xml:space="preserve">; è del resto il tenore stesso della disposizione, </w:t>
      </w:r>
      <w:r w:rsidR="00E65659">
        <w:rPr>
          <w:rFonts w:ascii="Garamond" w:hAnsi="Garamond"/>
          <w:sz w:val="26"/>
          <w:szCs w:val="26"/>
        </w:rPr>
        <w:t xml:space="preserve">dopo </w:t>
      </w:r>
      <w:r w:rsidR="00B534AA">
        <w:rPr>
          <w:rFonts w:ascii="Garamond" w:hAnsi="Garamond"/>
          <w:sz w:val="26"/>
          <w:szCs w:val="26"/>
        </w:rPr>
        <w:t xml:space="preserve">che </w:t>
      </w:r>
      <w:r w:rsidR="00E65659">
        <w:rPr>
          <w:rFonts w:ascii="Garamond" w:hAnsi="Garamond"/>
          <w:sz w:val="26"/>
          <w:szCs w:val="26"/>
        </w:rPr>
        <w:t xml:space="preserve">il correttivo del 2024 ha inserito </w:t>
      </w:r>
      <w:r>
        <w:rPr>
          <w:rFonts w:ascii="Garamond" w:hAnsi="Garamond"/>
          <w:sz w:val="26"/>
          <w:szCs w:val="26"/>
        </w:rPr>
        <w:t xml:space="preserve">tale revisione </w:t>
      </w:r>
      <w:r w:rsidR="00B534AA">
        <w:rPr>
          <w:rFonts w:ascii="Garamond" w:hAnsi="Garamond"/>
          <w:sz w:val="26"/>
          <w:szCs w:val="26"/>
        </w:rPr>
        <w:t xml:space="preserve">qualificandola </w:t>
      </w:r>
      <w:r>
        <w:rPr>
          <w:rFonts w:ascii="Garamond" w:hAnsi="Garamond"/>
          <w:sz w:val="26"/>
          <w:szCs w:val="26"/>
        </w:rPr>
        <w:t>come facoltativa, a smentire il fondamento di tale assunto.</w:t>
      </w:r>
      <w:r w:rsidR="009D3BC7" w:rsidRPr="009D3BC7">
        <w:rPr>
          <w:rFonts w:ascii="Garamond" w:hAnsi="Garamond"/>
          <w:sz w:val="26"/>
          <w:szCs w:val="26"/>
        </w:rPr>
        <w:t xml:space="preserve"> </w:t>
      </w:r>
    </w:p>
    <w:p w14:paraId="353091AD" w14:textId="7ADE4C1E" w:rsidR="009D3BC7" w:rsidRDefault="007D524A" w:rsidP="009D3BC7">
      <w:pPr>
        <w:pStyle w:val="Rientrocorpodeltesto"/>
        <w:widowControl w:val="0"/>
        <w:spacing w:after="0"/>
        <w:ind w:left="0" w:firstLine="454"/>
        <w:jc w:val="both"/>
        <w:rPr>
          <w:rFonts w:ascii="Garamond" w:hAnsi="Garamond"/>
          <w:sz w:val="26"/>
          <w:szCs w:val="26"/>
        </w:rPr>
      </w:pPr>
      <w:r>
        <w:rPr>
          <w:rFonts w:ascii="Garamond" w:hAnsi="Garamond"/>
          <w:sz w:val="26"/>
          <w:szCs w:val="26"/>
        </w:rPr>
        <w:t>D</w:t>
      </w:r>
      <w:r w:rsidR="009D3BC7" w:rsidRPr="009D3BC7">
        <w:rPr>
          <w:rFonts w:ascii="Garamond" w:hAnsi="Garamond"/>
          <w:sz w:val="26"/>
          <w:szCs w:val="26"/>
        </w:rPr>
        <w:t xml:space="preserve">’altra parte, deve considerarsi che mentre il rimedio di cui ai primi commi </w:t>
      </w:r>
      <w:r>
        <w:rPr>
          <w:rFonts w:ascii="Garamond" w:hAnsi="Garamond"/>
          <w:sz w:val="26"/>
          <w:szCs w:val="26"/>
        </w:rPr>
        <w:t xml:space="preserve">dell’art. 60 d.lgs n. 36/2023, </w:t>
      </w:r>
      <w:r w:rsidR="009D3BC7" w:rsidRPr="009D3BC7">
        <w:rPr>
          <w:rFonts w:ascii="Garamond" w:hAnsi="Garamond"/>
          <w:sz w:val="26"/>
          <w:szCs w:val="26"/>
        </w:rPr>
        <w:t>si rivela indispensabile a preservare la sostenibilità della gestione e perciò è reso obbligatorio, non si ravvisa più analoga necessità di rendere obbligatorio un meccanismo ordinario di indicizzazione che è stato pensato per bilanciare l’altrimenti inevitabile fissità e immodificabilità nel tempo del canone originario di gara; ora, viceversa, per effetto dell</w:t>
      </w:r>
      <w:r w:rsidR="00E65659">
        <w:rPr>
          <w:rFonts w:ascii="Garamond" w:hAnsi="Garamond"/>
          <w:sz w:val="26"/>
          <w:szCs w:val="26"/>
        </w:rPr>
        <w:t>’</w:t>
      </w:r>
      <w:r w:rsidR="009D3BC7" w:rsidRPr="009D3BC7">
        <w:rPr>
          <w:rFonts w:ascii="Garamond" w:hAnsi="Garamond"/>
          <w:sz w:val="26"/>
          <w:szCs w:val="26"/>
        </w:rPr>
        <w:t xml:space="preserve">adeguamento </w:t>
      </w:r>
      <w:r w:rsidR="00E65659">
        <w:rPr>
          <w:rFonts w:ascii="Garamond" w:hAnsi="Garamond"/>
          <w:sz w:val="26"/>
          <w:szCs w:val="26"/>
        </w:rPr>
        <w:t xml:space="preserve">MTR </w:t>
      </w:r>
      <w:r w:rsidR="009D3BC7" w:rsidRPr="009D3BC7">
        <w:rPr>
          <w:rFonts w:ascii="Garamond" w:hAnsi="Garamond"/>
          <w:sz w:val="26"/>
          <w:szCs w:val="26"/>
        </w:rPr>
        <w:t>obbligatorio periodico che avviene tramite la validazione del PEF a cadenza biennale, il canone contrattuale soggiace ad una costante attualizzazione nel tempo ed è quindi sottoposto proprio tramite l’MTR anche ad una continua verifica della sua sostenibilità economico-finanziaria, ma pur sempre rapportata al fondamentale principio, immanente nella regolazione, del riconoscimento dei soli “costi efficienti” ed a tutela dell’utenza.</w:t>
      </w:r>
    </w:p>
    <w:p w14:paraId="39A1FA78" w14:textId="51DD7DC8" w:rsidR="009D3BC7" w:rsidRDefault="007D524A" w:rsidP="00F925AE">
      <w:pPr>
        <w:pStyle w:val="Rientrocorpodeltesto"/>
        <w:widowControl w:val="0"/>
        <w:spacing w:after="0"/>
        <w:ind w:left="0" w:firstLine="454"/>
        <w:jc w:val="both"/>
        <w:rPr>
          <w:rFonts w:ascii="Garamond" w:hAnsi="Garamond"/>
          <w:sz w:val="26"/>
          <w:szCs w:val="26"/>
        </w:rPr>
      </w:pPr>
      <w:r>
        <w:rPr>
          <w:rFonts w:ascii="Garamond" w:hAnsi="Garamond"/>
          <w:sz w:val="26"/>
          <w:szCs w:val="26"/>
        </w:rPr>
        <w:lastRenderedPageBreak/>
        <w:t>Quanto invece alla pretesa incompatibilità tra la disciplina regolatoria contenuta nel</w:t>
      </w:r>
      <w:r w:rsidR="00E65659">
        <w:rPr>
          <w:rFonts w:ascii="Garamond" w:hAnsi="Garamond"/>
          <w:sz w:val="26"/>
          <w:szCs w:val="26"/>
        </w:rPr>
        <w:t>lo</w:t>
      </w:r>
      <w:r>
        <w:rPr>
          <w:rFonts w:ascii="Garamond" w:hAnsi="Garamond"/>
          <w:sz w:val="26"/>
          <w:szCs w:val="26"/>
        </w:rPr>
        <w:t xml:space="preserve"> Schema di contratto tipo e la revisione ex art. 60 commi 1 e 2 d.lgs. n. 36/2023, </w:t>
      </w:r>
      <w:r w:rsidR="00F925AE">
        <w:rPr>
          <w:rFonts w:ascii="Garamond" w:hAnsi="Garamond"/>
          <w:sz w:val="26"/>
          <w:szCs w:val="26"/>
        </w:rPr>
        <w:t>s</w:t>
      </w:r>
      <w:r w:rsidR="009D3BC7" w:rsidRPr="009D3BC7">
        <w:rPr>
          <w:rFonts w:ascii="Garamond" w:hAnsi="Garamond"/>
          <w:sz w:val="26"/>
          <w:szCs w:val="26"/>
        </w:rPr>
        <w:t>i tratta</w:t>
      </w:r>
      <w:r w:rsidR="00F925AE">
        <w:rPr>
          <w:rFonts w:ascii="Garamond" w:hAnsi="Garamond"/>
          <w:sz w:val="26"/>
          <w:szCs w:val="26"/>
        </w:rPr>
        <w:t xml:space="preserve"> a nostro avviso</w:t>
      </w:r>
      <w:r w:rsidR="009D3BC7" w:rsidRPr="009D3BC7">
        <w:rPr>
          <w:rFonts w:ascii="Garamond" w:hAnsi="Garamond"/>
          <w:sz w:val="26"/>
          <w:szCs w:val="26"/>
        </w:rPr>
        <w:t xml:space="preserve"> di un</w:t>
      </w:r>
      <w:r w:rsidR="00F925AE">
        <w:rPr>
          <w:rFonts w:ascii="Garamond" w:hAnsi="Garamond"/>
          <w:sz w:val="26"/>
          <w:szCs w:val="26"/>
        </w:rPr>
        <w:t xml:space="preserve">a questione mal posta, </w:t>
      </w:r>
      <w:r w:rsidR="009D3BC7" w:rsidRPr="009D3BC7">
        <w:rPr>
          <w:rFonts w:ascii="Garamond" w:hAnsi="Garamond"/>
          <w:sz w:val="26"/>
          <w:szCs w:val="26"/>
        </w:rPr>
        <w:t>non essendovi a ben vedere alcun conflitto tra le due diverse discipline.</w:t>
      </w:r>
    </w:p>
    <w:p w14:paraId="41683BCD" w14:textId="77777777" w:rsidR="00077F3B" w:rsidRDefault="00F925AE" w:rsidP="00077F3B">
      <w:pPr>
        <w:pStyle w:val="Rientrocorpodeltesto"/>
        <w:widowControl w:val="0"/>
        <w:spacing w:after="0"/>
        <w:ind w:left="0" w:firstLine="454"/>
        <w:jc w:val="both"/>
        <w:rPr>
          <w:rFonts w:ascii="Garamond" w:hAnsi="Garamond"/>
          <w:sz w:val="26"/>
          <w:szCs w:val="26"/>
        </w:rPr>
      </w:pPr>
      <w:r>
        <w:rPr>
          <w:rFonts w:ascii="Garamond" w:hAnsi="Garamond"/>
          <w:sz w:val="26"/>
          <w:szCs w:val="26"/>
        </w:rPr>
        <w:t>Innanzitutto, lo stesso art. 7 dello Schema tipo, al punto 2, prevede espressamente che “</w:t>
      </w:r>
      <w:r w:rsidRPr="00F925AE">
        <w:rPr>
          <w:rFonts w:ascii="Garamond" w:hAnsi="Garamond"/>
          <w:i/>
          <w:iCs/>
          <w:sz w:val="26"/>
          <w:szCs w:val="26"/>
        </w:rPr>
        <w:t>Nel rispetto della normativa vigente eventuali revisioni del corrispettivo in corso di affidamento possono essere effettuate su iniziativa delle Parti secondo le modalità di cui ai successivi commi 26.2 e 26.3</w:t>
      </w:r>
      <w:r>
        <w:rPr>
          <w:rFonts w:ascii="Garamond" w:hAnsi="Garamond"/>
          <w:sz w:val="26"/>
          <w:szCs w:val="26"/>
        </w:rPr>
        <w:t>”</w:t>
      </w:r>
      <w:r w:rsidRPr="00F925AE">
        <w:rPr>
          <w:rFonts w:ascii="Garamond" w:hAnsi="Garamond"/>
          <w:sz w:val="26"/>
          <w:szCs w:val="26"/>
        </w:rPr>
        <w:t>.</w:t>
      </w:r>
    </w:p>
    <w:p w14:paraId="4393AB12" w14:textId="3DCA4165" w:rsidR="00077F3B" w:rsidRDefault="007C7AB3" w:rsidP="00077F3B">
      <w:pPr>
        <w:pStyle w:val="Rientrocorpodeltesto"/>
        <w:widowControl w:val="0"/>
        <w:spacing w:after="0"/>
        <w:ind w:left="0" w:firstLine="454"/>
        <w:jc w:val="both"/>
        <w:rPr>
          <w:rFonts w:ascii="Garamond" w:hAnsi="Garamond"/>
          <w:sz w:val="26"/>
          <w:szCs w:val="26"/>
        </w:rPr>
      </w:pPr>
      <w:r>
        <w:rPr>
          <w:rFonts w:ascii="Garamond" w:hAnsi="Garamond"/>
          <w:sz w:val="26"/>
          <w:szCs w:val="26"/>
        </w:rPr>
        <w:t xml:space="preserve">Vi sono poi molteplici strumenti, nell’ambito della disciplina MTR, che rispondono alla logica di conservazione dell’equilibrio contrattuale: basti pensare </w:t>
      </w:r>
      <w:r w:rsidR="00077F3B">
        <w:rPr>
          <w:rFonts w:ascii="Garamond" w:hAnsi="Garamond"/>
          <w:sz w:val="26"/>
          <w:szCs w:val="26"/>
        </w:rPr>
        <w:t xml:space="preserve">agli artt. 4.3., 4.4. e 4.5 dell’All. alla delibera n. 397/2025 (MTR-3) ed allo stesso Schema tipo di contratto, il cui </w:t>
      </w:r>
      <w:r w:rsidR="00077F3B" w:rsidRPr="00077F3B">
        <w:rPr>
          <w:rFonts w:ascii="Garamond" w:hAnsi="Garamond"/>
          <w:sz w:val="26"/>
          <w:szCs w:val="26"/>
        </w:rPr>
        <w:t>titolo II</w:t>
      </w:r>
      <w:r w:rsidR="00077F3B">
        <w:rPr>
          <w:rFonts w:ascii="Garamond" w:hAnsi="Garamond"/>
          <w:sz w:val="26"/>
          <w:szCs w:val="26"/>
        </w:rPr>
        <w:t xml:space="preserve"> è </w:t>
      </w:r>
      <w:r w:rsidR="00077F3B" w:rsidRPr="00077F3B">
        <w:rPr>
          <w:rFonts w:ascii="Garamond" w:hAnsi="Garamond"/>
          <w:sz w:val="26"/>
          <w:szCs w:val="26"/>
        </w:rPr>
        <w:t>denominato “</w:t>
      </w:r>
      <w:r w:rsidR="00077F3B" w:rsidRPr="00077F3B">
        <w:rPr>
          <w:rFonts w:ascii="Garamond" w:hAnsi="Garamond"/>
          <w:i/>
          <w:iCs/>
          <w:sz w:val="26"/>
          <w:szCs w:val="26"/>
        </w:rPr>
        <w:t>corrispettivo del gestore ed equilibrio economico finanziario</w:t>
      </w:r>
      <w:r w:rsidR="00077F3B" w:rsidRPr="00077F3B">
        <w:rPr>
          <w:rFonts w:ascii="Garamond" w:hAnsi="Garamond"/>
          <w:sz w:val="26"/>
          <w:szCs w:val="26"/>
        </w:rPr>
        <w:t xml:space="preserve">”, </w:t>
      </w:r>
      <w:r w:rsidR="00077F3B">
        <w:rPr>
          <w:rFonts w:ascii="Garamond" w:hAnsi="Garamond"/>
          <w:sz w:val="26"/>
          <w:szCs w:val="26"/>
        </w:rPr>
        <w:t xml:space="preserve">che prevede la possibilità per il gestore di richiedere a determinate condizioni il </w:t>
      </w:r>
      <w:r w:rsidR="00077F3B" w:rsidRPr="00077F3B">
        <w:rPr>
          <w:rFonts w:ascii="Garamond" w:hAnsi="Garamond"/>
          <w:sz w:val="26"/>
          <w:szCs w:val="26"/>
        </w:rPr>
        <w:t>“riequilibrio economico-finanziario”</w:t>
      </w:r>
      <w:r w:rsidR="00077F3B">
        <w:rPr>
          <w:rFonts w:ascii="Garamond" w:hAnsi="Garamond"/>
          <w:sz w:val="26"/>
          <w:szCs w:val="26"/>
        </w:rPr>
        <w:t xml:space="preserve"> (artt. 10, 1</w:t>
      </w:r>
      <w:r w:rsidR="00B534AA">
        <w:rPr>
          <w:rFonts w:ascii="Garamond" w:hAnsi="Garamond"/>
          <w:sz w:val="26"/>
          <w:szCs w:val="26"/>
        </w:rPr>
        <w:t xml:space="preserve">1 </w:t>
      </w:r>
      <w:r w:rsidR="00077F3B">
        <w:rPr>
          <w:rFonts w:ascii="Garamond" w:hAnsi="Garamond"/>
          <w:sz w:val="26"/>
          <w:szCs w:val="26"/>
        </w:rPr>
        <w:t>e 12).</w:t>
      </w:r>
    </w:p>
    <w:p w14:paraId="4770295F" w14:textId="63C96615" w:rsidR="00077F3B" w:rsidRDefault="00077F3B" w:rsidP="00077F3B">
      <w:pPr>
        <w:pStyle w:val="Rientrocorpodeltesto"/>
        <w:widowControl w:val="0"/>
        <w:spacing w:after="0"/>
        <w:ind w:left="0" w:firstLine="454"/>
        <w:jc w:val="both"/>
        <w:rPr>
          <w:rFonts w:ascii="Garamond" w:hAnsi="Garamond"/>
          <w:sz w:val="26"/>
          <w:szCs w:val="26"/>
        </w:rPr>
      </w:pPr>
      <w:r>
        <w:rPr>
          <w:rFonts w:ascii="Garamond" w:hAnsi="Garamond"/>
          <w:sz w:val="26"/>
          <w:szCs w:val="26"/>
        </w:rPr>
        <w:t xml:space="preserve">D’altra parte, l’essenza stessa </w:t>
      </w:r>
      <w:r w:rsidRPr="00077F3B">
        <w:rPr>
          <w:rFonts w:ascii="Garamond" w:hAnsi="Garamond"/>
          <w:sz w:val="26"/>
          <w:szCs w:val="26"/>
        </w:rPr>
        <w:t>della regolazione tariffaria</w:t>
      </w:r>
      <w:r w:rsidR="00B534AA">
        <w:rPr>
          <w:rFonts w:ascii="Garamond" w:hAnsi="Garamond"/>
          <w:sz w:val="26"/>
          <w:szCs w:val="26"/>
        </w:rPr>
        <w:t xml:space="preserve"> </w:t>
      </w:r>
      <w:r w:rsidRPr="00077F3B">
        <w:rPr>
          <w:rFonts w:ascii="Garamond" w:hAnsi="Garamond"/>
          <w:sz w:val="26"/>
          <w:szCs w:val="26"/>
        </w:rPr>
        <w:t>è</w:t>
      </w:r>
      <w:r>
        <w:rPr>
          <w:rFonts w:ascii="Garamond" w:hAnsi="Garamond"/>
          <w:sz w:val="26"/>
          <w:szCs w:val="26"/>
        </w:rPr>
        <w:t xml:space="preserve"> </w:t>
      </w:r>
      <w:r w:rsidRPr="00077F3B">
        <w:rPr>
          <w:rFonts w:ascii="Garamond" w:hAnsi="Garamond"/>
          <w:sz w:val="26"/>
          <w:szCs w:val="26"/>
        </w:rPr>
        <w:t xml:space="preserve">quella di garantire la conservazione dell’equilibrio economico finanziario della gestione, attraverso la corrispondenza tra i costi efficienti e i ricavi; </w:t>
      </w:r>
      <w:r>
        <w:rPr>
          <w:rFonts w:ascii="Garamond" w:hAnsi="Garamond"/>
          <w:sz w:val="26"/>
          <w:szCs w:val="26"/>
        </w:rPr>
        <w:t xml:space="preserve">ogni sua </w:t>
      </w:r>
      <w:r w:rsidRPr="00077F3B">
        <w:rPr>
          <w:rFonts w:ascii="Garamond" w:hAnsi="Garamond"/>
          <w:sz w:val="26"/>
          <w:szCs w:val="26"/>
        </w:rPr>
        <w:t xml:space="preserve">clausola, correttamente collocata nel contesto di riferimento, </w:t>
      </w:r>
      <w:r w:rsidR="00B534AA">
        <w:rPr>
          <w:rFonts w:ascii="Garamond" w:hAnsi="Garamond"/>
          <w:sz w:val="26"/>
          <w:szCs w:val="26"/>
        </w:rPr>
        <w:t xml:space="preserve">è funzionale e </w:t>
      </w:r>
      <w:r>
        <w:rPr>
          <w:rFonts w:ascii="Garamond" w:hAnsi="Garamond"/>
          <w:sz w:val="26"/>
          <w:szCs w:val="26"/>
        </w:rPr>
        <w:t xml:space="preserve">non può </w:t>
      </w:r>
      <w:r w:rsidRPr="00077F3B">
        <w:rPr>
          <w:rFonts w:ascii="Garamond" w:hAnsi="Garamond"/>
          <w:sz w:val="26"/>
          <w:szCs w:val="26"/>
        </w:rPr>
        <w:t>mai confliggere con il principio di conservazione dell’equilibrio economico finanziario del rapporto contrattuale.</w:t>
      </w:r>
    </w:p>
    <w:p w14:paraId="62432150" w14:textId="0C187603" w:rsidR="00077F3B" w:rsidRPr="00077F3B" w:rsidRDefault="00CF77BB" w:rsidP="00077F3B">
      <w:pPr>
        <w:pStyle w:val="Rientrocorpodeltesto"/>
        <w:widowControl w:val="0"/>
        <w:spacing w:after="0"/>
        <w:ind w:left="0" w:firstLine="454"/>
        <w:jc w:val="both"/>
        <w:rPr>
          <w:rFonts w:ascii="Garamond" w:hAnsi="Garamond"/>
          <w:sz w:val="26"/>
          <w:szCs w:val="26"/>
        </w:rPr>
      </w:pPr>
      <w:r>
        <w:rPr>
          <w:rFonts w:ascii="Garamond" w:hAnsi="Garamond"/>
          <w:sz w:val="26"/>
          <w:szCs w:val="26"/>
        </w:rPr>
        <w:t>Può dunque dirsi che s</w:t>
      </w:r>
      <w:r w:rsidR="00077F3B" w:rsidRPr="00077F3B">
        <w:rPr>
          <w:rFonts w:ascii="Garamond" w:hAnsi="Garamond"/>
          <w:sz w:val="26"/>
          <w:szCs w:val="26"/>
        </w:rPr>
        <w:t xml:space="preserve">ia pur per una strada e con strumenti diversi, la regolazione tariffaria persegue il medesimo obiettivo delle norme del codice dei contratti pubblici che erroneamente </w:t>
      </w:r>
      <w:r w:rsidR="00077F3B">
        <w:rPr>
          <w:rFonts w:ascii="Garamond" w:hAnsi="Garamond"/>
          <w:sz w:val="26"/>
          <w:szCs w:val="26"/>
        </w:rPr>
        <w:t>si vorrebbe invece vedere come ad essa contrapposte</w:t>
      </w:r>
      <w:r w:rsidR="00077F3B" w:rsidRPr="00077F3B">
        <w:rPr>
          <w:rFonts w:ascii="Garamond" w:hAnsi="Garamond"/>
          <w:sz w:val="26"/>
          <w:szCs w:val="26"/>
        </w:rPr>
        <w:t xml:space="preserve">. </w:t>
      </w:r>
    </w:p>
    <w:p w14:paraId="243010B5" w14:textId="508BEE24" w:rsidR="007C7AB3" w:rsidRPr="009D3BC7" w:rsidRDefault="00077F3B" w:rsidP="00077F3B">
      <w:pPr>
        <w:pStyle w:val="Rientrocorpodeltesto"/>
        <w:widowControl w:val="0"/>
        <w:spacing w:after="0"/>
        <w:ind w:left="0" w:firstLine="454"/>
        <w:jc w:val="both"/>
        <w:rPr>
          <w:rFonts w:ascii="Garamond" w:hAnsi="Garamond"/>
          <w:sz w:val="26"/>
          <w:szCs w:val="26"/>
        </w:rPr>
      </w:pPr>
      <w:r w:rsidRPr="00077F3B">
        <w:rPr>
          <w:rFonts w:ascii="Garamond" w:hAnsi="Garamond"/>
          <w:sz w:val="26"/>
          <w:szCs w:val="26"/>
        </w:rPr>
        <w:t>Si tratta quindi di un problema</w:t>
      </w:r>
      <w:r w:rsidR="00B534AA">
        <w:rPr>
          <w:rFonts w:ascii="Garamond" w:hAnsi="Garamond"/>
          <w:sz w:val="26"/>
          <w:szCs w:val="26"/>
        </w:rPr>
        <w:t xml:space="preserve"> solo apparente</w:t>
      </w:r>
      <w:r w:rsidRPr="00077F3B">
        <w:rPr>
          <w:rFonts w:ascii="Garamond" w:hAnsi="Garamond"/>
          <w:sz w:val="26"/>
          <w:szCs w:val="26"/>
        </w:rPr>
        <w:t>, non essendovi a ben vedere alcun con</w:t>
      </w:r>
      <w:r w:rsidR="00CF77BB">
        <w:rPr>
          <w:rFonts w:ascii="Garamond" w:hAnsi="Garamond"/>
          <w:sz w:val="26"/>
          <w:szCs w:val="26"/>
        </w:rPr>
        <w:t xml:space="preserve">trasto </w:t>
      </w:r>
      <w:r w:rsidRPr="00077F3B">
        <w:rPr>
          <w:rFonts w:ascii="Garamond" w:hAnsi="Garamond"/>
          <w:sz w:val="26"/>
          <w:szCs w:val="26"/>
        </w:rPr>
        <w:t>tra le due diverse discipline.</w:t>
      </w:r>
    </w:p>
    <w:p w14:paraId="642FEA4C" w14:textId="34A39FEA" w:rsidR="00F925AE" w:rsidRPr="00F925AE" w:rsidRDefault="00F925AE" w:rsidP="00F925AE">
      <w:pPr>
        <w:pStyle w:val="Rientrocorpodeltesto"/>
        <w:widowControl w:val="0"/>
        <w:spacing w:after="0"/>
        <w:ind w:left="0" w:firstLine="454"/>
        <w:jc w:val="both"/>
        <w:rPr>
          <w:rFonts w:ascii="Garamond" w:hAnsi="Garamond"/>
          <w:i/>
          <w:iCs/>
          <w:sz w:val="26"/>
          <w:szCs w:val="26"/>
        </w:rPr>
      </w:pPr>
      <w:r>
        <w:rPr>
          <w:rFonts w:ascii="Garamond" w:hAnsi="Garamond"/>
          <w:sz w:val="26"/>
          <w:szCs w:val="26"/>
        </w:rPr>
        <w:t xml:space="preserve">In base a quanto osservato, allora, si </w:t>
      </w:r>
      <w:r w:rsidR="00F42995">
        <w:rPr>
          <w:rFonts w:ascii="Garamond" w:hAnsi="Garamond"/>
          <w:sz w:val="26"/>
          <w:szCs w:val="26"/>
        </w:rPr>
        <w:t xml:space="preserve">condivide </w:t>
      </w:r>
      <w:r>
        <w:rPr>
          <w:rFonts w:ascii="Garamond" w:hAnsi="Garamond"/>
          <w:sz w:val="26"/>
          <w:szCs w:val="26"/>
        </w:rPr>
        <w:t xml:space="preserve">pienamente </w:t>
      </w:r>
      <w:r w:rsidR="00CF77BB">
        <w:rPr>
          <w:rFonts w:ascii="Garamond" w:hAnsi="Garamond"/>
          <w:sz w:val="26"/>
          <w:szCs w:val="26"/>
        </w:rPr>
        <w:t xml:space="preserve">l’opinione di chi ha </w:t>
      </w:r>
      <w:r>
        <w:rPr>
          <w:rFonts w:ascii="Garamond" w:hAnsi="Garamond"/>
          <w:sz w:val="26"/>
          <w:szCs w:val="26"/>
        </w:rPr>
        <w:t>affermato di recente</w:t>
      </w:r>
      <w:r w:rsidR="00B534AA">
        <w:rPr>
          <w:rFonts w:ascii="Garamond" w:hAnsi="Garamond"/>
          <w:sz w:val="26"/>
          <w:szCs w:val="26"/>
        </w:rPr>
        <w:t xml:space="preserve"> che </w:t>
      </w:r>
      <w:r>
        <w:rPr>
          <w:rFonts w:ascii="Garamond" w:hAnsi="Garamond"/>
          <w:sz w:val="26"/>
          <w:szCs w:val="26"/>
        </w:rPr>
        <w:t>“</w:t>
      </w:r>
      <w:r w:rsidR="009D3BC7" w:rsidRPr="00F925AE">
        <w:rPr>
          <w:rFonts w:ascii="Garamond" w:hAnsi="Garamond"/>
          <w:i/>
          <w:iCs/>
          <w:sz w:val="26"/>
          <w:szCs w:val="26"/>
        </w:rPr>
        <w:t>nell’ambito dei rimedi di ri-equilibrio economico – finanziario nella gestione del servizio, bisogna distinguere tra rimedi interni previsti dal MTR e rimedi esterni, sanciti dal codice dei contratti pubblici (…).</w:t>
      </w:r>
    </w:p>
    <w:p w14:paraId="1612A82F" w14:textId="31D219AE" w:rsidR="009D3BC7" w:rsidRPr="00F925AE" w:rsidRDefault="009D3BC7" w:rsidP="00F925AE">
      <w:pPr>
        <w:pStyle w:val="Rientrocorpodeltesto"/>
        <w:widowControl w:val="0"/>
        <w:spacing w:after="0"/>
        <w:ind w:left="0" w:firstLine="454"/>
        <w:jc w:val="both"/>
        <w:rPr>
          <w:rFonts w:ascii="Garamond" w:hAnsi="Garamond"/>
          <w:i/>
          <w:iCs/>
          <w:sz w:val="26"/>
          <w:szCs w:val="26"/>
        </w:rPr>
      </w:pPr>
      <w:r w:rsidRPr="00F925AE">
        <w:rPr>
          <w:rFonts w:ascii="Garamond" w:hAnsi="Garamond"/>
          <w:i/>
          <w:iCs/>
          <w:sz w:val="26"/>
          <w:szCs w:val="26"/>
        </w:rPr>
        <w:t>Più in particolare, l’istanza di riequilibrio dell’operatore può fondarsi sugli strumenti messi a disposizione dal MTR (oggi artt. 4.3., 4.4 e 4.5 MTR-3) e sugli istituti previsti dal d.lgs n. 36/2023, in materia di conservazione dell’equilibrio contrattuale (art. 9). e di revisione dei prezzi (art. 60).</w:t>
      </w:r>
    </w:p>
    <w:p w14:paraId="41E139AF" w14:textId="2BC0CEF2" w:rsidR="009D3BC7" w:rsidRDefault="009D3BC7" w:rsidP="00F925AE">
      <w:pPr>
        <w:pStyle w:val="Rientrocorpodeltesto"/>
        <w:widowControl w:val="0"/>
        <w:spacing w:after="0"/>
        <w:ind w:left="0" w:firstLine="454"/>
        <w:jc w:val="both"/>
        <w:rPr>
          <w:rFonts w:ascii="Garamond" w:hAnsi="Garamond"/>
          <w:sz w:val="26"/>
          <w:szCs w:val="26"/>
        </w:rPr>
      </w:pPr>
      <w:r w:rsidRPr="00F925AE">
        <w:rPr>
          <w:rFonts w:ascii="Garamond" w:hAnsi="Garamond"/>
          <w:i/>
          <w:iCs/>
          <w:sz w:val="26"/>
          <w:szCs w:val="26"/>
        </w:rPr>
        <w:t>Le due tipologie di tutela non appaiono incompatibili tra loro, in quanto operano sulla base di presupposti distinti. Per ragioni di coerenza del sistema e per evitare locupletazione ingiustificata, occorre piuttosto prevedere che il coordinamento dei rimedi avvenga in via sussidiaria: la tipologia dei rimedi interni al MTR è destinata ad operare in via prioritaria al ricorrere dei presupposti ivi previsti, lasciando alla tipologia dei rimedi esterni al MTR di operare in via sussidiaria (laddove i rimedi del MTR no</w:t>
      </w:r>
      <w:r w:rsidR="00F925AE">
        <w:rPr>
          <w:rFonts w:ascii="Garamond" w:hAnsi="Garamond"/>
          <w:i/>
          <w:iCs/>
          <w:sz w:val="26"/>
          <w:szCs w:val="26"/>
        </w:rPr>
        <w:t>n</w:t>
      </w:r>
      <w:r w:rsidRPr="00F925AE">
        <w:rPr>
          <w:rFonts w:ascii="Garamond" w:hAnsi="Garamond"/>
          <w:i/>
          <w:iCs/>
          <w:sz w:val="26"/>
          <w:szCs w:val="26"/>
        </w:rPr>
        <w:t xml:space="preserve"> siano in grado di soddisfare le esigenze del gestore</w:t>
      </w:r>
      <w:r w:rsidRPr="009D3BC7">
        <w:rPr>
          <w:rFonts w:ascii="Garamond" w:hAnsi="Garamond"/>
          <w:sz w:val="26"/>
          <w:szCs w:val="26"/>
        </w:rPr>
        <w:t>”</w:t>
      </w:r>
      <w:r w:rsidR="00F925AE">
        <w:rPr>
          <w:rStyle w:val="Rimandonotaapidipagina"/>
          <w:rFonts w:ascii="Garamond" w:hAnsi="Garamond"/>
          <w:sz w:val="26"/>
          <w:szCs w:val="26"/>
        </w:rPr>
        <w:footnoteReference w:id="59"/>
      </w:r>
      <w:r w:rsidR="00F42995">
        <w:rPr>
          <w:rFonts w:ascii="Garamond" w:hAnsi="Garamond"/>
          <w:sz w:val="26"/>
          <w:szCs w:val="26"/>
        </w:rPr>
        <w:t>.</w:t>
      </w:r>
    </w:p>
    <w:p w14:paraId="10A8CFA4" w14:textId="225A22E3" w:rsidR="00F42995" w:rsidRPr="00F42995" w:rsidRDefault="00F42995" w:rsidP="00F925AE">
      <w:pPr>
        <w:pStyle w:val="Rientrocorpodeltesto"/>
        <w:widowControl w:val="0"/>
        <w:spacing w:after="0"/>
        <w:ind w:left="0" w:firstLine="454"/>
        <w:jc w:val="both"/>
        <w:rPr>
          <w:rFonts w:ascii="Garamond" w:hAnsi="Garamond"/>
          <w:i/>
          <w:iCs/>
          <w:sz w:val="26"/>
          <w:szCs w:val="26"/>
        </w:rPr>
      </w:pPr>
      <w:r>
        <w:rPr>
          <w:rFonts w:ascii="Garamond" w:hAnsi="Garamond"/>
          <w:sz w:val="26"/>
          <w:szCs w:val="26"/>
        </w:rPr>
        <w:t>L</w:t>
      </w:r>
      <w:r w:rsidR="00CF77BB">
        <w:rPr>
          <w:rFonts w:ascii="Garamond" w:hAnsi="Garamond"/>
          <w:sz w:val="26"/>
          <w:szCs w:val="26"/>
        </w:rPr>
        <w:t xml:space="preserve">a </w:t>
      </w:r>
      <w:r w:rsidR="00AD594B">
        <w:rPr>
          <w:rFonts w:ascii="Garamond" w:hAnsi="Garamond"/>
          <w:sz w:val="26"/>
          <w:szCs w:val="26"/>
        </w:rPr>
        <w:t xml:space="preserve">piena compatibilità tra rimedi regolatori e rimedi contrattuali in tema di riequilibrio economico finanziario </w:t>
      </w:r>
      <w:r w:rsidR="00CF77BB">
        <w:rPr>
          <w:rFonts w:ascii="Garamond" w:hAnsi="Garamond"/>
          <w:sz w:val="26"/>
          <w:szCs w:val="26"/>
        </w:rPr>
        <w:t xml:space="preserve">qui prospettata </w:t>
      </w:r>
      <w:r>
        <w:rPr>
          <w:rFonts w:ascii="Garamond" w:hAnsi="Garamond"/>
          <w:sz w:val="26"/>
          <w:szCs w:val="26"/>
        </w:rPr>
        <w:t xml:space="preserve">sembra trovare </w:t>
      </w:r>
      <w:r w:rsidR="00AD594B">
        <w:rPr>
          <w:rFonts w:ascii="Garamond" w:hAnsi="Garamond"/>
          <w:sz w:val="26"/>
          <w:szCs w:val="26"/>
        </w:rPr>
        <w:t>pieno conforto</w:t>
      </w:r>
      <w:r>
        <w:rPr>
          <w:rFonts w:ascii="Garamond" w:hAnsi="Garamond"/>
          <w:sz w:val="26"/>
          <w:szCs w:val="26"/>
        </w:rPr>
        <w:t xml:space="preserve"> nella </w:t>
      </w:r>
      <w:r w:rsidR="00AD594B">
        <w:rPr>
          <w:rFonts w:ascii="Garamond" w:hAnsi="Garamond"/>
          <w:sz w:val="26"/>
          <w:szCs w:val="26"/>
        </w:rPr>
        <w:t xml:space="preserve">già citata </w:t>
      </w:r>
      <w:r>
        <w:rPr>
          <w:rFonts w:ascii="Garamond" w:hAnsi="Garamond"/>
          <w:sz w:val="26"/>
          <w:szCs w:val="26"/>
        </w:rPr>
        <w:t xml:space="preserve">decisione n. 16 del 2025 dell’Adunanza Plenaria, in cui si chiarisce che </w:t>
      </w:r>
      <w:r w:rsidRPr="00C27AE9">
        <w:rPr>
          <w:rFonts w:ascii="Garamond" w:hAnsi="Garamond"/>
          <w:sz w:val="26"/>
          <w:szCs w:val="26"/>
        </w:rPr>
        <w:t>«</w:t>
      </w:r>
      <w:r w:rsidRPr="00F42995">
        <w:rPr>
          <w:rFonts w:ascii="Garamond" w:hAnsi="Garamond"/>
          <w:i/>
          <w:iCs/>
          <w:sz w:val="26"/>
          <w:szCs w:val="26"/>
        </w:rPr>
        <w:t xml:space="preserve">La ragionevolezza e la proporzionalità dell’impianto regolatorio sono avvalorate dall’esistenza di meccanismi di riequilibrio, di tipo regolatorio e contrattuale, in grado di moderare </w:t>
      </w:r>
      <w:r w:rsidRPr="00F42995">
        <w:rPr>
          <w:i/>
          <w:iCs/>
          <w:sz w:val="26"/>
          <w:szCs w:val="26"/>
        </w:rPr>
        <w:t>‒</w:t>
      </w:r>
      <w:r w:rsidRPr="00F42995">
        <w:rPr>
          <w:rFonts w:ascii="Garamond" w:hAnsi="Garamond"/>
          <w:i/>
          <w:iCs/>
          <w:sz w:val="26"/>
          <w:szCs w:val="26"/>
        </w:rPr>
        <w:t xml:space="preserve"> a fronte di talune sopravvenienze qualificate, idonee ad alterare le condizioni di equilibrio economico della gestione </w:t>
      </w:r>
      <w:r w:rsidRPr="00F42995">
        <w:rPr>
          <w:i/>
          <w:iCs/>
          <w:sz w:val="26"/>
          <w:szCs w:val="26"/>
        </w:rPr>
        <w:t>‒</w:t>
      </w:r>
      <w:r w:rsidRPr="00F42995">
        <w:rPr>
          <w:rFonts w:ascii="Garamond" w:hAnsi="Garamond"/>
          <w:i/>
          <w:iCs/>
          <w:sz w:val="26"/>
          <w:szCs w:val="26"/>
        </w:rPr>
        <w:t xml:space="preserve"> l’impatto delle anticipazioni finanziarie imposte dal meccanismo del conguaglio. (…) Vi sono inoltre ulteriori misure per mantenere l’equilibrio economico-tariffario, tra cui la «revisione della predisposizione tariffaria (…).</w:t>
      </w:r>
    </w:p>
    <w:p w14:paraId="2A2BCBC5" w14:textId="0777CCE5" w:rsidR="00F42995" w:rsidRDefault="00F42995" w:rsidP="00F925AE">
      <w:pPr>
        <w:pStyle w:val="Rientrocorpodeltesto"/>
        <w:widowControl w:val="0"/>
        <w:spacing w:after="0"/>
        <w:ind w:left="0" w:firstLine="454"/>
        <w:jc w:val="both"/>
        <w:rPr>
          <w:rFonts w:ascii="Garamond" w:hAnsi="Garamond"/>
          <w:sz w:val="26"/>
          <w:szCs w:val="26"/>
        </w:rPr>
      </w:pPr>
      <w:r w:rsidRPr="00F42995">
        <w:rPr>
          <w:rFonts w:ascii="Garamond" w:hAnsi="Garamond"/>
          <w:i/>
          <w:iCs/>
          <w:sz w:val="26"/>
          <w:szCs w:val="26"/>
        </w:rPr>
        <w:lastRenderedPageBreak/>
        <w:t>Vi è poi anche il rimedio revisionale di tipo contrattuale, previsto dalla disciplina dei contratti pubblici (</w:t>
      </w:r>
      <w:r w:rsidR="00AD594B">
        <w:rPr>
          <w:rFonts w:ascii="Garamond" w:hAnsi="Garamond"/>
          <w:i/>
          <w:iCs/>
          <w:sz w:val="26"/>
          <w:szCs w:val="26"/>
        </w:rPr>
        <w:t xml:space="preserve">… </w:t>
      </w:r>
      <w:r w:rsidRPr="00F42995">
        <w:rPr>
          <w:rFonts w:ascii="Garamond" w:hAnsi="Garamond"/>
          <w:i/>
          <w:iCs/>
          <w:sz w:val="26"/>
          <w:szCs w:val="26"/>
        </w:rPr>
        <w:t>che, in presenza di eventi sopravvenuti straordinari e imprevedibili, ivi compreso il mutamento della normativa o della regolazione di riferimento, purché non imputabili al concessionario, che incidano in modo significativo sull'equilibrio economico-finanziario dell’operazione, consente di chiedere la “revisione del contratto nella misura strettamente necessaria a ricondurlo ai livelli di equilibrio e di traslazione del rischio pattuiti al momento della conclusione del contratto”)</w:t>
      </w:r>
      <w:r w:rsidRPr="00F42995">
        <w:rPr>
          <w:rFonts w:ascii="Garamond" w:hAnsi="Garamond"/>
          <w:sz w:val="26"/>
          <w:szCs w:val="26"/>
        </w:rPr>
        <w:t>».</w:t>
      </w:r>
    </w:p>
    <w:p w14:paraId="15C777A9" w14:textId="65AB3DF3" w:rsidR="00AD594B" w:rsidRDefault="00AD594B" w:rsidP="00F925AE">
      <w:pPr>
        <w:pStyle w:val="Rientrocorpodeltesto"/>
        <w:widowControl w:val="0"/>
        <w:spacing w:after="0"/>
        <w:ind w:left="0" w:firstLine="454"/>
        <w:jc w:val="both"/>
        <w:rPr>
          <w:rFonts w:ascii="Garamond" w:hAnsi="Garamond"/>
          <w:sz w:val="26"/>
          <w:szCs w:val="26"/>
        </w:rPr>
      </w:pPr>
      <w:r>
        <w:rPr>
          <w:rFonts w:ascii="Garamond" w:hAnsi="Garamond"/>
          <w:sz w:val="26"/>
          <w:szCs w:val="26"/>
        </w:rPr>
        <w:t>L</w:t>
      </w:r>
      <w:r w:rsidR="00B534AA">
        <w:rPr>
          <w:rFonts w:ascii="Garamond" w:hAnsi="Garamond"/>
          <w:sz w:val="26"/>
          <w:szCs w:val="26"/>
        </w:rPr>
        <w:t>’Adunanza</w:t>
      </w:r>
      <w:r>
        <w:rPr>
          <w:rFonts w:ascii="Garamond" w:hAnsi="Garamond"/>
          <w:sz w:val="26"/>
          <w:szCs w:val="26"/>
        </w:rPr>
        <w:t xml:space="preserve"> Plenaria, dunque, inquadra espressamente il rapporto tra rimedi contrattuali e regolatori in termini di </w:t>
      </w:r>
      <w:r w:rsidR="00B534AA">
        <w:rPr>
          <w:rFonts w:ascii="Garamond" w:hAnsi="Garamond"/>
          <w:sz w:val="26"/>
          <w:szCs w:val="26"/>
        </w:rPr>
        <w:t xml:space="preserve">pacifica </w:t>
      </w:r>
      <w:r>
        <w:rPr>
          <w:rFonts w:ascii="Garamond" w:hAnsi="Garamond"/>
          <w:sz w:val="26"/>
          <w:szCs w:val="26"/>
        </w:rPr>
        <w:t>coesistenza e non di conflittualità.</w:t>
      </w:r>
    </w:p>
    <w:p w14:paraId="22225B24" w14:textId="77777777" w:rsidR="009038EE" w:rsidRPr="00C27AE9" w:rsidRDefault="009038EE" w:rsidP="00F925AE">
      <w:pPr>
        <w:pStyle w:val="Rientrocorpodeltesto"/>
        <w:widowControl w:val="0"/>
        <w:spacing w:after="0"/>
        <w:ind w:left="0" w:firstLine="454"/>
        <w:jc w:val="both"/>
        <w:rPr>
          <w:rFonts w:ascii="Garamond" w:hAnsi="Garamond"/>
          <w:sz w:val="26"/>
          <w:szCs w:val="26"/>
        </w:rPr>
      </w:pPr>
    </w:p>
    <w:p w14:paraId="0038ABC3" w14:textId="00D0F006" w:rsidR="0047352D" w:rsidRPr="00C27AE9" w:rsidRDefault="006C0171" w:rsidP="00F925AE">
      <w:pPr>
        <w:pStyle w:val="Rientrocorpodeltesto"/>
        <w:widowControl w:val="0"/>
        <w:spacing w:after="0"/>
        <w:ind w:left="0" w:firstLine="454"/>
        <w:jc w:val="both"/>
        <w:rPr>
          <w:rFonts w:ascii="Garamond" w:hAnsi="Garamond"/>
          <w:b/>
          <w:bCs/>
          <w:sz w:val="26"/>
          <w:szCs w:val="26"/>
        </w:rPr>
      </w:pPr>
      <w:r>
        <w:rPr>
          <w:rFonts w:ascii="Garamond" w:hAnsi="Garamond"/>
          <w:b/>
          <w:bCs/>
          <w:color w:val="000000" w:themeColor="text1"/>
          <w:sz w:val="26"/>
          <w:szCs w:val="26"/>
        </w:rPr>
        <w:t>5</w:t>
      </w:r>
      <w:r w:rsidR="0047352D" w:rsidRPr="00C27AE9">
        <w:rPr>
          <w:rFonts w:ascii="Garamond" w:hAnsi="Garamond"/>
          <w:b/>
          <w:bCs/>
          <w:sz w:val="26"/>
          <w:szCs w:val="26"/>
        </w:rPr>
        <w:t xml:space="preserve">. L’impugnabilità dei provvedimenti di </w:t>
      </w:r>
      <w:r w:rsidR="00B32CC6" w:rsidRPr="00C27AE9">
        <w:rPr>
          <w:rFonts w:ascii="Garamond" w:hAnsi="Garamond"/>
          <w:b/>
          <w:bCs/>
          <w:sz w:val="26"/>
          <w:szCs w:val="26"/>
        </w:rPr>
        <w:t>determin</w:t>
      </w:r>
      <w:r w:rsidR="0047352D" w:rsidRPr="00C27AE9">
        <w:rPr>
          <w:rFonts w:ascii="Garamond" w:hAnsi="Garamond"/>
          <w:b/>
          <w:bCs/>
          <w:sz w:val="26"/>
          <w:szCs w:val="26"/>
        </w:rPr>
        <w:t>azione tariffaria dell’ETC</w:t>
      </w:r>
    </w:p>
    <w:p w14:paraId="1FB5EF1A" w14:textId="77777777" w:rsidR="0047352D" w:rsidRPr="00C27AE9" w:rsidRDefault="0047352D" w:rsidP="0047352D">
      <w:pPr>
        <w:pStyle w:val="Rientrocorpodeltesto"/>
        <w:widowControl w:val="0"/>
        <w:spacing w:after="0"/>
        <w:ind w:left="0" w:firstLine="454"/>
        <w:jc w:val="both"/>
        <w:rPr>
          <w:rFonts w:ascii="Garamond" w:hAnsi="Garamond"/>
          <w:b/>
          <w:bCs/>
          <w:sz w:val="26"/>
          <w:szCs w:val="26"/>
        </w:rPr>
      </w:pPr>
    </w:p>
    <w:p w14:paraId="72B66480" w14:textId="5E02F5AB" w:rsidR="0047352D" w:rsidRPr="00C27AE9" w:rsidRDefault="007A507A" w:rsidP="0047352D">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Un ulteriore tema </w:t>
      </w:r>
      <w:r w:rsidR="00721DCB">
        <w:rPr>
          <w:rFonts w:ascii="Garamond" w:hAnsi="Garamond"/>
          <w:sz w:val="26"/>
          <w:szCs w:val="26"/>
        </w:rPr>
        <w:t>molto discusso è quello del</w:t>
      </w:r>
      <w:r w:rsidR="000B0B03" w:rsidRPr="00C27AE9">
        <w:rPr>
          <w:rFonts w:ascii="Garamond" w:hAnsi="Garamond"/>
          <w:sz w:val="26"/>
          <w:szCs w:val="26"/>
        </w:rPr>
        <w:t>l’impugnabilità de</w:t>
      </w:r>
      <w:r w:rsidRPr="00C27AE9">
        <w:rPr>
          <w:rFonts w:ascii="Garamond" w:hAnsi="Garamond"/>
          <w:sz w:val="26"/>
          <w:szCs w:val="26"/>
        </w:rPr>
        <w:t xml:space="preserve">i provvedimenti di </w:t>
      </w:r>
      <w:r w:rsidR="000B0B03" w:rsidRPr="00C27AE9">
        <w:rPr>
          <w:rFonts w:ascii="Garamond" w:hAnsi="Garamond"/>
          <w:sz w:val="26"/>
          <w:szCs w:val="26"/>
        </w:rPr>
        <w:t xml:space="preserve">predisposizione </w:t>
      </w:r>
      <w:r w:rsidRPr="00C27AE9">
        <w:rPr>
          <w:rFonts w:ascii="Garamond" w:hAnsi="Garamond"/>
          <w:sz w:val="26"/>
          <w:szCs w:val="26"/>
        </w:rPr>
        <w:t>tariffaria dell’ET</w:t>
      </w:r>
      <w:r w:rsidR="00BD4684" w:rsidRPr="00C27AE9">
        <w:rPr>
          <w:rFonts w:ascii="Garamond" w:hAnsi="Garamond"/>
          <w:sz w:val="26"/>
          <w:szCs w:val="26"/>
        </w:rPr>
        <w:t xml:space="preserve">C, </w:t>
      </w:r>
      <w:r w:rsidR="000B0B03" w:rsidRPr="00C27AE9">
        <w:rPr>
          <w:rFonts w:ascii="Garamond" w:hAnsi="Garamond"/>
          <w:sz w:val="26"/>
          <w:szCs w:val="26"/>
        </w:rPr>
        <w:t xml:space="preserve">con i quali viene validato il PEF </w:t>
      </w:r>
      <w:r w:rsidR="00B32CC6" w:rsidRPr="00C27AE9">
        <w:rPr>
          <w:rFonts w:ascii="Garamond" w:hAnsi="Garamond"/>
          <w:sz w:val="26"/>
          <w:szCs w:val="26"/>
        </w:rPr>
        <w:t xml:space="preserve">del servizio </w:t>
      </w:r>
      <w:r w:rsidR="000B0B03" w:rsidRPr="00C27AE9">
        <w:rPr>
          <w:rFonts w:ascii="Garamond" w:hAnsi="Garamond"/>
          <w:sz w:val="26"/>
          <w:szCs w:val="26"/>
        </w:rPr>
        <w:t xml:space="preserve">e si </w:t>
      </w:r>
      <w:r w:rsidR="00AC70BC" w:rsidRPr="00C27AE9">
        <w:rPr>
          <w:rFonts w:ascii="Garamond" w:hAnsi="Garamond"/>
          <w:sz w:val="26"/>
          <w:szCs w:val="26"/>
        </w:rPr>
        <w:t>determina</w:t>
      </w:r>
      <w:r w:rsidR="000B0B03" w:rsidRPr="00C27AE9">
        <w:rPr>
          <w:rFonts w:ascii="Garamond" w:hAnsi="Garamond"/>
          <w:sz w:val="26"/>
          <w:szCs w:val="26"/>
        </w:rPr>
        <w:t xml:space="preserve">no </w:t>
      </w:r>
      <w:r w:rsidR="00B32CC6" w:rsidRPr="00C27AE9">
        <w:rPr>
          <w:rFonts w:ascii="Garamond" w:hAnsi="Garamond"/>
          <w:sz w:val="26"/>
          <w:szCs w:val="26"/>
        </w:rPr>
        <w:t xml:space="preserve">i </w:t>
      </w:r>
      <w:r w:rsidR="000B0B03" w:rsidRPr="00C27AE9">
        <w:rPr>
          <w:rFonts w:ascii="Garamond" w:hAnsi="Garamond"/>
          <w:sz w:val="26"/>
          <w:szCs w:val="26"/>
        </w:rPr>
        <w:t>valori massimi dei</w:t>
      </w:r>
      <w:r w:rsidR="00AC70BC" w:rsidRPr="00C27AE9">
        <w:rPr>
          <w:rFonts w:ascii="Garamond" w:hAnsi="Garamond"/>
          <w:sz w:val="26"/>
          <w:szCs w:val="26"/>
        </w:rPr>
        <w:t xml:space="preserve"> corrispettivi da riconoscere ai gestori</w:t>
      </w:r>
      <w:r w:rsidR="000B0B03" w:rsidRPr="00C27AE9">
        <w:rPr>
          <w:rFonts w:ascii="Garamond" w:hAnsi="Garamond"/>
          <w:sz w:val="26"/>
          <w:szCs w:val="26"/>
        </w:rPr>
        <w:t xml:space="preserve">. Ci si è chiesti se tali provvedimenti </w:t>
      </w:r>
      <w:r w:rsidR="00AC70BC" w:rsidRPr="00C27AE9">
        <w:rPr>
          <w:rFonts w:ascii="Garamond" w:hAnsi="Garamond"/>
          <w:sz w:val="26"/>
          <w:szCs w:val="26"/>
        </w:rPr>
        <w:t>sia</w:t>
      </w:r>
      <w:r w:rsidR="000B0B03" w:rsidRPr="00C27AE9">
        <w:rPr>
          <w:rFonts w:ascii="Garamond" w:hAnsi="Garamond"/>
          <w:sz w:val="26"/>
          <w:szCs w:val="26"/>
        </w:rPr>
        <w:t>no</w:t>
      </w:r>
      <w:r w:rsidR="00AC70BC" w:rsidRPr="00C27AE9">
        <w:rPr>
          <w:rFonts w:ascii="Garamond" w:hAnsi="Garamond"/>
          <w:sz w:val="26"/>
          <w:szCs w:val="26"/>
        </w:rPr>
        <w:t xml:space="preserve"> o meno immediatamente impugnabil</w:t>
      </w:r>
      <w:r w:rsidR="00B32CC6" w:rsidRPr="00C27AE9">
        <w:rPr>
          <w:rFonts w:ascii="Garamond" w:hAnsi="Garamond"/>
          <w:sz w:val="26"/>
          <w:szCs w:val="26"/>
        </w:rPr>
        <w:t>i</w:t>
      </w:r>
      <w:r w:rsidR="00AC70BC" w:rsidRPr="00C27AE9">
        <w:rPr>
          <w:rFonts w:ascii="Garamond" w:hAnsi="Garamond"/>
          <w:sz w:val="26"/>
          <w:szCs w:val="26"/>
        </w:rPr>
        <w:t xml:space="preserve">, anche prima dell’approvazione </w:t>
      </w:r>
      <w:r w:rsidR="00B32CC6" w:rsidRPr="00C27AE9">
        <w:rPr>
          <w:rFonts w:ascii="Garamond" w:hAnsi="Garamond"/>
          <w:sz w:val="26"/>
          <w:szCs w:val="26"/>
        </w:rPr>
        <w:t>definitiva</w:t>
      </w:r>
      <w:r w:rsidR="00AC70BC" w:rsidRPr="00C27AE9">
        <w:rPr>
          <w:rFonts w:ascii="Garamond" w:hAnsi="Garamond"/>
          <w:sz w:val="26"/>
          <w:szCs w:val="26"/>
        </w:rPr>
        <w:t xml:space="preserve"> da parte dell’Autorità</w:t>
      </w:r>
      <w:r w:rsidRPr="00C27AE9">
        <w:rPr>
          <w:rFonts w:ascii="Garamond" w:hAnsi="Garamond"/>
          <w:sz w:val="26"/>
          <w:szCs w:val="26"/>
        </w:rPr>
        <w:t>.</w:t>
      </w:r>
    </w:p>
    <w:p w14:paraId="2EE9E5E1" w14:textId="28CB7A35" w:rsidR="0013113B" w:rsidRPr="00C27AE9" w:rsidRDefault="007A507A" w:rsidP="0013113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Secondo un primo orientamento, </w:t>
      </w:r>
      <w:r w:rsidR="00BD4684" w:rsidRPr="00C27AE9">
        <w:rPr>
          <w:rFonts w:ascii="Garamond" w:hAnsi="Garamond"/>
          <w:sz w:val="26"/>
          <w:szCs w:val="26"/>
        </w:rPr>
        <w:t xml:space="preserve">tendenzialmente </w:t>
      </w:r>
      <w:r w:rsidRPr="00C27AE9">
        <w:rPr>
          <w:rFonts w:ascii="Garamond" w:hAnsi="Garamond"/>
          <w:sz w:val="26"/>
          <w:szCs w:val="26"/>
        </w:rPr>
        <w:t>prevalente fino a</w:t>
      </w:r>
      <w:r w:rsidR="001E5BFC" w:rsidRPr="00C27AE9">
        <w:rPr>
          <w:rFonts w:ascii="Garamond" w:hAnsi="Garamond"/>
          <w:sz w:val="26"/>
          <w:szCs w:val="26"/>
        </w:rPr>
        <w:t>l 2024</w:t>
      </w:r>
      <w:r w:rsidRPr="00C27AE9">
        <w:rPr>
          <w:rFonts w:ascii="Garamond" w:hAnsi="Garamond"/>
          <w:sz w:val="26"/>
          <w:szCs w:val="26"/>
        </w:rPr>
        <w:t>, le validazioni dei PEF possono essere impugnate, trattandosi di provvedimenti</w:t>
      </w:r>
      <w:r w:rsidR="0013113B" w:rsidRPr="00C27AE9">
        <w:rPr>
          <w:rFonts w:ascii="Garamond" w:hAnsi="Garamond"/>
          <w:sz w:val="26"/>
          <w:szCs w:val="26"/>
        </w:rPr>
        <w:t xml:space="preserve">: </w:t>
      </w:r>
    </w:p>
    <w:p w14:paraId="71BB5282" w14:textId="77777777" w:rsidR="0013113B" w:rsidRPr="00C27AE9" w:rsidRDefault="0013113B" w:rsidP="0013113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di rilevanza esterna, in quanto – a differenza di ciò che avviene nel servizio idrico integrato – sulla base dei PEF approvati viene predisposta e approvata la TARI applicata dai Comuni nei confronti della propria cittadinanza e vengono, inoltre, predisposti e approvati i bilanci dei Comuni;</w:t>
      </w:r>
    </w:p>
    <w:p w14:paraId="7A602072" w14:textId="485B66E6" w:rsidR="0013113B" w:rsidRPr="00C27AE9" w:rsidRDefault="0013113B" w:rsidP="0013113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 di efficacia immediata, perché </w:t>
      </w:r>
      <w:r w:rsidR="001E5BFC" w:rsidRPr="00C27AE9">
        <w:rPr>
          <w:rFonts w:ascii="Garamond" w:hAnsi="Garamond"/>
          <w:sz w:val="26"/>
          <w:szCs w:val="26"/>
        </w:rPr>
        <w:t xml:space="preserve">i prezzi massimi validati proprio tramite il </w:t>
      </w:r>
      <w:r w:rsidRPr="00C27AE9">
        <w:rPr>
          <w:rFonts w:ascii="Garamond" w:hAnsi="Garamond"/>
          <w:sz w:val="26"/>
          <w:szCs w:val="26"/>
        </w:rPr>
        <w:t>PEF trovano applicazione fino all’approvazione dell’ARERA</w:t>
      </w:r>
      <w:r w:rsidR="00AC70BC" w:rsidRPr="00C27AE9">
        <w:rPr>
          <w:rFonts w:ascii="Garamond" w:hAnsi="Garamond"/>
          <w:sz w:val="26"/>
          <w:szCs w:val="26"/>
        </w:rPr>
        <w:t>, per espressa previsione regolatoria</w:t>
      </w:r>
      <w:r w:rsidR="000B0B03" w:rsidRPr="00C27AE9">
        <w:rPr>
          <w:rFonts w:ascii="Garamond" w:hAnsi="Garamond"/>
          <w:sz w:val="26"/>
          <w:szCs w:val="26"/>
        </w:rPr>
        <w:t>;</w:t>
      </w:r>
    </w:p>
    <w:p w14:paraId="6043F6D1" w14:textId="4CB2ECB4" w:rsidR="0013113B" w:rsidRPr="00C27AE9" w:rsidRDefault="0013113B" w:rsidP="0013113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 di immediata lesività per il gestore, </w:t>
      </w:r>
      <w:r w:rsidR="00AC70BC" w:rsidRPr="00C27AE9">
        <w:rPr>
          <w:rFonts w:ascii="Garamond" w:hAnsi="Garamond"/>
          <w:sz w:val="26"/>
          <w:szCs w:val="26"/>
        </w:rPr>
        <w:t xml:space="preserve">qualora si </w:t>
      </w:r>
      <w:r w:rsidRPr="00C27AE9">
        <w:rPr>
          <w:rFonts w:ascii="Garamond" w:hAnsi="Garamond"/>
          <w:sz w:val="26"/>
          <w:szCs w:val="26"/>
        </w:rPr>
        <w:t>ved</w:t>
      </w:r>
      <w:r w:rsidR="00AC70BC" w:rsidRPr="00C27AE9">
        <w:rPr>
          <w:rFonts w:ascii="Garamond" w:hAnsi="Garamond"/>
          <w:sz w:val="26"/>
          <w:szCs w:val="26"/>
        </w:rPr>
        <w:t>a</w:t>
      </w:r>
      <w:r w:rsidRPr="00C27AE9">
        <w:rPr>
          <w:rFonts w:ascii="Garamond" w:hAnsi="Garamond"/>
          <w:sz w:val="26"/>
          <w:szCs w:val="26"/>
        </w:rPr>
        <w:t xml:space="preserve"> disconoscere una quota parte dei costi di gestione</w:t>
      </w:r>
      <w:r w:rsidR="00AC70BC" w:rsidRPr="00C27AE9">
        <w:rPr>
          <w:rFonts w:ascii="Garamond" w:hAnsi="Garamond"/>
          <w:sz w:val="26"/>
          <w:szCs w:val="26"/>
        </w:rPr>
        <w:t xml:space="preserve"> per effetto del già illustrato meccanismo di eterointegrazione contrattuale</w:t>
      </w:r>
      <w:r w:rsidRPr="00C27AE9">
        <w:rPr>
          <w:rFonts w:ascii="Garamond" w:hAnsi="Garamond"/>
          <w:sz w:val="26"/>
          <w:szCs w:val="26"/>
        </w:rPr>
        <w:t>.</w:t>
      </w:r>
    </w:p>
    <w:p w14:paraId="544C1574" w14:textId="51317E75" w:rsidR="00DC64B3" w:rsidRPr="00C27AE9" w:rsidRDefault="007A507A" w:rsidP="00DC64B3">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Più di recente, </w:t>
      </w:r>
      <w:r w:rsidR="000B0B03" w:rsidRPr="00C27AE9">
        <w:rPr>
          <w:rFonts w:ascii="Garamond" w:hAnsi="Garamond"/>
          <w:sz w:val="26"/>
          <w:szCs w:val="26"/>
        </w:rPr>
        <w:t>tuttavia</w:t>
      </w:r>
      <w:r w:rsidRPr="00C27AE9">
        <w:rPr>
          <w:rFonts w:ascii="Garamond" w:hAnsi="Garamond"/>
          <w:sz w:val="26"/>
          <w:szCs w:val="26"/>
        </w:rPr>
        <w:t xml:space="preserve">, è prevalso </w:t>
      </w:r>
      <w:r w:rsidR="00824313" w:rsidRPr="00C27AE9">
        <w:rPr>
          <w:rFonts w:ascii="Garamond" w:hAnsi="Garamond"/>
          <w:sz w:val="26"/>
          <w:szCs w:val="26"/>
        </w:rPr>
        <w:t>in sede di appello</w:t>
      </w:r>
      <w:r w:rsidR="001E5BFC" w:rsidRPr="00C27AE9">
        <w:rPr>
          <w:rStyle w:val="Rimandonotaapidipagina"/>
          <w:rFonts w:ascii="Garamond" w:hAnsi="Garamond"/>
          <w:sz w:val="26"/>
          <w:szCs w:val="26"/>
        </w:rPr>
        <w:footnoteReference w:id="60"/>
      </w:r>
      <w:r w:rsidR="00824313" w:rsidRPr="00C27AE9">
        <w:rPr>
          <w:rFonts w:ascii="Garamond" w:hAnsi="Garamond"/>
          <w:sz w:val="26"/>
          <w:szCs w:val="26"/>
        </w:rPr>
        <w:t xml:space="preserve"> </w:t>
      </w:r>
      <w:r w:rsidRPr="00C27AE9">
        <w:rPr>
          <w:rFonts w:ascii="Garamond" w:hAnsi="Garamond"/>
          <w:sz w:val="26"/>
          <w:szCs w:val="26"/>
        </w:rPr>
        <w:t>l’indirizzo</w:t>
      </w:r>
      <w:r w:rsidR="000B0B03" w:rsidRPr="00C27AE9">
        <w:rPr>
          <w:rFonts w:ascii="Garamond" w:hAnsi="Garamond"/>
          <w:sz w:val="26"/>
          <w:szCs w:val="26"/>
        </w:rPr>
        <w:t xml:space="preserve"> opposto</w:t>
      </w:r>
      <w:r w:rsidRPr="00C27AE9">
        <w:rPr>
          <w:rFonts w:ascii="Garamond" w:hAnsi="Garamond"/>
          <w:sz w:val="26"/>
          <w:szCs w:val="26"/>
        </w:rPr>
        <w:t xml:space="preserve">, </w:t>
      </w:r>
      <w:r w:rsidR="00BD4684" w:rsidRPr="00C27AE9">
        <w:rPr>
          <w:rFonts w:ascii="Garamond" w:hAnsi="Garamond"/>
          <w:sz w:val="26"/>
          <w:szCs w:val="26"/>
        </w:rPr>
        <w:t xml:space="preserve">che afferma la natura endoprocedimentale e provvisoria delle </w:t>
      </w:r>
      <w:r w:rsidRPr="00C27AE9">
        <w:rPr>
          <w:rFonts w:ascii="Garamond" w:hAnsi="Garamond"/>
          <w:sz w:val="26"/>
          <w:szCs w:val="26"/>
        </w:rPr>
        <w:t xml:space="preserve">determinazioni tariffarie adottate dall’ETC, </w:t>
      </w:r>
      <w:r w:rsidR="00DC64B3" w:rsidRPr="00C27AE9">
        <w:rPr>
          <w:rFonts w:ascii="Garamond" w:hAnsi="Garamond"/>
          <w:sz w:val="26"/>
          <w:szCs w:val="26"/>
        </w:rPr>
        <w:t xml:space="preserve">dovendosi individuare quale provvedimento impugnabile </w:t>
      </w:r>
      <w:r w:rsidR="000B0B03" w:rsidRPr="00C27AE9">
        <w:rPr>
          <w:rFonts w:ascii="Garamond" w:hAnsi="Garamond"/>
          <w:sz w:val="26"/>
          <w:szCs w:val="26"/>
        </w:rPr>
        <w:t xml:space="preserve">unicamente </w:t>
      </w:r>
      <w:r w:rsidR="00DC64B3" w:rsidRPr="00C27AE9">
        <w:rPr>
          <w:rFonts w:ascii="Garamond" w:hAnsi="Garamond"/>
          <w:sz w:val="26"/>
          <w:szCs w:val="26"/>
        </w:rPr>
        <w:t>la determinazione di approvazione da parte dell’ARERA</w:t>
      </w:r>
      <w:r w:rsidRPr="00C27AE9">
        <w:rPr>
          <w:rFonts w:ascii="Garamond" w:hAnsi="Garamond"/>
          <w:sz w:val="26"/>
          <w:szCs w:val="26"/>
        </w:rPr>
        <w:t>.</w:t>
      </w:r>
    </w:p>
    <w:p w14:paraId="6856A64D" w14:textId="35AF4088" w:rsidR="0013113B" w:rsidRPr="00C27AE9" w:rsidRDefault="00DC64B3" w:rsidP="0013113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Al riguardo, la prevalente giurisprudenza ha valorizzato il carattere bifasico </w:t>
      </w:r>
      <w:r w:rsidR="00AC70BC" w:rsidRPr="00C27AE9">
        <w:rPr>
          <w:rFonts w:ascii="Garamond" w:hAnsi="Garamond"/>
          <w:sz w:val="26"/>
          <w:szCs w:val="26"/>
        </w:rPr>
        <w:t xml:space="preserve">e al tempo stesso unitario </w:t>
      </w:r>
      <w:r w:rsidRPr="00C27AE9">
        <w:rPr>
          <w:rFonts w:ascii="Garamond" w:hAnsi="Garamond"/>
          <w:sz w:val="26"/>
          <w:szCs w:val="26"/>
        </w:rPr>
        <w:t xml:space="preserve">del procedimento, che prevede una proposta dell’autorità d’ambito, previa validazione dei dati e delle informazioni contenute nel PEF grezzo trasmesso dal gestore, cui fa seguito l’approvazione dell’ARERA, prima della quale la tariffa predisposta e applicata dall’ente d’ambito ha solo un’efficacia provvisoria. Si è, perciò, ritenuto che le tariffe predisposte dall’ente d’ambito e non ancora approvate dall’ARERA, benché provvisoriamente applicabili, non possano essere ritenute dotate di </w:t>
      </w:r>
      <w:r w:rsidR="00387AB1">
        <w:rPr>
          <w:rFonts w:ascii="Garamond" w:hAnsi="Garamond"/>
          <w:sz w:val="26"/>
          <w:szCs w:val="26"/>
        </w:rPr>
        <w:t>t</w:t>
      </w:r>
      <w:r w:rsidRPr="00C27AE9">
        <w:rPr>
          <w:rFonts w:ascii="Garamond" w:hAnsi="Garamond"/>
          <w:sz w:val="26"/>
          <w:szCs w:val="26"/>
        </w:rPr>
        <w:t>portata immediatamente e concretamente lesiva</w:t>
      </w:r>
      <w:r w:rsidR="00673B1B" w:rsidRPr="00C27AE9">
        <w:rPr>
          <w:rFonts w:ascii="Garamond" w:hAnsi="Garamond"/>
          <w:sz w:val="26"/>
          <w:szCs w:val="26"/>
        </w:rPr>
        <w:t>.</w:t>
      </w:r>
      <w:r w:rsidRPr="00C27AE9">
        <w:rPr>
          <w:rFonts w:ascii="Garamond" w:hAnsi="Garamond"/>
          <w:sz w:val="26"/>
          <w:szCs w:val="26"/>
        </w:rPr>
        <w:t xml:space="preserve"> </w:t>
      </w:r>
    </w:p>
    <w:p w14:paraId="7CC9DD27" w14:textId="4BB3FD69" w:rsidR="00DC64B3" w:rsidRPr="00C27AE9" w:rsidRDefault="000B0B03" w:rsidP="0013113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Tale giurisprudenza osserva che </w:t>
      </w:r>
      <w:r w:rsidR="00DC64B3" w:rsidRPr="00C27AE9">
        <w:rPr>
          <w:rFonts w:ascii="Garamond" w:hAnsi="Garamond"/>
          <w:sz w:val="26"/>
          <w:szCs w:val="26"/>
        </w:rPr>
        <w:t xml:space="preserve">la contestazione in giudizio delle modalità seguite dall’ente territorialmente competente nella validazione dei dati forniti dal gestore finisce per investire </w:t>
      </w:r>
      <w:r w:rsidR="00B34F1D" w:rsidRPr="00C27AE9">
        <w:rPr>
          <w:rFonts w:ascii="Garamond" w:hAnsi="Garamond"/>
          <w:sz w:val="26"/>
          <w:szCs w:val="26"/>
        </w:rPr>
        <w:t>«</w:t>
      </w:r>
      <w:r w:rsidR="00DC64B3" w:rsidRPr="00C27AE9">
        <w:rPr>
          <w:rFonts w:ascii="Garamond" w:hAnsi="Garamond"/>
          <w:i/>
          <w:iCs/>
          <w:sz w:val="26"/>
          <w:szCs w:val="26"/>
        </w:rPr>
        <w:t>proprio l’oggetto specifico della attività valutativa riservata ad ARERA</w:t>
      </w:r>
      <w:r w:rsidR="00721DCB" w:rsidRPr="00C27AE9">
        <w:rPr>
          <w:rFonts w:ascii="Garamond" w:hAnsi="Garamond"/>
          <w:sz w:val="26"/>
          <w:szCs w:val="26"/>
        </w:rPr>
        <w:t>»</w:t>
      </w:r>
      <w:r w:rsidR="00DC64B3" w:rsidRPr="00C27AE9">
        <w:rPr>
          <w:rFonts w:ascii="Garamond" w:hAnsi="Garamond"/>
          <w:sz w:val="26"/>
          <w:szCs w:val="26"/>
        </w:rPr>
        <w:t xml:space="preserve">; ciò che induce a ritenere che </w:t>
      </w:r>
      <w:r w:rsidR="00B34F1D" w:rsidRPr="00C27AE9">
        <w:rPr>
          <w:rFonts w:ascii="Garamond" w:hAnsi="Garamond"/>
          <w:sz w:val="26"/>
          <w:szCs w:val="26"/>
        </w:rPr>
        <w:t>«</w:t>
      </w:r>
      <w:r w:rsidR="00DC64B3" w:rsidRPr="00C27AE9">
        <w:rPr>
          <w:rFonts w:ascii="Garamond" w:hAnsi="Garamond"/>
          <w:i/>
          <w:iCs/>
          <w:sz w:val="26"/>
          <w:szCs w:val="26"/>
        </w:rPr>
        <w:t xml:space="preserve">frapporre un giudizio amministrativo tra questi due momenti (proposta </w:t>
      </w:r>
      <w:r w:rsidR="00DC64B3" w:rsidRPr="00C27AE9">
        <w:rPr>
          <w:rFonts w:ascii="Garamond" w:hAnsi="Garamond"/>
          <w:i/>
          <w:iCs/>
          <w:sz w:val="26"/>
          <w:szCs w:val="26"/>
        </w:rPr>
        <w:lastRenderedPageBreak/>
        <w:t>dell’ente d’ambito e approvazione dell’autorità di settore) potrebbe seriamente compromettere il ruolo e le funzioni svolte da ARERA, il tutto con probabile violazione dell’art. 34, comma 2, c.p.a., in relazione ossia a “poteri amministrativi non ancora esercitati” e con il rischio di “un “corto circuito istituzionale” ossia in un inestricabile groviglio giuridico-amministrativo, tra sentenze di primo (tra l’altro di diversi TAR funzionalmente e territorialmente competenti) e di secondo grado nonché interventi a più livelli di diversi organi amministrativi (ente d’ambito ed ARERA), che finirebbe per compromettere insanabilmente il fisiologico fluire amministrativo della procedura di approvazione delle tariffe</w:t>
      </w:r>
      <w:r w:rsidR="00B34F1D" w:rsidRPr="00C27AE9">
        <w:rPr>
          <w:rFonts w:ascii="Garamond" w:hAnsi="Garamond"/>
          <w:sz w:val="26"/>
          <w:szCs w:val="26"/>
        </w:rPr>
        <w:t>»</w:t>
      </w:r>
      <w:r w:rsidRPr="00C27AE9">
        <w:rPr>
          <w:rStyle w:val="Rimandonotaapidipagina"/>
          <w:rFonts w:ascii="Garamond" w:hAnsi="Garamond"/>
          <w:sz w:val="26"/>
          <w:szCs w:val="26"/>
        </w:rPr>
        <w:footnoteReference w:id="61"/>
      </w:r>
      <w:r w:rsidR="00DC64B3" w:rsidRPr="00C27AE9">
        <w:rPr>
          <w:rFonts w:ascii="Garamond" w:hAnsi="Garamond"/>
          <w:sz w:val="26"/>
          <w:szCs w:val="26"/>
        </w:rPr>
        <w:t>.</w:t>
      </w:r>
    </w:p>
    <w:p w14:paraId="68643E58" w14:textId="57363D00" w:rsidR="00623B16" w:rsidRPr="00C27AE9" w:rsidRDefault="00824313" w:rsidP="00623B16">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L</w:t>
      </w:r>
      <w:r w:rsidR="00623B16" w:rsidRPr="00C27AE9">
        <w:rPr>
          <w:rFonts w:ascii="Garamond" w:hAnsi="Garamond"/>
          <w:sz w:val="26"/>
          <w:szCs w:val="26"/>
        </w:rPr>
        <w:t>’orientamento espresso</w:t>
      </w:r>
      <w:r w:rsidRPr="00C27AE9">
        <w:rPr>
          <w:rFonts w:ascii="Garamond" w:hAnsi="Garamond"/>
          <w:sz w:val="26"/>
          <w:szCs w:val="26"/>
        </w:rPr>
        <w:t xml:space="preserve"> </w:t>
      </w:r>
      <w:r w:rsidR="00673B1B" w:rsidRPr="00C27AE9">
        <w:rPr>
          <w:rFonts w:ascii="Garamond" w:hAnsi="Garamond"/>
          <w:sz w:val="26"/>
          <w:szCs w:val="26"/>
        </w:rPr>
        <w:t xml:space="preserve">alla fine del </w:t>
      </w:r>
      <w:r w:rsidRPr="00C27AE9">
        <w:rPr>
          <w:rFonts w:ascii="Garamond" w:hAnsi="Garamond"/>
          <w:sz w:val="26"/>
          <w:szCs w:val="26"/>
        </w:rPr>
        <w:t xml:space="preserve">2024 dal Consiglio di Stato </w:t>
      </w:r>
      <w:r w:rsidR="00623B16" w:rsidRPr="00C27AE9">
        <w:rPr>
          <w:rFonts w:ascii="Garamond" w:hAnsi="Garamond"/>
          <w:sz w:val="26"/>
          <w:szCs w:val="26"/>
        </w:rPr>
        <w:t xml:space="preserve">è stato </w:t>
      </w:r>
      <w:r w:rsidR="00BD4684" w:rsidRPr="00C27AE9">
        <w:rPr>
          <w:rFonts w:ascii="Garamond" w:hAnsi="Garamond"/>
          <w:sz w:val="26"/>
          <w:szCs w:val="26"/>
        </w:rPr>
        <w:t>immediata</w:t>
      </w:r>
      <w:r w:rsidR="00673B1B" w:rsidRPr="00C27AE9">
        <w:rPr>
          <w:rFonts w:ascii="Garamond" w:hAnsi="Garamond"/>
          <w:sz w:val="26"/>
          <w:szCs w:val="26"/>
        </w:rPr>
        <w:t xml:space="preserve">mente </w:t>
      </w:r>
      <w:r w:rsidR="00623B16" w:rsidRPr="00C27AE9">
        <w:rPr>
          <w:rFonts w:ascii="Garamond" w:hAnsi="Garamond"/>
          <w:sz w:val="26"/>
          <w:szCs w:val="26"/>
        </w:rPr>
        <w:t>seguito dalla giurisprudenza di primo grado</w:t>
      </w:r>
      <w:r w:rsidR="00623B16" w:rsidRPr="00C27AE9">
        <w:rPr>
          <w:rStyle w:val="Rimandonotaapidipagina"/>
          <w:rFonts w:ascii="Garamond" w:hAnsi="Garamond"/>
          <w:sz w:val="26"/>
          <w:szCs w:val="26"/>
        </w:rPr>
        <w:footnoteReference w:id="62"/>
      </w:r>
      <w:r w:rsidR="00623B16" w:rsidRPr="00C27AE9">
        <w:rPr>
          <w:rFonts w:ascii="Garamond" w:hAnsi="Garamond"/>
          <w:sz w:val="26"/>
          <w:szCs w:val="26"/>
        </w:rPr>
        <w:t>.</w:t>
      </w:r>
    </w:p>
    <w:p w14:paraId="24D5A38D" w14:textId="56CEFD4B" w:rsidR="00B34F1D" w:rsidRPr="00C27AE9" w:rsidRDefault="00673B1B" w:rsidP="00623B16">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Anche il TAR funzionalmente competente, che in </w:t>
      </w:r>
      <w:r w:rsidR="00B34F1D" w:rsidRPr="00C27AE9">
        <w:rPr>
          <w:rFonts w:ascii="Garamond" w:hAnsi="Garamond"/>
          <w:sz w:val="26"/>
          <w:szCs w:val="26"/>
        </w:rPr>
        <w:t xml:space="preserve">precedenza </w:t>
      </w:r>
      <w:r w:rsidRPr="00C27AE9">
        <w:rPr>
          <w:rFonts w:ascii="Garamond" w:hAnsi="Garamond"/>
          <w:sz w:val="26"/>
          <w:szCs w:val="26"/>
        </w:rPr>
        <w:t>aveva ritenuto ammissibili i ricorsi proposti avverso le determinazioni tariffarie degli ETC</w:t>
      </w:r>
      <w:r w:rsidR="00BD4684" w:rsidRPr="00C27AE9">
        <w:rPr>
          <w:rFonts w:ascii="Garamond" w:hAnsi="Garamond"/>
          <w:sz w:val="26"/>
          <w:szCs w:val="26"/>
        </w:rPr>
        <w:t>,</w:t>
      </w:r>
      <w:r w:rsidRPr="00C27AE9">
        <w:rPr>
          <w:rFonts w:ascii="Garamond" w:hAnsi="Garamond"/>
          <w:sz w:val="26"/>
          <w:szCs w:val="26"/>
        </w:rPr>
        <w:t xml:space="preserve"> ha poi aderito all’indirizzo opposto, arricchendolo di ulteriori </w:t>
      </w:r>
      <w:r w:rsidR="00B34F1D" w:rsidRPr="00C27AE9">
        <w:rPr>
          <w:rFonts w:ascii="Garamond" w:hAnsi="Garamond"/>
          <w:sz w:val="26"/>
          <w:szCs w:val="26"/>
        </w:rPr>
        <w:t>precisazioni.</w:t>
      </w:r>
    </w:p>
    <w:p w14:paraId="1E776278" w14:textId="17CFB612" w:rsidR="00673B1B" w:rsidRPr="00C27AE9" w:rsidRDefault="00B34F1D" w:rsidP="009C4FCA">
      <w:pPr>
        <w:pStyle w:val="Rientrocorpodeltesto"/>
        <w:widowControl w:val="0"/>
        <w:spacing w:after="0"/>
        <w:ind w:left="0" w:firstLine="454"/>
        <w:jc w:val="both"/>
        <w:rPr>
          <w:rFonts w:ascii="Garamond" w:hAnsi="Garamond"/>
          <w:i/>
          <w:iCs/>
          <w:sz w:val="26"/>
          <w:szCs w:val="26"/>
        </w:rPr>
      </w:pPr>
      <w:r w:rsidRPr="00C27AE9">
        <w:rPr>
          <w:rFonts w:ascii="Garamond" w:hAnsi="Garamond"/>
          <w:sz w:val="26"/>
          <w:szCs w:val="26"/>
        </w:rPr>
        <w:t>In particolare</w:t>
      </w:r>
      <w:r w:rsidR="009C4FCA" w:rsidRPr="00C27AE9">
        <w:rPr>
          <w:rFonts w:ascii="Garamond" w:hAnsi="Garamond"/>
          <w:sz w:val="26"/>
          <w:szCs w:val="26"/>
        </w:rPr>
        <w:t>,</w:t>
      </w:r>
      <w:r w:rsidRPr="00C27AE9">
        <w:rPr>
          <w:rFonts w:ascii="Garamond" w:hAnsi="Garamond"/>
          <w:sz w:val="26"/>
          <w:szCs w:val="26"/>
        </w:rPr>
        <w:t xml:space="preserve"> si afferma che l’atto di validazione non sarebbe</w:t>
      </w:r>
      <w:r w:rsidR="00721DCB">
        <w:rPr>
          <w:rFonts w:ascii="Garamond" w:hAnsi="Garamond"/>
          <w:sz w:val="26"/>
          <w:szCs w:val="26"/>
        </w:rPr>
        <w:t xml:space="preserve"> </w:t>
      </w:r>
      <w:r w:rsidR="00CF77BB">
        <w:rPr>
          <w:rFonts w:ascii="Garamond" w:hAnsi="Garamond"/>
          <w:sz w:val="26"/>
          <w:szCs w:val="26"/>
        </w:rPr>
        <w:t xml:space="preserve">di per sé </w:t>
      </w:r>
      <w:r w:rsidR="00721DCB">
        <w:rPr>
          <w:rFonts w:ascii="Garamond" w:hAnsi="Garamond"/>
          <w:sz w:val="26"/>
          <w:szCs w:val="26"/>
        </w:rPr>
        <w:t xml:space="preserve">autonomamente </w:t>
      </w:r>
      <w:r w:rsidRPr="00C27AE9">
        <w:rPr>
          <w:rFonts w:ascii="Garamond" w:hAnsi="Garamond"/>
          <w:sz w:val="26"/>
          <w:szCs w:val="26"/>
        </w:rPr>
        <w:t xml:space="preserve"> impugnabile in quanto «</w:t>
      </w:r>
      <w:r w:rsidRPr="00C27AE9">
        <w:rPr>
          <w:rFonts w:ascii="Garamond" w:hAnsi="Garamond"/>
          <w:i/>
          <w:iCs/>
          <w:sz w:val="26"/>
          <w:szCs w:val="26"/>
        </w:rPr>
        <w:t xml:space="preserve">atto avente natura endoprocedimentale </w:t>
      </w:r>
      <w:r w:rsidR="009C4FCA" w:rsidRPr="00C27AE9">
        <w:rPr>
          <w:rFonts w:ascii="Garamond" w:hAnsi="Garamond"/>
          <w:i/>
          <w:iCs/>
          <w:sz w:val="26"/>
          <w:szCs w:val="26"/>
        </w:rPr>
        <w:t>(ma) non già in quanto atto non lesivo</w:t>
      </w:r>
      <w:r w:rsidRPr="00C27AE9">
        <w:rPr>
          <w:rFonts w:ascii="Garamond" w:hAnsi="Garamond"/>
          <w:i/>
          <w:iCs/>
          <w:sz w:val="26"/>
          <w:szCs w:val="26"/>
        </w:rPr>
        <w:t xml:space="preserve"> </w:t>
      </w:r>
      <w:r w:rsidR="009C4FCA" w:rsidRPr="00C27AE9">
        <w:rPr>
          <w:rFonts w:ascii="Garamond" w:hAnsi="Garamond"/>
          <w:i/>
          <w:iCs/>
          <w:sz w:val="26"/>
          <w:szCs w:val="26"/>
        </w:rPr>
        <w:t>bensì in quanto atto non definitivo</w:t>
      </w:r>
      <w:r w:rsidRPr="00C27AE9">
        <w:rPr>
          <w:rFonts w:ascii="Garamond" w:hAnsi="Garamond"/>
          <w:sz w:val="26"/>
          <w:szCs w:val="26"/>
        </w:rPr>
        <w:t xml:space="preserve">» </w:t>
      </w:r>
      <w:r w:rsidR="009C4FCA" w:rsidRPr="00C27AE9">
        <w:rPr>
          <w:rFonts w:ascii="Garamond" w:hAnsi="Garamond"/>
          <w:sz w:val="26"/>
          <w:szCs w:val="26"/>
        </w:rPr>
        <w:t>e poi che la previsione di cui all’art. 7.8 MTR-2 «</w:t>
      </w:r>
      <w:r w:rsidR="009C4FCA" w:rsidRPr="00C27AE9">
        <w:rPr>
          <w:rFonts w:ascii="Garamond" w:hAnsi="Garamond"/>
          <w:i/>
          <w:iCs/>
          <w:sz w:val="26"/>
          <w:szCs w:val="26"/>
        </w:rPr>
        <w:t>non equivale ad attribuire natura definitiva al provvedimento di validazione assunto dall’ETC</w:t>
      </w:r>
      <w:r w:rsidR="009C4FCA" w:rsidRPr="00C27AE9">
        <w:rPr>
          <w:rFonts w:ascii="Garamond" w:hAnsi="Garamond"/>
          <w:sz w:val="26"/>
          <w:szCs w:val="26"/>
        </w:rPr>
        <w:t xml:space="preserve">», dal momento che </w:t>
      </w:r>
      <w:r w:rsidR="00941128" w:rsidRPr="00C27AE9">
        <w:rPr>
          <w:rFonts w:ascii="Garamond" w:hAnsi="Garamond"/>
          <w:sz w:val="26"/>
          <w:szCs w:val="26"/>
        </w:rPr>
        <w:t>«</w:t>
      </w:r>
      <w:r w:rsidR="009C4FCA" w:rsidRPr="00C27AE9">
        <w:rPr>
          <w:rFonts w:ascii="Garamond" w:hAnsi="Garamond"/>
          <w:i/>
          <w:iCs/>
          <w:sz w:val="26"/>
          <w:szCs w:val="26"/>
        </w:rPr>
        <w:t>attribuisce al provvedimento dell’ETC sulla determinazione della tariffa efficacia esterna, ma transitoria (…)</w:t>
      </w:r>
      <w:r w:rsidR="00941128" w:rsidRPr="00C27AE9">
        <w:rPr>
          <w:rFonts w:ascii="Garamond" w:hAnsi="Garamond"/>
          <w:i/>
          <w:iCs/>
          <w:sz w:val="26"/>
          <w:szCs w:val="26"/>
        </w:rPr>
        <w:t xml:space="preserve">. Tale previsione </w:t>
      </w:r>
      <w:r w:rsidR="009C4FCA" w:rsidRPr="00C27AE9">
        <w:rPr>
          <w:rFonts w:ascii="Garamond" w:hAnsi="Garamond"/>
          <w:i/>
          <w:iCs/>
          <w:sz w:val="26"/>
          <w:szCs w:val="26"/>
        </w:rPr>
        <w:t>si pone in linea con la natura del servizio di igiene urbana che, quale servizio pubblico di durata, va prestato con continuità e senza interruzioni, rimanendo salvo il conguaglio in favore degli utenti di quanto corrisposto in base ad una tariffa provvisoria</w:t>
      </w:r>
      <w:r w:rsidR="009C4FCA" w:rsidRPr="00C27AE9">
        <w:rPr>
          <w:rFonts w:ascii="Garamond" w:hAnsi="Garamond"/>
          <w:sz w:val="26"/>
          <w:szCs w:val="26"/>
        </w:rPr>
        <w:t xml:space="preserve">» </w:t>
      </w:r>
      <w:r w:rsidR="00673B1B" w:rsidRPr="00C27AE9">
        <w:rPr>
          <w:rStyle w:val="Rimandonotaapidipagina"/>
          <w:rFonts w:ascii="Garamond" w:hAnsi="Garamond"/>
          <w:sz w:val="26"/>
          <w:szCs w:val="26"/>
        </w:rPr>
        <w:footnoteReference w:id="63"/>
      </w:r>
      <w:r w:rsidR="00673B1B" w:rsidRPr="00C27AE9">
        <w:rPr>
          <w:rFonts w:ascii="Garamond" w:hAnsi="Garamond"/>
          <w:sz w:val="26"/>
          <w:szCs w:val="26"/>
        </w:rPr>
        <w:t>.</w:t>
      </w:r>
    </w:p>
    <w:p w14:paraId="22F5E7B6" w14:textId="334FF31B" w:rsidR="007C633A" w:rsidRPr="00C27AE9" w:rsidRDefault="007C633A" w:rsidP="007C633A">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L’orientamento ormai prevalente </w:t>
      </w:r>
      <w:r w:rsidR="00623B16" w:rsidRPr="00C27AE9">
        <w:rPr>
          <w:rFonts w:ascii="Garamond" w:hAnsi="Garamond"/>
          <w:sz w:val="26"/>
          <w:szCs w:val="26"/>
        </w:rPr>
        <w:t xml:space="preserve">lascia </w:t>
      </w:r>
      <w:r w:rsidR="00BD4684" w:rsidRPr="00C27AE9">
        <w:rPr>
          <w:rFonts w:ascii="Garamond" w:hAnsi="Garamond"/>
          <w:sz w:val="26"/>
          <w:szCs w:val="26"/>
        </w:rPr>
        <w:t>però</w:t>
      </w:r>
      <w:r w:rsidRPr="00C27AE9">
        <w:rPr>
          <w:rFonts w:ascii="Garamond" w:hAnsi="Garamond"/>
          <w:sz w:val="26"/>
          <w:szCs w:val="26"/>
        </w:rPr>
        <w:t xml:space="preserve"> </w:t>
      </w:r>
      <w:r w:rsidR="00623B16" w:rsidRPr="00C27AE9">
        <w:rPr>
          <w:rFonts w:ascii="Garamond" w:hAnsi="Garamond"/>
          <w:sz w:val="26"/>
          <w:szCs w:val="26"/>
        </w:rPr>
        <w:t>aperti e</w:t>
      </w:r>
      <w:r w:rsidR="00721DCB">
        <w:rPr>
          <w:rFonts w:ascii="Garamond" w:hAnsi="Garamond"/>
          <w:sz w:val="26"/>
          <w:szCs w:val="26"/>
        </w:rPr>
        <w:t>d</w:t>
      </w:r>
      <w:r w:rsidR="00623B16" w:rsidRPr="00C27AE9">
        <w:rPr>
          <w:rFonts w:ascii="Garamond" w:hAnsi="Garamond"/>
          <w:sz w:val="26"/>
          <w:szCs w:val="26"/>
        </w:rPr>
        <w:t xml:space="preserve"> irrisolti tal</w:t>
      </w:r>
      <w:r w:rsidRPr="00C27AE9">
        <w:rPr>
          <w:rFonts w:ascii="Garamond" w:hAnsi="Garamond"/>
          <w:sz w:val="26"/>
          <w:szCs w:val="26"/>
        </w:rPr>
        <w:t xml:space="preserve">uni </w:t>
      </w:r>
      <w:r w:rsidR="00623B16" w:rsidRPr="00C27AE9">
        <w:rPr>
          <w:rFonts w:ascii="Garamond" w:hAnsi="Garamond"/>
          <w:sz w:val="26"/>
          <w:szCs w:val="26"/>
        </w:rPr>
        <w:t>profili</w:t>
      </w:r>
      <w:r w:rsidRPr="00C27AE9">
        <w:rPr>
          <w:rFonts w:ascii="Garamond" w:hAnsi="Garamond"/>
          <w:sz w:val="26"/>
          <w:szCs w:val="26"/>
        </w:rPr>
        <w:t xml:space="preserve"> di </w:t>
      </w:r>
      <w:r w:rsidR="00AC70BC" w:rsidRPr="00C27AE9">
        <w:rPr>
          <w:rFonts w:ascii="Garamond" w:hAnsi="Garamond"/>
          <w:sz w:val="26"/>
          <w:szCs w:val="26"/>
        </w:rPr>
        <w:t>criticità</w:t>
      </w:r>
      <w:r w:rsidRPr="00C27AE9">
        <w:rPr>
          <w:rFonts w:ascii="Garamond" w:hAnsi="Garamond"/>
          <w:sz w:val="26"/>
          <w:szCs w:val="26"/>
        </w:rPr>
        <w:t>.</w:t>
      </w:r>
    </w:p>
    <w:p w14:paraId="36FFDB07" w14:textId="030DE693" w:rsidR="007C633A" w:rsidRPr="00C27AE9" w:rsidRDefault="00623B16" w:rsidP="007C633A">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In primo luogo, </w:t>
      </w:r>
      <w:r w:rsidR="00A31BE1" w:rsidRPr="00C27AE9">
        <w:rPr>
          <w:rFonts w:ascii="Garamond" w:hAnsi="Garamond"/>
          <w:sz w:val="26"/>
          <w:szCs w:val="26"/>
        </w:rPr>
        <w:t>ne</w:t>
      </w:r>
      <w:r w:rsidR="00710E2E" w:rsidRPr="00C27AE9">
        <w:rPr>
          <w:rFonts w:ascii="Garamond" w:hAnsi="Garamond"/>
          <w:sz w:val="26"/>
          <w:szCs w:val="26"/>
        </w:rPr>
        <w:t xml:space="preserve">anche l’indirizzo prevalente disconosce l’immediata lesività dell’atto di validazione dell’ETC; quest’ultimo, infatti, viene ritenuto </w:t>
      </w:r>
      <w:r w:rsidR="00BD4684" w:rsidRPr="00C27AE9">
        <w:rPr>
          <w:rFonts w:ascii="Garamond" w:hAnsi="Garamond"/>
          <w:sz w:val="26"/>
          <w:szCs w:val="26"/>
        </w:rPr>
        <w:t xml:space="preserve">non </w:t>
      </w:r>
      <w:r w:rsidR="00710E2E" w:rsidRPr="00C27AE9">
        <w:rPr>
          <w:rFonts w:ascii="Garamond" w:hAnsi="Garamond"/>
          <w:sz w:val="26"/>
          <w:szCs w:val="26"/>
        </w:rPr>
        <w:t xml:space="preserve">autonomamente impugnabile </w:t>
      </w:r>
      <w:r w:rsidR="00710E2E" w:rsidRPr="00C27AE9">
        <w:rPr>
          <w:rFonts w:ascii="Garamond" w:hAnsi="Garamond"/>
          <w:i/>
          <w:iCs/>
          <w:sz w:val="26"/>
          <w:szCs w:val="26"/>
        </w:rPr>
        <w:t>non già in quanto atto non lesivo bensì in quanto atto non definitivo</w:t>
      </w:r>
      <w:r w:rsidR="00710E2E" w:rsidRPr="00C27AE9">
        <w:rPr>
          <w:rFonts w:ascii="Garamond" w:hAnsi="Garamond"/>
          <w:sz w:val="26"/>
          <w:szCs w:val="26"/>
        </w:rPr>
        <w:t xml:space="preserve">». A fronte di tale lesività, </w:t>
      </w:r>
      <w:r w:rsidRPr="00C27AE9">
        <w:rPr>
          <w:rFonts w:ascii="Garamond" w:hAnsi="Garamond"/>
          <w:sz w:val="26"/>
          <w:szCs w:val="26"/>
        </w:rPr>
        <w:t>la p</w:t>
      </w:r>
      <w:r w:rsidR="007C633A" w:rsidRPr="00C27AE9">
        <w:rPr>
          <w:rFonts w:ascii="Garamond" w:hAnsi="Garamond"/>
          <w:sz w:val="26"/>
          <w:szCs w:val="26"/>
        </w:rPr>
        <w:t>ospo</w:t>
      </w:r>
      <w:r w:rsidRPr="00C27AE9">
        <w:rPr>
          <w:rFonts w:ascii="Garamond" w:hAnsi="Garamond"/>
          <w:sz w:val="26"/>
          <w:szCs w:val="26"/>
        </w:rPr>
        <w:t xml:space="preserve">sizione del </w:t>
      </w:r>
      <w:r w:rsidR="007C633A" w:rsidRPr="00C27AE9">
        <w:rPr>
          <w:rFonts w:ascii="Garamond" w:hAnsi="Garamond"/>
          <w:sz w:val="26"/>
          <w:szCs w:val="26"/>
        </w:rPr>
        <w:t xml:space="preserve">momento </w:t>
      </w:r>
      <w:r w:rsidRPr="00C27AE9">
        <w:rPr>
          <w:rFonts w:ascii="Garamond" w:hAnsi="Garamond"/>
          <w:sz w:val="26"/>
          <w:szCs w:val="26"/>
        </w:rPr>
        <w:t xml:space="preserve">in cui al gestore è consentito </w:t>
      </w:r>
      <w:r w:rsidR="007C633A" w:rsidRPr="00C27AE9">
        <w:rPr>
          <w:rFonts w:ascii="Garamond" w:hAnsi="Garamond"/>
          <w:sz w:val="26"/>
          <w:szCs w:val="26"/>
        </w:rPr>
        <w:t>di attiva</w:t>
      </w:r>
      <w:r w:rsidRPr="00C27AE9">
        <w:rPr>
          <w:rFonts w:ascii="Garamond" w:hAnsi="Garamond"/>
          <w:sz w:val="26"/>
          <w:szCs w:val="26"/>
        </w:rPr>
        <w:t>re</w:t>
      </w:r>
      <w:r w:rsidR="007C633A" w:rsidRPr="00C27AE9">
        <w:rPr>
          <w:rFonts w:ascii="Garamond" w:hAnsi="Garamond"/>
          <w:sz w:val="26"/>
          <w:szCs w:val="26"/>
        </w:rPr>
        <w:t xml:space="preserve"> la tutela giurisdizionale</w:t>
      </w:r>
      <w:r w:rsidR="00A31BE1" w:rsidRPr="00C27AE9">
        <w:rPr>
          <w:rFonts w:ascii="Garamond" w:hAnsi="Garamond"/>
          <w:sz w:val="26"/>
          <w:szCs w:val="26"/>
        </w:rPr>
        <w:t xml:space="preserve">, riconducendolo </w:t>
      </w:r>
      <w:r w:rsidR="007C633A" w:rsidRPr="00C27AE9">
        <w:rPr>
          <w:rFonts w:ascii="Garamond" w:hAnsi="Garamond"/>
          <w:sz w:val="26"/>
          <w:szCs w:val="26"/>
        </w:rPr>
        <w:t>a</w:t>
      </w:r>
      <w:r w:rsidR="00824313" w:rsidRPr="00C27AE9">
        <w:rPr>
          <w:rFonts w:ascii="Garamond" w:hAnsi="Garamond"/>
          <w:sz w:val="26"/>
          <w:szCs w:val="26"/>
        </w:rPr>
        <w:t xml:space="preserve"> quello in cui </w:t>
      </w:r>
      <w:r w:rsidR="007C633A" w:rsidRPr="00C27AE9">
        <w:rPr>
          <w:rFonts w:ascii="Garamond" w:hAnsi="Garamond"/>
          <w:sz w:val="26"/>
          <w:szCs w:val="26"/>
        </w:rPr>
        <w:t>l</w:t>
      </w:r>
      <w:r w:rsidR="00824313" w:rsidRPr="00C27AE9">
        <w:rPr>
          <w:rFonts w:ascii="Garamond" w:hAnsi="Garamond"/>
          <w:sz w:val="26"/>
          <w:szCs w:val="26"/>
        </w:rPr>
        <w:t xml:space="preserve">’Autorità adotta </w:t>
      </w:r>
      <w:r w:rsidR="007C633A" w:rsidRPr="00C27AE9">
        <w:rPr>
          <w:rFonts w:ascii="Garamond" w:hAnsi="Garamond"/>
          <w:sz w:val="26"/>
          <w:szCs w:val="26"/>
        </w:rPr>
        <w:t>l’atto di approvazione d</w:t>
      </w:r>
      <w:r w:rsidR="00824313" w:rsidRPr="00C27AE9">
        <w:rPr>
          <w:rFonts w:ascii="Garamond" w:hAnsi="Garamond"/>
          <w:sz w:val="26"/>
          <w:szCs w:val="26"/>
        </w:rPr>
        <w:t>el PEF</w:t>
      </w:r>
      <w:r w:rsidR="00A31BE1" w:rsidRPr="00C27AE9">
        <w:rPr>
          <w:rFonts w:ascii="Garamond" w:hAnsi="Garamond"/>
          <w:sz w:val="26"/>
          <w:szCs w:val="26"/>
        </w:rPr>
        <w:t xml:space="preserve">, </w:t>
      </w:r>
      <w:r w:rsidR="007C633A" w:rsidRPr="00C27AE9">
        <w:rPr>
          <w:rFonts w:ascii="Garamond" w:hAnsi="Garamond"/>
          <w:sz w:val="26"/>
          <w:szCs w:val="26"/>
        </w:rPr>
        <w:t xml:space="preserve">non sembra particolarmente </w:t>
      </w:r>
      <w:r w:rsidR="00A31BE1" w:rsidRPr="00C27AE9">
        <w:rPr>
          <w:rFonts w:ascii="Garamond" w:hAnsi="Garamond"/>
          <w:sz w:val="26"/>
          <w:szCs w:val="26"/>
        </w:rPr>
        <w:t xml:space="preserve">in linea con l’indefettibile </w:t>
      </w:r>
      <w:r w:rsidR="007C633A" w:rsidRPr="00C27AE9">
        <w:rPr>
          <w:rFonts w:ascii="Garamond" w:hAnsi="Garamond"/>
          <w:sz w:val="26"/>
          <w:szCs w:val="26"/>
        </w:rPr>
        <w:t>principio di</w:t>
      </w:r>
      <w:r w:rsidR="00824313" w:rsidRPr="00C27AE9">
        <w:rPr>
          <w:rFonts w:ascii="Garamond" w:hAnsi="Garamond"/>
          <w:sz w:val="26"/>
          <w:szCs w:val="26"/>
        </w:rPr>
        <w:t xml:space="preserve"> </w:t>
      </w:r>
      <w:r w:rsidR="007C633A" w:rsidRPr="00C27AE9">
        <w:rPr>
          <w:rFonts w:ascii="Garamond" w:hAnsi="Garamond"/>
          <w:sz w:val="26"/>
          <w:szCs w:val="26"/>
        </w:rPr>
        <w:t>effettività</w:t>
      </w:r>
      <w:r w:rsidRPr="00C27AE9">
        <w:rPr>
          <w:rFonts w:ascii="Garamond" w:hAnsi="Garamond"/>
          <w:sz w:val="26"/>
          <w:szCs w:val="26"/>
        </w:rPr>
        <w:t xml:space="preserve"> della tutela stessa, </w:t>
      </w:r>
      <w:r w:rsidR="00A31BE1" w:rsidRPr="00C27AE9">
        <w:rPr>
          <w:rFonts w:ascii="Garamond" w:hAnsi="Garamond"/>
          <w:sz w:val="26"/>
          <w:szCs w:val="26"/>
        </w:rPr>
        <w:t xml:space="preserve">rispetto alla quale </w:t>
      </w:r>
      <w:r w:rsidRPr="00C27AE9">
        <w:rPr>
          <w:rFonts w:ascii="Garamond" w:hAnsi="Garamond"/>
          <w:sz w:val="26"/>
          <w:szCs w:val="26"/>
        </w:rPr>
        <w:t xml:space="preserve">non </w:t>
      </w:r>
      <w:r w:rsidR="00A31BE1" w:rsidRPr="00C27AE9">
        <w:rPr>
          <w:rFonts w:ascii="Garamond" w:hAnsi="Garamond"/>
          <w:sz w:val="26"/>
          <w:szCs w:val="26"/>
        </w:rPr>
        <w:t xml:space="preserve">appare secondario </w:t>
      </w:r>
      <w:r w:rsidRPr="00C27AE9">
        <w:rPr>
          <w:rFonts w:ascii="Garamond" w:hAnsi="Garamond"/>
          <w:sz w:val="26"/>
          <w:szCs w:val="26"/>
        </w:rPr>
        <w:t xml:space="preserve">l’aspetto concernente l’immediatezza </w:t>
      </w:r>
      <w:r w:rsidR="00A31BE1" w:rsidRPr="00C27AE9">
        <w:rPr>
          <w:rFonts w:ascii="Garamond" w:hAnsi="Garamond"/>
          <w:sz w:val="26"/>
          <w:szCs w:val="26"/>
        </w:rPr>
        <w:t>e</w:t>
      </w:r>
      <w:r w:rsidRPr="00C27AE9">
        <w:rPr>
          <w:rFonts w:ascii="Garamond" w:hAnsi="Garamond"/>
          <w:sz w:val="26"/>
          <w:szCs w:val="26"/>
        </w:rPr>
        <w:t xml:space="preserve"> la celerità della risposta giudiziaria.</w:t>
      </w:r>
    </w:p>
    <w:p w14:paraId="0CEC4660" w14:textId="5F09DF45" w:rsidR="00623B16" w:rsidRPr="00C27AE9" w:rsidRDefault="00623B16" w:rsidP="007C633A">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Da questo punto di vista, </w:t>
      </w:r>
      <w:r w:rsidR="00E205DA" w:rsidRPr="00C27AE9">
        <w:rPr>
          <w:rFonts w:ascii="Garamond" w:hAnsi="Garamond"/>
          <w:sz w:val="26"/>
          <w:szCs w:val="26"/>
        </w:rPr>
        <w:t xml:space="preserve">non convince </w:t>
      </w:r>
      <w:r w:rsidR="00824313" w:rsidRPr="00C27AE9">
        <w:rPr>
          <w:rFonts w:ascii="Garamond" w:hAnsi="Garamond"/>
          <w:sz w:val="26"/>
          <w:szCs w:val="26"/>
        </w:rPr>
        <w:t xml:space="preserve">appieno </w:t>
      </w:r>
      <w:r w:rsidR="00E205DA" w:rsidRPr="00C27AE9">
        <w:rPr>
          <w:rFonts w:ascii="Garamond" w:hAnsi="Garamond"/>
          <w:sz w:val="26"/>
          <w:szCs w:val="26"/>
        </w:rPr>
        <w:t>l’affermazione secondo cui “</w:t>
      </w:r>
      <w:r w:rsidR="00E205DA" w:rsidRPr="00C27AE9">
        <w:rPr>
          <w:rFonts w:ascii="Garamond" w:hAnsi="Garamond"/>
          <w:i/>
          <w:iCs/>
          <w:sz w:val="26"/>
          <w:szCs w:val="26"/>
        </w:rPr>
        <w:t>i soggetti interessati potrebbero reagire con i rimedi contro il silenzio inadempimento</w:t>
      </w:r>
      <w:r w:rsidR="00E205DA" w:rsidRPr="00C27AE9">
        <w:rPr>
          <w:rFonts w:ascii="Garamond" w:hAnsi="Garamond"/>
          <w:sz w:val="26"/>
          <w:szCs w:val="26"/>
        </w:rPr>
        <w:t>” nei confronti dell’Autorità</w:t>
      </w:r>
      <w:r w:rsidR="00A31BE1" w:rsidRPr="00C27AE9">
        <w:rPr>
          <w:rFonts w:ascii="Garamond" w:hAnsi="Garamond"/>
          <w:sz w:val="26"/>
          <w:szCs w:val="26"/>
        </w:rPr>
        <w:t xml:space="preserve"> </w:t>
      </w:r>
      <w:r w:rsidR="00D9189A">
        <w:rPr>
          <w:rFonts w:ascii="Garamond" w:hAnsi="Garamond"/>
          <w:sz w:val="26"/>
          <w:szCs w:val="26"/>
        </w:rPr>
        <w:t xml:space="preserve">che sia </w:t>
      </w:r>
      <w:r w:rsidR="00A31BE1" w:rsidRPr="00C27AE9">
        <w:rPr>
          <w:rFonts w:ascii="Garamond" w:hAnsi="Garamond"/>
          <w:sz w:val="26"/>
          <w:szCs w:val="26"/>
        </w:rPr>
        <w:t>rimasta inerte</w:t>
      </w:r>
      <w:r w:rsidR="00E205DA" w:rsidRPr="00C27AE9">
        <w:rPr>
          <w:rFonts w:ascii="Garamond" w:hAnsi="Garamond"/>
          <w:sz w:val="26"/>
          <w:szCs w:val="26"/>
        </w:rPr>
        <w:t>, contenuta nelle pronunce poc’anzi citate.</w:t>
      </w:r>
    </w:p>
    <w:p w14:paraId="48BDC5A5" w14:textId="40747CE5" w:rsidR="00E205DA" w:rsidRPr="00C27AE9" w:rsidRDefault="00E205DA" w:rsidP="007C633A">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A fronte</w:t>
      </w:r>
      <w:r w:rsidR="00AE0355" w:rsidRPr="00C27AE9">
        <w:rPr>
          <w:rFonts w:ascii="Garamond" w:hAnsi="Garamond"/>
          <w:sz w:val="26"/>
          <w:szCs w:val="26"/>
        </w:rPr>
        <w:t xml:space="preserve">, </w:t>
      </w:r>
      <w:r w:rsidRPr="00C27AE9">
        <w:rPr>
          <w:rFonts w:ascii="Garamond" w:hAnsi="Garamond"/>
          <w:sz w:val="26"/>
          <w:szCs w:val="26"/>
        </w:rPr>
        <w:t>infatti</w:t>
      </w:r>
      <w:r w:rsidR="00AE0355" w:rsidRPr="00C27AE9">
        <w:rPr>
          <w:rFonts w:ascii="Garamond" w:hAnsi="Garamond"/>
          <w:sz w:val="26"/>
          <w:szCs w:val="26"/>
        </w:rPr>
        <w:t>,</w:t>
      </w:r>
      <w:r w:rsidRPr="00C27AE9">
        <w:rPr>
          <w:rFonts w:ascii="Garamond" w:hAnsi="Garamond"/>
          <w:sz w:val="26"/>
          <w:szCs w:val="26"/>
        </w:rPr>
        <w:t xml:space="preserve"> di una validazione dell’ETC </w:t>
      </w:r>
      <w:r w:rsidR="00AE0355" w:rsidRPr="00C27AE9">
        <w:rPr>
          <w:rFonts w:ascii="Garamond" w:hAnsi="Garamond"/>
          <w:sz w:val="26"/>
          <w:szCs w:val="26"/>
        </w:rPr>
        <w:t xml:space="preserve">che spiega effetti immediati e quindi </w:t>
      </w:r>
      <w:r w:rsidRPr="00C27AE9">
        <w:rPr>
          <w:rFonts w:ascii="Garamond" w:hAnsi="Garamond"/>
          <w:sz w:val="26"/>
          <w:szCs w:val="26"/>
        </w:rPr>
        <w:t xml:space="preserve">immediatamente lesiva e del comportamento inerte di Arera, sarebbe ancora una volta il gestore a doversi fare carico di risolvere tali “evenienze patologiche” a lui non imputabili, instaurando un ulteriore procedimento che ove non concluso lo costringerebbe ad </w:t>
      </w:r>
      <w:r w:rsidRPr="00C27AE9">
        <w:rPr>
          <w:rFonts w:ascii="Garamond" w:hAnsi="Garamond"/>
          <w:sz w:val="26"/>
          <w:szCs w:val="26"/>
        </w:rPr>
        <w:lastRenderedPageBreak/>
        <w:t xml:space="preserve">impugnare eventualmente l’inerzia prima e </w:t>
      </w:r>
      <w:r w:rsidR="00A31BE1" w:rsidRPr="00C27AE9">
        <w:rPr>
          <w:rFonts w:ascii="Garamond" w:hAnsi="Garamond"/>
          <w:sz w:val="26"/>
          <w:szCs w:val="26"/>
        </w:rPr>
        <w:t xml:space="preserve">in un momento ancora ulteriore </w:t>
      </w:r>
      <w:r w:rsidRPr="00C27AE9">
        <w:rPr>
          <w:rFonts w:ascii="Garamond" w:hAnsi="Garamond"/>
          <w:sz w:val="26"/>
          <w:szCs w:val="26"/>
        </w:rPr>
        <w:t>dopo il provvedimento di approvazione.</w:t>
      </w:r>
    </w:p>
    <w:p w14:paraId="5F7536CC" w14:textId="46EAC580" w:rsidR="00245A6F" w:rsidRPr="00C27AE9" w:rsidRDefault="00710E2E" w:rsidP="000B1317">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Sotto tale profilo,</w:t>
      </w:r>
      <w:r w:rsidR="000B1317" w:rsidRPr="00C27AE9">
        <w:rPr>
          <w:rFonts w:ascii="Garamond" w:hAnsi="Garamond"/>
          <w:sz w:val="26"/>
          <w:szCs w:val="26"/>
        </w:rPr>
        <w:t xml:space="preserve"> va osservato che fino all’adozione del MTR-3, non era neppure previsto uno specifico termine espresso affinchè Arera provvedesse all’approvazione di sua competenza; e</w:t>
      </w:r>
      <w:r w:rsidR="00D9189A">
        <w:rPr>
          <w:rFonts w:ascii="Garamond" w:hAnsi="Garamond"/>
          <w:sz w:val="26"/>
          <w:szCs w:val="26"/>
        </w:rPr>
        <w:t xml:space="preserve"> a </w:t>
      </w:r>
      <w:r w:rsidR="000B1317" w:rsidRPr="00C27AE9">
        <w:rPr>
          <w:rFonts w:ascii="Garamond" w:hAnsi="Garamond"/>
          <w:sz w:val="26"/>
          <w:szCs w:val="26"/>
        </w:rPr>
        <w:t>d</w:t>
      </w:r>
      <w:r w:rsidR="00D9189A">
        <w:rPr>
          <w:rFonts w:ascii="Garamond" w:hAnsi="Garamond"/>
          <w:sz w:val="26"/>
          <w:szCs w:val="26"/>
        </w:rPr>
        <w:t>ire il vero</w:t>
      </w:r>
      <w:r w:rsidR="000B1317" w:rsidRPr="00C27AE9">
        <w:rPr>
          <w:rFonts w:ascii="Garamond" w:hAnsi="Garamond"/>
          <w:sz w:val="26"/>
          <w:szCs w:val="26"/>
        </w:rPr>
        <w:t xml:space="preserve"> </w:t>
      </w:r>
      <w:r w:rsidR="00D9189A">
        <w:rPr>
          <w:rFonts w:ascii="Garamond" w:hAnsi="Garamond"/>
          <w:sz w:val="26"/>
          <w:szCs w:val="26"/>
        </w:rPr>
        <w:t>ne</w:t>
      </w:r>
      <w:r w:rsidR="000B1317" w:rsidRPr="00C27AE9">
        <w:rPr>
          <w:rFonts w:ascii="Garamond" w:hAnsi="Garamond"/>
          <w:sz w:val="26"/>
          <w:szCs w:val="26"/>
        </w:rPr>
        <w:t>a</w:t>
      </w:r>
      <w:r w:rsidRPr="00C27AE9">
        <w:rPr>
          <w:rFonts w:ascii="Garamond" w:hAnsi="Garamond"/>
          <w:sz w:val="26"/>
          <w:szCs w:val="26"/>
        </w:rPr>
        <w:t>nche la recente introduzione con l’MTR-3 di un termine massimo di 180 giorni perché Arera approvi le validazioni dell’ETC</w:t>
      </w:r>
      <w:r w:rsidR="00A31BE1" w:rsidRPr="00C27AE9">
        <w:rPr>
          <w:rFonts w:ascii="Garamond" w:hAnsi="Garamond"/>
          <w:sz w:val="26"/>
          <w:szCs w:val="26"/>
        </w:rPr>
        <w:t xml:space="preserve"> appare particolarmente risolutiva, stante l’evidente carattere ordinatorio di tale termine.</w:t>
      </w:r>
      <w:r w:rsidRPr="00C27AE9">
        <w:rPr>
          <w:rFonts w:ascii="Garamond" w:hAnsi="Garamond"/>
          <w:sz w:val="26"/>
          <w:szCs w:val="26"/>
        </w:rPr>
        <w:t xml:space="preserve"> </w:t>
      </w:r>
    </w:p>
    <w:p w14:paraId="25325A39" w14:textId="08AF9284" w:rsidR="00E205DA" w:rsidRPr="00C27AE9" w:rsidRDefault="00BD4684" w:rsidP="00395BDA">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L</w:t>
      </w:r>
      <w:r w:rsidR="00872C09" w:rsidRPr="00C27AE9">
        <w:rPr>
          <w:rFonts w:ascii="Garamond" w:hAnsi="Garamond"/>
          <w:sz w:val="26"/>
          <w:szCs w:val="26"/>
        </w:rPr>
        <w:t>a</w:t>
      </w:r>
      <w:r w:rsidR="00D9189A">
        <w:rPr>
          <w:rFonts w:ascii="Garamond" w:hAnsi="Garamond"/>
          <w:sz w:val="26"/>
          <w:szCs w:val="26"/>
        </w:rPr>
        <w:t xml:space="preserve"> </w:t>
      </w:r>
      <w:r w:rsidR="00710E2E" w:rsidRPr="00C27AE9">
        <w:rPr>
          <w:rFonts w:ascii="Garamond" w:hAnsi="Garamond"/>
          <w:sz w:val="26"/>
          <w:szCs w:val="26"/>
        </w:rPr>
        <w:t>configurazione</w:t>
      </w:r>
      <w:r w:rsidR="00CF77BB">
        <w:rPr>
          <w:rFonts w:ascii="Garamond" w:hAnsi="Garamond"/>
          <w:sz w:val="26"/>
          <w:szCs w:val="26"/>
        </w:rPr>
        <w:t>,</w:t>
      </w:r>
      <w:r w:rsidR="00D9189A">
        <w:rPr>
          <w:rFonts w:ascii="Garamond" w:hAnsi="Garamond"/>
          <w:sz w:val="26"/>
          <w:szCs w:val="26"/>
        </w:rPr>
        <w:t xml:space="preserve"> con riferimento alla validazione del PEF</w:t>
      </w:r>
      <w:r w:rsidR="00CF77BB">
        <w:rPr>
          <w:rFonts w:ascii="Garamond" w:hAnsi="Garamond"/>
          <w:sz w:val="26"/>
          <w:szCs w:val="26"/>
        </w:rPr>
        <w:t>,</w:t>
      </w:r>
      <w:r w:rsidR="00D9189A">
        <w:rPr>
          <w:rFonts w:ascii="Garamond" w:hAnsi="Garamond"/>
          <w:sz w:val="26"/>
          <w:szCs w:val="26"/>
        </w:rPr>
        <w:t xml:space="preserve"> </w:t>
      </w:r>
      <w:r w:rsidR="00AC70BC" w:rsidRPr="00C27AE9">
        <w:rPr>
          <w:rFonts w:ascii="Garamond" w:hAnsi="Garamond"/>
          <w:sz w:val="26"/>
          <w:szCs w:val="26"/>
        </w:rPr>
        <w:t xml:space="preserve">di una </w:t>
      </w:r>
      <w:r w:rsidR="007C633A" w:rsidRPr="00C27AE9">
        <w:rPr>
          <w:rFonts w:ascii="Garamond" w:hAnsi="Garamond"/>
          <w:sz w:val="26"/>
          <w:szCs w:val="26"/>
        </w:rPr>
        <w:t>categoria d</w:t>
      </w:r>
      <w:r w:rsidR="00AC70BC" w:rsidRPr="00C27AE9">
        <w:rPr>
          <w:rFonts w:ascii="Garamond" w:hAnsi="Garamond"/>
          <w:sz w:val="26"/>
          <w:szCs w:val="26"/>
        </w:rPr>
        <w:t xml:space="preserve">i </w:t>
      </w:r>
      <w:r w:rsidR="00D9189A">
        <w:rPr>
          <w:rFonts w:ascii="Garamond" w:hAnsi="Garamond"/>
          <w:sz w:val="26"/>
          <w:szCs w:val="26"/>
        </w:rPr>
        <w:t>provvediment</w:t>
      </w:r>
      <w:r w:rsidR="00AC70BC" w:rsidRPr="00C27AE9">
        <w:rPr>
          <w:rFonts w:ascii="Garamond" w:hAnsi="Garamond"/>
          <w:sz w:val="26"/>
          <w:szCs w:val="26"/>
        </w:rPr>
        <w:t xml:space="preserve">o </w:t>
      </w:r>
      <w:r w:rsidR="00395BDA" w:rsidRPr="00C27AE9">
        <w:rPr>
          <w:rFonts w:ascii="Garamond" w:hAnsi="Garamond"/>
          <w:sz w:val="26"/>
          <w:szCs w:val="26"/>
        </w:rPr>
        <w:t xml:space="preserve">non definitivo ed </w:t>
      </w:r>
      <w:r w:rsidR="007C633A" w:rsidRPr="00C27AE9">
        <w:rPr>
          <w:rFonts w:ascii="Garamond" w:hAnsi="Garamond"/>
          <w:sz w:val="26"/>
          <w:szCs w:val="26"/>
        </w:rPr>
        <w:t xml:space="preserve">immediatamente lesivo </w:t>
      </w:r>
      <w:r w:rsidR="00E205DA" w:rsidRPr="00C27AE9">
        <w:rPr>
          <w:rFonts w:ascii="Garamond" w:hAnsi="Garamond"/>
          <w:sz w:val="26"/>
          <w:szCs w:val="26"/>
        </w:rPr>
        <w:t xml:space="preserve">ma </w:t>
      </w:r>
      <w:r w:rsidR="007C633A" w:rsidRPr="00C27AE9">
        <w:rPr>
          <w:rFonts w:ascii="Garamond" w:hAnsi="Garamond"/>
          <w:sz w:val="26"/>
          <w:szCs w:val="26"/>
        </w:rPr>
        <w:t>non impugnabil</w:t>
      </w:r>
      <w:r w:rsidR="00395BDA" w:rsidRPr="00C27AE9">
        <w:rPr>
          <w:rFonts w:ascii="Garamond" w:hAnsi="Garamond"/>
          <w:sz w:val="26"/>
          <w:szCs w:val="26"/>
        </w:rPr>
        <w:t>e</w:t>
      </w:r>
      <w:r w:rsidR="00D9189A">
        <w:rPr>
          <w:rFonts w:ascii="Garamond" w:hAnsi="Garamond"/>
          <w:sz w:val="26"/>
          <w:szCs w:val="26"/>
        </w:rPr>
        <w:t xml:space="preserve">, sembra </w:t>
      </w:r>
      <w:r w:rsidR="00195F01">
        <w:rPr>
          <w:rFonts w:ascii="Garamond" w:hAnsi="Garamond"/>
          <w:sz w:val="26"/>
          <w:szCs w:val="26"/>
        </w:rPr>
        <w:t xml:space="preserve">anche </w:t>
      </w:r>
      <w:r w:rsidR="00D9189A">
        <w:rPr>
          <w:rFonts w:ascii="Garamond" w:hAnsi="Garamond"/>
          <w:sz w:val="26"/>
          <w:szCs w:val="26"/>
        </w:rPr>
        <w:t xml:space="preserve">non </w:t>
      </w:r>
      <w:r w:rsidR="00CF77BB">
        <w:rPr>
          <w:rFonts w:ascii="Garamond" w:hAnsi="Garamond"/>
          <w:sz w:val="26"/>
          <w:szCs w:val="26"/>
        </w:rPr>
        <w:t xml:space="preserve">facilmente </w:t>
      </w:r>
      <w:r w:rsidR="00D9189A">
        <w:rPr>
          <w:rFonts w:ascii="Garamond" w:hAnsi="Garamond"/>
          <w:sz w:val="26"/>
          <w:szCs w:val="26"/>
        </w:rPr>
        <w:t>conciliabile</w:t>
      </w:r>
      <w:r w:rsidR="00395BDA" w:rsidRPr="00C27AE9">
        <w:rPr>
          <w:rFonts w:ascii="Garamond" w:hAnsi="Garamond"/>
          <w:sz w:val="26"/>
          <w:szCs w:val="26"/>
        </w:rPr>
        <w:t xml:space="preserve"> con </w:t>
      </w:r>
      <w:r w:rsidR="00195F01">
        <w:rPr>
          <w:rFonts w:ascii="Garamond" w:hAnsi="Garamond"/>
          <w:sz w:val="26"/>
          <w:szCs w:val="26"/>
        </w:rPr>
        <w:t>l’affermazione della</w:t>
      </w:r>
      <w:r w:rsidR="00245A6F" w:rsidRPr="00C27AE9">
        <w:rPr>
          <w:rFonts w:ascii="Garamond" w:hAnsi="Garamond"/>
          <w:sz w:val="26"/>
          <w:szCs w:val="26"/>
        </w:rPr>
        <w:t xml:space="preserve"> stessa giurisprudenza prevalente </w:t>
      </w:r>
      <w:r w:rsidR="00395BDA" w:rsidRPr="00C27AE9">
        <w:rPr>
          <w:rFonts w:ascii="Garamond" w:hAnsi="Garamond"/>
          <w:sz w:val="26"/>
          <w:szCs w:val="26"/>
        </w:rPr>
        <w:t>che ravvisa n</w:t>
      </w:r>
      <w:r w:rsidR="00D9189A">
        <w:rPr>
          <w:rFonts w:ascii="Garamond" w:hAnsi="Garamond"/>
          <w:sz w:val="26"/>
          <w:szCs w:val="26"/>
        </w:rPr>
        <w:t xml:space="preserve">el medesimo </w:t>
      </w:r>
      <w:r w:rsidR="00395BDA" w:rsidRPr="00C27AE9">
        <w:rPr>
          <w:rFonts w:ascii="Garamond" w:hAnsi="Garamond"/>
          <w:sz w:val="26"/>
          <w:szCs w:val="26"/>
        </w:rPr>
        <w:t>atto l’</w:t>
      </w:r>
      <w:r w:rsidR="00245A6F" w:rsidRPr="00C27AE9">
        <w:rPr>
          <w:rFonts w:ascii="Garamond" w:hAnsi="Garamond"/>
          <w:sz w:val="26"/>
          <w:szCs w:val="26"/>
        </w:rPr>
        <w:t xml:space="preserve">espressione di un autonomo potere </w:t>
      </w:r>
      <w:r w:rsidR="00195F01">
        <w:rPr>
          <w:rFonts w:ascii="Garamond" w:hAnsi="Garamond"/>
          <w:sz w:val="26"/>
          <w:szCs w:val="26"/>
        </w:rPr>
        <w:t>tramite il quale l</w:t>
      </w:r>
      <w:r w:rsidR="00245A6F" w:rsidRPr="00C27AE9">
        <w:rPr>
          <w:rFonts w:ascii="Garamond" w:hAnsi="Garamond"/>
          <w:sz w:val="26"/>
          <w:szCs w:val="26"/>
        </w:rPr>
        <w:t>’ETC svolge “</w:t>
      </w:r>
      <w:r w:rsidR="00245A6F" w:rsidRPr="00C27AE9">
        <w:rPr>
          <w:rFonts w:ascii="Garamond" w:hAnsi="Garamond"/>
          <w:i/>
          <w:iCs/>
          <w:sz w:val="26"/>
          <w:szCs w:val="26"/>
        </w:rPr>
        <w:t>un ruolo fondamentale nella validazione dei piani economico-finanziari dei gestori dei servizi e nella determinazione dei costi riconosciuti</w:t>
      </w:r>
      <w:r w:rsidR="00E161EF" w:rsidRPr="00C27AE9">
        <w:rPr>
          <w:rFonts w:ascii="Garamond" w:hAnsi="Garamond"/>
          <w:sz w:val="26"/>
          <w:szCs w:val="26"/>
        </w:rPr>
        <w:t>»</w:t>
      </w:r>
      <w:r w:rsidR="00245A6F" w:rsidRPr="00C27AE9">
        <w:rPr>
          <w:rFonts w:ascii="Garamond" w:hAnsi="Garamond"/>
          <w:i/>
          <w:iCs/>
          <w:sz w:val="26"/>
          <w:szCs w:val="26"/>
        </w:rPr>
        <w:t>.</w:t>
      </w:r>
    </w:p>
    <w:p w14:paraId="36D7D79B" w14:textId="3D8ADED5" w:rsidR="00EF5D47" w:rsidRPr="00C27AE9" w:rsidRDefault="00A31BE1" w:rsidP="00245A6F">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Non è </w:t>
      </w:r>
      <w:r w:rsidR="00BD4684" w:rsidRPr="00C27AE9">
        <w:rPr>
          <w:rFonts w:ascii="Garamond" w:hAnsi="Garamond"/>
          <w:sz w:val="26"/>
          <w:szCs w:val="26"/>
        </w:rPr>
        <w:t xml:space="preserve">forse </w:t>
      </w:r>
      <w:r w:rsidRPr="00C27AE9">
        <w:rPr>
          <w:rFonts w:ascii="Garamond" w:hAnsi="Garamond"/>
          <w:sz w:val="26"/>
          <w:szCs w:val="26"/>
        </w:rPr>
        <w:t>un caso</w:t>
      </w:r>
      <w:r w:rsidR="00EF5D47" w:rsidRPr="00C27AE9">
        <w:rPr>
          <w:rFonts w:ascii="Garamond" w:hAnsi="Garamond"/>
          <w:sz w:val="26"/>
          <w:szCs w:val="26"/>
        </w:rPr>
        <w:t xml:space="preserve">, </w:t>
      </w:r>
      <w:r w:rsidR="00BD4684" w:rsidRPr="00C27AE9">
        <w:rPr>
          <w:rFonts w:ascii="Garamond" w:hAnsi="Garamond"/>
          <w:sz w:val="26"/>
          <w:szCs w:val="26"/>
        </w:rPr>
        <w:t>dunque</w:t>
      </w:r>
      <w:r w:rsidR="00EF5D47" w:rsidRPr="00C27AE9">
        <w:rPr>
          <w:rFonts w:ascii="Garamond" w:hAnsi="Garamond"/>
          <w:sz w:val="26"/>
          <w:szCs w:val="26"/>
        </w:rPr>
        <w:t xml:space="preserve">, </w:t>
      </w:r>
      <w:r w:rsidRPr="00C27AE9">
        <w:rPr>
          <w:rFonts w:ascii="Garamond" w:hAnsi="Garamond"/>
          <w:sz w:val="26"/>
          <w:szCs w:val="26"/>
        </w:rPr>
        <w:t xml:space="preserve">che </w:t>
      </w:r>
      <w:r w:rsidR="00BD4684" w:rsidRPr="00C27AE9">
        <w:rPr>
          <w:rFonts w:ascii="Garamond" w:hAnsi="Garamond"/>
          <w:sz w:val="26"/>
          <w:szCs w:val="26"/>
        </w:rPr>
        <w:t xml:space="preserve">di recente </w:t>
      </w:r>
      <w:r w:rsidR="00504AB3" w:rsidRPr="00C27AE9">
        <w:rPr>
          <w:rFonts w:ascii="Garamond" w:hAnsi="Garamond"/>
          <w:sz w:val="26"/>
          <w:szCs w:val="26"/>
        </w:rPr>
        <w:t xml:space="preserve">una pronuncia </w:t>
      </w:r>
      <w:r w:rsidR="00EF5D47" w:rsidRPr="00C27AE9">
        <w:rPr>
          <w:rFonts w:ascii="Garamond" w:hAnsi="Garamond"/>
          <w:sz w:val="26"/>
          <w:szCs w:val="26"/>
        </w:rPr>
        <w:t>di primo grado a</w:t>
      </w:r>
      <w:r w:rsidRPr="00C27AE9">
        <w:rPr>
          <w:rFonts w:ascii="Garamond" w:hAnsi="Garamond"/>
          <w:sz w:val="26"/>
          <w:szCs w:val="26"/>
        </w:rPr>
        <w:t>bbia</w:t>
      </w:r>
      <w:r w:rsidR="00EF5D47" w:rsidRPr="00C27AE9">
        <w:rPr>
          <w:rFonts w:ascii="Garamond" w:hAnsi="Garamond"/>
          <w:sz w:val="26"/>
          <w:szCs w:val="26"/>
        </w:rPr>
        <w:t xml:space="preserve"> nuovamente espresso adesione al</w:t>
      </w:r>
      <w:r w:rsidR="00245A6F" w:rsidRPr="00C27AE9">
        <w:rPr>
          <w:rFonts w:ascii="Garamond" w:hAnsi="Garamond"/>
          <w:sz w:val="26"/>
          <w:szCs w:val="26"/>
        </w:rPr>
        <w:t>l’</w:t>
      </w:r>
      <w:r w:rsidR="00EF5D47" w:rsidRPr="00C27AE9">
        <w:rPr>
          <w:rFonts w:ascii="Garamond" w:hAnsi="Garamond"/>
          <w:sz w:val="26"/>
          <w:szCs w:val="26"/>
        </w:rPr>
        <w:t xml:space="preserve"> orientamento</w:t>
      </w:r>
      <w:r w:rsidR="00245A6F" w:rsidRPr="00C27AE9">
        <w:rPr>
          <w:rFonts w:ascii="Garamond" w:hAnsi="Garamond"/>
          <w:sz w:val="26"/>
          <w:szCs w:val="26"/>
        </w:rPr>
        <w:t xml:space="preserve"> oggi minoritario</w:t>
      </w:r>
      <w:r w:rsidR="00EF5D47" w:rsidRPr="00C27AE9">
        <w:rPr>
          <w:rFonts w:ascii="Garamond" w:hAnsi="Garamond"/>
          <w:sz w:val="26"/>
          <w:szCs w:val="26"/>
        </w:rPr>
        <w:t>, ritenendo che l’atto di validazione del PEF legittimi il gestore ad agire dinanzi al Giudice amministrativo per ottenerne la caducazione</w:t>
      </w:r>
      <w:r w:rsidR="00245A6F" w:rsidRPr="00C27AE9">
        <w:rPr>
          <w:rFonts w:ascii="Garamond" w:hAnsi="Garamond"/>
          <w:sz w:val="26"/>
          <w:szCs w:val="26"/>
        </w:rPr>
        <w:t>; c</w:t>
      </w:r>
      <w:r w:rsidR="00EF5D47" w:rsidRPr="00C27AE9">
        <w:rPr>
          <w:rFonts w:ascii="Garamond" w:hAnsi="Garamond"/>
          <w:sz w:val="26"/>
          <w:szCs w:val="26"/>
        </w:rPr>
        <w:t xml:space="preserve">iò in quanto l’atto di validazione è </w:t>
      </w:r>
      <w:r w:rsidR="00E161EF" w:rsidRPr="00C27AE9">
        <w:rPr>
          <w:rFonts w:ascii="Garamond" w:hAnsi="Garamond"/>
          <w:sz w:val="26"/>
          <w:szCs w:val="26"/>
        </w:rPr>
        <w:t>«</w:t>
      </w:r>
      <w:r w:rsidR="00EF5D47" w:rsidRPr="00C27AE9">
        <w:rPr>
          <w:rFonts w:ascii="Garamond" w:hAnsi="Garamond"/>
          <w:i/>
          <w:iCs/>
          <w:sz w:val="26"/>
          <w:szCs w:val="26"/>
        </w:rPr>
        <w:t>atto autoritativo di regolazione, espressione di un potere discrezionale, che incide direttamente sui costi che il Comune ritiene discrezionalmente e al ricorrere di certe condizioni (full cost recovery) e all’esito di determinate valutazioni (…) di rimborsare in favore del gestore</w:t>
      </w:r>
      <w:r w:rsidR="00E161EF" w:rsidRPr="00C27AE9">
        <w:rPr>
          <w:rFonts w:ascii="Garamond" w:hAnsi="Garamond"/>
          <w:sz w:val="26"/>
          <w:szCs w:val="26"/>
        </w:rPr>
        <w:t>»</w:t>
      </w:r>
      <w:r w:rsidR="00EF5D47" w:rsidRPr="00C27AE9">
        <w:rPr>
          <w:rStyle w:val="Rimandonotaapidipagina"/>
          <w:rFonts w:ascii="Garamond" w:hAnsi="Garamond"/>
          <w:sz w:val="26"/>
          <w:szCs w:val="26"/>
        </w:rPr>
        <w:footnoteReference w:id="64"/>
      </w:r>
      <w:r w:rsidR="00EF5D47" w:rsidRPr="00C27AE9">
        <w:rPr>
          <w:rFonts w:ascii="Garamond" w:hAnsi="Garamond"/>
          <w:sz w:val="26"/>
          <w:szCs w:val="26"/>
        </w:rPr>
        <w:t>.</w:t>
      </w:r>
    </w:p>
    <w:p w14:paraId="653C212B" w14:textId="62FF5056" w:rsidR="00504AB3" w:rsidRPr="00C27AE9" w:rsidRDefault="00245A6F" w:rsidP="007C633A">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Il dibattito, quindi, sulla questione, non</w:t>
      </w:r>
      <w:r w:rsidR="00504AB3" w:rsidRPr="00C27AE9">
        <w:rPr>
          <w:rFonts w:ascii="Garamond" w:hAnsi="Garamond"/>
          <w:sz w:val="26"/>
          <w:szCs w:val="26"/>
        </w:rPr>
        <w:t xml:space="preserve"> sembra </w:t>
      </w:r>
      <w:r w:rsidRPr="00C27AE9">
        <w:rPr>
          <w:rFonts w:ascii="Garamond" w:hAnsi="Garamond"/>
          <w:sz w:val="26"/>
          <w:szCs w:val="26"/>
        </w:rPr>
        <w:t>definitivamente sopito</w:t>
      </w:r>
      <w:r w:rsidR="00504AB3" w:rsidRPr="00C27AE9">
        <w:rPr>
          <w:rFonts w:ascii="Garamond" w:hAnsi="Garamond"/>
          <w:sz w:val="26"/>
          <w:szCs w:val="26"/>
        </w:rPr>
        <w:t>.</w:t>
      </w:r>
    </w:p>
    <w:p w14:paraId="76FFA035" w14:textId="661D3B3E" w:rsidR="004E25FD" w:rsidRPr="00C27AE9" w:rsidRDefault="00A31BE1" w:rsidP="007C633A">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A</w:t>
      </w:r>
      <w:r w:rsidR="004E25FD" w:rsidRPr="00C27AE9">
        <w:rPr>
          <w:rFonts w:ascii="Garamond" w:hAnsi="Garamond"/>
          <w:sz w:val="26"/>
          <w:szCs w:val="26"/>
        </w:rPr>
        <w:t xml:space="preserve">nche presso il Giudice d’appello </w:t>
      </w:r>
      <w:r w:rsidRPr="00C27AE9">
        <w:rPr>
          <w:rFonts w:ascii="Garamond" w:hAnsi="Garamond"/>
          <w:sz w:val="26"/>
          <w:szCs w:val="26"/>
        </w:rPr>
        <w:t xml:space="preserve">sembrano </w:t>
      </w:r>
      <w:r w:rsidR="004E25FD" w:rsidRPr="00C27AE9">
        <w:rPr>
          <w:rFonts w:ascii="Garamond" w:hAnsi="Garamond"/>
          <w:sz w:val="26"/>
          <w:szCs w:val="26"/>
        </w:rPr>
        <w:t>persist</w:t>
      </w:r>
      <w:r w:rsidRPr="00C27AE9">
        <w:rPr>
          <w:rFonts w:ascii="Garamond" w:hAnsi="Garamond"/>
          <w:sz w:val="26"/>
          <w:szCs w:val="26"/>
        </w:rPr>
        <w:t>ere</w:t>
      </w:r>
      <w:r w:rsidR="004E25FD" w:rsidRPr="00C27AE9">
        <w:rPr>
          <w:rFonts w:ascii="Garamond" w:hAnsi="Garamond"/>
          <w:sz w:val="26"/>
          <w:szCs w:val="26"/>
        </w:rPr>
        <w:t xml:space="preserve"> delle incertezze.</w:t>
      </w:r>
    </w:p>
    <w:p w14:paraId="21C30594" w14:textId="6D0C9059" w:rsidR="004E25FD" w:rsidRPr="00C27AE9" w:rsidRDefault="004E25FD" w:rsidP="004E25FD">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In una recente sentenza della Seconda Sezione</w:t>
      </w:r>
      <w:r w:rsidRPr="00C27AE9">
        <w:rPr>
          <w:rStyle w:val="Rimandonotaapidipagina"/>
          <w:rFonts w:ascii="Garamond" w:hAnsi="Garamond"/>
          <w:sz w:val="26"/>
          <w:szCs w:val="26"/>
        </w:rPr>
        <w:footnoteReference w:id="65"/>
      </w:r>
      <w:r w:rsidRPr="00C27AE9">
        <w:rPr>
          <w:rFonts w:ascii="Garamond" w:hAnsi="Garamond"/>
          <w:sz w:val="26"/>
          <w:szCs w:val="26"/>
        </w:rPr>
        <w:t xml:space="preserve"> si è espressamente affermato</w:t>
      </w:r>
      <w:r w:rsidR="00E161EF" w:rsidRPr="00C27AE9">
        <w:rPr>
          <w:rFonts w:ascii="Garamond" w:hAnsi="Garamond"/>
          <w:sz w:val="26"/>
          <w:szCs w:val="26"/>
        </w:rPr>
        <w:t xml:space="preserve">, sia pur incidentalmente, </w:t>
      </w:r>
      <w:r w:rsidRPr="00C27AE9">
        <w:rPr>
          <w:rFonts w:ascii="Garamond" w:hAnsi="Garamond"/>
          <w:sz w:val="26"/>
          <w:szCs w:val="26"/>
        </w:rPr>
        <w:t xml:space="preserve">che </w:t>
      </w:r>
      <w:r w:rsidR="00E161EF" w:rsidRPr="00C27AE9">
        <w:rPr>
          <w:rFonts w:ascii="Garamond" w:hAnsi="Garamond"/>
          <w:sz w:val="26"/>
          <w:szCs w:val="26"/>
        </w:rPr>
        <w:t>«</w:t>
      </w:r>
      <w:r w:rsidRPr="00C27AE9">
        <w:rPr>
          <w:rFonts w:ascii="Garamond" w:hAnsi="Garamond"/>
          <w:i/>
          <w:iCs/>
          <w:sz w:val="26"/>
          <w:szCs w:val="26"/>
        </w:rPr>
        <w:t>è fatta salva ovviamente la possibilità di impugnare eventuali provvedimenti sfavorevoli degli ETC</w:t>
      </w:r>
      <w:r w:rsidR="00E161EF" w:rsidRPr="00C27AE9">
        <w:rPr>
          <w:rFonts w:ascii="Garamond" w:hAnsi="Garamond"/>
          <w:sz w:val="26"/>
          <w:szCs w:val="26"/>
        </w:rPr>
        <w:t>»</w:t>
      </w:r>
      <w:r w:rsidR="00D9189A">
        <w:rPr>
          <w:rFonts w:ascii="Garamond" w:hAnsi="Garamond"/>
          <w:sz w:val="26"/>
          <w:szCs w:val="26"/>
        </w:rPr>
        <w:t>; in un’altra ancora</w:t>
      </w:r>
      <w:r w:rsidR="00195F01">
        <w:rPr>
          <w:rFonts w:ascii="Garamond" w:hAnsi="Garamond"/>
          <w:sz w:val="26"/>
          <w:szCs w:val="26"/>
        </w:rPr>
        <w:t xml:space="preserve"> </w:t>
      </w:r>
      <w:r w:rsidR="00D9189A">
        <w:rPr>
          <w:rFonts w:ascii="Garamond" w:hAnsi="Garamond"/>
          <w:sz w:val="26"/>
          <w:szCs w:val="26"/>
        </w:rPr>
        <w:t xml:space="preserve">della Quarta Sezione si è proceduto alla disamina </w:t>
      </w:r>
      <w:r w:rsidR="00195F01">
        <w:rPr>
          <w:rFonts w:ascii="Garamond" w:hAnsi="Garamond"/>
          <w:sz w:val="26"/>
          <w:szCs w:val="26"/>
        </w:rPr>
        <w:t>n</w:t>
      </w:r>
      <w:r w:rsidR="00D9189A">
        <w:rPr>
          <w:rFonts w:ascii="Garamond" w:hAnsi="Garamond"/>
          <w:sz w:val="26"/>
          <w:szCs w:val="26"/>
        </w:rPr>
        <w:t xml:space="preserve">el merito della controversia </w:t>
      </w:r>
      <w:r w:rsidR="00195F01">
        <w:rPr>
          <w:rFonts w:ascii="Garamond" w:hAnsi="Garamond"/>
          <w:sz w:val="26"/>
          <w:szCs w:val="26"/>
        </w:rPr>
        <w:t>r</w:t>
      </w:r>
      <w:r w:rsidR="00E858EB">
        <w:rPr>
          <w:rFonts w:ascii="Garamond" w:hAnsi="Garamond"/>
          <w:sz w:val="26"/>
          <w:szCs w:val="26"/>
        </w:rPr>
        <w:t>iguardante la</w:t>
      </w:r>
      <w:r w:rsidR="00195F01">
        <w:rPr>
          <w:rFonts w:ascii="Garamond" w:hAnsi="Garamond"/>
          <w:sz w:val="26"/>
          <w:szCs w:val="26"/>
        </w:rPr>
        <w:t xml:space="preserve"> predisposizione tariffaria d</w:t>
      </w:r>
      <w:r w:rsidR="00E858EB">
        <w:rPr>
          <w:rFonts w:ascii="Garamond" w:hAnsi="Garamond"/>
          <w:sz w:val="26"/>
          <w:szCs w:val="26"/>
        </w:rPr>
        <w:t xml:space="preserve">i un </w:t>
      </w:r>
      <w:r w:rsidR="00195F01">
        <w:rPr>
          <w:rFonts w:ascii="Garamond" w:hAnsi="Garamond"/>
          <w:sz w:val="26"/>
          <w:szCs w:val="26"/>
        </w:rPr>
        <w:t>ETC</w:t>
      </w:r>
      <w:r w:rsidR="00E858EB">
        <w:rPr>
          <w:rFonts w:ascii="Garamond" w:hAnsi="Garamond"/>
          <w:sz w:val="26"/>
          <w:szCs w:val="26"/>
        </w:rPr>
        <w:t xml:space="preserve">, implicitamente </w:t>
      </w:r>
      <w:r w:rsidR="00D9189A">
        <w:rPr>
          <w:rFonts w:ascii="Garamond" w:hAnsi="Garamond"/>
          <w:sz w:val="26"/>
          <w:szCs w:val="26"/>
        </w:rPr>
        <w:t xml:space="preserve">superando l’eccezione di inammissibilità </w:t>
      </w:r>
      <w:r w:rsidR="00E858EB">
        <w:rPr>
          <w:rFonts w:ascii="Garamond" w:hAnsi="Garamond"/>
          <w:sz w:val="26"/>
          <w:szCs w:val="26"/>
        </w:rPr>
        <w:t xml:space="preserve">sollevata </w:t>
      </w:r>
      <w:r w:rsidR="00D9189A">
        <w:rPr>
          <w:rFonts w:ascii="Garamond" w:hAnsi="Garamond"/>
          <w:sz w:val="26"/>
          <w:szCs w:val="26"/>
        </w:rPr>
        <w:t>da una delle pa</w:t>
      </w:r>
      <w:r w:rsidR="00195F01">
        <w:rPr>
          <w:rFonts w:ascii="Garamond" w:hAnsi="Garamond"/>
          <w:sz w:val="26"/>
          <w:szCs w:val="26"/>
        </w:rPr>
        <w:t>rti</w:t>
      </w:r>
      <w:r w:rsidR="00195F01">
        <w:rPr>
          <w:rStyle w:val="Rimandonotaapidipagina"/>
          <w:rFonts w:ascii="Garamond" w:hAnsi="Garamond"/>
          <w:sz w:val="26"/>
          <w:szCs w:val="26"/>
        </w:rPr>
        <w:footnoteReference w:id="66"/>
      </w:r>
      <w:r w:rsidR="00195F01">
        <w:rPr>
          <w:rFonts w:ascii="Garamond" w:hAnsi="Garamond"/>
          <w:sz w:val="26"/>
          <w:szCs w:val="26"/>
        </w:rPr>
        <w:t>.</w:t>
      </w:r>
    </w:p>
    <w:p w14:paraId="63623D7C" w14:textId="49C484FB" w:rsidR="004714A8" w:rsidRPr="00C27AE9" w:rsidRDefault="00195F01" w:rsidP="00E858EB">
      <w:pPr>
        <w:pStyle w:val="Rientrocorpodeltesto"/>
        <w:widowControl w:val="0"/>
        <w:spacing w:after="0"/>
        <w:ind w:left="0" w:firstLine="454"/>
        <w:jc w:val="both"/>
        <w:rPr>
          <w:rFonts w:ascii="Garamond" w:hAnsi="Garamond"/>
          <w:sz w:val="26"/>
          <w:szCs w:val="26"/>
        </w:rPr>
      </w:pPr>
      <w:r>
        <w:rPr>
          <w:rFonts w:ascii="Garamond" w:hAnsi="Garamond"/>
          <w:sz w:val="26"/>
          <w:szCs w:val="26"/>
        </w:rPr>
        <w:t>P</w:t>
      </w:r>
      <w:r w:rsidR="00E161EF" w:rsidRPr="00C27AE9">
        <w:rPr>
          <w:rFonts w:ascii="Garamond" w:hAnsi="Garamond"/>
          <w:sz w:val="26"/>
          <w:szCs w:val="26"/>
        </w:rPr>
        <w:t xml:space="preserve">er una parte della giurisprudenza, </w:t>
      </w:r>
      <w:r>
        <w:rPr>
          <w:rFonts w:ascii="Garamond" w:hAnsi="Garamond"/>
          <w:sz w:val="26"/>
          <w:szCs w:val="26"/>
        </w:rPr>
        <w:t xml:space="preserve">poi, </w:t>
      </w:r>
      <w:r w:rsidR="00E161EF" w:rsidRPr="00C27AE9">
        <w:rPr>
          <w:rFonts w:ascii="Garamond" w:hAnsi="Garamond"/>
          <w:sz w:val="26"/>
          <w:szCs w:val="26"/>
        </w:rPr>
        <w:t>l’approvazione di ARERA ha natura di atto di cont</w:t>
      </w:r>
      <w:r w:rsidR="00BD4684" w:rsidRPr="00C27AE9">
        <w:rPr>
          <w:rFonts w:ascii="Garamond" w:hAnsi="Garamond"/>
          <w:sz w:val="26"/>
          <w:szCs w:val="26"/>
        </w:rPr>
        <w:t>r</w:t>
      </w:r>
      <w:r w:rsidR="00E161EF" w:rsidRPr="00C27AE9">
        <w:rPr>
          <w:rFonts w:ascii="Garamond" w:hAnsi="Garamond"/>
          <w:sz w:val="26"/>
          <w:szCs w:val="26"/>
        </w:rPr>
        <w:t xml:space="preserve">ollo, </w:t>
      </w:r>
      <w:r>
        <w:rPr>
          <w:rFonts w:ascii="Garamond" w:hAnsi="Garamond"/>
          <w:sz w:val="26"/>
          <w:szCs w:val="26"/>
        </w:rPr>
        <w:t xml:space="preserve">sicché </w:t>
      </w:r>
      <w:r w:rsidR="00BD4684" w:rsidRPr="00C27AE9">
        <w:rPr>
          <w:rFonts w:ascii="Garamond" w:hAnsi="Garamond"/>
          <w:sz w:val="26"/>
          <w:szCs w:val="26"/>
        </w:rPr>
        <w:t xml:space="preserve">vi è chi ha </w:t>
      </w:r>
      <w:r w:rsidR="00E161EF" w:rsidRPr="00C27AE9">
        <w:rPr>
          <w:rFonts w:ascii="Garamond" w:hAnsi="Garamond"/>
          <w:sz w:val="26"/>
          <w:szCs w:val="26"/>
        </w:rPr>
        <w:t>ric</w:t>
      </w:r>
      <w:r w:rsidR="000B1317" w:rsidRPr="00C27AE9">
        <w:rPr>
          <w:rFonts w:ascii="Garamond" w:hAnsi="Garamond"/>
          <w:sz w:val="26"/>
          <w:szCs w:val="26"/>
        </w:rPr>
        <w:t xml:space="preserve">ordato </w:t>
      </w:r>
      <w:r w:rsidR="00E161EF" w:rsidRPr="00C27AE9">
        <w:rPr>
          <w:rFonts w:ascii="Garamond" w:hAnsi="Garamond"/>
          <w:sz w:val="26"/>
          <w:szCs w:val="26"/>
        </w:rPr>
        <w:t xml:space="preserve">una </w:t>
      </w:r>
      <w:r w:rsidR="004714A8" w:rsidRPr="00C27AE9">
        <w:rPr>
          <w:rFonts w:ascii="Garamond" w:hAnsi="Garamond"/>
          <w:sz w:val="26"/>
          <w:szCs w:val="26"/>
        </w:rPr>
        <w:t>decisione sia pur risalente e tuttavia mai superata</w:t>
      </w:r>
      <w:r w:rsidR="00E161EF" w:rsidRPr="00C27AE9">
        <w:rPr>
          <w:rFonts w:ascii="Garamond" w:hAnsi="Garamond"/>
          <w:sz w:val="26"/>
          <w:szCs w:val="26"/>
        </w:rPr>
        <w:t xml:space="preserve"> dell’Adunanza Plenaria</w:t>
      </w:r>
      <w:r w:rsidR="004714A8" w:rsidRPr="00C27AE9">
        <w:rPr>
          <w:rFonts w:ascii="Garamond" w:hAnsi="Garamond"/>
          <w:sz w:val="26"/>
          <w:szCs w:val="26"/>
        </w:rPr>
        <w:t xml:space="preserve">, </w:t>
      </w:r>
      <w:r w:rsidR="00E161EF" w:rsidRPr="00C27AE9">
        <w:rPr>
          <w:rFonts w:ascii="Garamond" w:hAnsi="Garamond"/>
          <w:sz w:val="26"/>
          <w:szCs w:val="26"/>
        </w:rPr>
        <w:t xml:space="preserve">che </w:t>
      </w:r>
      <w:r w:rsidR="004714A8" w:rsidRPr="00C27AE9">
        <w:rPr>
          <w:rFonts w:ascii="Garamond" w:hAnsi="Garamond"/>
          <w:sz w:val="26"/>
          <w:szCs w:val="26"/>
        </w:rPr>
        <w:t>a</w:t>
      </w:r>
      <w:r w:rsidR="00E161EF" w:rsidRPr="00C27AE9">
        <w:rPr>
          <w:rFonts w:ascii="Garamond" w:hAnsi="Garamond"/>
          <w:sz w:val="26"/>
          <w:szCs w:val="26"/>
        </w:rPr>
        <w:t>veva</w:t>
      </w:r>
      <w:r w:rsidR="004714A8" w:rsidRPr="00C27AE9">
        <w:rPr>
          <w:rFonts w:ascii="Garamond" w:hAnsi="Garamond"/>
          <w:sz w:val="26"/>
          <w:szCs w:val="26"/>
        </w:rPr>
        <w:t xml:space="preserve"> affermato il principio secondo cui: “</w:t>
      </w:r>
      <w:r w:rsidR="004714A8" w:rsidRPr="00C27AE9">
        <w:rPr>
          <w:rFonts w:ascii="Garamond" w:hAnsi="Garamond"/>
          <w:i/>
          <w:iCs/>
          <w:sz w:val="26"/>
          <w:szCs w:val="26"/>
        </w:rPr>
        <w:t>Il termine per ricorrere contro un provvedimento ancora sottoposto a controllo, ma immediatamente esecutivo, decorre dalla piena conoscenza da parte dell’interessato, essendo lesivo immediatamente</w:t>
      </w:r>
      <w:r w:rsidR="004714A8" w:rsidRPr="00C27AE9">
        <w:rPr>
          <w:rFonts w:ascii="Garamond" w:hAnsi="Garamond"/>
          <w:sz w:val="26"/>
          <w:szCs w:val="26"/>
        </w:rPr>
        <w:t xml:space="preserve">” (A.P. 12/10/1991, n. 9). </w:t>
      </w:r>
    </w:p>
    <w:p w14:paraId="69BDF72D" w14:textId="2904D7B3" w:rsidR="00264572" w:rsidRPr="00C27AE9" w:rsidRDefault="004714A8" w:rsidP="00872C09">
      <w:pPr>
        <w:pStyle w:val="Rientrocorpodeltesto"/>
        <w:widowControl w:val="0"/>
        <w:spacing w:after="0"/>
        <w:ind w:left="0" w:firstLine="454"/>
        <w:jc w:val="both"/>
        <w:rPr>
          <w:rFonts w:ascii="Garamond" w:hAnsi="Garamond"/>
          <w:i/>
          <w:iCs/>
          <w:sz w:val="26"/>
          <w:szCs w:val="26"/>
        </w:rPr>
      </w:pPr>
      <w:r w:rsidRPr="00C27AE9">
        <w:rPr>
          <w:rFonts w:ascii="Garamond" w:hAnsi="Garamond"/>
          <w:sz w:val="26"/>
          <w:szCs w:val="26"/>
        </w:rPr>
        <w:t xml:space="preserve">A tale principio si è richiamata anche </w:t>
      </w:r>
      <w:r w:rsidR="00872C09" w:rsidRPr="00C27AE9">
        <w:rPr>
          <w:rFonts w:ascii="Garamond" w:hAnsi="Garamond"/>
          <w:sz w:val="26"/>
          <w:szCs w:val="26"/>
        </w:rPr>
        <w:t xml:space="preserve">una pronuncia </w:t>
      </w:r>
      <w:r w:rsidRPr="00C27AE9">
        <w:rPr>
          <w:rFonts w:ascii="Garamond" w:hAnsi="Garamond"/>
          <w:sz w:val="26"/>
          <w:szCs w:val="26"/>
        </w:rPr>
        <w:t>del</w:t>
      </w:r>
      <w:r w:rsidR="00395BDA" w:rsidRPr="00C27AE9">
        <w:rPr>
          <w:rFonts w:ascii="Garamond" w:hAnsi="Garamond"/>
          <w:sz w:val="26"/>
          <w:szCs w:val="26"/>
        </w:rPr>
        <w:t xml:space="preserve">la Quarta Sezione del </w:t>
      </w:r>
      <w:r w:rsidRPr="00C27AE9">
        <w:rPr>
          <w:rFonts w:ascii="Garamond" w:hAnsi="Garamond"/>
          <w:sz w:val="26"/>
          <w:szCs w:val="26"/>
        </w:rPr>
        <w:t>Consiglio di Stato</w:t>
      </w:r>
      <w:r w:rsidR="00872C09" w:rsidRPr="00C27AE9">
        <w:rPr>
          <w:rStyle w:val="Rimandonotaapidipagina"/>
          <w:rFonts w:ascii="Garamond" w:hAnsi="Garamond"/>
          <w:sz w:val="26"/>
          <w:szCs w:val="26"/>
        </w:rPr>
        <w:footnoteReference w:id="67"/>
      </w:r>
      <w:r w:rsidRPr="00C27AE9">
        <w:rPr>
          <w:rFonts w:ascii="Garamond" w:hAnsi="Garamond"/>
          <w:sz w:val="26"/>
          <w:szCs w:val="26"/>
        </w:rPr>
        <w:t>, riten</w:t>
      </w:r>
      <w:r w:rsidR="00D9189A">
        <w:rPr>
          <w:rFonts w:ascii="Garamond" w:hAnsi="Garamond"/>
          <w:sz w:val="26"/>
          <w:szCs w:val="26"/>
        </w:rPr>
        <w:t xml:space="preserve">endo quindi </w:t>
      </w:r>
      <w:r w:rsidRPr="00C27AE9">
        <w:rPr>
          <w:rFonts w:ascii="Garamond" w:hAnsi="Garamond"/>
          <w:sz w:val="26"/>
          <w:szCs w:val="26"/>
        </w:rPr>
        <w:t>ammissibile l’immediata impugnazi</w:t>
      </w:r>
      <w:r w:rsidR="00395BDA" w:rsidRPr="00C27AE9">
        <w:rPr>
          <w:rFonts w:ascii="Garamond" w:hAnsi="Garamond"/>
          <w:sz w:val="26"/>
          <w:szCs w:val="26"/>
        </w:rPr>
        <w:t>o</w:t>
      </w:r>
      <w:r w:rsidRPr="00C27AE9">
        <w:rPr>
          <w:rFonts w:ascii="Garamond" w:hAnsi="Garamond"/>
          <w:sz w:val="26"/>
          <w:szCs w:val="26"/>
        </w:rPr>
        <w:t>ne di un PEF in materia di rifiuti approvato dall’ETC e non ancora validato da Arera. Il giudice d’appello h</w:t>
      </w:r>
      <w:r w:rsidR="004163E7" w:rsidRPr="00C27AE9">
        <w:rPr>
          <w:rFonts w:ascii="Garamond" w:hAnsi="Garamond"/>
          <w:sz w:val="26"/>
          <w:szCs w:val="26"/>
        </w:rPr>
        <w:t xml:space="preserve">a </w:t>
      </w:r>
      <w:r w:rsidRPr="00C27AE9">
        <w:rPr>
          <w:rFonts w:ascii="Garamond" w:hAnsi="Garamond"/>
          <w:sz w:val="26"/>
          <w:szCs w:val="26"/>
        </w:rPr>
        <w:t>ritenuto di applicare</w:t>
      </w:r>
      <w:r w:rsidR="004163E7" w:rsidRPr="00C27AE9">
        <w:rPr>
          <w:rFonts w:ascii="Garamond" w:hAnsi="Garamond"/>
          <w:sz w:val="26"/>
          <w:szCs w:val="26"/>
        </w:rPr>
        <w:t>, nella specie,</w:t>
      </w:r>
      <w:r w:rsidR="00E161EF" w:rsidRPr="00C27AE9">
        <w:rPr>
          <w:rFonts w:ascii="Garamond" w:hAnsi="Garamond"/>
          <w:sz w:val="26"/>
          <w:szCs w:val="26"/>
        </w:rPr>
        <w:t xml:space="preserve"> «</w:t>
      </w:r>
      <w:r w:rsidRPr="00C27AE9">
        <w:rPr>
          <w:rFonts w:ascii="Garamond" w:hAnsi="Garamond"/>
          <w:i/>
          <w:iCs/>
          <w:sz w:val="26"/>
          <w:szCs w:val="26"/>
        </w:rPr>
        <w:t>i consolidati principi di questo Consiglio di Stato</w:t>
      </w:r>
      <w:r w:rsidRPr="00C27AE9">
        <w:rPr>
          <w:rFonts w:ascii="Garamond" w:hAnsi="Garamond"/>
          <w:sz w:val="26"/>
          <w:szCs w:val="26"/>
        </w:rPr>
        <w:t>” espressi sin dalla citata Adunanza Plenaria</w:t>
      </w:r>
      <w:r w:rsidR="00E161EF" w:rsidRPr="00C27AE9">
        <w:rPr>
          <w:rFonts w:ascii="Garamond" w:hAnsi="Garamond"/>
          <w:sz w:val="26"/>
          <w:szCs w:val="26"/>
        </w:rPr>
        <w:t xml:space="preserve">, </w:t>
      </w:r>
      <w:r w:rsidR="00872C09" w:rsidRPr="00C27AE9">
        <w:rPr>
          <w:rFonts w:ascii="Garamond" w:hAnsi="Garamond"/>
          <w:i/>
          <w:iCs/>
          <w:sz w:val="26"/>
          <w:szCs w:val="26"/>
        </w:rPr>
        <w:t>&lt;&lt;</w:t>
      </w:r>
      <w:r w:rsidR="00264572" w:rsidRPr="00C27AE9">
        <w:rPr>
          <w:rFonts w:ascii="Garamond" w:hAnsi="Garamond"/>
          <w:i/>
          <w:iCs/>
          <w:sz w:val="26"/>
          <w:szCs w:val="26"/>
        </w:rPr>
        <w:t xml:space="preserve">secondo cui “il termine per ricorrere contro un provvedimento ancora sottoposto a controllo, ma immediatamente esecutivo, decorre dalla piena conoscenza da parte dell’interessato, essendo lesivo immediatamente” (Cons. Stato, Ad. plen., 12 ottobre 1991 n. 9) e secondo cui deve escludersi l’esistenza di un onere di impugnativa del sopravvenuto atto di controllo positivo, in quanto trattasi di un atto non lesivo delle posizioni soggettive incise, invece, dai </w:t>
      </w:r>
      <w:r w:rsidR="00264572" w:rsidRPr="00C27AE9">
        <w:rPr>
          <w:rFonts w:ascii="Garamond" w:hAnsi="Garamond"/>
          <w:i/>
          <w:iCs/>
          <w:sz w:val="26"/>
          <w:szCs w:val="26"/>
        </w:rPr>
        <w:lastRenderedPageBreak/>
        <w:t>provvedimenti sottoposti a controllo (in tal senso tra le più recenti: Cons. Stato, sez. VI, 25 giugno 2002, n. 3483 e Sez. V, 2 marzo 1999, n. 217).</w:t>
      </w:r>
    </w:p>
    <w:p w14:paraId="30D963CD" w14:textId="6C2F940D" w:rsidR="008A1526" w:rsidRPr="00C27AE9" w:rsidRDefault="00264572" w:rsidP="008A1526">
      <w:pPr>
        <w:pStyle w:val="Rientrocorpodeltesto"/>
        <w:widowControl w:val="0"/>
        <w:spacing w:after="0"/>
        <w:ind w:left="0" w:firstLine="454"/>
        <w:jc w:val="both"/>
        <w:rPr>
          <w:rFonts w:ascii="Garamond" w:hAnsi="Garamond"/>
          <w:sz w:val="26"/>
          <w:szCs w:val="26"/>
        </w:rPr>
      </w:pPr>
      <w:r w:rsidRPr="00C27AE9">
        <w:rPr>
          <w:rFonts w:ascii="Garamond" w:hAnsi="Garamond"/>
          <w:i/>
          <w:iCs/>
          <w:sz w:val="26"/>
          <w:szCs w:val="26"/>
        </w:rPr>
        <w:t>La mancata impugnazione dell’atto di controllo positivo non comporta, dunque, alcuna inammissibilità (se tale atto era preesistente alla proposizione dell’impugnazione dell’atto sottoposto a controllo) o improcedibilità del ricorso per sopravvenuta carenza di interesse (se tale atto è sopravvenuto nel corso del giudizio già proposto avverso l’atto controllato)</w:t>
      </w:r>
      <w:r w:rsidR="00E161EF" w:rsidRPr="00C27AE9">
        <w:rPr>
          <w:rFonts w:ascii="Garamond" w:hAnsi="Garamond"/>
          <w:sz w:val="26"/>
          <w:szCs w:val="26"/>
        </w:rPr>
        <w:t>»</w:t>
      </w:r>
      <w:r w:rsidR="00872C09" w:rsidRPr="00C27AE9">
        <w:rPr>
          <w:rFonts w:ascii="Garamond" w:hAnsi="Garamond"/>
          <w:i/>
          <w:iCs/>
          <w:sz w:val="26"/>
          <w:szCs w:val="26"/>
        </w:rPr>
        <w:t>.</w:t>
      </w:r>
    </w:p>
    <w:p w14:paraId="6340407C" w14:textId="74B1F7FC" w:rsidR="008A1526" w:rsidRPr="00C27AE9" w:rsidRDefault="004714A8" w:rsidP="008A1526">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In questo quadro, è evidente che non vi </w:t>
      </w:r>
      <w:r w:rsidR="00F93C60" w:rsidRPr="00C27AE9">
        <w:rPr>
          <w:rFonts w:ascii="Garamond" w:hAnsi="Garamond"/>
          <w:sz w:val="26"/>
          <w:szCs w:val="26"/>
        </w:rPr>
        <w:t>sia</w:t>
      </w:r>
      <w:r w:rsidRPr="00C27AE9">
        <w:rPr>
          <w:rFonts w:ascii="Garamond" w:hAnsi="Garamond"/>
          <w:sz w:val="26"/>
          <w:szCs w:val="26"/>
        </w:rPr>
        <w:t xml:space="preserve"> duplicazione di valutazioni tra </w:t>
      </w:r>
      <w:r w:rsidR="008A1526" w:rsidRPr="00C27AE9">
        <w:rPr>
          <w:rFonts w:ascii="Garamond" w:hAnsi="Garamond"/>
          <w:sz w:val="26"/>
          <w:szCs w:val="26"/>
        </w:rPr>
        <w:t>ETC</w:t>
      </w:r>
      <w:r w:rsidRPr="00C27AE9">
        <w:rPr>
          <w:rFonts w:ascii="Garamond" w:hAnsi="Garamond"/>
          <w:sz w:val="26"/>
          <w:szCs w:val="26"/>
        </w:rPr>
        <w:t xml:space="preserve"> e ARERA</w:t>
      </w:r>
      <w:r w:rsidR="00195F01">
        <w:rPr>
          <w:rFonts w:ascii="Garamond" w:hAnsi="Garamond"/>
          <w:sz w:val="26"/>
          <w:szCs w:val="26"/>
        </w:rPr>
        <w:t>:</w:t>
      </w:r>
      <w:r w:rsidRPr="00C27AE9">
        <w:rPr>
          <w:rFonts w:ascii="Garamond" w:hAnsi="Garamond"/>
          <w:sz w:val="26"/>
          <w:szCs w:val="26"/>
        </w:rPr>
        <w:t xml:space="preserve"> </w:t>
      </w:r>
      <w:r w:rsidR="00195F01">
        <w:rPr>
          <w:rFonts w:ascii="Garamond" w:hAnsi="Garamond"/>
          <w:sz w:val="26"/>
          <w:szCs w:val="26"/>
        </w:rPr>
        <w:t>l</w:t>
      </w:r>
      <w:r w:rsidRPr="00C27AE9">
        <w:rPr>
          <w:rFonts w:ascii="Garamond" w:hAnsi="Garamond"/>
          <w:sz w:val="26"/>
          <w:szCs w:val="26"/>
        </w:rPr>
        <w:t>a validazione dei costi efficienti è un’attività di analisi che trova la sua collocazione naturale presso l’ente territoriale, essendo quest’ultimo l’unico soggetto in grado di conoscere e di valutare i dettagli della gestione de</w:t>
      </w:r>
      <w:r w:rsidR="004163E7" w:rsidRPr="00C27AE9">
        <w:rPr>
          <w:rFonts w:ascii="Garamond" w:hAnsi="Garamond"/>
          <w:sz w:val="26"/>
          <w:szCs w:val="26"/>
        </w:rPr>
        <w:t xml:space="preserve">l </w:t>
      </w:r>
      <w:r w:rsidRPr="00C27AE9">
        <w:rPr>
          <w:rFonts w:ascii="Garamond" w:hAnsi="Garamond"/>
          <w:sz w:val="26"/>
          <w:szCs w:val="26"/>
        </w:rPr>
        <w:t xml:space="preserve">servizio. </w:t>
      </w:r>
    </w:p>
    <w:p w14:paraId="2B1D6721" w14:textId="1658C295" w:rsidR="004714A8" w:rsidRPr="00C27AE9" w:rsidRDefault="004714A8" w:rsidP="008A1526">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Il compito dell’ARERA</w:t>
      </w:r>
      <w:r w:rsidR="008A1526" w:rsidRPr="00C27AE9">
        <w:rPr>
          <w:rFonts w:ascii="Garamond" w:hAnsi="Garamond"/>
          <w:sz w:val="26"/>
          <w:szCs w:val="26"/>
        </w:rPr>
        <w:t>, invece,</w:t>
      </w:r>
      <w:r w:rsidRPr="00C27AE9">
        <w:rPr>
          <w:rFonts w:ascii="Garamond" w:hAnsi="Garamond"/>
          <w:sz w:val="26"/>
          <w:szCs w:val="26"/>
        </w:rPr>
        <w:t xml:space="preserve"> è di altra natura, e consiste nella verifica </w:t>
      </w:r>
      <w:r w:rsidR="008A1526" w:rsidRPr="00C27AE9">
        <w:rPr>
          <w:rFonts w:ascii="Garamond" w:hAnsi="Garamond"/>
          <w:i/>
          <w:iCs/>
          <w:sz w:val="26"/>
          <w:szCs w:val="26"/>
        </w:rPr>
        <w:t>ab externo</w:t>
      </w:r>
      <w:r w:rsidR="008A1526" w:rsidRPr="00C27AE9">
        <w:rPr>
          <w:rFonts w:ascii="Garamond" w:hAnsi="Garamond"/>
          <w:sz w:val="26"/>
          <w:szCs w:val="26"/>
        </w:rPr>
        <w:t xml:space="preserve"> di coerenza regolatoria; Arera si limita infatti a verificare la coerenza regolatoria degli atti, dei dati e della documentazione di validazione trasmessa dall’ETC, senza alcuna valutazione di merito sui costi esposti (cfr. artt. 7.7. e 8.4 della Delib. 363/2021), con ciò traducendosi in un atto di controllo.</w:t>
      </w:r>
    </w:p>
    <w:p w14:paraId="120D6EE7" w14:textId="77777777" w:rsidR="008A1526" w:rsidRPr="00C27AE9" w:rsidRDefault="008A1526" w:rsidP="008A1526">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Prendendo ad ogni modo atto dell’indirizzo attualmente prevalente, nell</w:t>
      </w:r>
      <w:r w:rsidR="004163E7" w:rsidRPr="00C27AE9">
        <w:rPr>
          <w:rFonts w:ascii="Garamond" w:hAnsi="Garamond"/>
          <w:sz w:val="26"/>
          <w:szCs w:val="26"/>
        </w:rPr>
        <w:t xml:space="preserve">a </w:t>
      </w:r>
      <w:r w:rsidRPr="00C27AE9">
        <w:rPr>
          <w:rFonts w:ascii="Garamond" w:hAnsi="Garamond"/>
          <w:sz w:val="26"/>
          <w:szCs w:val="26"/>
        </w:rPr>
        <w:t xml:space="preserve">recente </w:t>
      </w:r>
      <w:r w:rsidR="004163E7" w:rsidRPr="00C27AE9">
        <w:rPr>
          <w:rFonts w:ascii="Garamond" w:hAnsi="Garamond"/>
          <w:sz w:val="26"/>
          <w:szCs w:val="26"/>
        </w:rPr>
        <w:t>quarta relazione alle Camere, l’Autorità, ha affermato, tra l’altro, che “</w:t>
      </w:r>
      <w:r w:rsidR="004163E7" w:rsidRPr="00C27AE9">
        <w:rPr>
          <w:rFonts w:ascii="Garamond" w:hAnsi="Garamond"/>
          <w:i/>
          <w:iCs/>
          <w:sz w:val="26"/>
          <w:szCs w:val="26"/>
        </w:rPr>
        <w:t>La perdurante fase di start up della regolazione settoriale (che si protrae in ragione della complessità della materia e del numero di enti territorialmente competenti coinvolti pari a circa 2.598 nonché dei circa 6202 piani economico-finanziari interessati) non ha probabilmente ancora reso evidenti i profili da intendersi adottati in via definitiva al pertinente livello territoriale. Escludendo che il menzionato pronunciamento del giudice amministrativo voglia andare nella direzione di una diffusa deresponsabilizzazione degli atti adottati a livello locale, non può non rilevarsi come esista una serie di profili sui quali le decisioni assunte dall’ente territorialmente competente abbiano efficacia definitiva</w:t>
      </w:r>
      <w:r w:rsidR="004163E7" w:rsidRPr="00C27AE9">
        <w:rPr>
          <w:rFonts w:ascii="Garamond" w:hAnsi="Garamond"/>
          <w:sz w:val="26"/>
          <w:szCs w:val="26"/>
        </w:rPr>
        <w:t>”</w:t>
      </w:r>
      <w:r w:rsidRPr="00C27AE9">
        <w:rPr>
          <w:rFonts w:ascii="Garamond" w:hAnsi="Garamond"/>
          <w:sz w:val="26"/>
          <w:szCs w:val="26"/>
        </w:rPr>
        <w:t>.</w:t>
      </w:r>
    </w:p>
    <w:p w14:paraId="5D3B22E0" w14:textId="1D107E0F" w:rsidR="004163E7" w:rsidRPr="00C27AE9" w:rsidRDefault="008A1526" w:rsidP="008A1526">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Nella </w:t>
      </w:r>
      <w:r w:rsidR="004163E7" w:rsidRPr="00C27AE9">
        <w:rPr>
          <w:rFonts w:ascii="Garamond" w:hAnsi="Garamond"/>
          <w:sz w:val="26"/>
          <w:szCs w:val="26"/>
        </w:rPr>
        <w:t>deliberazione dell’ARERA n. 397/2025/R/rif del 5 agosto 2025, recante “</w:t>
      </w:r>
      <w:r w:rsidR="004163E7" w:rsidRPr="00C27AE9">
        <w:rPr>
          <w:rFonts w:ascii="Garamond" w:hAnsi="Garamond"/>
          <w:i/>
          <w:iCs/>
          <w:sz w:val="26"/>
          <w:szCs w:val="26"/>
        </w:rPr>
        <w:t>Approvazione del metodo tariffario rifiuti (MTR-3) per il terzo periodo regolatorio 2026-2029</w:t>
      </w:r>
      <w:r w:rsidR="004163E7" w:rsidRPr="00C27AE9">
        <w:rPr>
          <w:rFonts w:ascii="Garamond" w:hAnsi="Garamond"/>
          <w:sz w:val="26"/>
          <w:szCs w:val="26"/>
        </w:rPr>
        <w:t xml:space="preserve">”, </w:t>
      </w:r>
      <w:r w:rsidRPr="00C27AE9">
        <w:rPr>
          <w:rFonts w:ascii="Garamond" w:hAnsi="Garamond"/>
          <w:sz w:val="26"/>
          <w:szCs w:val="26"/>
        </w:rPr>
        <w:t xml:space="preserve">l’Autorità ha </w:t>
      </w:r>
      <w:r w:rsidR="00E161EF" w:rsidRPr="00C27AE9">
        <w:rPr>
          <w:rFonts w:ascii="Garamond" w:hAnsi="Garamond"/>
          <w:sz w:val="26"/>
          <w:szCs w:val="26"/>
        </w:rPr>
        <w:t xml:space="preserve">inteso </w:t>
      </w:r>
      <w:r w:rsidRPr="00C27AE9">
        <w:rPr>
          <w:rFonts w:ascii="Garamond" w:hAnsi="Garamond"/>
          <w:sz w:val="26"/>
          <w:szCs w:val="26"/>
        </w:rPr>
        <w:t>rimarca</w:t>
      </w:r>
      <w:r w:rsidR="00E161EF" w:rsidRPr="00C27AE9">
        <w:rPr>
          <w:rFonts w:ascii="Garamond" w:hAnsi="Garamond"/>
          <w:sz w:val="26"/>
          <w:szCs w:val="26"/>
        </w:rPr>
        <w:t>re</w:t>
      </w:r>
      <w:r w:rsidRPr="00C27AE9">
        <w:rPr>
          <w:rFonts w:ascii="Garamond" w:hAnsi="Garamond"/>
          <w:sz w:val="26"/>
          <w:szCs w:val="26"/>
        </w:rPr>
        <w:t xml:space="preserve"> </w:t>
      </w:r>
      <w:r w:rsidR="004163E7" w:rsidRPr="00C27AE9">
        <w:rPr>
          <w:rFonts w:ascii="Garamond" w:hAnsi="Garamond"/>
          <w:sz w:val="26"/>
          <w:szCs w:val="26"/>
        </w:rPr>
        <w:t>che agli enti territoriali competenti è attribuita in via esclusiva la responsabilità delle valutazioni e delle decisioni in ordine alla quantificazione di alcuni parametri</w:t>
      </w:r>
      <w:r w:rsidR="00E161EF" w:rsidRPr="00C27AE9">
        <w:rPr>
          <w:rFonts w:ascii="Garamond" w:hAnsi="Garamond"/>
          <w:sz w:val="26"/>
          <w:szCs w:val="26"/>
        </w:rPr>
        <w:t xml:space="preserve"> regolatori</w:t>
      </w:r>
      <w:r w:rsidR="004163E7" w:rsidRPr="00C27AE9">
        <w:rPr>
          <w:rFonts w:ascii="Garamond" w:hAnsi="Garamond"/>
          <w:sz w:val="26"/>
          <w:szCs w:val="26"/>
        </w:rPr>
        <w:t xml:space="preserve">, purché nel rispetto degli intervalli e dei criteri fissati dalla stessa ARERA. </w:t>
      </w:r>
    </w:p>
    <w:p w14:paraId="5E35036A" w14:textId="77777777" w:rsidR="00CF77BB" w:rsidRDefault="004163E7" w:rsidP="00CF77B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Al riguardo, l’Autorità ha ritenuto “</w:t>
      </w:r>
      <w:r w:rsidRPr="00C27AE9">
        <w:rPr>
          <w:rFonts w:ascii="Garamond" w:hAnsi="Garamond"/>
          <w:i/>
          <w:iCs/>
          <w:sz w:val="26"/>
          <w:szCs w:val="26"/>
        </w:rPr>
        <w:t xml:space="preserve">necessario ribadire che </w:t>
      </w:r>
      <w:r w:rsidR="00E161EF" w:rsidRPr="00C27AE9">
        <w:rPr>
          <w:rFonts w:ascii="Garamond" w:hAnsi="Garamond"/>
          <w:i/>
          <w:iCs/>
          <w:sz w:val="26"/>
          <w:szCs w:val="26"/>
        </w:rPr>
        <w:t>(…)</w:t>
      </w:r>
      <w:r w:rsidRPr="00C27AE9">
        <w:rPr>
          <w:rFonts w:ascii="Garamond" w:hAnsi="Garamond"/>
          <w:i/>
          <w:iCs/>
          <w:sz w:val="26"/>
          <w:szCs w:val="26"/>
        </w:rPr>
        <w:t xml:space="preserve"> le decisioni dell’Ente territorialmente competente – qualora siano rispettose dei tetti, dei livelli e dei criteri fissati dall’Autorità – producono immediatamente effetto anche nei confronti di quest’ultima, che deve pertanto tenerne conto ai fini delle determinazioni di propria competenza, ossia ai fini dell’approvazione tariffaria che l’Autorità medesima è chiamata ad adottare a seguito di una verifica inerente, nello specifico, al (solo e diverso) profilo della coerenza con la propria regolazione delle determinazioni assunte dall’Ente territorialmente competente</w:t>
      </w:r>
      <w:r w:rsidRPr="00C27AE9">
        <w:rPr>
          <w:rFonts w:ascii="Garamond" w:hAnsi="Garamond"/>
          <w:sz w:val="26"/>
          <w:szCs w:val="26"/>
        </w:rPr>
        <w:t>”</w:t>
      </w:r>
      <w:r w:rsidR="004E25FD" w:rsidRPr="00C27AE9">
        <w:rPr>
          <w:rFonts w:ascii="Garamond" w:hAnsi="Garamond"/>
          <w:sz w:val="26"/>
          <w:szCs w:val="26"/>
        </w:rPr>
        <w:t>.</w:t>
      </w:r>
    </w:p>
    <w:p w14:paraId="4140C783" w14:textId="77777777" w:rsidR="00CF77BB" w:rsidRDefault="004E25FD" w:rsidP="00CF77BB">
      <w:pPr>
        <w:pStyle w:val="Rientrocorpodeltesto"/>
        <w:widowControl w:val="0"/>
        <w:spacing w:after="0"/>
        <w:ind w:left="0" w:firstLine="454"/>
        <w:jc w:val="both"/>
        <w:rPr>
          <w:rFonts w:ascii="Garamond" w:hAnsi="Garamond"/>
          <w:sz w:val="26"/>
          <w:szCs w:val="26"/>
        </w:rPr>
      </w:pPr>
      <w:r w:rsidRPr="00C27AE9">
        <w:rPr>
          <w:rFonts w:ascii="Garamond" w:hAnsi="Garamond"/>
          <w:sz w:val="26"/>
          <w:szCs w:val="26"/>
        </w:rPr>
        <w:t xml:space="preserve">Sarà </w:t>
      </w:r>
      <w:r w:rsidR="00F93C60" w:rsidRPr="00C27AE9">
        <w:rPr>
          <w:rFonts w:ascii="Garamond" w:hAnsi="Garamond"/>
          <w:sz w:val="26"/>
          <w:szCs w:val="26"/>
        </w:rPr>
        <w:t xml:space="preserve">pertanto </w:t>
      </w:r>
      <w:r w:rsidRPr="00C27AE9">
        <w:rPr>
          <w:rFonts w:ascii="Garamond" w:hAnsi="Garamond"/>
          <w:sz w:val="26"/>
          <w:szCs w:val="26"/>
        </w:rPr>
        <w:t>interessante verificare</w:t>
      </w:r>
      <w:r w:rsidR="00F93C60" w:rsidRPr="00C27AE9">
        <w:rPr>
          <w:rFonts w:ascii="Garamond" w:hAnsi="Garamond"/>
          <w:sz w:val="26"/>
          <w:szCs w:val="26"/>
        </w:rPr>
        <w:t xml:space="preserve">, in un prossimo futuro, </w:t>
      </w:r>
      <w:r w:rsidRPr="00C27AE9">
        <w:rPr>
          <w:rFonts w:ascii="Garamond" w:hAnsi="Garamond"/>
          <w:sz w:val="26"/>
          <w:szCs w:val="26"/>
        </w:rPr>
        <w:t>l’esito di un eventuale vaglio in sede giudiziaria su provvedimenti adottati dall’ETC che costituiscono espressione di queste nuove prerogative che per la prima volta sono state previste con l’introduzione del MTR-3.</w:t>
      </w:r>
    </w:p>
    <w:p w14:paraId="521842EE" w14:textId="77777777" w:rsidR="00CF77BB" w:rsidRDefault="00CF77BB" w:rsidP="00CF77BB">
      <w:pPr>
        <w:pStyle w:val="Rientrocorpodeltesto"/>
        <w:widowControl w:val="0"/>
        <w:spacing w:after="0"/>
        <w:ind w:left="0" w:firstLine="454"/>
        <w:jc w:val="both"/>
        <w:rPr>
          <w:rFonts w:ascii="Garamond" w:hAnsi="Garamond"/>
          <w:sz w:val="26"/>
          <w:szCs w:val="26"/>
        </w:rPr>
      </w:pPr>
    </w:p>
    <w:p w14:paraId="0A2256C3" w14:textId="17954AEB" w:rsidR="00CF77BB" w:rsidRPr="00CF77BB" w:rsidRDefault="00CF77BB" w:rsidP="00CF77BB">
      <w:pPr>
        <w:pStyle w:val="Rientrocorpodeltesto"/>
        <w:widowControl w:val="0"/>
        <w:spacing w:after="0"/>
        <w:ind w:left="0" w:firstLine="454"/>
        <w:jc w:val="both"/>
        <w:rPr>
          <w:rFonts w:ascii="Garamond" w:hAnsi="Garamond"/>
          <w:i/>
          <w:iCs/>
          <w:sz w:val="26"/>
          <w:szCs w:val="26"/>
        </w:rPr>
      </w:pPr>
      <w:r>
        <w:rPr>
          <w:rFonts w:ascii="Garamond" w:hAnsi="Garamond"/>
          <w:i/>
          <w:iCs/>
          <w:sz w:val="26"/>
          <w:szCs w:val="26"/>
        </w:rPr>
        <w:t xml:space="preserve">Marco Lancieri, avvocato amministrativista e cassazionista del Foro di Bari </w:t>
      </w:r>
    </w:p>
    <w:p w14:paraId="01DE320D" w14:textId="77777777" w:rsidR="00CF77BB" w:rsidRPr="00CF77BB" w:rsidRDefault="00CF77BB" w:rsidP="00CF77BB">
      <w:pPr>
        <w:pStyle w:val="Rientrocorpodeltesto"/>
        <w:widowControl w:val="0"/>
        <w:spacing w:after="0"/>
        <w:ind w:left="0" w:firstLine="454"/>
        <w:jc w:val="both"/>
        <w:rPr>
          <w:rFonts w:ascii="Garamond" w:hAnsi="Garamond"/>
          <w:i/>
          <w:iCs/>
          <w:sz w:val="26"/>
          <w:szCs w:val="26"/>
        </w:rPr>
      </w:pPr>
    </w:p>
    <w:p w14:paraId="336620D0" w14:textId="68CA8959" w:rsidR="00CF77BB" w:rsidRPr="00CF77BB" w:rsidRDefault="00CF77BB" w:rsidP="00CF77BB">
      <w:pPr>
        <w:pStyle w:val="Rientrocorpodeltesto"/>
        <w:widowControl w:val="0"/>
        <w:spacing w:after="0"/>
        <w:ind w:left="0" w:firstLine="454"/>
        <w:jc w:val="both"/>
        <w:rPr>
          <w:rFonts w:ascii="Garamond" w:hAnsi="Garamond"/>
          <w:i/>
          <w:iCs/>
          <w:sz w:val="26"/>
          <w:szCs w:val="26"/>
        </w:rPr>
      </w:pPr>
      <w:r w:rsidRPr="00CF77BB">
        <w:rPr>
          <w:rFonts w:ascii="Garamond" w:hAnsi="Garamond"/>
          <w:i/>
          <w:iCs/>
          <w:sz w:val="26"/>
          <w:szCs w:val="26"/>
        </w:rPr>
        <w:t>Le opinioni di cui al presente contributo sono espresse dall’Aut</w:t>
      </w:r>
      <w:r>
        <w:rPr>
          <w:rFonts w:ascii="Garamond" w:hAnsi="Garamond"/>
          <w:i/>
          <w:iCs/>
          <w:sz w:val="26"/>
          <w:szCs w:val="26"/>
        </w:rPr>
        <w:t>or</w:t>
      </w:r>
      <w:r w:rsidRPr="00CF77BB">
        <w:rPr>
          <w:rFonts w:ascii="Garamond" w:hAnsi="Garamond"/>
          <w:i/>
          <w:iCs/>
          <w:sz w:val="26"/>
          <w:szCs w:val="26"/>
        </w:rPr>
        <w:t>e a titolo personale; esse non impegnano l'Ufficio studi della Giustizia amministrativa, né quest'ultima quale Istituzione.</w:t>
      </w:r>
    </w:p>
    <w:p w14:paraId="405CFFF2" w14:textId="77777777" w:rsidR="003361F5" w:rsidRPr="00C27AE9" w:rsidRDefault="003361F5" w:rsidP="00B14B5A">
      <w:pPr>
        <w:widowControl w:val="0"/>
        <w:rPr>
          <w:rFonts w:ascii="Garamond" w:hAnsi="Garamond"/>
          <w:sz w:val="26"/>
          <w:szCs w:val="26"/>
        </w:rPr>
      </w:pPr>
    </w:p>
    <w:sectPr w:rsidR="003361F5" w:rsidRPr="00C27AE9" w:rsidSect="006E45F3">
      <w:footerReference w:type="even" r:id="rId8"/>
      <w:footerReference w:type="default" r:id="rId9"/>
      <w:pgSz w:w="11906" w:h="16838"/>
      <w:pgMar w:top="1588" w:right="1588" w:bottom="1247"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7382F" w14:textId="77777777" w:rsidR="003B7DB9" w:rsidRDefault="003B7DB9" w:rsidP="00C6172A">
      <w:r>
        <w:separator/>
      </w:r>
    </w:p>
  </w:endnote>
  <w:endnote w:type="continuationSeparator" w:id="0">
    <w:p w14:paraId="20CE323F" w14:textId="77777777" w:rsidR="003B7DB9" w:rsidRDefault="003B7DB9" w:rsidP="00C6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89834163"/>
      <w:docPartObj>
        <w:docPartGallery w:val="Page Numbers (Bottom of Page)"/>
        <w:docPartUnique/>
      </w:docPartObj>
    </w:sdtPr>
    <w:sdtEndPr>
      <w:rPr>
        <w:rStyle w:val="Numeropagina"/>
      </w:rPr>
    </w:sdtEndPr>
    <w:sdtContent>
      <w:p w14:paraId="2EF1EAB2" w14:textId="5E1EBC0E" w:rsidR="006E45F3" w:rsidRDefault="006E45F3" w:rsidP="00A153B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3A717DBF" w14:textId="77777777" w:rsidR="006E45F3" w:rsidRDefault="006E45F3" w:rsidP="006E45F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64182936"/>
      <w:docPartObj>
        <w:docPartGallery w:val="Page Numbers (Bottom of Page)"/>
        <w:docPartUnique/>
      </w:docPartObj>
    </w:sdtPr>
    <w:sdtEndPr>
      <w:rPr>
        <w:rStyle w:val="Numeropagina"/>
      </w:rPr>
    </w:sdtEndPr>
    <w:sdtContent>
      <w:p w14:paraId="25145942" w14:textId="405DCD10" w:rsidR="006E45F3" w:rsidRDefault="006E45F3" w:rsidP="00A153B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7CF6D9F4" w14:textId="77777777" w:rsidR="006E45F3" w:rsidRDefault="006E45F3" w:rsidP="006E45F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B6686" w14:textId="77777777" w:rsidR="003B7DB9" w:rsidRDefault="003B7DB9" w:rsidP="00C6172A">
      <w:r>
        <w:separator/>
      </w:r>
    </w:p>
  </w:footnote>
  <w:footnote w:type="continuationSeparator" w:id="0">
    <w:p w14:paraId="22DB7CEB" w14:textId="77777777" w:rsidR="003B7DB9" w:rsidRDefault="003B7DB9" w:rsidP="00C6172A">
      <w:r>
        <w:continuationSeparator/>
      </w:r>
    </w:p>
  </w:footnote>
  <w:footnote w:id="1">
    <w:p w14:paraId="3B9CF1DD" w14:textId="49231F04" w:rsidR="00656592" w:rsidRPr="006E338E" w:rsidRDefault="00656592">
      <w:pPr>
        <w:pStyle w:val="Testonotaapidipagina"/>
        <w:rPr>
          <w:rFonts w:ascii="Garamond" w:hAnsi="Garamond"/>
          <w:sz w:val="22"/>
          <w:szCs w:val="22"/>
        </w:rPr>
      </w:pPr>
      <w:r w:rsidRPr="006E338E">
        <w:rPr>
          <w:rStyle w:val="Rimandonotaapidipagina"/>
          <w:rFonts w:ascii="Garamond" w:hAnsi="Garamond"/>
          <w:sz w:val="22"/>
          <w:szCs w:val="22"/>
        </w:rPr>
        <w:footnoteRef/>
      </w:r>
      <w:r w:rsidRPr="006E338E">
        <w:rPr>
          <w:rFonts w:ascii="Garamond" w:hAnsi="Garamond"/>
          <w:sz w:val="22"/>
          <w:szCs w:val="22"/>
        </w:rPr>
        <w:t xml:space="preserve"> C. Stato, sez. II, 07.05.2024, n. 2255.</w:t>
      </w:r>
    </w:p>
  </w:footnote>
  <w:footnote w:id="2">
    <w:p w14:paraId="74E6731E" w14:textId="12DC4763" w:rsidR="004B079E" w:rsidRDefault="004B079E" w:rsidP="00F95594">
      <w:pPr>
        <w:jc w:val="both"/>
        <w:rPr>
          <w:rFonts w:ascii="Garamond" w:hAnsi="Garamond"/>
          <w:sz w:val="22"/>
          <w:szCs w:val="22"/>
        </w:rPr>
      </w:pPr>
      <w:r w:rsidRPr="006E338E">
        <w:rPr>
          <w:rStyle w:val="Rimandonotaapidipagina"/>
          <w:rFonts w:ascii="Garamond" w:hAnsi="Garamond"/>
          <w:sz w:val="22"/>
          <w:szCs w:val="22"/>
        </w:rPr>
        <w:footnoteRef/>
      </w:r>
      <w:r w:rsidRPr="006E338E">
        <w:rPr>
          <w:rFonts w:ascii="Garamond" w:hAnsi="Garamond"/>
          <w:sz w:val="22"/>
          <w:szCs w:val="22"/>
        </w:rPr>
        <w:t xml:space="preserve"> </w:t>
      </w:r>
      <w:r w:rsidRPr="00D10B22">
        <w:rPr>
          <w:rFonts w:ascii="Garamond" w:hAnsi="Garamond"/>
          <w:smallCaps/>
          <w:sz w:val="22"/>
          <w:szCs w:val="22"/>
        </w:rPr>
        <w:t>V.M. Polimeno</w:t>
      </w:r>
      <w:r w:rsidRPr="006E338E">
        <w:rPr>
          <w:rFonts w:ascii="Garamond" w:hAnsi="Garamond"/>
          <w:sz w:val="22"/>
          <w:szCs w:val="22"/>
        </w:rPr>
        <w:t xml:space="preserve">, </w:t>
      </w:r>
      <w:r w:rsidRPr="006E338E">
        <w:rPr>
          <w:rFonts w:ascii="Garamond" w:hAnsi="Garamond"/>
          <w:i/>
          <w:iCs/>
          <w:sz w:val="22"/>
          <w:szCs w:val="22"/>
        </w:rPr>
        <w:t>Le nuove forme di gestione dei beni e dei servizi di interesse economico generale</w:t>
      </w:r>
      <w:r w:rsidRPr="006E338E">
        <w:rPr>
          <w:rFonts w:ascii="Garamond" w:hAnsi="Garamond"/>
          <w:sz w:val="22"/>
          <w:szCs w:val="22"/>
        </w:rPr>
        <w:t>, in www.giustizia-amministrativa.it, settembre 2025, pag. 9.</w:t>
      </w:r>
      <w:r w:rsidR="006A3933">
        <w:rPr>
          <w:rFonts w:ascii="Garamond" w:hAnsi="Garamond"/>
          <w:sz w:val="22"/>
          <w:szCs w:val="22"/>
        </w:rPr>
        <w:t xml:space="preserve"> </w:t>
      </w:r>
      <w:r w:rsidR="006A3933" w:rsidRPr="006A3933">
        <w:rPr>
          <w:rFonts w:ascii="Garamond" w:hAnsi="Garamond"/>
          <w:sz w:val="22"/>
          <w:szCs w:val="22"/>
        </w:rPr>
        <w:t>L’art. 4 del d.lgs. n. 201/2022 dispone testualmente che “</w:t>
      </w:r>
      <w:r w:rsidR="006A3933" w:rsidRPr="006A3933">
        <w:rPr>
          <w:rFonts w:ascii="Garamond" w:hAnsi="Garamond"/>
          <w:i/>
          <w:iCs/>
          <w:sz w:val="22"/>
          <w:szCs w:val="22"/>
        </w:rPr>
        <w:t>Le disposizioni del presente decreto si applicano a tutti i servizi di interesse economico generale prestati a livello locale, integrano le normative di settore e, in caso di contrasto, prevalgono su di esse, nel rispetto del diritto dell’Unione Europea e salvo che non siano previste nel presente decreto specifiche norme di salvaguardia e prevalenza della disciplina di settore</w:t>
      </w:r>
      <w:r w:rsidR="006A3933" w:rsidRPr="006A3933">
        <w:rPr>
          <w:rFonts w:ascii="Garamond" w:hAnsi="Garamond"/>
          <w:sz w:val="22"/>
          <w:szCs w:val="22"/>
        </w:rPr>
        <w:t>”.</w:t>
      </w:r>
    </w:p>
    <w:p w14:paraId="27B7A3BA" w14:textId="483C6A01" w:rsidR="006A3933" w:rsidRPr="006A3933" w:rsidRDefault="006A3933" w:rsidP="006A3933">
      <w:pPr>
        <w:jc w:val="both"/>
        <w:rPr>
          <w:rFonts w:ascii="Garamond" w:hAnsi="Garamond"/>
          <w:sz w:val="22"/>
          <w:szCs w:val="22"/>
        </w:rPr>
      </w:pPr>
    </w:p>
  </w:footnote>
  <w:footnote w:id="3">
    <w:p w14:paraId="0642DC32" w14:textId="2C30AD25" w:rsidR="0033532B" w:rsidRPr="0033532B" w:rsidRDefault="0033532B" w:rsidP="0091220E">
      <w:pPr>
        <w:pStyle w:val="Testonotaapidipagina"/>
        <w:jc w:val="both"/>
        <w:rPr>
          <w:rFonts w:ascii="Garamond" w:hAnsi="Garamond"/>
          <w:sz w:val="22"/>
          <w:szCs w:val="22"/>
        </w:rPr>
      </w:pPr>
      <w:r w:rsidRPr="00D705B3">
        <w:rPr>
          <w:rStyle w:val="Rimandonotaapidipagina"/>
          <w:rFonts w:ascii="Garamond" w:hAnsi="Garamond"/>
        </w:rPr>
        <w:footnoteRef/>
      </w:r>
      <w:r w:rsidRPr="00D705B3">
        <w:rPr>
          <w:rFonts w:ascii="Garamond" w:hAnsi="Garamond"/>
        </w:rPr>
        <w:t xml:space="preserve"> </w:t>
      </w:r>
      <w:r w:rsidR="0091220E">
        <w:rPr>
          <w:rFonts w:ascii="Garamond" w:hAnsi="Garamond"/>
        </w:rPr>
        <w:t xml:space="preserve">Così </w:t>
      </w:r>
      <w:r w:rsidR="0091220E">
        <w:rPr>
          <w:rFonts w:ascii="Garamond" w:hAnsi="Garamond"/>
          <w:smallCaps/>
          <w:sz w:val="22"/>
          <w:szCs w:val="22"/>
        </w:rPr>
        <w:t>e</w:t>
      </w:r>
      <w:r w:rsidR="0091220E" w:rsidRPr="006A3933">
        <w:rPr>
          <w:rFonts w:ascii="Garamond" w:hAnsi="Garamond"/>
          <w:smallCaps/>
          <w:sz w:val="22"/>
          <w:szCs w:val="22"/>
        </w:rPr>
        <w:t xml:space="preserve">. </w:t>
      </w:r>
      <w:r w:rsidR="0091220E">
        <w:rPr>
          <w:rFonts w:ascii="Garamond" w:hAnsi="Garamond"/>
          <w:smallCaps/>
          <w:sz w:val="22"/>
          <w:szCs w:val="22"/>
        </w:rPr>
        <w:t>fidelbo</w:t>
      </w:r>
      <w:r w:rsidR="0091220E" w:rsidRPr="006A3933">
        <w:rPr>
          <w:rFonts w:ascii="Garamond" w:hAnsi="Garamond"/>
          <w:sz w:val="22"/>
          <w:szCs w:val="22"/>
        </w:rPr>
        <w:t xml:space="preserve">, </w:t>
      </w:r>
      <w:r w:rsidR="0091220E" w:rsidRPr="00367C7D">
        <w:rPr>
          <w:rFonts w:ascii="Garamond" w:hAnsi="Garamond"/>
          <w:i/>
          <w:iCs/>
          <w:sz w:val="22"/>
          <w:szCs w:val="22"/>
        </w:rPr>
        <w:t xml:space="preserve">I </w:t>
      </w:r>
      <w:r w:rsidR="0091220E">
        <w:rPr>
          <w:rFonts w:ascii="Garamond" w:hAnsi="Garamond"/>
          <w:i/>
          <w:iCs/>
          <w:sz w:val="22"/>
          <w:szCs w:val="22"/>
        </w:rPr>
        <w:t>Rifiuti</w:t>
      </w:r>
      <w:r w:rsidR="0091220E" w:rsidRPr="006A3933">
        <w:rPr>
          <w:rFonts w:ascii="Garamond" w:hAnsi="Garamond"/>
          <w:sz w:val="22"/>
          <w:szCs w:val="22"/>
        </w:rPr>
        <w:t xml:space="preserve">, in </w:t>
      </w:r>
      <w:r w:rsidR="0091220E" w:rsidRPr="00367C7D">
        <w:rPr>
          <w:rFonts w:ascii="Garamond" w:hAnsi="Garamond"/>
          <w:smallCaps/>
          <w:sz w:val="22"/>
          <w:szCs w:val="22"/>
        </w:rPr>
        <w:t>r. chieppa</w:t>
      </w:r>
      <w:r w:rsidR="0091220E" w:rsidRPr="006A3933">
        <w:rPr>
          <w:rFonts w:ascii="Garamond" w:hAnsi="Garamond"/>
          <w:sz w:val="22"/>
          <w:szCs w:val="22"/>
        </w:rPr>
        <w:t xml:space="preserve">, </w:t>
      </w:r>
      <w:r w:rsidR="0091220E" w:rsidRPr="00367C7D">
        <w:rPr>
          <w:rFonts w:ascii="Garamond" w:hAnsi="Garamond"/>
          <w:smallCaps/>
          <w:sz w:val="22"/>
          <w:szCs w:val="22"/>
        </w:rPr>
        <w:t>g.</w:t>
      </w:r>
      <w:r w:rsidR="0091220E" w:rsidRPr="006A3933">
        <w:rPr>
          <w:rFonts w:ascii="Garamond" w:hAnsi="Garamond"/>
          <w:sz w:val="22"/>
          <w:szCs w:val="22"/>
        </w:rPr>
        <w:t xml:space="preserve"> </w:t>
      </w:r>
      <w:r w:rsidR="0091220E" w:rsidRPr="006A3933">
        <w:rPr>
          <w:rFonts w:ascii="Garamond" w:hAnsi="Garamond"/>
          <w:smallCaps/>
          <w:sz w:val="22"/>
          <w:szCs w:val="22"/>
        </w:rPr>
        <w:t>bruzzone</w:t>
      </w:r>
      <w:r w:rsidR="0091220E" w:rsidRPr="006A3933">
        <w:rPr>
          <w:rFonts w:ascii="Garamond" w:hAnsi="Garamond"/>
          <w:sz w:val="22"/>
          <w:szCs w:val="22"/>
        </w:rPr>
        <w:t xml:space="preserve"> e </w:t>
      </w:r>
      <w:r w:rsidR="0091220E" w:rsidRPr="00367C7D">
        <w:rPr>
          <w:rFonts w:ascii="Garamond" w:hAnsi="Garamond"/>
          <w:smallCaps/>
          <w:sz w:val="22"/>
          <w:szCs w:val="22"/>
        </w:rPr>
        <w:t>a. moliterni</w:t>
      </w:r>
      <w:r w:rsidR="0091220E" w:rsidRPr="006A3933">
        <w:rPr>
          <w:rFonts w:ascii="Garamond" w:hAnsi="Garamond"/>
          <w:sz w:val="22"/>
          <w:szCs w:val="22"/>
        </w:rPr>
        <w:t xml:space="preserve"> (a cura di), </w:t>
      </w:r>
      <w:r w:rsidR="0091220E" w:rsidRPr="00367C7D">
        <w:rPr>
          <w:rFonts w:ascii="Garamond" w:hAnsi="Garamond"/>
          <w:i/>
          <w:iCs/>
          <w:sz w:val="22"/>
          <w:szCs w:val="22"/>
        </w:rPr>
        <w:t>Le nuove Leggi Amministrative - La riforma dei servizi pubblici locali</w:t>
      </w:r>
      <w:r w:rsidR="0091220E" w:rsidRPr="006A3933">
        <w:rPr>
          <w:rFonts w:ascii="Garamond" w:hAnsi="Garamond"/>
          <w:sz w:val="22"/>
          <w:szCs w:val="22"/>
        </w:rPr>
        <w:t>, Milano, 2023, p.</w:t>
      </w:r>
      <w:r w:rsidR="0091220E">
        <w:rPr>
          <w:rFonts w:ascii="Garamond" w:hAnsi="Garamond"/>
          <w:sz w:val="22"/>
          <w:szCs w:val="22"/>
        </w:rPr>
        <w:t xml:space="preserve"> 625.</w:t>
      </w:r>
    </w:p>
  </w:footnote>
  <w:footnote w:id="4">
    <w:p w14:paraId="24917A87" w14:textId="70E4DF83" w:rsidR="00EE4A77" w:rsidRPr="00EE4A77" w:rsidRDefault="00EE4A77" w:rsidP="00EE4A77">
      <w:pPr>
        <w:pStyle w:val="Testonotaapidipagina"/>
        <w:jc w:val="both"/>
      </w:pPr>
      <w:r>
        <w:rPr>
          <w:rStyle w:val="Rimandonotaapidipagina"/>
        </w:rPr>
        <w:footnoteRef/>
      </w:r>
      <w:r>
        <w:t xml:space="preserve"> </w:t>
      </w:r>
      <w:r w:rsidRPr="00EE4A77">
        <w:rPr>
          <w:rFonts w:ascii="Garamond" w:hAnsi="Garamond"/>
          <w:smallCaps/>
          <w:sz w:val="22"/>
          <w:szCs w:val="22"/>
        </w:rPr>
        <w:t xml:space="preserve">f. caporale, </w:t>
      </w:r>
      <w:r w:rsidRPr="00EE4A77">
        <w:rPr>
          <w:rFonts w:ascii="Garamond" w:hAnsi="Garamond"/>
          <w:i/>
          <w:iCs/>
          <w:sz w:val="22"/>
          <w:szCs w:val="22"/>
        </w:rPr>
        <w:t>Disposizioni di coordinamento in materia di servizio idrico e di gestione dei rifiuti urbani</w:t>
      </w:r>
      <w:r w:rsidRPr="00EE4A77">
        <w:rPr>
          <w:rFonts w:ascii="Garamond" w:hAnsi="Garamond"/>
          <w:sz w:val="22"/>
          <w:szCs w:val="22"/>
        </w:rPr>
        <w:t>, in</w:t>
      </w:r>
      <w:r>
        <w:t xml:space="preserve"> </w:t>
      </w:r>
      <w:r w:rsidRPr="00367C7D">
        <w:rPr>
          <w:rFonts w:ascii="Garamond" w:hAnsi="Garamond"/>
          <w:smallCaps/>
          <w:sz w:val="22"/>
          <w:szCs w:val="22"/>
        </w:rPr>
        <w:t>r. chieppa</w:t>
      </w:r>
      <w:r w:rsidRPr="006A3933">
        <w:rPr>
          <w:rFonts w:ascii="Garamond" w:hAnsi="Garamond"/>
          <w:sz w:val="22"/>
          <w:szCs w:val="22"/>
        </w:rPr>
        <w:t xml:space="preserve">, </w:t>
      </w:r>
      <w:r w:rsidRPr="00367C7D">
        <w:rPr>
          <w:rFonts w:ascii="Garamond" w:hAnsi="Garamond"/>
          <w:smallCaps/>
          <w:sz w:val="22"/>
          <w:szCs w:val="22"/>
        </w:rPr>
        <w:t>g.</w:t>
      </w:r>
      <w:r w:rsidRPr="006A3933">
        <w:rPr>
          <w:rFonts w:ascii="Garamond" w:hAnsi="Garamond"/>
          <w:sz w:val="22"/>
          <w:szCs w:val="22"/>
        </w:rPr>
        <w:t xml:space="preserve"> </w:t>
      </w:r>
      <w:r w:rsidRPr="006A3933">
        <w:rPr>
          <w:rFonts w:ascii="Garamond" w:hAnsi="Garamond"/>
          <w:smallCaps/>
          <w:sz w:val="22"/>
          <w:szCs w:val="22"/>
        </w:rPr>
        <w:t>bruzzone</w:t>
      </w:r>
      <w:r w:rsidRPr="006A3933">
        <w:rPr>
          <w:rFonts w:ascii="Garamond" w:hAnsi="Garamond"/>
          <w:sz w:val="22"/>
          <w:szCs w:val="22"/>
        </w:rPr>
        <w:t xml:space="preserve"> e </w:t>
      </w:r>
      <w:r w:rsidRPr="00367C7D">
        <w:rPr>
          <w:rFonts w:ascii="Garamond" w:hAnsi="Garamond"/>
          <w:smallCaps/>
          <w:sz w:val="22"/>
          <w:szCs w:val="22"/>
        </w:rPr>
        <w:t>a. moliterni</w:t>
      </w:r>
      <w:r w:rsidRPr="006A3933">
        <w:rPr>
          <w:rFonts w:ascii="Garamond" w:hAnsi="Garamond"/>
          <w:sz w:val="22"/>
          <w:szCs w:val="22"/>
        </w:rPr>
        <w:t xml:space="preserve"> (a cura di), </w:t>
      </w:r>
      <w:r w:rsidRPr="00367C7D">
        <w:rPr>
          <w:rFonts w:ascii="Garamond" w:hAnsi="Garamond"/>
          <w:i/>
          <w:iCs/>
          <w:sz w:val="22"/>
          <w:szCs w:val="22"/>
        </w:rPr>
        <w:t>Le nuove Leggi Amministrative - La riforma dei servizi pubblici locali</w:t>
      </w:r>
      <w:r w:rsidRPr="006A3933">
        <w:rPr>
          <w:rFonts w:ascii="Garamond" w:hAnsi="Garamond"/>
          <w:sz w:val="22"/>
          <w:szCs w:val="22"/>
        </w:rPr>
        <w:t>, Milano, 2023, p.</w:t>
      </w:r>
      <w:r>
        <w:rPr>
          <w:rFonts w:ascii="Garamond" w:hAnsi="Garamond"/>
          <w:sz w:val="22"/>
          <w:szCs w:val="22"/>
        </w:rPr>
        <w:t xml:space="preserve"> 529 ss.</w:t>
      </w:r>
      <w:r w:rsidR="00EF030B">
        <w:rPr>
          <w:rFonts w:ascii="Garamond" w:hAnsi="Garamond"/>
          <w:sz w:val="22"/>
          <w:szCs w:val="22"/>
        </w:rPr>
        <w:t xml:space="preserve"> </w:t>
      </w:r>
      <w:r>
        <w:rPr>
          <w:rFonts w:ascii="Garamond" w:hAnsi="Garamond"/>
          <w:sz w:val="22"/>
          <w:szCs w:val="22"/>
        </w:rPr>
        <w:t>L’Autore individua le ragioni principali della specialità, sul piano giuridico, de</w:t>
      </w:r>
      <w:r w:rsidR="00E11FAC">
        <w:rPr>
          <w:rFonts w:ascii="Garamond" w:hAnsi="Garamond"/>
          <w:sz w:val="22"/>
          <w:szCs w:val="22"/>
        </w:rPr>
        <w:t xml:space="preserve">i </w:t>
      </w:r>
      <w:r>
        <w:rPr>
          <w:rFonts w:ascii="Garamond" w:hAnsi="Garamond"/>
          <w:sz w:val="22"/>
          <w:szCs w:val="22"/>
        </w:rPr>
        <w:t>servizi di gestione dei rifiuti urbani nella loro matrice igienico-sanitaria per un verso, e nell’impatto sull’ambiente per l’altro.</w:t>
      </w:r>
    </w:p>
  </w:footnote>
  <w:footnote w:id="5">
    <w:p w14:paraId="228B4551" w14:textId="2B2F6403" w:rsidR="00EA4A5C" w:rsidRPr="00F254C0" w:rsidRDefault="00EA4A5C" w:rsidP="00EF030B">
      <w:pPr>
        <w:pStyle w:val="Testonotaapidipagina"/>
        <w:jc w:val="both"/>
        <w:rPr>
          <w:rFonts w:ascii="Garamond" w:hAnsi="Garamond"/>
          <w:sz w:val="22"/>
          <w:szCs w:val="22"/>
        </w:rPr>
      </w:pPr>
      <w:r w:rsidRPr="0033532B">
        <w:rPr>
          <w:rStyle w:val="Rimandonotaapidipagina"/>
          <w:rFonts w:ascii="Garamond" w:hAnsi="Garamond"/>
          <w:sz w:val="22"/>
          <w:szCs w:val="22"/>
        </w:rPr>
        <w:footnoteRef/>
      </w:r>
      <w:r w:rsidRPr="0033532B">
        <w:rPr>
          <w:rFonts w:ascii="Garamond" w:hAnsi="Garamond"/>
          <w:sz w:val="22"/>
          <w:szCs w:val="22"/>
        </w:rPr>
        <w:t xml:space="preserve"> C. Stato, sez. II, 07.05.2024, n. 2255.</w:t>
      </w:r>
    </w:p>
  </w:footnote>
  <w:footnote w:id="6">
    <w:p w14:paraId="03FE1485" w14:textId="657EE33D" w:rsidR="00F254C0" w:rsidRDefault="00F254C0" w:rsidP="0017739A">
      <w:pPr>
        <w:pStyle w:val="Testonotaapidipagina"/>
        <w:jc w:val="both"/>
      </w:pPr>
      <w:r w:rsidRPr="00F254C0">
        <w:rPr>
          <w:rStyle w:val="Rimandonotaapidipagina"/>
          <w:rFonts w:ascii="Garamond" w:hAnsi="Garamond"/>
          <w:sz w:val="22"/>
          <w:szCs w:val="22"/>
        </w:rPr>
        <w:footnoteRef/>
      </w:r>
      <w:r w:rsidRPr="00F254C0">
        <w:rPr>
          <w:rFonts w:ascii="Garamond" w:hAnsi="Garamond"/>
          <w:sz w:val="22"/>
          <w:szCs w:val="22"/>
        </w:rPr>
        <w:t xml:space="preserve"> Pacificamente, </w:t>
      </w:r>
      <w:r>
        <w:rPr>
          <w:rFonts w:ascii="Garamond" w:hAnsi="Garamond"/>
          <w:sz w:val="22"/>
          <w:szCs w:val="22"/>
        </w:rPr>
        <w:t xml:space="preserve">infatti, </w:t>
      </w:r>
      <w:r w:rsidRPr="00F254C0">
        <w:rPr>
          <w:rFonts w:ascii="Garamond" w:hAnsi="Garamond"/>
          <w:sz w:val="22"/>
          <w:szCs w:val="22"/>
        </w:rPr>
        <w:t xml:space="preserve">la giurisprudenza attribuisce </w:t>
      </w:r>
      <w:r>
        <w:rPr>
          <w:rFonts w:ascii="Garamond" w:hAnsi="Garamond"/>
          <w:sz w:val="22"/>
          <w:szCs w:val="22"/>
        </w:rPr>
        <w:t xml:space="preserve">natura </w:t>
      </w:r>
      <w:r w:rsidR="0017739A">
        <w:rPr>
          <w:rFonts w:ascii="Garamond" w:hAnsi="Garamond"/>
          <w:sz w:val="22"/>
          <w:szCs w:val="22"/>
        </w:rPr>
        <w:t xml:space="preserve">di norma </w:t>
      </w:r>
      <w:r>
        <w:rPr>
          <w:rFonts w:ascii="Garamond" w:hAnsi="Garamond"/>
          <w:sz w:val="22"/>
          <w:szCs w:val="22"/>
        </w:rPr>
        <w:t xml:space="preserve">imperativa anche alla disciplina regolatoria del MTR, in quanto </w:t>
      </w:r>
      <w:r w:rsidR="0017739A">
        <w:rPr>
          <w:rFonts w:ascii="Garamond" w:hAnsi="Garamond"/>
          <w:sz w:val="22"/>
          <w:szCs w:val="22"/>
        </w:rPr>
        <w:t>«</w:t>
      </w:r>
      <w:r w:rsidR="0017739A" w:rsidRPr="0017739A">
        <w:rPr>
          <w:rFonts w:ascii="Garamond" w:hAnsi="Garamond"/>
          <w:i/>
          <w:iCs/>
          <w:sz w:val="22"/>
          <w:szCs w:val="22"/>
        </w:rPr>
        <w:t>espressione di un potere sancito a sua volta da una norma imperativa posta a presidio di esigenze fondamentali</w:t>
      </w:r>
      <w:r w:rsidR="0017739A">
        <w:rPr>
          <w:rFonts w:ascii="Garamond" w:hAnsi="Garamond"/>
          <w:sz w:val="22"/>
          <w:szCs w:val="22"/>
        </w:rPr>
        <w:t>» (</w:t>
      </w:r>
      <w:r w:rsidRPr="00F254C0">
        <w:rPr>
          <w:rFonts w:ascii="Garamond" w:hAnsi="Garamond"/>
          <w:sz w:val="22"/>
          <w:szCs w:val="22"/>
        </w:rPr>
        <w:t xml:space="preserve">TAR Puglia, Lecce, sez. </w:t>
      </w:r>
      <w:r>
        <w:rPr>
          <w:rFonts w:ascii="Garamond" w:hAnsi="Garamond"/>
          <w:sz w:val="22"/>
          <w:szCs w:val="22"/>
        </w:rPr>
        <w:t>II, 08.04.2024, n. 484 e 485</w:t>
      </w:r>
      <w:r w:rsidR="0017739A">
        <w:rPr>
          <w:rFonts w:ascii="Garamond" w:hAnsi="Garamond"/>
          <w:sz w:val="22"/>
          <w:szCs w:val="22"/>
        </w:rPr>
        <w:t>) e che «</w:t>
      </w:r>
      <w:r w:rsidR="0017739A" w:rsidRPr="0017739A">
        <w:rPr>
          <w:rFonts w:ascii="Garamond" w:hAnsi="Garamond"/>
          <w:i/>
          <w:iCs/>
          <w:sz w:val="22"/>
          <w:szCs w:val="22"/>
        </w:rPr>
        <w:t>assurgono al rango di valori fondamentali dell’ordinamento del sist</w:t>
      </w:r>
      <w:r w:rsidR="0017739A">
        <w:rPr>
          <w:rFonts w:ascii="Garamond" w:hAnsi="Garamond"/>
          <w:i/>
          <w:iCs/>
          <w:sz w:val="22"/>
          <w:szCs w:val="22"/>
        </w:rPr>
        <w:t>em</w:t>
      </w:r>
      <w:r w:rsidR="0017739A" w:rsidRPr="0017739A">
        <w:rPr>
          <w:rFonts w:ascii="Garamond" w:hAnsi="Garamond"/>
          <w:i/>
          <w:iCs/>
          <w:sz w:val="22"/>
          <w:szCs w:val="22"/>
        </w:rPr>
        <w:t>a</w:t>
      </w:r>
      <w:r w:rsidR="0017739A">
        <w:rPr>
          <w:rFonts w:ascii="Garamond" w:hAnsi="Garamond"/>
          <w:i/>
          <w:iCs/>
          <w:sz w:val="22"/>
          <w:szCs w:val="22"/>
        </w:rPr>
        <w:t xml:space="preserve"> </w:t>
      </w:r>
      <w:r w:rsidR="0017739A" w:rsidRPr="0017739A">
        <w:rPr>
          <w:rFonts w:ascii="Garamond" w:hAnsi="Garamond"/>
          <w:i/>
          <w:iCs/>
          <w:sz w:val="22"/>
          <w:szCs w:val="22"/>
        </w:rPr>
        <w:t xml:space="preserve">interno </w:t>
      </w:r>
      <w:r w:rsidR="0017739A">
        <w:rPr>
          <w:rFonts w:ascii="Garamond" w:hAnsi="Garamond"/>
          <w:i/>
          <w:iCs/>
          <w:sz w:val="22"/>
          <w:szCs w:val="22"/>
        </w:rPr>
        <w:t>e</w:t>
      </w:r>
      <w:r w:rsidR="0017739A" w:rsidRPr="0017739A">
        <w:rPr>
          <w:rFonts w:ascii="Garamond" w:hAnsi="Garamond"/>
          <w:i/>
          <w:iCs/>
          <w:sz w:val="22"/>
          <w:szCs w:val="22"/>
        </w:rPr>
        <w:t>d eurounitario, chiaramente enunciati dall’art. 1 , comma 57, legge 2017 n. 205</w:t>
      </w:r>
      <w:r w:rsidR="0017739A">
        <w:rPr>
          <w:rFonts w:ascii="Garamond" w:hAnsi="Garamond"/>
          <w:sz w:val="22"/>
          <w:szCs w:val="22"/>
        </w:rPr>
        <w:t xml:space="preserve">» </w:t>
      </w:r>
      <w:r>
        <w:rPr>
          <w:rFonts w:ascii="Garamond" w:hAnsi="Garamond"/>
          <w:sz w:val="22"/>
          <w:szCs w:val="22"/>
        </w:rPr>
        <w:t xml:space="preserve"> </w:t>
      </w:r>
      <w:r w:rsidR="0017739A">
        <w:rPr>
          <w:rFonts w:ascii="Garamond" w:hAnsi="Garamond"/>
          <w:sz w:val="22"/>
          <w:szCs w:val="22"/>
        </w:rPr>
        <w:t>(</w:t>
      </w:r>
      <w:r>
        <w:rPr>
          <w:rFonts w:ascii="Garamond" w:hAnsi="Garamond"/>
          <w:sz w:val="22"/>
          <w:szCs w:val="22"/>
        </w:rPr>
        <w:t>TAR Lombardia, Milano, sez. I, 17.08.2021 n. 1938</w:t>
      </w:r>
      <w:r w:rsidR="0017739A">
        <w:rPr>
          <w:rFonts w:ascii="Garamond" w:hAnsi="Garamond"/>
          <w:sz w:val="22"/>
          <w:szCs w:val="22"/>
        </w:rPr>
        <w:t>).</w:t>
      </w:r>
      <w:r>
        <w:rPr>
          <w:rFonts w:ascii="Garamond" w:hAnsi="Garamond"/>
          <w:sz w:val="22"/>
          <w:szCs w:val="22"/>
        </w:rPr>
        <w:t xml:space="preserve"> </w:t>
      </w:r>
    </w:p>
  </w:footnote>
  <w:footnote w:id="7">
    <w:p w14:paraId="24FB16ED" w14:textId="139362C7" w:rsidR="00533A25" w:rsidRDefault="00533A25" w:rsidP="00533A25">
      <w:pPr>
        <w:pStyle w:val="Testonotaapidipagina"/>
        <w:jc w:val="both"/>
      </w:pPr>
      <w:r>
        <w:rPr>
          <w:rStyle w:val="Rimandonotaapidipagina"/>
        </w:rPr>
        <w:footnoteRef/>
      </w:r>
      <w:r>
        <w:t xml:space="preserve"> </w:t>
      </w:r>
      <w:r w:rsidR="00E733A5" w:rsidRPr="00423252">
        <w:rPr>
          <w:rFonts w:ascii="Garamond" w:hAnsi="Garamond"/>
          <w:sz w:val="22"/>
          <w:szCs w:val="22"/>
        </w:rPr>
        <w:t>C. Stato, sez. IV, 09.12.2025, n. 9676</w:t>
      </w:r>
      <w:r w:rsidR="00E733A5">
        <w:rPr>
          <w:rFonts w:ascii="Garamond" w:hAnsi="Garamond"/>
          <w:sz w:val="22"/>
          <w:szCs w:val="22"/>
        </w:rPr>
        <w:t>.</w:t>
      </w:r>
    </w:p>
  </w:footnote>
  <w:footnote w:id="8">
    <w:p w14:paraId="4867DD32" w14:textId="0F366281" w:rsidR="009B68E2" w:rsidRDefault="009B68E2">
      <w:pPr>
        <w:pStyle w:val="Testonotaapidipagina"/>
      </w:pPr>
      <w:r>
        <w:rPr>
          <w:rStyle w:val="Rimandonotaapidipagina"/>
        </w:rPr>
        <w:footnoteRef/>
      </w:r>
      <w:r>
        <w:t xml:space="preserve"> </w:t>
      </w:r>
      <w:r w:rsidRPr="00423252">
        <w:rPr>
          <w:rFonts w:ascii="Garamond" w:hAnsi="Garamond"/>
          <w:sz w:val="22"/>
          <w:szCs w:val="22"/>
        </w:rPr>
        <w:t>C. Stato, sez. IV, 0</w:t>
      </w:r>
      <w:r>
        <w:rPr>
          <w:rFonts w:ascii="Garamond" w:hAnsi="Garamond"/>
          <w:sz w:val="22"/>
          <w:szCs w:val="22"/>
        </w:rPr>
        <w:t>7</w:t>
      </w:r>
      <w:r w:rsidRPr="00423252">
        <w:rPr>
          <w:rFonts w:ascii="Garamond" w:hAnsi="Garamond"/>
          <w:sz w:val="22"/>
          <w:szCs w:val="22"/>
        </w:rPr>
        <w:t>.</w:t>
      </w:r>
      <w:r>
        <w:rPr>
          <w:rFonts w:ascii="Garamond" w:hAnsi="Garamond"/>
          <w:sz w:val="22"/>
          <w:szCs w:val="22"/>
        </w:rPr>
        <w:t>04</w:t>
      </w:r>
      <w:r w:rsidRPr="00423252">
        <w:rPr>
          <w:rFonts w:ascii="Garamond" w:hAnsi="Garamond"/>
          <w:sz w:val="22"/>
          <w:szCs w:val="22"/>
        </w:rPr>
        <w:t xml:space="preserve">.2025, n. </w:t>
      </w:r>
      <w:r>
        <w:rPr>
          <w:rFonts w:ascii="Garamond" w:hAnsi="Garamond"/>
          <w:sz w:val="22"/>
          <w:szCs w:val="22"/>
        </w:rPr>
        <w:t>2946.</w:t>
      </w:r>
    </w:p>
  </w:footnote>
  <w:footnote w:id="9">
    <w:p w14:paraId="1769D394" w14:textId="492BA2C5" w:rsidR="0089686A" w:rsidRPr="00457E2B" w:rsidRDefault="0089686A" w:rsidP="0089686A">
      <w:pPr>
        <w:pStyle w:val="Testonotaapidipagina"/>
        <w:jc w:val="both"/>
        <w:rPr>
          <w:rFonts w:ascii="Garamond" w:hAnsi="Garamond"/>
          <w:sz w:val="22"/>
          <w:szCs w:val="22"/>
        </w:rPr>
      </w:pPr>
      <w:r w:rsidRPr="00F26F93">
        <w:rPr>
          <w:rStyle w:val="Rimandonotaapidipagina"/>
          <w:rFonts w:ascii="Garamond" w:hAnsi="Garamond"/>
          <w:sz w:val="22"/>
          <w:szCs w:val="22"/>
        </w:rPr>
        <w:footnoteRef/>
      </w:r>
      <w:r w:rsidRPr="00F26F93">
        <w:rPr>
          <w:rFonts w:ascii="Garamond" w:hAnsi="Garamond"/>
          <w:sz w:val="22"/>
          <w:szCs w:val="22"/>
        </w:rPr>
        <w:t xml:space="preserve"> </w:t>
      </w:r>
      <w:r w:rsidR="0006718D">
        <w:rPr>
          <w:rFonts w:ascii="Garamond" w:hAnsi="Garamond"/>
          <w:sz w:val="22"/>
          <w:szCs w:val="22"/>
        </w:rPr>
        <w:t>C</w:t>
      </w:r>
      <w:r w:rsidR="00F26F93">
        <w:rPr>
          <w:rFonts w:ascii="Garamond" w:hAnsi="Garamond"/>
          <w:sz w:val="22"/>
          <w:szCs w:val="22"/>
        </w:rPr>
        <w:t>ome osservato in giurisprudenza, «</w:t>
      </w:r>
      <w:r w:rsidR="00F26F93" w:rsidRPr="00F26F93">
        <w:rPr>
          <w:rFonts w:ascii="Garamond" w:hAnsi="Garamond"/>
          <w:i/>
          <w:iCs/>
          <w:sz w:val="22"/>
          <w:szCs w:val="22"/>
        </w:rPr>
        <w:t>la funzione del Pef è quella di dimostrare la concreta capacità del concorrente di eseguire correttamente la prestazione per l’intero arco temporale prescelto, attraverso la responsabile prospettazione di un equilibrio economico-finanziario di investimenti e connessa gestione nonché il rendimento per l’intero periodo</w:t>
      </w:r>
      <w:r w:rsidR="00F26F93">
        <w:rPr>
          <w:rFonts w:ascii="Garamond" w:hAnsi="Garamond"/>
          <w:sz w:val="22"/>
          <w:szCs w:val="22"/>
        </w:rPr>
        <w:t>» (C. Stato, sez. V, 13.10. 2020, n. 6168).</w:t>
      </w:r>
      <w:r w:rsidR="00401178">
        <w:rPr>
          <w:rFonts w:ascii="Garamond" w:hAnsi="Garamond"/>
          <w:sz w:val="22"/>
          <w:szCs w:val="22"/>
        </w:rPr>
        <w:t xml:space="preserve"> </w:t>
      </w:r>
      <w:r w:rsidR="008F1DAB">
        <w:rPr>
          <w:rFonts w:ascii="Garamond" w:hAnsi="Garamond"/>
          <w:sz w:val="22"/>
          <w:szCs w:val="22"/>
        </w:rPr>
        <w:t xml:space="preserve">V. anche </w:t>
      </w:r>
      <w:r w:rsidR="00443078">
        <w:rPr>
          <w:rFonts w:ascii="Garamond" w:hAnsi="Garamond"/>
          <w:sz w:val="22"/>
          <w:szCs w:val="22"/>
        </w:rPr>
        <w:t>C. Stato, sez. IV, 27.05.2024, nn. 4690 e 4692</w:t>
      </w:r>
      <w:r w:rsidR="008F1DAB">
        <w:rPr>
          <w:rFonts w:ascii="Garamond" w:hAnsi="Garamond"/>
          <w:sz w:val="22"/>
          <w:szCs w:val="22"/>
        </w:rPr>
        <w:t>, secondo cui «</w:t>
      </w:r>
      <w:r w:rsidR="008F1DAB" w:rsidRPr="00443078">
        <w:rPr>
          <w:rFonts w:ascii="Garamond" w:hAnsi="Garamond"/>
          <w:i/>
          <w:iCs/>
          <w:sz w:val="22"/>
          <w:szCs w:val="22"/>
        </w:rPr>
        <w:t>il PEF rappresenta la sintesi più avanzata - sotto il profilo economico e finanziario - delle funzioni di gestione</w:t>
      </w:r>
      <w:r w:rsidR="008F1DAB">
        <w:rPr>
          <w:rFonts w:ascii="Garamond" w:hAnsi="Garamond"/>
          <w:sz w:val="22"/>
          <w:szCs w:val="22"/>
        </w:rPr>
        <w:t>»</w:t>
      </w:r>
      <w:r w:rsidR="00443078">
        <w:rPr>
          <w:rFonts w:ascii="Garamond" w:hAnsi="Garamond"/>
          <w:sz w:val="22"/>
          <w:szCs w:val="22"/>
        </w:rPr>
        <w:t xml:space="preserve">. </w:t>
      </w:r>
    </w:p>
  </w:footnote>
  <w:footnote w:id="10">
    <w:p w14:paraId="23A367E2" w14:textId="51B82C92" w:rsidR="00457E2B" w:rsidRDefault="00457E2B" w:rsidP="009E627F">
      <w:pPr>
        <w:pStyle w:val="Testonotaapidipagina"/>
        <w:jc w:val="both"/>
      </w:pPr>
      <w:r w:rsidRPr="00457E2B">
        <w:rPr>
          <w:rStyle w:val="Rimandonotaapidipagina"/>
          <w:rFonts w:ascii="Garamond" w:hAnsi="Garamond"/>
          <w:sz w:val="22"/>
          <w:szCs w:val="22"/>
        </w:rPr>
        <w:footnoteRef/>
      </w:r>
      <w:r w:rsidRPr="00457E2B">
        <w:rPr>
          <w:rFonts w:ascii="Garamond" w:hAnsi="Garamond"/>
          <w:sz w:val="22"/>
          <w:szCs w:val="22"/>
        </w:rPr>
        <w:t xml:space="preserve"> Cfr. sul punto Ad. Plen. n. 16 del 07.11.2025, ove si osserva che</w:t>
      </w:r>
      <w:r w:rsidR="009E627F">
        <w:rPr>
          <w:rFonts w:ascii="Garamond" w:hAnsi="Garamond"/>
          <w:sz w:val="22"/>
          <w:szCs w:val="22"/>
        </w:rPr>
        <w:t xml:space="preserve"> </w:t>
      </w:r>
      <w:r w:rsidR="009E627F" w:rsidRPr="009E627F">
        <w:rPr>
          <w:rFonts w:ascii="Garamond" w:hAnsi="Garamond"/>
          <w:sz w:val="22"/>
          <w:szCs w:val="22"/>
        </w:rPr>
        <w:t>«</w:t>
      </w:r>
      <w:r w:rsidR="009E627F" w:rsidRPr="009E627F">
        <w:rPr>
          <w:rFonts w:ascii="Garamond" w:hAnsi="Garamond"/>
          <w:i/>
          <w:iCs/>
          <w:sz w:val="22"/>
          <w:szCs w:val="22"/>
        </w:rPr>
        <w:t>Il metodo tariffario</w:t>
      </w:r>
      <w:r w:rsidR="00B91929">
        <w:rPr>
          <w:rFonts w:ascii="Garamond" w:hAnsi="Garamond"/>
          <w:i/>
          <w:iCs/>
          <w:sz w:val="22"/>
          <w:szCs w:val="22"/>
        </w:rPr>
        <w:t xml:space="preserve"> (è)</w:t>
      </w:r>
      <w:r w:rsidR="009E627F" w:rsidRPr="009E627F">
        <w:rPr>
          <w:rFonts w:ascii="Garamond" w:hAnsi="Garamond"/>
          <w:i/>
          <w:iCs/>
          <w:sz w:val="22"/>
          <w:szCs w:val="22"/>
        </w:rPr>
        <w:t xml:space="preserve"> strutturato per periodi regolatori di durata quadriennale (c.d. regulatory lag: ovvero il lasso temporale entro cui i criteri tariffari spiegano efficacia, </w:t>
      </w:r>
      <w:r w:rsidR="009E627F">
        <w:rPr>
          <w:rFonts w:ascii="Garamond" w:hAnsi="Garamond"/>
          <w:i/>
          <w:iCs/>
          <w:sz w:val="22"/>
          <w:szCs w:val="22"/>
        </w:rPr>
        <w:t>(…)</w:t>
      </w:r>
      <w:r w:rsidR="009E627F" w:rsidRPr="009E627F">
        <w:rPr>
          <w:rFonts w:ascii="Garamond" w:hAnsi="Garamond"/>
          <w:i/>
          <w:iCs/>
          <w:sz w:val="22"/>
          <w:szCs w:val="22"/>
        </w:rPr>
        <w:t xml:space="preserve">, </w:t>
      </w:r>
      <w:r w:rsidR="009E627F">
        <w:rPr>
          <w:rFonts w:ascii="Garamond" w:hAnsi="Garamond"/>
          <w:i/>
          <w:iCs/>
          <w:sz w:val="22"/>
          <w:szCs w:val="22"/>
        </w:rPr>
        <w:t xml:space="preserve">e </w:t>
      </w:r>
      <w:r w:rsidR="009E627F" w:rsidRPr="009E627F">
        <w:rPr>
          <w:rFonts w:ascii="Garamond" w:hAnsi="Garamond"/>
          <w:i/>
          <w:iCs/>
          <w:sz w:val="22"/>
          <w:szCs w:val="22"/>
        </w:rPr>
        <w:t>prevede una revisione biennale per l’aggiornamento delle componenti a conguaglio</w:t>
      </w:r>
      <w:r w:rsidR="009E627F" w:rsidRPr="003F22BE">
        <w:rPr>
          <w:rFonts w:ascii="Garamond" w:hAnsi="Garamond"/>
          <w:sz w:val="22"/>
          <w:szCs w:val="22"/>
        </w:rPr>
        <w:t>»</w:t>
      </w:r>
      <w:r w:rsidR="009E627F" w:rsidRPr="009E627F">
        <w:rPr>
          <w:rFonts w:ascii="Garamond" w:hAnsi="Garamond"/>
          <w:sz w:val="22"/>
          <w:szCs w:val="22"/>
        </w:rPr>
        <w:t>.</w:t>
      </w:r>
    </w:p>
  </w:footnote>
  <w:footnote w:id="11">
    <w:p w14:paraId="0E7E08F8" w14:textId="147BE3F9" w:rsidR="00423252" w:rsidRPr="00423252" w:rsidRDefault="00423252">
      <w:pPr>
        <w:pStyle w:val="Testonotaapidipagina"/>
        <w:rPr>
          <w:rFonts w:ascii="Garamond" w:hAnsi="Garamond"/>
          <w:sz w:val="22"/>
          <w:szCs w:val="22"/>
        </w:rPr>
      </w:pPr>
      <w:r w:rsidRPr="00423252">
        <w:rPr>
          <w:rStyle w:val="Rimandonotaapidipagina"/>
          <w:rFonts w:ascii="Garamond" w:hAnsi="Garamond"/>
          <w:sz w:val="22"/>
          <w:szCs w:val="22"/>
        </w:rPr>
        <w:footnoteRef/>
      </w:r>
      <w:r w:rsidRPr="00423252">
        <w:rPr>
          <w:rFonts w:ascii="Garamond" w:hAnsi="Garamond"/>
          <w:sz w:val="22"/>
          <w:szCs w:val="22"/>
        </w:rPr>
        <w:t xml:space="preserve"> C. Stato, sez. IV, 09.12.2025, n. 9676</w:t>
      </w:r>
      <w:r w:rsidR="003A4ED1">
        <w:rPr>
          <w:rFonts w:ascii="Garamond" w:hAnsi="Garamond"/>
          <w:sz w:val="22"/>
          <w:szCs w:val="22"/>
        </w:rPr>
        <w:t>, che ha confermato TAR Toscana, Firenze, sez</w:t>
      </w:r>
      <w:r>
        <w:rPr>
          <w:rFonts w:ascii="Garamond" w:hAnsi="Garamond"/>
          <w:sz w:val="22"/>
          <w:szCs w:val="22"/>
        </w:rPr>
        <w:t>.</w:t>
      </w:r>
      <w:r w:rsidR="003A4ED1">
        <w:rPr>
          <w:rFonts w:ascii="Garamond" w:hAnsi="Garamond"/>
          <w:sz w:val="22"/>
          <w:szCs w:val="22"/>
        </w:rPr>
        <w:t xml:space="preserve"> II, n. 26/2024.</w:t>
      </w:r>
    </w:p>
  </w:footnote>
  <w:footnote w:id="12">
    <w:p w14:paraId="2A1337D1" w14:textId="088612EF" w:rsidR="00D7670C" w:rsidRPr="00401178" w:rsidRDefault="00D7670C" w:rsidP="00401178">
      <w:pPr>
        <w:pStyle w:val="Testonotaapidipagina"/>
        <w:jc w:val="both"/>
        <w:rPr>
          <w:rFonts w:ascii="Garamond" w:hAnsi="Garamond"/>
          <w:i/>
          <w:iCs/>
          <w:sz w:val="22"/>
          <w:szCs w:val="22"/>
        </w:rPr>
      </w:pPr>
      <w:r>
        <w:rPr>
          <w:rStyle w:val="Rimandonotaapidipagina"/>
        </w:rPr>
        <w:footnoteRef/>
      </w:r>
      <w:r>
        <w:t xml:space="preserve"> </w:t>
      </w:r>
      <w:r w:rsidRPr="00457E2B">
        <w:rPr>
          <w:rFonts w:ascii="Garamond" w:hAnsi="Garamond"/>
          <w:sz w:val="22"/>
          <w:szCs w:val="22"/>
        </w:rPr>
        <w:t>C</w:t>
      </w:r>
      <w:r>
        <w:rPr>
          <w:rFonts w:ascii="Garamond" w:hAnsi="Garamond"/>
          <w:sz w:val="22"/>
          <w:szCs w:val="22"/>
        </w:rPr>
        <w:t>i</w:t>
      </w:r>
      <w:r w:rsidRPr="00457E2B">
        <w:rPr>
          <w:rFonts w:ascii="Garamond" w:hAnsi="Garamond"/>
          <w:sz w:val="22"/>
          <w:szCs w:val="22"/>
        </w:rPr>
        <w:t>ò significa che per il riconoscimento dei costi efficienti di un determinato anno, si prend</w:t>
      </w:r>
      <w:r>
        <w:rPr>
          <w:rFonts w:ascii="Garamond" w:hAnsi="Garamond"/>
          <w:sz w:val="22"/>
          <w:szCs w:val="22"/>
        </w:rPr>
        <w:t>ono in considerazione i costi esposti nel bilancio relativo a due anni prima.</w:t>
      </w:r>
      <w:r w:rsidRPr="00457E2B">
        <w:rPr>
          <w:rFonts w:ascii="Garamond" w:hAnsi="Garamond"/>
          <w:sz w:val="22"/>
          <w:szCs w:val="22"/>
        </w:rPr>
        <w:t xml:space="preserve"> A tal proposito, la recente Ad. Plen</w:t>
      </w:r>
      <w:r>
        <w:rPr>
          <w:rFonts w:ascii="Garamond" w:hAnsi="Garamond"/>
          <w:sz w:val="22"/>
          <w:szCs w:val="22"/>
        </w:rPr>
        <w:t>.</w:t>
      </w:r>
      <w:r w:rsidRPr="00457E2B">
        <w:rPr>
          <w:rFonts w:ascii="Garamond" w:hAnsi="Garamond"/>
          <w:sz w:val="22"/>
          <w:szCs w:val="22"/>
        </w:rPr>
        <w:t xml:space="preserve"> n. 16/2025 ha chiarito che </w:t>
      </w:r>
      <w:r w:rsidRPr="003F22BE">
        <w:rPr>
          <w:rFonts w:ascii="Garamond" w:hAnsi="Garamond"/>
          <w:sz w:val="22"/>
          <w:szCs w:val="22"/>
        </w:rPr>
        <w:t>«</w:t>
      </w:r>
      <w:r w:rsidRPr="00457E2B">
        <w:rPr>
          <w:rFonts w:ascii="Garamond" w:hAnsi="Garamond"/>
          <w:i/>
          <w:iCs/>
          <w:sz w:val="22"/>
          <w:szCs w:val="22"/>
        </w:rPr>
        <w:t>il ‘ritardo temporale’ di due anni scaturisce dalla necessità di accedere a tutte le informazioni necessarie. In sede di predisposizione tariffaria, infatti, non sempre si dispone di tutti i dati ‘consuntivati’, necessari all’allineamento di costi e gettito tariffario.</w:t>
      </w:r>
      <w:r>
        <w:rPr>
          <w:rFonts w:ascii="Garamond" w:hAnsi="Garamond"/>
          <w:i/>
          <w:iCs/>
          <w:sz w:val="22"/>
          <w:szCs w:val="22"/>
        </w:rPr>
        <w:t xml:space="preserve"> </w:t>
      </w:r>
      <w:r w:rsidRPr="00457E2B">
        <w:rPr>
          <w:rFonts w:ascii="Garamond" w:hAnsi="Garamond"/>
          <w:i/>
          <w:iCs/>
          <w:sz w:val="22"/>
          <w:szCs w:val="22"/>
        </w:rPr>
        <w:t>La liquidazione differita, per un biennio rispetto alla loro effettiva manifestazione, determina uno sfasamento temporale tra il momento nel quale il costo viene sostenuto e quello nel quale la tariffa lo recepisce, andando per questa via ad alimentare un conguaglio</w:t>
      </w:r>
      <w:r w:rsidRPr="003F22BE">
        <w:rPr>
          <w:rFonts w:ascii="Garamond" w:hAnsi="Garamond"/>
          <w:sz w:val="22"/>
          <w:szCs w:val="22"/>
        </w:rPr>
        <w:t>»</w:t>
      </w:r>
      <w:r w:rsidRPr="00457E2B">
        <w:rPr>
          <w:rFonts w:ascii="Garamond" w:hAnsi="Garamond"/>
          <w:sz w:val="22"/>
          <w:szCs w:val="22"/>
        </w:rPr>
        <w:t>.</w:t>
      </w:r>
    </w:p>
  </w:footnote>
  <w:footnote w:id="13">
    <w:p w14:paraId="3C02D77C" w14:textId="37DBEEC5" w:rsidR="00912647" w:rsidRPr="00912647" w:rsidRDefault="00912647" w:rsidP="00912647">
      <w:pPr>
        <w:pStyle w:val="Testonotaapidipagina"/>
        <w:jc w:val="both"/>
        <w:rPr>
          <w:rFonts w:ascii="Garamond" w:hAnsi="Garamond"/>
          <w:sz w:val="22"/>
          <w:szCs w:val="22"/>
        </w:rPr>
      </w:pPr>
      <w:r>
        <w:rPr>
          <w:rStyle w:val="Rimandonotaapidipagina"/>
        </w:rPr>
        <w:footnoteRef/>
      </w:r>
      <w:r w:rsidRPr="00912647">
        <w:rPr>
          <w:rFonts w:ascii="Garamond" w:hAnsi="Garamond"/>
          <w:sz w:val="22"/>
          <w:szCs w:val="22"/>
        </w:rPr>
        <w:t xml:space="preserve"> </w:t>
      </w:r>
      <w:r>
        <w:rPr>
          <w:rFonts w:ascii="Garamond" w:hAnsi="Garamond"/>
          <w:sz w:val="22"/>
          <w:szCs w:val="22"/>
        </w:rPr>
        <w:t>Con riferimento al MTR</w:t>
      </w:r>
      <w:r w:rsidR="00401178">
        <w:rPr>
          <w:rFonts w:ascii="Garamond" w:hAnsi="Garamond"/>
          <w:sz w:val="22"/>
          <w:szCs w:val="22"/>
        </w:rPr>
        <w:t>-1 e 2</w:t>
      </w:r>
      <w:r>
        <w:rPr>
          <w:rFonts w:ascii="Garamond" w:hAnsi="Garamond"/>
          <w:sz w:val="22"/>
          <w:szCs w:val="22"/>
        </w:rPr>
        <w:t xml:space="preserve">, </w:t>
      </w:r>
      <w:r w:rsidR="00401178">
        <w:rPr>
          <w:rFonts w:ascii="Garamond" w:hAnsi="Garamond"/>
          <w:sz w:val="22"/>
          <w:szCs w:val="22"/>
        </w:rPr>
        <w:t xml:space="preserve">invece, </w:t>
      </w:r>
      <w:r>
        <w:rPr>
          <w:rFonts w:ascii="Garamond" w:hAnsi="Garamond"/>
          <w:sz w:val="22"/>
          <w:szCs w:val="22"/>
        </w:rPr>
        <w:t>il Giudice amministrativo ha rilevato che «</w:t>
      </w:r>
      <w:r w:rsidRPr="00912647">
        <w:rPr>
          <w:rFonts w:ascii="Garamond" w:hAnsi="Garamond"/>
          <w:i/>
          <w:iCs/>
          <w:sz w:val="22"/>
          <w:szCs w:val="22"/>
        </w:rPr>
        <w:t>manca nella disciplina di settore (segnatamente le delibere n. 363/2021 e n.389/2023 e l’art. 1, comma 527, lett. h) della legge n. 205/2017) la previsione di un termine per la conclusione del procedimento di approvazione del PEF validato dall’ETC; (…) in mancanza dell’indicazione di un termine finale di conclusione del procedimento non può che farsi applicazione della Legge n. 241/1990 che, all’art.2, sancisce, ove non diversamente previsto, il termine di trenta giorni per la conclusione dei procedimenti amministrativi di competenza delle amministrazioni statali e degli enti pubblici nazionali</w:t>
      </w:r>
      <w:r>
        <w:rPr>
          <w:rFonts w:ascii="Garamond" w:hAnsi="Garamond"/>
          <w:sz w:val="22"/>
          <w:szCs w:val="22"/>
        </w:rPr>
        <w:t>» (TAR Lombardia, Milano, sez. I, 06.10.2025 n. 3109 e 3110)</w:t>
      </w:r>
      <w:r>
        <w:t>.</w:t>
      </w:r>
    </w:p>
  </w:footnote>
  <w:footnote w:id="14">
    <w:p w14:paraId="3C7D4B68" w14:textId="10F796AB" w:rsidR="00587979" w:rsidRPr="0091220E" w:rsidRDefault="00587979" w:rsidP="00E31189">
      <w:pPr>
        <w:pStyle w:val="Testonotaapidipagina"/>
        <w:jc w:val="both"/>
        <w:rPr>
          <w:rFonts w:ascii="Garamond" w:hAnsi="Garamond"/>
          <w:sz w:val="22"/>
          <w:szCs w:val="22"/>
        </w:rPr>
      </w:pPr>
      <w:r w:rsidRPr="0091220E">
        <w:rPr>
          <w:rStyle w:val="Rimandonotaapidipagina"/>
          <w:rFonts w:ascii="Garamond" w:hAnsi="Garamond"/>
          <w:sz w:val="22"/>
          <w:szCs w:val="22"/>
        </w:rPr>
        <w:footnoteRef/>
      </w:r>
      <w:r w:rsidRPr="0091220E">
        <w:rPr>
          <w:rFonts w:ascii="Garamond" w:hAnsi="Garamond"/>
          <w:sz w:val="22"/>
          <w:szCs w:val="22"/>
        </w:rPr>
        <w:t xml:space="preserve"> </w:t>
      </w:r>
      <w:r w:rsidRPr="0091220E">
        <w:rPr>
          <w:rFonts w:ascii="Garamond" w:hAnsi="Garamond"/>
          <w:smallCaps/>
          <w:sz w:val="22"/>
          <w:szCs w:val="22"/>
        </w:rPr>
        <w:t>L. Iera</w:t>
      </w:r>
      <w:r w:rsidRPr="0091220E">
        <w:rPr>
          <w:rFonts w:ascii="Garamond" w:hAnsi="Garamond"/>
          <w:sz w:val="22"/>
          <w:szCs w:val="22"/>
        </w:rPr>
        <w:t xml:space="preserve">, </w:t>
      </w:r>
      <w:r w:rsidRPr="0091220E">
        <w:rPr>
          <w:rFonts w:ascii="Garamond" w:hAnsi="Garamond"/>
          <w:i/>
          <w:iCs/>
          <w:sz w:val="22"/>
          <w:szCs w:val="22"/>
        </w:rPr>
        <w:t>Regolamentazione del servizio integrato e regolazione tariffaria nel ciclo dei rifiuti</w:t>
      </w:r>
      <w:r w:rsidRPr="0091220E">
        <w:rPr>
          <w:rFonts w:ascii="Garamond" w:hAnsi="Garamond"/>
          <w:sz w:val="22"/>
          <w:szCs w:val="22"/>
        </w:rPr>
        <w:t xml:space="preserve">, contributo inserito nel volume </w:t>
      </w:r>
      <w:r w:rsidRPr="0091220E">
        <w:rPr>
          <w:rFonts w:ascii="Garamond" w:hAnsi="Garamond"/>
          <w:i/>
          <w:iCs/>
          <w:sz w:val="22"/>
          <w:szCs w:val="22"/>
        </w:rPr>
        <w:t>“La regolazione del Ciclo dei rifiuti e gli orientamenti giurisprudenziali del Tar Lombardia</w:t>
      </w:r>
      <w:r w:rsidRPr="0091220E">
        <w:rPr>
          <w:rFonts w:ascii="Garamond" w:hAnsi="Garamond"/>
          <w:sz w:val="22"/>
          <w:szCs w:val="22"/>
        </w:rPr>
        <w:t>”, pubblicazione a cura del TAR Lombardia – Milano in collaborazione con CISAMBIENTE Confindustria, ottobre 2025, pag. 18</w:t>
      </w:r>
      <w:r w:rsidR="00E31189" w:rsidRPr="0091220E">
        <w:rPr>
          <w:rFonts w:ascii="Garamond" w:hAnsi="Garamond"/>
          <w:sz w:val="22"/>
          <w:szCs w:val="22"/>
        </w:rPr>
        <w:t>.</w:t>
      </w:r>
    </w:p>
  </w:footnote>
  <w:footnote w:id="15">
    <w:p w14:paraId="07239BA3" w14:textId="609BF5C5" w:rsidR="009B68E2" w:rsidRDefault="009B68E2" w:rsidP="009B68E2">
      <w:pPr>
        <w:pStyle w:val="Testonotaapidipagina"/>
        <w:jc w:val="both"/>
      </w:pPr>
      <w:r>
        <w:rPr>
          <w:rStyle w:val="Rimandonotaapidipagina"/>
        </w:rPr>
        <w:footnoteRef/>
      </w:r>
      <w:r>
        <w:t xml:space="preserve"> </w:t>
      </w:r>
      <w:r w:rsidRPr="009B68E2">
        <w:rPr>
          <w:rFonts w:ascii="Garamond" w:hAnsi="Garamond"/>
          <w:sz w:val="22"/>
          <w:szCs w:val="22"/>
        </w:rPr>
        <w:t xml:space="preserve">Nella </w:t>
      </w:r>
      <w:r>
        <w:rPr>
          <w:rFonts w:ascii="Garamond" w:hAnsi="Garamond"/>
          <w:sz w:val="22"/>
          <w:szCs w:val="22"/>
        </w:rPr>
        <w:t>disciplina regolatoria l’ETC è l’Ente di governo dell’ambito territoriale ottimale ai sensi dell’art. 200 D.lgs n. 152/2006 nonché dell’art. 3 bis comma 1 D.l n. 138/2011, laddove costituito ed operativ</w:t>
      </w:r>
      <w:r w:rsidR="00D7670C">
        <w:rPr>
          <w:rFonts w:ascii="Garamond" w:hAnsi="Garamond"/>
          <w:sz w:val="22"/>
          <w:szCs w:val="22"/>
        </w:rPr>
        <w:t>o</w:t>
      </w:r>
      <w:r>
        <w:rPr>
          <w:rFonts w:ascii="Garamond" w:hAnsi="Garamond"/>
          <w:sz w:val="22"/>
          <w:szCs w:val="22"/>
        </w:rPr>
        <w:t>; in caso contrario, lo è la Regione o la Provincia Autonoma o altri enti competenti secondo la normativa vigente.</w:t>
      </w:r>
    </w:p>
  </w:footnote>
  <w:footnote w:id="16">
    <w:p w14:paraId="19B12315" w14:textId="7AA1B4B2" w:rsidR="007F54A9" w:rsidRDefault="007F54A9" w:rsidP="007F54A9">
      <w:pPr>
        <w:pStyle w:val="Testonotaapidipagina"/>
        <w:jc w:val="both"/>
      </w:pPr>
      <w:r>
        <w:rPr>
          <w:rStyle w:val="Rimandonotaapidipagina"/>
        </w:rPr>
        <w:footnoteRef/>
      </w:r>
      <w:r>
        <w:t xml:space="preserve"> </w:t>
      </w:r>
      <w:r w:rsidRPr="006E338E">
        <w:rPr>
          <w:rFonts w:ascii="Garamond" w:eastAsia="Arial" w:hAnsi="Garamond" w:cs="Arial"/>
          <w:color w:val="000000"/>
          <w:sz w:val="22"/>
          <w:szCs w:val="22"/>
        </w:rPr>
        <w:t>così TAR Lombardia, Milano, Sez. I, 17</w:t>
      </w:r>
      <w:r w:rsidR="00CD1301">
        <w:rPr>
          <w:rFonts w:ascii="Garamond" w:eastAsia="Arial" w:hAnsi="Garamond" w:cs="Arial"/>
          <w:color w:val="000000"/>
          <w:sz w:val="22"/>
          <w:szCs w:val="22"/>
        </w:rPr>
        <w:t>.</w:t>
      </w:r>
      <w:r w:rsidRPr="006E338E">
        <w:rPr>
          <w:rFonts w:ascii="Garamond" w:eastAsia="Arial" w:hAnsi="Garamond" w:cs="Arial"/>
          <w:color w:val="000000"/>
          <w:sz w:val="22"/>
          <w:szCs w:val="22"/>
        </w:rPr>
        <w:t>08</w:t>
      </w:r>
      <w:r w:rsidR="00CD1301">
        <w:rPr>
          <w:rFonts w:ascii="Garamond" w:eastAsia="Arial" w:hAnsi="Garamond" w:cs="Arial"/>
          <w:color w:val="000000"/>
          <w:sz w:val="22"/>
          <w:szCs w:val="22"/>
        </w:rPr>
        <w:t>.</w:t>
      </w:r>
      <w:r w:rsidRPr="006E338E">
        <w:rPr>
          <w:rFonts w:ascii="Garamond" w:eastAsia="Arial" w:hAnsi="Garamond" w:cs="Arial"/>
          <w:color w:val="000000"/>
          <w:sz w:val="22"/>
          <w:szCs w:val="22"/>
        </w:rPr>
        <w:t>2021, n. 193</w:t>
      </w:r>
      <w:r>
        <w:rPr>
          <w:rFonts w:ascii="Garamond" w:eastAsia="Arial" w:hAnsi="Garamond" w:cs="Arial"/>
          <w:color w:val="000000"/>
          <w:sz w:val="22"/>
          <w:szCs w:val="22"/>
        </w:rPr>
        <w:t>9</w:t>
      </w:r>
      <w:r w:rsidRPr="006E338E">
        <w:rPr>
          <w:rFonts w:ascii="Garamond" w:eastAsia="Arial" w:hAnsi="Garamond" w:cs="Arial"/>
          <w:color w:val="000000"/>
          <w:sz w:val="22"/>
          <w:szCs w:val="22"/>
        </w:rPr>
        <w:t>.</w:t>
      </w:r>
      <w:r>
        <w:rPr>
          <w:rFonts w:ascii="Garamond" w:eastAsia="Arial" w:hAnsi="Garamond" w:cs="Arial"/>
          <w:color w:val="000000"/>
          <w:sz w:val="22"/>
          <w:szCs w:val="22"/>
        </w:rPr>
        <w:t xml:space="preserve"> </w:t>
      </w:r>
    </w:p>
  </w:footnote>
  <w:footnote w:id="17">
    <w:p w14:paraId="071A0BCD" w14:textId="0CAB57BA" w:rsidR="006E45F3" w:rsidRDefault="006E45F3">
      <w:pPr>
        <w:pStyle w:val="Testonotaapidipagina"/>
      </w:pPr>
      <w:r>
        <w:rPr>
          <w:rStyle w:val="Rimandonotaapidipagina"/>
        </w:rPr>
        <w:footnoteRef/>
      </w:r>
      <w:r>
        <w:t xml:space="preserve"> </w:t>
      </w:r>
      <w:r w:rsidRPr="006E45F3">
        <w:rPr>
          <w:rFonts w:ascii="Garamond" w:hAnsi="Garamond"/>
          <w:sz w:val="22"/>
          <w:szCs w:val="22"/>
        </w:rPr>
        <w:t>C. Stato, sez. II, 24.03.2025 n. 2421.</w:t>
      </w:r>
    </w:p>
  </w:footnote>
  <w:footnote w:id="18">
    <w:p w14:paraId="35378D6F" w14:textId="2DF71CCD" w:rsidR="0090346A" w:rsidRPr="0090346A" w:rsidRDefault="0090346A">
      <w:pPr>
        <w:pStyle w:val="Testonotaapidipagina"/>
        <w:rPr>
          <w:rFonts w:ascii="Garamond" w:hAnsi="Garamond"/>
          <w:sz w:val="22"/>
          <w:szCs w:val="22"/>
        </w:rPr>
      </w:pPr>
      <w:r>
        <w:rPr>
          <w:rStyle w:val="Rimandonotaapidipagina"/>
        </w:rPr>
        <w:footnoteRef/>
      </w:r>
      <w:r>
        <w:t xml:space="preserve"> </w:t>
      </w:r>
      <w:r>
        <w:rPr>
          <w:rFonts w:ascii="Garamond" w:hAnsi="Garamond"/>
          <w:sz w:val="22"/>
          <w:szCs w:val="22"/>
        </w:rPr>
        <w:t>Così C. Stato, sez. IV, 27.05.2024, n</w:t>
      </w:r>
      <w:r w:rsidR="0011018E">
        <w:rPr>
          <w:rFonts w:ascii="Garamond" w:hAnsi="Garamond"/>
          <w:sz w:val="22"/>
          <w:szCs w:val="22"/>
        </w:rPr>
        <w:t>n</w:t>
      </w:r>
      <w:r>
        <w:rPr>
          <w:rFonts w:ascii="Garamond" w:hAnsi="Garamond"/>
          <w:sz w:val="22"/>
          <w:szCs w:val="22"/>
        </w:rPr>
        <w:t>. 4690 e 4692.</w:t>
      </w:r>
    </w:p>
  </w:footnote>
  <w:footnote w:id="19">
    <w:p w14:paraId="76B10E58" w14:textId="7A1665D1" w:rsidR="008206DD" w:rsidRPr="008206DD" w:rsidRDefault="008206DD">
      <w:pPr>
        <w:pStyle w:val="Testonotaapidipagina"/>
        <w:rPr>
          <w:rFonts w:ascii="Garamond" w:hAnsi="Garamond"/>
          <w:sz w:val="22"/>
          <w:szCs w:val="22"/>
        </w:rPr>
      </w:pPr>
      <w:r>
        <w:rPr>
          <w:rStyle w:val="Rimandonotaapidipagina"/>
        </w:rPr>
        <w:footnoteRef/>
      </w:r>
      <w:r>
        <w:t xml:space="preserve"> </w:t>
      </w:r>
      <w:r w:rsidRPr="008206DD">
        <w:rPr>
          <w:rFonts w:ascii="Garamond" w:hAnsi="Garamond"/>
          <w:smallCaps/>
          <w:sz w:val="22"/>
          <w:szCs w:val="22"/>
        </w:rPr>
        <w:t>e. fidelbo</w:t>
      </w:r>
      <w:r w:rsidRPr="008206DD">
        <w:rPr>
          <w:rFonts w:ascii="Garamond" w:hAnsi="Garamond"/>
          <w:sz w:val="22"/>
          <w:szCs w:val="22"/>
        </w:rPr>
        <w:t xml:space="preserve">, </w:t>
      </w:r>
      <w:r w:rsidRPr="008206DD">
        <w:rPr>
          <w:rFonts w:ascii="Garamond" w:hAnsi="Garamond"/>
          <w:i/>
          <w:iCs/>
          <w:sz w:val="22"/>
          <w:szCs w:val="22"/>
        </w:rPr>
        <w:t>I Rifiuti</w:t>
      </w:r>
      <w:r w:rsidRPr="008206DD">
        <w:rPr>
          <w:rFonts w:ascii="Garamond" w:hAnsi="Garamond"/>
          <w:sz w:val="22"/>
          <w:szCs w:val="22"/>
        </w:rPr>
        <w:t xml:space="preserve">, in </w:t>
      </w:r>
      <w:r w:rsidRPr="008206DD">
        <w:rPr>
          <w:rFonts w:ascii="Garamond" w:hAnsi="Garamond"/>
          <w:smallCaps/>
          <w:sz w:val="22"/>
          <w:szCs w:val="22"/>
        </w:rPr>
        <w:t>r. chieppa</w:t>
      </w:r>
      <w:r w:rsidRPr="008206DD">
        <w:rPr>
          <w:rFonts w:ascii="Garamond" w:hAnsi="Garamond"/>
          <w:sz w:val="22"/>
          <w:szCs w:val="22"/>
        </w:rPr>
        <w:t xml:space="preserve">, </w:t>
      </w:r>
      <w:r w:rsidRPr="008206DD">
        <w:rPr>
          <w:rFonts w:ascii="Garamond" w:hAnsi="Garamond"/>
          <w:smallCaps/>
          <w:sz w:val="22"/>
          <w:szCs w:val="22"/>
        </w:rPr>
        <w:t>g. bruzzone</w:t>
      </w:r>
      <w:r w:rsidRPr="008206DD">
        <w:rPr>
          <w:rFonts w:ascii="Garamond" w:hAnsi="Garamond"/>
          <w:sz w:val="22"/>
          <w:szCs w:val="22"/>
        </w:rPr>
        <w:t xml:space="preserve"> e </w:t>
      </w:r>
      <w:r w:rsidRPr="008206DD">
        <w:rPr>
          <w:rFonts w:ascii="Garamond" w:hAnsi="Garamond"/>
          <w:smallCaps/>
          <w:sz w:val="22"/>
          <w:szCs w:val="22"/>
        </w:rPr>
        <w:t>a. moliterni</w:t>
      </w:r>
      <w:r w:rsidRPr="008206DD">
        <w:rPr>
          <w:rFonts w:ascii="Garamond" w:hAnsi="Garamond"/>
          <w:sz w:val="22"/>
          <w:szCs w:val="22"/>
        </w:rPr>
        <w:t xml:space="preserve"> (a cura di), Le </w:t>
      </w:r>
      <w:r w:rsidRPr="008206DD">
        <w:rPr>
          <w:rFonts w:ascii="Garamond" w:hAnsi="Garamond"/>
          <w:i/>
          <w:iCs/>
          <w:sz w:val="22"/>
          <w:szCs w:val="22"/>
        </w:rPr>
        <w:t>nuove Leggi Amministrative - La riforma dei servizi pubblici locali</w:t>
      </w:r>
      <w:r w:rsidRPr="008206DD">
        <w:rPr>
          <w:rFonts w:ascii="Garamond" w:hAnsi="Garamond"/>
          <w:sz w:val="22"/>
          <w:szCs w:val="22"/>
        </w:rPr>
        <w:t>, Milano, 2023, p.</w:t>
      </w:r>
      <w:r>
        <w:rPr>
          <w:rFonts w:ascii="Garamond" w:hAnsi="Garamond"/>
          <w:sz w:val="22"/>
          <w:szCs w:val="22"/>
        </w:rPr>
        <w:t xml:space="preserve"> 635-636.</w:t>
      </w:r>
    </w:p>
  </w:footnote>
  <w:footnote w:id="20">
    <w:p w14:paraId="6D7803A9" w14:textId="01B27E19" w:rsidR="00B84362" w:rsidRDefault="00B84362" w:rsidP="00B84362">
      <w:pPr>
        <w:pStyle w:val="Testonotaapidipagina"/>
        <w:jc w:val="both"/>
      </w:pPr>
      <w:r>
        <w:rPr>
          <w:rStyle w:val="Rimandonotaapidipagina"/>
        </w:rPr>
        <w:footnoteRef/>
      </w:r>
      <w:r>
        <w:t xml:space="preserve"> </w:t>
      </w:r>
      <w:bookmarkStart w:id="4" w:name="OLE_LINK5"/>
      <w:r w:rsidRPr="003F22BE">
        <w:rPr>
          <w:rFonts w:ascii="Garamond" w:hAnsi="Garamond"/>
          <w:sz w:val="22"/>
          <w:szCs w:val="22"/>
        </w:rPr>
        <w:t>TAR Lombardia, Milano, Sez. I, 31.10.2025, n. 3508</w:t>
      </w:r>
      <w:bookmarkEnd w:id="4"/>
      <w:r>
        <w:rPr>
          <w:rFonts w:ascii="Garamond" w:hAnsi="Garamond"/>
          <w:sz w:val="22"/>
          <w:szCs w:val="22"/>
        </w:rPr>
        <w:t>.</w:t>
      </w:r>
      <w:r w:rsidR="004959BE">
        <w:rPr>
          <w:rFonts w:ascii="Garamond" w:hAnsi="Garamond"/>
          <w:sz w:val="22"/>
          <w:szCs w:val="22"/>
        </w:rPr>
        <w:t xml:space="preserve"> </w:t>
      </w:r>
    </w:p>
  </w:footnote>
  <w:footnote w:id="21">
    <w:p w14:paraId="0D12252A" w14:textId="3B64F11E" w:rsidR="006E18DB" w:rsidRDefault="006E18DB" w:rsidP="006E18DB">
      <w:pPr>
        <w:pStyle w:val="Testonotaapidipagina"/>
        <w:jc w:val="both"/>
      </w:pPr>
      <w:r>
        <w:rPr>
          <w:rStyle w:val="Rimandonotaapidipagina"/>
        </w:rPr>
        <w:footnoteRef/>
      </w:r>
      <w:r>
        <w:t xml:space="preserve"> </w:t>
      </w:r>
      <w:r w:rsidRPr="006E18DB">
        <w:rPr>
          <w:rFonts w:ascii="Garamond" w:hAnsi="Garamond"/>
          <w:sz w:val="22"/>
          <w:szCs w:val="22"/>
        </w:rPr>
        <w:t>C.</w:t>
      </w:r>
      <w:r>
        <w:rPr>
          <w:rFonts w:ascii="Garamond" w:hAnsi="Garamond"/>
          <w:sz w:val="22"/>
          <w:szCs w:val="22"/>
        </w:rPr>
        <w:t xml:space="preserve"> </w:t>
      </w:r>
      <w:r w:rsidRPr="006E18DB">
        <w:rPr>
          <w:rFonts w:ascii="Garamond" w:hAnsi="Garamond"/>
          <w:sz w:val="22"/>
          <w:szCs w:val="22"/>
        </w:rPr>
        <w:t xml:space="preserve">Stato, </w:t>
      </w:r>
      <w:r w:rsidR="0054399D">
        <w:rPr>
          <w:rFonts w:ascii="Garamond" w:hAnsi="Garamond"/>
          <w:sz w:val="22"/>
          <w:szCs w:val="22"/>
        </w:rPr>
        <w:t xml:space="preserve">Sez. II, 05.01.2026 n. 69 e </w:t>
      </w:r>
      <w:r w:rsidRPr="006E18DB">
        <w:rPr>
          <w:rFonts w:ascii="Garamond" w:hAnsi="Garamond"/>
          <w:sz w:val="22"/>
          <w:szCs w:val="22"/>
        </w:rPr>
        <w:t>Sez. IV</w:t>
      </w:r>
      <w:r>
        <w:rPr>
          <w:rFonts w:ascii="Garamond" w:hAnsi="Garamond"/>
          <w:sz w:val="22"/>
          <w:szCs w:val="22"/>
        </w:rPr>
        <w:t>,</w:t>
      </w:r>
      <w:r w:rsidRPr="006E18DB">
        <w:rPr>
          <w:rFonts w:ascii="Garamond" w:hAnsi="Garamond"/>
          <w:sz w:val="22"/>
          <w:szCs w:val="22"/>
        </w:rPr>
        <w:t xml:space="preserve"> 06.12. 2024, n. 9788</w:t>
      </w:r>
      <w:r w:rsidR="000E0733">
        <w:rPr>
          <w:rFonts w:ascii="Garamond" w:hAnsi="Garamond"/>
          <w:sz w:val="22"/>
          <w:szCs w:val="22"/>
        </w:rPr>
        <w:t>, laddove si precisa che “</w:t>
      </w:r>
      <w:r w:rsidR="000E0733" w:rsidRPr="000E0733">
        <w:rPr>
          <w:rFonts w:ascii="Garamond" w:hAnsi="Garamond"/>
          <w:i/>
          <w:iCs/>
          <w:sz w:val="22"/>
          <w:szCs w:val="22"/>
        </w:rPr>
        <w:t>l’approvazione del PEF da parte dell’ARERA non è affatto solo formale: in base all’art. 6.5 della delibera 443/2019/R/rif, essa “verifica la coerenza regolatoria degli atti, dei dati e della documentazione trasmessa” nella sua interezza, e quindi controlla anche che sia corretta la verifica dell’equilibrio della gestione fatta in precedenza dall’ente di governo di ambito</w:t>
      </w:r>
      <w:r w:rsidR="000E0733">
        <w:rPr>
          <w:rFonts w:ascii="Garamond" w:hAnsi="Garamond"/>
          <w:sz w:val="22"/>
          <w:szCs w:val="22"/>
        </w:rPr>
        <w:t>”</w:t>
      </w:r>
      <w:r w:rsidR="000E0733" w:rsidRPr="000E0733">
        <w:rPr>
          <w:rFonts w:ascii="Garamond" w:hAnsi="Garamond"/>
          <w:sz w:val="22"/>
          <w:szCs w:val="22"/>
        </w:rPr>
        <w:t>.</w:t>
      </w:r>
    </w:p>
  </w:footnote>
  <w:footnote w:id="22">
    <w:p w14:paraId="0509AB4C" w14:textId="193AEF89" w:rsidR="000E0733" w:rsidRDefault="000E0733">
      <w:pPr>
        <w:pStyle w:val="Testonotaapidipagina"/>
      </w:pPr>
      <w:r>
        <w:rPr>
          <w:rStyle w:val="Rimandonotaapidipagina"/>
        </w:rPr>
        <w:footnoteRef/>
      </w:r>
      <w:r>
        <w:t xml:space="preserve"> </w:t>
      </w:r>
      <w:r w:rsidRPr="000E0733">
        <w:rPr>
          <w:rFonts w:ascii="Garamond" w:hAnsi="Garamond"/>
          <w:sz w:val="22"/>
          <w:szCs w:val="22"/>
        </w:rPr>
        <w:t>C. Stato, Sez. IV, 20 agosto 2024 n.7173</w:t>
      </w:r>
      <w:r>
        <w:t>.</w:t>
      </w:r>
    </w:p>
  </w:footnote>
  <w:footnote w:id="23">
    <w:p w14:paraId="6CD7589D" w14:textId="477333C6" w:rsidR="00423252" w:rsidRDefault="00423252" w:rsidP="00AB7383">
      <w:pPr>
        <w:pStyle w:val="Testonotaapidipagina"/>
        <w:jc w:val="both"/>
      </w:pPr>
      <w:r>
        <w:rPr>
          <w:rStyle w:val="Rimandonotaapidipagina"/>
        </w:rPr>
        <w:footnoteRef/>
      </w:r>
      <w:r>
        <w:t xml:space="preserve"> Cfr. </w:t>
      </w:r>
      <w:r w:rsidRPr="00423252">
        <w:rPr>
          <w:smallCaps/>
        </w:rPr>
        <w:t>s.lucattini</w:t>
      </w:r>
      <w:r>
        <w:t xml:space="preserve">, </w:t>
      </w:r>
      <w:r w:rsidRPr="00423252">
        <w:rPr>
          <w:i/>
          <w:iCs/>
        </w:rPr>
        <w:t>La regolazione dei serviz</w:t>
      </w:r>
      <w:r w:rsidRPr="00AB7383">
        <w:rPr>
          <w:rFonts w:ascii="Garamond" w:hAnsi="Garamond"/>
          <w:i/>
          <w:iCs/>
          <w:sz w:val="22"/>
          <w:szCs w:val="22"/>
        </w:rPr>
        <w:t>i pubblici locali</w:t>
      </w:r>
      <w:r w:rsidRPr="00AB7383">
        <w:rPr>
          <w:rFonts w:ascii="Garamond" w:hAnsi="Garamond"/>
          <w:sz w:val="22"/>
          <w:szCs w:val="22"/>
        </w:rPr>
        <w:t xml:space="preserve">, in </w:t>
      </w:r>
      <w:r w:rsidRPr="00AB7383">
        <w:rPr>
          <w:rFonts w:ascii="Garamond" w:hAnsi="Garamond"/>
          <w:i/>
          <w:iCs/>
          <w:sz w:val="22"/>
          <w:szCs w:val="22"/>
        </w:rPr>
        <w:t>La Riforma dei Servizi pubblici locali</w:t>
      </w:r>
      <w:r w:rsidRPr="00AB7383">
        <w:rPr>
          <w:rFonts w:ascii="Garamond" w:hAnsi="Garamond"/>
          <w:sz w:val="22"/>
          <w:szCs w:val="22"/>
        </w:rPr>
        <w:t xml:space="preserve">, a cura di </w:t>
      </w:r>
      <w:r w:rsidR="00AB7383" w:rsidRPr="00AB7383">
        <w:rPr>
          <w:rFonts w:ascii="Garamond" w:hAnsi="Garamond"/>
          <w:smallCaps/>
          <w:sz w:val="22"/>
          <w:szCs w:val="22"/>
        </w:rPr>
        <w:t>r. villata</w:t>
      </w:r>
      <w:r w:rsidRPr="00AB7383">
        <w:rPr>
          <w:rFonts w:ascii="Garamond" w:hAnsi="Garamond"/>
          <w:sz w:val="22"/>
          <w:szCs w:val="22"/>
        </w:rPr>
        <w:t>, Torino, 2023</w:t>
      </w:r>
      <w:r w:rsidR="00AB7383" w:rsidRPr="00AB7383">
        <w:rPr>
          <w:rFonts w:ascii="Garamond" w:hAnsi="Garamond"/>
          <w:sz w:val="22"/>
          <w:szCs w:val="22"/>
        </w:rPr>
        <w:t>,</w:t>
      </w:r>
      <w:r w:rsidR="00AB7383">
        <w:rPr>
          <w:rFonts w:ascii="Garamond" w:hAnsi="Garamond"/>
          <w:sz w:val="22"/>
          <w:szCs w:val="22"/>
        </w:rPr>
        <w:t xml:space="preserve"> </w:t>
      </w:r>
      <w:r w:rsidR="00AB7383" w:rsidRPr="00AB7383">
        <w:rPr>
          <w:rFonts w:ascii="Garamond" w:hAnsi="Garamond"/>
          <w:sz w:val="22"/>
          <w:szCs w:val="22"/>
        </w:rPr>
        <w:t xml:space="preserve">p. </w:t>
      </w:r>
      <w:r w:rsidRPr="00AB7383">
        <w:rPr>
          <w:rFonts w:ascii="Garamond" w:hAnsi="Garamond"/>
          <w:sz w:val="22"/>
          <w:szCs w:val="22"/>
        </w:rPr>
        <w:t xml:space="preserve">45 </w:t>
      </w:r>
      <w:r w:rsidR="00AB7383" w:rsidRPr="00AB7383">
        <w:rPr>
          <w:rFonts w:ascii="Garamond" w:hAnsi="Garamond"/>
          <w:sz w:val="22"/>
          <w:szCs w:val="22"/>
        </w:rPr>
        <w:t xml:space="preserve">e </w:t>
      </w:r>
      <w:r w:rsidRPr="00AB7383">
        <w:rPr>
          <w:rFonts w:ascii="Garamond" w:hAnsi="Garamond"/>
          <w:sz w:val="22"/>
          <w:szCs w:val="22"/>
        </w:rPr>
        <w:t>ss</w:t>
      </w:r>
      <w:r w:rsidR="00AB7383" w:rsidRPr="00AB7383">
        <w:rPr>
          <w:rFonts w:ascii="Garamond" w:hAnsi="Garamond"/>
          <w:sz w:val="22"/>
          <w:szCs w:val="22"/>
        </w:rPr>
        <w:t>.</w:t>
      </w:r>
      <w:r>
        <w:t xml:space="preserve"> </w:t>
      </w:r>
    </w:p>
  </w:footnote>
  <w:footnote w:id="24">
    <w:p w14:paraId="320D4A2F" w14:textId="5FBCA96F" w:rsidR="00FC7331" w:rsidRPr="00FC7331" w:rsidRDefault="00FC7331" w:rsidP="00081741">
      <w:pPr>
        <w:widowControl w:val="0"/>
        <w:jc w:val="both"/>
        <w:rPr>
          <w:rFonts w:ascii="Garamond" w:hAnsi="Garamond"/>
          <w:sz w:val="22"/>
          <w:szCs w:val="22"/>
        </w:rPr>
      </w:pPr>
      <w:r w:rsidRPr="00FC7331">
        <w:rPr>
          <w:rStyle w:val="Rimandonotaapidipagina"/>
          <w:rFonts w:ascii="Garamond" w:hAnsi="Garamond"/>
          <w:sz w:val="22"/>
          <w:szCs w:val="22"/>
        </w:rPr>
        <w:footnoteRef/>
      </w:r>
      <w:r w:rsidRPr="00FC7331">
        <w:rPr>
          <w:rFonts w:ascii="Garamond" w:hAnsi="Garamond"/>
          <w:sz w:val="22"/>
          <w:szCs w:val="22"/>
        </w:rPr>
        <w:t xml:space="preserve"> C. Stato, sez. VI</w:t>
      </w:r>
      <w:r>
        <w:rPr>
          <w:rFonts w:ascii="Garamond" w:hAnsi="Garamond"/>
          <w:sz w:val="22"/>
          <w:szCs w:val="22"/>
        </w:rPr>
        <w:t>,</w:t>
      </w:r>
      <w:r w:rsidRPr="00FC7331">
        <w:rPr>
          <w:rFonts w:ascii="Garamond" w:hAnsi="Garamond"/>
          <w:sz w:val="22"/>
          <w:szCs w:val="22"/>
        </w:rPr>
        <w:t xml:space="preserve"> 19.03.2024, n. 2683</w:t>
      </w:r>
      <w:r w:rsidR="00656F2F">
        <w:rPr>
          <w:rFonts w:ascii="Garamond" w:hAnsi="Garamond"/>
          <w:sz w:val="22"/>
          <w:szCs w:val="22"/>
        </w:rPr>
        <w:t xml:space="preserve">, pronunziatasi sui poteri </w:t>
      </w:r>
      <w:r w:rsidR="00ED0D9E">
        <w:rPr>
          <w:rFonts w:ascii="Garamond" w:hAnsi="Garamond"/>
          <w:sz w:val="22"/>
          <w:szCs w:val="22"/>
        </w:rPr>
        <w:t>dell’</w:t>
      </w:r>
      <w:r w:rsidR="00656F2F" w:rsidRPr="00656F2F">
        <w:rPr>
          <w:rFonts w:ascii="Garamond" w:hAnsi="Garamond"/>
          <w:sz w:val="22"/>
          <w:szCs w:val="22"/>
        </w:rPr>
        <w:t>Autorità per le garanzie nelle comunicazioni</w:t>
      </w:r>
      <w:r>
        <w:rPr>
          <w:rFonts w:ascii="Garamond" w:hAnsi="Garamond"/>
          <w:sz w:val="22"/>
          <w:szCs w:val="22"/>
        </w:rPr>
        <w:t>.</w:t>
      </w:r>
      <w:r w:rsidR="00CA72DA" w:rsidRPr="00CA72DA">
        <w:rPr>
          <w:rFonts w:ascii="Garamond" w:hAnsi="Garamond"/>
          <w:sz w:val="22"/>
          <w:szCs w:val="22"/>
        </w:rPr>
        <w:t xml:space="preserve"> </w:t>
      </w:r>
      <w:r w:rsidR="00CA72DA" w:rsidRPr="00851F56">
        <w:rPr>
          <w:rFonts w:ascii="Garamond" w:hAnsi="Garamond"/>
          <w:sz w:val="22"/>
          <w:szCs w:val="22"/>
        </w:rPr>
        <w:t xml:space="preserve">Per una interessante disamina della giurisprudenza civile ed amministrativa sul tema v. </w:t>
      </w:r>
      <w:r w:rsidR="00CA72DA" w:rsidRPr="00851F56">
        <w:rPr>
          <w:rFonts w:ascii="Garamond" w:hAnsi="Garamond"/>
          <w:smallCaps/>
          <w:sz w:val="22"/>
          <w:szCs w:val="22"/>
        </w:rPr>
        <w:t>E. Quadri</w:t>
      </w:r>
      <w:r w:rsidR="00CA72DA" w:rsidRPr="00851F56">
        <w:rPr>
          <w:rFonts w:ascii="Garamond" w:hAnsi="Garamond"/>
          <w:sz w:val="22"/>
          <w:szCs w:val="22"/>
        </w:rPr>
        <w:t xml:space="preserve">, </w:t>
      </w:r>
      <w:r w:rsidR="00CA72DA" w:rsidRPr="00851F56">
        <w:rPr>
          <w:rFonts w:ascii="Garamond" w:hAnsi="Garamond"/>
          <w:i/>
          <w:iCs/>
          <w:sz w:val="22"/>
          <w:szCs w:val="22"/>
        </w:rPr>
        <w:t>I provvedimenti tipici dell’ARERA; la loro classificazione e i riflessi sull’ambito del sindacato giurisdizionale</w:t>
      </w:r>
      <w:r w:rsidR="00CA72DA" w:rsidRPr="00851F56">
        <w:rPr>
          <w:rFonts w:ascii="Garamond" w:hAnsi="Garamond"/>
          <w:sz w:val="22"/>
          <w:szCs w:val="22"/>
        </w:rPr>
        <w:t>, 11 marzo 2019, in www.giustizia-amministrativa.it.</w:t>
      </w:r>
    </w:p>
  </w:footnote>
  <w:footnote w:id="25">
    <w:p w14:paraId="25503D68" w14:textId="2063CBFF" w:rsidR="00081741" w:rsidRDefault="00081741" w:rsidP="00081741">
      <w:pPr>
        <w:pStyle w:val="Testonotaapidipagina"/>
        <w:jc w:val="both"/>
      </w:pPr>
      <w:r>
        <w:rPr>
          <w:rStyle w:val="Rimandonotaapidipagina"/>
        </w:rPr>
        <w:footnoteRef/>
      </w:r>
      <w:r>
        <w:t xml:space="preserve"> Cfr. </w:t>
      </w:r>
      <w:r>
        <w:rPr>
          <w:rFonts w:ascii="Garamond" w:hAnsi="Garamond"/>
          <w:smallCaps/>
          <w:sz w:val="22"/>
          <w:szCs w:val="22"/>
        </w:rPr>
        <w:t>e</w:t>
      </w:r>
      <w:r w:rsidRPr="006A3933">
        <w:rPr>
          <w:rFonts w:ascii="Garamond" w:hAnsi="Garamond"/>
          <w:smallCaps/>
          <w:sz w:val="22"/>
          <w:szCs w:val="22"/>
        </w:rPr>
        <w:t xml:space="preserve">. </w:t>
      </w:r>
      <w:r>
        <w:rPr>
          <w:rFonts w:ascii="Garamond" w:hAnsi="Garamond"/>
          <w:smallCaps/>
          <w:sz w:val="22"/>
          <w:szCs w:val="22"/>
        </w:rPr>
        <w:t>fidelbo</w:t>
      </w:r>
      <w:r w:rsidRPr="006A3933">
        <w:rPr>
          <w:rFonts w:ascii="Garamond" w:hAnsi="Garamond"/>
          <w:sz w:val="22"/>
          <w:szCs w:val="22"/>
        </w:rPr>
        <w:t xml:space="preserve">, </w:t>
      </w:r>
      <w:r w:rsidRPr="00367C7D">
        <w:rPr>
          <w:rFonts w:ascii="Garamond" w:hAnsi="Garamond"/>
          <w:i/>
          <w:iCs/>
          <w:sz w:val="22"/>
          <w:szCs w:val="22"/>
        </w:rPr>
        <w:t xml:space="preserve">I </w:t>
      </w:r>
      <w:r>
        <w:rPr>
          <w:rFonts w:ascii="Garamond" w:hAnsi="Garamond"/>
          <w:i/>
          <w:iCs/>
          <w:sz w:val="22"/>
          <w:szCs w:val="22"/>
        </w:rPr>
        <w:t>Rifiuti</w:t>
      </w:r>
      <w:r w:rsidRPr="006A3933">
        <w:rPr>
          <w:rFonts w:ascii="Garamond" w:hAnsi="Garamond"/>
          <w:sz w:val="22"/>
          <w:szCs w:val="22"/>
        </w:rPr>
        <w:t xml:space="preserve">, in </w:t>
      </w:r>
      <w:r w:rsidRPr="00367C7D">
        <w:rPr>
          <w:rFonts w:ascii="Garamond" w:hAnsi="Garamond"/>
          <w:smallCaps/>
          <w:sz w:val="22"/>
          <w:szCs w:val="22"/>
        </w:rPr>
        <w:t>r. chieppa</w:t>
      </w:r>
      <w:r w:rsidRPr="006A3933">
        <w:rPr>
          <w:rFonts w:ascii="Garamond" w:hAnsi="Garamond"/>
          <w:sz w:val="22"/>
          <w:szCs w:val="22"/>
        </w:rPr>
        <w:t xml:space="preserve">, </w:t>
      </w:r>
      <w:r w:rsidRPr="00367C7D">
        <w:rPr>
          <w:rFonts w:ascii="Garamond" w:hAnsi="Garamond"/>
          <w:smallCaps/>
          <w:sz w:val="22"/>
          <w:szCs w:val="22"/>
        </w:rPr>
        <w:t>g.</w:t>
      </w:r>
      <w:r w:rsidRPr="006A3933">
        <w:rPr>
          <w:rFonts w:ascii="Garamond" w:hAnsi="Garamond"/>
          <w:sz w:val="22"/>
          <w:szCs w:val="22"/>
        </w:rPr>
        <w:t xml:space="preserve"> </w:t>
      </w:r>
      <w:r w:rsidRPr="006A3933">
        <w:rPr>
          <w:rFonts w:ascii="Garamond" w:hAnsi="Garamond"/>
          <w:smallCaps/>
          <w:sz w:val="22"/>
          <w:szCs w:val="22"/>
        </w:rPr>
        <w:t>bruzzone</w:t>
      </w:r>
      <w:r w:rsidRPr="006A3933">
        <w:rPr>
          <w:rFonts w:ascii="Garamond" w:hAnsi="Garamond"/>
          <w:sz w:val="22"/>
          <w:szCs w:val="22"/>
        </w:rPr>
        <w:t xml:space="preserve"> e </w:t>
      </w:r>
      <w:r w:rsidRPr="00367C7D">
        <w:rPr>
          <w:rFonts w:ascii="Garamond" w:hAnsi="Garamond"/>
          <w:smallCaps/>
          <w:sz w:val="22"/>
          <w:szCs w:val="22"/>
        </w:rPr>
        <w:t>a. moliterni</w:t>
      </w:r>
      <w:r w:rsidRPr="006A3933">
        <w:rPr>
          <w:rFonts w:ascii="Garamond" w:hAnsi="Garamond"/>
          <w:sz w:val="22"/>
          <w:szCs w:val="22"/>
        </w:rPr>
        <w:t xml:space="preserve"> (a cura di), </w:t>
      </w:r>
      <w:r w:rsidRPr="00367C7D">
        <w:rPr>
          <w:rFonts w:ascii="Garamond" w:hAnsi="Garamond"/>
          <w:i/>
          <w:iCs/>
          <w:sz w:val="22"/>
          <w:szCs w:val="22"/>
        </w:rPr>
        <w:t>Le nuove Leggi Amministrative - La riforma dei servizi pubblici locali</w:t>
      </w:r>
      <w:r w:rsidRPr="006A3933">
        <w:rPr>
          <w:rFonts w:ascii="Garamond" w:hAnsi="Garamond"/>
          <w:sz w:val="22"/>
          <w:szCs w:val="22"/>
        </w:rPr>
        <w:t xml:space="preserve">, Milano, 2023, p. </w:t>
      </w:r>
      <w:r>
        <w:rPr>
          <w:rFonts w:ascii="Garamond" w:hAnsi="Garamond"/>
          <w:sz w:val="22"/>
          <w:szCs w:val="22"/>
        </w:rPr>
        <w:t xml:space="preserve">640, il quale osserva che </w:t>
      </w:r>
      <w:r w:rsidR="006A446E">
        <w:rPr>
          <w:rFonts w:ascii="Garamond" w:hAnsi="Garamond"/>
          <w:sz w:val="22"/>
          <w:szCs w:val="22"/>
        </w:rPr>
        <w:t>«</w:t>
      </w:r>
      <w:r w:rsidRPr="00081741">
        <w:rPr>
          <w:rFonts w:ascii="Garamond" w:hAnsi="Garamond"/>
          <w:i/>
          <w:iCs/>
          <w:sz w:val="22"/>
          <w:szCs w:val="22"/>
        </w:rPr>
        <w:t>Le funzioni assegnate all’Arera sono omogenee a quelle che la stessa Autorità esercita nel settore dell’acqua</w:t>
      </w:r>
      <w:r w:rsidR="006A446E">
        <w:rPr>
          <w:rFonts w:ascii="Garamond" w:hAnsi="Garamond"/>
          <w:i/>
          <w:iCs/>
          <w:sz w:val="22"/>
          <w:szCs w:val="22"/>
        </w:rPr>
        <w:t>»</w:t>
      </w:r>
      <w:r>
        <w:rPr>
          <w:rFonts w:ascii="Garamond" w:hAnsi="Garamond"/>
          <w:sz w:val="22"/>
          <w:szCs w:val="22"/>
        </w:rPr>
        <w:t>.</w:t>
      </w:r>
    </w:p>
  </w:footnote>
  <w:footnote w:id="26">
    <w:p w14:paraId="732A68EC" w14:textId="7EF73EEF" w:rsidR="00861465" w:rsidRDefault="00861465">
      <w:pPr>
        <w:pStyle w:val="Testonotaapidipagina"/>
      </w:pPr>
      <w:r>
        <w:rPr>
          <w:rStyle w:val="Rimandonotaapidipagina"/>
        </w:rPr>
        <w:footnoteRef/>
      </w:r>
      <w:r>
        <w:t xml:space="preserve"> </w:t>
      </w:r>
      <w:r w:rsidRPr="00861465">
        <w:rPr>
          <w:rFonts w:ascii="Garamond" w:hAnsi="Garamond"/>
          <w:sz w:val="22"/>
          <w:szCs w:val="22"/>
        </w:rPr>
        <w:t>C. Stato, sez. V</w:t>
      </w:r>
      <w:r>
        <w:rPr>
          <w:rFonts w:ascii="Garamond" w:hAnsi="Garamond"/>
          <w:sz w:val="22"/>
          <w:szCs w:val="22"/>
        </w:rPr>
        <w:t>I</w:t>
      </w:r>
      <w:r w:rsidRPr="00861465">
        <w:rPr>
          <w:rFonts w:ascii="Garamond" w:hAnsi="Garamond"/>
          <w:sz w:val="22"/>
          <w:szCs w:val="22"/>
        </w:rPr>
        <w:t>, 27.06.2019 n. 4422.</w:t>
      </w:r>
    </w:p>
  </w:footnote>
  <w:footnote w:id="27">
    <w:p w14:paraId="2B183BE3" w14:textId="0A8A59BE" w:rsidR="00716FD5" w:rsidRDefault="00716FD5" w:rsidP="00CD1301">
      <w:pPr>
        <w:pStyle w:val="Testonotaapidipagina"/>
        <w:jc w:val="both"/>
      </w:pPr>
      <w:r>
        <w:rPr>
          <w:rStyle w:val="Rimandonotaapidipagina"/>
        </w:rPr>
        <w:footnoteRef/>
      </w:r>
      <w:r>
        <w:t xml:space="preserve"> </w:t>
      </w:r>
      <w:r w:rsidRPr="001575C3">
        <w:rPr>
          <w:rFonts w:ascii="Garamond" w:hAnsi="Garamond"/>
          <w:sz w:val="22"/>
          <w:szCs w:val="22"/>
        </w:rPr>
        <w:t>TAR Lombardia, Milano, sez. I, 30.06.2020, n. 1249</w:t>
      </w:r>
      <w:r>
        <w:t xml:space="preserve">. </w:t>
      </w:r>
    </w:p>
  </w:footnote>
  <w:footnote w:id="28">
    <w:p w14:paraId="1E7C8906" w14:textId="1A711AD7" w:rsidR="00CF3C30" w:rsidRDefault="00CF3C30" w:rsidP="00CD1301">
      <w:pPr>
        <w:pStyle w:val="Testonotaapidipagina"/>
        <w:jc w:val="both"/>
      </w:pPr>
      <w:r>
        <w:rPr>
          <w:rStyle w:val="Rimandonotaapidipagina"/>
        </w:rPr>
        <w:footnoteRef/>
      </w:r>
      <w:r>
        <w:t xml:space="preserve"> </w:t>
      </w:r>
      <w:r>
        <w:rPr>
          <w:rFonts w:ascii="Garamond" w:hAnsi="Garamond"/>
          <w:sz w:val="22"/>
          <w:szCs w:val="22"/>
        </w:rPr>
        <w:t>In tal senso</w:t>
      </w:r>
      <w:r w:rsidRPr="00CF3C30">
        <w:rPr>
          <w:rFonts w:ascii="Garamond" w:hAnsi="Garamond"/>
          <w:sz w:val="22"/>
          <w:szCs w:val="22"/>
        </w:rPr>
        <w:t xml:space="preserve"> </w:t>
      </w:r>
      <w:r w:rsidRPr="00F254C0">
        <w:rPr>
          <w:rFonts w:ascii="Garamond" w:hAnsi="Garamond"/>
          <w:sz w:val="22"/>
          <w:szCs w:val="22"/>
        </w:rPr>
        <w:t xml:space="preserve">TAR Puglia, Lecce, sez. </w:t>
      </w:r>
      <w:r>
        <w:rPr>
          <w:rFonts w:ascii="Garamond" w:hAnsi="Garamond"/>
          <w:sz w:val="22"/>
          <w:szCs w:val="22"/>
        </w:rPr>
        <w:t>II, 08.04.2024, n. 484 e 485.</w:t>
      </w:r>
    </w:p>
  </w:footnote>
  <w:footnote w:id="29">
    <w:p w14:paraId="2B4F66CB" w14:textId="75ED8300" w:rsidR="00CD1301" w:rsidRDefault="00CD1301" w:rsidP="00CD1301">
      <w:pPr>
        <w:pStyle w:val="Testonotaapidipagina"/>
        <w:jc w:val="both"/>
      </w:pPr>
      <w:r>
        <w:rPr>
          <w:rStyle w:val="Rimandonotaapidipagina"/>
        </w:rPr>
        <w:footnoteRef/>
      </w:r>
      <w:r>
        <w:t xml:space="preserve"> </w:t>
      </w:r>
      <w:r w:rsidRPr="006E338E">
        <w:rPr>
          <w:rFonts w:ascii="Garamond" w:eastAsia="Arial" w:hAnsi="Garamond" w:cs="Arial"/>
          <w:color w:val="000000"/>
          <w:sz w:val="22"/>
          <w:szCs w:val="22"/>
        </w:rPr>
        <w:t>TAR Lombardia, Milano, Sez. I, 17</w:t>
      </w:r>
      <w:r>
        <w:rPr>
          <w:rFonts w:ascii="Garamond" w:eastAsia="Arial" w:hAnsi="Garamond" w:cs="Arial"/>
          <w:color w:val="000000"/>
          <w:sz w:val="22"/>
          <w:szCs w:val="22"/>
        </w:rPr>
        <w:t>.</w:t>
      </w:r>
      <w:r w:rsidRPr="006E338E">
        <w:rPr>
          <w:rFonts w:ascii="Garamond" w:eastAsia="Arial" w:hAnsi="Garamond" w:cs="Arial"/>
          <w:color w:val="000000"/>
          <w:sz w:val="22"/>
          <w:szCs w:val="22"/>
        </w:rPr>
        <w:t>08</w:t>
      </w:r>
      <w:r>
        <w:rPr>
          <w:rFonts w:ascii="Garamond" w:eastAsia="Arial" w:hAnsi="Garamond" w:cs="Arial"/>
          <w:color w:val="000000"/>
          <w:sz w:val="22"/>
          <w:szCs w:val="22"/>
        </w:rPr>
        <w:t>.</w:t>
      </w:r>
      <w:r w:rsidRPr="006E338E">
        <w:rPr>
          <w:rFonts w:ascii="Garamond" w:eastAsia="Arial" w:hAnsi="Garamond" w:cs="Arial"/>
          <w:color w:val="000000"/>
          <w:sz w:val="22"/>
          <w:szCs w:val="22"/>
        </w:rPr>
        <w:t>2021, n. 193</w:t>
      </w:r>
      <w:r>
        <w:rPr>
          <w:rFonts w:ascii="Garamond" w:eastAsia="Arial" w:hAnsi="Garamond" w:cs="Arial"/>
          <w:color w:val="000000"/>
          <w:sz w:val="22"/>
          <w:szCs w:val="22"/>
        </w:rPr>
        <w:t>9.</w:t>
      </w:r>
    </w:p>
  </w:footnote>
  <w:footnote w:id="30">
    <w:p w14:paraId="5AD2DE1D" w14:textId="09143EE4" w:rsidR="00851F56" w:rsidRPr="00851F56" w:rsidRDefault="00851F56" w:rsidP="00851F56">
      <w:pPr>
        <w:pStyle w:val="Testonotaapidipagina"/>
        <w:jc w:val="both"/>
        <w:rPr>
          <w:rFonts w:ascii="Garamond" w:hAnsi="Garamond"/>
          <w:sz w:val="22"/>
          <w:szCs w:val="22"/>
        </w:rPr>
      </w:pPr>
      <w:r>
        <w:rPr>
          <w:rStyle w:val="Rimandonotaapidipagina"/>
        </w:rPr>
        <w:footnoteRef/>
      </w:r>
      <w:r>
        <w:t xml:space="preserve"> </w:t>
      </w:r>
      <w:r w:rsidRPr="00851F56">
        <w:rPr>
          <w:rFonts w:ascii="Garamond" w:hAnsi="Garamond"/>
          <w:sz w:val="22"/>
          <w:szCs w:val="22"/>
        </w:rPr>
        <w:t>C</w:t>
      </w:r>
      <w:r>
        <w:rPr>
          <w:rFonts w:ascii="Garamond" w:hAnsi="Garamond"/>
          <w:sz w:val="22"/>
          <w:szCs w:val="22"/>
        </w:rPr>
        <w:t>osì</w:t>
      </w:r>
      <w:r w:rsidRPr="00851F56">
        <w:rPr>
          <w:rFonts w:ascii="Garamond" w:hAnsi="Garamond"/>
          <w:sz w:val="22"/>
          <w:szCs w:val="22"/>
        </w:rPr>
        <w:t xml:space="preserve"> TAR Toscana, Firenze, sez. II, 08/01/2024 n. 26</w:t>
      </w:r>
      <w:r>
        <w:rPr>
          <w:rFonts w:ascii="Garamond" w:hAnsi="Garamond"/>
          <w:sz w:val="22"/>
          <w:szCs w:val="22"/>
        </w:rPr>
        <w:t>: «</w:t>
      </w:r>
      <w:r w:rsidRPr="00851F56">
        <w:rPr>
          <w:rFonts w:ascii="Garamond" w:hAnsi="Garamond"/>
          <w:i/>
          <w:iCs/>
          <w:sz w:val="22"/>
          <w:szCs w:val="22"/>
        </w:rPr>
        <w:t>Il potere della ARERA di determinare il nuovo sistema tariffario discende direttamente dalla legge, vale a dire dall’art. 1, comma 527, della legge 2017 n. 205 (…). Tale norma peraltro sancisce anche la prevalenza del nuovo sistema tariffario affidato ad ARERA sui precedenti ordinamenti (…). Ne consegue che l’imperatività delle previsioni attributive dei poteri di ARERA e la prevalenza delle rispettive determinazioni regolatorie rispetto agli ordinamenti previgenti incidono anche sulle attribuzioni di competenze nel procedimento di definizione delle tariffe</w:t>
      </w:r>
      <w:r w:rsidRPr="00851F56">
        <w:rPr>
          <w:rFonts w:ascii="Garamond" w:hAnsi="Garamond"/>
          <w:sz w:val="22"/>
          <w:szCs w:val="22"/>
        </w:rPr>
        <w:t>»</w:t>
      </w:r>
      <w:r>
        <w:rPr>
          <w:rFonts w:ascii="Garamond" w:hAnsi="Garamond"/>
          <w:sz w:val="22"/>
          <w:szCs w:val="22"/>
        </w:rPr>
        <w:t>.</w:t>
      </w:r>
    </w:p>
  </w:footnote>
  <w:footnote w:id="31">
    <w:p w14:paraId="1A668668" w14:textId="5FA601E9" w:rsidR="004F44A6" w:rsidRDefault="004F44A6" w:rsidP="004F44A6">
      <w:pPr>
        <w:pStyle w:val="Testonotaapidipagina"/>
        <w:jc w:val="both"/>
      </w:pPr>
      <w:r>
        <w:rPr>
          <w:rStyle w:val="Rimandonotaapidipagina"/>
        </w:rPr>
        <w:footnoteRef/>
      </w:r>
      <w:r>
        <w:t xml:space="preserve"> </w:t>
      </w:r>
      <w:r w:rsidRPr="004F44A6">
        <w:rPr>
          <w:rFonts w:ascii="Garamond" w:hAnsi="Garamond"/>
          <w:sz w:val="22"/>
          <w:szCs w:val="22"/>
        </w:rPr>
        <w:t xml:space="preserve">Cfr. </w:t>
      </w:r>
      <w:r w:rsidRPr="004F44A6">
        <w:rPr>
          <w:rFonts w:ascii="Garamond" w:eastAsia="Arial" w:hAnsi="Garamond" w:cs="Arial"/>
          <w:color w:val="000000"/>
          <w:sz w:val="22"/>
          <w:szCs w:val="22"/>
        </w:rPr>
        <w:t>TAR Lombardia, Milano, Sez. I, 30.10.2025, n. 3496-349</w:t>
      </w:r>
      <w:r w:rsidRPr="004F44A6">
        <w:rPr>
          <w:rFonts w:ascii="Garamond" w:eastAsia="Arial" w:hAnsi="Garamond" w:cs="Arial"/>
          <w:i/>
          <w:iCs/>
          <w:color w:val="000000"/>
          <w:sz w:val="22"/>
          <w:szCs w:val="22"/>
        </w:rPr>
        <w:t xml:space="preserve">7, </w:t>
      </w:r>
      <w:r w:rsidRPr="004F44A6">
        <w:rPr>
          <w:rFonts w:ascii="Garamond" w:eastAsia="Arial" w:hAnsi="Garamond" w:cs="Arial"/>
          <w:color w:val="000000"/>
          <w:sz w:val="22"/>
          <w:szCs w:val="22"/>
        </w:rPr>
        <w:t>che espressamente ritengono</w:t>
      </w:r>
      <w:r w:rsidRPr="004F44A6">
        <w:rPr>
          <w:rFonts w:ascii="Garamond" w:eastAsia="Arial" w:hAnsi="Garamond" w:cs="Arial"/>
          <w:i/>
          <w:iCs/>
          <w:color w:val="000000"/>
          <w:sz w:val="22"/>
          <w:szCs w:val="22"/>
        </w:rPr>
        <w:t xml:space="preserve"> </w:t>
      </w:r>
      <w:r>
        <w:rPr>
          <w:rFonts w:ascii="Garamond" w:hAnsi="Garamond"/>
          <w:sz w:val="22"/>
          <w:szCs w:val="22"/>
        </w:rPr>
        <w:t>«</w:t>
      </w:r>
      <w:r w:rsidRPr="004F44A6">
        <w:rPr>
          <w:rFonts w:ascii="Garamond" w:eastAsia="Arial" w:hAnsi="Garamond" w:cs="Arial"/>
          <w:i/>
          <w:iCs/>
          <w:color w:val="000000"/>
          <w:sz w:val="22"/>
          <w:szCs w:val="22"/>
        </w:rPr>
        <w:t>l’art. 24 del d.lgs. 201/2022</w:t>
      </w:r>
      <w:r>
        <w:rPr>
          <w:rFonts w:ascii="Garamond" w:eastAsia="Arial" w:hAnsi="Garamond" w:cs="Arial"/>
          <w:i/>
          <w:iCs/>
          <w:color w:val="000000"/>
          <w:sz w:val="22"/>
          <w:szCs w:val="22"/>
        </w:rPr>
        <w:t xml:space="preserve"> </w:t>
      </w:r>
      <w:r w:rsidRPr="004F44A6">
        <w:rPr>
          <w:rFonts w:ascii="Garamond" w:eastAsia="Arial" w:hAnsi="Garamond" w:cs="Arial"/>
          <w:i/>
          <w:iCs/>
          <w:color w:val="000000"/>
          <w:sz w:val="22"/>
          <w:szCs w:val="22"/>
        </w:rPr>
        <w:t>norma imperativa idonea ad integrare il contratto di servizio secondo il meccanismo di cui all’art. 1374 codice civile</w:t>
      </w:r>
      <w:r w:rsidRPr="00851F56">
        <w:rPr>
          <w:rFonts w:ascii="Garamond" w:hAnsi="Garamond"/>
          <w:sz w:val="22"/>
          <w:szCs w:val="22"/>
        </w:rPr>
        <w:t>»</w:t>
      </w:r>
      <w:r w:rsidRPr="004F44A6">
        <w:rPr>
          <w:rFonts w:ascii="Garamond" w:eastAsia="Arial" w:hAnsi="Garamond" w:cs="Arial"/>
          <w:i/>
          <w:iCs/>
          <w:color w:val="000000"/>
          <w:sz w:val="22"/>
          <w:szCs w:val="22"/>
        </w:rPr>
        <w:t>.</w:t>
      </w:r>
    </w:p>
  </w:footnote>
  <w:footnote w:id="32">
    <w:p w14:paraId="0EED3CA0" w14:textId="7775A413" w:rsidR="00782128" w:rsidRDefault="00782128" w:rsidP="000E3949">
      <w:pPr>
        <w:pStyle w:val="Testonotaapidipagina"/>
        <w:jc w:val="both"/>
      </w:pPr>
      <w:r w:rsidRPr="00851F56">
        <w:rPr>
          <w:rStyle w:val="Rimandonotaapidipagina"/>
          <w:rFonts w:ascii="Garamond" w:hAnsi="Garamond"/>
          <w:sz w:val="22"/>
          <w:szCs w:val="22"/>
        </w:rPr>
        <w:footnoteRef/>
      </w:r>
      <w:r w:rsidRPr="00851F56">
        <w:rPr>
          <w:rFonts w:ascii="Garamond" w:hAnsi="Garamond"/>
          <w:sz w:val="22"/>
          <w:szCs w:val="22"/>
        </w:rPr>
        <w:t xml:space="preserve"> TAR Toscana, Firenze, sez. II, 08/01/</w:t>
      </w:r>
      <w:r w:rsidRPr="00345357">
        <w:rPr>
          <w:rFonts w:ascii="Garamond" w:hAnsi="Garamond"/>
          <w:sz w:val="22"/>
          <w:szCs w:val="22"/>
        </w:rPr>
        <w:t>2024 n. 26</w:t>
      </w:r>
      <w:r w:rsidR="000E3949">
        <w:rPr>
          <w:rFonts w:ascii="Garamond" w:hAnsi="Garamond"/>
          <w:sz w:val="22"/>
          <w:szCs w:val="22"/>
        </w:rPr>
        <w:t>, confermata da C. Stato, Sez. IV, 09.12.2025, n. 9676</w:t>
      </w:r>
      <w:r w:rsidRPr="00345357">
        <w:rPr>
          <w:rFonts w:ascii="Garamond" w:hAnsi="Garamond"/>
          <w:sz w:val="22"/>
          <w:szCs w:val="22"/>
        </w:rPr>
        <w:t>.</w:t>
      </w:r>
      <w:r w:rsidR="00345357" w:rsidRPr="00345357">
        <w:rPr>
          <w:rFonts w:ascii="Garamond" w:hAnsi="Garamond"/>
          <w:sz w:val="22"/>
          <w:szCs w:val="22"/>
        </w:rPr>
        <w:t xml:space="preserve"> In senso conforme TAR Puglia, Lecce</w:t>
      </w:r>
      <w:r w:rsidR="00345357" w:rsidRPr="00CD1301">
        <w:rPr>
          <w:rFonts w:ascii="Garamond" w:hAnsi="Garamond"/>
          <w:sz w:val="22"/>
          <w:szCs w:val="22"/>
        </w:rPr>
        <w:t>,</w:t>
      </w:r>
      <w:r w:rsidR="00345357" w:rsidRPr="00CD1301">
        <w:rPr>
          <w:rFonts w:ascii="Garamond" w:hAnsi="Garamond"/>
        </w:rPr>
        <w:t xml:space="preserve"> </w:t>
      </w:r>
      <w:r w:rsidR="00345357" w:rsidRPr="00CD1301">
        <w:rPr>
          <w:rFonts w:ascii="Garamond" w:hAnsi="Garamond"/>
          <w:sz w:val="22"/>
          <w:szCs w:val="22"/>
        </w:rPr>
        <w:t>Sez. II, 08.04.2024 n. 484 e 485</w:t>
      </w:r>
      <w:r w:rsidR="003A4526" w:rsidRPr="00CD1301">
        <w:rPr>
          <w:rFonts w:ascii="Garamond" w:hAnsi="Garamond"/>
          <w:sz w:val="22"/>
          <w:szCs w:val="22"/>
        </w:rPr>
        <w:t>.</w:t>
      </w:r>
    </w:p>
  </w:footnote>
  <w:footnote w:id="33">
    <w:p w14:paraId="0D94DDA7" w14:textId="3B45691C" w:rsidR="00EB1A9A" w:rsidRPr="00EB1A9A" w:rsidRDefault="00EB1A9A" w:rsidP="00EB1A9A">
      <w:pPr>
        <w:pStyle w:val="Testonotaapidipagina"/>
        <w:jc w:val="both"/>
        <w:rPr>
          <w:rFonts w:ascii="Garamond" w:hAnsi="Garamond"/>
          <w:sz w:val="22"/>
          <w:szCs w:val="22"/>
        </w:rPr>
      </w:pPr>
      <w:r w:rsidRPr="00EB1A9A">
        <w:rPr>
          <w:rStyle w:val="Rimandonotaapidipagina"/>
          <w:rFonts w:ascii="Garamond" w:hAnsi="Garamond"/>
          <w:sz w:val="22"/>
          <w:szCs w:val="22"/>
        </w:rPr>
        <w:footnoteRef/>
      </w:r>
      <w:r w:rsidRPr="00EB1A9A">
        <w:rPr>
          <w:rFonts w:ascii="Garamond" w:hAnsi="Garamond"/>
          <w:sz w:val="22"/>
          <w:szCs w:val="22"/>
        </w:rPr>
        <w:t xml:space="preserve"> TAR Lombardia, Brescia, sez. I, 28.06.2024, n. 580</w:t>
      </w:r>
      <w:r>
        <w:rPr>
          <w:rFonts w:ascii="Garamond" w:hAnsi="Garamond"/>
          <w:sz w:val="22"/>
          <w:szCs w:val="22"/>
        </w:rPr>
        <w:t xml:space="preserve">. In adesione a tale indirizzo anche </w:t>
      </w:r>
      <w:r w:rsidRPr="00EB1A9A">
        <w:rPr>
          <w:rFonts w:ascii="Garamond" w:hAnsi="Garamond"/>
          <w:sz w:val="22"/>
          <w:szCs w:val="22"/>
        </w:rPr>
        <w:t>TAR Lombardia, Brescia, sez. I</w:t>
      </w:r>
      <w:r>
        <w:rPr>
          <w:rFonts w:ascii="Garamond" w:hAnsi="Garamond"/>
          <w:sz w:val="22"/>
          <w:szCs w:val="22"/>
        </w:rPr>
        <w:t>I</w:t>
      </w:r>
      <w:r w:rsidRPr="00EB1A9A">
        <w:rPr>
          <w:rFonts w:ascii="Garamond" w:hAnsi="Garamond"/>
          <w:sz w:val="22"/>
          <w:szCs w:val="22"/>
        </w:rPr>
        <w:t xml:space="preserve">, </w:t>
      </w:r>
      <w:r>
        <w:rPr>
          <w:rFonts w:ascii="Garamond" w:hAnsi="Garamond"/>
          <w:sz w:val="22"/>
          <w:szCs w:val="22"/>
        </w:rPr>
        <w:t>15</w:t>
      </w:r>
      <w:r w:rsidRPr="00EB1A9A">
        <w:rPr>
          <w:rFonts w:ascii="Garamond" w:hAnsi="Garamond"/>
          <w:sz w:val="22"/>
          <w:szCs w:val="22"/>
        </w:rPr>
        <w:t>.0</w:t>
      </w:r>
      <w:r>
        <w:rPr>
          <w:rFonts w:ascii="Garamond" w:hAnsi="Garamond"/>
          <w:sz w:val="22"/>
          <w:szCs w:val="22"/>
        </w:rPr>
        <w:t>7</w:t>
      </w:r>
      <w:r w:rsidRPr="00EB1A9A">
        <w:rPr>
          <w:rFonts w:ascii="Garamond" w:hAnsi="Garamond"/>
          <w:sz w:val="22"/>
          <w:szCs w:val="22"/>
        </w:rPr>
        <w:t xml:space="preserve">.2024, n. </w:t>
      </w:r>
      <w:r>
        <w:rPr>
          <w:rFonts w:ascii="Garamond" w:hAnsi="Garamond"/>
          <w:sz w:val="22"/>
          <w:szCs w:val="22"/>
        </w:rPr>
        <w:t>636</w:t>
      </w:r>
      <w:r w:rsidR="000B70E8">
        <w:rPr>
          <w:rFonts w:ascii="Garamond" w:hAnsi="Garamond"/>
          <w:sz w:val="22"/>
          <w:szCs w:val="22"/>
        </w:rPr>
        <w:t xml:space="preserve">; </w:t>
      </w:r>
      <w:r w:rsidR="000B70E8" w:rsidRPr="00EB1A9A">
        <w:rPr>
          <w:rFonts w:ascii="Garamond" w:hAnsi="Garamond"/>
          <w:sz w:val="22"/>
          <w:szCs w:val="22"/>
        </w:rPr>
        <w:t xml:space="preserve">TAR Lombardia, Brescia, sez. I, </w:t>
      </w:r>
      <w:r w:rsidR="000B70E8">
        <w:rPr>
          <w:rFonts w:ascii="Garamond" w:hAnsi="Garamond"/>
          <w:sz w:val="22"/>
          <w:szCs w:val="22"/>
        </w:rPr>
        <w:t>19</w:t>
      </w:r>
      <w:r w:rsidR="000B70E8" w:rsidRPr="00EB1A9A">
        <w:rPr>
          <w:rFonts w:ascii="Garamond" w:hAnsi="Garamond"/>
          <w:sz w:val="22"/>
          <w:szCs w:val="22"/>
        </w:rPr>
        <w:t>.0</w:t>
      </w:r>
      <w:r w:rsidR="000B70E8">
        <w:rPr>
          <w:rFonts w:ascii="Garamond" w:hAnsi="Garamond"/>
          <w:sz w:val="22"/>
          <w:szCs w:val="22"/>
        </w:rPr>
        <w:t>9</w:t>
      </w:r>
      <w:r w:rsidR="000B70E8" w:rsidRPr="00EB1A9A">
        <w:rPr>
          <w:rFonts w:ascii="Garamond" w:hAnsi="Garamond"/>
          <w:sz w:val="22"/>
          <w:szCs w:val="22"/>
        </w:rPr>
        <w:t xml:space="preserve">.2024, n. </w:t>
      </w:r>
      <w:r w:rsidR="000B70E8">
        <w:rPr>
          <w:rFonts w:ascii="Garamond" w:hAnsi="Garamond"/>
          <w:sz w:val="22"/>
          <w:szCs w:val="22"/>
        </w:rPr>
        <w:t xml:space="preserve">747; </w:t>
      </w:r>
      <w:r w:rsidR="000B70E8" w:rsidRPr="00EB1A9A">
        <w:rPr>
          <w:rFonts w:ascii="Garamond" w:hAnsi="Garamond"/>
          <w:sz w:val="22"/>
          <w:szCs w:val="22"/>
        </w:rPr>
        <w:t xml:space="preserve">TAR Lombardia, </w:t>
      </w:r>
      <w:r w:rsidR="000B70E8">
        <w:rPr>
          <w:rFonts w:ascii="Garamond" w:hAnsi="Garamond"/>
          <w:sz w:val="22"/>
          <w:szCs w:val="22"/>
        </w:rPr>
        <w:t>Milano</w:t>
      </w:r>
      <w:r w:rsidR="000B70E8" w:rsidRPr="00EB1A9A">
        <w:rPr>
          <w:rFonts w:ascii="Garamond" w:hAnsi="Garamond"/>
          <w:sz w:val="22"/>
          <w:szCs w:val="22"/>
        </w:rPr>
        <w:t xml:space="preserve">, sez. I, </w:t>
      </w:r>
      <w:r w:rsidR="000B70E8">
        <w:rPr>
          <w:rFonts w:ascii="Garamond" w:hAnsi="Garamond"/>
          <w:sz w:val="22"/>
          <w:szCs w:val="22"/>
        </w:rPr>
        <w:t>10</w:t>
      </w:r>
      <w:r w:rsidR="000B70E8" w:rsidRPr="00EB1A9A">
        <w:rPr>
          <w:rFonts w:ascii="Garamond" w:hAnsi="Garamond"/>
          <w:sz w:val="22"/>
          <w:szCs w:val="22"/>
        </w:rPr>
        <w:t>.</w:t>
      </w:r>
      <w:r w:rsidR="000B70E8">
        <w:rPr>
          <w:rFonts w:ascii="Garamond" w:hAnsi="Garamond"/>
          <w:sz w:val="22"/>
          <w:szCs w:val="22"/>
        </w:rPr>
        <w:t>12</w:t>
      </w:r>
      <w:r w:rsidR="000B70E8" w:rsidRPr="00EB1A9A">
        <w:rPr>
          <w:rFonts w:ascii="Garamond" w:hAnsi="Garamond"/>
          <w:sz w:val="22"/>
          <w:szCs w:val="22"/>
        </w:rPr>
        <w:t xml:space="preserve">.2024, n. </w:t>
      </w:r>
      <w:r w:rsidR="000B70E8">
        <w:rPr>
          <w:rFonts w:ascii="Garamond" w:hAnsi="Garamond"/>
          <w:sz w:val="22"/>
          <w:szCs w:val="22"/>
        </w:rPr>
        <w:t xml:space="preserve">3591 e da ultimo TAR Sicilia, Catania, sez. III, 08.04.2026, n. 1053. </w:t>
      </w:r>
    </w:p>
  </w:footnote>
  <w:footnote w:id="34">
    <w:p w14:paraId="08D9847F" w14:textId="57F1B5AC" w:rsidR="00550D3D" w:rsidRPr="00A44F46" w:rsidRDefault="00A44F46" w:rsidP="00915649">
      <w:pPr>
        <w:pStyle w:val="Testonotaapidipagina"/>
        <w:jc w:val="both"/>
        <w:rPr>
          <w:rFonts w:ascii="Garamond" w:hAnsi="Garamond"/>
          <w:sz w:val="22"/>
          <w:szCs w:val="22"/>
        </w:rPr>
      </w:pPr>
      <w:r w:rsidRPr="00EB1A9A">
        <w:rPr>
          <w:rStyle w:val="Rimandonotaapidipagina"/>
          <w:rFonts w:ascii="Garamond" w:hAnsi="Garamond"/>
          <w:sz w:val="22"/>
          <w:szCs w:val="22"/>
        </w:rPr>
        <w:footnoteRef/>
      </w:r>
      <w:r w:rsidRPr="00EB1A9A">
        <w:rPr>
          <w:rFonts w:ascii="Garamond" w:hAnsi="Garamond"/>
          <w:sz w:val="22"/>
          <w:szCs w:val="22"/>
        </w:rPr>
        <w:t xml:space="preserve"> </w:t>
      </w:r>
      <w:bookmarkStart w:id="5" w:name="OLE_LINK1"/>
      <w:r w:rsidRPr="00EB1A9A">
        <w:rPr>
          <w:rFonts w:ascii="Garamond" w:hAnsi="Garamond"/>
          <w:sz w:val="22"/>
          <w:szCs w:val="22"/>
        </w:rPr>
        <w:t>C. Stato, sez. IV, 22.07.2025 n. 6466</w:t>
      </w:r>
      <w:bookmarkEnd w:id="5"/>
      <w:r w:rsidR="000E3949">
        <w:rPr>
          <w:rFonts w:ascii="Garamond" w:hAnsi="Garamond"/>
          <w:sz w:val="22"/>
          <w:szCs w:val="22"/>
        </w:rPr>
        <w:t>, che ha confermato TAR Lombardia, Milano n. 3591/2024 cit.</w:t>
      </w:r>
    </w:p>
  </w:footnote>
  <w:footnote w:id="35">
    <w:p w14:paraId="5DDC84EF" w14:textId="7C6CDAE2" w:rsidR="007B0A6B" w:rsidRDefault="007B0A6B">
      <w:pPr>
        <w:pStyle w:val="Testonotaapidipagina"/>
      </w:pPr>
      <w:r>
        <w:rPr>
          <w:rStyle w:val="Rimandonotaapidipagina"/>
        </w:rPr>
        <w:footnoteRef/>
      </w:r>
      <w:r>
        <w:t xml:space="preserve"> </w:t>
      </w:r>
      <w:r w:rsidRPr="007B0A6B">
        <w:rPr>
          <w:rFonts w:ascii="Garamond" w:hAnsi="Garamond"/>
          <w:sz w:val="22"/>
          <w:szCs w:val="22"/>
        </w:rPr>
        <w:t>così TAR Puglia, Lecce, sez. II, 16.06.2025 n. 1059.</w:t>
      </w:r>
    </w:p>
  </w:footnote>
  <w:footnote w:id="36">
    <w:p w14:paraId="4B38CC41" w14:textId="4A446D0C" w:rsidR="00F147D7" w:rsidRDefault="00F147D7" w:rsidP="00F147D7">
      <w:pPr>
        <w:pStyle w:val="Testonotaapidipagina"/>
        <w:jc w:val="both"/>
      </w:pPr>
      <w:r>
        <w:rPr>
          <w:rStyle w:val="Rimandonotaapidipagina"/>
        </w:rPr>
        <w:footnoteRef/>
      </w:r>
      <w:r>
        <w:t xml:space="preserve"> </w:t>
      </w:r>
      <w:r w:rsidRPr="00F147D7">
        <w:rPr>
          <w:rFonts w:ascii="Garamond" w:hAnsi="Garamond"/>
          <w:smallCaps/>
          <w:sz w:val="22"/>
          <w:szCs w:val="22"/>
        </w:rPr>
        <w:t>C. Longo</w:t>
      </w:r>
      <w:r w:rsidRPr="00F147D7">
        <w:rPr>
          <w:rFonts w:ascii="Garamond" w:hAnsi="Garamond"/>
          <w:sz w:val="22"/>
          <w:szCs w:val="22"/>
        </w:rPr>
        <w:t>,</w:t>
      </w:r>
      <w:r w:rsidRPr="00F147D7">
        <w:rPr>
          <w:rFonts w:ascii="Garamond" w:hAnsi="Garamond"/>
          <w:i/>
          <w:iCs/>
          <w:sz w:val="22"/>
          <w:szCs w:val="22"/>
        </w:rPr>
        <w:t xml:space="preserve"> Lo schema tipo di contratto del servizio di gestione dei rifiuti urbani e l’equilibrio instabile tra le funzioni regolatorie di Arera e l’autonomia delle parti, </w:t>
      </w:r>
      <w:r w:rsidRPr="00F147D7">
        <w:rPr>
          <w:rFonts w:ascii="Garamond" w:hAnsi="Garamond"/>
          <w:sz w:val="22"/>
          <w:szCs w:val="22"/>
        </w:rPr>
        <w:t xml:space="preserve">nella Rivista </w:t>
      </w:r>
      <w:r w:rsidRPr="00F147D7">
        <w:rPr>
          <w:rFonts w:ascii="Garamond" w:hAnsi="Garamond"/>
          <w:i/>
          <w:iCs/>
          <w:sz w:val="22"/>
          <w:szCs w:val="22"/>
        </w:rPr>
        <w:t>Italia Appalti</w:t>
      </w:r>
      <w:r w:rsidRPr="00F147D7">
        <w:rPr>
          <w:rFonts w:ascii="Garamond" w:hAnsi="Garamond"/>
          <w:sz w:val="22"/>
          <w:szCs w:val="22"/>
        </w:rPr>
        <w:t xml:space="preserve"> n. 11/2025.</w:t>
      </w:r>
    </w:p>
  </w:footnote>
  <w:footnote w:id="37">
    <w:p w14:paraId="1F98C979" w14:textId="60016072" w:rsidR="00B96F69" w:rsidRDefault="00B96F69">
      <w:pPr>
        <w:pStyle w:val="Testonotaapidipagina"/>
      </w:pPr>
      <w:r>
        <w:rPr>
          <w:rStyle w:val="Rimandonotaapidipagina"/>
        </w:rPr>
        <w:footnoteRef/>
      </w:r>
      <w:r>
        <w:t xml:space="preserve"> </w:t>
      </w:r>
      <w:r w:rsidRPr="00F147D7">
        <w:rPr>
          <w:rFonts w:ascii="Garamond" w:hAnsi="Garamond"/>
          <w:smallCaps/>
          <w:sz w:val="22"/>
          <w:szCs w:val="22"/>
        </w:rPr>
        <w:t>C. Longo</w:t>
      </w:r>
      <w:r w:rsidRPr="00F147D7">
        <w:rPr>
          <w:rFonts w:ascii="Garamond" w:hAnsi="Garamond"/>
          <w:sz w:val="22"/>
          <w:szCs w:val="22"/>
        </w:rPr>
        <w:t>,</w:t>
      </w:r>
      <w:r>
        <w:rPr>
          <w:rFonts w:ascii="Garamond" w:hAnsi="Garamond"/>
          <w:sz w:val="22"/>
          <w:szCs w:val="22"/>
        </w:rPr>
        <w:t xml:space="preserve"> </w:t>
      </w:r>
      <w:r w:rsidRPr="00B96F69">
        <w:rPr>
          <w:rFonts w:ascii="Garamond" w:hAnsi="Garamond"/>
          <w:sz w:val="22"/>
          <w:szCs w:val="22"/>
        </w:rPr>
        <w:t>op.cit.</w:t>
      </w:r>
      <w:r>
        <w:rPr>
          <w:rFonts w:ascii="Garamond" w:hAnsi="Garamond"/>
          <w:sz w:val="22"/>
          <w:szCs w:val="22"/>
        </w:rPr>
        <w:t xml:space="preserve"> </w:t>
      </w:r>
    </w:p>
  </w:footnote>
  <w:footnote w:id="38">
    <w:p w14:paraId="6300249C" w14:textId="3A885A43" w:rsidR="00580EA2" w:rsidRDefault="00580EA2" w:rsidP="009E272E">
      <w:pPr>
        <w:pStyle w:val="Testonotaapidipagina"/>
        <w:widowControl w:val="0"/>
        <w:adjustRightInd w:val="0"/>
        <w:snapToGrid w:val="0"/>
        <w:jc w:val="both"/>
      </w:pPr>
      <w:r>
        <w:rPr>
          <w:rStyle w:val="Rimandonotaapidipagina"/>
        </w:rPr>
        <w:footnoteRef/>
      </w:r>
      <w:r>
        <w:t xml:space="preserve"> </w:t>
      </w:r>
      <w:r w:rsidRPr="00CD0BFE">
        <w:rPr>
          <w:rFonts w:ascii="Garamond" w:hAnsi="Garamond"/>
          <w:sz w:val="22"/>
          <w:szCs w:val="22"/>
        </w:rPr>
        <w:t>TAR Lombardia, Milano, sez. I. 3</w:t>
      </w:r>
      <w:r>
        <w:rPr>
          <w:rFonts w:ascii="Garamond" w:hAnsi="Garamond"/>
          <w:sz w:val="22"/>
          <w:szCs w:val="22"/>
        </w:rPr>
        <w:t>0</w:t>
      </w:r>
      <w:r w:rsidRPr="00CD0BFE">
        <w:rPr>
          <w:rFonts w:ascii="Garamond" w:hAnsi="Garamond"/>
          <w:sz w:val="22"/>
          <w:szCs w:val="22"/>
        </w:rPr>
        <w:t>.10.2025 n. 3</w:t>
      </w:r>
      <w:r>
        <w:rPr>
          <w:rFonts w:ascii="Garamond" w:hAnsi="Garamond"/>
          <w:sz w:val="22"/>
          <w:szCs w:val="22"/>
        </w:rPr>
        <w:t>496 e 3497.</w:t>
      </w:r>
      <w:r w:rsidR="006721F2">
        <w:rPr>
          <w:rFonts w:ascii="Garamond" w:hAnsi="Garamond"/>
          <w:sz w:val="22"/>
          <w:szCs w:val="22"/>
        </w:rPr>
        <w:t xml:space="preserve"> Le due pronunce hanno annullato </w:t>
      </w:r>
      <w:r w:rsidR="00615032">
        <w:rPr>
          <w:rFonts w:ascii="Garamond" w:hAnsi="Garamond"/>
          <w:sz w:val="22"/>
          <w:szCs w:val="22"/>
        </w:rPr>
        <w:t xml:space="preserve">anche </w:t>
      </w:r>
      <w:r w:rsidR="006721F2" w:rsidRPr="006721F2">
        <w:rPr>
          <w:rFonts w:ascii="Garamond" w:hAnsi="Garamond"/>
          <w:sz w:val="22"/>
          <w:szCs w:val="22"/>
        </w:rPr>
        <w:t xml:space="preserve">gli articoli 5 comma 2, </w:t>
      </w:r>
      <w:r w:rsidR="006721F2">
        <w:rPr>
          <w:rFonts w:ascii="Garamond" w:hAnsi="Garamond"/>
          <w:sz w:val="22"/>
          <w:szCs w:val="22"/>
        </w:rPr>
        <w:t>1</w:t>
      </w:r>
      <w:r w:rsidR="006721F2" w:rsidRPr="006721F2">
        <w:rPr>
          <w:rFonts w:ascii="Garamond" w:hAnsi="Garamond"/>
          <w:sz w:val="22"/>
          <w:szCs w:val="22"/>
        </w:rPr>
        <w:t>1.1 lettera b), 15.1, lett. k), 22.5, 22.8, 23, nei limiti di cui in motivazione</w:t>
      </w:r>
      <w:r w:rsidR="006721F2">
        <w:rPr>
          <w:rFonts w:ascii="Garamond" w:hAnsi="Garamond"/>
          <w:sz w:val="22"/>
          <w:szCs w:val="22"/>
        </w:rPr>
        <w:t xml:space="preserve"> e concernenti aspetti specifici, e rilevato infine </w:t>
      </w:r>
      <w:r w:rsidR="006721F2" w:rsidRPr="006721F2">
        <w:rPr>
          <w:rFonts w:ascii="Garamond" w:hAnsi="Garamond"/>
          <w:sz w:val="22"/>
          <w:szCs w:val="22"/>
        </w:rPr>
        <w:t xml:space="preserve">l’illegittimità dell’art. 27 nella parte in cui </w:t>
      </w:r>
      <w:r w:rsidR="006721F2" w:rsidRPr="003017B6">
        <w:rPr>
          <w:rFonts w:ascii="Garamond" w:hAnsi="Garamond"/>
          <w:i/>
          <w:iCs/>
          <w:sz w:val="26"/>
          <w:szCs w:val="26"/>
        </w:rPr>
        <w:t>«</w:t>
      </w:r>
      <w:r w:rsidR="006721F2" w:rsidRPr="006721F2">
        <w:rPr>
          <w:rFonts w:ascii="Garamond" w:hAnsi="Garamond"/>
          <w:i/>
          <w:iCs/>
          <w:sz w:val="22"/>
          <w:szCs w:val="22"/>
        </w:rPr>
        <w:t>non contempla tra gli allegati dello schema tipo l’offerta dell’appaltante, che consente di determinare l’oggetto del contratto</w:t>
      </w:r>
      <w:r w:rsidR="006721F2" w:rsidRPr="009A7E5D">
        <w:rPr>
          <w:rFonts w:ascii="Garamond" w:hAnsi="Garamond"/>
          <w:sz w:val="26"/>
          <w:szCs w:val="26"/>
        </w:rPr>
        <w:t>»</w:t>
      </w:r>
      <w:r w:rsidR="006721F2">
        <w:rPr>
          <w:rFonts w:ascii="Garamond" w:hAnsi="Garamond"/>
          <w:sz w:val="26"/>
          <w:szCs w:val="26"/>
        </w:rPr>
        <w:t>.</w:t>
      </w:r>
    </w:p>
  </w:footnote>
  <w:footnote w:id="39">
    <w:p w14:paraId="15ACD2E4" w14:textId="153AAF64" w:rsidR="00CB04F2" w:rsidRPr="00A36844" w:rsidRDefault="00CB04F2" w:rsidP="008B3067">
      <w:pPr>
        <w:pStyle w:val="Testonotaapidipagina"/>
        <w:widowControl w:val="0"/>
        <w:jc w:val="both"/>
        <w:rPr>
          <w:rFonts w:ascii="Garamond" w:hAnsi="Garamond"/>
          <w:sz w:val="22"/>
          <w:szCs w:val="22"/>
        </w:rPr>
      </w:pPr>
      <w:r>
        <w:rPr>
          <w:rStyle w:val="Rimandonotaapidipagina"/>
        </w:rPr>
        <w:footnoteRef/>
      </w:r>
      <w:r>
        <w:t xml:space="preserve"> </w:t>
      </w:r>
      <w:r w:rsidRPr="00A36844">
        <w:rPr>
          <w:rFonts w:ascii="Garamond" w:hAnsi="Garamond"/>
          <w:sz w:val="22"/>
          <w:szCs w:val="22"/>
        </w:rPr>
        <w:t xml:space="preserve">Nel giudizio di appello, l’Autorità ha tra l’altro affermato che la pronuncia di primo grado, che scinde completamente l’applicazione della regolazione tariffaria dalla determinazione del corrispettivo contrattuale </w:t>
      </w:r>
      <w:r w:rsidR="00A36844">
        <w:rPr>
          <w:rFonts w:ascii="Garamond" w:hAnsi="Garamond"/>
          <w:sz w:val="22"/>
          <w:szCs w:val="22"/>
        </w:rPr>
        <w:t>“</w:t>
      </w:r>
      <w:r w:rsidRPr="00A36844">
        <w:rPr>
          <w:rFonts w:ascii="Garamond" w:hAnsi="Garamond"/>
          <w:i/>
          <w:iCs/>
          <w:sz w:val="22"/>
          <w:szCs w:val="22"/>
        </w:rPr>
        <w:t>pregiudica il mandato assegnato ad ARERA</w:t>
      </w:r>
      <w:r w:rsidR="00A36844">
        <w:rPr>
          <w:rFonts w:ascii="Garamond" w:hAnsi="Garamond"/>
          <w:sz w:val="22"/>
          <w:szCs w:val="22"/>
        </w:rPr>
        <w:t>”</w:t>
      </w:r>
      <w:r w:rsidRPr="00A36844">
        <w:rPr>
          <w:rFonts w:ascii="Garamond" w:hAnsi="Garamond"/>
          <w:sz w:val="22"/>
          <w:szCs w:val="22"/>
        </w:rPr>
        <w:t xml:space="preserve"> dal legislatore e che </w:t>
      </w:r>
      <w:r w:rsidR="00A36844">
        <w:rPr>
          <w:rFonts w:ascii="Garamond" w:hAnsi="Garamond"/>
          <w:sz w:val="22"/>
          <w:szCs w:val="22"/>
        </w:rPr>
        <w:t>“</w:t>
      </w:r>
      <w:r w:rsidRPr="00A36844">
        <w:rPr>
          <w:rFonts w:ascii="Garamond" w:hAnsi="Garamond"/>
          <w:i/>
          <w:iCs/>
          <w:sz w:val="22"/>
          <w:szCs w:val="22"/>
        </w:rPr>
        <w:t>se il risultato derivante dall’applicazione delle clausole contrattuali assurgesse a limite inderogabile della remunerazione del gestore, la regolazione tariffaria diverrebbe del tutto inutile</w:t>
      </w:r>
      <w:r w:rsidRPr="00A36844">
        <w:rPr>
          <w:rFonts w:ascii="Garamond" w:hAnsi="Garamond"/>
          <w:sz w:val="22"/>
          <w:szCs w:val="22"/>
        </w:rPr>
        <w:t>”</w:t>
      </w:r>
      <w:r w:rsidR="008B3067">
        <w:rPr>
          <w:rFonts w:ascii="Garamond" w:hAnsi="Garamond"/>
          <w:sz w:val="22"/>
          <w:szCs w:val="22"/>
        </w:rPr>
        <w:t>.</w:t>
      </w:r>
    </w:p>
  </w:footnote>
  <w:footnote w:id="40">
    <w:p w14:paraId="03B4422E" w14:textId="2D74193B" w:rsidR="00615032" w:rsidRPr="002804F7" w:rsidRDefault="00615032" w:rsidP="00C20E76">
      <w:pPr>
        <w:pStyle w:val="Rientrocorpodeltesto"/>
        <w:widowControl w:val="0"/>
        <w:spacing w:after="0"/>
        <w:ind w:left="0"/>
        <w:jc w:val="both"/>
        <w:rPr>
          <w:rFonts w:ascii="Garamond" w:hAnsi="Garamond"/>
          <w:sz w:val="22"/>
          <w:szCs w:val="22"/>
        </w:rPr>
      </w:pPr>
      <w:r w:rsidRPr="002804F7">
        <w:rPr>
          <w:rStyle w:val="Rimandonotaapidipagina"/>
          <w:rFonts w:ascii="Garamond" w:hAnsi="Garamond"/>
          <w:sz w:val="22"/>
          <w:szCs w:val="22"/>
        </w:rPr>
        <w:footnoteRef/>
      </w:r>
      <w:r w:rsidRPr="002804F7">
        <w:rPr>
          <w:rFonts w:ascii="Garamond" w:hAnsi="Garamond"/>
          <w:sz w:val="22"/>
          <w:szCs w:val="22"/>
        </w:rPr>
        <w:t xml:space="preserve"> </w:t>
      </w:r>
      <w:r w:rsidR="000744DC" w:rsidRPr="002804F7">
        <w:rPr>
          <w:rFonts w:ascii="Garamond" w:hAnsi="Garamond"/>
          <w:sz w:val="22"/>
          <w:szCs w:val="22"/>
        </w:rPr>
        <w:t xml:space="preserve"> </w:t>
      </w:r>
      <w:r w:rsidRPr="002804F7">
        <w:rPr>
          <w:rFonts w:ascii="Garamond" w:hAnsi="Garamond"/>
          <w:smallCaps/>
          <w:sz w:val="22"/>
          <w:szCs w:val="22"/>
        </w:rPr>
        <w:t>C. Longo</w:t>
      </w:r>
      <w:r w:rsidRPr="002804F7">
        <w:rPr>
          <w:rFonts w:ascii="Garamond" w:hAnsi="Garamond"/>
          <w:sz w:val="22"/>
          <w:szCs w:val="22"/>
        </w:rPr>
        <w:t>,</w:t>
      </w:r>
      <w:r w:rsidR="00BD51E3" w:rsidRPr="002804F7">
        <w:rPr>
          <w:rFonts w:ascii="Garamond" w:hAnsi="Garamond"/>
          <w:i/>
          <w:iCs/>
          <w:sz w:val="22"/>
          <w:szCs w:val="22"/>
        </w:rPr>
        <w:t xml:space="preserve"> </w:t>
      </w:r>
      <w:r w:rsidR="002804F7" w:rsidRPr="002804F7">
        <w:rPr>
          <w:rFonts w:ascii="Garamond" w:hAnsi="Garamond"/>
          <w:sz w:val="22"/>
          <w:szCs w:val="22"/>
        </w:rPr>
        <w:t>op.cit. L’Autore</w:t>
      </w:r>
      <w:r w:rsidR="002804F7">
        <w:rPr>
          <w:rFonts w:ascii="Garamond" w:hAnsi="Garamond"/>
          <w:sz w:val="22"/>
          <w:szCs w:val="22"/>
        </w:rPr>
        <w:t>,</w:t>
      </w:r>
      <w:r w:rsidR="002804F7" w:rsidRPr="002804F7">
        <w:rPr>
          <w:rFonts w:ascii="Garamond" w:hAnsi="Garamond"/>
          <w:sz w:val="22"/>
          <w:szCs w:val="22"/>
        </w:rPr>
        <w:t xml:space="preserve"> in particolare</w:t>
      </w:r>
      <w:r w:rsidR="002804F7">
        <w:rPr>
          <w:rFonts w:ascii="Garamond" w:hAnsi="Garamond"/>
          <w:sz w:val="22"/>
          <w:szCs w:val="22"/>
        </w:rPr>
        <w:t>, afferma che il percorso argomentativo del TAR</w:t>
      </w:r>
      <w:r w:rsidR="00BB39D4">
        <w:rPr>
          <w:rFonts w:ascii="Garamond" w:hAnsi="Garamond"/>
          <w:sz w:val="22"/>
          <w:szCs w:val="22"/>
        </w:rPr>
        <w:t>, che separa rigidamente il corrispettivo contrattuale dalla dinamica tariffaria</w:t>
      </w:r>
      <w:r w:rsidR="00DC2861">
        <w:rPr>
          <w:rFonts w:ascii="Garamond" w:hAnsi="Garamond"/>
          <w:sz w:val="22"/>
          <w:szCs w:val="22"/>
        </w:rPr>
        <w:t>,</w:t>
      </w:r>
      <w:r w:rsidR="00BB39D4">
        <w:rPr>
          <w:rFonts w:ascii="Garamond" w:hAnsi="Garamond"/>
          <w:sz w:val="22"/>
          <w:szCs w:val="22"/>
        </w:rPr>
        <w:t xml:space="preserve"> </w:t>
      </w:r>
      <w:r w:rsidR="00DC2861">
        <w:rPr>
          <w:rFonts w:ascii="Garamond" w:hAnsi="Garamond"/>
          <w:sz w:val="22"/>
          <w:szCs w:val="22"/>
        </w:rPr>
        <w:t xml:space="preserve">rischia di </w:t>
      </w:r>
      <w:r w:rsidR="002804F7">
        <w:rPr>
          <w:rFonts w:ascii="Garamond" w:hAnsi="Garamond"/>
          <w:sz w:val="22"/>
          <w:szCs w:val="22"/>
        </w:rPr>
        <w:t>genera</w:t>
      </w:r>
      <w:r w:rsidR="00DC2861">
        <w:rPr>
          <w:rFonts w:ascii="Garamond" w:hAnsi="Garamond"/>
          <w:sz w:val="22"/>
          <w:szCs w:val="22"/>
        </w:rPr>
        <w:t>re</w:t>
      </w:r>
      <w:r w:rsidR="002804F7">
        <w:rPr>
          <w:rFonts w:ascii="Garamond" w:hAnsi="Garamond"/>
          <w:sz w:val="22"/>
          <w:szCs w:val="22"/>
        </w:rPr>
        <w:t xml:space="preserve"> l’effetto distorsivo per cui </w:t>
      </w:r>
      <w:r w:rsidR="002804F7" w:rsidRPr="002804F7">
        <w:rPr>
          <w:rFonts w:ascii="Garamond" w:hAnsi="Garamond"/>
          <w:i/>
          <w:iCs/>
          <w:sz w:val="22"/>
          <w:szCs w:val="22"/>
        </w:rPr>
        <w:t>“i costi del gestore, pur dichiarati nel pef e formalmente riferibili anche al contratto, finisc</w:t>
      </w:r>
      <w:r w:rsidR="002804F7">
        <w:rPr>
          <w:rFonts w:ascii="Garamond" w:hAnsi="Garamond"/>
          <w:i/>
          <w:iCs/>
          <w:sz w:val="22"/>
          <w:szCs w:val="22"/>
        </w:rPr>
        <w:t>o</w:t>
      </w:r>
      <w:r w:rsidR="002804F7" w:rsidRPr="002804F7">
        <w:rPr>
          <w:rFonts w:ascii="Garamond" w:hAnsi="Garamond"/>
          <w:i/>
          <w:iCs/>
          <w:sz w:val="22"/>
          <w:szCs w:val="22"/>
        </w:rPr>
        <w:t>no per assolvere la funzione di parametro ai fini della TARI perdendo così la loro valenza economico finanziaria contrattuale</w:t>
      </w:r>
      <w:r w:rsidR="002804F7" w:rsidRPr="002804F7">
        <w:rPr>
          <w:rFonts w:ascii="Garamond" w:hAnsi="Garamond"/>
          <w:sz w:val="22"/>
          <w:szCs w:val="22"/>
        </w:rPr>
        <w:t xml:space="preserve">”. </w:t>
      </w:r>
    </w:p>
  </w:footnote>
  <w:footnote w:id="41">
    <w:p w14:paraId="7AD4E171" w14:textId="7CB0E105" w:rsidR="003017B6" w:rsidRDefault="003017B6">
      <w:pPr>
        <w:pStyle w:val="Testonotaapidipagina"/>
      </w:pPr>
      <w:r>
        <w:rPr>
          <w:rStyle w:val="Rimandonotaapidipagina"/>
        </w:rPr>
        <w:footnoteRef/>
      </w:r>
      <w:r>
        <w:t xml:space="preserve"> </w:t>
      </w:r>
      <w:r w:rsidRPr="00CD0BFE">
        <w:rPr>
          <w:rFonts w:ascii="Garamond" w:hAnsi="Garamond"/>
          <w:sz w:val="22"/>
          <w:szCs w:val="22"/>
        </w:rPr>
        <w:t>TAR Lombardia, Milano, sez. I. 3</w:t>
      </w:r>
      <w:r>
        <w:rPr>
          <w:rFonts w:ascii="Garamond" w:hAnsi="Garamond"/>
          <w:sz w:val="22"/>
          <w:szCs w:val="22"/>
        </w:rPr>
        <w:t>0</w:t>
      </w:r>
      <w:r w:rsidRPr="00CD0BFE">
        <w:rPr>
          <w:rFonts w:ascii="Garamond" w:hAnsi="Garamond"/>
          <w:sz w:val="22"/>
          <w:szCs w:val="22"/>
        </w:rPr>
        <w:t>.10.2025 n. 3</w:t>
      </w:r>
      <w:r>
        <w:rPr>
          <w:rFonts w:ascii="Garamond" w:hAnsi="Garamond"/>
          <w:sz w:val="22"/>
          <w:szCs w:val="22"/>
        </w:rPr>
        <w:t>496 e 3497</w:t>
      </w:r>
      <w:r w:rsidR="0030748B">
        <w:rPr>
          <w:rFonts w:ascii="Garamond" w:hAnsi="Garamond"/>
          <w:sz w:val="22"/>
          <w:szCs w:val="22"/>
        </w:rPr>
        <w:t>.</w:t>
      </w:r>
      <w:r>
        <w:rPr>
          <w:rFonts w:ascii="Garamond" w:hAnsi="Garamond"/>
          <w:sz w:val="22"/>
          <w:szCs w:val="22"/>
        </w:rPr>
        <w:t xml:space="preserve"> </w:t>
      </w:r>
    </w:p>
  </w:footnote>
  <w:footnote w:id="42">
    <w:p w14:paraId="719C7F54" w14:textId="4B58454F" w:rsidR="003017B6" w:rsidRDefault="003017B6">
      <w:pPr>
        <w:pStyle w:val="Testonotaapidipagina"/>
      </w:pPr>
      <w:r>
        <w:rPr>
          <w:rStyle w:val="Rimandonotaapidipagina"/>
        </w:rPr>
        <w:footnoteRef/>
      </w:r>
      <w:r>
        <w:t xml:space="preserve"> Così </w:t>
      </w:r>
      <w:r w:rsidRPr="003017B6">
        <w:rPr>
          <w:rFonts w:ascii="Garamond" w:hAnsi="Garamond"/>
          <w:sz w:val="22"/>
          <w:szCs w:val="22"/>
        </w:rPr>
        <w:t>C. Stato, sez. IV, 09.12.2025, n. 9676.</w:t>
      </w:r>
    </w:p>
  </w:footnote>
  <w:footnote w:id="43">
    <w:p w14:paraId="77478732" w14:textId="77777777" w:rsidR="000018A7" w:rsidRPr="00FC7331" w:rsidRDefault="000018A7" w:rsidP="000018A7">
      <w:pPr>
        <w:pStyle w:val="Testonotaapidipagina"/>
        <w:jc w:val="both"/>
        <w:rPr>
          <w:rFonts w:ascii="Garamond" w:hAnsi="Garamond"/>
          <w:sz w:val="22"/>
          <w:szCs w:val="22"/>
        </w:rPr>
      </w:pPr>
      <w:r w:rsidRPr="0091220E">
        <w:rPr>
          <w:rStyle w:val="Rimandonotaapidipagina"/>
          <w:rFonts w:ascii="Garamond" w:hAnsi="Garamond"/>
          <w:sz w:val="22"/>
          <w:szCs w:val="22"/>
        </w:rPr>
        <w:footnoteRef/>
      </w:r>
      <w:r w:rsidRPr="0091220E">
        <w:rPr>
          <w:rFonts w:ascii="Garamond" w:hAnsi="Garamond"/>
          <w:sz w:val="22"/>
          <w:szCs w:val="22"/>
        </w:rPr>
        <w:t xml:space="preserve"> </w:t>
      </w:r>
      <w:r w:rsidRPr="0091220E">
        <w:rPr>
          <w:rFonts w:ascii="Garamond" w:hAnsi="Garamond"/>
          <w:smallCaps/>
          <w:sz w:val="22"/>
          <w:szCs w:val="22"/>
        </w:rPr>
        <w:t>L. Iera</w:t>
      </w:r>
      <w:r w:rsidRPr="0091220E">
        <w:rPr>
          <w:rFonts w:ascii="Garamond" w:hAnsi="Garamond"/>
          <w:sz w:val="22"/>
          <w:szCs w:val="22"/>
        </w:rPr>
        <w:t xml:space="preserve">, </w:t>
      </w:r>
      <w:r w:rsidRPr="0091220E">
        <w:rPr>
          <w:rFonts w:ascii="Garamond" w:hAnsi="Garamond"/>
          <w:i/>
          <w:iCs/>
          <w:sz w:val="22"/>
          <w:szCs w:val="22"/>
        </w:rPr>
        <w:t>Regolamentazione del servizio integrato e regolazione</w:t>
      </w:r>
      <w:r w:rsidRPr="00FC7331">
        <w:rPr>
          <w:rFonts w:ascii="Garamond" w:hAnsi="Garamond"/>
          <w:i/>
          <w:iCs/>
          <w:sz w:val="22"/>
          <w:szCs w:val="22"/>
        </w:rPr>
        <w:t xml:space="preserve"> tariffaria nel ciclo dei rifiuti</w:t>
      </w:r>
      <w:r w:rsidRPr="00FC7331">
        <w:rPr>
          <w:rFonts w:ascii="Garamond" w:hAnsi="Garamond"/>
          <w:sz w:val="22"/>
          <w:szCs w:val="22"/>
        </w:rPr>
        <w:t>, op. cit., pag. 11.</w:t>
      </w:r>
    </w:p>
  </w:footnote>
  <w:footnote w:id="44">
    <w:p w14:paraId="1D4D6D57" w14:textId="77777777" w:rsidR="00EE0AEB" w:rsidRPr="00FC7331" w:rsidRDefault="00EE0AEB" w:rsidP="00EE0AEB">
      <w:pPr>
        <w:pStyle w:val="Testonotaapidipagina"/>
        <w:jc w:val="both"/>
        <w:rPr>
          <w:rFonts w:ascii="Garamond" w:hAnsi="Garamond"/>
          <w:sz w:val="22"/>
          <w:szCs w:val="22"/>
        </w:rPr>
      </w:pPr>
      <w:r w:rsidRPr="00FC7331">
        <w:rPr>
          <w:rStyle w:val="Rimandonotaapidipagina"/>
          <w:rFonts w:ascii="Garamond" w:hAnsi="Garamond"/>
          <w:sz w:val="22"/>
          <w:szCs w:val="22"/>
        </w:rPr>
        <w:footnoteRef/>
      </w:r>
      <w:r w:rsidRPr="00FC7331">
        <w:rPr>
          <w:rFonts w:ascii="Garamond" w:hAnsi="Garamond"/>
          <w:sz w:val="22"/>
          <w:szCs w:val="22"/>
        </w:rPr>
        <w:t xml:space="preserve"> C. Stato, sez. IV, 25.11.2025, n. 9257.</w:t>
      </w:r>
    </w:p>
  </w:footnote>
  <w:footnote w:id="45">
    <w:p w14:paraId="3E686E22" w14:textId="77777777" w:rsidR="00EE0AEB" w:rsidRPr="00FC7331" w:rsidRDefault="00EE0AEB" w:rsidP="00EE0AEB">
      <w:pPr>
        <w:pStyle w:val="Testonotaapidipagina"/>
        <w:jc w:val="both"/>
        <w:rPr>
          <w:rFonts w:ascii="Garamond" w:hAnsi="Garamond"/>
          <w:sz w:val="22"/>
          <w:szCs w:val="22"/>
        </w:rPr>
      </w:pPr>
      <w:r w:rsidRPr="00FC7331">
        <w:rPr>
          <w:rStyle w:val="Rimandonotaapidipagina"/>
          <w:rFonts w:ascii="Garamond" w:hAnsi="Garamond"/>
          <w:sz w:val="22"/>
          <w:szCs w:val="22"/>
        </w:rPr>
        <w:footnoteRef/>
      </w:r>
      <w:r w:rsidRPr="00FC7331">
        <w:rPr>
          <w:rFonts w:ascii="Garamond" w:hAnsi="Garamond"/>
          <w:sz w:val="22"/>
          <w:szCs w:val="22"/>
        </w:rPr>
        <w:t xml:space="preserve"> </w:t>
      </w:r>
      <w:r w:rsidRPr="00FC7331">
        <w:rPr>
          <w:rFonts w:ascii="Garamond" w:hAnsi="Garamond"/>
          <w:smallCaps/>
          <w:sz w:val="22"/>
          <w:szCs w:val="22"/>
        </w:rPr>
        <w:t>E. Quadri</w:t>
      </w:r>
      <w:r w:rsidRPr="00FC7331">
        <w:rPr>
          <w:rFonts w:ascii="Garamond" w:hAnsi="Garamond"/>
          <w:sz w:val="22"/>
          <w:szCs w:val="22"/>
        </w:rPr>
        <w:t xml:space="preserve">, </w:t>
      </w:r>
      <w:r w:rsidRPr="00FC7331">
        <w:rPr>
          <w:rFonts w:ascii="Garamond" w:hAnsi="Garamond"/>
          <w:i/>
          <w:iCs/>
          <w:sz w:val="22"/>
          <w:szCs w:val="22"/>
        </w:rPr>
        <w:t>I provvedimenti tipici dell’ARERA; la loro classificazione e i riflessi sull’ambito del sindacato giurisdizionale</w:t>
      </w:r>
      <w:r w:rsidRPr="00FC7331">
        <w:rPr>
          <w:rFonts w:ascii="Garamond" w:hAnsi="Garamond"/>
          <w:sz w:val="22"/>
          <w:szCs w:val="22"/>
        </w:rPr>
        <w:t>, 11 marzo 2019, in www.giustizia-amministrativa.it</w:t>
      </w:r>
    </w:p>
  </w:footnote>
  <w:footnote w:id="46">
    <w:p w14:paraId="4755EBC9" w14:textId="77777777" w:rsidR="00EE0AEB" w:rsidRPr="00FC7331" w:rsidRDefault="00EE0AEB" w:rsidP="00EE0AEB">
      <w:pPr>
        <w:pStyle w:val="Testonotaapidipagina"/>
        <w:jc w:val="both"/>
        <w:rPr>
          <w:rFonts w:ascii="Garamond" w:hAnsi="Garamond"/>
          <w:sz w:val="22"/>
          <w:szCs w:val="22"/>
        </w:rPr>
      </w:pPr>
      <w:r w:rsidRPr="00FC7331">
        <w:rPr>
          <w:rStyle w:val="Rimandonotaapidipagina"/>
          <w:rFonts w:ascii="Garamond" w:hAnsi="Garamond"/>
          <w:sz w:val="22"/>
          <w:szCs w:val="22"/>
        </w:rPr>
        <w:footnoteRef/>
      </w:r>
      <w:r w:rsidRPr="00FC7331">
        <w:rPr>
          <w:rFonts w:ascii="Garamond" w:hAnsi="Garamond"/>
          <w:sz w:val="22"/>
          <w:szCs w:val="22"/>
        </w:rPr>
        <w:t xml:space="preserve"> </w:t>
      </w:r>
      <w:r w:rsidRPr="00FC7331">
        <w:rPr>
          <w:rFonts w:ascii="Garamond" w:hAnsi="Garamond"/>
          <w:smallCaps/>
          <w:sz w:val="22"/>
          <w:szCs w:val="22"/>
        </w:rPr>
        <w:t>L. Iera</w:t>
      </w:r>
      <w:r w:rsidRPr="00FC7331">
        <w:rPr>
          <w:rFonts w:ascii="Garamond" w:hAnsi="Garamond"/>
          <w:sz w:val="22"/>
          <w:szCs w:val="22"/>
        </w:rPr>
        <w:t xml:space="preserve">, </w:t>
      </w:r>
      <w:r w:rsidRPr="00FC7331">
        <w:rPr>
          <w:rFonts w:ascii="Garamond" w:hAnsi="Garamond"/>
          <w:i/>
          <w:iCs/>
          <w:sz w:val="22"/>
          <w:szCs w:val="22"/>
        </w:rPr>
        <w:t>Regolamentazione del servizio integrato e regolazione tariffaria nel ciclo dei rifiuti</w:t>
      </w:r>
      <w:r w:rsidRPr="00FC7331">
        <w:rPr>
          <w:rFonts w:ascii="Garamond" w:hAnsi="Garamond"/>
          <w:sz w:val="22"/>
          <w:szCs w:val="22"/>
        </w:rPr>
        <w:t>, op. cit., pag.</w:t>
      </w:r>
      <w:r>
        <w:rPr>
          <w:rFonts w:ascii="Garamond" w:hAnsi="Garamond"/>
          <w:sz w:val="22"/>
          <w:szCs w:val="22"/>
        </w:rPr>
        <w:t xml:space="preserve"> </w:t>
      </w:r>
      <w:r w:rsidRPr="00FC7331">
        <w:rPr>
          <w:rFonts w:ascii="Garamond" w:hAnsi="Garamond"/>
          <w:sz w:val="22"/>
          <w:szCs w:val="22"/>
        </w:rPr>
        <w:t>19.</w:t>
      </w:r>
    </w:p>
  </w:footnote>
  <w:footnote w:id="47">
    <w:p w14:paraId="5A88B63E" w14:textId="52334091" w:rsidR="00CD0BFE" w:rsidRDefault="00CD0BFE" w:rsidP="00CD0BFE">
      <w:pPr>
        <w:pStyle w:val="Testonotaapidipagina"/>
        <w:jc w:val="both"/>
      </w:pPr>
      <w:r w:rsidRPr="00CD0BFE">
        <w:rPr>
          <w:rStyle w:val="Rimandonotaapidipagina"/>
          <w:rFonts w:ascii="Garamond" w:hAnsi="Garamond"/>
          <w:sz w:val="22"/>
          <w:szCs w:val="22"/>
        </w:rPr>
        <w:footnoteRef/>
      </w:r>
      <w:r w:rsidRPr="00CD0BFE">
        <w:rPr>
          <w:rFonts w:ascii="Garamond" w:hAnsi="Garamond"/>
          <w:sz w:val="22"/>
          <w:szCs w:val="22"/>
        </w:rPr>
        <w:t xml:space="preserve"> TAR Lombardia, Milano, sez. I. 31.10.2025 n. 3508; TAR Lombardia, Brescia, Sez. I, 09.09</w:t>
      </w:r>
      <w:r w:rsidR="006319A5">
        <w:rPr>
          <w:rFonts w:ascii="Garamond" w:hAnsi="Garamond"/>
          <w:sz w:val="22"/>
          <w:szCs w:val="22"/>
        </w:rPr>
        <w:t>.</w:t>
      </w:r>
      <w:r w:rsidRPr="00CD0BFE">
        <w:rPr>
          <w:rFonts w:ascii="Garamond" w:hAnsi="Garamond"/>
          <w:sz w:val="22"/>
          <w:szCs w:val="22"/>
        </w:rPr>
        <w:t>2024 n. 747.</w:t>
      </w:r>
    </w:p>
  </w:footnote>
  <w:footnote w:id="48">
    <w:p w14:paraId="05A83B8F" w14:textId="49881A87" w:rsidR="007614FF" w:rsidRDefault="007614FF" w:rsidP="006319A5">
      <w:pPr>
        <w:pStyle w:val="Testonotaapidipagina"/>
        <w:jc w:val="both"/>
      </w:pPr>
      <w:r>
        <w:rPr>
          <w:rStyle w:val="Rimandonotaapidipagina"/>
        </w:rPr>
        <w:footnoteRef/>
      </w:r>
      <w:r>
        <w:t xml:space="preserve"> </w:t>
      </w:r>
      <w:r w:rsidRPr="00290E69">
        <w:rPr>
          <w:rFonts w:ascii="Garamond" w:hAnsi="Garamond"/>
          <w:sz w:val="22"/>
          <w:szCs w:val="22"/>
        </w:rPr>
        <w:t xml:space="preserve">TAR Lombardia, </w:t>
      </w:r>
      <w:r>
        <w:rPr>
          <w:rFonts w:ascii="Garamond" w:hAnsi="Garamond"/>
          <w:sz w:val="22"/>
          <w:szCs w:val="22"/>
        </w:rPr>
        <w:t>Brescia</w:t>
      </w:r>
      <w:r w:rsidRPr="00290E69">
        <w:rPr>
          <w:rFonts w:ascii="Garamond" w:hAnsi="Garamond"/>
          <w:sz w:val="22"/>
          <w:szCs w:val="22"/>
        </w:rPr>
        <w:t>, sez. I, 28.06.2024 n. 580</w:t>
      </w:r>
      <w:r>
        <w:rPr>
          <w:rFonts w:ascii="Garamond" w:hAnsi="Garamond"/>
          <w:sz w:val="22"/>
          <w:szCs w:val="22"/>
        </w:rPr>
        <w:t>.</w:t>
      </w:r>
      <w:r w:rsidR="006319A5">
        <w:rPr>
          <w:rFonts w:ascii="Garamond" w:hAnsi="Garamond"/>
          <w:sz w:val="22"/>
          <w:szCs w:val="22"/>
        </w:rPr>
        <w:t xml:space="preserve"> </w:t>
      </w:r>
    </w:p>
  </w:footnote>
  <w:footnote w:id="49">
    <w:p w14:paraId="1DF36D96" w14:textId="1C216637" w:rsidR="00FB1D25" w:rsidRDefault="00FB1D25" w:rsidP="00FB1D25">
      <w:pPr>
        <w:pStyle w:val="Testonotaapidipagina"/>
        <w:jc w:val="both"/>
      </w:pPr>
      <w:r>
        <w:rPr>
          <w:rStyle w:val="Rimandonotaapidipagina"/>
        </w:rPr>
        <w:footnoteRef/>
      </w:r>
      <w:r>
        <w:t xml:space="preserve"> </w:t>
      </w:r>
      <w:r w:rsidRPr="00E757B3">
        <w:rPr>
          <w:rFonts w:ascii="Garamond" w:hAnsi="Garamond"/>
          <w:sz w:val="22"/>
          <w:szCs w:val="22"/>
        </w:rPr>
        <w:t>Così C. Stato, sez. IV, ord. 14.04.2026, n. 1297. Nell’occasione, la IV Sezione ha respinto l’istanza di sospensione proposta dal Comune appellante avverso la sentenza del TAR Puglia, Lecce, sez. II,</w:t>
      </w:r>
      <w:r w:rsidR="00176306">
        <w:rPr>
          <w:rFonts w:ascii="Garamond" w:hAnsi="Garamond"/>
          <w:sz w:val="22"/>
          <w:szCs w:val="22"/>
        </w:rPr>
        <w:t xml:space="preserve"> </w:t>
      </w:r>
      <w:r w:rsidRPr="00E757B3">
        <w:rPr>
          <w:rFonts w:ascii="Garamond" w:hAnsi="Garamond"/>
          <w:sz w:val="22"/>
          <w:szCs w:val="22"/>
        </w:rPr>
        <w:t>16.09.2025, n. 1303, che aveva affermato che “</w:t>
      </w:r>
      <w:r w:rsidRPr="00E757B3">
        <w:rPr>
          <w:rFonts w:ascii="Garamond" w:hAnsi="Garamond"/>
          <w:i/>
          <w:iCs/>
          <w:sz w:val="22"/>
          <w:szCs w:val="22"/>
        </w:rPr>
        <w:t>Dalla disciplina normativa appena evocata non si ricava, dunque, alcun potere per l’Amministrazione comunale di vagliare e modificare il piano economico del gestore, incidendo conseguentemente in peius sul canone a questi dovuto per l’espletamento del servizio</w:t>
      </w:r>
      <w:r>
        <w:rPr>
          <w:rFonts w:ascii="Garamond" w:hAnsi="Garamond"/>
          <w:sz w:val="22"/>
          <w:szCs w:val="22"/>
        </w:rPr>
        <w:t>” e che le delibere del MTR non prevedono “</w:t>
      </w:r>
      <w:r w:rsidRPr="00E757B3">
        <w:rPr>
          <w:rFonts w:ascii="Garamond" w:hAnsi="Garamond"/>
          <w:i/>
          <w:iCs/>
          <w:sz w:val="22"/>
          <w:szCs w:val="22"/>
        </w:rPr>
        <w:t>la sussistenza di potere, in capo al Comune fruitore del servizio, di sottoporre a correttivo una validazione già effettuata dall’ente territorialmente competente ovvero di ridurre il canone dovuto al soggetto gestore</w:t>
      </w:r>
      <w:r>
        <w:rPr>
          <w:rFonts w:ascii="Garamond" w:hAnsi="Garamond"/>
          <w:sz w:val="22"/>
          <w:szCs w:val="22"/>
        </w:rPr>
        <w:t>”</w:t>
      </w:r>
      <w:r w:rsidRPr="00E757B3">
        <w:rPr>
          <w:rFonts w:ascii="Garamond" w:hAnsi="Garamond"/>
          <w:sz w:val="22"/>
          <w:szCs w:val="22"/>
        </w:rPr>
        <w:t>.</w:t>
      </w:r>
    </w:p>
  </w:footnote>
  <w:footnote w:id="50">
    <w:p w14:paraId="52BCE365" w14:textId="7C1FC8AB" w:rsidR="00F16853" w:rsidRDefault="00F16853" w:rsidP="00F16853">
      <w:pPr>
        <w:pStyle w:val="Testonotaapidipagina"/>
        <w:jc w:val="both"/>
      </w:pPr>
      <w:r>
        <w:rPr>
          <w:rStyle w:val="Rimandonotaapidipagina"/>
        </w:rPr>
        <w:footnoteRef/>
      </w:r>
      <w:r>
        <w:t xml:space="preserve"> </w:t>
      </w:r>
      <w:r w:rsidRPr="00F16853">
        <w:rPr>
          <w:rFonts w:ascii="Garamond" w:hAnsi="Garamond"/>
          <w:sz w:val="22"/>
          <w:szCs w:val="22"/>
        </w:rPr>
        <w:t>Delibera n. 89 del 04.03.2026.</w:t>
      </w:r>
    </w:p>
  </w:footnote>
  <w:footnote w:id="51">
    <w:p w14:paraId="4A0868D3" w14:textId="1232ED1D" w:rsidR="00EF5742" w:rsidRPr="00886272" w:rsidRDefault="00EF5742" w:rsidP="00FA4639">
      <w:pPr>
        <w:pStyle w:val="Testonotaapidipagina"/>
        <w:jc w:val="both"/>
        <w:rPr>
          <w:rFonts w:ascii="Garamond" w:hAnsi="Garamond"/>
          <w:sz w:val="22"/>
          <w:szCs w:val="22"/>
        </w:rPr>
      </w:pPr>
      <w:r w:rsidRPr="00886272">
        <w:rPr>
          <w:rStyle w:val="Rimandonotaapidipagina"/>
          <w:rFonts w:ascii="Garamond" w:hAnsi="Garamond"/>
          <w:sz w:val="22"/>
          <w:szCs w:val="22"/>
        </w:rPr>
        <w:footnoteRef/>
      </w:r>
      <w:r w:rsidRPr="00886272">
        <w:rPr>
          <w:rFonts w:ascii="Garamond" w:hAnsi="Garamond"/>
          <w:sz w:val="22"/>
          <w:szCs w:val="22"/>
        </w:rPr>
        <w:t xml:space="preserve"> C. Stato, sez. IV, 22.07.2025, n. 6466</w:t>
      </w:r>
      <w:r w:rsidR="00FA4639" w:rsidRPr="00886272">
        <w:rPr>
          <w:rFonts w:ascii="Garamond" w:hAnsi="Garamond"/>
          <w:sz w:val="22"/>
          <w:szCs w:val="22"/>
        </w:rPr>
        <w:t>; l</w:t>
      </w:r>
      <w:r w:rsidRPr="00886272">
        <w:rPr>
          <w:rFonts w:ascii="Garamond" w:hAnsi="Garamond"/>
          <w:sz w:val="22"/>
          <w:szCs w:val="22"/>
        </w:rPr>
        <w:t xml:space="preserve">e considerazioni contenute </w:t>
      </w:r>
      <w:r w:rsidR="00154AEB" w:rsidRPr="00886272">
        <w:rPr>
          <w:rFonts w:ascii="Garamond" w:hAnsi="Garamond"/>
          <w:sz w:val="22"/>
          <w:szCs w:val="22"/>
        </w:rPr>
        <w:t xml:space="preserve">per la prima volta </w:t>
      </w:r>
      <w:r w:rsidRPr="00886272">
        <w:rPr>
          <w:rFonts w:ascii="Garamond" w:hAnsi="Garamond"/>
          <w:sz w:val="22"/>
          <w:szCs w:val="22"/>
        </w:rPr>
        <w:t>nella pronuncia in questione sono state successivamente ripro</w:t>
      </w:r>
      <w:r w:rsidR="00154AEB" w:rsidRPr="00886272">
        <w:rPr>
          <w:rFonts w:ascii="Garamond" w:hAnsi="Garamond"/>
          <w:sz w:val="22"/>
          <w:szCs w:val="22"/>
        </w:rPr>
        <w:t>pos</w:t>
      </w:r>
      <w:r w:rsidRPr="00886272">
        <w:rPr>
          <w:rFonts w:ascii="Garamond" w:hAnsi="Garamond"/>
          <w:sz w:val="22"/>
          <w:szCs w:val="22"/>
        </w:rPr>
        <w:t xml:space="preserve">te anche in altre pronunce, ossia TAR Lombardia, Milano, sez. I, </w:t>
      </w:r>
      <w:r w:rsidR="00FA4639" w:rsidRPr="00886272">
        <w:rPr>
          <w:rFonts w:ascii="Garamond" w:hAnsi="Garamond"/>
          <w:sz w:val="22"/>
          <w:szCs w:val="22"/>
        </w:rPr>
        <w:t xml:space="preserve">30.10.2025, n. 3496 e 3497, nonché </w:t>
      </w:r>
      <w:r w:rsidRPr="00886272">
        <w:rPr>
          <w:rFonts w:ascii="Garamond" w:hAnsi="Garamond"/>
          <w:sz w:val="22"/>
          <w:szCs w:val="22"/>
        </w:rPr>
        <w:t>C. Stato, sez. IV, 25.11.2025, n. 9257.</w:t>
      </w:r>
      <w:r w:rsidR="00886272" w:rsidRPr="00886272">
        <w:rPr>
          <w:rFonts w:ascii="Garamond" w:hAnsi="Garamond"/>
          <w:sz w:val="22"/>
          <w:szCs w:val="22"/>
        </w:rPr>
        <w:t xml:space="preserve"> Una pronuncia ancora più recente ha fatto applicazione dei principi espressi da C. Stato n. 6466/2025</w:t>
      </w:r>
      <w:r w:rsidR="0062698B">
        <w:rPr>
          <w:rFonts w:ascii="Garamond" w:hAnsi="Garamond"/>
          <w:sz w:val="22"/>
          <w:szCs w:val="22"/>
        </w:rPr>
        <w:t xml:space="preserve"> in un caso peculiare, </w:t>
      </w:r>
      <w:r w:rsidR="00886272">
        <w:rPr>
          <w:rFonts w:ascii="Garamond" w:hAnsi="Garamond"/>
          <w:sz w:val="22"/>
          <w:szCs w:val="22"/>
        </w:rPr>
        <w:t>afferma</w:t>
      </w:r>
      <w:r w:rsidR="0062698B">
        <w:rPr>
          <w:rFonts w:ascii="Garamond" w:hAnsi="Garamond"/>
          <w:sz w:val="22"/>
          <w:szCs w:val="22"/>
        </w:rPr>
        <w:t>ndo</w:t>
      </w:r>
      <w:r w:rsidR="00886272">
        <w:rPr>
          <w:rFonts w:ascii="Garamond" w:hAnsi="Garamond"/>
          <w:sz w:val="22"/>
          <w:szCs w:val="22"/>
        </w:rPr>
        <w:t xml:space="preserve"> che “</w:t>
      </w:r>
      <w:r w:rsidR="00886272" w:rsidRPr="00F1300B">
        <w:rPr>
          <w:rFonts w:ascii="Garamond" w:hAnsi="Garamond"/>
          <w:i/>
          <w:iCs/>
          <w:sz w:val="22"/>
          <w:szCs w:val="22"/>
        </w:rPr>
        <w:t xml:space="preserve">lo scopo dei criteri contenuti nelle delibere ARERA (…) non può essere individuato nella finalità di disciplinare la verifica dell’anomalia delle offerte (…) bensì </w:t>
      </w:r>
      <w:r w:rsidR="00F1300B" w:rsidRPr="00F1300B">
        <w:rPr>
          <w:rFonts w:ascii="Garamond" w:hAnsi="Garamond"/>
          <w:i/>
          <w:iCs/>
          <w:sz w:val="22"/>
          <w:szCs w:val="22"/>
        </w:rPr>
        <w:t>nell’obiettivo, del tutto differente, di fornire all’Amministrazione stessa una indicazione sulle tariffe da applicare in relazione alla TARI e dunque al corrispettivo che cittadini e imprese saranno tenute a pagare per il servizio rifiuti</w:t>
      </w:r>
      <w:r w:rsidR="00886272">
        <w:rPr>
          <w:rFonts w:ascii="Garamond" w:hAnsi="Garamond"/>
          <w:sz w:val="22"/>
          <w:szCs w:val="22"/>
        </w:rPr>
        <w:t>”</w:t>
      </w:r>
      <w:r w:rsidR="00F1300B">
        <w:rPr>
          <w:rFonts w:ascii="Garamond" w:hAnsi="Garamond"/>
          <w:sz w:val="22"/>
          <w:szCs w:val="22"/>
        </w:rPr>
        <w:t xml:space="preserve"> (C. Stato, sez. IV, 24.02.2026 n. 1480).</w:t>
      </w:r>
      <w:r w:rsidR="00886272">
        <w:rPr>
          <w:rFonts w:ascii="Garamond" w:hAnsi="Garamond"/>
          <w:sz w:val="22"/>
          <w:szCs w:val="22"/>
        </w:rPr>
        <w:t xml:space="preserve"> </w:t>
      </w:r>
    </w:p>
  </w:footnote>
  <w:footnote w:id="52">
    <w:p w14:paraId="14BEF47E" w14:textId="25F3946C" w:rsidR="00942824" w:rsidRPr="00886272" w:rsidRDefault="00942824">
      <w:pPr>
        <w:pStyle w:val="Testonotaapidipagina"/>
        <w:rPr>
          <w:rFonts w:ascii="Garamond" w:hAnsi="Garamond"/>
          <w:sz w:val="22"/>
          <w:szCs w:val="22"/>
        </w:rPr>
      </w:pPr>
      <w:r w:rsidRPr="00886272">
        <w:rPr>
          <w:rStyle w:val="Rimandonotaapidipagina"/>
          <w:rFonts w:ascii="Garamond" w:hAnsi="Garamond"/>
          <w:sz w:val="22"/>
          <w:szCs w:val="22"/>
        </w:rPr>
        <w:footnoteRef/>
      </w:r>
      <w:r w:rsidRPr="00886272">
        <w:rPr>
          <w:rFonts w:ascii="Garamond" w:hAnsi="Garamond"/>
          <w:sz w:val="22"/>
          <w:szCs w:val="22"/>
        </w:rPr>
        <w:t xml:space="preserve"> Sent. n. 16 del 07.11.2025</w:t>
      </w:r>
      <w:r w:rsidR="00BC0DE8" w:rsidRPr="00886272">
        <w:rPr>
          <w:rFonts w:ascii="Garamond" w:hAnsi="Garamond"/>
          <w:sz w:val="22"/>
          <w:szCs w:val="22"/>
        </w:rPr>
        <w:t>.</w:t>
      </w:r>
    </w:p>
  </w:footnote>
  <w:footnote w:id="53">
    <w:p w14:paraId="6B77E91D" w14:textId="31AFBC43" w:rsidR="002B6D42" w:rsidRPr="00B8668B" w:rsidRDefault="002B6D42" w:rsidP="00B8668B">
      <w:pPr>
        <w:pStyle w:val="Testonotaapidipagina"/>
        <w:jc w:val="both"/>
        <w:rPr>
          <w:rFonts w:ascii="Garamond" w:hAnsi="Garamond"/>
          <w:sz w:val="22"/>
          <w:szCs w:val="22"/>
        </w:rPr>
      </w:pPr>
      <w:r>
        <w:rPr>
          <w:rStyle w:val="Rimandonotaapidipagina"/>
        </w:rPr>
        <w:footnoteRef/>
      </w:r>
      <w:r>
        <w:t xml:space="preserve"> </w:t>
      </w:r>
      <w:r w:rsidRPr="00B8668B">
        <w:rPr>
          <w:rFonts w:ascii="Garamond" w:hAnsi="Garamond"/>
          <w:sz w:val="22"/>
          <w:szCs w:val="22"/>
        </w:rPr>
        <w:t>C. Stato, sez. II, 24.07.2023 n. 7196</w:t>
      </w:r>
      <w:r w:rsidR="00A55018" w:rsidRPr="00B8668B">
        <w:rPr>
          <w:rFonts w:ascii="Garamond" w:hAnsi="Garamond"/>
          <w:sz w:val="22"/>
          <w:szCs w:val="22"/>
        </w:rPr>
        <w:t xml:space="preserve"> e più di recente, TAR Lombardia, Milano, Sez. I, ord. 04.06.2025, n. 1939.</w:t>
      </w:r>
      <w:r w:rsidR="00C72867" w:rsidRPr="00B8668B">
        <w:rPr>
          <w:rFonts w:ascii="Garamond" w:hAnsi="Garamond"/>
          <w:sz w:val="22"/>
          <w:szCs w:val="22"/>
        </w:rPr>
        <w:t xml:space="preserve"> </w:t>
      </w:r>
    </w:p>
  </w:footnote>
  <w:footnote w:id="54">
    <w:p w14:paraId="0012F7F1" w14:textId="5887ECEB" w:rsidR="00B8668B" w:rsidRDefault="00B8668B" w:rsidP="00B8668B">
      <w:pPr>
        <w:pStyle w:val="Testonotaapidipagina"/>
        <w:jc w:val="both"/>
      </w:pPr>
      <w:r w:rsidRPr="00B8668B">
        <w:rPr>
          <w:rStyle w:val="Rimandonotaapidipagina"/>
          <w:rFonts w:ascii="Garamond" w:hAnsi="Garamond"/>
          <w:sz w:val="22"/>
          <w:szCs w:val="22"/>
        </w:rPr>
        <w:footnoteRef/>
      </w:r>
      <w:r w:rsidRPr="00B8668B">
        <w:rPr>
          <w:rFonts w:ascii="Garamond" w:hAnsi="Garamond"/>
          <w:sz w:val="22"/>
          <w:szCs w:val="22"/>
        </w:rPr>
        <w:t xml:space="preserve"> Delibera n. 417 del 22.10.2025</w:t>
      </w:r>
      <w:r>
        <w:rPr>
          <w:rFonts w:ascii="Garamond" w:hAnsi="Garamond"/>
          <w:sz w:val="22"/>
          <w:szCs w:val="22"/>
        </w:rPr>
        <w:t>.</w:t>
      </w:r>
    </w:p>
  </w:footnote>
  <w:footnote w:id="55">
    <w:p w14:paraId="14C5B877" w14:textId="19F9A956" w:rsidR="004C027B" w:rsidRDefault="004C027B">
      <w:pPr>
        <w:pStyle w:val="Testonotaapidipagina"/>
      </w:pPr>
      <w:r>
        <w:rPr>
          <w:rStyle w:val="Rimandonotaapidipagina"/>
        </w:rPr>
        <w:footnoteRef/>
      </w:r>
      <w:r>
        <w:t xml:space="preserve"> </w:t>
      </w:r>
      <w:r w:rsidRPr="004C027B">
        <w:rPr>
          <w:rFonts w:ascii="Garamond" w:hAnsi="Garamond"/>
          <w:sz w:val="22"/>
          <w:szCs w:val="22"/>
        </w:rPr>
        <w:t>In termini, la stessa Sez. IV del C. Stato si era già espressa con sent. 07.04.2025 n. 2946.</w:t>
      </w:r>
    </w:p>
  </w:footnote>
  <w:footnote w:id="56">
    <w:p w14:paraId="4CA8665B" w14:textId="34CA03D8" w:rsidR="001777F7" w:rsidRDefault="001777F7" w:rsidP="001777F7">
      <w:pPr>
        <w:pStyle w:val="Testonotaapidipagina"/>
        <w:jc w:val="both"/>
      </w:pPr>
      <w:r>
        <w:rPr>
          <w:rStyle w:val="Rimandonotaapidipagina"/>
        </w:rPr>
        <w:footnoteRef/>
      </w:r>
      <w:r>
        <w:t xml:space="preserve"> </w:t>
      </w:r>
      <w:r w:rsidRPr="001777F7">
        <w:rPr>
          <w:rFonts w:ascii="Garamond" w:hAnsi="Garamond"/>
          <w:sz w:val="22"/>
          <w:szCs w:val="22"/>
        </w:rPr>
        <w:t xml:space="preserve">TAR </w:t>
      </w:r>
      <w:r>
        <w:rPr>
          <w:rFonts w:ascii="Garamond" w:hAnsi="Garamond"/>
          <w:sz w:val="22"/>
          <w:szCs w:val="22"/>
        </w:rPr>
        <w:t xml:space="preserve">Puglia, </w:t>
      </w:r>
      <w:r w:rsidRPr="001777F7">
        <w:rPr>
          <w:rFonts w:ascii="Garamond" w:hAnsi="Garamond"/>
          <w:sz w:val="22"/>
          <w:szCs w:val="22"/>
        </w:rPr>
        <w:t>Lecce, se</w:t>
      </w:r>
      <w:r>
        <w:rPr>
          <w:rFonts w:ascii="Garamond" w:hAnsi="Garamond"/>
          <w:sz w:val="22"/>
          <w:szCs w:val="22"/>
        </w:rPr>
        <w:t xml:space="preserve">z. II, </w:t>
      </w:r>
      <w:r w:rsidRPr="001777F7">
        <w:rPr>
          <w:rFonts w:ascii="Garamond" w:hAnsi="Garamond"/>
          <w:sz w:val="22"/>
          <w:szCs w:val="22"/>
        </w:rPr>
        <w:t>nn. 484-485/2024</w:t>
      </w:r>
      <w:r>
        <w:rPr>
          <w:rFonts w:ascii="Garamond" w:hAnsi="Garamond"/>
          <w:sz w:val="22"/>
          <w:szCs w:val="22"/>
        </w:rPr>
        <w:t>, cit.</w:t>
      </w:r>
    </w:p>
  </w:footnote>
  <w:footnote w:id="57">
    <w:p w14:paraId="2E734386" w14:textId="7FFEE9C0" w:rsidR="001777F7" w:rsidRDefault="001777F7">
      <w:pPr>
        <w:pStyle w:val="Testonotaapidipagina"/>
      </w:pPr>
      <w:r>
        <w:rPr>
          <w:rStyle w:val="Rimandonotaapidipagina"/>
        </w:rPr>
        <w:footnoteRef/>
      </w:r>
      <w:r>
        <w:t xml:space="preserve"> </w:t>
      </w:r>
      <w:r w:rsidRPr="001777F7">
        <w:rPr>
          <w:rFonts w:ascii="Garamond" w:hAnsi="Garamond"/>
          <w:sz w:val="22"/>
          <w:szCs w:val="22"/>
        </w:rPr>
        <w:t xml:space="preserve">TAR Lombardia, sez. </w:t>
      </w:r>
      <w:r>
        <w:rPr>
          <w:rFonts w:ascii="Garamond" w:hAnsi="Garamond"/>
          <w:sz w:val="22"/>
          <w:szCs w:val="22"/>
        </w:rPr>
        <w:t xml:space="preserve">II, </w:t>
      </w:r>
      <w:r w:rsidRPr="001777F7">
        <w:rPr>
          <w:rFonts w:ascii="Garamond" w:hAnsi="Garamond"/>
          <w:sz w:val="22"/>
          <w:szCs w:val="22"/>
        </w:rPr>
        <w:t>n. 636/2024 cit.</w:t>
      </w:r>
    </w:p>
  </w:footnote>
  <w:footnote w:id="58">
    <w:p w14:paraId="53A1D2DA" w14:textId="0071B721" w:rsidR="00AD16A9" w:rsidRDefault="00AD16A9" w:rsidP="00AD16A9">
      <w:pPr>
        <w:pStyle w:val="Testonotaapidipagina"/>
        <w:jc w:val="both"/>
      </w:pPr>
      <w:r>
        <w:rPr>
          <w:rStyle w:val="Rimandonotaapidipagina"/>
        </w:rPr>
        <w:footnoteRef/>
      </w:r>
      <w:r>
        <w:t xml:space="preserve"> </w:t>
      </w:r>
      <w:r w:rsidRPr="00AD16A9">
        <w:rPr>
          <w:rFonts w:ascii="Garamond" w:hAnsi="Garamond"/>
          <w:sz w:val="22"/>
          <w:szCs w:val="22"/>
        </w:rPr>
        <w:t>Si veda, ad es</w:t>
      </w:r>
      <w:r>
        <w:rPr>
          <w:rFonts w:ascii="Garamond" w:hAnsi="Garamond"/>
          <w:sz w:val="22"/>
          <w:szCs w:val="22"/>
        </w:rPr>
        <w:t>., C. Stato, sez. IV, 10.10.2025, n. 7942, ove si afferma che «</w:t>
      </w:r>
      <w:r w:rsidRPr="00AD16A9">
        <w:rPr>
          <w:rFonts w:ascii="Garamond" w:hAnsi="Garamond"/>
          <w:i/>
          <w:iCs/>
          <w:sz w:val="22"/>
          <w:szCs w:val="22"/>
        </w:rPr>
        <w:t>tra tali circostanze eccezionali specifiche non rientra l’applicazione di un nuovo CCNL idonea determinare aumenti di costo dei dipendenti e degli oneri previdenziali, in quanto l’introduzione di un nuovo CCN</w:t>
      </w:r>
      <w:r>
        <w:rPr>
          <w:rFonts w:ascii="Garamond" w:hAnsi="Garamond"/>
          <w:i/>
          <w:iCs/>
          <w:sz w:val="22"/>
          <w:szCs w:val="22"/>
        </w:rPr>
        <w:t>L</w:t>
      </w:r>
      <w:r w:rsidRPr="00AD16A9">
        <w:rPr>
          <w:rFonts w:ascii="Garamond" w:hAnsi="Garamond"/>
          <w:i/>
          <w:iCs/>
          <w:sz w:val="22"/>
          <w:szCs w:val="22"/>
        </w:rPr>
        <w:t xml:space="preserve"> non costituisce una</w:t>
      </w:r>
      <w:r>
        <w:rPr>
          <w:rFonts w:ascii="Garamond" w:hAnsi="Garamond"/>
          <w:i/>
          <w:iCs/>
          <w:sz w:val="22"/>
          <w:szCs w:val="22"/>
        </w:rPr>
        <w:t xml:space="preserve"> </w:t>
      </w:r>
      <w:r w:rsidRPr="00AD16A9">
        <w:rPr>
          <w:rFonts w:ascii="Garamond" w:hAnsi="Garamond"/>
          <w:i/>
          <w:iCs/>
          <w:sz w:val="22"/>
          <w:szCs w:val="22"/>
        </w:rPr>
        <w:t>circostanza eccezionale (C. Stato, sez. III, 10 luglio 2024, n. 6140)</w:t>
      </w:r>
      <w:r>
        <w:rPr>
          <w:rFonts w:ascii="Garamond" w:hAnsi="Garamond"/>
          <w:sz w:val="22"/>
          <w:szCs w:val="22"/>
        </w:rPr>
        <w:t xml:space="preserve">». </w:t>
      </w:r>
    </w:p>
  </w:footnote>
  <w:footnote w:id="59">
    <w:p w14:paraId="555C4BB1" w14:textId="598FB5F3" w:rsidR="00F925AE" w:rsidRDefault="00F925AE">
      <w:pPr>
        <w:pStyle w:val="Testonotaapidipagina"/>
      </w:pPr>
      <w:r>
        <w:rPr>
          <w:rStyle w:val="Rimandonotaapidipagina"/>
        </w:rPr>
        <w:footnoteRef/>
      </w:r>
      <w:r>
        <w:t xml:space="preserve"> </w:t>
      </w:r>
      <w:r w:rsidRPr="0091220E">
        <w:rPr>
          <w:rFonts w:ascii="Garamond" w:hAnsi="Garamond"/>
          <w:smallCaps/>
          <w:sz w:val="22"/>
          <w:szCs w:val="22"/>
        </w:rPr>
        <w:t>L. Iera</w:t>
      </w:r>
      <w:r w:rsidRPr="0091220E">
        <w:rPr>
          <w:rFonts w:ascii="Garamond" w:hAnsi="Garamond"/>
          <w:sz w:val="22"/>
          <w:szCs w:val="22"/>
        </w:rPr>
        <w:t xml:space="preserve">, </w:t>
      </w:r>
      <w:r w:rsidRPr="0091220E">
        <w:rPr>
          <w:rFonts w:ascii="Garamond" w:hAnsi="Garamond"/>
          <w:i/>
          <w:iCs/>
          <w:sz w:val="22"/>
          <w:szCs w:val="22"/>
        </w:rPr>
        <w:t>Regolamentazione del servizio integrato e regolazione</w:t>
      </w:r>
      <w:r w:rsidRPr="00FC7331">
        <w:rPr>
          <w:rFonts w:ascii="Garamond" w:hAnsi="Garamond"/>
          <w:i/>
          <w:iCs/>
          <w:sz w:val="22"/>
          <w:szCs w:val="22"/>
        </w:rPr>
        <w:t xml:space="preserve"> tariffaria nel ciclo dei rifiuti</w:t>
      </w:r>
      <w:r w:rsidRPr="00FC7331">
        <w:rPr>
          <w:rFonts w:ascii="Garamond" w:hAnsi="Garamond"/>
          <w:sz w:val="22"/>
          <w:szCs w:val="22"/>
        </w:rPr>
        <w:t xml:space="preserve">, op. cit., </w:t>
      </w:r>
      <w:r w:rsidRPr="009A7E41">
        <w:rPr>
          <w:rFonts w:ascii="Garamond" w:hAnsi="Garamond"/>
          <w:sz w:val="22"/>
          <w:szCs w:val="22"/>
        </w:rPr>
        <w:t>pag</w:t>
      </w:r>
      <w:r w:rsidR="009A7E41">
        <w:rPr>
          <w:rFonts w:ascii="Garamond" w:hAnsi="Garamond"/>
          <w:sz w:val="22"/>
          <w:szCs w:val="22"/>
        </w:rPr>
        <w:t>. 36.</w:t>
      </w:r>
    </w:p>
  </w:footnote>
  <w:footnote w:id="60">
    <w:p w14:paraId="05D46CCE" w14:textId="3088DEBE" w:rsidR="001E5BFC" w:rsidRDefault="001E5BFC" w:rsidP="001E5BFC">
      <w:pPr>
        <w:pStyle w:val="Testonotaapidipagina"/>
        <w:jc w:val="both"/>
      </w:pPr>
      <w:r>
        <w:rPr>
          <w:rStyle w:val="Rimandonotaapidipagina"/>
        </w:rPr>
        <w:footnoteRef/>
      </w:r>
      <w:r>
        <w:t xml:space="preserve"> </w:t>
      </w:r>
      <w:r w:rsidRPr="001E5BFC">
        <w:rPr>
          <w:rFonts w:ascii="Garamond" w:hAnsi="Garamond"/>
          <w:sz w:val="22"/>
          <w:szCs w:val="22"/>
        </w:rPr>
        <w:t>Ci si</w:t>
      </w:r>
      <w:r>
        <w:rPr>
          <w:rFonts w:ascii="Garamond" w:hAnsi="Garamond"/>
          <w:sz w:val="22"/>
          <w:szCs w:val="22"/>
        </w:rPr>
        <w:t xml:space="preserve"> </w:t>
      </w:r>
      <w:r w:rsidRPr="001E5BFC">
        <w:rPr>
          <w:rFonts w:ascii="Garamond" w:hAnsi="Garamond"/>
          <w:sz w:val="22"/>
          <w:szCs w:val="22"/>
        </w:rPr>
        <w:t>riferisce alla sentenza del</w:t>
      </w:r>
      <w:r>
        <w:t xml:space="preserve"> </w:t>
      </w:r>
      <w:r w:rsidRPr="001E5BFC">
        <w:rPr>
          <w:rFonts w:ascii="Garamond" w:hAnsi="Garamond"/>
          <w:sz w:val="22"/>
          <w:szCs w:val="22"/>
        </w:rPr>
        <w:t xml:space="preserve">C. Stato, Sez. IV, </w:t>
      </w:r>
      <w:r>
        <w:rPr>
          <w:rFonts w:ascii="Garamond" w:hAnsi="Garamond"/>
          <w:sz w:val="22"/>
          <w:szCs w:val="22"/>
        </w:rPr>
        <w:t>06.12.</w:t>
      </w:r>
      <w:r w:rsidRPr="001E5BFC">
        <w:rPr>
          <w:rFonts w:ascii="Garamond" w:hAnsi="Garamond"/>
          <w:sz w:val="22"/>
          <w:szCs w:val="22"/>
        </w:rPr>
        <w:t>2024, n. 9788</w:t>
      </w:r>
      <w:r>
        <w:rPr>
          <w:rFonts w:ascii="Garamond" w:hAnsi="Garamond"/>
          <w:sz w:val="22"/>
          <w:szCs w:val="22"/>
        </w:rPr>
        <w:t>, che ha sancito il cambio di rotta a favore dell’indirizzo che ravvisa l’inammissibilità dell’impugnativa avverso le determine degli ETC di validazione dei Pef</w:t>
      </w:r>
      <w:r>
        <w:t xml:space="preserve">. </w:t>
      </w:r>
    </w:p>
  </w:footnote>
  <w:footnote w:id="61">
    <w:p w14:paraId="02BA6BA7" w14:textId="775B8DFB" w:rsidR="000B0B03" w:rsidRDefault="000B0B03">
      <w:pPr>
        <w:pStyle w:val="Testonotaapidipagina"/>
      </w:pPr>
      <w:r>
        <w:rPr>
          <w:rStyle w:val="Rimandonotaapidipagina"/>
        </w:rPr>
        <w:footnoteRef/>
      </w:r>
      <w:r>
        <w:t xml:space="preserve"> </w:t>
      </w:r>
      <w:r w:rsidR="00673B1B" w:rsidRPr="001E5BFC">
        <w:rPr>
          <w:rFonts w:ascii="Garamond" w:hAnsi="Garamond"/>
          <w:sz w:val="22"/>
          <w:szCs w:val="22"/>
        </w:rPr>
        <w:t xml:space="preserve">C. Stato, Sez. IV, </w:t>
      </w:r>
      <w:r w:rsidR="00673B1B">
        <w:rPr>
          <w:rFonts w:ascii="Garamond" w:hAnsi="Garamond"/>
          <w:sz w:val="22"/>
          <w:szCs w:val="22"/>
        </w:rPr>
        <w:t>06.12.</w:t>
      </w:r>
      <w:r w:rsidR="00673B1B" w:rsidRPr="001E5BFC">
        <w:rPr>
          <w:rFonts w:ascii="Garamond" w:hAnsi="Garamond"/>
          <w:sz w:val="22"/>
          <w:szCs w:val="22"/>
        </w:rPr>
        <w:t>2024, n. 9788</w:t>
      </w:r>
      <w:r>
        <w:rPr>
          <w:rFonts w:ascii="Garamond" w:hAnsi="Garamond"/>
          <w:sz w:val="22"/>
          <w:szCs w:val="22"/>
        </w:rPr>
        <w:t>.</w:t>
      </w:r>
    </w:p>
  </w:footnote>
  <w:footnote w:id="62">
    <w:p w14:paraId="215A29F3" w14:textId="57335A5D" w:rsidR="00623B16" w:rsidRPr="00623B16" w:rsidRDefault="00623B16" w:rsidP="00623B16">
      <w:pPr>
        <w:pStyle w:val="Testonotaapidipagina"/>
        <w:jc w:val="both"/>
        <w:rPr>
          <w:rFonts w:ascii="Garamond" w:hAnsi="Garamond"/>
          <w:sz w:val="22"/>
          <w:szCs w:val="22"/>
        </w:rPr>
      </w:pPr>
      <w:r>
        <w:rPr>
          <w:rStyle w:val="Rimandonotaapidipagina"/>
        </w:rPr>
        <w:footnoteRef/>
      </w:r>
      <w:r>
        <w:t xml:space="preserve"> </w:t>
      </w:r>
      <w:r w:rsidRPr="00623B16">
        <w:rPr>
          <w:rFonts w:ascii="Garamond" w:hAnsi="Garamond"/>
          <w:sz w:val="26"/>
          <w:szCs w:val="26"/>
        </w:rPr>
        <w:t xml:space="preserve"> </w:t>
      </w:r>
      <w:r w:rsidRPr="00623B16">
        <w:rPr>
          <w:rFonts w:ascii="Garamond" w:hAnsi="Garamond"/>
          <w:sz w:val="22"/>
          <w:szCs w:val="22"/>
        </w:rPr>
        <w:t xml:space="preserve">cfr. </w:t>
      </w:r>
      <w:r>
        <w:rPr>
          <w:rFonts w:ascii="Garamond" w:hAnsi="Garamond"/>
          <w:sz w:val="22"/>
          <w:szCs w:val="22"/>
        </w:rPr>
        <w:t xml:space="preserve">TAR Umbria, Sez. I, 07.01.2026, n. 6; </w:t>
      </w:r>
      <w:r w:rsidRPr="00623B16">
        <w:rPr>
          <w:rFonts w:ascii="Garamond" w:hAnsi="Garamond"/>
          <w:sz w:val="22"/>
          <w:szCs w:val="22"/>
        </w:rPr>
        <w:t>TAR Sicilia, Palermo, Sez. II, 28 luglio 2025, n. 1768; TAR Puglia, Lecce, Sez. II, 19 maggio 2025, nn. 910-927; Id., 13 maggio 2025, n. 827, nn. 829-841 e nn. 843-860; Id., 9 maggio 2025, nn. 810-821</w:t>
      </w:r>
      <w:r>
        <w:rPr>
          <w:rFonts w:ascii="Garamond" w:hAnsi="Garamond"/>
          <w:sz w:val="22"/>
          <w:szCs w:val="22"/>
        </w:rPr>
        <w:t>.</w:t>
      </w:r>
    </w:p>
  </w:footnote>
  <w:footnote w:id="63">
    <w:p w14:paraId="13422961" w14:textId="0DA1C137" w:rsidR="00673B1B" w:rsidRDefault="00673B1B" w:rsidP="00B34F1D">
      <w:pPr>
        <w:pStyle w:val="Testonotaapidipagina"/>
        <w:jc w:val="both"/>
      </w:pPr>
      <w:r>
        <w:rPr>
          <w:rStyle w:val="Rimandonotaapidipagina"/>
        </w:rPr>
        <w:footnoteRef/>
      </w:r>
      <w:r>
        <w:t xml:space="preserve"> </w:t>
      </w:r>
      <w:r w:rsidRPr="00673B1B">
        <w:rPr>
          <w:rFonts w:ascii="Garamond" w:hAnsi="Garamond"/>
          <w:sz w:val="22"/>
          <w:szCs w:val="22"/>
        </w:rPr>
        <w:t xml:space="preserve">Tra le pronunce </w:t>
      </w:r>
      <w:r>
        <w:rPr>
          <w:rFonts w:ascii="Garamond" w:hAnsi="Garamond"/>
          <w:sz w:val="22"/>
          <w:szCs w:val="22"/>
        </w:rPr>
        <w:t xml:space="preserve">in parola </w:t>
      </w:r>
      <w:r w:rsidRPr="00673B1B">
        <w:rPr>
          <w:rFonts w:ascii="Garamond" w:hAnsi="Garamond"/>
          <w:sz w:val="22"/>
          <w:szCs w:val="22"/>
        </w:rPr>
        <w:t>del TAR Milano, si segnala la più recente, Sez. I, 17.03.2026</w:t>
      </w:r>
      <w:r>
        <w:rPr>
          <w:rFonts w:ascii="Garamond" w:hAnsi="Garamond"/>
          <w:sz w:val="22"/>
          <w:szCs w:val="22"/>
        </w:rPr>
        <w:t>, n. 1284, nella qual</w:t>
      </w:r>
      <w:r w:rsidR="00B34F1D">
        <w:rPr>
          <w:rFonts w:ascii="Garamond" w:hAnsi="Garamond"/>
          <w:sz w:val="22"/>
          <w:szCs w:val="22"/>
        </w:rPr>
        <w:t xml:space="preserve">e, dopo aver ribadito che </w:t>
      </w:r>
      <w:r w:rsidR="00B34F1D" w:rsidRPr="00B34F1D">
        <w:rPr>
          <w:rFonts w:ascii="Garamond" w:hAnsi="Garamond"/>
          <w:sz w:val="22"/>
          <w:szCs w:val="22"/>
        </w:rPr>
        <w:t>«</w:t>
      </w:r>
      <w:r w:rsidR="00B34F1D" w:rsidRPr="00B34F1D">
        <w:rPr>
          <w:rFonts w:ascii="Garamond" w:hAnsi="Garamond"/>
          <w:i/>
          <w:iCs/>
          <w:sz w:val="22"/>
          <w:szCs w:val="22"/>
        </w:rPr>
        <w:t>il procedimento di approvazione del PEF, bench</w:t>
      </w:r>
      <w:r w:rsidR="00B34F1D">
        <w:rPr>
          <w:rFonts w:ascii="Garamond" w:hAnsi="Garamond"/>
          <w:i/>
          <w:iCs/>
          <w:sz w:val="22"/>
          <w:szCs w:val="22"/>
        </w:rPr>
        <w:t>è</w:t>
      </w:r>
      <w:r w:rsidR="00B34F1D" w:rsidRPr="00B34F1D">
        <w:rPr>
          <w:rFonts w:ascii="Garamond" w:hAnsi="Garamond"/>
          <w:i/>
          <w:iCs/>
          <w:sz w:val="22"/>
          <w:szCs w:val="22"/>
        </w:rPr>
        <w:t xml:space="preserve"> distinto in due subprocedimenti, ha natura unitaria e si conclude con l’approvazione di Arera (…). Il provvedimento di approvazione costituisce il provvedimento definitivo del procedimento</w:t>
      </w:r>
      <w:r w:rsidR="00B34F1D" w:rsidRPr="009A7E5D">
        <w:rPr>
          <w:rFonts w:ascii="Garamond" w:hAnsi="Garamond"/>
          <w:sz w:val="26"/>
          <w:szCs w:val="26"/>
        </w:rPr>
        <w:t>»</w:t>
      </w:r>
      <w:r w:rsidR="00B34F1D">
        <w:rPr>
          <w:rFonts w:ascii="Garamond" w:hAnsi="Garamond"/>
          <w:sz w:val="26"/>
          <w:szCs w:val="26"/>
        </w:rPr>
        <w:t xml:space="preserve">, </w:t>
      </w:r>
      <w:r w:rsidR="00941128" w:rsidRPr="00941128">
        <w:rPr>
          <w:rFonts w:ascii="Garamond" w:hAnsi="Garamond"/>
          <w:sz w:val="22"/>
          <w:szCs w:val="22"/>
        </w:rPr>
        <w:t xml:space="preserve">afferma </w:t>
      </w:r>
      <w:r w:rsidR="00941128">
        <w:rPr>
          <w:rFonts w:ascii="Garamond" w:hAnsi="Garamond"/>
          <w:sz w:val="22"/>
          <w:szCs w:val="22"/>
        </w:rPr>
        <w:t xml:space="preserve">in conclusione </w:t>
      </w:r>
      <w:r w:rsidR="00941128" w:rsidRPr="00941128">
        <w:rPr>
          <w:rFonts w:ascii="Garamond" w:hAnsi="Garamond"/>
          <w:sz w:val="22"/>
          <w:szCs w:val="22"/>
        </w:rPr>
        <w:t xml:space="preserve">che </w:t>
      </w:r>
      <w:r w:rsidR="00941128" w:rsidRPr="00B34F1D">
        <w:rPr>
          <w:rFonts w:ascii="Garamond" w:hAnsi="Garamond"/>
          <w:sz w:val="22"/>
          <w:szCs w:val="22"/>
        </w:rPr>
        <w:t>«</w:t>
      </w:r>
      <w:r w:rsidR="00941128">
        <w:rPr>
          <w:rFonts w:ascii="Garamond" w:hAnsi="Garamond"/>
          <w:i/>
          <w:iCs/>
          <w:sz w:val="22"/>
          <w:szCs w:val="22"/>
        </w:rPr>
        <w:t>la diretta impugnabilità degli atti dell’ETC dipende dalla natura del potere esercitato in concreto dall’ETC, potendosi impugnare, nelle more dell’approvazione di ARERA, solo i provvedimenti che non rientrano nel controllo regolatorio di ARERA</w:t>
      </w:r>
      <w:r w:rsidR="00941128" w:rsidRPr="009A7E5D">
        <w:rPr>
          <w:rFonts w:ascii="Garamond" w:hAnsi="Garamond"/>
          <w:sz w:val="26"/>
          <w:szCs w:val="26"/>
        </w:rPr>
        <w:t>»</w:t>
      </w:r>
      <w:r w:rsidR="00941128">
        <w:rPr>
          <w:rFonts w:ascii="Garamond" w:hAnsi="Garamond"/>
          <w:sz w:val="26"/>
          <w:szCs w:val="26"/>
        </w:rPr>
        <w:t>.</w:t>
      </w:r>
    </w:p>
  </w:footnote>
  <w:footnote w:id="64">
    <w:p w14:paraId="2B416EC8" w14:textId="3173FBEA" w:rsidR="00EF5D47" w:rsidRDefault="00EF5D47">
      <w:pPr>
        <w:pStyle w:val="Testonotaapidipagina"/>
      </w:pPr>
      <w:r w:rsidRPr="00504AB3">
        <w:rPr>
          <w:rStyle w:val="Rimandonotaapidipagina"/>
          <w:rFonts w:ascii="Garamond" w:hAnsi="Garamond"/>
          <w:sz w:val="22"/>
          <w:szCs w:val="22"/>
        </w:rPr>
        <w:footnoteRef/>
      </w:r>
      <w:r w:rsidRPr="00504AB3">
        <w:rPr>
          <w:rFonts w:ascii="Garamond" w:hAnsi="Garamond"/>
          <w:sz w:val="22"/>
          <w:szCs w:val="22"/>
        </w:rPr>
        <w:t xml:space="preserve"> TAR Lazio, Roma, </w:t>
      </w:r>
      <w:r w:rsidR="00504AB3" w:rsidRPr="00504AB3">
        <w:rPr>
          <w:rFonts w:ascii="Garamond" w:hAnsi="Garamond"/>
          <w:sz w:val="22"/>
          <w:szCs w:val="22"/>
        </w:rPr>
        <w:t>Sez. II bis, 05.11.2025, n. 19534</w:t>
      </w:r>
      <w:r w:rsidR="00504AB3">
        <w:t>.</w:t>
      </w:r>
    </w:p>
  </w:footnote>
  <w:footnote w:id="65">
    <w:p w14:paraId="5D5E4276" w14:textId="7F150AD1" w:rsidR="004E25FD" w:rsidRDefault="004E25FD">
      <w:pPr>
        <w:pStyle w:val="Testonotaapidipagina"/>
      </w:pPr>
      <w:r>
        <w:rPr>
          <w:rStyle w:val="Rimandonotaapidipagina"/>
        </w:rPr>
        <w:footnoteRef/>
      </w:r>
      <w:r>
        <w:t xml:space="preserve"> </w:t>
      </w:r>
      <w:r w:rsidRPr="004E25FD">
        <w:rPr>
          <w:rFonts w:ascii="Garamond" w:hAnsi="Garamond"/>
          <w:sz w:val="22"/>
          <w:szCs w:val="22"/>
        </w:rPr>
        <w:t>C. Stato, sez. II, 24.03. 2025, n. 2421</w:t>
      </w:r>
      <w:r w:rsidR="00E36E70">
        <w:rPr>
          <w:rFonts w:ascii="Garamond" w:hAnsi="Garamond"/>
          <w:sz w:val="22"/>
          <w:szCs w:val="22"/>
        </w:rPr>
        <w:t>.</w:t>
      </w:r>
    </w:p>
  </w:footnote>
  <w:footnote w:id="66">
    <w:p w14:paraId="727E5284" w14:textId="4477201B" w:rsidR="00195F01" w:rsidRDefault="00195F01">
      <w:pPr>
        <w:pStyle w:val="Testonotaapidipagina"/>
      </w:pPr>
      <w:r>
        <w:rPr>
          <w:rStyle w:val="Rimandonotaapidipagina"/>
        </w:rPr>
        <w:footnoteRef/>
      </w:r>
      <w:r>
        <w:t xml:space="preserve"> </w:t>
      </w:r>
      <w:r w:rsidRPr="00886272">
        <w:rPr>
          <w:rFonts w:ascii="Garamond" w:hAnsi="Garamond"/>
          <w:sz w:val="22"/>
          <w:szCs w:val="22"/>
        </w:rPr>
        <w:t>C. Stato, sez. IV, 25.11.2025, n. 9257</w:t>
      </w:r>
      <w:r>
        <w:rPr>
          <w:rFonts w:ascii="Garamond" w:hAnsi="Garamond"/>
          <w:sz w:val="22"/>
          <w:szCs w:val="22"/>
        </w:rPr>
        <w:t>.</w:t>
      </w:r>
    </w:p>
  </w:footnote>
  <w:footnote w:id="67">
    <w:p w14:paraId="45645997" w14:textId="22CDC62C" w:rsidR="00872C09" w:rsidRDefault="00872C09">
      <w:pPr>
        <w:pStyle w:val="Testonotaapidipagina"/>
      </w:pPr>
      <w:r>
        <w:rPr>
          <w:rStyle w:val="Rimandonotaapidipagina"/>
        </w:rPr>
        <w:footnoteRef/>
      </w:r>
      <w:r>
        <w:t xml:space="preserve"> </w:t>
      </w:r>
      <w:r w:rsidRPr="00872C09">
        <w:rPr>
          <w:rFonts w:ascii="Garamond" w:hAnsi="Garamond"/>
          <w:sz w:val="22"/>
          <w:szCs w:val="22"/>
        </w:rPr>
        <w:t>C. Stato, Sez. IV, 20.08.2024, n. 7173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51377"/>
    <w:multiLevelType w:val="hybridMultilevel"/>
    <w:tmpl w:val="3028C004"/>
    <w:lvl w:ilvl="0" w:tplc="99C0CE3A">
      <w:start w:val="1"/>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1" w15:restartNumberingAfterBreak="0">
    <w:nsid w:val="2AC514B8"/>
    <w:multiLevelType w:val="hybridMultilevel"/>
    <w:tmpl w:val="12D82A46"/>
    <w:lvl w:ilvl="0" w:tplc="CC6A81E8">
      <w:start w:val="1"/>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num w:numId="1" w16cid:durableId="999699814">
    <w:abstractNumId w:val="0"/>
  </w:num>
  <w:num w:numId="2" w16cid:durableId="1517965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2A"/>
    <w:rsid w:val="000002D0"/>
    <w:rsid w:val="000018A7"/>
    <w:rsid w:val="000124E7"/>
    <w:rsid w:val="00021DA6"/>
    <w:rsid w:val="00022CBE"/>
    <w:rsid w:val="00037765"/>
    <w:rsid w:val="00042621"/>
    <w:rsid w:val="00061384"/>
    <w:rsid w:val="0006718D"/>
    <w:rsid w:val="000744DC"/>
    <w:rsid w:val="00077F3B"/>
    <w:rsid w:val="00081741"/>
    <w:rsid w:val="00084185"/>
    <w:rsid w:val="00094088"/>
    <w:rsid w:val="000A027A"/>
    <w:rsid w:val="000B0B03"/>
    <w:rsid w:val="000B1317"/>
    <w:rsid w:val="000B1E09"/>
    <w:rsid w:val="000B1F18"/>
    <w:rsid w:val="000B1F84"/>
    <w:rsid w:val="000B28E7"/>
    <w:rsid w:val="000B4C1B"/>
    <w:rsid w:val="000B70E8"/>
    <w:rsid w:val="000C285E"/>
    <w:rsid w:val="000C5B8C"/>
    <w:rsid w:val="000E0733"/>
    <w:rsid w:val="000E2A06"/>
    <w:rsid w:val="000E3949"/>
    <w:rsid w:val="000E4D4F"/>
    <w:rsid w:val="000F0B25"/>
    <w:rsid w:val="000F77F6"/>
    <w:rsid w:val="00104252"/>
    <w:rsid w:val="0011018E"/>
    <w:rsid w:val="00113D35"/>
    <w:rsid w:val="001167B6"/>
    <w:rsid w:val="00122A1A"/>
    <w:rsid w:val="00126073"/>
    <w:rsid w:val="0013113B"/>
    <w:rsid w:val="00133BBD"/>
    <w:rsid w:val="0014040C"/>
    <w:rsid w:val="00147962"/>
    <w:rsid w:val="00154AEB"/>
    <w:rsid w:val="00155906"/>
    <w:rsid w:val="001575C3"/>
    <w:rsid w:val="001656CD"/>
    <w:rsid w:val="001701B0"/>
    <w:rsid w:val="00176306"/>
    <w:rsid w:val="0017739A"/>
    <w:rsid w:val="001777F7"/>
    <w:rsid w:val="001821FD"/>
    <w:rsid w:val="001835BA"/>
    <w:rsid w:val="00187867"/>
    <w:rsid w:val="0019097A"/>
    <w:rsid w:val="00195F01"/>
    <w:rsid w:val="001970A5"/>
    <w:rsid w:val="001A1327"/>
    <w:rsid w:val="001A337C"/>
    <w:rsid w:val="001A59C5"/>
    <w:rsid w:val="001C0820"/>
    <w:rsid w:val="001D59F4"/>
    <w:rsid w:val="001E5BFC"/>
    <w:rsid w:val="001F13AE"/>
    <w:rsid w:val="002114FB"/>
    <w:rsid w:val="0021781A"/>
    <w:rsid w:val="00223FD4"/>
    <w:rsid w:val="00226277"/>
    <w:rsid w:val="00236B74"/>
    <w:rsid w:val="0024253A"/>
    <w:rsid w:val="00245A6F"/>
    <w:rsid w:val="00246ACA"/>
    <w:rsid w:val="002537E6"/>
    <w:rsid w:val="00264020"/>
    <w:rsid w:val="00264572"/>
    <w:rsid w:val="00266742"/>
    <w:rsid w:val="002679AE"/>
    <w:rsid w:val="00267C35"/>
    <w:rsid w:val="00267F57"/>
    <w:rsid w:val="00272284"/>
    <w:rsid w:val="002739AB"/>
    <w:rsid w:val="00273D8A"/>
    <w:rsid w:val="00274FC4"/>
    <w:rsid w:val="002760A5"/>
    <w:rsid w:val="002804F7"/>
    <w:rsid w:val="00284427"/>
    <w:rsid w:val="00286069"/>
    <w:rsid w:val="002866B5"/>
    <w:rsid w:val="00290A39"/>
    <w:rsid w:val="00290E69"/>
    <w:rsid w:val="00293BD8"/>
    <w:rsid w:val="00294854"/>
    <w:rsid w:val="002960DF"/>
    <w:rsid w:val="002A6391"/>
    <w:rsid w:val="002B5DD9"/>
    <w:rsid w:val="002B6D42"/>
    <w:rsid w:val="002C5130"/>
    <w:rsid w:val="002D054B"/>
    <w:rsid w:val="002D33B1"/>
    <w:rsid w:val="002D4604"/>
    <w:rsid w:val="002E1CDE"/>
    <w:rsid w:val="002E55CB"/>
    <w:rsid w:val="002F6941"/>
    <w:rsid w:val="003017B6"/>
    <w:rsid w:val="00302690"/>
    <w:rsid w:val="00302F7C"/>
    <w:rsid w:val="0030529A"/>
    <w:rsid w:val="0030748B"/>
    <w:rsid w:val="003077DC"/>
    <w:rsid w:val="00307DAA"/>
    <w:rsid w:val="0033003E"/>
    <w:rsid w:val="0033532B"/>
    <w:rsid w:val="003361F5"/>
    <w:rsid w:val="00341080"/>
    <w:rsid w:val="00345357"/>
    <w:rsid w:val="0035078E"/>
    <w:rsid w:val="00357CAE"/>
    <w:rsid w:val="003636B6"/>
    <w:rsid w:val="00367C7D"/>
    <w:rsid w:val="003716E4"/>
    <w:rsid w:val="003729EF"/>
    <w:rsid w:val="003824DF"/>
    <w:rsid w:val="00387AB1"/>
    <w:rsid w:val="00387FC9"/>
    <w:rsid w:val="003920C0"/>
    <w:rsid w:val="00395BDA"/>
    <w:rsid w:val="003A4526"/>
    <w:rsid w:val="003A4ED1"/>
    <w:rsid w:val="003A5768"/>
    <w:rsid w:val="003B3E38"/>
    <w:rsid w:val="003B7DB9"/>
    <w:rsid w:val="003C0218"/>
    <w:rsid w:val="003C1560"/>
    <w:rsid w:val="003C2B9F"/>
    <w:rsid w:val="003D2679"/>
    <w:rsid w:val="003E7723"/>
    <w:rsid w:val="003E7B7D"/>
    <w:rsid w:val="003F1EFC"/>
    <w:rsid w:val="003F22BE"/>
    <w:rsid w:val="00401178"/>
    <w:rsid w:val="00406EE1"/>
    <w:rsid w:val="004163E7"/>
    <w:rsid w:val="00423133"/>
    <w:rsid w:val="00423252"/>
    <w:rsid w:val="00426F0C"/>
    <w:rsid w:val="004304FB"/>
    <w:rsid w:val="004312D4"/>
    <w:rsid w:val="00443078"/>
    <w:rsid w:val="00444C90"/>
    <w:rsid w:val="0044543E"/>
    <w:rsid w:val="004456B8"/>
    <w:rsid w:val="004502F4"/>
    <w:rsid w:val="00451278"/>
    <w:rsid w:val="00457B76"/>
    <w:rsid w:val="00457E2B"/>
    <w:rsid w:val="00462422"/>
    <w:rsid w:val="00463457"/>
    <w:rsid w:val="004643A3"/>
    <w:rsid w:val="00464FC2"/>
    <w:rsid w:val="00470E90"/>
    <w:rsid w:val="004714A8"/>
    <w:rsid w:val="0047352D"/>
    <w:rsid w:val="00493A6B"/>
    <w:rsid w:val="004959BE"/>
    <w:rsid w:val="004A37A2"/>
    <w:rsid w:val="004A5E76"/>
    <w:rsid w:val="004A68A0"/>
    <w:rsid w:val="004B079E"/>
    <w:rsid w:val="004B211A"/>
    <w:rsid w:val="004C027B"/>
    <w:rsid w:val="004C327D"/>
    <w:rsid w:val="004C6F4C"/>
    <w:rsid w:val="004D3A0A"/>
    <w:rsid w:val="004D6255"/>
    <w:rsid w:val="004E25FD"/>
    <w:rsid w:val="004F44A6"/>
    <w:rsid w:val="005000DF"/>
    <w:rsid w:val="00503946"/>
    <w:rsid w:val="00503D68"/>
    <w:rsid w:val="00504AB3"/>
    <w:rsid w:val="005116BE"/>
    <w:rsid w:val="00511806"/>
    <w:rsid w:val="00511E61"/>
    <w:rsid w:val="005226C3"/>
    <w:rsid w:val="00523E8B"/>
    <w:rsid w:val="00532D75"/>
    <w:rsid w:val="00533A25"/>
    <w:rsid w:val="00534D05"/>
    <w:rsid w:val="00536EFD"/>
    <w:rsid w:val="0054046A"/>
    <w:rsid w:val="0054399D"/>
    <w:rsid w:val="00544D25"/>
    <w:rsid w:val="00546C40"/>
    <w:rsid w:val="00550D3D"/>
    <w:rsid w:val="00551021"/>
    <w:rsid w:val="0055228F"/>
    <w:rsid w:val="00553998"/>
    <w:rsid w:val="00561EEB"/>
    <w:rsid w:val="00566E09"/>
    <w:rsid w:val="00566ED4"/>
    <w:rsid w:val="00574831"/>
    <w:rsid w:val="00580EA2"/>
    <w:rsid w:val="00582554"/>
    <w:rsid w:val="00587979"/>
    <w:rsid w:val="005A048F"/>
    <w:rsid w:val="005A5B6E"/>
    <w:rsid w:val="005A7598"/>
    <w:rsid w:val="005A7A0E"/>
    <w:rsid w:val="005B424C"/>
    <w:rsid w:val="005B5D74"/>
    <w:rsid w:val="005C3108"/>
    <w:rsid w:val="005D30F8"/>
    <w:rsid w:val="005D5760"/>
    <w:rsid w:val="005E1476"/>
    <w:rsid w:val="005E2AB4"/>
    <w:rsid w:val="00602F18"/>
    <w:rsid w:val="00604711"/>
    <w:rsid w:val="00607462"/>
    <w:rsid w:val="0061095D"/>
    <w:rsid w:val="00615032"/>
    <w:rsid w:val="0062297A"/>
    <w:rsid w:val="0062393A"/>
    <w:rsid w:val="00623B16"/>
    <w:rsid w:val="0062670A"/>
    <w:rsid w:val="0062698B"/>
    <w:rsid w:val="006271D3"/>
    <w:rsid w:val="006319A5"/>
    <w:rsid w:val="00632DCA"/>
    <w:rsid w:val="00637ACE"/>
    <w:rsid w:val="00650223"/>
    <w:rsid w:val="0065340D"/>
    <w:rsid w:val="00656592"/>
    <w:rsid w:val="00656F2F"/>
    <w:rsid w:val="00662324"/>
    <w:rsid w:val="006721F2"/>
    <w:rsid w:val="00673B1B"/>
    <w:rsid w:val="00673C62"/>
    <w:rsid w:val="00684A63"/>
    <w:rsid w:val="00696B1C"/>
    <w:rsid w:val="006A3933"/>
    <w:rsid w:val="006A446E"/>
    <w:rsid w:val="006A521D"/>
    <w:rsid w:val="006A74FC"/>
    <w:rsid w:val="006C0171"/>
    <w:rsid w:val="006C4AE7"/>
    <w:rsid w:val="006C7AFA"/>
    <w:rsid w:val="006D30DF"/>
    <w:rsid w:val="006E18DB"/>
    <w:rsid w:val="006E2A60"/>
    <w:rsid w:val="006E338E"/>
    <w:rsid w:val="006E45F3"/>
    <w:rsid w:val="006E758C"/>
    <w:rsid w:val="006F5D19"/>
    <w:rsid w:val="00710E2E"/>
    <w:rsid w:val="007144BC"/>
    <w:rsid w:val="00716FD5"/>
    <w:rsid w:val="007172D6"/>
    <w:rsid w:val="00721DCB"/>
    <w:rsid w:val="00724084"/>
    <w:rsid w:val="00731487"/>
    <w:rsid w:val="007614FF"/>
    <w:rsid w:val="0076391D"/>
    <w:rsid w:val="00767188"/>
    <w:rsid w:val="00767FAB"/>
    <w:rsid w:val="00774FCA"/>
    <w:rsid w:val="0078206E"/>
    <w:rsid w:val="00782128"/>
    <w:rsid w:val="0078230F"/>
    <w:rsid w:val="007869B2"/>
    <w:rsid w:val="0079575A"/>
    <w:rsid w:val="007A4303"/>
    <w:rsid w:val="007A507A"/>
    <w:rsid w:val="007B0A6B"/>
    <w:rsid w:val="007C121C"/>
    <w:rsid w:val="007C633A"/>
    <w:rsid w:val="007C6628"/>
    <w:rsid w:val="007C6D6E"/>
    <w:rsid w:val="007C7AB3"/>
    <w:rsid w:val="007D22AD"/>
    <w:rsid w:val="007D2EEC"/>
    <w:rsid w:val="007D524A"/>
    <w:rsid w:val="007E16BB"/>
    <w:rsid w:val="007F2985"/>
    <w:rsid w:val="007F54A9"/>
    <w:rsid w:val="007F5E48"/>
    <w:rsid w:val="007F7481"/>
    <w:rsid w:val="0080012B"/>
    <w:rsid w:val="00800AEC"/>
    <w:rsid w:val="00804055"/>
    <w:rsid w:val="00806469"/>
    <w:rsid w:val="00807935"/>
    <w:rsid w:val="008079A2"/>
    <w:rsid w:val="008206DD"/>
    <w:rsid w:val="00824313"/>
    <w:rsid w:val="0083262F"/>
    <w:rsid w:val="00837613"/>
    <w:rsid w:val="00842AB7"/>
    <w:rsid w:val="00842F62"/>
    <w:rsid w:val="00844D52"/>
    <w:rsid w:val="00851F56"/>
    <w:rsid w:val="00852177"/>
    <w:rsid w:val="00854FD9"/>
    <w:rsid w:val="0085616D"/>
    <w:rsid w:val="00856C06"/>
    <w:rsid w:val="00861465"/>
    <w:rsid w:val="00861863"/>
    <w:rsid w:val="008660FF"/>
    <w:rsid w:val="00867763"/>
    <w:rsid w:val="00870690"/>
    <w:rsid w:val="008718EA"/>
    <w:rsid w:val="00872C09"/>
    <w:rsid w:val="00873457"/>
    <w:rsid w:val="0088115C"/>
    <w:rsid w:val="00881CFB"/>
    <w:rsid w:val="00886272"/>
    <w:rsid w:val="008918F7"/>
    <w:rsid w:val="00892303"/>
    <w:rsid w:val="00893274"/>
    <w:rsid w:val="0089533B"/>
    <w:rsid w:val="00895F58"/>
    <w:rsid w:val="0089686A"/>
    <w:rsid w:val="008969E0"/>
    <w:rsid w:val="0089713A"/>
    <w:rsid w:val="008A1526"/>
    <w:rsid w:val="008A469B"/>
    <w:rsid w:val="008B1B3E"/>
    <w:rsid w:val="008B3067"/>
    <w:rsid w:val="008D7B6E"/>
    <w:rsid w:val="008F1DAB"/>
    <w:rsid w:val="0090346A"/>
    <w:rsid w:val="009038EE"/>
    <w:rsid w:val="00904DE4"/>
    <w:rsid w:val="009050CE"/>
    <w:rsid w:val="0091220E"/>
    <w:rsid w:val="0091245B"/>
    <w:rsid w:val="00912647"/>
    <w:rsid w:val="00915649"/>
    <w:rsid w:val="00927FCB"/>
    <w:rsid w:val="00927FE1"/>
    <w:rsid w:val="00934CB6"/>
    <w:rsid w:val="00935316"/>
    <w:rsid w:val="00937E23"/>
    <w:rsid w:val="00941128"/>
    <w:rsid w:val="00941C11"/>
    <w:rsid w:val="00942824"/>
    <w:rsid w:val="009454BF"/>
    <w:rsid w:val="009515F4"/>
    <w:rsid w:val="00954102"/>
    <w:rsid w:val="009601C7"/>
    <w:rsid w:val="00962477"/>
    <w:rsid w:val="009902F8"/>
    <w:rsid w:val="00991A6B"/>
    <w:rsid w:val="009921FF"/>
    <w:rsid w:val="00992C86"/>
    <w:rsid w:val="009935F1"/>
    <w:rsid w:val="00997452"/>
    <w:rsid w:val="00997C1B"/>
    <w:rsid w:val="009A06F1"/>
    <w:rsid w:val="009A2C16"/>
    <w:rsid w:val="009A7E41"/>
    <w:rsid w:val="009A7E5D"/>
    <w:rsid w:val="009B4A79"/>
    <w:rsid w:val="009B68E2"/>
    <w:rsid w:val="009B7F0E"/>
    <w:rsid w:val="009C4A17"/>
    <w:rsid w:val="009C4FCA"/>
    <w:rsid w:val="009C54BE"/>
    <w:rsid w:val="009D3BC7"/>
    <w:rsid w:val="009E24DA"/>
    <w:rsid w:val="009E272E"/>
    <w:rsid w:val="009E627F"/>
    <w:rsid w:val="009E63D6"/>
    <w:rsid w:val="009F491D"/>
    <w:rsid w:val="009F6101"/>
    <w:rsid w:val="009F6926"/>
    <w:rsid w:val="00A05FA0"/>
    <w:rsid w:val="00A14DD2"/>
    <w:rsid w:val="00A222AB"/>
    <w:rsid w:val="00A31BE1"/>
    <w:rsid w:val="00A364B4"/>
    <w:rsid w:val="00A36844"/>
    <w:rsid w:val="00A36AD2"/>
    <w:rsid w:val="00A37F2E"/>
    <w:rsid w:val="00A44F46"/>
    <w:rsid w:val="00A55018"/>
    <w:rsid w:val="00A6459E"/>
    <w:rsid w:val="00A71176"/>
    <w:rsid w:val="00A90ECB"/>
    <w:rsid w:val="00A93FD4"/>
    <w:rsid w:val="00A943D0"/>
    <w:rsid w:val="00A9726A"/>
    <w:rsid w:val="00AA22BA"/>
    <w:rsid w:val="00AA4B0C"/>
    <w:rsid w:val="00AB5B12"/>
    <w:rsid w:val="00AB7383"/>
    <w:rsid w:val="00AC0745"/>
    <w:rsid w:val="00AC145D"/>
    <w:rsid w:val="00AC46E3"/>
    <w:rsid w:val="00AC70BC"/>
    <w:rsid w:val="00AD16A9"/>
    <w:rsid w:val="00AD2121"/>
    <w:rsid w:val="00AD2DDF"/>
    <w:rsid w:val="00AD594B"/>
    <w:rsid w:val="00AE0355"/>
    <w:rsid w:val="00AE1190"/>
    <w:rsid w:val="00AE494E"/>
    <w:rsid w:val="00AE4DF7"/>
    <w:rsid w:val="00AF292D"/>
    <w:rsid w:val="00B119E4"/>
    <w:rsid w:val="00B1347A"/>
    <w:rsid w:val="00B14B5A"/>
    <w:rsid w:val="00B22AE3"/>
    <w:rsid w:val="00B22D92"/>
    <w:rsid w:val="00B30296"/>
    <w:rsid w:val="00B32CC6"/>
    <w:rsid w:val="00B34B21"/>
    <w:rsid w:val="00B34E1F"/>
    <w:rsid w:val="00B34F1D"/>
    <w:rsid w:val="00B4128A"/>
    <w:rsid w:val="00B47B8C"/>
    <w:rsid w:val="00B534AA"/>
    <w:rsid w:val="00B54E61"/>
    <w:rsid w:val="00B6059C"/>
    <w:rsid w:val="00B62EE5"/>
    <w:rsid w:val="00B7211E"/>
    <w:rsid w:val="00B82629"/>
    <w:rsid w:val="00B84362"/>
    <w:rsid w:val="00B8668B"/>
    <w:rsid w:val="00B91929"/>
    <w:rsid w:val="00B96F69"/>
    <w:rsid w:val="00BA1F75"/>
    <w:rsid w:val="00BB39D4"/>
    <w:rsid w:val="00BB4FEA"/>
    <w:rsid w:val="00BB5249"/>
    <w:rsid w:val="00BB6FC1"/>
    <w:rsid w:val="00BC0DE8"/>
    <w:rsid w:val="00BC15DA"/>
    <w:rsid w:val="00BC1849"/>
    <w:rsid w:val="00BC3440"/>
    <w:rsid w:val="00BC4AAC"/>
    <w:rsid w:val="00BC553F"/>
    <w:rsid w:val="00BD0EFE"/>
    <w:rsid w:val="00BD427D"/>
    <w:rsid w:val="00BD4684"/>
    <w:rsid w:val="00BD51E3"/>
    <w:rsid w:val="00BD5A4B"/>
    <w:rsid w:val="00BF3D4E"/>
    <w:rsid w:val="00BF7D99"/>
    <w:rsid w:val="00C115C9"/>
    <w:rsid w:val="00C14C5D"/>
    <w:rsid w:val="00C20E76"/>
    <w:rsid w:val="00C27AE9"/>
    <w:rsid w:val="00C459D7"/>
    <w:rsid w:val="00C46019"/>
    <w:rsid w:val="00C467DF"/>
    <w:rsid w:val="00C4729E"/>
    <w:rsid w:val="00C53828"/>
    <w:rsid w:val="00C6107B"/>
    <w:rsid w:val="00C6172A"/>
    <w:rsid w:val="00C65DBE"/>
    <w:rsid w:val="00C6634A"/>
    <w:rsid w:val="00C705CC"/>
    <w:rsid w:val="00C72867"/>
    <w:rsid w:val="00C74A04"/>
    <w:rsid w:val="00C74CD4"/>
    <w:rsid w:val="00C76683"/>
    <w:rsid w:val="00C76E8B"/>
    <w:rsid w:val="00C87769"/>
    <w:rsid w:val="00C91956"/>
    <w:rsid w:val="00C920AE"/>
    <w:rsid w:val="00C93840"/>
    <w:rsid w:val="00CA1DD3"/>
    <w:rsid w:val="00CA62C3"/>
    <w:rsid w:val="00CA72DA"/>
    <w:rsid w:val="00CB04F2"/>
    <w:rsid w:val="00CB32E1"/>
    <w:rsid w:val="00CC258F"/>
    <w:rsid w:val="00CC2BDE"/>
    <w:rsid w:val="00CD0BFE"/>
    <w:rsid w:val="00CD1301"/>
    <w:rsid w:val="00CF3C30"/>
    <w:rsid w:val="00CF63ED"/>
    <w:rsid w:val="00CF6FB9"/>
    <w:rsid w:val="00CF77BB"/>
    <w:rsid w:val="00D02481"/>
    <w:rsid w:val="00D0386C"/>
    <w:rsid w:val="00D04660"/>
    <w:rsid w:val="00D10B22"/>
    <w:rsid w:val="00D21AA1"/>
    <w:rsid w:val="00D33F37"/>
    <w:rsid w:val="00D377FD"/>
    <w:rsid w:val="00D418B2"/>
    <w:rsid w:val="00D6730D"/>
    <w:rsid w:val="00D705B3"/>
    <w:rsid w:val="00D72862"/>
    <w:rsid w:val="00D7670C"/>
    <w:rsid w:val="00D777BE"/>
    <w:rsid w:val="00D84ABA"/>
    <w:rsid w:val="00D9189A"/>
    <w:rsid w:val="00D96354"/>
    <w:rsid w:val="00DA2439"/>
    <w:rsid w:val="00DA72BB"/>
    <w:rsid w:val="00DB5570"/>
    <w:rsid w:val="00DB7E4C"/>
    <w:rsid w:val="00DC2861"/>
    <w:rsid w:val="00DC64B3"/>
    <w:rsid w:val="00DD3E93"/>
    <w:rsid w:val="00DE7895"/>
    <w:rsid w:val="00DF5082"/>
    <w:rsid w:val="00E00B70"/>
    <w:rsid w:val="00E02EB6"/>
    <w:rsid w:val="00E04F6F"/>
    <w:rsid w:val="00E050F6"/>
    <w:rsid w:val="00E11FAC"/>
    <w:rsid w:val="00E145FF"/>
    <w:rsid w:val="00E1563A"/>
    <w:rsid w:val="00E161EF"/>
    <w:rsid w:val="00E1718F"/>
    <w:rsid w:val="00E205DA"/>
    <w:rsid w:val="00E251EB"/>
    <w:rsid w:val="00E302C2"/>
    <w:rsid w:val="00E31189"/>
    <w:rsid w:val="00E34F97"/>
    <w:rsid w:val="00E36E70"/>
    <w:rsid w:val="00E40C85"/>
    <w:rsid w:val="00E428EE"/>
    <w:rsid w:val="00E45811"/>
    <w:rsid w:val="00E505C7"/>
    <w:rsid w:val="00E52487"/>
    <w:rsid w:val="00E549E6"/>
    <w:rsid w:val="00E63586"/>
    <w:rsid w:val="00E65659"/>
    <w:rsid w:val="00E666F8"/>
    <w:rsid w:val="00E733A5"/>
    <w:rsid w:val="00E73779"/>
    <w:rsid w:val="00E74C6C"/>
    <w:rsid w:val="00E757B3"/>
    <w:rsid w:val="00E82FC0"/>
    <w:rsid w:val="00E858EB"/>
    <w:rsid w:val="00E971B5"/>
    <w:rsid w:val="00EA0B70"/>
    <w:rsid w:val="00EA4A5C"/>
    <w:rsid w:val="00EB12BD"/>
    <w:rsid w:val="00EB12C6"/>
    <w:rsid w:val="00EB1A9A"/>
    <w:rsid w:val="00EB36C6"/>
    <w:rsid w:val="00EB7638"/>
    <w:rsid w:val="00EC249A"/>
    <w:rsid w:val="00EC5BBE"/>
    <w:rsid w:val="00ED0D9E"/>
    <w:rsid w:val="00ED49EE"/>
    <w:rsid w:val="00EE0AEB"/>
    <w:rsid w:val="00EE4207"/>
    <w:rsid w:val="00EE4A77"/>
    <w:rsid w:val="00EE6085"/>
    <w:rsid w:val="00EF030B"/>
    <w:rsid w:val="00EF05DB"/>
    <w:rsid w:val="00EF5742"/>
    <w:rsid w:val="00EF5D47"/>
    <w:rsid w:val="00F12565"/>
    <w:rsid w:val="00F129B9"/>
    <w:rsid w:val="00F1300B"/>
    <w:rsid w:val="00F143E8"/>
    <w:rsid w:val="00F147D7"/>
    <w:rsid w:val="00F16853"/>
    <w:rsid w:val="00F254C0"/>
    <w:rsid w:val="00F2648E"/>
    <w:rsid w:val="00F26F93"/>
    <w:rsid w:val="00F37F6F"/>
    <w:rsid w:val="00F42995"/>
    <w:rsid w:val="00F44B89"/>
    <w:rsid w:val="00F545F8"/>
    <w:rsid w:val="00F77028"/>
    <w:rsid w:val="00F77F8F"/>
    <w:rsid w:val="00F84190"/>
    <w:rsid w:val="00F925AE"/>
    <w:rsid w:val="00F93C60"/>
    <w:rsid w:val="00F95594"/>
    <w:rsid w:val="00FA4639"/>
    <w:rsid w:val="00FB1D25"/>
    <w:rsid w:val="00FB77B0"/>
    <w:rsid w:val="00FC5B66"/>
    <w:rsid w:val="00FC7331"/>
    <w:rsid w:val="00FD0D79"/>
    <w:rsid w:val="00FE1894"/>
    <w:rsid w:val="00FE1DAF"/>
    <w:rsid w:val="00FE3E5C"/>
    <w:rsid w:val="00FE68C8"/>
    <w:rsid w:val="00FF081A"/>
    <w:rsid w:val="00FF57A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0060B"/>
  <w15:docId w15:val="{4366F1DC-AB5C-5840-A2BB-EAF193C5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172A"/>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6172A"/>
    <w:rPr>
      <w:rFonts w:ascii="Verdana" w:hAnsi="Verdana" w:hint="default"/>
      <w:color w:val="0000FF"/>
      <w:sz w:val="24"/>
      <w:szCs w:val="24"/>
      <w:u w:val="single"/>
    </w:rPr>
  </w:style>
  <w:style w:type="paragraph" w:styleId="Testonotaapidipagina">
    <w:name w:val="footnote text"/>
    <w:basedOn w:val="Normale"/>
    <w:link w:val="TestonotaapidipaginaCarattere"/>
    <w:semiHidden/>
    <w:rsid w:val="00C6172A"/>
    <w:rPr>
      <w:sz w:val="20"/>
      <w:szCs w:val="20"/>
    </w:rPr>
  </w:style>
  <w:style w:type="character" w:customStyle="1" w:styleId="TestonotaapidipaginaCarattere">
    <w:name w:val="Testo nota a piè di pagina Carattere"/>
    <w:basedOn w:val="Carpredefinitoparagrafo"/>
    <w:link w:val="Testonotaapidipagina"/>
    <w:semiHidden/>
    <w:rsid w:val="00C6172A"/>
    <w:rPr>
      <w:rFonts w:ascii="Times New Roman" w:eastAsia="Times New Roman" w:hAnsi="Times New Roman" w:cs="Times New Roman"/>
      <w:sz w:val="20"/>
      <w:szCs w:val="20"/>
    </w:rPr>
  </w:style>
  <w:style w:type="character" w:styleId="Rimandonotaapidipagina">
    <w:name w:val="footnote reference"/>
    <w:semiHidden/>
    <w:rsid w:val="00C6172A"/>
    <w:rPr>
      <w:vertAlign w:val="superscript"/>
    </w:rPr>
  </w:style>
  <w:style w:type="paragraph" w:styleId="Rientrocorpodeltesto">
    <w:name w:val="Body Text Indent"/>
    <w:basedOn w:val="Normale"/>
    <w:link w:val="RientrocorpodeltestoCarattere"/>
    <w:rsid w:val="00C6172A"/>
    <w:pPr>
      <w:spacing w:after="120"/>
      <w:ind w:left="283"/>
    </w:pPr>
  </w:style>
  <w:style w:type="character" w:customStyle="1" w:styleId="RientrocorpodeltestoCarattere">
    <w:name w:val="Rientro corpo del testo Carattere"/>
    <w:basedOn w:val="Carpredefinitoparagrafo"/>
    <w:link w:val="Rientrocorpodeltesto"/>
    <w:rsid w:val="00C6172A"/>
    <w:rPr>
      <w:rFonts w:ascii="Times New Roman" w:eastAsia="Times New Roman" w:hAnsi="Times New Roman" w:cs="Times New Roman"/>
    </w:rPr>
  </w:style>
  <w:style w:type="paragraph" w:customStyle="1" w:styleId="paragrafousobollo">
    <w:name w:val="paragrafo uso bollo"/>
    <w:rsid w:val="00C6172A"/>
    <w:pPr>
      <w:spacing w:line="480" w:lineRule="exact"/>
      <w:jc w:val="both"/>
    </w:pPr>
    <w:rPr>
      <w:rFonts w:ascii="Courier" w:eastAsia="Times New Roman" w:hAnsi="Courier" w:cs="Times New Roman"/>
      <w:szCs w:val="20"/>
      <w:lang w:bidi="he-IL"/>
    </w:rPr>
  </w:style>
  <w:style w:type="paragraph" w:styleId="Testonormale">
    <w:name w:val="Plain Text"/>
    <w:basedOn w:val="Normale"/>
    <w:link w:val="TestonormaleCarattere"/>
    <w:rsid w:val="00C6172A"/>
    <w:rPr>
      <w:rFonts w:ascii="Courier New" w:hAnsi="Courier New"/>
      <w:sz w:val="20"/>
      <w:szCs w:val="20"/>
    </w:rPr>
  </w:style>
  <w:style w:type="character" w:customStyle="1" w:styleId="TestonormaleCarattere">
    <w:name w:val="Testo normale Carattere"/>
    <w:basedOn w:val="Carpredefinitoparagrafo"/>
    <w:link w:val="Testonormale"/>
    <w:rsid w:val="00C6172A"/>
    <w:rPr>
      <w:rFonts w:ascii="Courier New" w:eastAsia="Times New Roman" w:hAnsi="Courier New" w:cs="Times New Roman"/>
      <w:sz w:val="20"/>
      <w:szCs w:val="20"/>
    </w:rPr>
  </w:style>
  <w:style w:type="paragraph" w:styleId="Rientrocorpodeltesto2">
    <w:name w:val="Body Text Indent 2"/>
    <w:basedOn w:val="Normale"/>
    <w:link w:val="Rientrocorpodeltesto2Carattere"/>
    <w:rsid w:val="00C6172A"/>
    <w:pPr>
      <w:widowControl w:val="0"/>
      <w:ind w:firstLine="454"/>
      <w:jc w:val="both"/>
    </w:pPr>
    <w:rPr>
      <w:bCs/>
      <w:iCs/>
      <w:sz w:val="22"/>
      <w:szCs w:val="22"/>
    </w:rPr>
  </w:style>
  <w:style w:type="character" w:customStyle="1" w:styleId="Rientrocorpodeltesto2Carattere">
    <w:name w:val="Rientro corpo del testo 2 Carattere"/>
    <w:basedOn w:val="Carpredefinitoparagrafo"/>
    <w:link w:val="Rientrocorpodeltesto2"/>
    <w:rsid w:val="00C6172A"/>
    <w:rPr>
      <w:rFonts w:ascii="Times New Roman" w:eastAsia="Times New Roman" w:hAnsi="Times New Roman" w:cs="Times New Roman"/>
      <w:bCs/>
      <w:iCs/>
      <w:sz w:val="22"/>
      <w:szCs w:val="22"/>
    </w:rPr>
  </w:style>
  <w:style w:type="character" w:styleId="Enfasicorsivo">
    <w:name w:val="Emphasis"/>
    <w:basedOn w:val="Carpredefinitoparagrafo"/>
    <w:qFormat/>
    <w:rsid w:val="00D33F37"/>
    <w:rPr>
      <w:i/>
      <w:iCs/>
    </w:rPr>
  </w:style>
  <w:style w:type="paragraph" w:styleId="Intestazione">
    <w:name w:val="header"/>
    <w:basedOn w:val="Normale"/>
    <w:link w:val="IntestazioneCarattere"/>
    <w:uiPriority w:val="99"/>
    <w:unhideWhenUsed/>
    <w:rsid w:val="00C4729E"/>
    <w:pPr>
      <w:tabs>
        <w:tab w:val="center" w:pos="4819"/>
        <w:tab w:val="right" w:pos="9638"/>
      </w:tabs>
    </w:pPr>
  </w:style>
  <w:style w:type="character" w:customStyle="1" w:styleId="IntestazioneCarattere">
    <w:name w:val="Intestazione Carattere"/>
    <w:basedOn w:val="Carpredefinitoparagrafo"/>
    <w:link w:val="Intestazione"/>
    <w:uiPriority w:val="99"/>
    <w:rsid w:val="00C4729E"/>
    <w:rPr>
      <w:rFonts w:ascii="Times New Roman" w:eastAsia="Times New Roman" w:hAnsi="Times New Roman" w:cs="Times New Roman"/>
    </w:rPr>
  </w:style>
  <w:style w:type="paragraph" w:styleId="Pidipagina">
    <w:name w:val="footer"/>
    <w:basedOn w:val="Normale"/>
    <w:link w:val="PidipaginaCarattere"/>
    <w:uiPriority w:val="99"/>
    <w:unhideWhenUsed/>
    <w:rsid w:val="00C4729E"/>
    <w:pPr>
      <w:tabs>
        <w:tab w:val="center" w:pos="4819"/>
        <w:tab w:val="right" w:pos="9638"/>
      </w:tabs>
    </w:pPr>
  </w:style>
  <w:style w:type="character" w:customStyle="1" w:styleId="PidipaginaCarattere">
    <w:name w:val="Piè di pagina Carattere"/>
    <w:basedOn w:val="Carpredefinitoparagrafo"/>
    <w:link w:val="Pidipagina"/>
    <w:uiPriority w:val="99"/>
    <w:rsid w:val="00C4729E"/>
    <w:rPr>
      <w:rFonts w:ascii="Times New Roman" w:eastAsia="Times New Roman" w:hAnsi="Times New Roman" w:cs="Times New Roman"/>
    </w:rPr>
  </w:style>
  <w:style w:type="character" w:customStyle="1" w:styleId="highlight1">
    <w:name w:val="highlight1"/>
    <w:basedOn w:val="Carpredefinitoparagrafo"/>
    <w:rsid w:val="00A71176"/>
    <w:rPr>
      <w:color w:val="000000"/>
      <w:shd w:val="clear" w:color="auto" w:fill="CCCCCC"/>
    </w:rPr>
  </w:style>
  <w:style w:type="paragraph" w:styleId="Corpotesto">
    <w:name w:val="Body Text"/>
    <w:basedOn w:val="Normale"/>
    <w:link w:val="CorpotestoCarattere"/>
    <w:uiPriority w:val="99"/>
    <w:semiHidden/>
    <w:unhideWhenUsed/>
    <w:rsid w:val="00D96354"/>
    <w:pPr>
      <w:spacing w:after="120"/>
    </w:pPr>
  </w:style>
  <w:style w:type="character" w:customStyle="1" w:styleId="CorpotestoCarattere">
    <w:name w:val="Corpo testo Carattere"/>
    <w:basedOn w:val="Carpredefinitoparagrafo"/>
    <w:link w:val="Corpotesto"/>
    <w:uiPriority w:val="99"/>
    <w:semiHidden/>
    <w:rsid w:val="00D96354"/>
    <w:rPr>
      <w:rFonts w:ascii="Times New Roman" w:eastAsia="Times New Roman" w:hAnsi="Times New Roman" w:cs="Times New Roman"/>
    </w:rPr>
  </w:style>
  <w:style w:type="character" w:styleId="Menzionenonrisolta">
    <w:name w:val="Unresolved Mention"/>
    <w:basedOn w:val="Carpredefinitoparagrafo"/>
    <w:uiPriority w:val="99"/>
    <w:semiHidden/>
    <w:unhideWhenUsed/>
    <w:rsid w:val="004B079E"/>
    <w:rPr>
      <w:color w:val="605E5C"/>
      <w:shd w:val="clear" w:color="auto" w:fill="E1DFDD"/>
    </w:rPr>
  </w:style>
  <w:style w:type="character" w:styleId="Numeropagina">
    <w:name w:val="page number"/>
    <w:basedOn w:val="Carpredefinitoparagrafo"/>
    <w:uiPriority w:val="99"/>
    <w:semiHidden/>
    <w:unhideWhenUsed/>
    <w:rsid w:val="006E4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98802">
      <w:bodyDiv w:val="1"/>
      <w:marLeft w:val="0"/>
      <w:marRight w:val="0"/>
      <w:marTop w:val="0"/>
      <w:marBottom w:val="0"/>
      <w:divBdr>
        <w:top w:val="none" w:sz="0" w:space="0" w:color="auto"/>
        <w:left w:val="none" w:sz="0" w:space="0" w:color="auto"/>
        <w:bottom w:val="none" w:sz="0" w:space="0" w:color="auto"/>
        <w:right w:val="none" w:sz="0" w:space="0" w:color="auto"/>
      </w:divBdr>
      <w:divsChild>
        <w:div w:id="1462770375">
          <w:marLeft w:val="0"/>
          <w:marRight w:val="0"/>
          <w:marTop w:val="0"/>
          <w:marBottom w:val="0"/>
          <w:divBdr>
            <w:top w:val="none" w:sz="0" w:space="0" w:color="auto"/>
            <w:left w:val="none" w:sz="0" w:space="0" w:color="auto"/>
            <w:bottom w:val="none" w:sz="0" w:space="0" w:color="auto"/>
            <w:right w:val="none" w:sz="0" w:space="0" w:color="auto"/>
          </w:divBdr>
          <w:divsChild>
            <w:div w:id="1392120569">
              <w:marLeft w:val="0"/>
              <w:marRight w:val="0"/>
              <w:marTop w:val="0"/>
              <w:marBottom w:val="0"/>
              <w:divBdr>
                <w:top w:val="single" w:sz="12" w:space="0" w:color="EEF1F3"/>
                <w:left w:val="single" w:sz="12" w:space="0" w:color="EEF1F3"/>
                <w:bottom w:val="none" w:sz="0" w:space="0" w:color="auto"/>
                <w:right w:val="none" w:sz="0" w:space="0" w:color="auto"/>
              </w:divBdr>
              <w:divsChild>
                <w:div w:id="1241410022">
                  <w:marLeft w:val="0"/>
                  <w:marRight w:val="0"/>
                  <w:marTop w:val="0"/>
                  <w:marBottom w:val="0"/>
                  <w:divBdr>
                    <w:top w:val="single" w:sz="4" w:space="0" w:color="AEBBC3"/>
                    <w:left w:val="single" w:sz="4" w:space="0" w:color="AEBBC3"/>
                    <w:bottom w:val="single" w:sz="4" w:space="0" w:color="AEBBC3"/>
                    <w:right w:val="none" w:sz="0" w:space="0" w:color="auto"/>
                  </w:divBdr>
                  <w:divsChild>
                    <w:div w:id="155951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46800">
      <w:bodyDiv w:val="1"/>
      <w:marLeft w:val="0"/>
      <w:marRight w:val="0"/>
      <w:marTop w:val="0"/>
      <w:marBottom w:val="0"/>
      <w:divBdr>
        <w:top w:val="none" w:sz="0" w:space="0" w:color="auto"/>
        <w:left w:val="none" w:sz="0" w:space="0" w:color="auto"/>
        <w:bottom w:val="none" w:sz="0" w:space="0" w:color="auto"/>
        <w:right w:val="none" w:sz="0" w:space="0" w:color="auto"/>
      </w:divBdr>
      <w:divsChild>
        <w:div w:id="2092962736">
          <w:marLeft w:val="0"/>
          <w:marRight w:val="0"/>
          <w:marTop w:val="0"/>
          <w:marBottom w:val="0"/>
          <w:divBdr>
            <w:top w:val="none" w:sz="0" w:space="0" w:color="auto"/>
            <w:left w:val="none" w:sz="0" w:space="0" w:color="auto"/>
            <w:bottom w:val="none" w:sz="0" w:space="0" w:color="auto"/>
            <w:right w:val="none" w:sz="0" w:space="0" w:color="auto"/>
          </w:divBdr>
          <w:divsChild>
            <w:div w:id="302127336">
              <w:marLeft w:val="0"/>
              <w:marRight w:val="0"/>
              <w:marTop w:val="0"/>
              <w:marBottom w:val="0"/>
              <w:divBdr>
                <w:top w:val="single" w:sz="12" w:space="0" w:color="EEF1F3"/>
                <w:left w:val="single" w:sz="12" w:space="0" w:color="EEF1F3"/>
                <w:bottom w:val="none" w:sz="0" w:space="0" w:color="auto"/>
                <w:right w:val="none" w:sz="0" w:space="0" w:color="auto"/>
              </w:divBdr>
              <w:divsChild>
                <w:div w:id="864516822">
                  <w:marLeft w:val="0"/>
                  <w:marRight w:val="0"/>
                  <w:marTop w:val="0"/>
                  <w:marBottom w:val="0"/>
                  <w:divBdr>
                    <w:top w:val="single" w:sz="4" w:space="0" w:color="AEBBC3"/>
                    <w:left w:val="single" w:sz="4" w:space="0" w:color="AEBBC3"/>
                    <w:bottom w:val="single" w:sz="4" w:space="0" w:color="AEBBC3"/>
                    <w:right w:val="none" w:sz="0" w:space="0" w:color="auto"/>
                  </w:divBdr>
                  <w:divsChild>
                    <w:div w:id="1551652388">
                      <w:marLeft w:val="0"/>
                      <w:marRight w:val="0"/>
                      <w:marTop w:val="0"/>
                      <w:marBottom w:val="0"/>
                      <w:divBdr>
                        <w:top w:val="none" w:sz="0" w:space="0" w:color="auto"/>
                        <w:left w:val="none" w:sz="0" w:space="0" w:color="auto"/>
                        <w:bottom w:val="none" w:sz="0" w:space="0" w:color="auto"/>
                        <w:right w:val="none" w:sz="0" w:space="0" w:color="auto"/>
                      </w:divBdr>
                      <w:divsChild>
                        <w:div w:id="46820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930717">
      <w:bodyDiv w:val="1"/>
      <w:marLeft w:val="0"/>
      <w:marRight w:val="0"/>
      <w:marTop w:val="0"/>
      <w:marBottom w:val="0"/>
      <w:divBdr>
        <w:top w:val="none" w:sz="0" w:space="0" w:color="auto"/>
        <w:left w:val="none" w:sz="0" w:space="0" w:color="auto"/>
        <w:bottom w:val="none" w:sz="0" w:space="0" w:color="auto"/>
        <w:right w:val="none" w:sz="0" w:space="0" w:color="auto"/>
      </w:divBdr>
      <w:divsChild>
        <w:div w:id="2100103424">
          <w:marLeft w:val="0"/>
          <w:marRight w:val="0"/>
          <w:marTop w:val="0"/>
          <w:marBottom w:val="0"/>
          <w:divBdr>
            <w:top w:val="none" w:sz="0" w:space="0" w:color="auto"/>
            <w:left w:val="none" w:sz="0" w:space="0" w:color="auto"/>
            <w:bottom w:val="none" w:sz="0" w:space="0" w:color="auto"/>
            <w:right w:val="none" w:sz="0" w:space="0" w:color="auto"/>
          </w:divBdr>
          <w:divsChild>
            <w:div w:id="1357273041">
              <w:marLeft w:val="0"/>
              <w:marRight w:val="0"/>
              <w:marTop w:val="0"/>
              <w:marBottom w:val="0"/>
              <w:divBdr>
                <w:top w:val="single" w:sz="12" w:space="0" w:color="EEF1F3"/>
                <w:left w:val="single" w:sz="12" w:space="0" w:color="EEF1F3"/>
                <w:bottom w:val="none" w:sz="0" w:space="0" w:color="auto"/>
                <w:right w:val="none" w:sz="0" w:space="0" w:color="auto"/>
              </w:divBdr>
              <w:divsChild>
                <w:div w:id="1303729750">
                  <w:marLeft w:val="0"/>
                  <w:marRight w:val="0"/>
                  <w:marTop w:val="0"/>
                  <w:marBottom w:val="0"/>
                  <w:divBdr>
                    <w:top w:val="single" w:sz="4" w:space="0" w:color="AEBBC3"/>
                    <w:left w:val="single" w:sz="4" w:space="0" w:color="AEBBC3"/>
                    <w:bottom w:val="single" w:sz="4" w:space="0" w:color="AEBBC3"/>
                    <w:right w:val="none" w:sz="0" w:space="0" w:color="auto"/>
                  </w:divBdr>
                  <w:divsChild>
                    <w:div w:id="8419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7B1AD-E6D6-2544-AA4F-10CBB0CC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13400</Words>
  <Characters>76385</Characters>
  <Application>Microsoft Office Word</Application>
  <DocSecurity>4</DocSecurity>
  <Lines>636</Lines>
  <Paragraphs>179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Lancieri</dc:creator>
  <cp:keywords/>
  <dc:description/>
  <cp:lastModifiedBy>COZZOLI Pamela</cp:lastModifiedBy>
  <cp:revision>2</cp:revision>
  <cp:lastPrinted>2026-05-19T15:49:00Z</cp:lastPrinted>
  <dcterms:created xsi:type="dcterms:W3CDTF">2026-06-04T07:47:00Z</dcterms:created>
  <dcterms:modified xsi:type="dcterms:W3CDTF">2026-06-04T07:47:00Z</dcterms:modified>
</cp:coreProperties>
</file>