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6ABA" w14:textId="77777777" w:rsidR="00004DB8" w:rsidRPr="00D47339" w:rsidRDefault="00004DB8" w:rsidP="00004DB8">
      <w:pPr>
        <w:spacing w:after="0" w:line="360" w:lineRule="auto"/>
        <w:jc w:val="center"/>
        <w:rPr>
          <w:rFonts w:ascii="Times New Roman" w:eastAsia="Times New Roman" w:hAnsi="Times New Roman" w:cs="Times New Roman"/>
          <w:noProof/>
          <w:kern w:val="0"/>
          <w:sz w:val="24"/>
          <w:szCs w:val="24"/>
          <w:lang w:val="it-IT" w:eastAsia="it-IT"/>
          <w14:ligatures w14:val="none"/>
        </w:rPr>
      </w:pPr>
    </w:p>
    <w:p w14:paraId="2093C987" w14:textId="408548BE" w:rsidR="00004DB8" w:rsidRPr="00D47339" w:rsidRDefault="00004DB8" w:rsidP="00004DB8">
      <w:pPr>
        <w:spacing w:after="0" w:line="360" w:lineRule="auto"/>
        <w:jc w:val="center"/>
        <w:rPr>
          <w:rFonts w:ascii="Times New Roman" w:eastAsia="Times New Roman" w:hAnsi="Times New Roman" w:cs="Times New Roman"/>
          <w:smallCaps/>
          <w:noProof/>
          <w:kern w:val="0"/>
          <w:sz w:val="24"/>
          <w:szCs w:val="24"/>
          <w:lang w:val="it-IT" w:eastAsia="it-IT"/>
          <w14:ligatures w14:val="none"/>
        </w:rPr>
      </w:pPr>
      <w:r w:rsidRPr="00D47339">
        <w:rPr>
          <w:rFonts w:ascii="Times New Roman" w:eastAsia="Times New Roman" w:hAnsi="Times New Roman" w:cs="Times New Roman"/>
          <w:smallCaps/>
          <w:noProof/>
          <w:kern w:val="0"/>
          <w:sz w:val="24"/>
          <w:szCs w:val="24"/>
          <w:lang w:val="it-IT" w:eastAsia="it-IT"/>
          <w14:ligatures w14:val="none"/>
        </w:rPr>
        <w:t>Giovanni Tulumello</w:t>
      </w:r>
      <w:r w:rsidR="00D47339" w:rsidRPr="00D47339">
        <w:rPr>
          <w:rStyle w:val="Rimandonotaapidipagina"/>
          <w:rFonts w:ascii="Times New Roman" w:eastAsia="Times New Roman" w:hAnsi="Times New Roman" w:cs="Times New Roman"/>
          <w:smallCaps/>
          <w:noProof/>
          <w:kern w:val="0"/>
          <w:sz w:val="24"/>
          <w:szCs w:val="24"/>
          <w:lang w:val="it-IT" w:eastAsia="it-IT"/>
          <w14:ligatures w14:val="none"/>
        </w:rPr>
        <w:footnoteReference w:customMarkFollows="1" w:id="1"/>
        <w:sym w:font="Symbol" w:char="F02A"/>
      </w:r>
    </w:p>
    <w:p w14:paraId="02CA7C09" w14:textId="77777777" w:rsidR="00D47339" w:rsidRPr="00D47339" w:rsidRDefault="00D47339" w:rsidP="00004DB8">
      <w:pPr>
        <w:spacing w:after="0" w:line="360" w:lineRule="auto"/>
        <w:jc w:val="center"/>
        <w:rPr>
          <w:rFonts w:ascii="Times New Roman" w:eastAsia="Times New Roman" w:hAnsi="Times New Roman" w:cs="Times New Roman"/>
          <w:i/>
          <w:iCs/>
          <w:noProof/>
          <w:kern w:val="0"/>
          <w:sz w:val="24"/>
          <w:szCs w:val="24"/>
          <w:lang w:val="it-IT" w:eastAsia="it-IT"/>
          <w14:ligatures w14:val="none"/>
        </w:rPr>
      </w:pPr>
    </w:p>
    <w:p w14:paraId="23E1DA8E" w14:textId="6ADB86AD" w:rsidR="008E62CF" w:rsidRPr="00D47339" w:rsidRDefault="008E62CF" w:rsidP="00004DB8">
      <w:pPr>
        <w:spacing w:after="0" w:line="360" w:lineRule="auto"/>
        <w:jc w:val="center"/>
        <w:rPr>
          <w:rFonts w:ascii="Times New Roman" w:eastAsia="Times New Roman" w:hAnsi="Times New Roman" w:cs="Times New Roman"/>
          <w:i/>
          <w:iCs/>
          <w:noProof/>
          <w:kern w:val="0"/>
          <w:sz w:val="24"/>
          <w:szCs w:val="24"/>
          <w:lang w:val="it-IT" w:eastAsia="it-IT"/>
          <w14:ligatures w14:val="none"/>
        </w:rPr>
      </w:pPr>
      <w:r w:rsidRPr="00D47339">
        <w:rPr>
          <w:rFonts w:ascii="Times New Roman" w:eastAsia="Times New Roman" w:hAnsi="Times New Roman" w:cs="Times New Roman"/>
          <w:i/>
          <w:iCs/>
          <w:noProof/>
          <w:kern w:val="0"/>
          <w:sz w:val="24"/>
          <w:szCs w:val="24"/>
          <w:lang w:val="it-IT" w:eastAsia="it-IT"/>
          <w14:ligatures w14:val="none"/>
        </w:rPr>
        <w:t>I criteri ambientali minimi negli appalti pubblici: questioni di diritto processuale e di diritto sostanziale</w:t>
      </w:r>
      <w:r w:rsidRPr="00D47339">
        <w:rPr>
          <w:rStyle w:val="Rimandonotaapidipagina"/>
          <w:rFonts w:ascii="Times New Roman" w:eastAsia="Times New Roman" w:hAnsi="Times New Roman" w:cs="Times New Roman"/>
          <w:i/>
          <w:iCs/>
          <w:noProof/>
          <w:kern w:val="0"/>
          <w:sz w:val="24"/>
          <w:szCs w:val="24"/>
          <w:lang w:val="it-IT" w:eastAsia="it-IT"/>
          <w14:ligatures w14:val="none"/>
        </w:rPr>
        <w:footnoteReference w:id="2"/>
      </w:r>
    </w:p>
    <w:p w14:paraId="35378438" w14:textId="77777777" w:rsidR="00D47339" w:rsidRPr="00D47339" w:rsidRDefault="00D47339" w:rsidP="00B75610">
      <w:pPr>
        <w:spacing w:after="0" w:line="360" w:lineRule="auto"/>
        <w:jc w:val="both"/>
        <w:rPr>
          <w:rFonts w:ascii="Times New Roman" w:eastAsia="Times New Roman" w:hAnsi="Times New Roman" w:cs="Times New Roman"/>
          <w:b/>
          <w:bCs/>
          <w:noProof/>
          <w:kern w:val="0"/>
          <w:sz w:val="24"/>
          <w:szCs w:val="24"/>
          <w:lang w:val="it-IT" w:eastAsia="it-IT"/>
          <w14:ligatures w14:val="none"/>
        </w:rPr>
      </w:pPr>
    </w:p>
    <w:p w14:paraId="27052C82" w14:textId="2D050903" w:rsidR="001F5964" w:rsidRPr="00D47339" w:rsidRDefault="001F5964" w:rsidP="00B75610">
      <w:pPr>
        <w:spacing w:after="0" w:line="360" w:lineRule="auto"/>
        <w:jc w:val="both"/>
        <w:rPr>
          <w:rFonts w:ascii="Times New Roman" w:eastAsia="Times New Roman" w:hAnsi="Times New Roman" w:cs="Times New Roman"/>
          <w:b/>
          <w:bCs/>
          <w:noProof/>
          <w:kern w:val="0"/>
          <w:sz w:val="24"/>
          <w:szCs w:val="24"/>
          <w:lang w:val="it-IT" w:eastAsia="it-IT"/>
          <w14:ligatures w14:val="none"/>
        </w:rPr>
      </w:pPr>
      <w:r w:rsidRPr="00D47339">
        <w:rPr>
          <w:rFonts w:ascii="Times New Roman" w:eastAsia="Times New Roman" w:hAnsi="Times New Roman" w:cs="Times New Roman"/>
          <w:b/>
          <w:bCs/>
          <w:noProof/>
          <w:kern w:val="0"/>
          <w:sz w:val="24"/>
          <w:szCs w:val="24"/>
          <w:lang w:val="it-IT" w:eastAsia="it-IT"/>
          <w14:ligatures w14:val="none"/>
        </w:rPr>
        <w:t>1. Premessa e inquadramento sistematico</w:t>
      </w:r>
    </w:p>
    <w:p w14:paraId="391CABA6" w14:textId="37894D28" w:rsidR="00B75610" w:rsidRPr="00D47339"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L</w:t>
      </w:r>
      <w:r w:rsidR="00D47339">
        <w:rPr>
          <w:rFonts w:ascii="Times New Roman" w:eastAsia="Times New Roman" w:hAnsi="Times New Roman" w:cs="Times New Roman"/>
          <w:noProof/>
          <w:kern w:val="0"/>
          <w:sz w:val="24"/>
          <w:szCs w:val="24"/>
          <w:lang w:val="it-IT" w:eastAsia="it-IT"/>
          <w14:ligatures w14:val="none"/>
        </w:rPr>
        <w:t>’utilizzo del contratto di appalto pubblico per finalità di tutela ambientale trova il suo fondamento nel</w:t>
      </w:r>
      <w:r w:rsidRPr="00D47339">
        <w:rPr>
          <w:rFonts w:ascii="Times New Roman" w:eastAsia="Times New Roman" w:hAnsi="Times New Roman" w:cs="Times New Roman"/>
          <w:noProof/>
          <w:kern w:val="0"/>
          <w:sz w:val="24"/>
          <w:szCs w:val="24"/>
          <w:lang w:val="it-IT" w:eastAsia="it-IT"/>
          <w14:ligatures w14:val="none"/>
        </w:rPr>
        <w:t xml:space="preserve"> “principio di integrazione di matrice europea, di cui all’art. 11 TFUE”</w:t>
      </w:r>
      <w:r w:rsidRPr="00D47339">
        <w:rPr>
          <w:rFonts w:ascii="Times New Roman" w:eastAsia="Times New Roman" w:hAnsi="Times New Roman" w:cs="Times New Roman"/>
          <w:noProof/>
          <w:kern w:val="0"/>
          <w:sz w:val="24"/>
          <w:szCs w:val="24"/>
          <w:vertAlign w:val="superscript"/>
          <w:lang w:val="it-IT" w:eastAsia="it-IT"/>
          <w14:ligatures w14:val="none"/>
        </w:rPr>
        <w:footnoteReference w:id="3"/>
      </w:r>
      <w:r w:rsidRPr="00D47339">
        <w:rPr>
          <w:rFonts w:ascii="Times New Roman" w:eastAsia="Times New Roman" w:hAnsi="Times New Roman" w:cs="Times New Roman"/>
          <w:noProof/>
          <w:kern w:val="0"/>
          <w:sz w:val="24"/>
          <w:szCs w:val="24"/>
          <w:lang w:val="it-IT" w:eastAsia="it-IT"/>
          <w14:ligatures w14:val="none"/>
        </w:rPr>
        <w:t>.</w:t>
      </w:r>
    </w:p>
    <w:p w14:paraId="1BF1CB49" w14:textId="77777777" w:rsidR="00B75610"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La necessità di un “approccio integrato”</w:t>
      </w:r>
      <w:r w:rsidRPr="00D47339">
        <w:rPr>
          <w:rFonts w:ascii="Times New Roman" w:eastAsia="Times New Roman" w:hAnsi="Times New Roman" w:cs="Times New Roman"/>
          <w:noProof/>
          <w:kern w:val="0"/>
          <w:sz w:val="24"/>
          <w:szCs w:val="24"/>
          <w:vertAlign w:val="superscript"/>
          <w:lang w:val="it-IT" w:eastAsia="it-IT"/>
          <w14:ligatures w14:val="none"/>
        </w:rPr>
        <w:footnoteReference w:id="4"/>
      </w:r>
      <w:r w:rsidRPr="00D47339">
        <w:rPr>
          <w:rFonts w:ascii="Times New Roman" w:eastAsia="Times New Roman" w:hAnsi="Times New Roman" w:cs="Times New Roman"/>
          <w:noProof/>
          <w:kern w:val="0"/>
          <w:sz w:val="24"/>
          <w:szCs w:val="24"/>
          <w:lang w:val="it-IT" w:eastAsia="it-IT"/>
          <w14:ligatures w14:val="none"/>
        </w:rPr>
        <w:t xml:space="preserve"> emerge particolarmente nella materia dei criteri ambientali minimi, da inseririsi obbligatoriamente nei contratti di appalto stipulati dalla pubblica amministrazione, ai sensi dell’art. 57 del d. lgs. n. 36 del 2023.</w:t>
      </w:r>
    </w:p>
    <w:p w14:paraId="74602582" w14:textId="17937AFE" w:rsidR="00F37BDB" w:rsidRPr="00D47339" w:rsidRDefault="00F37BDB"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Tale disciplina rappresenta la declinazione nell’ordinamento interno d</w:t>
      </w:r>
      <w:r w:rsidR="0043003B">
        <w:rPr>
          <w:rFonts w:ascii="Times New Roman" w:eastAsia="Times New Roman" w:hAnsi="Times New Roman" w:cs="Times New Roman"/>
          <w:noProof/>
          <w:kern w:val="0"/>
          <w:sz w:val="24"/>
          <w:szCs w:val="24"/>
          <w:lang w:val="it-IT" w:eastAsia="it-IT"/>
          <w14:ligatures w14:val="none"/>
        </w:rPr>
        <w:t>e</w:t>
      </w:r>
      <w:r>
        <w:rPr>
          <w:rFonts w:ascii="Times New Roman" w:eastAsia="Times New Roman" w:hAnsi="Times New Roman" w:cs="Times New Roman"/>
          <w:noProof/>
          <w:kern w:val="0"/>
          <w:sz w:val="24"/>
          <w:szCs w:val="24"/>
          <w:lang w:val="it-IT" w:eastAsia="it-IT"/>
          <w14:ligatures w14:val="none"/>
        </w:rPr>
        <w:t xml:space="preserve">lla tensione europea verso i </w:t>
      </w:r>
      <w:r w:rsidRPr="00F37BDB">
        <w:rPr>
          <w:rFonts w:ascii="Times New Roman" w:eastAsia="Times New Roman" w:hAnsi="Times New Roman" w:cs="Times New Roman"/>
          <w:i/>
          <w:iCs/>
          <w:noProof/>
          <w:kern w:val="0"/>
          <w:sz w:val="24"/>
          <w:szCs w:val="24"/>
          <w:lang w:val="it-IT" w:eastAsia="it-IT"/>
          <w14:ligatures w14:val="none"/>
        </w:rPr>
        <w:t>green public procurement</w:t>
      </w:r>
      <w:r>
        <w:rPr>
          <w:rFonts w:ascii="Times New Roman" w:eastAsia="Times New Roman" w:hAnsi="Times New Roman" w:cs="Times New Roman"/>
          <w:noProof/>
          <w:kern w:val="0"/>
          <w:sz w:val="24"/>
          <w:szCs w:val="24"/>
          <w:lang w:val="it-IT" w:eastAsia="it-IT"/>
          <w14:ligatures w14:val="none"/>
        </w:rPr>
        <w:t>.</w:t>
      </w:r>
      <w:r>
        <w:rPr>
          <w:rStyle w:val="Rimandonotaapidipagina"/>
          <w:rFonts w:ascii="Times New Roman" w:eastAsia="Times New Roman" w:hAnsi="Times New Roman" w:cs="Times New Roman"/>
          <w:noProof/>
          <w:kern w:val="0"/>
          <w:sz w:val="24"/>
          <w:szCs w:val="24"/>
          <w:lang w:val="it-IT" w:eastAsia="it-IT"/>
          <w14:ligatures w14:val="none"/>
        </w:rPr>
        <w:footnoteReference w:id="5"/>
      </w:r>
    </w:p>
    <w:p w14:paraId="26107581" w14:textId="6BD0BA48" w:rsidR="00B75610" w:rsidRPr="00D47339"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Si è già osservato in proposito come su questo versante si sia “passati dalla fase (….) in cui ci si chiedeva se le pubbliche amministrazioni potessero introdurre nei contratti criteri ambientali molto stringenti, tali da delimitare la platea degli offerenti, alla fase attuale – segnata, evidentemente,  dalla presa d’atto dell’assenza di una tensione spontanea delle amministrazioni verso obiettivi di sostenibilità, ancorché meramente concorrenti rispetto allo scopo immediato del negozio – in cui ormai esse invece devono prevedere che la prestazione contrattuale venga eseguita nel rispetto di standard minimi finalizzati a garantire la tutela dell’ambiente (senza che ciò trovi un limite nella tutela della concorrenza, il cui gioco deve anzi svolgersi adeguando l’offerta a questo nuovo tipo di domanda)”</w:t>
      </w:r>
      <w:r w:rsidRPr="00D47339">
        <w:rPr>
          <w:rFonts w:ascii="Times New Roman" w:eastAsia="Times New Roman" w:hAnsi="Times New Roman" w:cs="Times New Roman"/>
          <w:noProof/>
          <w:kern w:val="0"/>
          <w:sz w:val="24"/>
          <w:szCs w:val="24"/>
          <w:vertAlign w:val="superscript"/>
          <w:lang w:val="it-IT" w:eastAsia="it-IT"/>
          <w14:ligatures w14:val="none"/>
        </w:rPr>
        <w:footnoteReference w:id="6"/>
      </w:r>
      <w:r w:rsidRPr="00D47339">
        <w:rPr>
          <w:rFonts w:ascii="Times New Roman" w:eastAsia="Times New Roman" w:hAnsi="Times New Roman" w:cs="Times New Roman"/>
          <w:noProof/>
          <w:kern w:val="0"/>
          <w:sz w:val="24"/>
          <w:szCs w:val="24"/>
          <w:lang w:val="it-IT" w:eastAsia="it-IT"/>
          <w14:ligatures w14:val="none"/>
        </w:rPr>
        <w:t>.</w:t>
      </w:r>
    </w:p>
    <w:p w14:paraId="2D29F301" w14:textId="77777777" w:rsidR="00C75D3C" w:rsidRDefault="00C75D3C" w:rsidP="00C75D3C">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lastRenderedPageBreak/>
        <w:t>Si tratta, per richiamare una felice espressione, del passaggio “dal consiglio al vincolo”.</w:t>
      </w:r>
      <w:r w:rsidRPr="00D47339">
        <w:rPr>
          <w:rFonts w:ascii="Times New Roman" w:eastAsia="Times New Roman" w:hAnsi="Times New Roman" w:cs="Times New Roman"/>
          <w:noProof/>
          <w:kern w:val="0"/>
          <w:sz w:val="24"/>
          <w:szCs w:val="24"/>
          <w:vertAlign w:val="superscript"/>
          <w:lang w:val="it-IT" w:eastAsia="it-IT"/>
          <w14:ligatures w14:val="none"/>
        </w:rPr>
        <w:footnoteReference w:id="7"/>
      </w:r>
    </w:p>
    <w:p w14:paraId="2908D6EB" w14:textId="3BB32C9B" w:rsidR="00D47339" w:rsidRDefault="00D47339" w:rsidP="00C75D3C">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Il citato art. 57 si pone in linea di continuità con l’art</w:t>
      </w:r>
      <w:r w:rsidR="00A0738C">
        <w:rPr>
          <w:rFonts w:ascii="Times New Roman" w:eastAsia="Times New Roman" w:hAnsi="Times New Roman" w:cs="Times New Roman"/>
          <w:noProof/>
          <w:kern w:val="0"/>
          <w:sz w:val="24"/>
          <w:szCs w:val="24"/>
          <w:lang w:val="it-IT" w:eastAsia="it-IT"/>
          <w14:ligatures w14:val="none"/>
        </w:rPr>
        <w:t xml:space="preserve">. </w:t>
      </w:r>
      <w:r w:rsidR="00D07E83" w:rsidRPr="00D07E83">
        <w:rPr>
          <w:rFonts w:ascii="Times New Roman" w:eastAsia="Times New Roman" w:hAnsi="Times New Roman" w:cs="Times New Roman"/>
          <w:noProof/>
          <w:kern w:val="0"/>
          <w:sz w:val="24"/>
          <w:szCs w:val="24"/>
          <w:lang w:val="it-IT" w:eastAsia="it-IT"/>
          <w14:ligatures w14:val="none"/>
        </w:rPr>
        <w:t>34, comma 1, del d. lgs. n. 50 del 2016</w:t>
      </w:r>
      <w:r w:rsidR="00D07E83">
        <w:rPr>
          <w:rFonts w:ascii="Times New Roman" w:eastAsia="Times New Roman" w:hAnsi="Times New Roman" w:cs="Times New Roman"/>
          <w:noProof/>
          <w:kern w:val="0"/>
          <w:sz w:val="24"/>
          <w:szCs w:val="24"/>
          <w:lang w:val="it-IT" w:eastAsia="it-IT"/>
          <w14:ligatures w14:val="none"/>
        </w:rPr>
        <w:t>: ancorché la formulazione letterale delle due disposizioni possa apparire diversa.</w:t>
      </w:r>
      <w:r w:rsidR="00A0738C">
        <w:rPr>
          <w:rStyle w:val="Rimandonotaapidipagina"/>
          <w:rFonts w:ascii="Times New Roman" w:eastAsia="Times New Roman" w:hAnsi="Times New Roman" w:cs="Times New Roman"/>
          <w:noProof/>
          <w:kern w:val="0"/>
          <w:sz w:val="24"/>
          <w:szCs w:val="24"/>
          <w:lang w:val="it-IT" w:eastAsia="it-IT"/>
          <w14:ligatures w14:val="none"/>
        </w:rPr>
        <w:footnoteReference w:id="8"/>
      </w:r>
    </w:p>
    <w:p w14:paraId="7CA99F70" w14:textId="2DE13421" w:rsidR="00D84AC2" w:rsidRDefault="005D56CD" w:rsidP="00C75D3C">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Tale disposizione ha recentemente posto delle interessanti questioni applicative, che si esamineranno brevemente di seguito</w:t>
      </w:r>
      <w:r w:rsidR="00D84AC2">
        <w:rPr>
          <w:rFonts w:ascii="Times New Roman" w:eastAsia="Times New Roman" w:hAnsi="Times New Roman" w:cs="Times New Roman"/>
          <w:noProof/>
          <w:kern w:val="0"/>
          <w:sz w:val="24"/>
          <w:szCs w:val="24"/>
          <w:lang w:val="it-IT" w:eastAsia="it-IT"/>
          <w14:ligatures w14:val="none"/>
        </w:rPr>
        <w:t>.</w:t>
      </w:r>
      <w:r w:rsidR="00EC3F5F">
        <w:rPr>
          <w:rStyle w:val="Rimandonotaapidipagina"/>
          <w:rFonts w:ascii="Times New Roman" w:eastAsia="Times New Roman" w:hAnsi="Times New Roman" w:cs="Times New Roman"/>
          <w:noProof/>
          <w:kern w:val="0"/>
          <w:sz w:val="24"/>
          <w:szCs w:val="24"/>
          <w:lang w:val="it-IT" w:eastAsia="it-IT"/>
          <w14:ligatures w14:val="none"/>
        </w:rPr>
        <w:footnoteReference w:id="9"/>
      </w:r>
    </w:p>
    <w:p w14:paraId="4DFD15F5" w14:textId="40587A33" w:rsidR="005D56CD" w:rsidRDefault="00D84AC2" w:rsidP="00C75D3C">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Va però anzitutto segnalata, </w:t>
      </w:r>
      <w:r w:rsidR="005D56CD">
        <w:rPr>
          <w:rFonts w:ascii="Times New Roman" w:eastAsia="Times New Roman" w:hAnsi="Times New Roman" w:cs="Times New Roman"/>
          <w:noProof/>
          <w:kern w:val="0"/>
          <w:sz w:val="24"/>
          <w:szCs w:val="24"/>
          <w:lang w:val="it-IT" w:eastAsia="it-IT"/>
          <w14:ligatures w14:val="none"/>
        </w:rPr>
        <w:t>in premessa, la necessità di cogliere la relazione di rigorosa propedeuticità che lega la dimensione sostanziale a quella processuale del problema</w:t>
      </w:r>
      <w:r>
        <w:rPr>
          <w:rFonts w:ascii="Times New Roman" w:eastAsia="Times New Roman" w:hAnsi="Times New Roman" w:cs="Times New Roman"/>
          <w:noProof/>
          <w:kern w:val="0"/>
          <w:sz w:val="24"/>
          <w:szCs w:val="24"/>
          <w:lang w:val="it-IT" w:eastAsia="it-IT"/>
          <w14:ligatures w14:val="none"/>
        </w:rPr>
        <w:t>:</w:t>
      </w:r>
      <w:r w:rsidR="005D56CD">
        <w:rPr>
          <w:rFonts w:ascii="Times New Roman" w:eastAsia="Times New Roman" w:hAnsi="Times New Roman" w:cs="Times New Roman"/>
          <w:noProof/>
          <w:kern w:val="0"/>
          <w:sz w:val="24"/>
          <w:szCs w:val="24"/>
          <w:lang w:val="it-IT" w:eastAsia="it-IT"/>
          <w14:ligatures w14:val="none"/>
        </w:rPr>
        <w:t xml:space="preserve"> posto che solo una esatta </w:t>
      </w:r>
      <w:r>
        <w:rPr>
          <w:rFonts w:ascii="Times New Roman" w:eastAsia="Times New Roman" w:hAnsi="Times New Roman" w:cs="Times New Roman"/>
          <w:noProof/>
          <w:kern w:val="0"/>
          <w:sz w:val="24"/>
          <w:szCs w:val="24"/>
          <w:lang w:val="it-IT" w:eastAsia="it-IT"/>
          <w14:ligatures w14:val="none"/>
        </w:rPr>
        <w:t xml:space="preserve">percezione degli interessi coinvolti, coerente al modello di tutela che anche in ambito </w:t>
      </w:r>
      <w:r>
        <w:rPr>
          <w:rFonts w:ascii="Times New Roman" w:eastAsia="Times New Roman" w:hAnsi="Times New Roman" w:cs="Times New Roman"/>
          <w:noProof/>
          <w:kern w:val="0"/>
          <w:sz w:val="24"/>
          <w:szCs w:val="24"/>
          <w:lang w:val="it-IT" w:eastAsia="it-IT"/>
          <w14:ligatures w14:val="none"/>
        </w:rPr>
        <w:lastRenderedPageBreak/>
        <w:t xml:space="preserve">comunitario è alla base dell’istituto, costituisce valida premessa delle conseguenti implicazioni di natura processuale. </w:t>
      </w:r>
      <w:r w:rsidR="005D56CD">
        <w:rPr>
          <w:rFonts w:ascii="Times New Roman" w:eastAsia="Times New Roman" w:hAnsi="Times New Roman" w:cs="Times New Roman"/>
          <w:noProof/>
          <w:kern w:val="0"/>
          <w:sz w:val="24"/>
          <w:szCs w:val="24"/>
          <w:lang w:val="it-IT" w:eastAsia="it-IT"/>
          <w14:ligatures w14:val="none"/>
        </w:rPr>
        <w:t xml:space="preserve"> </w:t>
      </w:r>
    </w:p>
    <w:p w14:paraId="0971973A" w14:textId="77777777" w:rsidR="00F71441" w:rsidRDefault="00F71441" w:rsidP="00F71441">
      <w:pPr>
        <w:spacing w:after="0" w:line="360" w:lineRule="auto"/>
        <w:jc w:val="both"/>
        <w:rPr>
          <w:rFonts w:ascii="Times New Roman" w:eastAsia="Times New Roman" w:hAnsi="Times New Roman" w:cs="Times New Roman"/>
          <w:b/>
          <w:bCs/>
          <w:noProof/>
          <w:kern w:val="0"/>
          <w:sz w:val="24"/>
          <w:szCs w:val="24"/>
          <w:lang w:val="it-IT" w:eastAsia="it-IT"/>
          <w14:ligatures w14:val="none"/>
        </w:rPr>
      </w:pPr>
    </w:p>
    <w:p w14:paraId="0B86D244" w14:textId="2F87D7E1" w:rsidR="00F71441" w:rsidRPr="00D47339" w:rsidRDefault="00F71441" w:rsidP="00F71441">
      <w:pPr>
        <w:spacing w:after="0" w:line="360" w:lineRule="auto"/>
        <w:jc w:val="both"/>
        <w:rPr>
          <w:rFonts w:ascii="Times New Roman" w:eastAsia="Times New Roman" w:hAnsi="Times New Roman" w:cs="Times New Roman"/>
          <w:b/>
          <w:bCs/>
          <w:noProof/>
          <w:kern w:val="0"/>
          <w:sz w:val="24"/>
          <w:szCs w:val="24"/>
          <w:lang w:val="it-IT" w:eastAsia="it-IT"/>
          <w14:ligatures w14:val="none"/>
        </w:rPr>
      </w:pPr>
      <w:r>
        <w:rPr>
          <w:rFonts w:ascii="Times New Roman" w:eastAsia="Times New Roman" w:hAnsi="Times New Roman" w:cs="Times New Roman"/>
          <w:b/>
          <w:bCs/>
          <w:noProof/>
          <w:kern w:val="0"/>
          <w:sz w:val="24"/>
          <w:szCs w:val="24"/>
          <w:lang w:val="it-IT" w:eastAsia="it-IT"/>
          <w14:ligatures w14:val="none"/>
        </w:rPr>
        <w:t>2</w:t>
      </w:r>
      <w:r w:rsidRPr="00D47339">
        <w:rPr>
          <w:rFonts w:ascii="Times New Roman" w:eastAsia="Times New Roman" w:hAnsi="Times New Roman" w:cs="Times New Roman"/>
          <w:b/>
          <w:bCs/>
          <w:noProof/>
          <w:kern w:val="0"/>
          <w:sz w:val="24"/>
          <w:szCs w:val="24"/>
          <w:lang w:val="it-IT" w:eastAsia="it-IT"/>
          <w14:ligatures w14:val="none"/>
        </w:rPr>
        <w:t>. Profili di diritto sostanziale</w:t>
      </w:r>
    </w:p>
    <w:p w14:paraId="4E3D3A9E" w14:textId="41205F39" w:rsidR="00F71441" w:rsidRPr="00D47339"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Sul piano </w:t>
      </w:r>
      <w:r>
        <w:rPr>
          <w:rFonts w:ascii="Times New Roman" w:eastAsia="Times New Roman" w:hAnsi="Times New Roman" w:cs="Times New Roman"/>
          <w:noProof/>
          <w:kern w:val="0"/>
          <w:sz w:val="24"/>
          <w:szCs w:val="24"/>
          <w:lang w:val="it-IT" w:eastAsia="it-IT"/>
          <w14:ligatures w14:val="none"/>
        </w:rPr>
        <w:t xml:space="preserve">del diritto </w:t>
      </w:r>
      <w:r w:rsidRPr="00D47339">
        <w:rPr>
          <w:rFonts w:ascii="Times New Roman" w:eastAsia="Times New Roman" w:hAnsi="Times New Roman" w:cs="Times New Roman"/>
          <w:noProof/>
          <w:kern w:val="0"/>
          <w:sz w:val="24"/>
          <w:szCs w:val="24"/>
          <w:lang w:val="it-IT" w:eastAsia="it-IT"/>
          <w14:ligatures w14:val="none"/>
        </w:rPr>
        <w:t xml:space="preserve">sostanziale va segnalato che </w:t>
      </w:r>
      <w:r>
        <w:rPr>
          <w:rFonts w:ascii="Times New Roman" w:eastAsia="Times New Roman" w:hAnsi="Times New Roman" w:cs="Times New Roman"/>
          <w:noProof/>
          <w:kern w:val="0"/>
          <w:sz w:val="24"/>
          <w:szCs w:val="24"/>
          <w:lang w:val="it-IT" w:eastAsia="it-IT"/>
          <w14:ligatures w14:val="none"/>
        </w:rPr>
        <w:t xml:space="preserve">il contenzioso evidenzia </w:t>
      </w:r>
      <w:r w:rsidRPr="00D47339">
        <w:rPr>
          <w:rFonts w:ascii="Times New Roman" w:eastAsia="Times New Roman" w:hAnsi="Times New Roman" w:cs="Times New Roman"/>
          <w:noProof/>
          <w:kern w:val="0"/>
          <w:sz w:val="24"/>
          <w:szCs w:val="24"/>
          <w:lang w:val="it-IT" w:eastAsia="it-IT"/>
          <w14:ligatures w14:val="none"/>
        </w:rPr>
        <w:t xml:space="preserve">una certa ritrosia delle pubbliche amministrazioni a praticare la tutela dell’ambiente mediante l’effettivo ricorso al vincolo contrattuale </w:t>
      </w:r>
      <w:r w:rsidR="008366D2">
        <w:rPr>
          <w:rFonts w:ascii="Times New Roman" w:eastAsia="Times New Roman" w:hAnsi="Times New Roman" w:cs="Times New Roman"/>
          <w:noProof/>
          <w:kern w:val="0"/>
          <w:sz w:val="24"/>
          <w:szCs w:val="24"/>
          <w:lang w:val="it-IT" w:eastAsia="it-IT"/>
          <w14:ligatures w14:val="none"/>
        </w:rPr>
        <w:t>disciplinato in concreto</w:t>
      </w:r>
      <w:r w:rsidRPr="00D47339">
        <w:rPr>
          <w:rFonts w:ascii="Times New Roman" w:eastAsia="Times New Roman" w:hAnsi="Times New Roman" w:cs="Times New Roman"/>
          <w:noProof/>
          <w:kern w:val="0"/>
          <w:sz w:val="24"/>
          <w:szCs w:val="24"/>
          <w:lang w:val="it-IT" w:eastAsia="it-IT"/>
          <w14:ligatures w14:val="none"/>
        </w:rPr>
        <w:t xml:space="preserve"> </w:t>
      </w:r>
      <w:r w:rsidR="008366D2">
        <w:rPr>
          <w:rFonts w:ascii="Times New Roman" w:eastAsia="Times New Roman" w:hAnsi="Times New Roman" w:cs="Times New Roman"/>
          <w:noProof/>
          <w:kern w:val="0"/>
          <w:sz w:val="24"/>
          <w:szCs w:val="24"/>
          <w:lang w:val="it-IT" w:eastAsia="it-IT"/>
          <w14:ligatures w14:val="none"/>
        </w:rPr>
        <w:t>da</w:t>
      </w:r>
      <w:r w:rsidRPr="00D47339">
        <w:rPr>
          <w:rFonts w:ascii="Times New Roman" w:eastAsia="Times New Roman" w:hAnsi="Times New Roman" w:cs="Times New Roman"/>
          <w:noProof/>
          <w:kern w:val="0"/>
          <w:sz w:val="24"/>
          <w:szCs w:val="24"/>
          <w:lang w:val="it-IT" w:eastAsia="it-IT"/>
          <w14:ligatures w14:val="none"/>
        </w:rPr>
        <w:t>i criteri ambientali minimi</w:t>
      </w:r>
      <w:r w:rsidR="008366D2">
        <w:rPr>
          <w:rFonts w:ascii="Times New Roman" w:eastAsia="Times New Roman" w:hAnsi="Times New Roman" w:cs="Times New Roman"/>
          <w:noProof/>
          <w:kern w:val="0"/>
          <w:sz w:val="24"/>
          <w:szCs w:val="24"/>
          <w:lang w:val="it-IT" w:eastAsia="it-IT"/>
          <w14:ligatures w14:val="none"/>
        </w:rPr>
        <w:t>: speso giustificata con l’affermazione della predisposizione di un assetto negoziale comunque improntato in qualche modo alla sostenibilità</w:t>
      </w:r>
      <w:r w:rsidRPr="00D47339">
        <w:rPr>
          <w:rFonts w:ascii="Times New Roman" w:eastAsia="Times New Roman" w:hAnsi="Times New Roman" w:cs="Times New Roman"/>
          <w:noProof/>
          <w:kern w:val="0"/>
          <w:sz w:val="24"/>
          <w:szCs w:val="24"/>
          <w:lang w:val="it-IT" w:eastAsia="it-IT"/>
          <w14:ligatures w14:val="none"/>
        </w:rPr>
        <w:t>.</w:t>
      </w:r>
    </w:p>
    <w:p w14:paraId="1DFE96EB" w14:textId="433A0DAB" w:rsidR="00F71441" w:rsidRPr="00D47339"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La giurisprudenza </w:t>
      </w:r>
      <w:r w:rsidR="008366D2">
        <w:rPr>
          <w:rFonts w:ascii="Times New Roman" w:eastAsia="Times New Roman" w:hAnsi="Times New Roman" w:cs="Times New Roman"/>
          <w:noProof/>
          <w:kern w:val="0"/>
          <w:sz w:val="24"/>
          <w:szCs w:val="24"/>
          <w:lang w:val="it-IT" w:eastAsia="it-IT"/>
          <w14:ligatures w14:val="none"/>
        </w:rPr>
        <w:t xml:space="preserve">maggioritaria </w:t>
      </w:r>
      <w:r w:rsidRPr="00D47339">
        <w:rPr>
          <w:rFonts w:ascii="Times New Roman" w:eastAsia="Times New Roman" w:hAnsi="Times New Roman" w:cs="Times New Roman"/>
          <w:noProof/>
          <w:kern w:val="0"/>
          <w:sz w:val="24"/>
          <w:szCs w:val="24"/>
          <w:lang w:val="it-IT" w:eastAsia="it-IT"/>
          <w14:ligatures w14:val="none"/>
        </w:rPr>
        <w:t xml:space="preserve">ha </w:t>
      </w:r>
      <w:r w:rsidR="0043003B">
        <w:rPr>
          <w:rFonts w:ascii="Times New Roman" w:eastAsia="Times New Roman" w:hAnsi="Times New Roman" w:cs="Times New Roman"/>
          <w:noProof/>
          <w:kern w:val="0"/>
          <w:sz w:val="24"/>
          <w:szCs w:val="24"/>
          <w:lang w:val="it-IT" w:eastAsia="it-IT"/>
          <w14:ligatures w14:val="none"/>
        </w:rPr>
        <w:t xml:space="preserve">tuttavia </w:t>
      </w:r>
      <w:r w:rsidR="008366D2">
        <w:rPr>
          <w:rFonts w:ascii="Times New Roman" w:eastAsia="Times New Roman" w:hAnsi="Times New Roman" w:cs="Times New Roman"/>
          <w:noProof/>
          <w:kern w:val="0"/>
          <w:sz w:val="24"/>
          <w:szCs w:val="24"/>
          <w:lang w:val="it-IT" w:eastAsia="it-IT"/>
          <w14:ligatures w14:val="none"/>
        </w:rPr>
        <w:t>in proposito</w:t>
      </w:r>
      <w:r w:rsidRPr="00D47339">
        <w:rPr>
          <w:rFonts w:ascii="Times New Roman" w:eastAsia="Times New Roman" w:hAnsi="Times New Roman" w:cs="Times New Roman"/>
          <w:noProof/>
          <w:kern w:val="0"/>
          <w:sz w:val="24"/>
          <w:szCs w:val="24"/>
          <w:lang w:val="it-IT" w:eastAsia="it-IT"/>
          <w14:ligatures w14:val="none"/>
        </w:rPr>
        <w:t xml:space="preserve"> escluso, in virtù della disciplina recata dal richiamato art. 57, l’affermata recessività dell’integrale inserimento  di tali criteri nella legge di gara, rispetto ad una malintesa concezione dei princìpi del risultato e della fiducia.</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0"/>
      </w:r>
    </w:p>
    <w:p w14:paraId="4AF06ED7" w14:textId="77777777" w:rsidR="00F71441" w:rsidRPr="00D47339"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Anche perché, come è stato efficacemente chiarito in dottrina, “Il risultato è conseguito se risolve correttamente il problema e se è in grado di corrispondere al bisogno”</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1"/>
      </w:r>
      <w:r w:rsidRPr="00D47339">
        <w:rPr>
          <w:rFonts w:ascii="Times New Roman" w:eastAsia="Times New Roman" w:hAnsi="Times New Roman" w:cs="Times New Roman"/>
          <w:noProof/>
          <w:kern w:val="0"/>
          <w:sz w:val="24"/>
          <w:szCs w:val="24"/>
          <w:lang w:val="it-IT" w:eastAsia="it-IT"/>
          <w14:ligatures w14:val="none"/>
        </w:rPr>
        <w:t>, e “lo sviluppo sostenibile conforma la logica del risultato e va ben oltre la nozione statica di risultato che discende dall’art. 21-octies, c. 2, l. n. 241/1990”</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2"/>
      </w:r>
      <w:r w:rsidRPr="00D47339">
        <w:rPr>
          <w:rFonts w:ascii="Times New Roman" w:eastAsia="Times New Roman" w:hAnsi="Times New Roman" w:cs="Times New Roman"/>
          <w:noProof/>
          <w:kern w:val="0"/>
          <w:sz w:val="24"/>
          <w:szCs w:val="24"/>
          <w:lang w:val="it-IT" w:eastAsia="it-IT"/>
          <w14:ligatures w14:val="none"/>
        </w:rPr>
        <w:t>.</w:t>
      </w:r>
    </w:p>
    <w:p w14:paraId="04D91429" w14:textId="77777777" w:rsidR="00F71441" w:rsidRPr="00D47339"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lastRenderedPageBreak/>
        <w:t>Non vanno dunque trascurati i moniti della dottrina contro un sindacato giurisdizionale che, attraverso il principio del risultato o quello della fiducia, affermasse la centralità delle esigenze di mero approvvigionamento della committenza pubblica.</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3"/>
      </w:r>
    </w:p>
    <w:p w14:paraId="16E72B82" w14:textId="77777777"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Una simile interpretazione attuerebbe i princìpi del codice dei contratti pubblici in modo non corrispondente al loro reale significato normativo,</w:t>
      </w:r>
      <w:r w:rsidRPr="00D47339">
        <w:rPr>
          <w:rFonts w:ascii="Times New Roman" w:eastAsia="Times New Roman" w:hAnsi="Times New Roman" w:cs="Times New Roman"/>
          <w:noProof/>
          <w:kern w:val="0"/>
          <w:sz w:val="24"/>
          <w:szCs w:val="24"/>
          <w:vertAlign w:val="superscript"/>
          <w:lang w:val="it-IT" w:eastAsia="it-IT"/>
          <w14:ligatures w14:val="none"/>
        </w:rPr>
        <w:footnoteReference w:id="14"/>
      </w:r>
      <w:r w:rsidRPr="00D47339">
        <w:rPr>
          <w:rFonts w:ascii="Times New Roman" w:eastAsia="Times New Roman" w:hAnsi="Times New Roman" w:cs="Times New Roman"/>
          <w:noProof/>
          <w:kern w:val="0"/>
          <w:sz w:val="24"/>
          <w:szCs w:val="24"/>
          <w:lang w:val="it-IT" w:eastAsia="it-IT"/>
          <w14:ligatures w14:val="none"/>
        </w:rPr>
        <w:t xml:space="preserve"> vanificando nel contempo l’effettiva operatività dei criteri ambientali minimi come efficace strumento di politica ambientale.</w:t>
      </w:r>
    </w:p>
    <w:p w14:paraId="3BD67A96" w14:textId="10E45668" w:rsidR="00EC3F5F" w:rsidRPr="00D47339" w:rsidRDefault="00EC3F5F"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Al contrario, dal codice del 2023 si ricava “il principio del risultato (anche ambientale)”.</w:t>
      </w:r>
      <w:r>
        <w:rPr>
          <w:rStyle w:val="Rimandonotaapidipagina"/>
          <w:rFonts w:ascii="Times New Roman" w:eastAsia="Times New Roman" w:hAnsi="Times New Roman" w:cs="Times New Roman"/>
          <w:noProof/>
          <w:kern w:val="0"/>
          <w:sz w:val="24"/>
          <w:szCs w:val="24"/>
          <w:lang w:val="it-IT" w:eastAsia="it-IT"/>
          <w14:ligatures w14:val="none"/>
        </w:rPr>
        <w:footnoteReference w:id="15"/>
      </w:r>
    </w:p>
    <w:p w14:paraId="3D7CE00F" w14:textId="77777777"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La giurisprudenza ha in più occasioni avuto modo di precisare che l'introduzione nel codice dei contratti pubblici del principio del risultato e di quello della fiducia non può ritenersi che abbia l'effetto di sanare eventuali illegittimità: la positivizzazione di tali princìpi, al contrario, introduce (o meglio precisa) altrettanti parametri di legittimità dell'azione amministrativa, di fatto agevolandone e non riducendone il relativo sindacato (senza peraltro estenderlo al merito: il che in materia di c.a.m. è escluso da una attenta lettura dell’art. 57): in tal senso, </w:t>
      </w:r>
      <w:r w:rsidRPr="00C45974">
        <w:rPr>
          <w:rFonts w:ascii="Times New Roman" w:eastAsia="Times New Roman" w:hAnsi="Times New Roman" w:cs="Times New Roman"/>
          <w:i/>
          <w:iCs/>
          <w:noProof/>
          <w:kern w:val="0"/>
          <w:sz w:val="24"/>
          <w:szCs w:val="24"/>
          <w:lang w:val="it-IT" w:eastAsia="it-IT"/>
          <w14:ligatures w14:val="none"/>
        </w:rPr>
        <w:t>ex multis</w:t>
      </w:r>
      <w:r w:rsidRPr="00D47339">
        <w:rPr>
          <w:rFonts w:ascii="Times New Roman" w:eastAsia="Times New Roman" w:hAnsi="Times New Roman" w:cs="Times New Roman"/>
          <w:noProof/>
          <w:kern w:val="0"/>
          <w:sz w:val="24"/>
          <w:szCs w:val="24"/>
          <w:lang w:val="it-IT" w:eastAsia="it-IT"/>
          <w14:ligatures w14:val="none"/>
        </w:rPr>
        <w:t>, Consiglio di Stato, sez. III, sentenze nn. 11322/2023, 2866/2024, 4701/2024 e 7898/2025; sez. VI, sentenza n 6337/2025.</w:t>
      </w:r>
    </w:p>
    <w:p w14:paraId="02A41971" w14:textId="252B3728"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Un recente orientamento della V Sezione del Consiglio di Stato </w:t>
      </w:r>
      <w:r w:rsidR="008366D2">
        <w:rPr>
          <w:rFonts w:ascii="Times New Roman" w:eastAsia="Times New Roman" w:hAnsi="Times New Roman" w:cs="Times New Roman"/>
          <w:noProof/>
          <w:kern w:val="0"/>
          <w:sz w:val="24"/>
          <w:szCs w:val="24"/>
          <w:lang w:val="it-IT" w:eastAsia="it-IT"/>
          <w14:ligatures w14:val="none"/>
        </w:rPr>
        <w:t>propone</w:t>
      </w:r>
      <w:r>
        <w:rPr>
          <w:rFonts w:ascii="Times New Roman" w:eastAsia="Times New Roman" w:hAnsi="Times New Roman" w:cs="Times New Roman"/>
          <w:noProof/>
          <w:kern w:val="0"/>
          <w:sz w:val="24"/>
          <w:szCs w:val="24"/>
          <w:lang w:val="it-IT" w:eastAsia="it-IT"/>
          <w14:ligatures w14:val="none"/>
        </w:rPr>
        <w:t xml:space="preserve"> tuttavia </w:t>
      </w:r>
      <w:r w:rsidR="008366D2">
        <w:rPr>
          <w:rFonts w:ascii="Times New Roman" w:eastAsia="Times New Roman" w:hAnsi="Times New Roman" w:cs="Times New Roman"/>
          <w:noProof/>
          <w:kern w:val="0"/>
          <w:sz w:val="24"/>
          <w:szCs w:val="24"/>
          <w:lang w:val="it-IT" w:eastAsia="it-IT"/>
          <w14:ligatures w14:val="none"/>
        </w:rPr>
        <w:t>una diversa interpretazione del</w:t>
      </w:r>
      <w:r>
        <w:rPr>
          <w:rFonts w:ascii="Times New Roman" w:eastAsia="Times New Roman" w:hAnsi="Times New Roman" w:cs="Times New Roman"/>
          <w:noProof/>
          <w:kern w:val="0"/>
          <w:sz w:val="24"/>
          <w:szCs w:val="24"/>
          <w:lang w:val="it-IT" w:eastAsia="it-IT"/>
          <w14:ligatures w14:val="none"/>
        </w:rPr>
        <w:t xml:space="preserve">l’obbligo </w:t>
      </w:r>
      <w:r w:rsidRPr="00F71441">
        <w:rPr>
          <w:rFonts w:ascii="Times New Roman" w:eastAsia="Times New Roman" w:hAnsi="Times New Roman" w:cs="Times New Roman"/>
          <w:i/>
          <w:iCs/>
          <w:noProof/>
          <w:kern w:val="0"/>
          <w:sz w:val="24"/>
          <w:szCs w:val="24"/>
          <w:lang w:val="it-IT" w:eastAsia="it-IT"/>
          <w14:ligatures w14:val="none"/>
        </w:rPr>
        <w:t xml:space="preserve">ex </w:t>
      </w:r>
      <w:r>
        <w:rPr>
          <w:rFonts w:ascii="Times New Roman" w:eastAsia="Times New Roman" w:hAnsi="Times New Roman" w:cs="Times New Roman"/>
          <w:noProof/>
          <w:kern w:val="0"/>
          <w:sz w:val="24"/>
          <w:szCs w:val="24"/>
          <w:lang w:val="it-IT" w:eastAsia="it-IT"/>
          <w14:ligatures w14:val="none"/>
        </w:rPr>
        <w:t>art. 57 alla luce dei princìpi del risultato, della fiducia e di buona fede.</w:t>
      </w:r>
    </w:p>
    <w:p w14:paraId="3BC77698" w14:textId="319529BE"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Peraltro tale opzione ermeneutica – come si vedrà nel paragrafo successivo – implica non solo un ridimensionamento del carattere </w:t>
      </w:r>
      <w:r w:rsidRPr="00F71441">
        <w:rPr>
          <w:rFonts w:ascii="Times New Roman" w:eastAsia="Times New Roman" w:hAnsi="Times New Roman" w:cs="Times New Roman"/>
          <w:i/>
          <w:iCs/>
          <w:noProof/>
          <w:kern w:val="0"/>
          <w:sz w:val="24"/>
          <w:szCs w:val="24"/>
          <w:lang w:val="it-IT" w:eastAsia="it-IT"/>
          <w14:ligatures w14:val="none"/>
        </w:rPr>
        <w:t>mandatory</w:t>
      </w:r>
      <w:r>
        <w:rPr>
          <w:rFonts w:ascii="Times New Roman" w:eastAsia="Times New Roman" w:hAnsi="Times New Roman" w:cs="Times New Roman"/>
          <w:noProof/>
          <w:kern w:val="0"/>
          <w:sz w:val="24"/>
          <w:szCs w:val="24"/>
          <w:lang w:val="it-IT" w:eastAsia="it-IT"/>
          <w14:ligatures w14:val="none"/>
        </w:rPr>
        <w:t xml:space="preserve"> della previsione di cui all’art. 57 sul piano sostanziale, ma </w:t>
      </w:r>
      <w:r w:rsidR="00A14B84">
        <w:rPr>
          <w:rFonts w:ascii="Times New Roman" w:eastAsia="Times New Roman" w:hAnsi="Times New Roman" w:cs="Times New Roman"/>
          <w:noProof/>
          <w:kern w:val="0"/>
          <w:sz w:val="24"/>
          <w:szCs w:val="24"/>
          <w:lang w:val="it-IT" w:eastAsia="it-IT"/>
          <w14:ligatures w14:val="none"/>
        </w:rPr>
        <w:t xml:space="preserve">condiziona </w:t>
      </w:r>
      <w:r>
        <w:rPr>
          <w:rFonts w:ascii="Times New Roman" w:eastAsia="Times New Roman" w:hAnsi="Times New Roman" w:cs="Times New Roman"/>
          <w:noProof/>
          <w:kern w:val="0"/>
          <w:sz w:val="24"/>
          <w:szCs w:val="24"/>
          <w:lang w:val="it-IT" w:eastAsia="it-IT"/>
          <w14:ligatures w14:val="none"/>
        </w:rPr>
        <w:t xml:space="preserve">altresì una limitazione dell’accesso alla giustizia </w:t>
      </w:r>
      <w:r w:rsidR="008D2FEA">
        <w:rPr>
          <w:rFonts w:ascii="Times New Roman" w:eastAsia="Times New Roman" w:hAnsi="Times New Roman" w:cs="Times New Roman"/>
          <w:noProof/>
          <w:kern w:val="0"/>
          <w:sz w:val="24"/>
          <w:szCs w:val="24"/>
          <w:lang w:val="it-IT" w:eastAsia="it-IT"/>
          <w14:ligatures w14:val="none"/>
        </w:rPr>
        <w:t xml:space="preserve">in affermata </w:t>
      </w:r>
      <w:r>
        <w:rPr>
          <w:rFonts w:ascii="Times New Roman" w:eastAsia="Times New Roman" w:hAnsi="Times New Roman" w:cs="Times New Roman"/>
          <w:noProof/>
          <w:kern w:val="0"/>
          <w:sz w:val="24"/>
          <w:szCs w:val="24"/>
          <w:lang w:val="it-IT" w:eastAsia="it-IT"/>
          <w14:ligatures w14:val="none"/>
        </w:rPr>
        <w:t>applicazione alla fattispecie in esame dei criteri</w:t>
      </w:r>
      <w:r w:rsidR="008D2FEA">
        <w:rPr>
          <w:rFonts w:ascii="Times New Roman" w:eastAsia="Times New Roman" w:hAnsi="Times New Roman" w:cs="Times New Roman"/>
          <w:noProof/>
          <w:kern w:val="0"/>
          <w:sz w:val="24"/>
          <w:szCs w:val="24"/>
          <w:lang w:val="it-IT" w:eastAsia="it-IT"/>
          <w14:ligatures w14:val="none"/>
        </w:rPr>
        <w:t xml:space="preserve"> stabiliti dalla sentenza dell’Adunanza plenaria del Consiglio di Stato n. 4/2018 sull’onere di impugnazione immediata del bando. </w:t>
      </w:r>
      <w:r>
        <w:rPr>
          <w:rFonts w:ascii="Times New Roman" w:eastAsia="Times New Roman" w:hAnsi="Times New Roman" w:cs="Times New Roman"/>
          <w:noProof/>
          <w:kern w:val="0"/>
          <w:sz w:val="24"/>
          <w:szCs w:val="24"/>
          <w:lang w:val="it-IT" w:eastAsia="it-IT"/>
          <w14:ligatures w14:val="none"/>
        </w:rPr>
        <w:t xml:space="preserve">   </w:t>
      </w:r>
    </w:p>
    <w:p w14:paraId="3CFDF38B" w14:textId="7D537C1C"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 La sentenza del Consiglio di Stato n. 3411 del 2025 ha</w:t>
      </w:r>
      <w:r w:rsidR="008366D2">
        <w:rPr>
          <w:rFonts w:ascii="Times New Roman" w:eastAsia="Times New Roman" w:hAnsi="Times New Roman" w:cs="Times New Roman"/>
          <w:noProof/>
          <w:kern w:val="0"/>
          <w:sz w:val="24"/>
          <w:szCs w:val="24"/>
          <w:lang w:val="it-IT" w:eastAsia="it-IT"/>
          <w14:ligatures w14:val="none"/>
        </w:rPr>
        <w:t>, in particolare,</w:t>
      </w:r>
      <w:r>
        <w:rPr>
          <w:rFonts w:ascii="Times New Roman" w:eastAsia="Times New Roman" w:hAnsi="Times New Roman" w:cs="Times New Roman"/>
          <w:noProof/>
          <w:kern w:val="0"/>
          <w:sz w:val="24"/>
          <w:szCs w:val="24"/>
          <w:lang w:val="it-IT" w:eastAsia="it-IT"/>
          <w14:ligatures w14:val="none"/>
        </w:rPr>
        <w:t xml:space="preserve"> affermato che “</w:t>
      </w:r>
      <w:r w:rsidRPr="008366D2">
        <w:rPr>
          <w:rFonts w:ascii="Times New Roman" w:eastAsia="Times New Roman" w:hAnsi="Times New Roman" w:cs="Times New Roman"/>
          <w:noProof/>
          <w:kern w:val="0"/>
          <w:sz w:val="24"/>
          <w:szCs w:val="24"/>
          <w:lang w:val="it-IT" w:eastAsia="it-IT"/>
          <w14:ligatures w14:val="none"/>
        </w:rPr>
        <w:t xml:space="preserve">nel capitolato e nel disciplinare vi sono plurimi richiami ai CAM; i documenti di gara, se letti nella loro interezza, </w:t>
      </w:r>
      <w:r w:rsidRPr="008366D2">
        <w:rPr>
          <w:rFonts w:ascii="Times New Roman" w:eastAsia="Times New Roman" w:hAnsi="Times New Roman" w:cs="Times New Roman"/>
          <w:noProof/>
          <w:kern w:val="0"/>
          <w:sz w:val="24"/>
          <w:szCs w:val="24"/>
          <w:lang w:val="it-IT" w:eastAsia="it-IT"/>
          <w14:ligatures w14:val="none"/>
        </w:rPr>
        <w:lastRenderedPageBreak/>
        <w:t>riportano tutti gli elementi necessari ai fini della salvaguardia e della tutela dell’ambiente mediante applicazione del decreto CAM Pulizie circa i sistemi di dosaggio, in relazione ai prodotti detergenti, ai macchinari e ai criteri premianti. Nella fattispecie all’esame del Collegio emerge, infatti, in maniera incontrovertibile (cfr. offerta del Consorzio Leonardo versata in atti) che il ricorrente in primo grado abbia presentato un’offerta nella piena osservanza dei criteri minimi ambientali, così da non poter far valere in modo strumentale, in seguito alla mancata aggiudicazione a sé medesimo della gara, l’assunta incompletezza della lex specialis</w:t>
      </w:r>
      <w:r>
        <w:rPr>
          <w:rFonts w:ascii="Times New Roman" w:eastAsia="Times New Roman" w:hAnsi="Times New Roman" w:cs="Times New Roman"/>
          <w:noProof/>
          <w:kern w:val="0"/>
          <w:sz w:val="24"/>
          <w:szCs w:val="24"/>
          <w:lang w:val="it-IT" w:eastAsia="it-IT"/>
          <w14:ligatures w14:val="none"/>
        </w:rPr>
        <w:t>”</w:t>
      </w:r>
      <w:r w:rsidRPr="00895614">
        <w:rPr>
          <w:rFonts w:ascii="Times New Roman" w:eastAsia="Times New Roman" w:hAnsi="Times New Roman" w:cs="Times New Roman"/>
          <w:noProof/>
          <w:kern w:val="0"/>
          <w:sz w:val="24"/>
          <w:szCs w:val="24"/>
          <w:lang w:val="it-IT" w:eastAsia="it-IT"/>
          <w14:ligatures w14:val="none"/>
        </w:rPr>
        <w:t>.</w:t>
      </w:r>
    </w:p>
    <w:p w14:paraId="7574EEE3" w14:textId="317CE671" w:rsidR="00F71441" w:rsidRDefault="0043003B"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Va però in proposito osservato </w:t>
      </w:r>
      <w:r w:rsidR="00F71441">
        <w:rPr>
          <w:rFonts w:ascii="Times New Roman" w:eastAsia="Times New Roman" w:hAnsi="Times New Roman" w:cs="Times New Roman"/>
          <w:noProof/>
          <w:kern w:val="0"/>
          <w:sz w:val="24"/>
          <w:szCs w:val="24"/>
          <w:lang w:val="it-IT" w:eastAsia="it-IT"/>
          <w14:ligatures w14:val="none"/>
        </w:rPr>
        <w:t>che la conformità al parametro normativo non è data dall’inserimento dei criteri ambientali minimi nell’offerta (o nelle offerte) per volontà dell’offerente: ma dall’inserimento nella legge di gara, quali criteri vincolanti di aggiudicazione e di esecuzione della commessa (e non quali meri richiami di dubbia interpretazione e vincolatività)</w:t>
      </w:r>
      <w:r w:rsidR="00437D8C">
        <w:rPr>
          <w:rFonts w:ascii="Times New Roman" w:eastAsia="Times New Roman" w:hAnsi="Times New Roman" w:cs="Times New Roman"/>
          <w:noProof/>
          <w:kern w:val="0"/>
          <w:sz w:val="24"/>
          <w:szCs w:val="24"/>
          <w:lang w:val="it-IT" w:eastAsia="it-IT"/>
          <w14:ligatures w14:val="none"/>
        </w:rPr>
        <w:t>, come pure la stessa giurisprudenza della V Sezione non ha mancato di chiarire</w:t>
      </w:r>
      <w:r w:rsidR="00F71441">
        <w:rPr>
          <w:rFonts w:ascii="Times New Roman" w:eastAsia="Times New Roman" w:hAnsi="Times New Roman" w:cs="Times New Roman"/>
          <w:noProof/>
          <w:kern w:val="0"/>
          <w:sz w:val="24"/>
          <w:szCs w:val="24"/>
          <w:lang w:val="it-IT" w:eastAsia="it-IT"/>
          <w14:ligatures w14:val="none"/>
        </w:rPr>
        <w:t>.</w:t>
      </w:r>
      <w:r w:rsidR="00802A24">
        <w:rPr>
          <w:rStyle w:val="Rimandonotaapidipagina"/>
          <w:rFonts w:ascii="Times New Roman" w:eastAsia="Times New Roman" w:hAnsi="Times New Roman" w:cs="Times New Roman"/>
          <w:noProof/>
          <w:kern w:val="0"/>
          <w:sz w:val="24"/>
          <w:szCs w:val="24"/>
          <w:lang w:val="it-IT" w:eastAsia="it-IT"/>
          <w14:ligatures w14:val="none"/>
        </w:rPr>
        <w:footnoteReference w:id="16"/>
      </w:r>
    </w:p>
    <w:p w14:paraId="21FD810A" w14:textId="004BFD4A" w:rsidR="00F71441" w:rsidRDefault="00F71441" w:rsidP="00F71441">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Il reale risultato voluto dall’art. 57 è infatti non un inserimento nominale, ma l’effettivo svolgimento della prestazione negoziale nel rispetto, in tutte le sue fasi, degli standard normativamente stabiliti.</w:t>
      </w:r>
      <w:r w:rsidR="008366D2">
        <w:rPr>
          <w:rStyle w:val="Rimandonotaapidipagina"/>
          <w:rFonts w:ascii="Times New Roman" w:eastAsia="Times New Roman" w:hAnsi="Times New Roman" w:cs="Times New Roman"/>
          <w:noProof/>
          <w:kern w:val="0"/>
          <w:sz w:val="24"/>
          <w:szCs w:val="24"/>
          <w:lang w:val="it-IT" w:eastAsia="it-IT"/>
          <w14:ligatures w14:val="none"/>
        </w:rPr>
        <w:footnoteReference w:id="17"/>
      </w:r>
    </w:p>
    <w:p w14:paraId="63DED076" w14:textId="3A2ACF2B" w:rsidR="00A14B84" w:rsidRDefault="00A14B84"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In altre parole, rispetto al parametro normativo di cui all’art. 57</w:t>
      </w:r>
      <w:r w:rsidR="00A0738C">
        <w:rPr>
          <w:rFonts w:ascii="Times New Roman" w:eastAsia="Times New Roman" w:hAnsi="Times New Roman" w:cs="Times New Roman"/>
          <w:noProof/>
          <w:kern w:val="0"/>
          <w:sz w:val="24"/>
          <w:szCs w:val="24"/>
          <w:lang w:val="it-IT" w:eastAsia="it-IT"/>
          <w14:ligatures w14:val="none"/>
        </w:rPr>
        <w:t>, comma 2,</w:t>
      </w:r>
      <w:r>
        <w:rPr>
          <w:rFonts w:ascii="Times New Roman" w:eastAsia="Times New Roman" w:hAnsi="Times New Roman" w:cs="Times New Roman"/>
          <w:noProof/>
          <w:kern w:val="0"/>
          <w:sz w:val="24"/>
          <w:szCs w:val="24"/>
          <w:lang w:val="it-IT" w:eastAsia="it-IT"/>
          <w14:ligatures w14:val="none"/>
        </w:rPr>
        <w:t xml:space="preserve"> del d. lgs. n. 36 del 2023 (come, del resto, rispetto ad ogni disposizione puntuale che funga da paradigma normativo dell’azione amministrativa), il principio del risultato può semmai incrementare i profili di verifica giurisdizionale della conformità del provvedimento al complessivo assetto disciplinare (valorizzando il profilo funzionale, specie attraverso il sindacato dell’eccesso di potere, che si aggiunge a quello della violazione diretta di legge), ma certamente non può fungere da fattore di esclusione  dell’accertata difformità </w:t>
      </w:r>
      <w:r w:rsidR="003D30C6">
        <w:rPr>
          <w:rFonts w:ascii="Times New Roman" w:eastAsia="Times New Roman" w:hAnsi="Times New Roman" w:cs="Times New Roman"/>
          <w:noProof/>
          <w:kern w:val="0"/>
          <w:sz w:val="24"/>
          <w:szCs w:val="24"/>
          <w:lang w:val="it-IT" w:eastAsia="it-IT"/>
          <w14:ligatures w14:val="none"/>
        </w:rPr>
        <w:t>sol perché comunque in qualche modo si ritenga raggiunto un risultato che ad avviso del giudice sia equivalente a quello voluto dalla norma</w:t>
      </w:r>
      <w:r w:rsidR="00A0738C">
        <w:rPr>
          <w:rFonts w:ascii="Times New Roman" w:eastAsia="Times New Roman" w:hAnsi="Times New Roman" w:cs="Times New Roman"/>
          <w:noProof/>
          <w:kern w:val="0"/>
          <w:sz w:val="24"/>
          <w:szCs w:val="24"/>
          <w:lang w:val="it-IT" w:eastAsia="it-IT"/>
          <w14:ligatures w14:val="none"/>
        </w:rPr>
        <w:t xml:space="preserve">: la quale in realtà già sul piano strutturale all’evidenza non tollera equipollenze, essendo </w:t>
      </w:r>
      <w:r w:rsidR="0043003B">
        <w:rPr>
          <w:rFonts w:ascii="Times New Roman" w:eastAsia="Times New Roman" w:hAnsi="Times New Roman" w:cs="Times New Roman"/>
          <w:noProof/>
          <w:kern w:val="0"/>
          <w:sz w:val="24"/>
          <w:szCs w:val="24"/>
          <w:lang w:val="it-IT" w:eastAsia="it-IT"/>
          <w14:ligatures w14:val="none"/>
        </w:rPr>
        <w:t xml:space="preserve">il risultato da essa voluto </w:t>
      </w:r>
      <w:r w:rsidR="00A0738C">
        <w:rPr>
          <w:rFonts w:ascii="Times New Roman" w:eastAsia="Times New Roman" w:hAnsi="Times New Roman" w:cs="Times New Roman"/>
          <w:noProof/>
          <w:kern w:val="0"/>
          <w:sz w:val="24"/>
          <w:szCs w:val="24"/>
          <w:lang w:val="it-IT" w:eastAsia="it-IT"/>
          <w14:ligatures w14:val="none"/>
        </w:rPr>
        <w:t xml:space="preserve">declinato in termini di </w:t>
      </w:r>
      <w:r w:rsidR="00A0738C">
        <w:rPr>
          <w:rFonts w:ascii="Times New Roman" w:eastAsia="Times New Roman" w:hAnsi="Times New Roman" w:cs="Times New Roman"/>
          <w:noProof/>
          <w:kern w:val="0"/>
          <w:sz w:val="24"/>
          <w:szCs w:val="24"/>
          <w:lang w:val="it-IT" w:eastAsia="it-IT"/>
          <w14:ligatures w14:val="none"/>
        </w:rPr>
        <w:lastRenderedPageBreak/>
        <w:t>“</w:t>
      </w:r>
      <w:r w:rsidR="00A0738C" w:rsidRPr="00A0738C">
        <w:rPr>
          <w:rFonts w:ascii="Times New Roman" w:eastAsia="Times New Roman" w:hAnsi="Times New Roman" w:cs="Times New Roman"/>
          <w:noProof/>
          <w:kern w:val="0"/>
          <w:sz w:val="24"/>
          <w:szCs w:val="24"/>
          <w:lang w:val="it-IT" w:eastAsia="it-IT"/>
          <w14:ligatures w14:val="none"/>
        </w:rPr>
        <w:t>inserimento, nella documentazione progettuale e di gara, almeno delle specifiche tecniche e delle clausole contrattuali contenute nei criteri ambientali minimi</w:t>
      </w:r>
      <w:r w:rsidR="00A0738C">
        <w:rPr>
          <w:rFonts w:ascii="Times New Roman" w:eastAsia="Times New Roman" w:hAnsi="Times New Roman" w:cs="Times New Roman"/>
          <w:noProof/>
          <w:kern w:val="0"/>
          <w:sz w:val="24"/>
          <w:szCs w:val="24"/>
          <w:lang w:val="it-IT" w:eastAsia="it-IT"/>
          <w14:ligatures w14:val="none"/>
        </w:rPr>
        <w:t>”</w:t>
      </w:r>
      <w:r w:rsidR="003D30C6">
        <w:rPr>
          <w:rFonts w:ascii="Times New Roman" w:eastAsia="Times New Roman" w:hAnsi="Times New Roman" w:cs="Times New Roman"/>
          <w:noProof/>
          <w:kern w:val="0"/>
          <w:sz w:val="24"/>
          <w:szCs w:val="24"/>
          <w:lang w:val="it-IT" w:eastAsia="it-IT"/>
          <w14:ligatures w14:val="none"/>
        </w:rPr>
        <w:t>.</w:t>
      </w:r>
      <w:r w:rsidR="003D30C6">
        <w:rPr>
          <w:rStyle w:val="Rimandonotaapidipagina"/>
          <w:rFonts w:ascii="Times New Roman" w:eastAsia="Times New Roman" w:hAnsi="Times New Roman" w:cs="Times New Roman"/>
          <w:noProof/>
          <w:kern w:val="0"/>
          <w:sz w:val="24"/>
          <w:szCs w:val="24"/>
          <w:lang w:val="it-IT" w:eastAsia="it-IT"/>
          <w14:ligatures w14:val="none"/>
        </w:rPr>
        <w:footnoteReference w:id="18"/>
      </w:r>
      <w:r w:rsidR="003D30C6">
        <w:rPr>
          <w:rFonts w:ascii="Times New Roman" w:eastAsia="Times New Roman" w:hAnsi="Times New Roman" w:cs="Times New Roman"/>
          <w:noProof/>
          <w:kern w:val="0"/>
          <w:sz w:val="24"/>
          <w:szCs w:val="24"/>
          <w:lang w:val="it-IT" w:eastAsia="it-IT"/>
          <w14:ligatures w14:val="none"/>
        </w:rPr>
        <w:t xml:space="preserve">  </w:t>
      </w:r>
    </w:p>
    <w:p w14:paraId="7C647406" w14:textId="6010FABA" w:rsidR="007B4847" w:rsidRDefault="007B4847"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Una corretta consapevolezza dell’effetto di rafforzamento del sindacato di legittimità del giudice amministrativo</w:t>
      </w:r>
      <w:r w:rsidR="00874CF7">
        <w:rPr>
          <w:rFonts w:ascii="Times New Roman" w:eastAsia="Times New Roman" w:hAnsi="Times New Roman" w:cs="Times New Roman"/>
          <w:noProof/>
          <w:kern w:val="0"/>
          <w:sz w:val="24"/>
          <w:szCs w:val="24"/>
          <w:lang w:val="it-IT" w:eastAsia="it-IT"/>
          <w14:ligatures w14:val="none"/>
        </w:rPr>
        <w:t xml:space="preserve"> conseguente all’introduzione del principio del risultato</w:t>
      </w:r>
      <w:r>
        <w:rPr>
          <w:rFonts w:ascii="Times New Roman" w:eastAsia="Times New Roman" w:hAnsi="Times New Roman" w:cs="Times New Roman"/>
          <w:noProof/>
          <w:kern w:val="0"/>
          <w:sz w:val="24"/>
          <w:szCs w:val="24"/>
          <w:lang w:val="it-IT" w:eastAsia="it-IT"/>
          <w14:ligatures w14:val="none"/>
        </w:rPr>
        <w:t xml:space="preserve">, pertanto, implica </w:t>
      </w:r>
      <w:r w:rsidR="00874CF7">
        <w:rPr>
          <w:rFonts w:ascii="Times New Roman" w:eastAsia="Times New Roman" w:hAnsi="Times New Roman" w:cs="Times New Roman"/>
          <w:noProof/>
          <w:kern w:val="0"/>
          <w:sz w:val="24"/>
          <w:szCs w:val="24"/>
          <w:lang w:val="it-IT" w:eastAsia="it-IT"/>
          <w14:ligatures w14:val="none"/>
        </w:rPr>
        <w:t>che ciò avvenga -  con consapevolezza e rigore - pur sempre in sede di</w:t>
      </w:r>
      <w:r>
        <w:rPr>
          <w:rFonts w:ascii="Times New Roman" w:eastAsia="Times New Roman" w:hAnsi="Times New Roman" w:cs="Times New Roman"/>
          <w:noProof/>
          <w:kern w:val="0"/>
          <w:sz w:val="24"/>
          <w:szCs w:val="24"/>
          <w:lang w:val="it-IT" w:eastAsia="it-IT"/>
          <w14:ligatures w14:val="none"/>
        </w:rPr>
        <w:t xml:space="preserve"> verifica d</w:t>
      </w:r>
      <w:r w:rsidR="00874CF7">
        <w:rPr>
          <w:rFonts w:ascii="Times New Roman" w:eastAsia="Times New Roman" w:hAnsi="Times New Roman" w:cs="Times New Roman"/>
          <w:noProof/>
          <w:kern w:val="0"/>
          <w:sz w:val="24"/>
          <w:szCs w:val="24"/>
          <w:lang w:val="it-IT" w:eastAsia="it-IT"/>
          <w14:ligatures w14:val="none"/>
        </w:rPr>
        <w:t>ella</w:t>
      </w:r>
      <w:r>
        <w:rPr>
          <w:rFonts w:ascii="Times New Roman" w:eastAsia="Times New Roman" w:hAnsi="Times New Roman" w:cs="Times New Roman"/>
          <w:noProof/>
          <w:kern w:val="0"/>
          <w:sz w:val="24"/>
          <w:szCs w:val="24"/>
          <w:lang w:val="it-IT" w:eastAsia="it-IT"/>
          <w14:ligatures w14:val="none"/>
        </w:rPr>
        <w:t xml:space="preserve"> conformità al parametro normativo propriamente ed obiettivamente inteso, e non </w:t>
      </w:r>
      <w:r w:rsidR="00874CF7">
        <w:rPr>
          <w:rFonts w:ascii="Times New Roman" w:eastAsia="Times New Roman" w:hAnsi="Times New Roman" w:cs="Times New Roman"/>
          <w:noProof/>
          <w:kern w:val="0"/>
          <w:sz w:val="24"/>
          <w:szCs w:val="24"/>
          <w:lang w:val="it-IT" w:eastAsia="it-IT"/>
          <w14:ligatures w14:val="none"/>
        </w:rPr>
        <w:t>quale</w:t>
      </w:r>
      <w:r>
        <w:rPr>
          <w:rFonts w:ascii="Times New Roman" w:eastAsia="Times New Roman" w:hAnsi="Times New Roman" w:cs="Times New Roman"/>
          <w:noProof/>
          <w:kern w:val="0"/>
          <w:sz w:val="24"/>
          <w:szCs w:val="24"/>
          <w:lang w:val="it-IT" w:eastAsia="it-IT"/>
          <w14:ligatures w14:val="none"/>
        </w:rPr>
        <w:t xml:space="preserve"> fattore di incremento della discrezionalità giudiziaria, </w:t>
      </w:r>
      <w:r w:rsidR="00874CF7">
        <w:rPr>
          <w:rFonts w:ascii="Times New Roman" w:eastAsia="Times New Roman" w:hAnsi="Times New Roman" w:cs="Times New Roman"/>
          <w:noProof/>
          <w:kern w:val="0"/>
          <w:sz w:val="24"/>
          <w:szCs w:val="24"/>
          <w:lang w:val="it-IT" w:eastAsia="it-IT"/>
          <w14:ligatures w14:val="none"/>
        </w:rPr>
        <w:t>che vanificherebbe il disegno del legislatore e pregiudicherebbe il fondamentale valore della</w:t>
      </w:r>
      <w:r>
        <w:rPr>
          <w:rFonts w:ascii="Times New Roman" w:eastAsia="Times New Roman" w:hAnsi="Times New Roman" w:cs="Times New Roman"/>
          <w:noProof/>
          <w:kern w:val="0"/>
          <w:sz w:val="24"/>
          <w:szCs w:val="24"/>
          <w:lang w:val="it-IT" w:eastAsia="it-IT"/>
          <w14:ligatures w14:val="none"/>
        </w:rPr>
        <w:t xml:space="preserve"> certezza del diritto.</w:t>
      </w:r>
      <w:r>
        <w:rPr>
          <w:rStyle w:val="Rimandonotaapidipagina"/>
          <w:rFonts w:ascii="Times New Roman" w:eastAsia="Times New Roman" w:hAnsi="Times New Roman" w:cs="Times New Roman"/>
          <w:noProof/>
          <w:kern w:val="0"/>
          <w:sz w:val="24"/>
          <w:szCs w:val="24"/>
          <w:lang w:val="it-IT" w:eastAsia="it-IT"/>
          <w14:ligatures w14:val="none"/>
        </w:rPr>
        <w:footnoteReference w:id="19"/>
      </w:r>
      <w:r>
        <w:rPr>
          <w:rFonts w:ascii="Times New Roman" w:eastAsia="Times New Roman" w:hAnsi="Times New Roman" w:cs="Times New Roman"/>
          <w:noProof/>
          <w:kern w:val="0"/>
          <w:sz w:val="24"/>
          <w:szCs w:val="24"/>
          <w:lang w:val="it-IT" w:eastAsia="it-IT"/>
          <w14:ligatures w14:val="none"/>
        </w:rPr>
        <w:t xml:space="preserve"> </w:t>
      </w:r>
    </w:p>
    <w:p w14:paraId="407122F0" w14:textId="22C5863C" w:rsidR="00A14B84" w:rsidRDefault="003D30C6"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In questa prospettiva deve dunque </w:t>
      </w:r>
      <w:r w:rsidR="00A0738C">
        <w:rPr>
          <w:rFonts w:ascii="Times New Roman" w:eastAsia="Times New Roman" w:hAnsi="Times New Roman" w:cs="Times New Roman"/>
          <w:noProof/>
          <w:kern w:val="0"/>
          <w:sz w:val="24"/>
          <w:szCs w:val="24"/>
          <w:lang w:val="it-IT" w:eastAsia="it-IT"/>
          <w14:ligatures w14:val="none"/>
        </w:rPr>
        <w:t>applicarsi a</w:t>
      </w:r>
      <w:r w:rsidR="0043003B">
        <w:rPr>
          <w:rFonts w:ascii="Times New Roman" w:eastAsia="Times New Roman" w:hAnsi="Times New Roman" w:cs="Times New Roman"/>
          <w:noProof/>
          <w:kern w:val="0"/>
          <w:sz w:val="24"/>
          <w:szCs w:val="24"/>
          <w:lang w:val="it-IT" w:eastAsia="it-IT"/>
          <w14:ligatures w14:val="none"/>
        </w:rPr>
        <w:t>lla</w:t>
      </w:r>
      <w:r w:rsidR="00A0738C">
        <w:rPr>
          <w:rFonts w:ascii="Times New Roman" w:eastAsia="Times New Roman" w:hAnsi="Times New Roman" w:cs="Times New Roman"/>
          <w:noProof/>
          <w:kern w:val="0"/>
          <w:sz w:val="24"/>
          <w:szCs w:val="24"/>
          <w:lang w:val="it-IT" w:eastAsia="it-IT"/>
          <w14:ligatures w14:val="none"/>
        </w:rPr>
        <w:t xml:space="preserve"> materia</w:t>
      </w:r>
      <w:r>
        <w:rPr>
          <w:rFonts w:ascii="Times New Roman" w:eastAsia="Times New Roman" w:hAnsi="Times New Roman" w:cs="Times New Roman"/>
          <w:noProof/>
          <w:kern w:val="0"/>
          <w:sz w:val="24"/>
          <w:szCs w:val="24"/>
          <w:lang w:val="it-IT" w:eastAsia="it-IT"/>
          <w14:ligatures w14:val="none"/>
        </w:rPr>
        <w:t xml:space="preserve"> </w:t>
      </w:r>
      <w:r w:rsidR="0043003B">
        <w:rPr>
          <w:rFonts w:ascii="Times New Roman" w:eastAsia="Times New Roman" w:hAnsi="Times New Roman" w:cs="Times New Roman"/>
          <w:noProof/>
          <w:kern w:val="0"/>
          <w:sz w:val="24"/>
          <w:szCs w:val="24"/>
          <w:lang w:val="it-IT" w:eastAsia="it-IT"/>
          <w14:ligatures w14:val="none"/>
        </w:rPr>
        <w:t xml:space="preserve">in esame </w:t>
      </w:r>
      <w:r>
        <w:rPr>
          <w:rFonts w:ascii="Times New Roman" w:eastAsia="Times New Roman" w:hAnsi="Times New Roman" w:cs="Times New Roman"/>
          <w:noProof/>
          <w:kern w:val="0"/>
          <w:sz w:val="24"/>
          <w:szCs w:val="24"/>
          <w:lang w:val="it-IT" w:eastAsia="it-IT"/>
          <w14:ligatures w14:val="none"/>
        </w:rPr>
        <w:t xml:space="preserve">l’ulteriore </w:t>
      </w:r>
      <w:r w:rsidR="008B4FBF">
        <w:rPr>
          <w:rFonts w:ascii="Times New Roman" w:eastAsia="Times New Roman" w:hAnsi="Times New Roman" w:cs="Times New Roman"/>
          <w:noProof/>
          <w:kern w:val="0"/>
          <w:sz w:val="24"/>
          <w:szCs w:val="24"/>
          <w:lang w:val="it-IT" w:eastAsia="it-IT"/>
          <w14:ligatures w14:val="none"/>
        </w:rPr>
        <w:t>suggestione giurisprudenziale secondo l</w:t>
      </w:r>
      <w:r w:rsidR="0043003B">
        <w:rPr>
          <w:rFonts w:ascii="Times New Roman" w:eastAsia="Times New Roman" w:hAnsi="Times New Roman" w:cs="Times New Roman"/>
          <w:noProof/>
          <w:kern w:val="0"/>
          <w:sz w:val="24"/>
          <w:szCs w:val="24"/>
          <w:lang w:val="it-IT" w:eastAsia="it-IT"/>
          <w14:ligatures w14:val="none"/>
        </w:rPr>
        <w:t>a</w:t>
      </w:r>
      <w:r w:rsidR="008B4FBF">
        <w:rPr>
          <w:rFonts w:ascii="Times New Roman" w:eastAsia="Times New Roman" w:hAnsi="Times New Roman" w:cs="Times New Roman"/>
          <w:noProof/>
          <w:kern w:val="0"/>
          <w:sz w:val="24"/>
          <w:szCs w:val="24"/>
          <w:lang w:val="it-IT" w:eastAsia="it-IT"/>
          <w14:ligatures w14:val="none"/>
        </w:rPr>
        <w:t xml:space="preserve"> quale </w:t>
      </w:r>
      <w:r w:rsidR="00A14B84">
        <w:rPr>
          <w:rFonts w:ascii="Times New Roman" w:eastAsia="Times New Roman" w:hAnsi="Times New Roman" w:cs="Times New Roman"/>
          <w:noProof/>
          <w:kern w:val="0"/>
          <w:sz w:val="24"/>
          <w:szCs w:val="24"/>
          <w:lang w:val="it-IT" w:eastAsia="it-IT"/>
          <w14:ligatures w14:val="none"/>
        </w:rPr>
        <w:t>il principio del risultato in materia di app</w:t>
      </w:r>
      <w:r w:rsidR="008B4FBF">
        <w:rPr>
          <w:rFonts w:ascii="Times New Roman" w:eastAsia="Times New Roman" w:hAnsi="Times New Roman" w:cs="Times New Roman"/>
          <w:noProof/>
          <w:kern w:val="0"/>
          <w:sz w:val="24"/>
          <w:szCs w:val="24"/>
          <w:lang w:val="it-IT" w:eastAsia="it-IT"/>
          <w14:ligatures w14:val="none"/>
        </w:rPr>
        <w:t>a</w:t>
      </w:r>
      <w:r w:rsidR="00A14B84">
        <w:rPr>
          <w:rFonts w:ascii="Times New Roman" w:eastAsia="Times New Roman" w:hAnsi="Times New Roman" w:cs="Times New Roman"/>
          <w:noProof/>
          <w:kern w:val="0"/>
          <w:sz w:val="24"/>
          <w:szCs w:val="24"/>
          <w:lang w:val="it-IT" w:eastAsia="it-IT"/>
          <w14:ligatures w14:val="none"/>
        </w:rPr>
        <w:t>lti pubblici non solo non ha l’effetto di depotenziare il sindacato di legittimità dell’azione amministrativa, ma</w:t>
      </w:r>
      <w:r w:rsidR="008B4FBF">
        <w:rPr>
          <w:rFonts w:ascii="Times New Roman" w:eastAsia="Times New Roman" w:hAnsi="Times New Roman" w:cs="Times New Roman"/>
          <w:noProof/>
          <w:kern w:val="0"/>
          <w:sz w:val="24"/>
          <w:szCs w:val="24"/>
          <w:lang w:val="it-IT" w:eastAsia="it-IT"/>
          <w14:ligatures w14:val="none"/>
        </w:rPr>
        <w:t xml:space="preserve"> </w:t>
      </w:r>
      <w:r w:rsidR="00A14B84">
        <w:rPr>
          <w:rFonts w:ascii="Times New Roman" w:eastAsia="Times New Roman" w:hAnsi="Times New Roman" w:cs="Times New Roman"/>
          <w:noProof/>
          <w:kern w:val="0"/>
          <w:sz w:val="24"/>
          <w:szCs w:val="24"/>
          <w:lang w:val="it-IT" w:eastAsia="it-IT"/>
          <w14:ligatures w14:val="none"/>
        </w:rPr>
        <w:t xml:space="preserve"> “</w:t>
      </w:r>
      <w:r w:rsidR="00A14B84" w:rsidRPr="0043003B">
        <w:rPr>
          <w:rFonts w:ascii="Times New Roman" w:eastAsia="Times New Roman" w:hAnsi="Times New Roman" w:cs="Times New Roman"/>
          <w:noProof/>
          <w:kern w:val="0"/>
          <w:sz w:val="24"/>
          <w:szCs w:val="24"/>
          <w:lang w:val="it-IT" w:eastAsia="it-IT"/>
          <w14:ligatures w14:val="none"/>
        </w:rPr>
        <w:t>il risultato che si è prefisso l’amministrazione può rappresentare, esso stesso, un parametro in base al quale il giudice può sindacare la ragionevolezza, logicità e congruità delle scelte compiute, potendo tali scelte non apparire coerenti con il risultato individuato</w:t>
      </w:r>
      <w:r>
        <w:rPr>
          <w:rFonts w:ascii="Times New Roman" w:eastAsia="Times New Roman" w:hAnsi="Times New Roman" w:cs="Times New Roman"/>
          <w:noProof/>
          <w:kern w:val="0"/>
          <w:sz w:val="24"/>
          <w:szCs w:val="24"/>
          <w:lang w:val="it-IT" w:eastAsia="it-IT"/>
          <w14:ligatures w14:val="none"/>
        </w:rPr>
        <w:t>”</w:t>
      </w:r>
      <w:r w:rsidR="008B4FBF">
        <w:rPr>
          <w:rFonts w:ascii="Times New Roman" w:eastAsia="Times New Roman" w:hAnsi="Times New Roman" w:cs="Times New Roman"/>
          <w:noProof/>
          <w:kern w:val="0"/>
          <w:sz w:val="24"/>
          <w:szCs w:val="24"/>
          <w:lang w:val="it-IT" w:eastAsia="it-IT"/>
          <w14:ligatures w14:val="none"/>
        </w:rPr>
        <w:t xml:space="preserve"> (Consiglio di Stato, sez. IV, sentenza n. 6495/2025).</w:t>
      </w:r>
    </w:p>
    <w:p w14:paraId="23292775" w14:textId="27F26397" w:rsidR="00BB6D00" w:rsidRDefault="00BB6D00"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Ne consegue che l’obbligo discendente dal citato art. 57 non può ritenersi adempiuto mediante il mero rin</w:t>
      </w:r>
      <w:r w:rsidR="00F37BDB">
        <w:rPr>
          <w:rFonts w:ascii="Times New Roman" w:eastAsia="Times New Roman" w:hAnsi="Times New Roman" w:cs="Times New Roman"/>
          <w:noProof/>
          <w:kern w:val="0"/>
          <w:sz w:val="24"/>
          <w:szCs w:val="24"/>
          <w:lang w:val="it-IT" w:eastAsia="it-IT"/>
          <w14:ligatures w14:val="none"/>
        </w:rPr>
        <w:t>v</w:t>
      </w:r>
      <w:r>
        <w:rPr>
          <w:rFonts w:ascii="Times New Roman" w:eastAsia="Times New Roman" w:hAnsi="Times New Roman" w:cs="Times New Roman"/>
          <w:noProof/>
          <w:kern w:val="0"/>
          <w:sz w:val="24"/>
          <w:szCs w:val="24"/>
          <w:lang w:val="it-IT" w:eastAsia="it-IT"/>
          <w14:ligatures w14:val="none"/>
        </w:rPr>
        <w:t>io nella legge di gara ai decreti relativi ai criteri applicabili alle prestazioni oggetto del contratto</w:t>
      </w:r>
      <w:r w:rsidR="00046ED3">
        <w:rPr>
          <w:rFonts w:ascii="Times New Roman" w:eastAsia="Times New Roman" w:hAnsi="Times New Roman" w:cs="Times New Roman"/>
          <w:noProof/>
          <w:kern w:val="0"/>
          <w:sz w:val="24"/>
          <w:szCs w:val="24"/>
          <w:lang w:val="it-IT" w:eastAsia="it-IT"/>
          <w14:ligatures w14:val="none"/>
        </w:rPr>
        <w:t>, facendo in tal modo riferimento alla possibile eterointegrazione della stessa ad opera di tali decreti</w:t>
      </w:r>
      <w:r w:rsidR="0043003B">
        <w:rPr>
          <w:rFonts w:ascii="Times New Roman" w:eastAsia="Times New Roman" w:hAnsi="Times New Roman" w:cs="Times New Roman"/>
          <w:noProof/>
          <w:kern w:val="0"/>
          <w:sz w:val="24"/>
          <w:szCs w:val="24"/>
          <w:lang w:val="it-IT" w:eastAsia="it-IT"/>
          <w14:ligatures w14:val="none"/>
        </w:rPr>
        <w:t>;</w:t>
      </w:r>
      <w:r w:rsidR="00046ED3">
        <w:rPr>
          <w:rStyle w:val="Rimandonotaapidipagina"/>
          <w:rFonts w:ascii="Times New Roman" w:eastAsia="Times New Roman" w:hAnsi="Times New Roman" w:cs="Times New Roman"/>
          <w:noProof/>
          <w:kern w:val="0"/>
          <w:sz w:val="24"/>
          <w:szCs w:val="24"/>
          <w:lang w:val="it-IT" w:eastAsia="it-IT"/>
          <w14:ligatures w14:val="none"/>
        </w:rPr>
        <w:footnoteReference w:id="20"/>
      </w:r>
      <w:r w:rsidR="0043003B">
        <w:rPr>
          <w:rFonts w:ascii="Times New Roman" w:eastAsia="Times New Roman" w:hAnsi="Times New Roman" w:cs="Times New Roman"/>
          <w:noProof/>
          <w:kern w:val="0"/>
          <w:sz w:val="24"/>
          <w:szCs w:val="24"/>
          <w:lang w:val="it-IT" w:eastAsia="it-IT"/>
          <w14:ligatures w14:val="none"/>
        </w:rPr>
        <w:t xml:space="preserve"> né mediante l’inserimento di parametri di sostenibilità ambientale comunque non perfettamente coincidenti con gli standard di cui a tali decreti.</w:t>
      </w:r>
    </w:p>
    <w:p w14:paraId="4A8A1F5D" w14:textId="28DA9D11" w:rsidR="00046ED3" w:rsidRDefault="00046ED3" w:rsidP="008D2FEA">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Già la mera interpretazione letterale dell’art. 57, comma 2, del codice del contratti pubblici, ma ancor di più la sua esegesi alla luce del principio del risultato correttamente inteso (consapevole del significato normativo dei </w:t>
      </w:r>
      <w:r w:rsidRPr="00046ED3">
        <w:rPr>
          <w:rFonts w:ascii="Times New Roman" w:eastAsia="Times New Roman" w:hAnsi="Times New Roman" w:cs="Times New Roman"/>
          <w:i/>
          <w:iCs/>
          <w:noProof/>
          <w:kern w:val="0"/>
          <w:sz w:val="24"/>
          <w:szCs w:val="24"/>
          <w:lang w:val="it-IT" w:eastAsia="it-IT"/>
          <w14:ligatures w14:val="none"/>
        </w:rPr>
        <w:t>green public procurement</w:t>
      </w:r>
      <w:r>
        <w:rPr>
          <w:rFonts w:ascii="Times New Roman" w:eastAsia="Times New Roman" w:hAnsi="Times New Roman" w:cs="Times New Roman"/>
          <w:noProof/>
          <w:kern w:val="0"/>
          <w:sz w:val="24"/>
          <w:szCs w:val="24"/>
          <w:lang w:val="it-IT" w:eastAsia="it-IT"/>
          <w14:ligatures w14:val="none"/>
        </w:rPr>
        <w:t>)</w:t>
      </w:r>
      <w:r w:rsidR="00F37BDB">
        <w:rPr>
          <w:rFonts w:ascii="Times New Roman" w:eastAsia="Times New Roman" w:hAnsi="Times New Roman" w:cs="Times New Roman"/>
          <w:noProof/>
          <w:kern w:val="0"/>
          <w:sz w:val="24"/>
          <w:szCs w:val="24"/>
          <w:lang w:val="it-IT" w:eastAsia="it-IT"/>
          <w14:ligatures w14:val="none"/>
        </w:rPr>
        <w:t>,</w:t>
      </w:r>
      <w:r>
        <w:rPr>
          <w:rFonts w:ascii="Times New Roman" w:eastAsia="Times New Roman" w:hAnsi="Times New Roman" w:cs="Times New Roman"/>
          <w:noProof/>
          <w:kern w:val="0"/>
          <w:sz w:val="24"/>
          <w:szCs w:val="24"/>
          <w:lang w:val="it-IT" w:eastAsia="it-IT"/>
          <w14:ligatures w14:val="none"/>
        </w:rPr>
        <w:t xml:space="preserve"> impongono di declinare tali criteri nella legge </w:t>
      </w:r>
      <w:r>
        <w:rPr>
          <w:rFonts w:ascii="Times New Roman" w:eastAsia="Times New Roman" w:hAnsi="Times New Roman" w:cs="Times New Roman"/>
          <w:noProof/>
          <w:kern w:val="0"/>
          <w:sz w:val="24"/>
          <w:szCs w:val="24"/>
          <w:lang w:val="it-IT" w:eastAsia="it-IT"/>
          <w14:ligatures w14:val="none"/>
        </w:rPr>
        <w:lastRenderedPageBreak/>
        <w:t>dai gara in modo analitico, in chiave di certezza ed effettività, con attenzione anche alla fase dell’esecuzione contrattuale,</w:t>
      </w:r>
      <w:r>
        <w:rPr>
          <w:rStyle w:val="Rimandonotaapidipagina"/>
          <w:rFonts w:ascii="Times New Roman" w:eastAsia="Times New Roman" w:hAnsi="Times New Roman" w:cs="Times New Roman"/>
          <w:noProof/>
          <w:kern w:val="0"/>
          <w:sz w:val="24"/>
          <w:szCs w:val="24"/>
          <w:lang w:val="it-IT" w:eastAsia="it-IT"/>
          <w14:ligatures w14:val="none"/>
        </w:rPr>
        <w:footnoteReference w:id="21"/>
      </w:r>
      <w:r>
        <w:rPr>
          <w:rFonts w:ascii="Times New Roman" w:eastAsia="Times New Roman" w:hAnsi="Times New Roman" w:cs="Times New Roman"/>
          <w:noProof/>
          <w:kern w:val="0"/>
          <w:sz w:val="24"/>
          <w:szCs w:val="24"/>
          <w:lang w:val="it-IT" w:eastAsia="it-IT"/>
          <w14:ligatures w14:val="none"/>
        </w:rPr>
        <w:t xml:space="preserve"> così da connotare la prestazione negoziale dell’appaltatore in modo obiettivamente ed inequivocamente rispondente non ad una generica sostenibilità ambientale, ma a precis</w:t>
      </w:r>
      <w:r w:rsidR="0043003B">
        <w:rPr>
          <w:rFonts w:ascii="Times New Roman" w:eastAsia="Times New Roman" w:hAnsi="Times New Roman" w:cs="Times New Roman"/>
          <w:noProof/>
          <w:kern w:val="0"/>
          <w:sz w:val="24"/>
          <w:szCs w:val="24"/>
          <w:lang w:val="it-IT" w:eastAsia="it-IT"/>
          <w14:ligatures w14:val="none"/>
        </w:rPr>
        <w:t>e regole</w:t>
      </w:r>
      <w:r>
        <w:rPr>
          <w:rFonts w:ascii="Times New Roman" w:eastAsia="Times New Roman" w:hAnsi="Times New Roman" w:cs="Times New Roman"/>
          <w:noProof/>
          <w:kern w:val="0"/>
          <w:sz w:val="24"/>
          <w:szCs w:val="24"/>
          <w:lang w:val="it-IT" w:eastAsia="it-IT"/>
          <w14:ligatures w14:val="none"/>
        </w:rPr>
        <w:t>.</w:t>
      </w:r>
      <w:r>
        <w:rPr>
          <w:rStyle w:val="Rimandonotaapidipagina"/>
          <w:rFonts w:ascii="Times New Roman" w:eastAsia="Times New Roman" w:hAnsi="Times New Roman" w:cs="Times New Roman"/>
          <w:noProof/>
          <w:kern w:val="0"/>
          <w:sz w:val="24"/>
          <w:szCs w:val="24"/>
          <w:lang w:val="it-IT" w:eastAsia="it-IT"/>
          <w14:ligatures w14:val="none"/>
        </w:rPr>
        <w:footnoteReference w:id="22"/>
      </w:r>
    </w:p>
    <w:p w14:paraId="4CF6590D" w14:textId="77777777" w:rsidR="001F5964" w:rsidRPr="00D47339" w:rsidRDefault="001F5964" w:rsidP="001F5964">
      <w:pPr>
        <w:spacing w:after="0" w:line="360" w:lineRule="auto"/>
        <w:jc w:val="both"/>
        <w:rPr>
          <w:rFonts w:ascii="Times New Roman" w:eastAsia="Times New Roman" w:hAnsi="Times New Roman" w:cs="Times New Roman"/>
          <w:noProof/>
          <w:kern w:val="0"/>
          <w:sz w:val="24"/>
          <w:szCs w:val="24"/>
          <w:lang w:val="it-IT" w:eastAsia="it-IT"/>
          <w14:ligatures w14:val="none"/>
        </w:rPr>
      </w:pPr>
    </w:p>
    <w:p w14:paraId="656FBA2F" w14:textId="6AA4C7AD" w:rsidR="001F5964" w:rsidRPr="00D47339" w:rsidRDefault="00F71441" w:rsidP="001F5964">
      <w:pPr>
        <w:spacing w:after="0" w:line="360" w:lineRule="auto"/>
        <w:jc w:val="both"/>
        <w:rPr>
          <w:rFonts w:ascii="Times New Roman" w:eastAsia="Times New Roman" w:hAnsi="Times New Roman" w:cs="Times New Roman"/>
          <w:b/>
          <w:bCs/>
          <w:noProof/>
          <w:kern w:val="0"/>
          <w:sz w:val="24"/>
          <w:szCs w:val="24"/>
          <w:lang w:val="it-IT" w:eastAsia="it-IT"/>
          <w14:ligatures w14:val="none"/>
        </w:rPr>
      </w:pPr>
      <w:r>
        <w:rPr>
          <w:rFonts w:ascii="Times New Roman" w:eastAsia="Times New Roman" w:hAnsi="Times New Roman" w:cs="Times New Roman"/>
          <w:b/>
          <w:bCs/>
          <w:noProof/>
          <w:kern w:val="0"/>
          <w:sz w:val="24"/>
          <w:szCs w:val="24"/>
          <w:lang w:val="it-IT" w:eastAsia="it-IT"/>
          <w14:ligatures w14:val="none"/>
        </w:rPr>
        <w:t>3</w:t>
      </w:r>
      <w:r w:rsidR="001F5964" w:rsidRPr="00D47339">
        <w:rPr>
          <w:rFonts w:ascii="Times New Roman" w:eastAsia="Times New Roman" w:hAnsi="Times New Roman" w:cs="Times New Roman"/>
          <w:b/>
          <w:bCs/>
          <w:noProof/>
          <w:kern w:val="0"/>
          <w:sz w:val="24"/>
          <w:szCs w:val="24"/>
          <w:lang w:val="it-IT" w:eastAsia="it-IT"/>
          <w14:ligatures w14:val="none"/>
        </w:rPr>
        <w:t>. Profili di diritto processuale</w:t>
      </w:r>
    </w:p>
    <w:p w14:paraId="6078A25D" w14:textId="50CF4020" w:rsidR="00B75610" w:rsidRPr="00D47339"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Sul piano processuale è evidente che un simile modello di tutela, diversamente da quanto accade nel giudizio di legittimità avente ad oggetto i provvedimenti amministrativi direttamente relativi alla materia ambientale (come, ad esempio, quelli concernenti le misure necessarie a contenere le emissioni entro i limiti normativamente stabiliti), non è attivato dall’interesse legittimo pretensivo alla transizione ecologica, bensì dall’interesse strumentale dell’impresa, che abbia partecipato alla gara senza aggiudicarsela, alla riedizione della procedura viziata dal mancato recepimento dei criteri ambientali.</w:t>
      </w:r>
    </w:p>
    <w:p w14:paraId="426F49E1" w14:textId="4F38958F" w:rsidR="008E62CF" w:rsidRPr="00D47339" w:rsidRDefault="008E62CF" w:rsidP="008E62CF">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Come è stato osservato in dottrina, il modello di tutela ambientale riconducibile all’istituto in esame sul piano processuale si fonda sulla “efficacia deterrente delle impugnative degli operatori economici, che, di regola, costituisce – e questo sarebbe ovvio, se non fosse talora dimenticato – lo strumento più efficace per indurre le amministrazioni a conformare la propria azione al paradigma legislativo”.</w:t>
      </w:r>
      <w:r w:rsidRPr="00D47339">
        <w:rPr>
          <w:rStyle w:val="Rimandonotaapidipagina"/>
          <w:rFonts w:ascii="Times New Roman" w:eastAsia="Times New Roman" w:hAnsi="Times New Roman" w:cs="Times New Roman"/>
          <w:noProof/>
          <w:kern w:val="0"/>
          <w:sz w:val="24"/>
          <w:szCs w:val="24"/>
          <w:lang w:val="it-IT" w:eastAsia="it-IT"/>
          <w14:ligatures w14:val="none"/>
        </w:rPr>
        <w:footnoteReference w:id="23"/>
      </w:r>
    </w:p>
    <w:p w14:paraId="5977C80A" w14:textId="77777777" w:rsidR="008E62CF" w:rsidRPr="00D47339" w:rsidRDefault="008E62CF"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Del resto, l’operatore economico ha interesse ad aggiudicarsi la commessa: non ad aggiudicarsela secondo un contenuto negoziale rispettoso dei criteri ambientali minimi.</w:t>
      </w:r>
    </w:p>
    <w:p w14:paraId="4629ABBB" w14:textId="593780A9" w:rsidR="008E62CF" w:rsidRPr="00D47339" w:rsidRDefault="008E62CF"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È </w:t>
      </w:r>
      <w:r w:rsidR="0054668D" w:rsidRPr="00D47339">
        <w:rPr>
          <w:rFonts w:ascii="Times New Roman" w:eastAsia="Times New Roman" w:hAnsi="Times New Roman" w:cs="Times New Roman"/>
          <w:noProof/>
          <w:kern w:val="0"/>
          <w:sz w:val="24"/>
          <w:szCs w:val="24"/>
          <w:lang w:val="it-IT" w:eastAsia="it-IT"/>
          <w14:ligatures w14:val="none"/>
        </w:rPr>
        <w:t xml:space="preserve">quindi </w:t>
      </w:r>
      <w:r w:rsidRPr="00D47339">
        <w:rPr>
          <w:rFonts w:ascii="Times New Roman" w:eastAsia="Times New Roman" w:hAnsi="Times New Roman" w:cs="Times New Roman"/>
          <w:noProof/>
          <w:kern w:val="0"/>
          <w:sz w:val="24"/>
          <w:szCs w:val="24"/>
          <w:lang w:val="it-IT" w:eastAsia="it-IT"/>
          <w14:ligatures w14:val="none"/>
        </w:rPr>
        <w:t xml:space="preserve">del tutto </w:t>
      </w:r>
      <w:r w:rsidR="005770C8">
        <w:rPr>
          <w:rFonts w:ascii="Times New Roman" w:eastAsia="Times New Roman" w:hAnsi="Times New Roman" w:cs="Times New Roman"/>
          <w:noProof/>
          <w:kern w:val="0"/>
          <w:sz w:val="24"/>
          <w:szCs w:val="24"/>
          <w:lang w:val="it-IT" w:eastAsia="it-IT"/>
          <w14:ligatures w14:val="none"/>
        </w:rPr>
        <w:t>poco probabile</w:t>
      </w:r>
      <w:r w:rsidR="0054668D" w:rsidRPr="00D47339">
        <w:rPr>
          <w:rFonts w:ascii="Times New Roman" w:eastAsia="Times New Roman" w:hAnsi="Times New Roman" w:cs="Times New Roman"/>
          <w:noProof/>
          <w:kern w:val="0"/>
          <w:sz w:val="24"/>
          <w:szCs w:val="24"/>
          <w:lang w:val="it-IT" w:eastAsia="it-IT"/>
          <w14:ligatures w14:val="none"/>
        </w:rPr>
        <w:t xml:space="preserve">, oltre che </w:t>
      </w:r>
      <w:r w:rsidR="005770C8">
        <w:rPr>
          <w:rFonts w:ascii="Times New Roman" w:eastAsia="Times New Roman" w:hAnsi="Times New Roman" w:cs="Times New Roman"/>
          <w:noProof/>
          <w:kern w:val="0"/>
          <w:sz w:val="24"/>
          <w:szCs w:val="24"/>
          <w:lang w:val="it-IT" w:eastAsia="it-IT"/>
          <w14:ligatures w14:val="none"/>
        </w:rPr>
        <w:t>estraneo a</w:t>
      </w:r>
      <w:r w:rsidRPr="00D47339">
        <w:rPr>
          <w:rFonts w:ascii="Times New Roman" w:eastAsia="Times New Roman" w:hAnsi="Times New Roman" w:cs="Times New Roman"/>
          <w:noProof/>
          <w:kern w:val="0"/>
          <w:sz w:val="24"/>
          <w:szCs w:val="24"/>
          <w:lang w:val="it-IT" w:eastAsia="it-IT"/>
          <w14:ligatures w14:val="none"/>
        </w:rPr>
        <w:t>lla logica che ispira la disciplina della materia</w:t>
      </w:r>
      <w:r w:rsidR="0054668D" w:rsidRPr="00D47339">
        <w:rPr>
          <w:rFonts w:ascii="Times New Roman" w:eastAsia="Times New Roman" w:hAnsi="Times New Roman" w:cs="Times New Roman"/>
          <w:noProof/>
          <w:kern w:val="0"/>
          <w:sz w:val="24"/>
          <w:szCs w:val="24"/>
          <w:lang w:val="it-IT" w:eastAsia="it-IT"/>
          <w14:ligatures w14:val="none"/>
        </w:rPr>
        <w:t>,</w:t>
      </w:r>
      <w:r w:rsidRPr="00D47339">
        <w:rPr>
          <w:rFonts w:ascii="Times New Roman" w:eastAsia="Times New Roman" w:hAnsi="Times New Roman" w:cs="Times New Roman"/>
          <w:noProof/>
          <w:kern w:val="0"/>
          <w:sz w:val="24"/>
          <w:szCs w:val="24"/>
          <w:lang w:val="it-IT" w:eastAsia="it-IT"/>
          <w14:ligatures w14:val="none"/>
        </w:rPr>
        <w:t xml:space="preserve"> immaginare che, avvedut</w:t>
      </w:r>
      <w:r w:rsidR="0054668D" w:rsidRPr="00D47339">
        <w:rPr>
          <w:rFonts w:ascii="Times New Roman" w:eastAsia="Times New Roman" w:hAnsi="Times New Roman" w:cs="Times New Roman"/>
          <w:noProof/>
          <w:kern w:val="0"/>
          <w:sz w:val="24"/>
          <w:szCs w:val="24"/>
          <w:lang w:val="it-IT" w:eastAsia="it-IT"/>
          <w14:ligatures w14:val="none"/>
        </w:rPr>
        <w:t>a</w:t>
      </w:r>
      <w:r w:rsidRPr="00D47339">
        <w:rPr>
          <w:rFonts w:ascii="Times New Roman" w:eastAsia="Times New Roman" w:hAnsi="Times New Roman" w:cs="Times New Roman"/>
          <w:noProof/>
          <w:kern w:val="0"/>
          <w:sz w:val="24"/>
          <w:szCs w:val="24"/>
          <w:lang w:val="it-IT" w:eastAsia="it-IT"/>
          <w14:ligatures w14:val="none"/>
        </w:rPr>
        <w:t>si del fatto che il bando sia privo di tali criteri, l’impresa lo impugni senza attendere l</w:t>
      </w:r>
      <w:r w:rsidR="0054668D" w:rsidRPr="00D47339">
        <w:rPr>
          <w:rFonts w:ascii="Times New Roman" w:eastAsia="Times New Roman" w:hAnsi="Times New Roman" w:cs="Times New Roman"/>
          <w:noProof/>
          <w:kern w:val="0"/>
          <w:sz w:val="24"/>
          <w:szCs w:val="24"/>
          <w:lang w:val="it-IT" w:eastAsia="it-IT"/>
          <w14:ligatures w14:val="none"/>
        </w:rPr>
        <w:t>o svolgimento e l</w:t>
      </w:r>
      <w:r w:rsidRPr="00D47339">
        <w:rPr>
          <w:rFonts w:ascii="Times New Roman" w:eastAsia="Times New Roman" w:hAnsi="Times New Roman" w:cs="Times New Roman"/>
          <w:noProof/>
          <w:kern w:val="0"/>
          <w:sz w:val="24"/>
          <w:szCs w:val="24"/>
          <w:lang w:val="it-IT" w:eastAsia="it-IT"/>
          <w14:ligatures w14:val="none"/>
        </w:rPr>
        <w:t>’esito della gara.</w:t>
      </w:r>
    </w:p>
    <w:p w14:paraId="0EF9B516" w14:textId="0043E975" w:rsidR="00B75610" w:rsidRPr="00D47339" w:rsidRDefault="00B7561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 xml:space="preserve">Conseguentemente, non può in alcun modo imputarsi all’impresa ricorrente un onere di immediata impugnazione della legge di gara che risulti viziata in tal senso salvo che, coerentemente a quanto </w:t>
      </w:r>
      <w:r w:rsidRPr="00D47339">
        <w:rPr>
          <w:rFonts w:ascii="Times New Roman" w:eastAsia="Times New Roman" w:hAnsi="Times New Roman" w:cs="Times New Roman"/>
          <w:noProof/>
          <w:kern w:val="0"/>
          <w:sz w:val="24"/>
          <w:szCs w:val="24"/>
          <w:lang w:val="it-IT" w:eastAsia="it-IT"/>
          <w14:ligatures w14:val="none"/>
        </w:rPr>
        <w:lastRenderedPageBreak/>
        <w:t>stabilito dalla sentenza n. 4/2018 dell’Adunanza plenaria del Consiglio di Stato, ciò renda impossibile o estremamente difficoltoso formulare l’offerta.</w:t>
      </w:r>
      <w:r w:rsidRPr="00D47339">
        <w:rPr>
          <w:rFonts w:ascii="Times New Roman" w:eastAsia="Times New Roman" w:hAnsi="Times New Roman" w:cs="Times New Roman"/>
          <w:noProof/>
          <w:kern w:val="0"/>
          <w:sz w:val="24"/>
          <w:szCs w:val="24"/>
          <w:vertAlign w:val="superscript"/>
          <w:lang w:val="it-IT" w:eastAsia="it-IT"/>
          <w14:ligatures w14:val="none"/>
        </w:rPr>
        <w:footnoteReference w:id="24"/>
      </w:r>
    </w:p>
    <w:p w14:paraId="34E649F5" w14:textId="6E7AEDFA" w:rsidR="00A0738C" w:rsidRDefault="0054668D" w:rsidP="00D07E83">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La giurisprudenza amministrativa è stata a lungo allineata su queste coordinate</w:t>
      </w:r>
      <w:r w:rsidR="00D07E83">
        <w:rPr>
          <w:rFonts w:ascii="Times New Roman" w:eastAsia="Times New Roman" w:hAnsi="Times New Roman" w:cs="Times New Roman"/>
          <w:noProof/>
          <w:kern w:val="0"/>
          <w:sz w:val="24"/>
          <w:szCs w:val="24"/>
          <w:lang w:val="it-IT" w:eastAsia="it-IT"/>
          <w14:ligatures w14:val="none"/>
        </w:rPr>
        <w:t>: come ricordato dalla sentenza del Consiglio di Stato n. 2795/2023</w:t>
      </w:r>
      <w:r w:rsidR="00A0738C">
        <w:rPr>
          <w:rFonts w:ascii="Times New Roman" w:eastAsia="Times New Roman" w:hAnsi="Times New Roman" w:cs="Times New Roman"/>
          <w:noProof/>
          <w:kern w:val="0"/>
          <w:sz w:val="24"/>
          <w:szCs w:val="24"/>
          <w:lang w:val="it-IT" w:eastAsia="it-IT"/>
          <w14:ligatures w14:val="none"/>
        </w:rPr>
        <w:t>.</w:t>
      </w:r>
      <w:r w:rsidR="00A0738C">
        <w:rPr>
          <w:rStyle w:val="Rimandonotaapidipagina"/>
          <w:rFonts w:ascii="Times New Roman" w:eastAsia="Times New Roman" w:hAnsi="Times New Roman" w:cs="Times New Roman"/>
          <w:noProof/>
          <w:kern w:val="0"/>
          <w:sz w:val="24"/>
          <w:szCs w:val="24"/>
          <w:lang w:val="it-IT" w:eastAsia="it-IT"/>
          <w14:ligatures w14:val="none"/>
        </w:rPr>
        <w:footnoteReference w:id="25"/>
      </w:r>
    </w:p>
    <w:p w14:paraId="10064683" w14:textId="77777777" w:rsidR="00D07E83" w:rsidRDefault="0054668D"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sidRPr="00D47339">
        <w:rPr>
          <w:rFonts w:ascii="Times New Roman" w:eastAsia="Times New Roman" w:hAnsi="Times New Roman" w:cs="Times New Roman"/>
          <w:noProof/>
          <w:kern w:val="0"/>
          <w:sz w:val="24"/>
          <w:szCs w:val="24"/>
          <w:lang w:val="it-IT" w:eastAsia="it-IT"/>
          <w14:ligatures w14:val="none"/>
        </w:rPr>
        <w:t>Nondimeno occorre registrare alcune recenti pronunce che, pur se in dichiarata adesione al richiamato arresto della Plenaria (come si vedrà, in alcuni casi senza però un</w:t>
      </w:r>
      <w:r w:rsidR="00D07E83">
        <w:rPr>
          <w:rFonts w:ascii="Times New Roman" w:eastAsia="Times New Roman" w:hAnsi="Times New Roman" w:cs="Times New Roman"/>
          <w:noProof/>
          <w:kern w:val="0"/>
          <w:sz w:val="24"/>
          <w:szCs w:val="24"/>
          <w:lang w:val="it-IT" w:eastAsia="it-IT"/>
          <w14:ligatures w14:val="none"/>
        </w:rPr>
        <w:t>a reale</w:t>
      </w:r>
      <w:r w:rsidRPr="00D47339">
        <w:rPr>
          <w:rFonts w:ascii="Times New Roman" w:eastAsia="Times New Roman" w:hAnsi="Times New Roman" w:cs="Times New Roman"/>
          <w:noProof/>
          <w:kern w:val="0"/>
          <w:sz w:val="24"/>
          <w:szCs w:val="24"/>
          <w:lang w:val="it-IT" w:eastAsia="it-IT"/>
          <w14:ligatures w14:val="none"/>
        </w:rPr>
        <w:t xml:space="preserve"> indagine circa l’effettiva formulabilità dell’offerta), tuttavia pongono in discussione il fin qui consolidato assetto giurisprudenziale formatosi nel senso sopra riferito</w:t>
      </w:r>
      <w:r w:rsidR="00D07E83">
        <w:rPr>
          <w:rFonts w:ascii="Times New Roman" w:eastAsia="Times New Roman" w:hAnsi="Times New Roman" w:cs="Times New Roman"/>
          <w:noProof/>
          <w:kern w:val="0"/>
          <w:sz w:val="24"/>
          <w:szCs w:val="24"/>
          <w:lang w:val="it-IT" w:eastAsia="it-IT"/>
          <w14:ligatures w14:val="none"/>
        </w:rPr>
        <w:t>.</w:t>
      </w:r>
    </w:p>
    <w:p w14:paraId="3F6906C5" w14:textId="129FB219" w:rsidR="00AF1120" w:rsidRDefault="00D07E83"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L</w:t>
      </w:r>
      <w:r w:rsidR="00895614">
        <w:rPr>
          <w:rFonts w:ascii="Times New Roman" w:eastAsia="Times New Roman" w:hAnsi="Times New Roman" w:cs="Times New Roman"/>
          <w:noProof/>
          <w:kern w:val="0"/>
          <w:sz w:val="24"/>
          <w:szCs w:val="24"/>
          <w:lang w:val="it-IT" w:eastAsia="it-IT"/>
          <w14:ligatures w14:val="none"/>
        </w:rPr>
        <w:t>a</w:t>
      </w:r>
      <w:r>
        <w:rPr>
          <w:rFonts w:ascii="Times New Roman" w:eastAsia="Times New Roman" w:hAnsi="Times New Roman" w:cs="Times New Roman"/>
          <w:noProof/>
          <w:kern w:val="0"/>
          <w:sz w:val="24"/>
          <w:szCs w:val="24"/>
          <w:lang w:val="it-IT" w:eastAsia="it-IT"/>
          <w14:ligatures w14:val="none"/>
        </w:rPr>
        <w:t xml:space="preserve"> </w:t>
      </w:r>
      <w:r w:rsidR="00A0738C">
        <w:rPr>
          <w:rFonts w:ascii="Times New Roman" w:eastAsia="Times New Roman" w:hAnsi="Times New Roman" w:cs="Times New Roman"/>
          <w:noProof/>
          <w:kern w:val="0"/>
          <w:sz w:val="24"/>
          <w:szCs w:val="24"/>
          <w:lang w:val="it-IT" w:eastAsia="it-IT"/>
          <w14:ligatures w14:val="none"/>
        </w:rPr>
        <w:t xml:space="preserve">già citata </w:t>
      </w:r>
      <w:r>
        <w:rPr>
          <w:rFonts w:ascii="Times New Roman" w:eastAsia="Times New Roman" w:hAnsi="Times New Roman" w:cs="Times New Roman"/>
          <w:noProof/>
          <w:kern w:val="0"/>
          <w:sz w:val="24"/>
          <w:szCs w:val="24"/>
          <w:lang w:val="it-IT" w:eastAsia="it-IT"/>
          <w14:ligatures w14:val="none"/>
        </w:rPr>
        <w:t>sentenz</w:t>
      </w:r>
      <w:r w:rsidR="00895614">
        <w:rPr>
          <w:rFonts w:ascii="Times New Roman" w:eastAsia="Times New Roman" w:hAnsi="Times New Roman" w:cs="Times New Roman"/>
          <w:noProof/>
          <w:kern w:val="0"/>
          <w:sz w:val="24"/>
          <w:szCs w:val="24"/>
          <w:lang w:val="it-IT" w:eastAsia="it-IT"/>
          <w14:ligatures w14:val="none"/>
        </w:rPr>
        <w:t>a</w:t>
      </w:r>
      <w:r>
        <w:rPr>
          <w:rFonts w:ascii="Times New Roman" w:eastAsia="Times New Roman" w:hAnsi="Times New Roman" w:cs="Times New Roman"/>
          <w:noProof/>
          <w:kern w:val="0"/>
          <w:sz w:val="24"/>
          <w:szCs w:val="24"/>
          <w:lang w:val="it-IT" w:eastAsia="it-IT"/>
          <w14:ligatures w14:val="none"/>
        </w:rPr>
        <w:t xml:space="preserve"> n. 3411/2025 </w:t>
      </w:r>
      <w:r w:rsidR="00AF1120">
        <w:rPr>
          <w:rFonts w:ascii="Times New Roman" w:eastAsia="Times New Roman" w:hAnsi="Times New Roman" w:cs="Times New Roman"/>
          <w:noProof/>
          <w:kern w:val="0"/>
          <w:sz w:val="24"/>
          <w:szCs w:val="24"/>
          <w:lang w:val="it-IT" w:eastAsia="it-IT"/>
          <w14:ligatures w14:val="none"/>
        </w:rPr>
        <w:t>della V Sezione del Consiglio di Stato ha dichiarato irricevibile per tardività e inammissibile il ricorso di primo grado, proposto contro l’aggiudcazione, in quanto “</w:t>
      </w:r>
      <w:r w:rsidR="00AF1120" w:rsidRPr="00AF1120">
        <w:rPr>
          <w:rFonts w:ascii="Times New Roman" w:eastAsia="Times New Roman" w:hAnsi="Times New Roman" w:cs="Times New Roman"/>
          <w:noProof/>
          <w:kern w:val="0"/>
          <w:sz w:val="24"/>
          <w:szCs w:val="24"/>
          <w:lang w:val="it-IT" w:eastAsia="it-IT"/>
          <w14:ligatures w14:val="none"/>
        </w:rPr>
        <w:t xml:space="preserve">Il principio della fiducia, insieme a quello del risultato, contenuti nella prima parte del d.lgs. n. 36 del 2023 (artt. 1 e 2), impongono l’interpretazione della legge di gara secondo buona fede (artt 1337 e 1338 c.c.) per tutte le parti coinvolte nella procedura volta all’assegnazione della commessa pubblica; da ciò consegue che il bando e il disciplinare di gara, in tutte le ipotesi in cui insorgano criticità che </w:t>
      </w:r>
      <w:r w:rsidR="00AF1120" w:rsidRPr="00AF1120">
        <w:rPr>
          <w:rFonts w:ascii="Times New Roman" w:eastAsia="Times New Roman" w:hAnsi="Times New Roman" w:cs="Times New Roman"/>
          <w:noProof/>
          <w:kern w:val="0"/>
          <w:sz w:val="24"/>
          <w:szCs w:val="24"/>
          <w:lang w:val="it-IT" w:eastAsia="it-IT"/>
          <w14:ligatures w14:val="none"/>
        </w:rPr>
        <w:lastRenderedPageBreak/>
        <w:t>non si traducono in vizi che abbiano inciso in maniera sostanziale e lesiva sulla posizione soggettiva delle parti, vadano interpretati alla luce del principio di legalità, al fine del perseguimento del fine ultimo della procedura concorsuale, che consiste nella tempestiva aggiudicazione alla migliore offerta nel rispetto della par condicio</w:t>
      </w:r>
      <w:r w:rsidR="00AF1120">
        <w:rPr>
          <w:rFonts w:ascii="Times New Roman" w:eastAsia="Times New Roman" w:hAnsi="Times New Roman" w:cs="Times New Roman"/>
          <w:noProof/>
          <w:kern w:val="0"/>
          <w:sz w:val="24"/>
          <w:szCs w:val="24"/>
          <w:lang w:val="it-IT" w:eastAsia="it-IT"/>
          <w14:ligatures w14:val="none"/>
        </w:rPr>
        <w:t>”</w:t>
      </w:r>
      <w:r w:rsidR="00AF1120" w:rsidRPr="00AF1120">
        <w:rPr>
          <w:rFonts w:ascii="Times New Roman" w:eastAsia="Times New Roman" w:hAnsi="Times New Roman" w:cs="Times New Roman"/>
          <w:noProof/>
          <w:kern w:val="0"/>
          <w:sz w:val="24"/>
          <w:szCs w:val="24"/>
          <w:lang w:val="it-IT" w:eastAsia="it-IT"/>
          <w14:ligatures w14:val="none"/>
        </w:rPr>
        <w:t>.</w:t>
      </w:r>
    </w:p>
    <w:p w14:paraId="2C550646" w14:textId="0E8069AD" w:rsidR="00A0738C" w:rsidRDefault="00AF112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Ad analoghe conlusioni è giunta la di poco successiva sentenza n.</w:t>
      </w:r>
      <w:r w:rsidR="00D07E83">
        <w:rPr>
          <w:rFonts w:ascii="Times New Roman" w:eastAsia="Times New Roman" w:hAnsi="Times New Roman" w:cs="Times New Roman"/>
          <w:noProof/>
          <w:kern w:val="0"/>
          <w:sz w:val="24"/>
          <w:szCs w:val="24"/>
          <w:lang w:val="it-IT" w:eastAsia="it-IT"/>
          <w14:ligatures w14:val="none"/>
        </w:rPr>
        <w:t xml:space="preserve"> 3542/2025 della V Sezione del Consiglio di Stato</w:t>
      </w:r>
      <w:r w:rsidR="00A0738C">
        <w:rPr>
          <w:rFonts w:ascii="Times New Roman" w:eastAsia="Times New Roman" w:hAnsi="Times New Roman" w:cs="Times New Roman"/>
          <w:noProof/>
          <w:kern w:val="0"/>
          <w:sz w:val="24"/>
          <w:szCs w:val="24"/>
          <w:lang w:val="it-IT" w:eastAsia="it-IT"/>
          <w14:ligatures w14:val="none"/>
        </w:rPr>
        <w:t>.</w:t>
      </w:r>
      <w:r w:rsidR="00A0738C">
        <w:rPr>
          <w:rStyle w:val="Rimandonotaapidipagina"/>
          <w:rFonts w:ascii="Times New Roman" w:eastAsia="Times New Roman" w:hAnsi="Times New Roman" w:cs="Times New Roman"/>
          <w:noProof/>
          <w:kern w:val="0"/>
          <w:sz w:val="24"/>
          <w:szCs w:val="24"/>
          <w:lang w:val="it-IT" w:eastAsia="it-IT"/>
          <w14:ligatures w14:val="none"/>
        </w:rPr>
        <w:footnoteReference w:id="26"/>
      </w:r>
    </w:p>
    <w:p w14:paraId="58CABA99" w14:textId="06782FFF" w:rsidR="00D07E83" w:rsidRDefault="00AF1120"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In argomento è sufficiente osservate che la mancata possibilità di presentare offerte non conformi ai canoni ambientali è cosa diversa dal parametro – eccezionale – della impossibilità o estrema difficoltà di presentare l’offerta, di cui alla citata decisione della Plenaria</w:t>
      </w:r>
      <w:r w:rsidRPr="00AF1120">
        <w:rPr>
          <w:rFonts w:ascii="Times New Roman" w:eastAsia="Times New Roman" w:hAnsi="Times New Roman" w:cs="Times New Roman"/>
          <w:noProof/>
          <w:kern w:val="0"/>
          <w:sz w:val="24"/>
          <w:szCs w:val="24"/>
          <w:lang w:val="it-IT" w:eastAsia="it-IT"/>
          <w14:ligatures w14:val="none"/>
        </w:rPr>
        <w:t>.</w:t>
      </w:r>
    </w:p>
    <w:p w14:paraId="7CF5D087" w14:textId="69E943E3" w:rsidR="00C16942" w:rsidRDefault="00D07E83"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La sentenza n. 6651/2025 sempre della V Sezione ha poi</w:t>
      </w:r>
      <w:r w:rsidR="00AF1120">
        <w:rPr>
          <w:rFonts w:ascii="Times New Roman" w:eastAsia="Times New Roman" w:hAnsi="Times New Roman" w:cs="Times New Roman"/>
          <w:noProof/>
          <w:kern w:val="0"/>
          <w:sz w:val="24"/>
          <w:szCs w:val="24"/>
          <w:lang w:val="it-IT" w:eastAsia="it-IT"/>
          <w14:ligatures w14:val="none"/>
        </w:rPr>
        <w:t xml:space="preserve"> tentanto di sistematizzare tale indirizzo giurisprudenziale,</w:t>
      </w:r>
      <w:r>
        <w:rPr>
          <w:rFonts w:ascii="Times New Roman" w:eastAsia="Times New Roman" w:hAnsi="Times New Roman" w:cs="Times New Roman"/>
          <w:noProof/>
          <w:kern w:val="0"/>
          <w:sz w:val="24"/>
          <w:szCs w:val="24"/>
          <w:lang w:val="it-IT" w:eastAsia="it-IT"/>
          <w14:ligatures w14:val="none"/>
        </w:rPr>
        <w:t xml:space="preserve"> </w:t>
      </w:r>
      <w:r w:rsidR="00AF1120">
        <w:rPr>
          <w:rFonts w:ascii="Times New Roman" w:eastAsia="Times New Roman" w:hAnsi="Times New Roman" w:cs="Times New Roman"/>
          <w:noProof/>
          <w:kern w:val="0"/>
          <w:sz w:val="24"/>
          <w:szCs w:val="24"/>
          <w:lang w:val="it-IT" w:eastAsia="it-IT"/>
          <w14:ligatures w14:val="none"/>
        </w:rPr>
        <w:t>sostenendo</w:t>
      </w:r>
      <w:r>
        <w:rPr>
          <w:rFonts w:ascii="Times New Roman" w:eastAsia="Times New Roman" w:hAnsi="Times New Roman" w:cs="Times New Roman"/>
          <w:noProof/>
          <w:kern w:val="0"/>
          <w:sz w:val="24"/>
          <w:szCs w:val="24"/>
          <w:lang w:val="it-IT" w:eastAsia="it-IT"/>
          <w14:ligatures w14:val="none"/>
        </w:rPr>
        <w:t xml:space="preserve"> che </w:t>
      </w:r>
      <w:r w:rsidR="00AF1120">
        <w:rPr>
          <w:rFonts w:ascii="Times New Roman" w:eastAsia="Times New Roman" w:hAnsi="Times New Roman" w:cs="Times New Roman"/>
          <w:noProof/>
          <w:kern w:val="0"/>
          <w:sz w:val="24"/>
          <w:szCs w:val="24"/>
          <w:lang w:val="it-IT" w:eastAsia="it-IT"/>
          <w14:ligatures w14:val="none"/>
        </w:rPr>
        <w:t>la questione vada definita secondo un “</w:t>
      </w:r>
      <w:r w:rsidR="00AF1120" w:rsidRPr="00AF1120">
        <w:rPr>
          <w:rFonts w:ascii="Times New Roman" w:eastAsia="Times New Roman" w:hAnsi="Times New Roman" w:cs="Times New Roman"/>
          <w:noProof/>
          <w:kern w:val="0"/>
          <w:sz w:val="24"/>
          <w:szCs w:val="24"/>
          <w:lang w:val="it-IT" w:eastAsia="it-IT"/>
          <w14:ligatures w14:val="none"/>
        </w:rPr>
        <w:t>approccio inevitabilmente di tipo casistico</w:t>
      </w:r>
      <w:r w:rsidR="00AF1120">
        <w:rPr>
          <w:rFonts w:ascii="Times New Roman" w:eastAsia="Times New Roman" w:hAnsi="Times New Roman" w:cs="Times New Roman"/>
          <w:noProof/>
          <w:kern w:val="0"/>
          <w:sz w:val="24"/>
          <w:szCs w:val="24"/>
          <w:lang w:val="it-IT" w:eastAsia="it-IT"/>
          <w14:ligatures w14:val="none"/>
        </w:rPr>
        <w:t>”</w:t>
      </w:r>
      <w:r w:rsidR="00C16942">
        <w:rPr>
          <w:rFonts w:ascii="Times New Roman" w:eastAsia="Times New Roman" w:hAnsi="Times New Roman" w:cs="Times New Roman"/>
          <w:noProof/>
          <w:kern w:val="0"/>
          <w:sz w:val="24"/>
          <w:szCs w:val="24"/>
          <w:lang w:val="it-IT" w:eastAsia="it-IT"/>
          <w14:ligatures w14:val="none"/>
        </w:rPr>
        <w:t>.</w:t>
      </w:r>
      <w:r w:rsidR="00A0738C">
        <w:rPr>
          <w:rStyle w:val="Rimandonotaapidipagina"/>
          <w:rFonts w:ascii="Times New Roman" w:eastAsia="Times New Roman" w:hAnsi="Times New Roman" w:cs="Times New Roman"/>
          <w:noProof/>
          <w:kern w:val="0"/>
          <w:sz w:val="24"/>
          <w:szCs w:val="24"/>
          <w:lang w:val="it-IT" w:eastAsia="it-IT"/>
          <w14:ligatures w14:val="none"/>
        </w:rPr>
        <w:footnoteReference w:id="27"/>
      </w:r>
    </w:p>
    <w:p w14:paraId="5B6BA99A" w14:textId="77777777" w:rsidR="00C16942" w:rsidRDefault="00C16942"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La successiva sentenza n. 1403/2026 della V Sezione del Consiglio di Stato ha quindi precisato, in questa specifica materia, che “</w:t>
      </w:r>
      <w:r w:rsidRPr="00A0738C">
        <w:rPr>
          <w:rFonts w:ascii="Times New Roman" w:eastAsia="Times New Roman" w:hAnsi="Times New Roman" w:cs="Times New Roman"/>
          <w:noProof/>
          <w:kern w:val="0"/>
          <w:sz w:val="24"/>
          <w:szCs w:val="24"/>
          <w:lang w:val="it-IT" w:eastAsia="it-IT"/>
          <w14:ligatures w14:val="none"/>
        </w:rPr>
        <w:t>se è vero che il ricorrente può trarre un vantaggio dall’annullamento del bando e conseguentemente di tutta la procedura, in quanto la sua eventuale riedizione gli offrirebbe una nuova possibilità di aggiudicazione, tuttavia la mancata allegazione circa le maggiori chances di aggiudicazione che la legittimità del bando avrebbe comportato rende tale vantaggio del tutto astratto, in quanto meramente ipotetico e, cioè, incerto. Invero, l’impugnazione di un bando di gara, che non abbia impedito al ricorrente la partecipazione esige l’individuazione del pregiudizio derivato al concorrente dall’illegittimità dedotta, atteso che, in mancanza, la mera riedizione della gara, non essendo accompagnata dall’effettivo aumento delle possibilità di aggiudicazione, si traduce in un vantaggio meramente ipotetico dunque, come detto, incerto, per cui l’interesse ad agire difetta del requisito della concretezza</w:t>
      </w:r>
      <w:r>
        <w:rPr>
          <w:rFonts w:ascii="Times New Roman" w:eastAsia="Times New Roman" w:hAnsi="Times New Roman" w:cs="Times New Roman"/>
          <w:noProof/>
          <w:kern w:val="0"/>
          <w:sz w:val="24"/>
          <w:szCs w:val="24"/>
          <w:lang w:val="it-IT" w:eastAsia="it-IT"/>
          <w14:ligatures w14:val="none"/>
        </w:rPr>
        <w:t>”.</w:t>
      </w:r>
    </w:p>
    <w:p w14:paraId="7067AB5A" w14:textId="5EDCF42B" w:rsidR="00100268" w:rsidRDefault="00100268" w:rsidP="00100268">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Una soluzione che in qualche modo si inserisce, pur se con connotati di peculiarità, in questo filone, è quella affermata dalla sentenza n. 5838/2026 del T.A.R. del </w:t>
      </w:r>
      <w:r w:rsidR="005D56CD">
        <w:rPr>
          <w:rFonts w:ascii="Times New Roman" w:eastAsia="Times New Roman" w:hAnsi="Times New Roman" w:cs="Times New Roman"/>
          <w:noProof/>
          <w:kern w:val="0"/>
          <w:sz w:val="24"/>
          <w:szCs w:val="24"/>
          <w:lang w:val="it-IT" w:eastAsia="it-IT"/>
          <w14:ligatures w14:val="none"/>
        </w:rPr>
        <w:t>L</w:t>
      </w:r>
      <w:r>
        <w:rPr>
          <w:rFonts w:ascii="Times New Roman" w:eastAsia="Times New Roman" w:hAnsi="Times New Roman" w:cs="Times New Roman"/>
          <w:noProof/>
          <w:kern w:val="0"/>
          <w:sz w:val="24"/>
          <w:szCs w:val="24"/>
          <w:lang w:val="it-IT" w:eastAsia="it-IT"/>
          <w14:ligatures w14:val="none"/>
        </w:rPr>
        <w:t>azio, secondo la quale “</w:t>
      </w:r>
      <w:r w:rsidRPr="00100268">
        <w:rPr>
          <w:rFonts w:ascii="Times New Roman" w:eastAsia="Times New Roman" w:hAnsi="Times New Roman" w:cs="Times New Roman"/>
          <w:noProof/>
          <w:kern w:val="0"/>
          <w:sz w:val="24"/>
          <w:szCs w:val="24"/>
          <w:lang w:val="it-IT" w:eastAsia="it-IT"/>
          <w14:ligatures w14:val="none"/>
        </w:rPr>
        <w:t>occorre distinguere tra:</w:t>
      </w:r>
      <w:r>
        <w:rPr>
          <w:rFonts w:ascii="Times New Roman" w:eastAsia="Times New Roman" w:hAnsi="Times New Roman" w:cs="Times New Roman"/>
          <w:noProof/>
          <w:kern w:val="0"/>
          <w:sz w:val="24"/>
          <w:szCs w:val="24"/>
          <w:lang w:val="it-IT" w:eastAsia="it-IT"/>
          <w14:ligatures w14:val="none"/>
        </w:rPr>
        <w:t xml:space="preserve"> </w:t>
      </w:r>
      <w:r w:rsidRPr="00100268">
        <w:rPr>
          <w:rFonts w:ascii="Times New Roman" w:eastAsia="Times New Roman" w:hAnsi="Times New Roman" w:cs="Times New Roman"/>
          <w:noProof/>
          <w:kern w:val="0"/>
          <w:sz w:val="24"/>
          <w:szCs w:val="24"/>
          <w:lang w:val="it-IT" w:eastAsia="it-IT"/>
          <w14:ligatures w14:val="none"/>
        </w:rPr>
        <w:t xml:space="preserve">- totale pretermissione dei CAM all’interno del bando di gara. In questo caso si tratta </w:t>
      </w:r>
      <w:r w:rsidRPr="00100268">
        <w:rPr>
          <w:rFonts w:ascii="Times New Roman" w:eastAsia="Times New Roman" w:hAnsi="Times New Roman" w:cs="Times New Roman"/>
          <w:noProof/>
          <w:kern w:val="0"/>
          <w:sz w:val="24"/>
          <w:szCs w:val="24"/>
          <w:lang w:val="it-IT" w:eastAsia="it-IT"/>
          <w14:ligatures w14:val="none"/>
        </w:rPr>
        <w:lastRenderedPageBreak/>
        <w:t>di offerta impossibile da formulare e dunque grava l’onere di immediata impugnazione del bando;</w:t>
      </w:r>
      <w:r>
        <w:rPr>
          <w:rFonts w:ascii="Times New Roman" w:eastAsia="Times New Roman" w:hAnsi="Times New Roman" w:cs="Times New Roman"/>
          <w:noProof/>
          <w:kern w:val="0"/>
          <w:sz w:val="24"/>
          <w:szCs w:val="24"/>
          <w:lang w:val="it-IT" w:eastAsia="it-IT"/>
          <w14:ligatures w14:val="none"/>
        </w:rPr>
        <w:t xml:space="preserve"> </w:t>
      </w:r>
      <w:r w:rsidRPr="00100268">
        <w:rPr>
          <w:rFonts w:ascii="Times New Roman" w:eastAsia="Times New Roman" w:hAnsi="Times New Roman" w:cs="Times New Roman"/>
          <w:noProof/>
          <w:kern w:val="0"/>
          <w:sz w:val="24"/>
          <w:szCs w:val="24"/>
          <w:lang w:val="it-IT" w:eastAsia="it-IT"/>
          <w14:ligatures w14:val="none"/>
        </w:rPr>
        <w:t>- inserimento dei CAM ma in modo difforme dalla legge per erroneità o incompletezza della relativa formulazione. In questo caso si deve attendere l’aggiudicazione onde poter impugnare il bando di gara (salva, ovviamente, la dimostrazione che la formulazione dell’offerta sarebbe comunque impossibile). Dunque in queste ipotesi, in linea generale, non vi sarebbe onere di immediata impugnativa</w:t>
      </w:r>
      <w:r>
        <w:rPr>
          <w:rFonts w:ascii="Times New Roman" w:eastAsia="Times New Roman" w:hAnsi="Times New Roman" w:cs="Times New Roman"/>
          <w:noProof/>
          <w:kern w:val="0"/>
          <w:sz w:val="24"/>
          <w:szCs w:val="24"/>
          <w:lang w:val="it-IT" w:eastAsia="it-IT"/>
          <w14:ligatures w14:val="none"/>
        </w:rPr>
        <w:t>”.</w:t>
      </w:r>
    </w:p>
    <w:p w14:paraId="65595880" w14:textId="6B72EE2E" w:rsidR="00100268" w:rsidRDefault="00100268" w:rsidP="00100268">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Tale soluzione appare però criticabile proprio nell’affermazione della sua premessa maggiore, che rischia di essere del tutto scollata dalla realtà: la fattispecie di “</w:t>
      </w:r>
      <w:r w:rsidRPr="00100268">
        <w:rPr>
          <w:rFonts w:ascii="Times New Roman" w:eastAsia="Times New Roman" w:hAnsi="Times New Roman" w:cs="Times New Roman"/>
          <w:noProof/>
          <w:kern w:val="0"/>
          <w:sz w:val="24"/>
          <w:szCs w:val="24"/>
          <w:lang w:val="it-IT" w:eastAsia="it-IT"/>
          <w14:ligatures w14:val="none"/>
        </w:rPr>
        <w:t>totale pretermissione dei CAM all’interno del bando di gara</w:t>
      </w:r>
      <w:r>
        <w:rPr>
          <w:rFonts w:ascii="Times New Roman" w:eastAsia="Times New Roman" w:hAnsi="Times New Roman" w:cs="Times New Roman"/>
          <w:noProof/>
          <w:kern w:val="0"/>
          <w:sz w:val="24"/>
          <w:szCs w:val="24"/>
          <w:lang w:val="it-IT" w:eastAsia="it-IT"/>
          <w14:ligatures w14:val="none"/>
        </w:rPr>
        <w:t>” non solo non impedisce agli operatori economici di formulare un’offerta consapevole, ma piuttosto soddisfa nell’immediato il loro interesse, essendo evidentemente più agevole configurare un impegno negoziale (e, dunque, formulare un’offerta) senza i condizionamenti rivenienti da specifiche tecniche orientate in modo stringente al rispetto di determinati parametri posti dai decreti ministeriali.</w:t>
      </w:r>
    </w:p>
    <w:p w14:paraId="738A1A7B" w14:textId="77777777" w:rsidR="005D56CD" w:rsidRDefault="00E41906" w:rsidP="00100268">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Ove si affermasse un simile orientamento, nessuna impresa avrebbe in realtà interesse ad instaurare un giudizio sol perché il bando non include in alcun modo i criteri ambientali minimi obbligatoriamente previsti</w:t>
      </w:r>
      <w:r w:rsidR="005D56CD">
        <w:rPr>
          <w:rFonts w:ascii="Times New Roman" w:eastAsia="Times New Roman" w:hAnsi="Times New Roman" w:cs="Times New Roman"/>
          <w:noProof/>
          <w:kern w:val="0"/>
          <w:sz w:val="24"/>
          <w:szCs w:val="24"/>
          <w:lang w:val="it-IT" w:eastAsia="it-IT"/>
          <w14:ligatures w14:val="none"/>
        </w:rPr>
        <w:t>:</w:t>
      </w:r>
      <w:r>
        <w:rPr>
          <w:rFonts w:ascii="Times New Roman" w:eastAsia="Times New Roman" w:hAnsi="Times New Roman" w:cs="Times New Roman"/>
          <w:noProof/>
          <w:kern w:val="0"/>
          <w:sz w:val="24"/>
          <w:szCs w:val="24"/>
          <w:lang w:val="it-IT" w:eastAsia="it-IT"/>
          <w14:ligatures w14:val="none"/>
        </w:rPr>
        <w:t xml:space="preserve"> anzi, vedrebbe piuttosto soddisfatto il proprio interesse a concorrere all’assegnazione di una commessa implicante una prestazione organizzativamente meno gravosa ed eonomicamente meno onerosa</w:t>
      </w:r>
      <w:r w:rsidR="005D56CD">
        <w:rPr>
          <w:rFonts w:ascii="Times New Roman" w:eastAsia="Times New Roman" w:hAnsi="Times New Roman" w:cs="Times New Roman"/>
          <w:noProof/>
          <w:kern w:val="0"/>
          <w:sz w:val="24"/>
          <w:szCs w:val="24"/>
          <w:lang w:val="it-IT" w:eastAsia="it-IT"/>
          <w14:ligatures w14:val="none"/>
        </w:rPr>
        <w:t>.</w:t>
      </w:r>
    </w:p>
    <w:p w14:paraId="4B4ACC6C" w14:textId="22D39486" w:rsidR="00E41906" w:rsidRDefault="005D56CD" w:rsidP="00100268">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L’effetto sarebbe dunque quello </w:t>
      </w:r>
      <w:r w:rsidR="00E41906">
        <w:rPr>
          <w:rFonts w:ascii="Times New Roman" w:eastAsia="Times New Roman" w:hAnsi="Times New Roman" w:cs="Times New Roman"/>
          <w:noProof/>
          <w:kern w:val="0"/>
          <w:sz w:val="24"/>
          <w:szCs w:val="24"/>
          <w:lang w:val="it-IT" w:eastAsia="it-IT"/>
          <w14:ligatures w14:val="none"/>
        </w:rPr>
        <w:t xml:space="preserve">di vanificare, </w:t>
      </w:r>
      <w:r>
        <w:rPr>
          <w:rFonts w:ascii="Times New Roman" w:eastAsia="Times New Roman" w:hAnsi="Times New Roman" w:cs="Times New Roman"/>
          <w:noProof/>
          <w:kern w:val="0"/>
          <w:sz w:val="24"/>
          <w:szCs w:val="24"/>
          <w:lang w:val="it-IT" w:eastAsia="it-IT"/>
          <w14:ligatures w14:val="none"/>
        </w:rPr>
        <w:t xml:space="preserve">in conseguenza di tale scelta processuale, </w:t>
      </w:r>
      <w:r w:rsidR="00E41906">
        <w:rPr>
          <w:rFonts w:ascii="Times New Roman" w:eastAsia="Times New Roman" w:hAnsi="Times New Roman" w:cs="Times New Roman"/>
          <w:noProof/>
          <w:kern w:val="0"/>
          <w:sz w:val="24"/>
          <w:szCs w:val="24"/>
          <w:lang w:val="it-IT" w:eastAsia="it-IT"/>
          <w14:ligatures w14:val="none"/>
        </w:rPr>
        <w:t xml:space="preserve">il modello di tutela </w:t>
      </w:r>
      <w:r>
        <w:rPr>
          <w:rFonts w:ascii="Times New Roman" w:eastAsia="Times New Roman" w:hAnsi="Times New Roman" w:cs="Times New Roman"/>
          <w:noProof/>
          <w:kern w:val="0"/>
          <w:sz w:val="24"/>
          <w:szCs w:val="24"/>
          <w:lang w:val="it-IT" w:eastAsia="it-IT"/>
          <w14:ligatures w14:val="none"/>
        </w:rPr>
        <w:t xml:space="preserve">sotteso alla materia dei </w:t>
      </w:r>
      <w:r w:rsidRPr="005D56CD">
        <w:rPr>
          <w:rFonts w:ascii="Times New Roman" w:eastAsia="Times New Roman" w:hAnsi="Times New Roman" w:cs="Times New Roman"/>
          <w:i/>
          <w:iCs/>
          <w:noProof/>
          <w:kern w:val="0"/>
          <w:sz w:val="24"/>
          <w:szCs w:val="24"/>
          <w:lang w:val="it-IT" w:eastAsia="it-IT"/>
          <w14:ligatures w14:val="none"/>
        </w:rPr>
        <w:t>green public procurement</w:t>
      </w:r>
      <w:r>
        <w:rPr>
          <w:rFonts w:ascii="Times New Roman" w:eastAsia="Times New Roman" w:hAnsi="Times New Roman" w:cs="Times New Roman"/>
          <w:noProof/>
          <w:kern w:val="0"/>
          <w:sz w:val="24"/>
          <w:szCs w:val="24"/>
          <w:lang w:val="it-IT" w:eastAsia="it-IT"/>
          <w14:ligatures w14:val="none"/>
        </w:rPr>
        <w:t xml:space="preserve"> e la funzione evoluta del contratto di appalto pubblico da esso risultante</w:t>
      </w:r>
      <w:r w:rsidR="00E41906">
        <w:rPr>
          <w:rFonts w:ascii="Times New Roman" w:eastAsia="Times New Roman" w:hAnsi="Times New Roman" w:cs="Times New Roman"/>
          <w:noProof/>
          <w:kern w:val="0"/>
          <w:sz w:val="24"/>
          <w:szCs w:val="24"/>
          <w:lang w:val="it-IT" w:eastAsia="it-IT"/>
          <w14:ligatures w14:val="none"/>
        </w:rPr>
        <w:t xml:space="preserve">. </w:t>
      </w:r>
    </w:p>
    <w:p w14:paraId="5B5E5FBF" w14:textId="47351FEA" w:rsidR="00C16942" w:rsidRDefault="00C16942"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In merito a tali posizioni, la sentenza della III Sezione del Consiglio di Stato n. 7898/2025 ha chiarito che “</w:t>
      </w:r>
      <w:r w:rsidRPr="00BB6D00">
        <w:rPr>
          <w:rFonts w:ascii="Times New Roman" w:eastAsia="Times New Roman" w:hAnsi="Times New Roman" w:cs="Times New Roman"/>
          <w:noProof/>
          <w:kern w:val="0"/>
          <w:sz w:val="24"/>
          <w:szCs w:val="24"/>
          <w:lang w:val="it-IT" w:eastAsia="it-IT"/>
          <w14:ligatures w14:val="none"/>
        </w:rPr>
        <w:t>l’approccio definito “casistico” dalla richiamata sentenza n. 6651/2025 non può che avere riguardo – in coerenza con la struttura argomentativa, come sopra riportata, che lo sorregge – unicamente alla distinzione fra le fattispecie in cui l’illegittimità del bando per mancato inserimento dei criteri ambientali minimi rende impossibile o estremamente difficoltosa la formulazione e la presentazione dell’offerta (nel qual caso vi è un onere di immediata impugnazione); e la distinta ipotesi in cui tale elemento non sussista, e nella quale pertanto non si versa nell’ipotesi derogatoria ed eccezionale cui l’Adunanza Plenaria riconduce l’onere di immediata impugnazione: non essendo possibile – per quanto si dirà – ipotizzare fattispecie intermedie rimesse alla discrezionalità giudiziaria. Alla teorizzazione del ridetto approccio casistico non può dunque attribuirsi un diverso significato, pena – oltre che il pregiudizio per il valore della certezza del diritto – la vanificazione, in un’ottica creazionista (recte: negazionista), del significato obiettivo e della funzione della norma primaria della cui applicazione si discute</w:t>
      </w:r>
      <w:r>
        <w:rPr>
          <w:rFonts w:ascii="Times New Roman" w:eastAsia="Times New Roman" w:hAnsi="Times New Roman" w:cs="Times New Roman"/>
          <w:noProof/>
          <w:kern w:val="0"/>
          <w:sz w:val="24"/>
          <w:szCs w:val="24"/>
          <w:lang w:val="it-IT" w:eastAsia="it-IT"/>
          <w14:ligatures w14:val="none"/>
        </w:rPr>
        <w:t>”</w:t>
      </w:r>
      <w:r w:rsidRPr="00C16942">
        <w:rPr>
          <w:rFonts w:ascii="Times New Roman" w:eastAsia="Times New Roman" w:hAnsi="Times New Roman" w:cs="Times New Roman"/>
          <w:noProof/>
          <w:kern w:val="0"/>
          <w:sz w:val="24"/>
          <w:szCs w:val="24"/>
          <w:lang w:val="it-IT" w:eastAsia="it-IT"/>
          <w14:ligatures w14:val="none"/>
        </w:rPr>
        <w:t>.</w:t>
      </w:r>
    </w:p>
    <w:p w14:paraId="58432283" w14:textId="0087B335" w:rsidR="00100268" w:rsidRDefault="002D0948"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lastRenderedPageBreak/>
        <w:t>T</w:t>
      </w:r>
      <w:r w:rsidR="00100268">
        <w:rPr>
          <w:rFonts w:ascii="Times New Roman" w:eastAsia="Times New Roman" w:hAnsi="Times New Roman" w:cs="Times New Roman"/>
          <w:noProof/>
          <w:kern w:val="0"/>
          <w:sz w:val="24"/>
          <w:szCs w:val="24"/>
          <w:lang w:val="it-IT" w:eastAsia="it-IT"/>
          <w14:ligatures w14:val="none"/>
        </w:rPr>
        <w:t xml:space="preserve">ale valutazione, evidentemente, </w:t>
      </w:r>
      <w:r>
        <w:rPr>
          <w:rFonts w:ascii="Times New Roman" w:eastAsia="Times New Roman" w:hAnsi="Times New Roman" w:cs="Times New Roman"/>
          <w:noProof/>
          <w:kern w:val="0"/>
          <w:sz w:val="24"/>
          <w:szCs w:val="24"/>
          <w:lang w:val="it-IT" w:eastAsia="it-IT"/>
          <w14:ligatures w14:val="none"/>
        </w:rPr>
        <w:t>presuppone</w:t>
      </w:r>
      <w:r w:rsidR="00100268">
        <w:rPr>
          <w:rFonts w:ascii="Times New Roman" w:eastAsia="Times New Roman" w:hAnsi="Times New Roman" w:cs="Times New Roman"/>
          <w:noProof/>
          <w:kern w:val="0"/>
          <w:sz w:val="24"/>
          <w:szCs w:val="24"/>
          <w:lang w:val="it-IT" w:eastAsia="it-IT"/>
          <w14:ligatures w14:val="none"/>
        </w:rPr>
        <w:t xml:space="preserve"> </w:t>
      </w:r>
      <w:r>
        <w:rPr>
          <w:rFonts w:ascii="Times New Roman" w:eastAsia="Times New Roman" w:hAnsi="Times New Roman" w:cs="Times New Roman"/>
          <w:noProof/>
          <w:kern w:val="0"/>
          <w:sz w:val="24"/>
          <w:szCs w:val="24"/>
          <w:lang w:val="it-IT" w:eastAsia="it-IT"/>
          <w14:ligatures w14:val="none"/>
        </w:rPr>
        <w:t xml:space="preserve">una consapevole ricognizione preliminare sia della dimensione teleologica e funzionale della disciplina dei criteri ambientali minimi; sia – conseguentemente -  della diversità delle posizioni d’interesse che nella fattispecie si confrontano: quella degli operatori economici, tendenzialmente indifferente (se non addirittura antagonista) alla sostenibilità ambientale (delle modalità di esecuzione) della prestazione contrattuale; quello pubblico, attribuito all’amministrazione aggiudicatrice, alla quale la norma di diritto sostanziale fa invece carico di curare tale esigenza.   </w:t>
      </w:r>
    </w:p>
    <w:p w14:paraId="59531645" w14:textId="4182F7E0" w:rsidR="00895614" w:rsidRDefault="00895614"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Sotto il profilo del </w:t>
      </w:r>
      <w:r w:rsidR="00410576">
        <w:rPr>
          <w:rFonts w:ascii="Times New Roman" w:eastAsia="Times New Roman" w:hAnsi="Times New Roman" w:cs="Times New Roman"/>
          <w:noProof/>
          <w:kern w:val="0"/>
          <w:sz w:val="24"/>
          <w:szCs w:val="24"/>
          <w:lang w:val="it-IT" w:eastAsia="it-IT"/>
          <w14:ligatures w14:val="none"/>
        </w:rPr>
        <w:t xml:space="preserve">– non trascurabile - </w:t>
      </w:r>
      <w:r>
        <w:rPr>
          <w:rFonts w:ascii="Times New Roman" w:eastAsia="Times New Roman" w:hAnsi="Times New Roman" w:cs="Times New Roman"/>
          <w:noProof/>
          <w:kern w:val="0"/>
          <w:sz w:val="24"/>
          <w:szCs w:val="24"/>
          <w:lang w:val="it-IT" w:eastAsia="it-IT"/>
          <w14:ligatures w14:val="none"/>
        </w:rPr>
        <w:t xml:space="preserve">valore della certezza del diritto va </w:t>
      </w:r>
      <w:r w:rsidR="00410576">
        <w:rPr>
          <w:rFonts w:ascii="Times New Roman" w:eastAsia="Times New Roman" w:hAnsi="Times New Roman" w:cs="Times New Roman"/>
          <w:noProof/>
          <w:kern w:val="0"/>
          <w:sz w:val="24"/>
          <w:szCs w:val="24"/>
          <w:lang w:val="it-IT" w:eastAsia="it-IT"/>
          <w14:ligatures w14:val="none"/>
        </w:rPr>
        <w:t>peraltro</w:t>
      </w:r>
      <w:r>
        <w:rPr>
          <w:rFonts w:ascii="Times New Roman" w:eastAsia="Times New Roman" w:hAnsi="Times New Roman" w:cs="Times New Roman"/>
          <w:noProof/>
          <w:kern w:val="0"/>
          <w:sz w:val="24"/>
          <w:szCs w:val="24"/>
          <w:lang w:val="it-IT" w:eastAsia="it-IT"/>
          <w14:ligatures w14:val="none"/>
        </w:rPr>
        <w:t xml:space="preserve"> osservato che questo indirizzo giurisprudenziale, pur discostandosi da quello – sopra richiamato  - consolidato, non ha</w:t>
      </w:r>
      <w:r w:rsidR="00410576">
        <w:rPr>
          <w:rFonts w:ascii="Times New Roman" w:eastAsia="Times New Roman" w:hAnsi="Times New Roman" w:cs="Times New Roman"/>
          <w:noProof/>
          <w:kern w:val="0"/>
          <w:sz w:val="24"/>
          <w:szCs w:val="24"/>
          <w:lang w:val="it-IT" w:eastAsia="it-IT"/>
          <w14:ligatures w14:val="none"/>
        </w:rPr>
        <w:t xml:space="preserve"> ritenuto di rimettere la questione all’Adunanza plenaria del Consiglio di Stato, nel dichiarato convincimento della sua conformità ai criteri indicati dalla più volte citata sentenza n. 4/2018 (il che però, come si è visto, è discutibile: soprattutto se si risolve in un’affermazione astratta).  </w:t>
      </w:r>
      <w:r>
        <w:rPr>
          <w:rFonts w:ascii="Times New Roman" w:eastAsia="Times New Roman" w:hAnsi="Times New Roman" w:cs="Times New Roman"/>
          <w:noProof/>
          <w:kern w:val="0"/>
          <w:sz w:val="24"/>
          <w:szCs w:val="24"/>
          <w:lang w:val="it-IT" w:eastAsia="it-IT"/>
          <w14:ligatures w14:val="none"/>
        </w:rPr>
        <w:t xml:space="preserve"> </w:t>
      </w:r>
    </w:p>
    <w:p w14:paraId="611C1E97" w14:textId="456DA297" w:rsidR="00C16942" w:rsidRDefault="00C16942" w:rsidP="00C16942">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Coerentemente a</w:t>
      </w:r>
      <w:r w:rsidR="00410576">
        <w:rPr>
          <w:rFonts w:ascii="Times New Roman" w:eastAsia="Times New Roman" w:hAnsi="Times New Roman" w:cs="Times New Roman"/>
          <w:noProof/>
          <w:kern w:val="0"/>
          <w:sz w:val="24"/>
          <w:szCs w:val="24"/>
          <w:lang w:val="it-IT" w:eastAsia="it-IT"/>
          <w14:ligatures w14:val="none"/>
        </w:rPr>
        <w:t xml:space="preserve">lla segnalata concezione dell’approccio casistico che faccia riferimento unicamento al profilo della impossibilità o estrema difficoltà di presentare l’offerta (l’unica, come detto, compatibile con la Plenaria), </w:t>
      </w:r>
      <w:r>
        <w:rPr>
          <w:rFonts w:ascii="Times New Roman" w:eastAsia="Times New Roman" w:hAnsi="Times New Roman" w:cs="Times New Roman"/>
          <w:noProof/>
          <w:kern w:val="0"/>
          <w:sz w:val="24"/>
          <w:szCs w:val="24"/>
          <w:lang w:val="it-IT" w:eastAsia="it-IT"/>
          <w14:ligatures w14:val="none"/>
        </w:rPr>
        <w:t xml:space="preserve">la successiva sentenza n. 1877/2026 della IV Sezione del Consiglio di Stato ha </w:t>
      </w:r>
      <w:r w:rsidR="009F6DF4">
        <w:rPr>
          <w:rFonts w:ascii="Times New Roman" w:eastAsia="Times New Roman" w:hAnsi="Times New Roman" w:cs="Times New Roman"/>
          <w:noProof/>
          <w:kern w:val="0"/>
          <w:sz w:val="24"/>
          <w:szCs w:val="24"/>
          <w:lang w:val="it-IT" w:eastAsia="it-IT"/>
          <w14:ligatures w14:val="none"/>
        </w:rPr>
        <w:t>affermato che “</w:t>
      </w:r>
      <w:r w:rsidR="009F6DF4" w:rsidRPr="00BB6D00">
        <w:rPr>
          <w:rFonts w:ascii="Times New Roman" w:eastAsia="Times New Roman" w:hAnsi="Times New Roman" w:cs="Times New Roman"/>
          <w:noProof/>
          <w:kern w:val="0"/>
          <w:sz w:val="24"/>
          <w:szCs w:val="24"/>
          <w:lang w:val="it-IT" w:eastAsia="it-IT"/>
          <w14:ligatures w14:val="none"/>
        </w:rPr>
        <w:t>questa Sezione condivide l’impostazione casistica adottata da altre pronunce di questo Consiglio di Stato, che in sostanza non giungono a soluzioni assolute circa la necessità o meno di impugnare il bando, ma, alla luce delle coordinate ermeneutiche tracciate dall’Adunanza plenaria (cfr., sentenza n. 5 del 2018), esaminano il caso concreto al fine di valutare se la mancata indicazione dei CAM o l’erronea indicazione degli stessi possa incidere sulla possibilità di formulare un’offerta consapevole e corretta</w:t>
      </w:r>
      <w:r w:rsidR="009F6DF4">
        <w:rPr>
          <w:rFonts w:ascii="Times New Roman" w:eastAsia="Times New Roman" w:hAnsi="Times New Roman" w:cs="Times New Roman"/>
          <w:noProof/>
          <w:kern w:val="0"/>
          <w:sz w:val="24"/>
          <w:szCs w:val="24"/>
          <w:lang w:val="it-IT" w:eastAsia="it-IT"/>
          <w14:ligatures w14:val="none"/>
        </w:rPr>
        <w:t xml:space="preserve">”; </w:t>
      </w:r>
      <w:r w:rsidR="00BB6D00">
        <w:rPr>
          <w:rFonts w:ascii="Times New Roman" w:eastAsia="Times New Roman" w:hAnsi="Times New Roman" w:cs="Times New Roman"/>
          <w:noProof/>
          <w:kern w:val="0"/>
          <w:sz w:val="24"/>
          <w:szCs w:val="24"/>
          <w:lang w:val="it-IT" w:eastAsia="it-IT"/>
          <w14:ligatures w14:val="none"/>
        </w:rPr>
        <w:t xml:space="preserve">la sentenza ha fatto </w:t>
      </w:r>
      <w:r w:rsidR="009F6DF4">
        <w:rPr>
          <w:rFonts w:ascii="Times New Roman" w:eastAsia="Times New Roman" w:hAnsi="Times New Roman" w:cs="Times New Roman"/>
          <w:noProof/>
          <w:kern w:val="0"/>
          <w:sz w:val="24"/>
          <w:szCs w:val="24"/>
          <w:lang w:val="it-IT" w:eastAsia="it-IT"/>
          <w14:ligatures w14:val="none"/>
        </w:rPr>
        <w:t xml:space="preserve">quindi effettiva </w:t>
      </w:r>
      <w:r>
        <w:rPr>
          <w:rFonts w:ascii="Times New Roman" w:eastAsia="Times New Roman" w:hAnsi="Times New Roman" w:cs="Times New Roman"/>
          <w:noProof/>
          <w:kern w:val="0"/>
          <w:sz w:val="24"/>
          <w:szCs w:val="24"/>
          <w:lang w:val="it-IT" w:eastAsia="it-IT"/>
          <w14:ligatures w14:val="none"/>
        </w:rPr>
        <w:t xml:space="preserve">applicazione del criterio casistico, all’esito di una analitica valutazione della fattispecie </w:t>
      </w:r>
      <w:r w:rsidR="009F6DF4">
        <w:rPr>
          <w:rFonts w:ascii="Times New Roman" w:eastAsia="Times New Roman" w:hAnsi="Times New Roman" w:cs="Times New Roman"/>
          <w:noProof/>
          <w:kern w:val="0"/>
          <w:sz w:val="24"/>
          <w:szCs w:val="24"/>
          <w:lang w:val="it-IT" w:eastAsia="it-IT"/>
          <w14:ligatures w14:val="none"/>
        </w:rPr>
        <w:t xml:space="preserve">concreta </w:t>
      </w:r>
      <w:r>
        <w:rPr>
          <w:rFonts w:ascii="Times New Roman" w:eastAsia="Times New Roman" w:hAnsi="Times New Roman" w:cs="Times New Roman"/>
          <w:noProof/>
          <w:kern w:val="0"/>
          <w:sz w:val="24"/>
          <w:szCs w:val="24"/>
          <w:lang w:val="it-IT" w:eastAsia="it-IT"/>
          <w14:ligatures w14:val="none"/>
        </w:rPr>
        <w:t>nell’ottica del criterio stabilito dalla Plenaria n. 4/2018</w:t>
      </w:r>
      <w:r w:rsidR="009F6DF4">
        <w:rPr>
          <w:rFonts w:ascii="Times New Roman" w:eastAsia="Times New Roman" w:hAnsi="Times New Roman" w:cs="Times New Roman"/>
          <w:noProof/>
          <w:kern w:val="0"/>
          <w:sz w:val="24"/>
          <w:szCs w:val="24"/>
          <w:lang w:val="it-IT" w:eastAsia="it-IT"/>
          <w14:ligatures w14:val="none"/>
        </w:rPr>
        <w:t>.</w:t>
      </w:r>
      <w:r w:rsidR="009C11EA">
        <w:rPr>
          <w:rStyle w:val="Rimandonotaapidipagina"/>
          <w:rFonts w:ascii="Times New Roman" w:eastAsia="Times New Roman" w:hAnsi="Times New Roman" w:cs="Times New Roman"/>
          <w:noProof/>
          <w:kern w:val="0"/>
          <w:sz w:val="24"/>
          <w:szCs w:val="24"/>
          <w:lang w:val="it-IT" w:eastAsia="it-IT"/>
          <w14:ligatures w14:val="none"/>
        </w:rPr>
        <w:footnoteReference w:id="28"/>
      </w:r>
    </w:p>
    <w:p w14:paraId="1CA4C4AB" w14:textId="32F636F6" w:rsidR="00B75610" w:rsidRDefault="009F6DF4"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In argomento, dunque, ferma restando l’irrilevanza – quali fattori tali da</w:t>
      </w:r>
      <w:r w:rsidR="00BB6D00">
        <w:rPr>
          <w:rFonts w:ascii="Times New Roman" w:eastAsia="Times New Roman" w:hAnsi="Times New Roman" w:cs="Times New Roman"/>
          <w:noProof/>
          <w:kern w:val="0"/>
          <w:sz w:val="24"/>
          <w:szCs w:val="24"/>
          <w:lang w:val="it-IT" w:eastAsia="it-IT"/>
          <w14:ligatures w14:val="none"/>
        </w:rPr>
        <w:t xml:space="preserve"> condizionare o</w:t>
      </w:r>
      <w:r>
        <w:rPr>
          <w:rFonts w:ascii="Times New Roman" w:eastAsia="Times New Roman" w:hAnsi="Times New Roman" w:cs="Times New Roman"/>
          <w:noProof/>
          <w:kern w:val="0"/>
          <w:sz w:val="24"/>
          <w:szCs w:val="24"/>
          <w:lang w:val="it-IT" w:eastAsia="it-IT"/>
          <w14:ligatures w14:val="none"/>
        </w:rPr>
        <w:t xml:space="preserve"> limitare la tutela giurisdizionale</w:t>
      </w:r>
      <w:r w:rsidR="005770C8">
        <w:rPr>
          <w:rFonts w:ascii="Times New Roman" w:eastAsia="Times New Roman" w:hAnsi="Times New Roman" w:cs="Times New Roman"/>
          <w:noProof/>
          <w:kern w:val="0"/>
          <w:sz w:val="24"/>
          <w:szCs w:val="24"/>
          <w:lang w:val="it-IT" w:eastAsia="it-IT"/>
          <w14:ligatures w14:val="none"/>
        </w:rPr>
        <w:t xml:space="preserve"> e l’esercizio del diritto di difesa in giudizio</w:t>
      </w:r>
      <w:r>
        <w:rPr>
          <w:rFonts w:ascii="Times New Roman" w:eastAsia="Times New Roman" w:hAnsi="Times New Roman" w:cs="Times New Roman"/>
          <w:noProof/>
          <w:kern w:val="0"/>
          <w:sz w:val="24"/>
          <w:szCs w:val="24"/>
          <w:lang w:val="it-IT" w:eastAsia="it-IT"/>
          <w14:ligatures w14:val="none"/>
        </w:rPr>
        <w:t xml:space="preserve"> – dei princìpi del risultato e della fiducia,</w:t>
      </w:r>
      <w:r>
        <w:rPr>
          <w:rStyle w:val="Rimandonotaapidipagina"/>
          <w:rFonts w:ascii="Times New Roman" w:eastAsia="Times New Roman" w:hAnsi="Times New Roman" w:cs="Times New Roman"/>
          <w:noProof/>
          <w:kern w:val="0"/>
          <w:sz w:val="24"/>
          <w:szCs w:val="24"/>
          <w:lang w:val="it-IT" w:eastAsia="it-IT"/>
          <w14:ligatures w14:val="none"/>
        </w:rPr>
        <w:footnoteReference w:id="29"/>
      </w:r>
      <w:r>
        <w:rPr>
          <w:rFonts w:ascii="Times New Roman" w:eastAsia="Times New Roman" w:hAnsi="Times New Roman" w:cs="Times New Roman"/>
          <w:noProof/>
          <w:kern w:val="0"/>
          <w:sz w:val="24"/>
          <w:szCs w:val="24"/>
          <w:lang w:val="it-IT" w:eastAsia="it-IT"/>
          <w14:ligatures w14:val="none"/>
        </w:rPr>
        <w:t xml:space="preserve"> si è affermato </w:t>
      </w:r>
      <w:r w:rsidR="00B75610" w:rsidRPr="00D47339">
        <w:rPr>
          <w:rFonts w:ascii="Times New Roman" w:eastAsia="Times New Roman" w:hAnsi="Times New Roman" w:cs="Times New Roman"/>
          <w:noProof/>
          <w:kern w:val="0"/>
          <w:sz w:val="24"/>
          <w:szCs w:val="24"/>
          <w:lang w:val="it-IT" w:eastAsia="it-IT"/>
          <w14:ligatures w14:val="none"/>
        </w:rPr>
        <w:t>che, anche per ragioni di compatibilità costituzionale e comunitaria, “</w:t>
      </w:r>
      <w:r w:rsidR="00B75610" w:rsidRPr="00BB6D00">
        <w:rPr>
          <w:rFonts w:ascii="Times New Roman" w:eastAsia="Times New Roman" w:hAnsi="Times New Roman" w:cs="Times New Roman"/>
          <w:noProof/>
          <w:kern w:val="0"/>
          <w:sz w:val="24"/>
          <w:szCs w:val="24"/>
          <w:lang w:val="it-IT" w:eastAsia="it-IT"/>
          <w14:ligatures w14:val="none"/>
        </w:rPr>
        <w:t xml:space="preserve">La </w:t>
      </w:r>
      <w:r w:rsidR="00B75610" w:rsidRPr="00BB6D00">
        <w:rPr>
          <w:rFonts w:ascii="Times New Roman" w:eastAsia="Times New Roman" w:hAnsi="Times New Roman" w:cs="Times New Roman"/>
          <w:noProof/>
          <w:kern w:val="0"/>
          <w:sz w:val="24"/>
          <w:szCs w:val="24"/>
          <w:lang w:val="it-IT" w:eastAsia="it-IT"/>
          <w14:ligatures w14:val="none"/>
        </w:rPr>
        <w:lastRenderedPageBreak/>
        <w:t>violazione delle norme imperative in materia di obbligatorio inserimento nei bandi di gara dei criteri ambientali minimi può essere infatti fatta valere, dagli operatori economici che abbiano interesse (strumentale) alla riedizione della gara, mediante ricorso avverso l’aggiudicazione della stessa (fatta salva l’ipotesi di illegittimità della legge di gara che impedisca la formulazione dell’offerta, nel qual caso l’impresa è onerata dell’immediata impugnazione del bando). (….) questo modello di tutela è risultato l’unico compatibile con i parametri costituzionali e comunitari regolanti la tutela dell’ambiente nella prospettiva dello sviluppo sostenibile, coniugando – nella logica del c.d. private enforcement del parametro comunitario - la tutela giurisdizionale dell’interesse pubblico alla sostenibilità ambientale con la tutela dell’interesse imprenditoriale alla ripetizione della gara secondo criteri conformi. La tutela giurisdizionale del ridetto interesse strumentale realizza pertanto un modello processuale necessario perché possa dirsi effettivamente tutelata la protezione dell’interesse ambientale portata dalla disciplina del carattere c.d. mandatory dei criteri ambientali minimi: diversamente, in caso di mancato inserimento degli stessi da parte delle stazioni appaltanti, non vi sarebbe rimedio giurisdizionale ove si negasse tutela all’interesse strumentale</w:t>
      </w:r>
      <w:r w:rsidR="00B75610" w:rsidRPr="00D47339">
        <w:rPr>
          <w:rFonts w:ascii="Times New Roman" w:eastAsia="Times New Roman" w:hAnsi="Times New Roman" w:cs="Times New Roman"/>
          <w:noProof/>
          <w:kern w:val="0"/>
          <w:sz w:val="24"/>
          <w:szCs w:val="24"/>
          <w:lang w:val="it-IT" w:eastAsia="it-IT"/>
          <w14:ligatures w14:val="none"/>
        </w:rPr>
        <w:t>”</w:t>
      </w:r>
      <w:r w:rsidR="00B75610" w:rsidRPr="00D47339">
        <w:rPr>
          <w:rFonts w:ascii="Times New Roman" w:eastAsia="Times New Roman" w:hAnsi="Times New Roman" w:cs="Times New Roman"/>
          <w:noProof/>
          <w:kern w:val="0"/>
          <w:sz w:val="24"/>
          <w:szCs w:val="24"/>
          <w:vertAlign w:val="superscript"/>
          <w:lang w:val="it-IT" w:eastAsia="it-IT"/>
          <w14:ligatures w14:val="none"/>
        </w:rPr>
        <w:footnoteReference w:id="30"/>
      </w:r>
      <w:r w:rsidR="00B75610" w:rsidRPr="00D47339">
        <w:rPr>
          <w:rFonts w:ascii="Times New Roman" w:eastAsia="Times New Roman" w:hAnsi="Times New Roman" w:cs="Times New Roman"/>
          <w:noProof/>
          <w:kern w:val="0"/>
          <w:sz w:val="24"/>
          <w:szCs w:val="24"/>
          <w:lang w:val="it-IT" w:eastAsia="it-IT"/>
          <w14:ligatures w14:val="none"/>
        </w:rPr>
        <w:t>.</w:t>
      </w:r>
    </w:p>
    <w:p w14:paraId="3E9CD8CF" w14:textId="2B41D67C" w:rsidR="009F6DF4" w:rsidRDefault="009F6DF4"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lastRenderedPageBreak/>
        <w:t>La questione è ora definit</w:t>
      </w:r>
      <w:r w:rsidR="009C11EA">
        <w:rPr>
          <w:rFonts w:ascii="Times New Roman" w:eastAsia="Times New Roman" w:hAnsi="Times New Roman" w:cs="Times New Roman"/>
          <w:noProof/>
          <w:kern w:val="0"/>
          <w:sz w:val="24"/>
          <w:szCs w:val="24"/>
          <w:lang w:val="it-IT" w:eastAsia="it-IT"/>
          <w14:ligatures w14:val="none"/>
        </w:rPr>
        <w:t>i</w:t>
      </w:r>
      <w:r>
        <w:rPr>
          <w:rFonts w:ascii="Times New Roman" w:eastAsia="Times New Roman" w:hAnsi="Times New Roman" w:cs="Times New Roman"/>
          <w:noProof/>
          <w:kern w:val="0"/>
          <w:sz w:val="24"/>
          <w:szCs w:val="24"/>
          <w:lang w:val="it-IT" w:eastAsia="it-IT"/>
          <w14:ligatures w14:val="none"/>
        </w:rPr>
        <w:t xml:space="preserve">vamente sopita dopo l’intervento delle SS.UU. della </w:t>
      </w:r>
      <w:r w:rsidRPr="009F6DF4">
        <w:rPr>
          <w:rFonts w:ascii="Times New Roman" w:eastAsia="Times New Roman" w:hAnsi="Times New Roman" w:cs="Times New Roman"/>
          <w:noProof/>
          <w:kern w:val="0"/>
          <w:sz w:val="24"/>
          <w:szCs w:val="24"/>
          <w:lang w:val="it-IT" w:eastAsia="it-IT"/>
          <w14:ligatures w14:val="none"/>
        </w:rPr>
        <w:t xml:space="preserve">Corte di cassazione, </w:t>
      </w:r>
      <w:r>
        <w:rPr>
          <w:rFonts w:ascii="Times New Roman" w:eastAsia="Times New Roman" w:hAnsi="Times New Roman" w:cs="Times New Roman"/>
          <w:noProof/>
          <w:kern w:val="0"/>
          <w:sz w:val="24"/>
          <w:szCs w:val="24"/>
          <w:lang w:val="it-IT" w:eastAsia="it-IT"/>
          <w14:ligatures w14:val="none"/>
        </w:rPr>
        <w:t>con l’</w:t>
      </w:r>
      <w:r w:rsidRPr="009F6DF4">
        <w:rPr>
          <w:rFonts w:ascii="Times New Roman" w:eastAsia="Times New Roman" w:hAnsi="Times New Roman" w:cs="Times New Roman"/>
          <w:noProof/>
          <w:kern w:val="0"/>
          <w:sz w:val="24"/>
          <w:szCs w:val="24"/>
          <w:lang w:val="it-IT" w:eastAsia="it-IT"/>
          <w14:ligatures w14:val="none"/>
        </w:rPr>
        <w:t>Ordinanza 21 febbraio 2026, n. 3887</w:t>
      </w:r>
      <w:r>
        <w:rPr>
          <w:rFonts w:ascii="Times New Roman" w:eastAsia="Times New Roman" w:hAnsi="Times New Roman" w:cs="Times New Roman"/>
          <w:noProof/>
          <w:kern w:val="0"/>
          <w:sz w:val="24"/>
          <w:szCs w:val="24"/>
          <w:lang w:val="it-IT" w:eastAsia="it-IT"/>
          <w14:ligatures w14:val="none"/>
        </w:rPr>
        <w:t>.</w:t>
      </w:r>
    </w:p>
    <w:p w14:paraId="3072A210" w14:textId="322397C5" w:rsidR="009F6DF4" w:rsidRDefault="009F6DF4"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Tale provvedimento ha deciso il ricors</w:t>
      </w:r>
      <w:r w:rsidR="00786AEB">
        <w:rPr>
          <w:rFonts w:ascii="Times New Roman" w:eastAsia="Times New Roman" w:hAnsi="Times New Roman" w:cs="Times New Roman"/>
          <w:noProof/>
          <w:kern w:val="0"/>
          <w:sz w:val="24"/>
          <w:szCs w:val="24"/>
          <w:lang w:val="it-IT" w:eastAsia="it-IT"/>
          <w14:ligatures w14:val="none"/>
        </w:rPr>
        <w:t>o</w:t>
      </w:r>
      <w:r>
        <w:rPr>
          <w:rFonts w:ascii="Times New Roman" w:eastAsia="Times New Roman" w:hAnsi="Times New Roman" w:cs="Times New Roman"/>
          <w:noProof/>
          <w:kern w:val="0"/>
          <w:sz w:val="24"/>
          <w:szCs w:val="24"/>
          <w:lang w:val="it-IT" w:eastAsia="it-IT"/>
          <w14:ligatures w14:val="none"/>
        </w:rPr>
        <w:t xml:space="preserve"> proposto contro la citata sentenza n. 4701/2024 del Consiglio di Stato, nella </w:t>
      </w:r>
      <w:r w:rsidR="00786AEB">
        <w:rPr>
          <w:rFonts w:ascii="Times New Roman" w:eastAsia="Times New Roman" w:hAnsi="Times New Roman" w:cs="Times New Roman"/>
          <w:noProof/>
          <w:kern w:val="0"/>
          <w:sz w:val="24"/>
          <w:szCs w:val="24"/>
          <w:lang w:val="it-IT" w:eastAsia="it-IT"/>
          <w14:ligatures w14:val="none"/>
        </w:rPr>
        <w:t xml:space="preserve">parte in cui </w:t>
      </w:r>
      <w:r w:rsidR="00BB6D00">
        <w:rPr>
          <w:rFonts w:ascii="Times New Roman" w:eastAsia="Times New Roman" w:hAnsi="Times New Roman" w:cs="Times New Roman"/>
          <w:noProof/>
          <w:kern w:val="0"/>
          <w:sz w:val="24"/>
          <w:szCs w:val="24"/>
          <w:lang w:val="it-IT" w:eastAsia="it-IT"/>
          <w14:ligatures w14:val="none"/>
        </w:rPr>
        <w:t>essa</w:t>
      </w:r>
      <w:r w:rsidR="00786AEB">
        <w:rPr>
          <w:rFonts w:ascii="Times New Roman" w:eastAsia="Times New Roman" w:hAnsi="Times New Roman" w:cs="Times New Roman"/>
          <w:noProof/>
          <w:kern w:val="0"/>
          <w:sz w:val="24"/>
          <w:szCs w:val="24"/>
          <w:lang w:val="it-IT" w:eastAsia="it-IT"/>
          <w14:ligatures w14:val="none"/>
        </w:rPr>
        <w:t xml:space="preserve"> aveva respinto l</w:t>
      </w:r>
      <w:r w:rsidR="00BB6D00">
        <w:rPr>
          <w:rFonts w:ascii="Times New Roman" w:eastAsia="Times New Roman" w:hAnsi="Times New Roman" w:cs="Times New Roman"/>
          <w:noProof/>
          <w:kern w:val="0"/>
          <w:sz w:val="24"/>
          <w:szCs w:val="24"/>
          <w:lang w:val="it-IT" w:eastAsia="it-IT"/>
          <w14:ligatures w14:val="none"/>
        </w:rPr>
        <w:t>a</w:t>
      </w:r>
      <w:r w:rsidR="00786AEB">
        <w:rPr>
          <w:rFonts w:ascii="Times New Roman" w:eastAsia="Times New Roman" w:hAnsi="Times New Roman" w:cs="Times New Roman"/>
          <w:noProof/>
          <w:kern w:val="0"/>
          <w:sz w:val="24"/>
          <w:szCs w:val="24"/>
          <w:lang w:val="it-IT" w:eastAsia="it-IT"/>
          <w14:ligatures w14:val="none"/>
        </w:rPr>
        <w:t xml:space="preserve"> censura di inammissibilità del ricorso proposto (solo) all’esito dell’aggiudicazione.</w:t>
      </w:r>
    </w:p>
    <w:p w14:paraId="138E8913" w14:textId="77777777" w:rsidR="00786AEB" w:rsidRDefault="00786AEB"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 xml:space="preserve">Nel ricorso alle SS.UU. si è sostenuto che </w:t>
      </w:r>
      <w:r w:rsidR="00B75610" w:rsidRPr="00D47339">
        <w:rPr>
          <w:rFonts w:ascii="Times New Roman" w:eastAsia="Times New Roman" w:hAnsi="Times New Roman" w:cs="Times New Roman"/>
          <w:noProof/>
          <w:kern w:val="0"/>
          <w:sz w:val="24"/>
          <w:szCs w:val="24"/>
          <w:lang w:val="it-IT" w:eastAsia="it-IT"/>
          <w14:ligatures w14:val="none"/>
        </w:rPr>
        <w:t>“Non è perciò «seriamente sostenibile che la violazione dell’art. 34 del d.lgs. n. 50 del 2016 possa essere invocata da chi, pur non avendone ricevuto alcuno specifico pregiudizio, voglia semplicemente “approfittarne” per vedersi riconosciuta una seconda possibilità di aggiudicazione della gara”</w:t>
      </w:r>
      <w:r w:rsidR="00B75610" w:rsidRPr="00D47339">
        <w:rPr>
          <w:rFonts w:ascii="Times New Roman" w:eastAsia="Times New Roman" w:hAnsi="Times New Roman" w:cs="Times New Roman"/>
          <w:noProof/>
          <w:kern w:val="0"/>
          <w:sz w:val="24"/>
          <w:szCs w:val="24"/>
          <w:vertAlign w:val="superscript"/>
          <w:lang w:val="it-IT" w:eastAsia="it-IT"/>
          <w14:ligatures w14:val="none"/>
        </w:rPr>
        <w:footnoteReference w:id="31"/>
      </w:r>
      <w:r>
        <w:rPr>
          <w:rFonts w:ascii="Times New Roman" w:eastAsia="Times New Roman" w:hAnsi="Times New Roman" w:cs="Times New Roman"/>
          <w:noProof/>
          <w:kern w:val="0"/>
          <w:sz w:val="24"/>
          <w:szCs w:val="24"/>
          <w:lang w:val="it-IT" w:eastAsia="it-IT"/>
          <w14:ligatures w14:val="none"/>
        </w:rPr>
        <w:t>.</w:t>
      </w:r>
    </w:p>
    <w:p w14:paraId="78198605" w14:textId="7B492417" w:rsidR="00B75610" w:rsidRDefault="00786AEB"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r>
        <w:rPr>
          <w:rFonts w:ascii="Times New Roman" w:eastAsia="Times New Roman" w:hAnsi="Times New Roman" w:cs="Times New Roman"/>
          <w:noProof/>
          <w:kern w:val="0"/>
          <w:sz w:val="24"/>
          <w:szCs w:val="24"/>
          <w:lang w:val="it-IT" w:eastAsia="it-IT"/>
          <w14:ligatures w14:val="none"/>
        </w:rPr>
        <w:t>Questa prospettazione</w:t>
      </w:r>
      <w:r w:rsidR="00B75610" w:rsidRPr="00D47339">
        <w:rPr>
          <w:rFonts w:ascii="Times New Roman" w:eastAsia="Times New Roman" w:hAnsi="Times New Roman" w:cs="Times New Roman"/>
          <w:noProof/>
          <w:kern w:val="0"/>
          <w:sz w:val="24"/>
          <w:szCs w:val="24"/>
          <w:lang w:val="it-IT" w:eastAsia="it-IT"/>
          <w14:ligatures w14:val="none"/>
        </w:rPr>
        <w:t xml:space="preserve"> è stata coerentemente rifiutata dalle SS.UU. della Corte di cassazione, che </w:t>
      </w:r>
      <w:r>
        <w:rPr>
          <w:rFonts w:ascii="Times New Roman" w:eastAsia="Times New Roman" w:hAnsi="Times New Roman" w:cs="Times New Roman"/>
          <w:noProof/>
          <w:kern w:val="0"/>
          <w:sz w:val="24"/>
          <w:szCs w:val="24"/>
          <w:lang w:val="it-IT" w:eastAsia="it-IT"/>
          <w14:ligatures w14:val="none"/>
        </w:rPr>
        <w:t xml:space="preserve">non si sono limitate – come avrebbero potuto - a dichiarare </w:t>
      </w:r>
      <w:r w:rsidR="00B75610" w:rsidRPr="00D47339">
        <w:rPr>
          <w:rFonts w:ascii="Times New Roman" w:eastAsia="Times New Roman" w:hAnsi="Times New Roman" w:cs="Times New Roman"/>
          <w:noProof/>
          <w:kern w:val="0"/>
          <w:sz w:val="24"/>
          <w:szCs w:val="24"/>
          <w:lang w:val="it-IT" w:eastAsia="it-IT"/>
          <w14:ligatures w14:val="none"/>
        </w:rPr>
        <w:t>inammissibile il ricorso proposto contro la richiamata sentenza n. 4701 del 2024 del Consiglio di Stato</w:t>
      </w:r>
      <w:r>
        <w:rPr>
          <w:rFonts w:ascii="Times New Roman" w:eastAsia="Times New Roman" w:hAnsi="Times New Roman" w:cs="Times New Roman"/>
          <w:noProof/>
          <w:kern w:val="0"/>
          <w:sz w:val="24"/>
          <w:szCs w:val="24"/>
          <w:lang w:val="it-IT" w:eastAsia="it-IT"/>
          <w14:ligatures w14:val="none"/>
        </w:rPr>
        <w:t xml:space="preserve"> in quanto </w:t>
      </w:r>
      <w:r w:rsidRPr="00D47339">
        <w:rPr>
          <w:rFonts w:ascii="Times New Roman" w:eastAsia="Times New Roman" w:hAnsi="Times New Roman" w:cs="Times New Roman"/>
          <w:noProof/>
          <w:kern w:val="0"/>
          <w:sz w:val="24"/>
          <w:szCs w:val="24"/>
          <w:lang w:val="it-IT" w:eastAsia="it-IT"/>
          <w14:ligatures w14:val="none"/>
        </w:rPr>
        <w:t xml:space="preserve">il </w:t>
      </w:r>
      <w:r>
        <w:rPr>
          <w:rFonts w:ascii="Times New Roman" w:eastAsia="Times New Roman" w:hAnsi="Times New Roman" w:cs="Times New Roman"/>
          <w:noProof/>
          <w:kern w:val="0"/>
          <w:sz w:val="24"/>
          <w:szCs w:val="24"/>
          <w:lang w:val="it-IT" w:eastAsia="it-IT"/>
          <w14:ligatures w14:val="none"/>
        </w:rPr>
        <w:t>preteso</w:t>
      </w:r>
      <w:r w:rsidRPr="00D47339">
        <w:rPr>
          <w:rFonts w:ascii="Times New Roman" w:eastAsia="Times New Roman" w:hAnsi="Times New Roman" w:cs="Times New Roman"/>
          <w:noProof/>
          <w:kern w:val="0"/>
          <w:sz w:val="24"/>
          <w:szCs w:val="24"/>
          <w:lang w:val="it-IT" w:eastAsia="it-IT"/>
          <w14:ligatures w14:val="none"/>
        </w:rPr>
        <w:t xml:space="preserve"> errore</w:t>
      </w:r>
      <w:r>
        <w:rPr>
          <w:rFonts w:ascii="Times New Roman" w:eastAsia="Times New Roman" w:hAnsi="Times New Roman" w:cs="Times New Roman"/>
          <w:noProof/>
          <w:kern w:val="0"/>
          <w:sz w:val="24"/>
          <w:szCs w:val="24"/>
          <w:lang w:val="it-IT" w:eastAsia="it-IT"/>
          <w14:ligatures w14:val="none"/>
        </w:rPr>
        <w:t xml:space="preserve"> non è </w:t>
      </w:r>
      <w:r w:rsidRPr="00D47339">
        <w:rPr>
          <w:rFonts w:ascii="Times New Roman" w:eastAsia="Times New Roman" w:hAnsi="Times New Roman" w:cs="Times New Roman"/>
          <w:noProof/>
          <w:kern w:val="0"/>
          <w:sz w:val="24"/>
          <w:szCs w:val="24"/>
          <w:lang w:val="it-IT" w:eastAsia="it-IT"/>
          <w14:ligatures w14:val="none"/>
        </w:rPr>
        <w:t>deducibile quale motivo inerente la giurisdizione</w:t>
      </w:r>
      <w:r>
        <w:rPr>
          <w:rFonts w:ascii="Times New Roman" w:eastAsia="Times New Roman" w:hAnsi="Times New Roman" w:cs="Times New Roman"/>
          <w:noProof/>
          <w:kern w:val="0"/>
          <w:sz w:val="24"/>
          <w:szCs w:val="24"/>
          <w:lang w:val="it-IT" w:eastAsia="it-IT"/>
          <w14:ligatures w14:val="none"/>
        </w:rPr>
        <w:t xml:space="preserve">: ma, entrando nel merito della censura, </w:t>
      </w:r>
      <w:r w:rsidR="00B75610" w:rsidRPr="00D47339">
        <w:rPr>
          <w:rFonts w:ascii="Times New Roman" w:eastAsia="Times New Roman" w:hAnsi="Times New Roman" w:cs="Times New Roman"/>
          <w:noProof/>
          <w:kern w:val="0"/>
          <w:sz w:val="24"/>
          <w:szCs w:val="24"/>
          <w:lang w:val="it-IT" w:eastAsia="it-IT"/>
          <w14:ligatures w14:val="none"/>
        </w:rPr>
        <w:t>hanno affermato</w:t>
      </w:r>
      <w:r w:rsidR="00BB6D00">
        <w:rPr>
          <w:rFonts w:ascii="Times New Roman" w:eastAsia="Times New Roman" w:hAnsi="Times New Roman" w:cs="Times New Roman"/>
          <w:noProof/>
          <w:kern w:val="0"/>
          <w:sz w:val="24"/>
          <w:szCs w:val="24"/>
          <w:lang w:val="it-IT" w:eastAsia="it-IT"/>
          <w14:ligatures w14:val="none"/>
        </w:rPr>
        <w:t>, con specifico riferimento alla fattispecie dell’impugnazione dell’aggiudicazione</w:t>
      </w:r>
      <w:r w:rsidR="005770C8">
        <w:rPr>
          <w:rFonts w:ascii="Times New Roman" w:eastAsia="Times New Roman" w:hAnsi="Times New Roman" w:cs="Times New Roman"/>
          <w:noProof/>
          <w:kern w:val="0"/>
          <w:sz w:val="24"/>
          <w:szCs w:val="24"/>
          <w:lang w:val="it-IT" w:eastAsia="it-IT"/>
          <w14:ligatures w14:val="none"/>
        </w:rPr>
        <w:t xml:space="preserve"> - </w:t>
      </w:r>
      <w:r w:rsidR="00BB6D00">
        <w:rPr>
          <w:rFonts w:ascii="Times New Roman" w:eastAsia="Times New Roman" w:hAnsi="Times New Roman" w:cs="Times New Roman"/>
          <w:noProof/>
          <w:kern w:val="0"/>
          <w:sz w:val="24"/>
          <w:szCs w:val="24"/>
          <w:lang w:val="it-IT" w:eastAsia="it-IT"/>
          <w14:ligatures w14:val="none"/>
        </w:rPr>
        <w:t>da parte dell’operatore economico non utilmente classificato</w:t>
      </w:r>
      <w:r w:rsidR="005770C8">
        <w:rPr>
          <w:rFonts w:ascii="Times New Roman" w:eastAsia="Times New Roman" w:hAnsi="Times New Roman" w:cs="Times New Roman"/>
          <w:noProof/>
          <w:kern w:val="0"/>
          <w:sz w:val="24"/>
          <w:szCs w:val="24"/>
          <w:lang w:val="it-IT" w:eastAsia="it-IT"/>
          <w14:ligatures w14:val="none"/>
        </w:rPr>
        <w:t xml:space="preserve"> - </w:t>
      </w:r>
      <w:r w:rsidR="00BB6D00">
        <w:rPr>
          <w:rFonts w:ascii="Times New Roman" w:eastAsia="Times New Roman" w:hAnsi="Times New Roman" w:cs="Times New Roman"/>
          <w:noProof/>
          <w:kern w:val="0"/>
          <w:sz w:val="24"/>
          <w:szCs w:val="24"/>
          <w:lang w:val="it-IT" w:eastAsia="it-IT"/>
          <w14:ligatures w14:val="none"/>
        </w:rPr>
        <w:t xml:space="preserve">per violazione da parte del bando di gara della disposizione del codice dei contratti pubblici che impone l’inserimento dei c.a.m., </w:t>
      </w:r>
      <w:r w:rsidR="00B75610" w:rsidRPr="00D47339">
        <w:rPr>
          <w:rFonts w:ascii="Times New Roman" w:eastAsia="Times New Roman" w:hAnsi="Times New Roman" w:cs="Times New Roman"/>
          <w:noProof/>
          <w:kern w:val="0"/>
          <w:sz w:val="24"/>
          <w:szCs w:val="24"/>
          <w:lang w:val="it-IT" w:eastAsia="it-IT"/>
          <w14:ligatures w14:val="none"/>
        </w:rPr>
        <w:t xml:space="preserve"> che in ogni caso </w:t>
      </w:r>
      <w:r>
        <w:rPr>
          <w:rFonts w:ascii="Times New Roman" w:eastAsia="Times New Roman" w:hAnsi="Times New Roman" w:cs="Times New Roman"/>
          <w:noProof/>
          <w:kern w:val="0"/>
          <w:sz w:val="24"/>
          <w:szCs w:val="24"/>
          <w:lang w:val="it-IT" w:eastAsia="it-IT"/>
          <w14:ligatures w14:val="none"/>
        </w:rPr>
        <w:t xml:space="preserve">tale errore non </w:t>
      </w:r>
      <w:r w:rsidR="00B75610" w:rsidRPr="00D47339">
        <w:rPr>
          <w:rFonts w:ascii="Times New Roman" w:eastAsia="Times New Roman" w:hAnsi="Times New Roman" w:cs="Times New Roman"/>
          <w:noProof/>
          <w:kern w:val="0"/>
          <w:sz w:val="24"/>
          <w:szCs w:val="24"/>
          <w:lang w:val="it-IT" w:eastAsia="it-IT"/>
          <w14:ligatures w14:val="none"/>
        </w:rPr>
        <w:t>è ravvisabile, posto che “</w:t>
      </w:r>
      <w:r w:rsidR="00B75610" w:rsidRPr="00BB6D00">
        <w:rPr>
          <w:rFonts w:ascii="Times New Roman" w:eastAsia="Times New Roman" w:hAnsi="Times New Roman" w:cs="Times New Roman"/>
          <w:noProof/>
          <w:kern w:val="0"/>
          <w:sz w:val="24"/>
          <w:szCs w:val="24"/>
          <w:lang w:val="it-IT" w:eastAsia="it-IT"/>
          <w14:ligatures w14:val="none"/>
        </w:rPr>
        <w:t>la tutelabilità dell'interesse strumentale, come puntualmente si riporta in motivazione, gode di un ampio consenso tanto nella giurisprudenza amministrativa che in quella eurounitaria ed è stata favorevolmente riscontrata dalla Corte Costituzionale</w:t>
      </w:r>
      <w:r w:rsidR="00B75610" w:rsidRPr="00D47339">
        <w:rPr>
          <w:rFonts w:ascii="Times New Roman" w:eastAsia="Times New Roman" w:hAnsi="Times New Roman" w:cs="Times New Roman"/>
          <w:noProof/>
          <w:kern w:val="0"/>
          <w:sz w:val="24"/>
          <w:szCs w:val="24"/>
          <w:lang w:val="it-IT" w:eastAsia="it-IT"/>
          <w14:ligatures w14:val="none"/>
        </w:rPr>
        <w:t>”</w:t>
      </w:r>
      <w:r w:rsidR="00B75610" w:rsidRPr="00D47339">
        <w:rPr>
          <w:rFonts w:ascii="Times New Roman" w:eastAsia="Times New Roman" w:hAnsi="Times New Roman" w:cs="Times New Roman"/>
          <w:noProof/>
          <w:kern w:val="0"/>
          <w:sz w:val="24"/>
          <w:szCs w:val="24"/>
          <w:vertAlign w:val="superscript"/>
          <w:lang w:val="it-IT" w:eastAsia="it-IT"/>
          <w14:ligatures w14:val="none"/>
        </w:rPr>
        <w:footnoteReference w:id="32"/>
      </w:r>
      <w:r w:rsidR="00B75610" w:rsidRPr="00D47339">
        <w:rPr>
          <w:rFonts w:ascii="Times New Roman" w:eastAsia="Times New Roman" w:hAnsi="Times New Roman" w:cs="Times New Roman"/>
          <w:noProof/>
          <w:kern w:val="0"/>
          <w:sz w:val="24"/>
          <w:szCs w:val="24"/>
          <w:lang w:val="it-IT" w:eastAsia="it-IT"/>
          <w14:ligatures w14:val="none"/>
        </w:rPr>
        <w:t>.</w:t>
      </w:r>
    </w:p>
    <w:p w14:paraId="600D6B06" w14:textId="77777777" w:rsidR="00696119" w:rsidRDefault="00696119"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p>
    <w:p w14:paraId="23281C91" w14:textId="77777777" w:rsidR="00696119" w:rsidRDefault="00696119"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p>
    <w:p w14:paraId="2FB90947" w14:textId="77777777" w:rsidR="00696119" w:rsidRPr="00696119" w:rsidRDefault="00696119" w:rsidP="00696119">
      <w:pPr>
        <w:spacing w:after="0" w:line="360" w:lineRule="auto"/>
        <w:jc w:val="both"/>
        <w:rPr>
          <w:rFonts w:ascii="Times New Roman" w:eastAsia="Times New Roman" w:hAnsi="Times New Roman" w:cs="Times New Roman"/>
          <w:i/>
          <w:iCs/>
          <w:noProof/>
          <w:kern w:val="0"/>
          <w:sz w:val="24"/>
          <w:szCs w:val="24"/>
          <w:lang w:val="it-IT" w:eastAsia="it-IT"/>
          <w14:ligatures w14:val="none"/>
        </w:rPr>
      </w:pPr>
      <w:r w:rsidRPr="00696119">
        <w:rPr>
          <w:rFonts w:ascii="Times New Roman" w:eastAsia="Times New Roman" w:hAnsi="Times New Roman" w:cs="Times New Roman"/>
          <w:i/>
          <w:iCs/>
          <w:noProof/>
          <w:kern w:val="0"/>
          <w:sz w:val="24"/>
          <w:szCs w:val="24"/>
          <w:lang w:val="it-IT" w:eastAsia="it-IT"/>
          <w14:ligatures w14:val="none"/>
        </w:rPr>
        <w:t>Giovanni Tulumello, Consigliere di Stato</w:t>
      </w:r>
    </w:p>
    <w:p w14:paraId="68A5A9E7" w14:textId="77777777" w:rsidR="00696119" w:rsidRPr="00696119" w:rsidRDefault="00696119" w:rsidP="00696119">
      <w:pPr>
        <w:spacing w:after="0" w:line="360" w:lineRule="auto"/>
        <w:jc w:val="both"/>
        <w:rPr>
          <w:rFonts w:ascii="Times New Roman" w:eastAsia="Times New Roman" w:hAnsi="Times New Roman" w:cs="Times New Roman"/>
          <w:i/>
          <w:iCs/>
          <w:noProof/>
          <w:kern w:val="0"/>
          <w:sz w:val="24"/>
          <w:szCs w:val="24"/>
          <w:lang w:val="it-IT" w:eastAsia="it-IT"/>
          <w14:ligatures w14:val="none"/>
        </w:rPr>
      </w:pPr>
      <w:r w:rsidRPr="00696119">
        <w:rPr>
          <w:rFonts w:ascii="Times New Roman" w:eastAsia="Times New Roman" w:hAnsi="Times New Roman" w:cs="Times New Roman"/>
          <w:i/>
          <w:iCs/>
          <w:noProof/>
          <w:kern w:val="0"/>
          <w:sz w:val="24"/>
          <w:szCs w:val="24"/>
          <w:lang w:val="it-IT" w:eastAsia="it-IT"/>
          <w14:ligatures w14:val="none"/>
        </w:rPr>
        <w:t xml:space="preserve">Le opinioni di cui al presente contributo sono espresse dall’Autore a titolo personale; esse non impegnano l'Ufficio studi della Giustizia amministrativa, né quest'ultima quale Istituzione. </w:t>
      </w:r>
    </w:p>
    <w:p w14:paraId="7EF28286" w14:textId="77777777" w:rsidR="00696119" w:rsidRDefault="00696119" w:rsidP="00B75610">
      <w:pPr>
        <w:spacing w:after="0" w:line="360" w:lineRule="auto"/>
        <w:jc w:val="both"/>
        <w:rPr>
          <w:rFonts w:ascii="Times New Roman" w:eastAsia="Times New Roman" w:hAnsi="Times New Roman" w:cs="Times New Roman"/>
          <w:noProof/>
          <w:kern w:val="0"/>
          <w:sz w:val="24"/>
          <w:szCs w:val="24"/>
          <w:lang w:val="it-IT" w:eastAsia="it-IT"/>
          <w14:ligatures w14:val="none"/>
        </w:rPr>
      </w:pPr>
    </w:p>
    <w:sectPr w:rsidR="006961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FDA8" w14:textId="77777777" w:rsidR="00BA2BC2" w:rsidRDefault="00BA2BC2" w:rsidP="00B75610">
      <w:pPr>
        <w:spacing w:after="0" w:line="240" w:lineRule="auto"/>
      </w:pPr>
      <w:r>
        <w:separator/>
      </w:r>
    </w:p>
  </w:endnote>
  <w:endnote w:type="continuationSeparator" w:id="0">
    <w:p w14:paraId="45AB6FF6" w14:textId="77777777" w:rsidR="00BA2BC2" w:rsidRDefault="00BA2BC2" w:rsidP="00B7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4E12" w14:textId="77777777" w:rsidR="00BA2BC2" w:rsidRDefault="00BA2BC2" w:rsidP="00B75610">
      <w:pPr>
        <w:spacing w:after="0" w:line="240" w:lineRule="auto"/>
      </w:pPr>
      <w:r>
        <w:separator/>
      </w:r>
    </w:p>
  </w:footnote>
  <w:footnote w:type="continuationSeparator" w:id="0">
    <w:p w14:paraId="6F8EC1A3" w14:textId="77777777" w:rsidR="00BA2BC2" w:rsidRDefault="00BA2BC2" w:rsidP="00B75610">
      <w:pPr>
        <w:spacing w:after="0" w:line="240" w:lineRule="auto"/>
      </w:pPr>
      <w:r>
        <w:continuationSeparator/>
      </w:r>
    </w:p>
  </w:footnote>
  <w:footnote w:id="1">
    <w:p w14:paraId="54448880" w14:textId="0D8C4119" w:rsidR="00D47339" w:rsidRPr="00437D8C" w:rsidRDefault="00D47339"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sym w:font="Symbol" w:char="F02A"/>
      </w:r>
      <w:r w:rsidRPr="00437D8C">
        <w:rPr>
          <w:rFonts w:ascii="Times New Roman" w:hAnsi="Times New Roman" w:cs="Times New Roman"/>
          <w:lang w:val="it-IT"/>
        </w:rPr>
        <w:t xml:space="preserve"> Consigliere di Stato – Componente dell’Ufficio studi e formazione della Giustizia amministrativa.</w:t>
      </w:r>
    </w:p>
    <w:p w14:paraId="0F155345" w14:textId="77777777" w:rsidR="00D47339" w:rsidRPr="00437D8C" w:rsidRDefault="00D47339" w:rsidP="00437D8C">
      <w:pPr>
        <w:pStyle w:val="Testonotaapidipagina"/>
        <w:jc w:val="both"/>
        <w:rPr>
          <w:rFonts w:ascii="Times New Roman" w:hAnsi="Times New Roman" w:cs="Times New Roman"/>
          <w:lang w:val="it-IT"/>
        </w:rPr>
      </w:pPr>
    </w:p>
  </w:footnote>
  <w:footnote w:id="2">
    <w:p w14:paraId="422F9CB1" w14:textId="0837379D" w:rsidR="008E62CF" w:rsidRPr="00437D8C" w:rsidRDefault="008E62CF" w:rsidP="00437D8C">
      <w:pPr>
        <w:jc w:val="both"/>
        <w:rPr>
          <w:rFonts w:ascii="Times New Roman" w:hAnsi="Times New Roman" w:cs="Times New Roman"/>
          <w:sz w:val="20"/>
          <w:szCs w:val="20"/>
          <w:lang w:val="it-IT"/>
        </w:rPr>
      </w:pPr>
      <w:r w:rsidRPr="00437D8C">
        <w:rPr>
          <w:rStyle w:val="Rimandonotaapidipagina"/>
          <w:rFonts w:ascii="Times New Roman" w:hAnsi="Times New Roman" w:cs="Times New Roman"/>
          <w:sz w:val="20"/>
          <w:szCs w:val="20"/>
        </w:rPr>
        <w:footnoteRef/>
      </w:r>
      <w:r w:rsidRPr="00437D8C">
        <w:rPr>
          <w:rFonts w:ascii="Times New Roman" w:hAnsi="Times New Roman" w:cs="Times New Roman"/>
          <w:sz w:val="20"/>
          <w:szCs w:val="20"/>
          <w:lang w:val="it-IT"/>
        </w:rPr>
        <w:t xml:space="preserve"> Lo scritto riproduce la relazione sul tema </w:t>
      </w:r>
      <w:r w:rsidRPr="00437D8C">
        <w:rPr>
          <w:rFonts w:ascii="Times New Roman" w:hAnsi="Times New Roman" w:cs="Times New Roman"/>
          <w:sz w:val="20"/>
          <w:szCs w:val="20"/>
          <w:lang w:val="it-IT"/>
        </w:rPr>
        <w:tab/>
      </w:r>
      <w:r w:rsidR="00D47339" w:rsidRPr="00437D8C">
        <w:rPr>
          <w:rFonts w:ascii="Times New Roman" w:hAnsi="Times New Roman" w:cs="Times New Roman"/>
          <w:sz w:val="20"/>
          <w:szCs w:val="20"/>
          <w:lang w:val="it-IT"/>
        </w:rPr>
        <w:t>“</w:t>
      </w:r>
      <w:r w:rsidRPr="00437D8C">
        <w:rPr>
          <w:rFonts w:ascii="Times New Roman" w:hAnsi="Times New Roman" w:cs="Times New Roman"/>
          <w:sz w:val="20"/>
          <w:szCs w:val="20"/>
          <w:lang w:val="it-IT"/>
        </w:rPr>
        <w:t>Appalti verdi: finalità e strumenti di politica ambientale, nel quadro europeo e nel diritto interno</w:t>
      </w:r>
      <w:r w:rsidR="00D47339" w:rsidRPr="00437D8C">
        <w:rPr>
          <w:rFonts w:ascii="Times New Roman" w:hAnsi="Times New Roman" w:cs="Times New Roman"/>
          <w:sz w:val="20"/>
          <w:szCs w:val="20"/>
          <w:lang w:val="it-IT"/>
        </w:rPr>
        <w:t>”</w:t>
      </w:r>
      <w:r w:rsidRPr="00437D8C">
        <w:rPr>
          <w:rFonts w:ascii="Times New Roman" w:hAnsi="Times New Roman" w:cs="Times New Roman"/>
          <w:sz w:val="20"/>
          <w:szCs w:val="20"/>
          <w:lang w:val="it-IT"/>
        </w:rPr>
        <w:t xml:space="preserve">, svolta il 13 aprile 2026 a Roma Palazzo Spada, nell’ambito del </w:t>
      </w:r>
      <w:r w:rsidR="00D47339" w:rsidRPr="00437D8C">
        <w:rPr>
          <w:rFonts w:ascii="Times New Roman" w:hAnsi="Times New Roman" w:cs="Times New Roman"/>
          <w:sz w:val="20"/>
          <w:szCs w:val="20"/>
          <w:lang w:val="it-IT"/>
        </w:rPr>
        <w:t>C</w:t>
      </w:r>
      <w:r w:rsidRPr="00437D8C">
        <w:rPr>
          <w:rFonts w:ascii="Times New Roman" w:hAnsi="Times New Roman" w:cs="Times New Roman"/>
          <w:sz w:val="20"/>
          <w:szCs w:val="20"/>
          <w:lang w:val="it-IT"/>
        </w:rPr>
        <w:t>orso di formazione per magistrati amministrativi “</w:t>
      </w:r>
      <w:r w:rsidR="00D47339" w:rsidRPr="00437D8C">
        <w:rPr>
          <w:rFonts w:ascii="Times New Roman" w:hAnsi="Times New Roman" w:cs="Times New Roman"/>
          <w:sz w:val="20"/>
          <w:szCs w:val="20"/>
          <w:lang w:val="it-IT"/>
        </w:rPr>
        <w:t>L’attuazione del nuovo codice dei contratti pubblici</w:t>
      </w:r>
      <w:r w:rsidRPr="00437D8C">
        <w:rPr>
          <w:rFonts w:ascii="Times New Roman" w:hAnsi="Times New Roman" w:cs="Times New Roman"/>
          <w:sz w:val="20"/>
          <w:szCs w:val="20"/>
          <w:lang w:val="it-IT"/>
        </w:rPr>
        <w:t>”, organizzato dall’Ufficio studi e formazione della Giustizia amministrativa.</w:t>
      </w:r>
    </w:p>
  </w:footnote>
  <w:footnote w:id="3">
    <w:p w14:paraId="07E2E455" w14:textId="77777777" w:rsidR="00B75610" w:rsidRPr="00437D8C" w:rsidRDefault="00B75610" w:rsidP="00437D8C">
      <w:pPr>
        <w:pStyle w:val="Testonotaapidipagina"/>
        <w:jc w:val="both"/>
        <w:rPr>
          <w:rFonts w:ascii="Times New Roman" w:hAnsi="Times New Roman" w:cs="Times New Roman"/>
          <w:kern w:val="0"/>
          <w:lang w:val="it-IT"/>
          <w14:ligatures w14:val="none"/>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V. Padovani</w:t>
      </w:r>
      <w:r w:rsidRPr="00437D8C">
        <w:rPr>
          <w:rFonts w:ascii="Times New Roman" w:hAnsi="Times New Roman" w:cs="Times New Roman"/>
          <w:lang w:val="it-IT"/>
        </w:rPr>
        <w:t xml:space="preserve">, </w:t>
      </w:r>
      <w:r w:rsidRPr="00437D8C">
        <w:rPr>
          <w:rFonts w:ascii="Times New Roman" w:hAnsi="Times New Roman" w:cs="Times New Roman"/>
          <w:i/>
          <w:lang w:val="it-IT"/>
        </w:rPr>
        <w:t>Alla ricerca del punto di equilibrio tra paesaggio ed energie rinnovabili. Il principio di integrazione nella giurisprudenza amministrativa</w:t>
      </w:r>
      <w:r w:rsidRPr="00437D8C">
        <w:rPr>
          <w:rFonts w:ascii="Times New Roman" w:hAnsi="Times New Roman" w:cs="Times New Roman"/>
          <w:lang w:val="it-IT"/>
        </w:rPr>
        <w:t xml:space="preserve">, </w:t>
      </w:r>
      <w:r w:rsidRPr="00437D8C">
        <w:rPr>
          <w:rFonts w:ascii="Times New Roman" w:hAnsi="Times New Roman" w:cs="Times New Roman"/>
          <w:kern w:val="0"/>
          <w:lang w:val="it-IT"/>
          <w14:ligatures w14:val="none"/>
        </w:rPr>
        <w:t xml:space="preserve">in </w:t>
      </w:r>
      <w:r w:rsidRPr="00437D8C">
        <w:rPr>
          <w:rFonts w:ascii="Times New Roman" w:hAnsi="Times New Roman" w:cs="Times New Roman"/>
          <w:i/>
          <w:kern w:val="0"/>
          <w:lang w:val="it-IT"/>
          <w14:ligatures w14:val="none"/>
        </w:rPr>
        <w:t>Federalismi.it</w:t>
      </w:r>
      <w:r w:rsidRPr="00437D8C">
        <w:rPr>
          <w:rFonts w:ascii="Times New Roman" w:hAnsi="Times New Roman" w:cs="Times New Roman"/>
          <w:kern w:val="0"/>
          <w:lang w:val="it-IT"/>
          <w14:ligatures w14:val="none"/>
        </w:rPr>
        <w:t>, 19 settembre 2025.</w:t>
      </w:r>
    </w:p>
    <w:p w14:paraId="7311A978" w14:textId="265E39A5" w:rsidR="00B75610" w:rsidRPr="00437D8C" w:rsidRDefault="00B75610" w:rsidP="00437D8C">
      <w:pPr>
        <w:pStyle w:val="Testonotaapidipagina"/>
        <w:jc w:val="both"/>
        <w:rPr>
          <w:rFonts w:ascii="Times New Roman" w:hAnsi="Times New Roman" w:cs="Times New Roman"/>
          <w:lang w:val="it-IT"/>
        </w:rPr>
      </w:pPr>
    </w:p>
  </w:footnote>
  <w:footnote w:id="4">
    <w:p w14:paraId="079F55C7" w14:textId="209C303A" w:rsidR="00B75610" w:rsidRPr="00437D8C" w:rsidRDefault="00B75610" w:rsidP="00437D8C">
      <w:pPr>
        <w:pStyle w:val="Testonotaapidipagina"/>
        <w:jc w:val="both"/>
        <w:rPr>
          <w:rFonts w:ascii="Times New Roman" w:eastAsia="Garamond" w:hAnsi="Times New Roman" w:cs="Times New Roman"/>
          <w:color w:val="000000"/>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eastAsia="Garamond" w:hAnsi="Times New Roman" w:cs="Times New Roman"/>
          <w:smallCaps/>
          <w:color w:val="000000"/>
          <w:lang w:val="it-IT"/>
        </w:rPr>
        <w:t>F. de Leonardis</w:t>
      </w:r>
      <w:r w:rsidRPr="00437D8C">
        <w:rPr>
          <w:rFonts w:ascii="Times New Roman" w:eastAsia="Garamond" w:hAnsi="Times New Roman" w:cs="Times New Roman"/>
          <w:color w:val="000000"/>
          <w:lang w:val="it-IT"/>
        </w:rPr>
        <w:t xml:space="preserve">, </w:t>
      </w:r>
      <w:r w:rsidRPr="00437D8C">
        <w:rPr>
          <w:rFonts w:ascii="Times New Roman" w:eastAsia="Garamond" w:hAnsi="Times New Roman" w:cs="Times New Roman"/>
          <w:i/>
          <w:color w:val="000000"/>
          <w:lang w:val="it-IT"/>
        </w:rPr>
        <w:t>Lo Stato ecologico. Approccio sistemico, economia, poteri pubblici e mercato</w:t>
      </w:r>
      <w:r w:rsidRPr="00437D8C">
        <w:rPr>
          <w:rFonts w:ascii="Times New Roman" w:eastAsia="Garamond" w:hAnsi="Times New Roman" w:cs="Times New Roman"/>
          <w:color w:val="000000"/>
          <w:lang w:val="it-IT"/>
        </w:rPr>
        <w:t>, Torino, 2023.</w:t>
      </w:r>
    </w:p>
    <w:p w14:paraId="06AA5AEF" w14:textId="77777777" w:rsidR="00B75610" w:rsidRPr="00437D8C" w:rsidRDefault="00B75610" w:rsidP="00437D8C">
      <w:pPr>
        <w:pStyle w:val="Testonotaapidipagina"/>
        <w:jc w:val="both"/>
        <w:rPr>
          <w:rFonts w:ascii="Times New Roman" w:hAnsi="Times New Roman" w:cs="Times New Roman"/>
          <w:lang w:val="it-IT"/>
        </w:rPr>
      </w:pPr>
    </w:p>
  </w:footnote>
  <w:footnote w:id="5">
    <w:p w14:paraId="279FC211" w14:textId="77777777" w:rsidR="00F37BDB" w:rsidRPr="00437D8C" w:rsidRDefault="00F37BDB"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https://green-forum.ec.europa.eu/green-business/green-public-procurement_en</w:t>
      </w:r>
    </w:p>
    <w:p w14:paraId="36E4BAED" w14:textId="77777777" w:rsidR="00F37BDB" w:rsidRPr="00437D8C" w:rsidRDefault="00F37BDB" w:rsidP="00437D8C">
      <w:pPr>
        <w:pStyle w:val="Testonotaapidipagina"/>
        <w:jc w:val="both"/>
        <w:rPr>
          <w:rFonts w:ascii="Times New Roman" w:hAnsi="Times New Roman" w:cs="Times New Roman"/>
          <w:lang w:val="it-IT"/>
        </w:rPr>
      </w:pPr>
    </w:p>
  </w:footnote>
  <w:footnote w:id="6">
    <w:p w14:paraId="506F39AC" w14:textId="461CAB7E" w:rsidR="00B75610" w:rsidRPr="00437D8C" w:rsidRDefault="00B75610" w:rsidP="00437D8C">
      <w:pPr>
        <w:pStyle w:val="Corpodeltesto3"/>
        <w:jc w:val="both"/>
        <w:rPr>
          <w:rFonts w:ascii="Times New Roman" w:eastAsia="Garamond" w:hAnsi="Times New Roman"/>
          <w:color w:val="000000"/>
          <w:spacing w:val="-7"/>
          <w:sz w:val="20"/>
          <w:szCs w:val="20"/>
        </w:rPr>
      </w:pPr>
      <w:r w:rsidRPr="00437D8C">
        <w:rPr>
          <w:rStyle w:val="Rimandonotaapidipagina"/>
          <w:rFonts w:ascii="Times New Roman" w:hAnsi="Times New Roman"/>
          <w:sz w:val="20"/>
          <w:szCs w:val="20"/>
        </w:rPr>
        <w:footnoteRef/>
      </w:r>
      <w:r w:rsidRPr="00437D8C">
        <w:rPr>
          <w:rFonts w:ascii="Times New Roman" w:hAnsi="Times New Roman"/>
          <w:sz w:val="20"/>
          <w:szCs w:val="20"/>
        </w:rPr>
        <w:t xml:space="preserve"> </w:t>
      </w:r>
      <w:r w:rsidRPr="00437D8C">
        <w:rPr>
          <w:rFonts w:ascii="Times New Roman" w:hAnsi="Times New Roman"/>
          <w:smallCaps/>
          <w:sz w:val="20"/>
          <w:szCs w:val="20"/>
        </w:rPr>
        <w:t>G. Tulumello</w:t>
      </w:r>
      <w:r w:rsidRPr="00437D8C">
        <w:rPr>
          <w:rFonts w:ascii="Times New Roman" w:hAnsi="Times New Roman"/>
          <w:sz w:val="20"/>
          <w:szCs w:val="20"/>
        </w:rPr>
        <w:t>,</w:t>
      </w:r>
      <w:r w:rsidRPr="00437D8C">
        <w:rPr>
          <w:rFonts w:ascii="Times New Roman" w:eastAsia="Garamond" w:hAnsi="Times New Roman"/>
          <w:i/>
          <w:color w:val="000000"/>
          <w:spacing w:val="-7"/>
          <w:sz w:val="20"/>
          <w:szCs w:val="20"/>
        </w:rPr>
        <w:t xml:space="preserve"> Il contratto di appalto pubblico come strumento di governo</w:t>
      </w:r>
      <w:r w:rsidRPr="00437D8C">
        <w:rPr>
          <w:rFonts w:ascii="Times New Roman" w:eastAsia="Garamond" w:hAnsi="Times New Roman"/>
          <w:color w:val="000000"/>
          <w:spacing w:val="-7"/>
          <w:sz w:val="20"/>
          <w:szCs w:val="20"/>
        </w:rPr>
        <w:t>, in AA.VV</w:t>
      </w:r>
      <w:r w:rsidRPr="00437D8C">
        <w:rPr>
          <w:rFonts w:ascii="Times New Roman" w:eastAsia="Garamond" w:hAnsi="Times New Roman"/>
          <w:i/>
          <w:color w:val="000000"/>
          <w:spacing w:val="-7"/>
          <w:sz w:val="20"/>
          <w:szCs w:val="20"/>
        </w:rPr>
        <w:t>., Il codice dei contratti pubblici. Riforma e correttivo</w:t>
      </w:r>
      <w:r w:rsidRPr="00437D8C">
        <w:rPr>
          <w:rFonts w:ascii="Times New Roman" w:eastAsia="Garamond" w:hAnsi="Times New Roman"/>
          <w:color w:val="000000"/>
          <w:spacing w:val="-7"/>
          <w:sz w:val="20"/>
          <w:szCs w:val="20"/>
        </w:rPr>
        <w:t>, a cura di Mariana Giordano e Gustavo Visentini, ES, Napoli, 2025, pagg. 143 e segg., cui ri rinvia anche per i necessari riferimenti bibliografici</w:t>
      </w:r>
      <w:r w:rsidRPr="00437D8C">
        <w:rPr>
          <w:rFonts w:ascii="Times New Roman" w:hAnsi="Times New Roman"/>
          <w:sz w:val="20"/>
          <w:szCs w:val="20"/>
        </w:rPr>
        <w:t xml:space="preserve">; </w:t>
      </w:r>
      <w:r w:rsidRPr="00437D8C">
        <w:rPr>
          <w:rFonts w:ascii="Times New Roman" w:hAnsi="Times New Roman"/>
          <w:smallCaps/>
          <w:sz w:val="20"/>
          <w:szCs w:val="20"/>
        </w:rPr>
        <w:t>Id</w:t>
      </w:r>
      <w:r w:rsidRPr="00437D8C">
        <w:rPr>
          <w:rFonts w:ascii="Times New Roman" w:hAnsi="Times New Roman"/>
          <w:sz w:val="20"/>
          <w:szCs w:val="20"/>
        </w:rPr>
        <w:t xml:space="preserve">. </w:t>
      </w:r>
      <w:r w:rsidRPr="00437D8C">
        <w:rPr>
          <w:rFonts w:ascii="Times New Roman" w:eastAsia="Garamond" w:hAnsi="Times New Roman"/>
          <w:i/>
          <w:color w:val="000000"/>
          <w:spacing w:val="-7"/>
          <w:sz w:val="20"/>
          <w:szCs w:val="20"/>
        </w:rPr>
        <w:t>I contratti della pubblica amministrazione oggi (a proposito di un recente libro)</w:t>
      </w:r>
      <w:r w:rsidRPr="00437D8C">
        <w:rPr>
          <w:rFonts w:ascii="Times New Roman" w:eastAsia="Garamond" w:hAnsi="Times New Roman"/>
          <w:color w:val="000000"/>
          <w:spacing w:val="-7"/>
          <w:sz w:val="20"/>
          <w:szCs w:val="20"/>
        </w:rPr>
        <w:t xml:space="preserve">, in </w:t>
      </w:r>
      <w:r w:rsidRPr="00437D8C">
        <w:rPr>
          <w:rFonts w:ascii="Times New Roman" w:eastAsia="Garamond" w:hAnsi="Times New Roman"/>
          <w:i/>
          <w:color w:val="000000"/>
          <w:spacing w:val="-7"/>
          <w:sz w:val="20"/>
          <w:szCs w:val="20"/>
        </w:rPr>
        <w:t>Riv.it. dir. pubb. comunit</w:t>
      </w:r>
      <w:r w:rsidRPr="00437D8C">
        <w:rPr>
          <w:rFonts w:ascii="Times New Roman" w:eastAsia="Garamond" w:hAnsi="Times New Roman"/>
          <w:color w:val="000000"/>
          <w:spacing w:val="-7"/>
          <w:sz w:val="20"/>
          <w:szCs w:val="20"/>
        </w:rPr>
        <w:t xml:space="preserve">., n. 2/2025, pagg. 333 e segg., e in </w:t>
      </w:r>
      <w:hyperlink r:id="rId1" w:history="1">
        <w:r w:rsidR="00004DB8" w:rsidRPr="00437D8C">
          <w:rPr>
            <w:rStyle w:val="Collegamentoipertestuale"/>
            <w:rFonts w:eastAsia="Garamond"/>
            <w:i/>
            <w:iCs/>
            <w:spacing w:val="-7"/>
            <w:sz w:val="20"/>
            <w:szCs w:val="20"/>
          </w:rPr>
          <w:t>www.giustizia-amministrativa.it</w:t>
        </w:r>
      </w:hyperlink>
      <w:r w:rsidRPr="00437D8C">
        <w:rPr>
          <w:rFonts w:ascii="Times New Roman" w:eastAsia="Garamond" w:hAnsi="Times New Roman"/>
          <w:color w:val="000000"/>
          <w:spacing w:val="-7"/>
          <w:sz w:val="20"/>
          <w:szCs w:val="20"/>
        </w:rPr>
        <w:t>.</w:t>
      </w:r>
      <w:r w:rsidR="00004DB8" w:rsidRPr="00437D8C">
        <w:rPr>
          <w:rFonts w:ascii="Times New Roman" w:eastAsia="Garamond" w:hAnsi="Times New Roman"/>
          <w:color w:val="000000"/>
          <w:spacing w:val="-7"/>
          <w:sz w:val="20"/>
          <w:szCs w:val="20"/>
        </w:rPr>
        <w:t>: “Il percorso normativo che dalla legge di contabilità di Stato ha condotto al d. lgs. n. 36 del 2023 evidenzia dunque come il dato teleologico sia quello che ha segnato la genesi e lo sviluppo dell’attività contrattuale della pubblica amministrazione: dapprima “in negativo” e per necessità, posto che si ricorreva al contratto (solo) quando il fine pubblico non si potesse realizzare con gli strumenti autoritativi;  quindi per scelta, ritenendosi lo strumento negoziale quello più efficace per attuare le politiche pubbliche, fino a giungere al “governare per contratto”.  Ciò è avvenuto attraverso il passaggio da una visione unipolare, propria della concezione c.d. contabilistica; a quella bipolare, che tutela la concorrenza per il mercato; infine a quella multipolare, nella quale “Il settore dei contratti pubblici si viene sempre più a configurare come fattore di traino per il sostegno di politiche ambientali, politiche occupazionali, politiche di contrasto, alla criminalità, strumento di ‘riorientamento’ delle commesse pubbliche e dei consumi verso obiettivi sociali comuni”, che costituisce una vera e propria “forma di intervento pubblico nell’economia”.  La giurisprudenza ha chiarito in proposito che il contratto di appalto non è soltanto un mezzo che consente all’amministrazione di procurarsi beni o di erogare servizi alla collettività, ma uno “strumento a plurimo impiego” funzionale all’attuazione di politiche pubbliche ulteriori rispetto all’oggetto negoziale immediato: in altre parole, uno strumento – plurifunzionale – di politiche economiche e sociali, con conseguenti ricadute sulla causa del provvedimento di scelta del contraente (Consiglio di Stato, sentenza n. 11322/2023; nello stesso senso, Consiglio di Stato, n. 807 del 2024, in materia di clausole sociali)”.</w:t>
      </w:r>
    </w:p>
    <w:p w14:paraId="560453D3" w14:textId="77777777" w:rsidR="00B75610" w:rsidRPr="00437D8C" w:rsidRDefault="00B75610" w:rsidP="00437D8C">
      <w:pPr>
        <w:pStyle w:val="Testonotaapidipagina"/>
        <w:jc w:val="both"/>
        <w:rPr>
          <w:rFonts w:ascii="Times New Roman" w:hAnsi="Times New Roman" w:cs="Times New Roman"/>
          <w:lang w:val="it-IT"/>
        </w:rPr>
      </w:pPr>
    </w:p>
  </w:footnote>
  <w:footnote w:id="7">
    <w:p w14:paraId="3D5C29C2" w14:textId="77777777" w:rsidR="00C75D3C" w:rsidRPr="00437D8C" w:rsidRDefault="00C75D3C" w:rsidP="00437D8C">
      <w:pPr>
        <w:pStyle w:val="Testonotaapidipagina"/>
        <w:jc w:val="both"/>
        <w:rPr>
          <w:rFonts w:ascii="Times New Roman" w:eastAsia="Garamond" w:hAnsi="Times New Roman" w:cs="Times New Roman"/>
          <w:color w:val="000000"/>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eastAsia="Garamond" w:hAnsi="Times New Roman" w:cs="Times New Roman"/>
          <w:smallCaps/>
          <w:color w:val="000000"/>
          <w:lang w:val="it-IT"/>
        </w:rPr>
        <w:t>F. de Leonardis</w:t>
      </w:r>
      <w:r w:rsidRPr="00437D8C">
        <w:rPr>
          <w:rFonts w:ascii="Times New Roman" w:eastAsia="Garamond" w:hAnsi="Times New Roman" w:cs="Times New Roman"/>
          <w:color w:val="000000"/>
          <w:lang w:val="it-IT"/>
        </w:rPr>
        <w:t xml:space="preserve">, </w:t>
      </w:r>
      <w:r w:rsidRPr="00437D8C">
        <w:rPr>
          <w:rFonts w:ascii="Times New Roman" w:eastAsia="Garamond" w:hAnsi="Times New Roman" w:cs="Times New Roman"/>
          <w:i/>
          <w:color w:val="000000"/>
          <w:lang w:val="it-IT"/>
        </w:rPr>
        <w:t>Lo Stato ecologico. Approccio sistemico, economia, poteri pubblici e mercato</w:t>
      </w:r>
      <w:r w:rsidRPr="00437D8C">
        <w:rPr>
          <w:rFonts w:ascii="Times New Roman" w:eastAsia="Garamond" w:hAnsi="Times New Roman" w:cs="Times New Roman"/>
          <w:color w:val="000000"/>
          <w:lang w:val="it-IT"/>
        </w:rPr>
        <w:t>, Torino, 2023, pag. 292: “Il nuovo diritto dell’ambiente viene a caratterizzarsi come diritto del vincolo o prescrittivo, mentre prima si qualificava tendenzialmente, dal punto di vista della produzione, come diritto della volontarietà, dei proclami, dei consigli, dei desideri della sensibilizzazione, come un vero e proprio diritto dell’ambiente ottativo”.</w:t>
      </w:r>
    </w:p>
    <w:p w14:paraId="13BABA64" w14:textId="77777777" w:rsidR="00C75D3C" w:rsidRPr="00437D8C" w:rsidRDefault="00C75D3C" w:rsidP="00437D8C">
      <w:pPr>
        <w:pStyle w:val="Testonotaapidipagina"/>
        <w:jc w:val="both"/>
        <w:rPr>
          <w:rFonts w:ascii="Times New Roman" w:hAnsi="Times New Roman" w:cs="Times New Roman"/>
          <w:lang w:val="it-IT"/>
        </w:rPr>
      </w:pPr>
    </w:p>
  </w:footnote>
  <w:footnote w:id="8">
    <w:p w14:paraId="4B28C65C" w14:textId="77777777" w:rsidR="00437D8C" w:rsidRPr="00437D8C" w:rsidRDefault="00A0738C"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In realtà, come chiarito dalla sentenza n. 4701/2024 del Consiglio di Stato, “l’art. 34, comma 1, del d. lgs. n. 50 del 2016 prescrive espressamente “l’inserimento, nella documentazione progettuale e di gara, almeno delle specifiche tecniche e delle clausole contrattuali contenute nei criteri ambientali minimi adottati con decreto del Ministro dell’ambiente e della tutela del territorio e del mare </w:t>
      </w:r>
      <w:proofErr w:type="gramStart"/>
      <w:r w:rsidRPr="00437D8C">
        <w:rPr>
          <w:rFonts w:ascii="Times New Roman" w:hAnsi="Times New Roman" w:cs="Times New Roman"/>
          <w:lang w:val="it-IT"/>
        </w:rPr>
        <w:t>(….) ”</w:t>
      </w:r>
      <w:proofErr w:type="gramEnd"/>
      <w:r w:rsidRPr="00437D8C">
        <w:rPr>
          <w:rFonts w:ascii="Times New Roman" w:hAnsi="Times New Roman" w:cs="Times New Roman"/>
          <w:lang w:val="it-IT"/>
        </w:rPr>
        <w:t xml:space="preserve">. Si tratta di un dato non formale, ma piuttosto sostanziale, dal momento che le prescrizioni in questione mirano a conformare l’esecuzione della prestazione contrattuale (come meglio si preciserà in seguito). È appena il caso di osservare come identica disciplina sia contenuta, nonostante solo apparenti difformità testuali, nell’art. 57, secondo comma, del d. lgs. n. 36 del 2023, che si pone in relazione di continuità con il carattere c.d. </w:t>
      </w:r>
      <w:proofErr w:type="spellStart"/>
      <w:r w:rsidRPr="00437D8C">
        <w:rPr>
          <w:rFonts w:ascii="Times New Roman" w:hAnsi="Times New Roman" w:cs="Times New Roman"/>
          <w:lang w:val="it-IT"/>
        </w:rPr>
        <w:t>mandatory</w:t>
      </w:r>
      <w:proofErr w:type="spellEnd"/>
      <w:r w:rsidRPr="00437D8C">
        <w:rPr>
          <w:rFonts w:ascii="Times New Roman" w:hAnsi="Times New Roman" w:cs="Times New Roman"/>
          <w:lang w:val="it-IT"/>
        </w:rPr>
        <w:t xml:space="preserve"> dei criteri ambientali minimi: anche in considerazione del rilievo (non solo meramente esegetico) che tale processo di successione di norme è stato segnato, medio tempore, dalla riforma del parametro costituzionale rappresentato dagli artt. 9 e 41 della Costituzione (e fermo restando, comunque, che la parte della previsione del citato art. 57 avente ad oggetto la graduazione, ove possibile, dei criteri sulla base del valore del contratto non è rivolta alle stazioni appaltanti, ma all’attività di predisposizione dei decreti ministeriali)”.</w:t>
      </w:r>
      <w:r w:rsidR="00802A24" w:rsidRPr="00437D8C">
        <w:rPr>
          <w:rFonts w:ascii="Times New Roman" w:hAnsi="Times New Roman" w:cs="Times New Roman"/>
          <w:lang w:val="it-IT"/>
        </w:rPr>
        <w:t xml:space="preserve"> </w:t>
      </w:r>
    </w:p>
    <w:p w14:paraId="7E3B349D" w14:textId="7CD9D0B6" w:rsidR="00A0738C" w:rsidRPr="00437D8C" w:rsidRDefault="00802A2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In dottrina, in sen</w:t>
      </w:r>
      <w:r w:rsidR="00437D8C" w:rsidRPr="00437D8C">
        <w:rPr>
          <w:rFonts w:ascii="Times New Roman" w:hAnsi="Times New Roman" w:cs="Times New Roman"/>
          <w:lang w:val="it-IT"/>
        </w:rPr>
        <w:t>s</w:t>
      </w:r>
      <w:r w:rsidRPr="00437D8C">
        <w:rPr>
          <w:rFonts w:ascii="Times New Roman" w:hAnsi="Times New Roman" w:cs="Times New Roman"/>
          <w:lang w:val="it-IT"/>
        </w:rPr>
        <w:t xml:space="preserve">o adesivo, </w:t>
      </w:r>
      <w:r w:rsidR="00437D8C" w:rsidRPr="00437D8C">
        <w:rPr>
          <w:rFonts w:ascii="Times New Roman" w:hAnsi="Times New Roman" w:cs="Times New Roman"/>
          <w:smallCaps/>
          <w:lang w:val="it-IT"/>
        </w:rPr>
        <w:t>F. de Leonardis</w:t>
      </w:r>
      <w:r w:rsidR="00437D8C" w:rsidRPr="00437D8C">
        <w:rPr>
          <w:rFonts w:ascii="Times New Roman" w:hAnsi="Times New Roman" w:cs="Times New Roman"/>
          <w:lang w:val="it-IT"/>
        </w:rPr>
        <w:t xml:space="preserve">, </w:t>
      </w:r>
      <w:r w:rsidR="00437D8C" w:rsidRPr="00437D8C">
        <w:rPr>
          <w:rFonts w:ascii="Times New Roman" w:hAnsi="Times New Roman" w:cs="Times New Roman"/>
          <w:i/>
          <w:iCs/>
          <w:lang w:val="it-IT"/>
        </w:rPr>
        <w:t>La contrattazione pubblica verde tra vecchio e nuovo codice dei contratti pubblici</w:t>
      </w:r>
      <w:r w:rsidR="00437D8C" w:rsidRPr="00437D8C">
        <w:rPr>
          <w:rFonts w:ascii="Times New Roman" w:hAnsi="Times New Roman" w:cs="Times New Roman"/>
          <w:lang w:val="it-IT"/>
        </w:rPr>
        <w:t>, in</w:t>
      </w:r>
      <w:r w:rsidR="00437D8C" w:rsidRPr="00437D8C">
        <w:rPr>
          <w:rFonts w:ascii="Times New Roman" w:hAnsi="Times New Roman" w:cs="Times New Roman"/>
          <w:i/>
          <w:iCs/>
          <w:lang w:val="it-IT"/>
        </w:rPr>
        <w:t xml:space="preserve"> Lezione di diritto dei contratti pubblici</w:t>
      </w:r>
      <w:r w:rsidR="00437D8C" w:rsidRPr="00437D8C">
        <w:rPr>
          <w:rFonts w:ascii="Times New Roman" w:hAnsi="Times New Roman" w:cs="Times New Roman"/>
          <w:lang w:val="it-IT"/>
        </w:rPr>
        <w:t>, a cura di M.R. Spasiano e M. Calabrò, Napoli, 2026, pag. 605: “L’equivocità dell’intervento normativo apre inevitabilmente spazio per la giurisprudenza amministrativa che, in più occasioni, si è pronunciata a conferma dell’esistenza di una obbligatorietà generalizzata del rispetto dei CAM da parte delle stazioni appaltanti, come si è visto con la già citata recentissima sentenza n. 4701/2024 della Sezione III del Consiglio di Stato. Del resto, sarebbe anche paradossale ritenere che, proprio nel momento in cui il legislatore costituzionale ha modificato gli artt. 9 e 41 Cost. e si è in fase di attuazione delle politiche del Green Deal europeo, possa esservi spazio per un’inversione di tendenza nella tutela ambientale, inversione peraltro ritenuta illegittima da quanti in dottrina sostengono la vigenza del principio di non regressione. Ciò anche alla luce della tendenza, registrata nella rilevante normativa europea, che va sempre più verso un’estensione dell’obbligatorietà degli appalti verdi”.</w:t>
      </w:r>
    </w:p>
    <w:p w14:paraId="27A2A469" w14:textId="77777777" w:rsidR="00A0738C" w:rsidRPr="00437D8C" w:rsidRDefault="00A0738C" w:rsidP="00437D8C">
      <w:pPr>
        <w:pStyle w:val="Testonotaapidipagina"/>
        <w:jc w:val="both"/>
        <w:rPr>
          <w:rFonts w:ascii="Times New Roman" w:hAnsi="Times New Roman" w:cs="Times New Roman"/>
          <w:lang w:val="it-IT"/>
        </w:rPr>
      </w:pPr>
    </w:p>
  </w:footnote>
  <w:footnote w:id="9">
    <w:p w14:paraId="33998FD6" w14:textId="1A036E5E" w:rsidR="00EC3F5F" w:rsidRPr="00437D8C" w:rsidRDefault="00EC3F5F"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Per una corretta e consapevole ricognizione del significato normativo della disciplina in esame, anche nell’ottica del quadro europeo di riferimento, </w:t>
      </w:r>
      <w:r w:rsidRPr="00437D8C">
        <w:rPr>
          <w:rFonts w:ascii="Times New Roman" w:hAnsi="Times New Roman" w:cs="Times New Roman"/>
          <w:smallCaps/>
          <w:lang w:val="it-IT"/>
        </w:rPr>
        <w:t>F. de Leonardis</w:t>
      </w:r>
      <w:r w:rsidRPr="00437D8C">
        <w:rPr>
          <w:rFonts w:ascii="Times New Roman" w:hAnsi="Times New Roman" w:cs="Times New Roman"/>
          <w:lang w:val="it-IT"/>
        </w:rPr>
        <w:t xml:space="preserve">, </w:t>
      </w:r>
      <w:r w:rsidRPr="00437D8C">
        <w:rPr>
          <w:rFonts w:ascii="Times New Roman" w:hAnsi="Times New Roman" w:cs="Times New Roman"/>
          <w:i/>
          <w:iCs/>
          <w:lang w:val="it-IT"/>
        </w:rPr>
        <w:t>La contrattazione pubblica verde tra vecchio e nuovo codice dei contratti pubblici</w:t>
      </w:r>
      <w:r w:rsidRPr="00437D8C">
        <w:rPr>
          <w:rFonts w:ascii="Times New Roman" w:hAnsi="Times New Roman" w:cs="Times New Roman"/>
          <w:lang w:val="it-IT"/>
        </w:rPr>
        <w:t xml:space="preserve">, </w:t>
      </w:r>
      <w:r w:rsidR="00437D8C" w:rsidRPr="00437D8C">
        <w:rPr>
          <w:rFonts w:ascii="Times New Roman" w:hAnsi="Times New Roman" w:cs="Times New Roman"/>
          <w:lang w:val="it-IT"/>
        </w:rPr>
        <w:t>cit.</w:t>
      </w:r>
      <w:r w:rsidRPr="00437D8C">
        <w:rPr>
          <w:rFonts w:ascii="Times New Roman" w:hAnsi="Times New Roman" w:cs="Times New Roman"/>
          <w:lang w:val="it-IT"/>
        </w:rPr>
        <w:t>, pagg. 579 e segg.</w:t>
      </w:r>
    </w:p>
  </w:footnote>
  <w:footnote w:id="10">
    <w:p w14:paraId="1BB97082" w14:textId="77777777" w:rsidR="00F71441"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sez. III, sentenze 28 dicembre 2023, n. 11322; 26 marzo 2024, n. 2866 (in </w:t>
      </w:r>
      <w:proofErr w:type="spellStart"/>
      <w:r w:rsidRPr="00437D8C">
        <w:rPr>
          <w:rFonts w:ascii="Times New Roman" w:hAnsi="Times New Roman" w:cs="Times New Roman"/>
          <w:i/>
          <w:lang w:val="it-IT"/>
        </w:rPr>
        <w:t>Giorn</w:t>
      </w:r>
      <w:proofErr w:type="spellEnd"/>
      <w:r w:rsidRPr="00437D8C">
        <w:rPr>
          <w:rFonts w:ascii="Times New Roman" w:hAnsi="Times New Roman" w:cs="Times New Roman"/>
          <w:i/>
          <w:lang w:val="it-IT"/>
        </w:rPr>
        <w:t xml:space="preserve">. dir. </w:t>
      </w:r>
      <w:proofErr w:type="spellStart"/>
      <w:r w:rsidRPr="00437D8C">
        <w:rPr>
          <w:rFonts w:ascii="Times New Roman" w:hAnsi="Times New Roman" w:cs="Times New Roman"/>
          <w:i/>
          <w:lang w:val="it-IT"/>
        </w:rPr>
        <w:t>Amm.vo</w:t>
      </w:r>
      <w:proofErr w:type="spellEnd"/>
      <w:r w:rsidRPr="00437D8C">
        <w:rPr>
          <w:rFonts w:ascii="Times New Roman" w:hAnsi="Times New Roman" w:cs="Times New Roman"/>
          <w:lang w:val="it-IT"/>
        </w:rPr>
        <w:t xml:space="preserve">, n. 5/2024, pagg. 669 e segg., con nota di </w:t>
      </w:r>
      <w:r w:rsidRPr="00437D8C">
        <w:rPr>
          <w:rFonts w:ascii="Times New Roman" w:hAnsi="Times New Roman" w:cs="Times New Roman"/>
          <w:smallCaps/>
          <w:lang w:val="it-IT"/>
        </w:rPr>
        <w:t>S. Vaccari</w:t>
      </w:r>
      <w:r w:rsidRPr="00437D8C">
        <w:rPr>
          <w:rFonts w:ascii="Times New Roman" w:hAnsi="Times New Roman" w:cs="Times New Roman"/>
          <w:lang w:val="it-IT"/>
        </w:rPr>
        <w:t xml:space="preserve">, </w:t>
      </w:r>
      <w:r w:rsidRPr="00437D8C">
        <w:rPr>
          <w:rFonts w:ascii="Times New Roman" w:hAnsi="Times New Roman" w:cs="Times New Roman"/>
          <w:i/>
          <w:lang w:val="it-IT"/>
        </w:rPr>
        <w:t>Principio del risultato e legalità amministrativa</w:t>
      </w:r>
      <w:r w:rsidRPr="00437D8C">
        <w:rPr>
          <w:rFonts w:ascii="Times New Roman" w:hAnsi="Times New Roman" w:cs="Times New Roman"/>
          <w:lang w:val="it-IT"/>
        </w:rPr>
        <w:t xml:space="preserve">; e in </w:t>
      </w:r>
      <w:r w:rsidRPr="00437D8C">
        <w:rPr>
          <w:rFonts w:ascii="Times New Roman" w:hAnsi="Times New Roman" w:cs="Times New Roman"/>
          <w:i/>
          <w:lang w:val="it-IT"/>
        </w:rPr>
        <w:t xml:space="preserve">Giur. </w:t>
      </w:r>
      <w:proofErr w:type="spellStart"/>
      <w:r w:rsidRPr="00437D8C">
        <w:rPr>
          <w:rFonts w:ascii="Times New Roman" w:hAnsi="Times New Roman" w:cs="Times New Roman"/>
          <w:i/>
          <w:lang w:val="it-IT"/>
        </w:rPr>
        <w:t>It</w:t>
      </w:r>
      <w:proofErr w:type="spellEnd"/>
      <w:r w:rsidRPr="00437D8C">
        <w:rPr>
          <w:rFonts w:ascii="Times New Roman" w:hAnsi="Times New Roman" w:cs="Times New Roman"/>
          <w:lang w:val="it-IT"/>
        </w:rPr>
        <w:t xml:space="preserve">., 12/2024, 2662, con nota di </w:t>
      </w:r>
      <w:r w:rsidRPr="00437D8C">
        <w:rPr>
          <w:rFonts w:ascii="Times New Roman" w:hAnsi="Times New Roman" w:cs="Times New Roman"/>
          <w:smallCaps/>
          <w:lang w:val="it-IT"/>
        </w:rPr>
        <w:t xml:space="preserve">L. </w:t>
      </w:r>
      <w:proofErr w:type="spellStart"/>
      <w:r w:rsidRPr="00437D8C">
        <w:rPr>
          <w:rFonts w:ascii="Times New Roman" w:hAnsi="Times New Roman" w:cs="Times New Roman"/>
          <w:smallCaps/>
          <w:lang w:val="it-IT"/>
        </w:rPr>
        <w:t>Cameriero</w:t>
      </w:r>
      <w:proofErr w:type="spellEnd"/>
      <w:r w:rsidRPr="00437D8C">
        <w:rPr>
          <w:rFonts w:ascii="Times New Roman" w:hAnsi="Times New Roman" w:cs="Times New Roman"/>
          <w:lang w:val="it-IT"/>
        </w:rPr>
        <w:t xml:space="preserve">, </w:t>
      </w:r>
      <w:r w:rsidRPr="00437D8C">
        <w:rPr>
          <w:rFonts w:ascii="Times New Roman" w:hAnsi="Times New Roman" w:cs="Times New Roman"/>
          <w:i/>
          <w:lang w:val="it-IT"/>
        </w:rPr>
        <w:t>Il principio del risultato nel prisma discrezionale dell’operazione amministrativa)</w:t>
      </w:r>
      <w:r w:rsidRPr="00437D8C">
        <w:rPr>
          <w:rFonts w:ascii="Times New Roman" w:hAnsi="Times New Roman" w:cs="Times New Roman"/>
          <w:lang w:val="it-IT"/>
        </w:rPr>
        <w:t xml:space="preserve">; 27 maggio 2024, n. 4701 (in </w:t>
      </w:r>
      <w:proofErr w:type="spellStart"/>
      <w:r w:rsidRPr="00437D8C">
        <w:rPr>
          <w:rFonts w:ascii="Times New Roman" w:hAnsi="Times New Roman" w:cs="Times New Roman"/>
          <w:i/>
          <w:lang w:val="it-IT"/>
        </w:rPr>
        <w:t>Urb</w:t>
      </w:r>
      <w:proofErr w:type="spellEnd"/>
      <w:r w:rsidRPr="00437D8C">
        <w:rPr>
          <w:rFonts w:ascii="Times New Roman" w:hAnsi="Times New Roman" w:cs="Times New Roman"/>
          <w:i/>
          <w:lang w:val="it-IT"/>
        </w:rPr>
        <w:t>. e app</w:t>
      </w:r>
      <w:r w:rsidRPr="00437D8C">
        <w:rPr>
          <w:rFonts w:ascii="Times New Roman" w:hAnsi="Times New Roman" w:cs="Times New Roman"/>
          <w:lang w:val="it-IT"/>
        </w:rPr>
        <w:t xml:space="preserve">., n. 6/2024, pagg. 764 e segg., con nota di </w:t>
      </w:r>
      <w:r w:rsidRPr="00437D8C">
        <w:rPr>
          <w:rFonts w:ascii="Times New Roman" w:hAnsi="Times New Roman" w:cs="Times New Roman"/>
          <w:smallCaps/>
          <w:lang w:val="it-IT"/>
        </w:rPr>
        <w:t>A.E. Basilico</w:t>
      </w:r>
      <w:r w:rsidRPr="00437D8C">
        <w:rPr>
          <w:rFonts w:ascii="Times New Roman" w:hAnsi="Times New Roman" w:cs="Times New Roman"/>
          <w:lang w:val="it-IT"/>
        </w:rPr>
        <w:t xml:space="preserve">, </w:t>
      </w:r>
      <w:r w:rsidRPr="00437D8C">
        <w:rPr>
          <w:rFonts w:ascii="Times New Roman" w:hAnsi="Times New Roman" w:cs="Times New Roman"/>
          <w:i/>
          <w:lang w:val="it-IT"/>
        </w:rPr>
        <w:t xml:space="preserve">Le funzioni della contrattazione pubblica e il ruolo del giudice amministrativo alla luce dell’obbligo di rispettare i </w:t>
      </w:r>
      <w:proofErr w:type="spellStart"/>
      <w:r w:rsidRPr="00437D8C">
        <w:rPr>
          <w:rFonts w:ascii="Times New Roman" w:hAnsi="Times New Roman" w:cs="Times New Roman"/>
          <w:i/>
          <w:lang w:val="it-IT"/>
        </w:rPr>
        <w:t>c.a.m</w:t>
      </w:r>
      <w:proofErr w:type="spellEnd"/>
      <w:r w:rsidRPr="00437D8C">
        <w:rPr>
          <w:rFonts w:ascii="Times New Roman" w:hAnsi="Times New Roman" w:cs="Times New Roman"/>
          <w:lang w:val="it-IT"/>
        </w:rPr>
        <w:t xml:space="preserve">.; e in </w:t>
      </w:r>
      <w:r w:rsidRPr="00437D8C">
        <w:rPr>
          <w:rFonts w:ascii="Times New Roman" w:hAnsi="Times New Roman" w:cs="Times New Roman"/>
          <w:i/>
          <w:lang w:val="it-IT"/>
        </w:rPr>
        <w:t xml:space="preserve">Giur. </w:t>
      </w:r>
      <w:proofErr w:type="spellStart"/>
      <w:r w:rsidRPr="00437D8C">
        <w:rPr>
          <w:rFonts w:ascii="Times New Roman" w:hAnsi="Times New Roman" w:cs="Times New Roman"/>
          <w:i/>
          <w:lang w:val="it-IT"/>
        </w:rPr>
        <w:t>It</w:t>
      </w:r>
      <w:proofErr w:type="spellEnd"/>
      <w:r w:rsidRPr="00437D8C">
        <w:rPr>
          <w:rFonts w:ascii="Times New Roman" w:hAnsi="Times New Roman" w:cs="Times New Roman"/>
          <w:lang w:val="it-IT"/>
        </w:rPr>
        <w:t xml:space="preserve">., 1/2025, 153 e segg., con nota di </w:t>
      </w:r>
      <w:r w:rsidRPr="00437D8C">
        <w:rPr>
          <w:rFonts w:ascii="Times New Roman" w:hAnsi="Times New Roman" w:cs="Times New Roman"/>
          <w:smallCaps/>
          <w:lang w:val="it-IT"/>
        </w:rPr>
        <w:t xml:space="preserve">R. </w:t>
      </w:r>
      <w:proofErr w:type="spellStart"/>
      <w:r w:rsidRPr="00437D8C">
        <w:rPr>
          <w:rFonts w:ascii="Times New Roman" w:hAnsi="Times New Roman" w:cs="Times New Roman"/>
          <w:smallCaps/>
          <w:lang w:val="it-IT"/>
        </w:rPr>
        <w:t>Caranta</w:t>
      </w:r>
      <w:proofErr w:type="spellEnd"/>
      <w:r w:rsidRPr="00437D8C">
        <w:rPr>
          <w:rFonts w:ascii="Times New Roman" w:hAnsi="Times New Roman" w:cs="Times New Roman"/>
          <w:lang w:val="it-IT"/>
        </w:rPr>
        <w:t xml:space="preserve">, </w:t>
      </w:r>
      <w:r w:rsidRPr="00437D8C">
        <w:rPr>
          <w:rFonts w:ascii="Times New Roman" w:hAnsi="Times New Roman" w:cs="Times New Roman"/>
          <w:i/>
          <w:lang w:val="it-IT"/>
        </w:rPr>
        <w:t>Il Consiglio di Stato tiene dritta la barra sugli appalti verdi</w:t>
      </w:r>
      <w:r w:rsidRPr="00437D8C">
        <w:rPr>
          <w:rFonts w:ascii="Times New Roman" w:hAnsi="Times New Roman" w:cs="Times New Roman"/>
          <w:lang w:val="it-IT"/>
        </w:rPr>
        <w:t>); 8 ottobre 2025, n. 7898. Sul principio del risultato si veda altresì Consiglio di Stato, sez. VI, sentenza 18 luglio 2025, n. 6337: che ancorché relativa a materia diversa da quella ambientale, ha ribadito, coerentemente alla giurisprudenza sopra richiamata, che “pur se l’art. 1 cit. fa riferimento al “risultato dell’affidamento del contratto e della sua esecuzione”, non può certo ritenersi che il principio sia diretto a raggiungere un affidamento e una esecuzione del contratto “quali che siano”. Al contrario, l’affidamento della commessa e l’esecuzione del contratto devono essere funzionali al raggiungimento degli interessi pubblici che la commessa mira a soddisfare e il principio del risultato deve senz’altro essere inteso in tale ottica”.</w:t>
      </w:r>
    </w:p>
    <w:p w14:paraId="341DE512" w14:textId="77777777" w:rsidR="00F71441" w:rsidRPr="00437D8C" w:rsidRDefault="00F71441" w:rsidP="00437D8C">
      <w:pPr>
        <w:pStyle w:val="Testonotaapidipagina"/>
        <w:jc w:val="both"/>
        <w:rPr>
          <w:rFonts w:ascii="Times New Roman" w:hAnsi="Times New Roman" w:cs="Times New Roman"/>
          <w:lang w:val="it-IT"/>
        </w:rPr>
      </w:pPr>
    </w:p>
  </w:footnote>
  <w:footnote w:id="11">
    <w:p w14:paraId="367A1727" w14:textId="66F78753" w:rsidR="00EC3F5F"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F. Fracchia</w:t>
      </w:r>
      <w:r w:rsidRPr="00437D8C">
        <w:rPr>
          <w:rFonts w:ascii="Times New Roman" w:hAnsi="Times New Roman" w:cs="Times New Roman"/>
          <w:lang w:val="it-IT"/>
        </w:rPr>
        <w:t xml:space="preserve">, </w:t>
      </w:r>
      <w:r w:rsidRPr="00437D8C">
        <w:rPr>
          <w:rFonts w:ascii="Times New Roman" w:hAnsi="Times New Roman" w:cs="Times New Roman"/>
          <w:i/>
          <w:iCs/>
          <w:lang w:val="it-IT"/>
        </w:rPr>
        <w:t>Il principio di risultato</w:t>
      </w:r>
      <w:r w:rsidRPr="00437D8C">
        <w:rPr>
          <w:rFonts w:ascii="Times New Roman" w:hAnsi="Times New Roman" w:cs="Times New Roman"/>
          <w:lang w:val="it-IT"/>
        </w:rPr>
        <w:t xml:space="preserve">, in R. Ursi (a cura di), </w:t>
      </w:r>
      <w:r w:rsidRPr="00437D8C">
        <w:rPr>
          <w:rFonts w:ascii="Times New Roman" w:hAnsi="Times New Roman" w:cs="Times New Roman"/>
          <w:i/>
          <w:iCs/>
          <w:lang w:val="it-IT"/>
        </w:rPr>
        <w:t>Studi sui principi generali nel codice dei contratti pubblici</w:t>
      </w:r>
      <w:r w:rsidRPr="00437D8C">
        <w:rPr>
          <w:rFonts w:ascii="Times New Roman" w:hAnsi="Times New Roman" w:cs="Times New Roman"/>
          <w:lang w:val="it-IT"/>
        </w:rPr>
        <w:t xml:space="preserve">, Napoli, Editoriale Scientifica, 2024, 30. In dottrina, in argomento si vedano altresì, tra gli altri, </w:t>
      </w:r>
      <w:r w:rsidRPr="00437D8C">
        <w:rPr>
          <w:rFonts w:ascii="Times New Roman" w:hAnsi="Times New Roman" w:cs="Times New Roman"/>
          <w:smallCaps/>
          <w:lang w:val="it-IT"/>
        </w:rPr>
        <w:t>R. Villata - L. Bertonazzi</w:t>
      </w:r>
      <w:r w:rsidRPr="00437D8C">
        <w:rPr>
          <w:rFonts w:ascii="Times New Roman" w:hAnsi="Times New Roman" w:cs="Times New Roman"/>
          <w:lang w:val="it-IT"/>
        </w:rPr>
        <w:t>,</w:t>
      </w:r>
      <w:r w:rsidRPr="00437D8C">
        <w:rPr>
          <w:rFonts w:ascii="Times New Roman" w:hAnsi="Times New Roman" w:cs="Times New Roman"/>
          <w:i/>
          <w:iCs/>
          <w:lang w:val="it-IT"/>
        </w:rPr>
        <w:t xml:space="preserve"> Art. 1. Principio del risultato</w:t>
      </w:r>
      <w:r w:rsidRPr="00437D8C">
        <w:rPr>
          <w:rFonts w:ascii="Times New Roman" w:hAnsi="Times New Roman" w:cs="Times New Roman"/>
          <w:lang w:val="it-IT"/>
        </w:rPr>
        <w:t xml:space="preserve">, in R. Villata - M. </w:t>
      </w:r>
      <w:proofErr w:type="spellStart"/>
      <w:r w:rsidRPr="00437D8C">
        <w:rPr>
          <w:rFonts w:ascii="Times New Roman" w:hAnsi="Times New Roman" w:cs="Times New Roman"/>
          <w:lang w:val="it-IT"/>
        </w:rPr>
        <w:t>Ramajoli</w:t>
      </w:r>
      <w:proofErr w:type="spellEnd"/>
      <w:r w:rsidRPr="00437D8C">
        <w:rPr>
          <w:rFonts w:ascii="Times New Roman" w:hAnsi="Times New Roman" w:cs="Times New Roman"/>
          <w:lang w:val="it-IT"/>
        </w:rPr>
        <w:t xml:space="preserve"> (a cura di), </w:t>
      </w:r>
      <w:r w:rsidRPr="00437D8C">
        <w:rPr>
          <w:rFonts w:ascii="Times New Roman" w:hAnsi="Times New Roman" w:cs="Times New Roman"/>
          <w:i/>
          <w:iCs/>
          <w:lang w:val="it-IT"/>
        </w:rPr>
        <w:t>Commentario al Codice dei Contratti Pubblici</w:t>
      </w:r>
      <w:r w:rsidRPr="00437D8C">
        <w:rPr>
          <w:rFonts w:ascii="Times New Roman" w:hAnsi="Times New Roman" w:cs="Times New Roman"/>
          <w:lang w:val="it-IT"/>
        </w:rPr>
        <w:t xml:space="preserve">, Pisa, 2024; </w:t>
      </w:r>
      <w:r w:rsidRPr="00437D8C">
        <w:rPr>
          <w:rFonts w:ascii="Times New Roman" w:hAnsi="Times New Roman" w:cs="Times New Roman"/>
          <w:smallCaps/>
          <w:lang w:val="it-IT"/>
        </w:rPr>
        <w:t>G. Montedoro</w:t>
      </w:r>
      <w:r w:rsidRPr="00437D8C">
        <w:rPr>
          <w:rFonts w:ascii="Times New Roman" w:hAnsi="Times New Roman" w:cs="Times New Roman"/>
          <w:lang w:val="it-IT"/>
        </w:rPr>
        <w:t xml:space="preserve">, </w:t>
      </w:r>
      <w:r w:rsidRPr="00437D8C">
        <w:rPr>
          <w:rFonts w:ascii="Times New Roman" w:hAnsi="Times New Roman" w:cs="Times New Roman"/>
          <w:i/>
          <w:iCs/>
          <w:lang w:val="it-IT"/>
        </w:rPr>
        <w:t>La funzione nomofilattica e ordinante e i principi ispiratori del nuovo codice dei contratti pubblici</w:t>
      </w:r>
      <w:r w:rsidRPr="00437D8C">
        <w:rPr>
          <w:rFonts w:ascii="Times New Roman" w:hAnsi="Times New Roman" w:cs="Times New Roman"/>
          <w:lang w:val="it-IT"/>
        </w:rPr>
        <w:t xml:space="preserve">, in </w:t>
      </w:r>
      <w:r w:rsidRPr="00437D8C">
        <w:rPr>
          <w:rFonts w:ascii="Times New Roman" w:hAnsi="Times New Roman" w:cs="Times New Roman"/>
          <w:i/>
          <w:iCs/>
          <w:lang w:val="it-IT"/>
        </w:rPr>
        <w:t>Riv. trim. app</w:t>
      </w:r>
      <w:r w:rsidRPr="00437D8C">
        <w:rPr>
          <w:rFonts w:ascii="Times New Roman" w:hAnsi="Times New Roman" w:cs="Times New Roman"/>
          <w:lang w:val="it-IT"/>
        </w:rPr>
        <w:t xml:space="preserve">., 2023, 793; </w:t>
      </w:r>
      <w:r w:rsidRPr="00437D8C">
        <w:rPr>
          <w:rFonts w:ascii="Times New Roman" w:hAnsi="Times New Roman" w:cs="Times New Roman"/>
          <w:smallCaps/>
          <w:lang w:val="it-IT"/>
        </w:rPr>
        <w:t>M. Trimarchi</w:t>
      </w:r>
      <w:r w:rsidRPr="00437D8C">
        <w:rPr>
          <w:rFonts w:ascii="Times New Roman" w:hAnsi="Times New Roman" w:cs="Times New Roman"/>
          <w:lang w:val="it-IT"/>
        </w:rPr>
        <w:t xml:space="preserve">, </w:t>
      </w:r>
      <w:r w:rsidRPr="00437D8C">
        <w:rPr>
          <w:rFonts w:ascii="Times New Roman" w:hAnsi="Times New Roman" w:cs="Times New Roman"/>
          <w:i/>
          <w:iCs/>
          <w:lang w:val="it-IT"/>
        </w:rPr>
        <w:t>Il risultato dell'amministrazione: un quadro d'insieme</w:t>
      </w:r>
      <w:r w:rsidRPr="00437D8C">
        <w:rPr>
          <w:rFonts w:ascii="Times New Roman" w:hAnsi="Times New Roman" w:cs="Times New Roman"/>
          <w:lang w:val="it-IT"/>
        </w:rPr>
        <w:t xml:space="preserve">, in </w:t>
      </w:r>
      <w:r w:rsidRPr="00437D8C">
        <w:rPr>
          <w:rFonts w:ascii="Times New Roman" w:hAnsi="Times New Roman" w:cs="Times New Roman"/>
          <w:i/>
          <w:iCs/>
          <w:lang w:val="it-IT"/>
        </w:rPr>
        <w:t xml:space="preserve">Dir. </w:t>
      </w:r>
      <w:proofErr w:type="spellStart"/>
      <w:r w:rsidRPr="00437D8C">
        <w:rPr>
          <w:rFonts w:ascii="Times New Roman" w:hAnsi="Times New Roman" w:cs="Times New Roman"/>
          <w:i/>
          <w:iCs/>
          <w:lang w:val="it-IT"/>
        </w:rPr>
        <w:t>Amm.vo</w:t>
      </w:r>
      <w:proofErr w:type="spellEnd"/>
      <w:r w:rsidRPr="00437D8C">
        <w:rPr>
          <w:rFonts w:ascii="Times New Roman" w:hAnsi="Times New Roman" w:cs="Times New Roman"/>
          <w:lang w:val="it-IT"/>
        </w:rPr>
        <w:t>, n. 3/2025, pagg. 803 e segg.;</w:t>
      </w:r>
      <w:r w:rsidRPr="00437D8C">
        <w:rPr>
          <w:rFonts w:ascii="Times New Roman" w:hAnsi="Times New Roman" w:cs="Times New Roman"/>
          <w:smallCaps/>
          <w:lang w:val="it-IT"/>
        </w:rPr>
        <w:t xml:space="preserve"> Id</w:t>
      </w:r>
      <w:r w:rsidRPr="00437D8C">
        <w:rPr>
          <w:rFonts w:ascii="Times New Roman" w:hAnsi="Times New Roman" w:cs="Times New Roman"/>
          <w:lang w:val="it-IT"/>
        </w:rPr>
        <w:t xml:space="preserve">., </w:t>
      </w:r>
      <w:r w:rsidRPr="00437D8C">
        <w:rPr>
          <w:rFonts w:ascii="Times New Roman" w:hAnsi="Times New Roman" w:cs="Times New Roman"/>
          <w:i/>
          <w:iCs/>
          <w:lang w:val="it-IT"/>
        </w:rPr>
        <w:t>Il raggiungimento del risultato quale possibile paradigma della legittimità dell’azione amministrativa. Osservazioni generali</w:t>
      </w:r>
      <w:r w:rsidRPr="00437D8C">
        <w:rPr>
          <w:rFonts w:ascii="Times New Roman" w:hAnsi="Times New Roman" w:cs="Times New Roman"/>
          <w:lang w:val="it-IT"/>
        </w:rPr>
        <w:t xml:space="preserve">, in </w:t>
      </w:r>
      <w:hyperlink r:id="rId2" w:history="1">
        <w:r w:rsidRPr="00437D8C">
          <w:rPr>
            <w:rStyle w:val="Collegamentoipertestuale"/>
            <w:rFonts w:cs="Times New Roman"/>
            <w:sz w:val="20"/>
            <w:lang w:val="it-IT"/>
          </w:rPr>
          <w:t>www.giustizia-amministrativa.it</w:t>
        </w:r>
      </w:hyperlink>
      <w:r w:rsidRPr="00437D8C">
        <w:rPr>
          <w:rFonts w:ascii="Times New Roman" w:hAnsi="Times New Roman" w:cs="Times New Roman"/>
          <w:lang w:val="it-IT"/>
        </w:rPr>
        <w:t xml:space="preserve">, 2025; </w:t>
      </w:r>
      <w:r w:rsidRPr="00437D8C">
        <w:rPr>
          <w:rFonts w:ascii="Times New Roman" w:hAnsi="Times New Roman" w:cs="Times New Roman"/>
          <w:smallCaps/>
          <w:lang w:val="it-IT"/>
        </w:rPr>
        <w:t>L.R. Perfetti</w:t>
      </w:r>
      <w:r w:rsidRPr="00437D8C">
        <w:rPr>
          <w:rFonts w:ascii="Times New Roman" w:hAnsi="Times New Roman" w:cs="Times New Roman"/>
          <w:lang w:val="it-IT"/>
        </w:rPr>
        <w:t xml:space="preserve">, </w:t>
      </w:r>
      <w:r w:rsidRPr="00437D8C">
        <w:rPr>
          <w:rFonts w:ascii="Times New Roman" w:hAnsi="Times New Roman" w:cs="Times New Roman"/>
          <w:i/>
          <w:iCs/>
          <w:lang w:val="it-IT"/>
        </w:rPr>
        <w:t>Discrezionalità amministrativa e principio del risultato</w:t>
      </w:r>
      <w:r w:rsidRPr="00437D8C">
        <w:rPr>
          <w:rFonts w:ascii="Times New Roman" w:hAnsi="Times New Roman" w:cs="Times New Roman"/>
          <w:lang w:val="it-IT"/>
        </w:rPr>
        <w:t>, in</w:t>
      </w:r>
      <w:r w:rsidRPr="00437D8C">
        <w:rPr>
          <w:rFonts w:ascii="Times New Roman" w:hAnsi="Times New Roman" w:cs="Times New Roman"/>
          <w:i/>
          <w:iCs/>
          <w:lang w:val="it-IT"/>
        </w:rPr>
        <w:t xml:space="preserve"> PA Persona e amministrazione</w:t>
      </w:r>
      <w:r w:rsidRPr="00437D8C">
        <w:rPr>
          <w:rFonts w:ascii="Times New Roman" w:hAnsi="Times New Roman" w:cs="Times New Roman"/>
          <w:lang w:val="it-IT"/>
        </w:rPr>
        <w:t xml:space="preserve">, v. 14, n. 1/2024; </w:t>
      </w:r>
      <w:r w:rsidRPr="00437D8C">
        <w:rPr>
          <w:rFonts w:ascii="Times New Roman" w:hAnsi="Times New Roman" w:cs="Times New Roman"/>
          <w:smallCaps/>
          <w:lang w:val="it-IT"/>
        </w:rPr>
        <w:t>Id</w:t>
      </w:r>
      <w:r w:rsidRPr="00437D8C">
        <w:rPr>
          <w:rFonts w:ascii="Times New Roman" w:hAnsi="Times New Roman" w:cs="Times New Roman"/>
          <w:lang w:val="it-IT"/>
        </w:rPr>
        <w:t xml:space="preserve">., </w:t>
      </w:r>
      <w:r w:rsidRPr="00437D8C">
        <w:rPr>
          <w:rFonts w:ascii="Times New Roman" w:hAnsi="Times New Roman" w:cs="Times New Roman"/>
          <w:i/>
          <w:iCs/>
          <w:lang w:val="it-IT"/>
        </w:rPr>
        <w:t>Potere discrezionale e contratto dell’amministrazione pubblica alla luce del principio del risultato</w:t>
      </w:r>
      <w:r w:rsidRPr="00437D8C">
        <w:rPr>
          <w:rFonts w:ascii="Times New Roman" w:hAnsi="Times New Roman" w:cs="Times New Roman"/>
          <w:lang w:val="it-IT"/>
        </w:rPr>
        <w:t xml:space="preserve">, in Liber </w:t>
      </w:r>
      <w:proofErr w:type="spellStart"/>
      <w:r w:rsidRPr="00437D8C">
        <w:rPr>
          <w:rFonts w:ascii="Times New Roman" w:hAnsi="Times New Roman" w:cs="Times New Roman"/>
          <w:lang w:val="it-IT"/>
        </w:rPr>
        <w:t>amicorum</w:t>
      </w:r>
      <w:proofErr w:type="spellEnd"/>
      <w:r w:rsidRPr="00437D8C">
        <w:rPr>
          <w:rFonts w:ascii="Times New Roman" w:hAnsi="Times New Roman" w:cs="Times New Roman"/>
          <w:i/>
          <w:iCs/>
          <w:lang w:val="it-IT"/>
        </w:rPr>
        <w:t xml:space="preserve"> per Guido Greco</w:t>
      </w:r>
      <w:r w:rsidRPr="00437D8C">
        <w:rPr>
          <w:rFonts w:ascii="Times New Roman" w:hAnsi="Times New Roman" w:cs="Times New Roman"/>
          <w:lang w:val="it-IT"/>
        </w:rPr>
        <w:t xml:space="preserve">, cit., pagg. 585 e segg.; </w:t>
      </w:r>
      <w:r w:rsidRPr="00437D8C">
        <w:rPr>
          <w:rFonts w:ascii="Times New Roman" w:hAnsi="Times New Roman" w:cs="Times New Roman"/>
          <w:smallCaps/>
          <w:lang w:val="it-IT"/>
        </w:rPr>
        <w:t>Id</w:t>
      </w:r>
      <w:r w:rsidRPr="00437D8C">
        <w:rPr>
          <w:rFonts w:ascii="Times New Roman" w:hAnsi="Times New Roman" w:cs="Times New Roman"/>
          <w:lang w:val="it-IT"/>
        </w:rPr>
        <w:t xml:space="preserve">., </w:t>
      </w:r>
      <w:r w:rsidRPr="00437D8C">
        <w:rPr>
          <w:rFonts w:ascii="Times New Roman" w:hAnsi="Times New Roman" w:cs="Times New Roman"/>
          <w:i/>
          <w:iCs/>
          <w:lang w:val="it-IT"/>
        </w:rPr>
        <w:t>Sul “Correttivo” al Codice dei contratti pubblici. Ovvero sulle tensioni tra politica e tecnica, tra potere e contratto</w:t>
      </w:r>
      <w:r w:rsidRPr="00437D8C">
        <w:rPr>
          <w:rFonts w:ascii="Times New Roman" w:hAnsi="Times New Roman" w:cs="Times New Roman"/>
          <w:lang w:val="it-IT"/>
        </w:rPr>
        <w:t>, in</w:t>
      </w:r>
      <w:r w:rsidRPr="00437D8C">
        <w:rPr>
          <w:rFonts w:ascii="Times New Roman" w:hAnsi="Times New Roman" w:cs="Times New Roman"/>
          <w:i/>
          <w:iCs/>
          <w:lang w:val="it-IT"/>
        </w:rPr>
        <w:t xml:space="preserve"> </w:t>
      </w:r>
      <w:proofErr w:type="spellStart"/>
      <w:r w:rsidRPr="00437D8C">
        <w:rPr>
          <w:rFonts w:ascii="Times New Roman" w:hAnsi="Times New Roman" w:cs="Times New Roman"/>
          <w:i/>
          <w:iCs/>
          <w:lang w:val="it-IT"/>
        </w:rPr>
        <w:t>Urb</w:t>
      </w:r>
      <w:proofErr w:type="spellEnd"/>
      <w:r w:rsidRPr="00437D8C">
        <w:rPr>
          <w:rFonts w:ascii="Times New Roman" w:hAnsi="Times New Roman" w:cs="Times New Roman"/>
          <w:i/>
          <w:iCs/>
          <w:lang w:val="it-IT"/>
        </w:rPr>
        <w:t>. e app</w:t>
      </w:r>
      <w:r w:rsidRPr="00437D8C">
        <w:rPr>
          <w:rFonts w:ascii="Times New Roman" w:hAnsi="Times New Roman" w:cs="Times New Roman"/>
          <w:lang w:val="it-IT"/>
        </w:rPr>
        <w:t xml:space="preserve">., n. 1/2025, pagg. 5 e segg.; </w:t>
      </w:r>
      <w:r w:rsidRPr="00437D8C">
        <w:rPr>
          <w:rFonts w:ascii="Times New Roman" w:hAnsi="Times New Roman" w:cs="Times New Roman"/>
          <w:smallCaps/>
          <w:lang w:val="it-IT"/>
        </w:rPr>
        <w:t>G. Taglianetti</w:t>
      </w:r>
      <w:r w:rsidRPr="00437D8C">
        <w:rPr>
          <w:rFonts w:ascii="Times New Roman" w:hAnsi="Times New Roman" w:cs="Times New Roman"/>
          <w:lang w:val="it-IT"/>
        </w:rPr>
        <w:t xml:space="preserve">, </w:t>
      </w:r>
      <w:r w:rsidRPr="00437D8C">
        <w:rPr>
          <w:rFonts w:ascii="Times New Roman" w:hAnsi="Times New Roman" w:cs="Times New Roman"/>
          <w:i/>
          <w:iCs/>
          <w:lang w:val="it-IT"/>
        </w:rPr>
        <w:t>Processo amministrativo e principio del risultato</w:t>
      </w:r>
      <w:r w:rsidRPr="00437D8C">
        <w:rPr>
          <w:rFonts w:ascii="Times New Roman" w:hAnsi="Times New Roman" w:cs="Times New Roman"/>
          <w:lang w:val="it-IT"/>
        </w:rPr>
        <w:t>, in</w:t>
      </w:r>
      <w:r w:rsidRPr="00437D8C">
        <w:rPr>
          <w:rFonts w:ascii="Times New Roman" w:hAnsi="Times New Roman" w:cs="Times New Roman"/>
          <w:i/>
          <w:iCs/>
          <w:lang w:val="it-IT"/>
        </w:rPr>
        <w:t xml:space="preserve"> Dir. proc. </w:t>
      </w:r>
      <w:proofErr w:type="spellStart"/>
      <w:r w:rsidRPr="00437D8C">
        <w:rPr>
          <w:rFonts w:ascii="Times New Roman" w:hAnsi="Times New Roman" w:cs="Times New Roman"/>
          <w:i/>
          <w:iCs/>
          <w:lang w:val="it-IT"/>
        </w:rPr>
        <w:t>amm</w:t>
      </w:r>
      <w:proofErr w:type="spellEnd"/>
      <w:r w:rsidRPr="00437D8C">
        <w:rPr>
          <w:rFonts w:ascii="Times New Roman" w:hAnsi="Times New Roman" w:cs="Times New Roman"/>
          <w:lang w:val="it-IT"/>
        </w:rPr>
        <w:t xml:space="preserve">., n. 3/2025, pagg. 511 e segg.; </w:t>
      </w:r>
      <w:r w:rsidRPr="00437D8C">
        <w:rPr>
          <w:rFonts w:ascii="Times New Roman" w:hAnsi="Times New Roman" w:cs="Times New Roman"/>
          <w:smallCaps/>
          <w:lang w:val="it-IT"/>
        </w:rPr>
        <w:t>E. Guarnieri</w:t>
      </w:r>
      <w:r w:rsidRPr="00437D8C">
        <w:rPr>
          <w:rFonts w:ascii="Times New Roman" w:hAnsi="Times New Roman" w:cs="Times New Roman"/>
          <w:lang w:val="it-IT"/>
        </w:rPr>
        <w:t xml:space="preserve">, </w:t>
      </w:r>
      <w:r w:rsidRPr="00437D8C">
        <w:rPr>
          <w:rFonts w:ascii="Times New Roman" w:hAnsi="Times New Roman" w:cs="Times New Roman"/>
          <w:i/>
          <w:iCs/>
          <w:lang w:val="it-IT"/>
        </w:rPr>
        <w:t>Il principio di risultato nei contratti pubblici: alcune possibili applicazioni, tra continuità e innovazioni</w:t>
      </w:r>
      <w:r w:rsidRPr="00437D8C">
        <w:rPr>
          <w:rFonts w:ascii="Times New Roman" w:hAnsi="Times New Roman" w:cs="Times New Roman"/>
          <w:lang w:val="it-IT"/>
        </w:rPr>
        <w:t>, in</w:t>
      </w:r>
      <w:r w:rsidRPr="00437D8C">
        <w:rPr>
          <w:rFonts w:ascii="Times New Roman" w:hAnsi="Times New Roman" w:cs="Times New Roman"/>
          <w:i/>
          <w:iCs/>
          <w:lang w:val="it-IT"/>
        </w:rPr>
        <w:t xml:space="preserve"> Dir. </w:t>
      </w:r>
      <w:proofErr w:type="spellStart"/>
      <w:r w:rsidRPr="00437D8C">
        <w:rPr>
          <w:rFonts w:ascii="Times New Roman" w:hAnsi="Times New Roman" w:cs="Times New Roman"/>
          <w:i/>
          <w:iCs/>
          <w:lang w:val="it-IT"/>
        </w:rPr>
        <w:t>Amm</w:t>
      </w:r>
      <w:proofErr w:type="spellEnd"/>
      <w:r w:rsidRPr="00437D8C">
        <w:rPr>
          <w:rFonts w:ascii="Times New Roman" w:hAnsi="Times New Roman" w:cs="Times New Roman"/>
          <w:lang w:val="it-IT"/>
        </w:rPr>
        <w:t xml:space="preserve">., 4/2023, pagg. 829 e segg.; </w:t>
      </w:r>
      <w:r w:rsidRPr="00437D8C">
        <w:rPr>
          <w:rFonts w:ascii="Times New Roman" w:hAnsi="Times New Roman" w:cs="Times New Roman"/>
          <w:smallCaps/>
          <w:lang w:val="it-IT"/>
        </w:rPr>
        <w:t>M. Cafagno</w:t>
      </w:r>
      <w:r w:rsidRPr="00437D8C">
        <w:rPr>
          <w:rFonts w:ascii="Times New Roman" w:hAnsi="Times New Roman" w:cs="Times New Roman"/>
          <w:lang w:val="it-IT"/>
        </w:rPr>
        <w:t xml:space="preserve">, </w:t>
      </w:r>
      <w:r w:rsidRPr="00437D8C">
        <w:rPr>
          <w:rFonts w:ascii="Times New Roman" w:hAnsi="Times New Roman" w:cs="Times New Roman"/>
          <w:i/>
          <w:iCs/>
          <w:lang w:val="it-IT"/>
        </w:rPr>
        <w:t>Principio di risultato e procedure di affidamento delle concessioni amministrative</w:t>
      </w:r>
      <w:r w:rsidRPr="00437D8C">
        <w:rPr>
          <w:rFonts w:ascii="Times New Roman" w:hAnsi="Times New Roman" w:cs="Times New Roman"/>
          <w:lang w:val="it-IT"/>
        </w:rPr>
        <w:t>, in</w:t>
      </w:r>
      <w:r w:rsidRPr="00437D8C">
        <w:rPr>
          <w:rFonts w:ascii="Times New Roman" w:hAnsi="Times New Roman" w:cs="Times New Roman"/>
          <w:i/>
          <w:iCs/>
          <w:lang w:val="it-IT"/>
        </w:rPr>
        <w:t xml:space="preserve"> Riv. </w:t>
      </w:r>
      <w:proofErr w:type="spellStart"/>
      <w:r w:rsidRPr="00437D8C">
        <w:rPr>
          <w:rFonts w:ascii="Times New Roman" w:hAnsi="Times New Roman" w:cs="Times New Roman"/>
          <w:i/>
          <w:iCs/>
          <w:lang w:val="it-IT"/>
        </w:rPr>
        <w:t>it</w:t>
      </w:r>
      <w:proofErr w:type="spellEnd"/>
      <w:r w:rsidRPr="00437D8C">
        <w:rPr>
          <w:rFonts w:ascii="Times New Roman" w:hAnsi="Times New Roman" w:cs="Times New Roman"/>
          <w:i/>
          <w:iCs/>
          <w:lang w:val="it-IT"/>
        </w:rPr>
        <w:t xml:space="preserve">. dir. pubbl. </w:t>
      </w:r>
      <w:proofErr w:type="spellStart"/>
      <w:r w:rsidRPr="00437D8C">
        <w:rPr>
          <w:rFonts w:ascii="Times New Roman" w:hAnsi="Times New Roman" w:cs="Times New Roman"/>
          <w:i/>
          <w:iCs/>
          <w:lang w:val="it-IT"/>
        </w:rPr>
        <w:t>comunit</w:t>
      </w:r>
      <w:proofErr w:type="spellEnd"/>
      <w:r w:rsidRPr="00437D8C">
        <w:rPr>
          <w:rFonts w:ascii="Times New Roman" w:hAnsi="Times New Roman" w:cs="Times New Roman"/>
          <w:lang w:val="it-IT"/>
        </w:rPr>
        <w:t>., n. 2/2024, pagg. 217 e segg.</w:t>
      </w:r>
      <w:r w:rsidR="00EC3F5F" w:rsidRPr="00437D8C">
        <w:rPr>
          <w:rFonts w:ascii="Times New Roman" w:hAnsi="Times New Roman" w:cs="Times New Roman"/>
          <w:lang w:val="it-IT"/>
        </w:rPr>
        <w:t xml:space="preserve">; </w:t>
      </w:r>
      <w:r w:rsidR="00EC3F5F" w:rsidRPr="00437D8C">
        <w:rPr>
          <w:rFonts w:ascii="Times New Roman" w:hAnsi="Times New Roman" w:cs="Times New Roman"/>
          <w:smallCaps/>
          <w:lang w:val="it-IT"/>
        </w:rPr>
        <w:t>M.R. Spasiano</w:t>
      </w:r>
      <w:r w:rsidR="00EC3F5F" w:rsidRPr="00437D8C">
        <w:rPr>
          <w:rFonts w:ascii="Times New Roman" w:hAnsi="Times New Roman" w:cs="Times New Roman"/>
          <w:lang w:val="it-IT"/>
        </w:rPr>
        <w:t xml:space="preserve">, </w:t>
      </w:r>
      <w:r w:rsidR="00EC3F5F" w:rsidRPr="00437D8C">
        <w:rPr>
          <w:rFonts w:ascii="Times New Roman" w:hAnsi="Times New Roman" w:cs="Times New Roman"/>
          <w:i/>
          <w:iCs/>
          <w:lang w:val="it-IT"/>
        </w:rPr>
        <w:t>La codificazione dei princìpi del codice dei contratti pubblici e il principio del risultato</w:t>
      </w:r>
      <w:r w:rsidR="00EC3F5F" w:rsidRPr="00437D8C">
        <w:rPr>
          <w:rFonts w:ascii="Times New Roman" w:hAnsi="Times New Roman" w:cs="Times New Roman"/>
          <w:lang w:val="it-IT"/>
        </w:rPr>
        <w:t>, in</w:t>
      </w:r>
      <w:r w:rsidR="00EC3F5F" w:rsidRPr="00437D8C">
        <w:rPr>
          <w:rFonts w:ascii="Times New Roman" w:hAnsi="Times New Roman" w:cs="Times New Roman"/>
          <w:i/>
          <w:iCs/>
          <w:lang w:val="it-IT"/>
        </w:rPr>
        <w:t xml:space="preserve"> Lezione di diritto dei contratti pubblici</w:t>
      </w:r>
      <w:r w:rsidR="00EC3F5F" w:rsidRPr="00437D8C">
        <w:rPr>
          <w:rFonts w:ascii="Times New Roman" w:hAnsi="Times New Roman" w:cs="Times New Roman"/>
          <w:lang w:val="it-IT"/>
        </w:rPr>
        <w:t>, cit., pagg. 15 e segg.</w:t>
      </w:r>
      <w:r w:rsidRPr="00437D8C">
        <w:rPr>
          <w:rFonts w:ascii="Times New Roman" w:hAnsi="Times New Roman" w:cs="Times New Roman"/>
          <w:lang w:val="it-IT"/>
        </w:rPr>
        <w:t xml:space="preserve"> </w:t>
      </w:r>
    </w:p>
    <w:p w14:paraId="186074E9" w14:textId="5735653F" w:rsidR="00F71441" w:rsidRPr="00437D8C" w:rsidRDefault="00F71441"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 xml:space="preserve"> </w:t>
      </w:r>
    </w:p>
  </w:footnote>
  <w:footnote w:id="12">
    <w:p w14:paraId="4771D680" w14:textId="77777777" w:rsidR="00F71441"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bookmarkStart w:id="0" w:name="_Hlk222674661"/>
      <w:r w:rsidRPr="00437D8C">
        <w:rPr>
          <w:rFonts w:ascii="Times New Roman" w:hAnsi="Times New Roman" w:cs="Times New Roman"/>
          <w:smallCaps/>
          <w:lang w:val="it-IT"/>
        </w:rPr>
        <w:t>G. Tropea</w:t>
      </w:r>
      <w:r w:rsidRPr="00437D8C">
        <w:rPr>
          <w:rFonts w:ascii="Times New Roman" w:hAnsi="Times New Roman" w:cs="Times New Roman"/>
          <w:lang w:val="it-IT"/>
        </w:rPr>
        <w:t xml:space="preserve">, </w:t>
      </w:r>
      <w:r w:rsidRPr="00437D8C">
        <w:rPr>
          <w:rFonts w:ascii="Times New Roman" w:hAnsi="Times New Roman" w:cs="Times New Roman"/>
          <w:i/>
          <w:iCs/>
          <w:lang w:val="it-IT"/>
        </w:rPr>
        <w:t>I principi del risultato, della fiducia, della buona fede e dell’affidamento in alcune interpretazioni recenti</w:t>
      </w:r>
      <w:r w:rsidRPr="00437D8C">
        <w:rPr>
          <w:rFonts w:ascii="Times New Roman" w:hAnsi="Times New Roman" w:cs="Times New Roman"/>
          <w:lang w:val="it-IT"/>
        </w:rPr>
        <w:t>, in</w:t>
      </w:r>
      <w:r w:rsidRPr="00437D8C">
        <w:rPr>
          <w:rFonts w:ascii="Times New Roman" w:hAnsi="Times New Roman" w:cs="Times New Roman"/>
          <w:i/>
          <w:iCs/>
          <w:lang w:val="it-IT"/>
        </w:rPr>
        <w:t xml:space="preserve"> </w:t>
      </w:r>
      <w:proofErr w:type="spellStart"/>
      <w:r w:rsidRPr="00437D8C">
        <w:rPr>
          <w:rFonts w:ascii="Times New Roman" w:hAnsi="Times New Roman" w:cs="Times New Roman"/>
          <w:i/>
          <w:iCs/>
          <w:lang w:val="it-IT"/>
        </w:rPr>
        <w:t>Munus</w:t>
      </w:r>
      <w:proofErr w:type="spellEnd"/>
      <w:r w:rsidRPr="00437D8C">
        <w:rPr>
          <w:rFonts w:ascii="Times New Roman" w:hAnsi="Times New Roman" w:cs="Times New Roman"/>
          <w:lang w:val="it-IT"/>
        </w:rPr>
        <w:t>, Rivista giuridica dei servizi pubblici, n. 2/2024.</w:t>
      </w:r>
    </w:p>
    <w:bookmarkEnd w:id="0"/>
    <w:p w14:paraId="753ECDC1" w14:textId="77777777" w:rsidR="00F71441" w:rsidRPr="00437D8C" w:rsidRDefault="00F71441" w:rsidP="00437D8C">
      <w:pPr>
        <w:pStyle w:val="Testonotaapidipagina"/>
        <w:jc w:val="both"/>
        <w:rPr>
          <w:rFonts w:ascii="Times New Roman" w:hAnsi="Times New Roman" w:cs="Times New Roman"/>
          <w:lang w:val="it-IT"/>
        </w:rPr>
      </w:pPr>
    </w:p>
  </w:footnote>
  <w:footnote w:id="13">
    <w:p w14:paraId="05685C7A" w14:textId="77777777" w:rsidR="00F71441"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G. Tropea</w:t>
      </w:r>
      <w:r w:rsidRPr="00437D8C">
        <w:rPr>
          <w:rFonts w:ascii="Times New Roman" w:hAnsi="Times New Roman" w:cs="Times New Roman"/>
          <w:lang w:val="it-IT"/>
        </w:rPr>
        <w:t xml:space="preserve">, </w:t>
      </w:r>
      <w:r w:rsidRPr="00437D8C">
        <w:rPr>
          <w:rFonts w:ascii="Times New Roman" w:hAnsi="Times New Roman" w:cs="Times New Roman"/>
          <w:i/>
          <w:iCs/>
          <w:lang w:val="it-IT"/>
        </w:rPr>
        <w:t>I principi del risultato, della fiducia, della buona fede e dell’affidamento in alcune interpretazioni recenti</w:t>
      </w:r>
      <w:r w:rsidRPr="00437D8C">
        <w:rPr>
          <w:rFonts w:ascii="Times New Roman" w:hAnsi="Times New Roman" w:cs="Times New Roman"/>
          <w:lang w:val="it-IT"/>
        </w:rPr>
        <w:t>, cit.: “la sentenza da ultimo richiamata del Consiglio di Stato, n. 4701/2024, pare andare in altro senso, me a me pare che resti comunque immanente il rischio che, poiché i principi che dovrebbero ordinare la materia sono (non occasionalmente) potenzialmente in conflitto tra loro, l’applicazione amministrativa e la stessa giurisprudenza divengono insufficientemente prevedibili e facilmente nascondano, sotto l’evocazione generica di principi non adeguatamente dedotti, operazioni interpretative sostanzialmente immotivate, equitative, soggettive”.</w:t>
      </w:r>
    </w:p>
    <w:p w14:paraId="0FB07570" w14:textId="77777777" w:rsidR="00F71441" w:rsidRPr="00437D8C" w:rsidRDefault="00F71441" w:rsidP="00437D8C">
      <w:pPr>
        <w:pStyle w:val="Testonotaapidipagina"/>
        <w:jc w:val="both"/>
        <w:rPr>
          <w:rFonts w:ascii="Times New Roman" w:hAnsi="Times New Roman" w:cs="Times New Roman"/>
          <w:lang w:val="it-IT"/>
        </w:rPr>
      </w:pPr>
    </w:p>
  </w:footnote>
  <w:footnote w:id="14">
    <w:p w14:paraId="7F95F73E" w14:textId="77777777" w:rsidR="00F71441" w:rsidRPr="00437D8C" w:rsidRDefault="00F71441"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H. </w:t>
      </w:r>
      <w:r w:rsidRPr="00437D8C">
        <w:rPr>
          <w:rFonts w:ascii="Times New Roman" w:hAnsi="Times New Roman" w:cs="Times New Roman"/>
          <w:smallCaps/>
          <w:lang w:val="it-IT"/>
        </w:rPr>
        <w:t>Simonetti</w:t>
      </w:r>
      <w:r w:rsidRPr="00437D8C">
        <w:rPr>
          <w:rFonts w:ascii="Times New Roman" w:hAnsi="Times New Roman" w:cs="Times New Roman"/>
          <w:lang w:val="it-IT"/>
        </w:rPr>
        <w:t xml:space="preserve">, </w:t>
      </w:r>
      <w:r w:rsidRPr="00437D8C">
        <w:rPr>
          <w:rFonts w:ascii="Times New Roman" w:hAnsi="Times New Roman" w:cs="Times New Roman"/>
          <w:i/>
          <w:iCs/>
          <w:lang w:val="it-IT"/>
        </w:rPr>
        <w:t>Principio del risultato e gerarchia degli interessi nel nuovo codice dei contratti pubblici</w:t>
      </w:r>
      <w:r w:rsidRPr="00437D8C">
        <w:rPr>
          <w:rFonts w:ascii="Times New Roman" w:hAnsi="Times New Roman" w:cs="Times New Roman"/>
          <w:lang w:val="it-IT"/>
        </w:rPr>
        <w:t xml:space="preserve">, in </w:t>
      </w:r>
      <w:r w:rsidRPr="00437D8C">
        <w:rPr>
          <w:rFonts w:ascii="Times New Roman" w:hAnsi="Times New Roman" w:cs="Times New Roman"/>
          <w:i/>
          <w:iCs/>
          <w:lang w:val="it-IT"/>
        </w:rPr>
        <w:t>Judicium.it,</w:t>
      </w:r>
      <w:r w:rsidRPr="00437D8C">
        <w:rPr>
          <w:rFonts w:ascii="Times New Roman" w:hAnsi="Times New Roman" w:cs="Times New Roman"/>
          <w:lang w:val="it-IT"/>
        </w:rPr>
        <w:t xml:space="preserve"> 12 settembre 2023: “è tuttavia possibile che, per una non infrequente eterogenesi dei fini, la declinazione del principio del risultato finisca invece, all’opposto, per ampliare il perimetro del sindacato giurisdizionale, piuttosto che diminuirlo. Da oggi, infatti, la corsa al risultato, in termini di rapidità ma anche di qualità dell’opera, del servizio o della fornitura, potrà tante volte essere invocata anche dai privati, con la conseguenza di far transitare nell’area della legittimità, e quindi della </w:t>
      </w:r>
      <w:proofErr w:type="spellStart"/>
      <w:r w:rsidRPr="00437D8C">
        <w:rPr>
          <w:rFonts w:ascii="Times New Roman" w:hAnsi="Times New Roman" w:cs="Times New Roman"/>
          <w:lang w:val="it-IT"/>
        </w:rPr>
        <w:t>giustiziabilità</w:t>
      </w:r>
      <w:proofErr w:type="spellEnd"/>
      <w:r w:rsidRPr="00437D8C">
        <w:rPr>
          <w:rFonts w:ascii="Times New Roman" w:hAnsi="Times New Roman" w:cs="Times New Roman"/>
          <w:lang w:val="it-IT"/>
        </w:rPr>
        <w:t xml:space="preserve">, opzioni e scelte che sinora si pensava attenessero al merito e fossero come tali insindacabili”.  </w:t>
      </w:r>
    </w:p>
    <w:p w14:paraId="373AF026" w14:textId="77777777" w:rsidR="00F71441" w:rsidRPr="00437D8C" w:rsidRDefault="00F71441" w:rsidP="00437D8C">
      <w:pPr>
        <w:pStyle w:val="Testonotaapidipagina"/>
        <w:jc w:val="both"/>
        <w:rPr>
          <w:rFonts w:ascii="Times New Roman" w:hAnsi="Times New Roman" w:cs="Times New Roman"/>
          <w:lang w:val="it-IT"/>
        </w:rPr>
      </w:pPr>
    </w:p>
  </w:footnote>
  <w:footnote w:id="15">
    <w:p w14:paraId="22D399B1" w14:textId="2C0BA44F" w:rsidR="00EC3F5F" w:rsidRPr="00437D8C" w:rsidRDefault="00EC3F5F"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F. de Leonardis</w:t>
      </w:r>
      <w:r w:rsidRPr="00437D8C">
        <w:rPr>
          <w:rFonts w:ascii="Times New Roman" w:hAnsi="Times New Roman" w:cs="Times New Roman"/>
          <w:lang w:val="it-IT"/>
        </w:rPr>
        <w:t xml:space="preserve">, </w:t>
      </w:r>
      <w:r w:rsidRPr="00437D8C">
        <w:rPr>
          <w:rFonts w:ascii="Times New Roman" w:hAnsi="Times New Roman" w:cs="Times New Roman"/>
          <w:i/>
          <w:iCs/>
          <w:lang w:val="it-IT"/>
        </w:rPr>
        <w:t>La contrattazione pubblica verde tra vecchio e nuovo codice dei contratti pubblici</w:t>
      </w:r>
      <w:r w:rsidRPr="00437D8C">
        <w:rPr>
          <w:rFonts w:ascii="Times New Roman" w:hAnsi="Times New Roman" w:cs="Times New Roman"/>
          <w:lang w:val="it-IT"/>
        </w:rPr>
        <w:t>, cit., pag. 594: “il principio del risultato costituisce un parametro attraverso il quale le amministrazioni, nell’affidamento dei contratti, perseguono obiettivi di interesse pubblico quali quelli connessi con la tutela dell’ambiente e lo sviluppo sostenibile”.</w:t>
      </w:r>
    </w:p>
  </w:footnote>
  <w:footnote w:id="16">
    <w:p w14:paraId="742BDA57" w14:textId="4748B95C" w:rsidR="00802A24" w:rsidRPr="00437D8C" w:rsidRDefault="00802A24"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V Sezione, 10 gennaio 2024, n. 334, “come rilevato da questa sezione (3 febbraio 2021, n. 972), le disposizioni in materia di CAM, "lungi dal risolversi in mere norme programmatiche, costituiscono in realtà obblighi immediatamente cogenti per le stazioni appaltanti, come si desume plasticamente dal terzo comma dell'art. 34, il quale sancisce che "L'obbligo di cui ai commi 1 e 2 si applica per gli affidamenti di qualunque importo, relativamente alle categorie di forniture e di affidamenti di servizi e lavori oggetto dei criteri ambientali minimi adottati nell'ambito del citato Piano d'azione"" e che "la politica nazionale in materia di appalti pubblici verdi sia incisiva non solo nell'obiettivo di ridurre gli impatti ambientali, ma nell'obiettivo di promuovere modelli di produzione e consumo più sostenibili, "circolari" e nel diffondere l'occupazione "verde"" (Consiglio di Stato, Sezione V, 5 agosto 2022, n. 6934)”.</w:t>
      </w:r>
    </w:p>
    <w:p w14:paraId="433EC50A" w14:textId="77777777" w:rsidR="00802A24" w:rsidRPr="00437D8C" w:rsidRDefault="00802A24" w:rsidP="00437D8C">
      <w:pPr>
        <w:pStyle w:val="Testonotaapidipagina"/>
        <w:jc w:val="both"/>
        <w:rPr>
          <w:rFonts w:ascii="Times New Roman" w:hAnsi="Times New Roman" w:cs="Times New Roman"/>
          <w:lang w:val="it-IT"/>
        </w:rPr>
      </w:pPr>
    </w:p>
  </w:footnote>
  <w:footnote w:id="17">
    <w:p w14:paraId="7E40A605" w14:textId="28439CEA" w:rsidR="008366D2" w:rsidRPr="00437D8C" w:rsidRDefault="008366D2"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sez. III, sentenza n. 7898/2025: “Risulta pertanto maggiormente compatibile con la matrice garantista del diritto ammnistrativo la ricostruzione secondo la quale siffatti princìpi traducono nella materia contrattuale, per orientare l’attività discrezionale dell’amministrazione nell’adozione dei relativi provvedimenti, i princìpi costituzionali e i princìpi generali dell’attività amministrativa già presenti nel sistema, senza alterazione alcuna dei tratti del sindacato giurisdizionale e, prima ancora, della categoria dell’invalidità intesa come contrarietà al parametro normativo tale da provocare una lesione dell’interesse da questo protetto”.</w:t>
      </w:r>
    </w:p>
    <w:p w14:paraId="36DD5AA8" w14:textId="77777777" w:rsidR="008366D2" w:rsidRPr="00437D8C" w:rsidRDefault="008366D2" w:rsidP="00437D8C">
      <w:pPr>
        <w:pStyle w:val="Testonotaapidipagina"/>
        <w:jc w:val="both"/>
        <w:rPr>
          <w:rFonts w:ascii="Times New Roman" w:hAnsi="Times New Roman" w:cs="Times New Roman"/>
          <w:lang w:val="it-IT"/>
        </w:rPr>
      </w:pPr>
    </w:p>
  </w:footnote>
  <w:footnote w:id="18">
    <w:p w14:paraId="45064709" w14:textId="11A122C5" w:rsidR="003D30C6" w:rsidRPr="00437D8C" w:rsidRDefault="003D30C6"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La citata sentenza 7898/2025 ha in proposito indicato i possibili rischi di un simile atteggiamento: “deve poi rilevarsi come in dottrina siano stati indicati, come possibili rischi (non necessariamente opposti) della c.d. “</w:t>
      </w:r>
      <w:proofErr w:type="spellStart"/>
      <w:r w:rsidRPr="00437D8C">
        <w:rPr>
          <w:rFonts w:ascii="Times New Roman" w:hAnsi="Times New Roman" w:cs="Times New Roman"/>
          <w:lang w:val="it-IT"/>
        </w:rPr>
        <w:t>principializzazione</w:t>
      </w:r>
      <w:proofErr w:type="spellEnd"/>
      <w:r w:rsidRPr="00437D8C">
        <w:rPr>
          <w:rFonts w:ascii="Times New Roman" w:hAnsi="Times New Roman" w:cs="Times New Roman"/>
          <w:lang w:val="it-IT"/>
        </w:rPr>
        <w:t>” introdotta (secondo una logica neo-</w:t>
      </w:r>
      <w:proofErr w:type="spellStart"/>
      <w:r w:rsidRPr="00437D8C">
        <w:rPr>
          <w:rFonts w:ascii="Times New Roman" w:hAnsi="Times New Roman" w:cs="Times New Roman"/>
          <w:lang w:val="it-IT"/>
        </w:rPr>
        <w:t>contabilistica</w:t>
      </w:r>
      <w:proofErr w:type="spellEnd"/>
      <w:r w:rsidRPr="00437D8C">
        <w:rPr>
          <w:rFonts w:ascii="Times New Roman" w:hAnsi="Times New Roman" w:cs="Times New Roman"/>
          <w:lang w:val="it-IT"/>
        </w:rPr>
        <w:t>, o addirittura di conservazione del contratto) dal vigente codice dei contratti pubblici, sia quello di una possibile limitazione del sindacato giurisdizionale sugli atti del procedimento di evidenza pubblica (che, a tacer d’altro, porrebbe seri problemi di compatibilità con il diritto dell’U.E.); sia quello della formazione di un diritto pretorio fondato proprio su categorie come risultato, fiducia e buona fede, tale da creare una possibile frizione con l’esigenza di certezza del diritto”.</w:t>
      </w:r>
    </w:p>
    <w:p w14:paraId="6A6C6BB9" w14:textId="77777777" w:rsidR="007B4847" w:rsidRPr="00437D8C" w:rsidRDefault="007B4847" w:rsidP="00437D8C">
      <w:pPr>
        <w:pStyle w:val="Testonotaapidipagina"/>
        <w:jc w:val="both"/>
        <w:rPr>
          <w:rFonts w:ascii="Times New Roman" w:hAnsi="Times New Roman" w:cs="Times New Roman"/>
          <w:lang w:val="it-IT"/>
        </w:rPr>
      </w:pPr>
    </w:p>
  </w:footnote>
  <w:footnote w:id="19">
    <w:p w14:paraId="01CB1957" w14:textId="006F6B96" w:rsidR="007B4847" w:rsidRPr="00437D8C" w:rsidRDefault="007B4847"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A. Mazza</w:t>
      </w:r>
      <w:r w:rsidRPr="00437D8C">
        <w:rPr>
          <w:rFonts w:ascii="Times New Roman" w:hAnsi="Times New Roman" w:cs="Times New Roman"/>
          <w:lang w:val="it-IT"/>
        </w:rPr>
        <w:t xml:space="preserve">, </w:t>
      </w:r>
      <w:r w:rsidRPr="00437D8C">
        <w:rPr>
          <w:rFonts w:ascii="Times New Roman" w:hAnsi="Times New Roman" w:cs="Times New Roman"/>
          <w:i/>
          <w:iCs/>
          <w:lang w:val="it-IT"/>
        </w:rPr>
        <w:t xml:space="preserve">Il difficile equilibrio tra i principi di risultato, </w:t>
      </w:r>
      <w:proofErr w:type="spellStart"/>
      <w:r w:rsidRPr="00437D8C">
        <w:rPr>
          <w:rFonts w:ascii="Times New Roman" w:hAnsi="Times New Roman" w:cs="Times New Roman"/>
          <w:i/>
          <w:iCs/>
          <w:lang w:val="it-IT"/>
        </w:rPr>
        <w:t>legalita</w:t>
      </w:r>
      <w:proofErr w:type="spellEnd"/>
      <w:r w:rsidRPr="00437D8C">
        <w:rPr>
          <w:rFonts w:ascii="Times New Roman" w:hAnsi="Times New Roman" w:cs="Times New Roman"/>
          <w:i/>
          <w:iCs/>
          <w:lang w:val="it-IT"/>
        </w:rPr>
        <w:t>`, concorrenza e autoresponsabilità</w:t>
      </w:r>
      <w:r w:rsidRPr="00437D8C">
        <w:rPr>
          <w:rFonts w:ascii="Times New Roman" w:hAnsi="Times New Roman" w:cs="Times New Roman"/>
          <w:lang w:val="it-IT"/>
        </w:rPr>
        <w:t>, in</w:t>
      </w:r>
      <w:r w:rsidRPr="00437D8C">
        <w:rPr>
          <w:rFonts w:ascii="Times New Roman" w:hAnsi="Times New Roman" w:cs="Times New Roman"/>
          <w:i/>
          <w:iCs/>
          <w:lang w:val="it-IT"/>
        </w:rPr>
        <w:t xml:space="preserve"> Giur </w:t>
      </w:r>
      <w:proofErr w:type="spellStart"/>
      <w:r w:rsidRPr="00437D8C">
        <w:rPr>
          <w:rFonts w:ascii="Times New Roman" w:hAnsi="Times New Roman" w:cs="Times New Roman"/>
          <w:i/>
          <w:iCs/>
          <w:lang w:val="it-IT"/>
        </w:rPr>
        <w:t>It</w:t>
      </w:r>
      <w:proofErr w:type="spellEnd"/>
      <w:r w:rsidRPr="00437D8C">
        <w:rPr>
          <w:rFonts w:ascii="Times New Roman" w:hAnsi="Times New Roman" w:cs="Times New Roman"/>
          <w:lang w:val="it-IT"/>
        </w:rPr>
        <w:t xml:space="preserve">., n. 1/2025, pagg. 146 e segg.: “con tutti questi principi da contemperare – i </w:t>
      </w:r>
      <w:proofErr w:type="spellStart"/>
      <w:r w:rsidRPr="00437D8C">
        <w:rPr>
          <w:rFonts w:ascii="Times New Roman" w:hAnsi="Times New Roman" w:cs="Times New Roman"/>
          <w:lang w:val="it-IT"/>
        </w:rPr>
        <w:t>superprincipi</w:t>
      </w:r>
      <w:proofErr w:type="spellEnd"/>
      <w:r w:rsidRPr="00437D8C">
        <w:rPr>
          <w:rFonts w:ascii="Times New Roman" w:hAnsi="Times New Roman" w:cs="Times New Roman"/>
          <w:lang w:val="it-IT"/>
        </w:rPr>
        <w:t xml:space="preserve"> interpretativi di risultato, di fiducia e di accesso al mercato, nel rispetto dei principi di </w:t>
      </w:r>
      <w:proofErr w:type="spellStart"/>
      <w:r w:rsidRPr="00437D8C">
        <w:rPr>
          <w:rFonts w:ascii="Times New Roman" w:hAnsi="Times New Roman" w:cs="Times New Roman"/>
          <w:lang w:val="it-IT"/>
        </w:rPr>
        <w:t>legalita`</w:t>
      </w:r>
      <w:proofErr w:type="spellEnd"/>
      <w:r w:rsidRPr="00437D8C">
        <w:rPr>
          <w:rFonts w:ascii="Times New Roman" w:hAnsi="Times New Roman" w:cs="Times New Roman"/>
          <w:lang w:val="it-IT"/>
        </w:rPr>
        <w:t xml:space="preserve"> , trasparenza, concorrenza, </w:t>
      </w:r>
      <w:proofErr w:type="spellStart"/>
      <w:r w:rsidRPr="00437D8C">
        <w:rPr>
          <w:rFonts w:ascii="Times New Roman" w:hAnsi="Times New Roman" w:cs="Times New Roman"/>
          <w:lang w:val="it-IT"/>
        </w:rPr>
        <w:t>pubblicita`</w:t>
      </w:r>
      <w:proofErr w:type="spellEnd"/>
      <w:r w:rsidRPr="00437D8C">
        <w:rPr>
          <w:rFonts w:ascii="Times New Roman" w:hAnsi="Times New Roman" w:cs="Times New Roman"/>
          <w:lang w:val="it-IT"/>
        </w:rPr>
        <w:t xml:space="preserve"> , </w:t>
      </w:r>
      <w:proofErr w:type="spellStart"/>
      <w:r w:rsidRPr="00437D8C">
        <w:rPr>
          <w:rFonts w:ascii="Times New Roman" w:hAnsi="Times New Roman" w:cs="Times New Roman"/>
          <w:lang w:val="it-IT"/>
        </w:rPr>
        <w:t>imparzialita`</w:t>
      </w:r>
      <w:proofErr w:type="spellEnd"/>
      <w:r w:rsidRPr="00437D8C">
        <w:rPr>
          <w:rFonts w:ascii="Times New Roman" w:hAnsi="Times New Roman" w:cs="Times New Roman"/>
          <w:lang w:val="it-IT"/>
        </w:rPr>
        <w:t xml:space="preserve"> , non discriminazione e </w:t>
      </w:r>
      <w:proofErr w:type="spellStart"/>
      <w:r w:rsidRPr="00437D8C">
        <w:rPr>
          <w:rFonts w:ascii="Times New Roman" w:hAnsi="Times New Roman" w:cs="Times New Roman"/>
          <w:lang w:val="it-IT"/>
        </w:rPr>
        <w:t>proporzionalita</w:t>
      </w:r>
      <w:proofErr w:type="spellEnd"/>
      <w:r w:rsidRPr="00437D8C">
        <w:rPr>
          <w:rFonts w:ascii="Times New Roman" w:hAnsi="Times New Roman" w:cs="Times New Roman"/>
          <w:lang w:val="it-IT"/>
        </w:rPr>
        <w:t xml:space="preserve">`, con i quali s’intrecciano il principio tradizionale </w:t>
      </w:r>
      <w:proofErr w:type="spellStart"/>
      <w:r w:rsidRPr="00437D8C">
        <w:rPr>
          <w:rFonts w:ascii="Times New Roman" w:hAnsi="Times New Roman" w:cs="Times New Roman"/>
          <w:lang w:val="it-IT"/>
        </w:rPr>
        <w:t>dell’autoresponsabilita`</w:t>
      </w:r>
      <w:proofErr w:type="spellEnd"/>
      <w:r w:rsidRPr="00437D8C">
        <w:rPr>
          <w:rFonts w:ascii="Times New Roman" w:hAnsi="Times New Roman" w:cs="Times New Roman"/>
          <w:lang w:val="it-IT"/>
        </w:rPr>
        <w:t xml:space="preserve"> e quello della leale collaborazione – viene spontanea la domanda su quale sia la sorte, all’atto pratico, di un altro principio-cardine dell’ordinamento: quello della certezza del diritto”</w:t>
      </w:r>
      <w:r w:rsidR="00046ED3" w:rsidRPr="00437D8C">
        <w:rPr>
          <w:rFonts w:ascii="Times New Roman" w:hAnsi="Times New Roman" w:cs="Times New Roman"/>
          <w:lang w:val="it-IT"/>
        </w:rPr>
        <w:t>.</w:t>
      </w:r>
    </w:p>
    <w:p w14:paraId="1EFBCDF1" w14:textId="77777777" w:rsidR="00046ED3" w:rsidRPr="00437D8C" w:rsidRDefault="00046ED3" w:rsidP="00437D8C">
      <w:pPr>
        <w:pStyle w:val="Testonotaapidipagina"/>
        <w:jc w:val="both"/>
        <w:rPr>
          <w:rFonts w:ascii="Times New Roman" w:hAnsi="Times New Roman" w:cs="Times New Roman"/>
          <w:lang w:val="it-IT"/>
        </w:rPr>
      </w:pPr>
    </w:p>
  </w:footnote>
  <w:footnote w:id="20">
    <w:p w14:paraId="44098179" w14:textId="41314C10" w:rsidR="00046ED3" w:rsidRPr="00437D8C" w:rsidRDefault="00046ED3"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A.E. Basilico</w:t>
      </w:r>
      <w:r w:rsidRPr="00437D8C">
        <w:rPr>
          <w:rFonts w:ascii="Times New Roman" w:hAnsi="Times New Roman" w:cs="Times New Roman"/>
          <w:lang w:val="it-IT"/>
        </w:rPr>
        <w:t xml:space="preserve">, </w:t>
      </w:r>
      <w:r w:rsidRPr="00437D8C">
        <w:rPr>
          <w:rFonts w:ascii="Times New Roman" w:hAnsi="Times New Roman" w:cs="Times New Roman"/>
          <w:i/>
          <w:lang w:val="it-IT"/>
        </w:rPr>
        <w:t xml:space="preserve">Le funzioni della contrattazione pubblica e il ruolo del giudice amministrativo alla luce dell’obbligo di rispettare i </w:t>
      </w:r>
      <w:proofErr w:type="spellStart"/>
      <w:r w:rsidRPr="00437D8C">
        <w:rPr>
          <w:rFonts w:ascii="Times New Roman" w:hAnsi="Times New Roman" w:cs="Times New Roman"/>
          <w:i/>
          <w:lang w:val="it-IT"/>
        </w:rPr>
        <w:t>c.a.m</w:t>
      </w:r>
      <w:proofErr w:type="spellEnd"/>
      <w:r w:rsidRPr="00437D8C">
        <w:rPr>
          <w:rFonts w:ascii="Times New Roman" w:hAnsi="Times New Roman" w:cs="Times New Roman"/>
          <w:lang w:val="it-IT"/>
        </w:rPr>
        <w:t xml:space="preserve">., cit., pag. 776: “non si può ritenere che la legge di gara richiami genericamente i </w:t>
      </w:r>
      <w:proofErr w:type="spellStart"/>
      <w:r w:rsidRPr="00437D8C">
        <w:rPr>
          <w:rFonts w:ascii="Times New Roman" w:hAnsi="Times New Roman" w:cs="Times New Roman"/>
          <w:lang w:val="it-IT"/>
        </w:rPr>
        <w:t>c.a.m</w:t>
      </w:r>
      <w:proofErr w:type="spellEnd"/>
      <w:r w:rsidRPr="00437D8C">
        <w:rPr>
          <w:rFonts w:ascii="Times New Roman" w:hAnsi="Times New Roman" w:cs="Times New Roman"/>
          <w:lang w:val="it-IT"/>
        </w:rPr>
        <w:t>. - circostanza che rappresenterebbe sì un mero formalismo, probabilmente superfluo - ma occorre che definisca in conformità a essi le clausole contrattuali e, in particolare, le specifiche tecniche della prestazione richiesta” (in argomento Consiglio di Stato, sentenza n. 4701/2024, cit.).</w:t>
      </w:r>
    </w:p>
    <w:p w14:paraId="012B8BD1" w14:textId="77777777" w:rsidR="00046ED3" w:rsidRPr="00437D8C" w:rsidRDefault="00046ED3" w:rsidP="00437D8C">
      <w:pPr>
        <w:pStyle w:val="Testonotaapidipagina"/>
        <w:jc w:val="both"/>
        <w:rPr>
          <w:rFonts w:ascii="Times New Roman" w:hAnsi="Times New Roman" w:cs="Times New Roman"/>
          <w:lang w:val="it-IT"/>
        </w:rPr>
      </w:pPr>
    </w:p>
  </w:footnote>
  <w:footnote w:id="21">
    <w:p w14:paraId="777AD56D" w14:textId="311B4A9B" w:rsidR="00046ED3" w:rsidRPr="00437D8C" w:rsidRDefault="00046ED3"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sentenza n. 4701/2024, </w:t>
      </w:r>
      <w:proofErr w:type="gramStart"/>
      <w:r w:rsidRPr="00437D8C">
        <w:rPr>
          <w:rFonts w:ascii="Times New Roman" w:hAnsi="Times New Roman" w:cs="Times New Roman"/>
          <w:lang w:val="it-IT"/>
        </w:rPr>
        <w:t>cit..</w:t>
      </w:r>
      <w:proofErr w:type="gramEnd"/>
    </w:p>
    <w:p w14:paraId="2D15BB89" w14:textId="3E5AB7B3" w:rsidR="00046ED3" w:rsidRPr="00437D8C" w:rsidRDefault="00046ED3" w:rsidP="00437D8C">
      <w:pPr>
        <w:pStyle w:val="Testonotaapidipagina"/>
        <w:jc w:val="both"/>
        <w:rPr>
          <w:rFonts w:ascii="Times New Roman" w:hAnsi="Times New Roman" w:cs="Times New Roman"/>
          <w:lang w:val="it-IT"/>
        </w:rPr>
      </w:pPr>
    </w:p>
  </w:footnote>
  <w:footnote w:id="22">
    <w:p w14:paraId="3BE221E8" w14:textId="39A7CA97" w:rsidR="00046ED3" w:rsidRPr="00437D8C" w:rsidRDefault="00046ED3"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In tal senso, commentando la richiamata sentenza n. 4701/2024 del Consiglio di Stato, </w:t>
      </w:r>
      <w:r w:rsidRPr="00437D8C">
        <w:rPr>
          <w:rFonts w:ascii="Times New Roman" w:hAnsi="Times New Roman" w:cs="Times New Roman"/>
          <w:smallCaps/>
          <w:lang w:val="it-IT"/>
        </w:rPr>
        <w:t xml:space="preserve">R. </w:t>
      </w:r>
      <w:proofErr w:type="spellStart"/>
      <w:r w:rsidRPr="00437D8C">
        <w:rPr>
          <w:rFonts w:ascii="Times New Roman" w:hAnsi="Times New Roman" w:cs="Times New Roman"/>
          <w:smallCaps/>
          <w:lang w:val="it-IT"/>
        </w:rPr>
        <w:t>Caranta</w:t>
      </w:r>
      <w:proofErr w:type="spellEnd"/>
      <w:r w:rsidRPr="00437D8C">
        <w:rPr>
          <w:rFonts w:ascii="Times New Roman" w:hAnsi="Times New Roman" w:cs="Times New Roman"/>
          <w:lang w:val="it-IT"/>
        </w:rPr>
        <w:t xml:space="preserve">, </w:t>
      </w:r>
      <w:r w:rsidRPr="00437D8C">
        <w:rPr>
          <w:rFonts w:ascii="Times New Roman" w:hAnsi="Times New Roman" w:cs="Times New Roman"/>
          <w:i/>
          <w:lang w:val="it-IT"/>
        </w:rPr>
        <w:t>Il Consiglio di Stato tiene dritta la barra sugli appalti verdi</w:t>
      </w:r>
      <w:r w:rsidRPr="00437D8C">
        <w:rPr>
          <w:rFonts w:ascii="Times New Roman" w:hAnsi="Times New Roman" w:cs="Times New Roman"/>
          <w:lang w:val="it-IT"/>
        </w:rPr>
        <w:t xml:space="preserve">), cit., osserva che “L’evoluzione normativa tracciata dalla sentenza rappresenta fedelmente i mutamenti intervenuti negli ultimi decenni nella concezione della disciplina dei contratti pubblici prima di tutto sotto l’impulso del diritto prima comunitario e dell’Unione europea poi. (….) </w:t>
      </w:r>
      <w:r w:rsidR="00F37BDB" w:rsidRPr="00437D8C">
        <w:rPr>
          <w:rFonts w:ascii="Times New Roman" w:hAnsi="Times New Roman" w:cs="Times New Roman"/>
          <w:lang w:val="it-IT"/>
        </w:rPr>
        <w:t xml:space="preserve">La nostra giurisprudenza supera </w:t>
      </w:r>
      <w:proofErr w:type="spellStart"/>
      <w:r w:rsidR="00F37BDB" w:rsidRPr="00437D8C">
        <w:rPr>
          <w:rFonts w:ascii="Times New Roman" w:hAnsi="Times New Roman" w:cs="Times New Roman"/>
          <w:lang w:val="it-IT"/>
        </w:rPr>
        <w:t>cosı</w:t>
      </w:r>
      <w:proofErr w:type="spellEnd"/>
      <w:r w:rsidR="00F37BDB" w:rsidRPr="00437D8C">
        <w:rPr>
          <w:rFonts w:ascii="Times New Roman" w:hAnsi="Times New Roman" w:cs="Times New Roman"/>
          <w:lang w:val="it-IT"/>
        </w:rPr>
        <w:t xml:space="preserve">`, nel senso appunto della </w:t>
      </w:r>
      <w:proofErr w:type="spellStart"/>
      <w:r w:rsidR="00F37BDB" w:rsidRPr="00437D8C">
        <w:rPr>
          <w:rFonts w:ascii="Times New Roman" w:hAnsi="Times New Roman" w:cs="Times New Roman"/>
          <w:lang w:val="it-IT"/>
        </w:rPr>
        <w:t>continuita</w:t>
      </w:r>
      <w:proofErr w:type="gramStart"/>
      <w:r w:rsidR="00F37BDB" w:rsidRPr="00437D8C">
        <w:rPr>
          <w:rFonts w:ascii="Times New Roman" w:hAnsi="Times New Roman" w:cs="Times New Roman"/>
          <w:lang w:val="it-IT"/>
        </w:rPr>
        <w:t>`</w:t>
      </w:r>
      <w:proofErr w:type="spellEnd"/>
      <w:r w:rsidR="00F37BDB" w:rsidRPr="00437D8C">
        <w:rPr>
          <w:rFonts w:ascii="Times New Roman" w:hAnsi="Times New Roman" w:cs="Times New Roman"/>
          <w:lang w:val="it-IT"/>
        </w:rPr>
        <w:t xml:space="preserve"> ,</w:t>
      </w:r>
      <w:proofErr w:type="gramEnd"/>
      <w:r w:rsidR="00F37BDB" w:rsidRPr="00437D8C">
        <w:rPr>
          <w:rFonts w:ascii="Times New Roman" w:hAnsi="Times New Roman" w:cs="Times New Roman"/>
          <w:lang w:val="it-IT"/>
        </w:rPr>
        <w:t xml:space="preserve"> talune incertezze che aveva determinato la disciplina del nuovo Codice dei contratti pubblici. </w:t>
      </w:r>
      <w:proofErr w:type="spellStart"/>
      <w:r w:rsidR="00F37BDB" w:rsidRPr="00437D8C">
        <w:rPr>
          <w:rFonts w:ascii="Times New Roman" w:hAnsi="Times New Roman" w:cs="Times New Roman"/>
          <w:lang w:val="it-IT"/>
        </w:rPr>
        <w:t>Cosı</w:t>
      </w:r>
      <w:proofErr w:type="spellEnd"/>
      <w:r w:rsidR="00F37BDB" w:rsidRPr="00437D8C">
        <w:rPr>
          <w:rFonts w:ascii="Times New Roman" w:hAnsi="Times New Roman" w:cs="Times New Roman"/>
          <w:lang w:val="it-IT"/>
        </w:rPr>
        <w:t xml:space="preserve">` facendo il Consiglio di Stato prepara la disciplina dei contratti pubblici all’impatto delle nuove disposizioni sui criteri obbligatori di </w:t>
      </w:r>
      <w:proofErr w:type="spellStart"/>
      <w:r w:rsidR="00F37BDB" w:rsidRPr="00437D8C">
        <w:rPr>
          <w:rFonts w:ascii="Times New Roman" w:hAnsi="Times New Roman" w:cs="Times New Roman"/>
          <w:lang w:val="it-IT"/>
        </w:rPr>
        <w:t>sostenibilita`</w:t>
      </w:r>
      <w:proofErr w:type="spellEnd"/>
      <w:r w:rsidR="00F37BDB" w:rsidRPr="00437D8C">
        <w:rPr>
          <w:rFonts w:ascii="Times New Roman" w:hAnsi="Times New Roman" w:cs="Times New Roman"/>
          <w:lang w:val="it-IT"/>
        </w:rPr>
        <w:t xml:space="preserve"> ambientale – e non solo – che vengono dai legislatori dell’Unione europea”.</w:t>
      </w:r>
    </w:p>
    <w:p w14:paraId="669EE81E" w14:textId="77777777" w:rsidR="00046ED3" w:rsidRPr="00437D8C" w:rsidRDefault="00046ED3" w:rsidP="00437D8C">
      <w:pPr>
        <w:pStyle w:val="Testonotaapidipagina"/>
        <w:jc w:val="both"/>
        <w:rPr>
          <w:rFonts w:ascii="Times New Roman" w:hAnsi="Times New Roman" w:cs="Times New Roman"/>
          <w:lang w:val="it-IT"/>
        </w:rPr>
      </w:pPr>
    </w:p>
  </w:footnote>
  <w:footnote w:id="23">
    <w:p w14:paraId="42721381" w14:textId="4D8B291F" w:rsidR="008E62CF" w:rsidRPr="00437D8C" w:rsidRDefault="008E62CF"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Pr="00437D8C">
        <w:rPr>
          <w:rFonts w:ascii="Times New Roman" w:hAnsi="Times New Roman" w:cs="Times New Roman"/>
          <w:smallCaps/>
          <w:lang w:val="it-IT"/>
        </w:rPr>
        <w:t>P. Provenzano</w:t>
      </w:r>
      <w:r w:rsidRPr="00437D8C">
        <w:rPr>
          <w:rFonts w:ascii="Times New Roman" w:hAnsi="Times New Roman" w:cs="Times New Roman"/>
          <w:lang w:val="it-IT"/>
        </w:rPr>
        <w:t xml:space="preserve">, </w:t>
      </w:r>
      <w:r w:rsidRPr="00437D8C">
        <w:rPr>
          <w:rFonts w:ascii="Times New Roman" w:hAnsi="Times New Roman" w:cs="Times New Roman"/>
          <w:i/>
          <w:lang w:val="it-IT"/>
        </w:rPr>
        <w:t>Spigolature in tema di criteri ambientali minimi</w:t>
      </w:r>
      <w:r w:rsidRPr="00437D8C">
        <w:rPr>
          <w:rFonts w:ascii="Times New Roman" w:hAnsi="Times New Roman" w:cs="Times New Roman"/>
          <w:lang w:val="it-IT"/>
        </w:rPr>
        <w:t xml:space="preserve">, in M. Immordino, N. Gullo, C. Celone (a cura di), </w:t>
      </w:r>
      <w:r w:rsidRPr="00437D8C">
        <w:rPr>
          <w:rFonts w:ascii="Times New Roman" w:hAnsi="Times New Roman" w:cs="Times New Roman"/>
          <w:i/>
          <w:lang w:val="it-IT"/>
        </w:rPr>
        <w:t xml:space="preserve">Democrazia, diritti umani e sviluppo sostenibile. Quali sfide in Italia e in Brasile? - </w:t>
      </w:r>
      <w:proofErr w:type="spellStart"/>
      <w:r w:rsidRPr="00437D8C">
        <w:rPr>
          <w:rFonts w:ascii="Times New Roman" w:hAnsi="Times New Roman" w:cs="Times New Roman"/>
          <w:i/>
          <w:lang w:val="it-IT"/>
        </w:rPr>
        <w:t>Democracia</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direitos</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humanos</w:t>
      </w:r>
      <w:proofErr w:type="spellEnd"/>
      <w:r w:rsidRPr="00437D8C">
        <w:rPr>
          <w:rFonts w:ascii="Times New Roman" w:hAnsi="Times New Roman" w:cs="Times New Roman"/>
          <w:i/>
          <w:lang w:val="it-IT"/>
        </w:rPr>
        <w:t xml:space="preserve"> e </w:t>
      </w:r>
      <w:proofErr w:type="spellStart"/>
      <w:r w:rsidRPr="00437D8C">
        <w:rPr>
          <w:rFonts w:ascii="Times New Roman" w:hAnsi="Times New Roman" w:cs="Times New Roman"/>
          <w:i/>
          <w:lang w:val="it-IT"/>
        </w:rPr>
        <w:t>desenvolvimento</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sustentável</w:t>
      </w:r>
      <w:proofErr w:type="spellEnd"/>
      <w:r w:rsidRPr="00437D8C">
        <w:rPr>
          <w:rFonts w:ascii="Times New Roman" w:hAnsi="Times New Roman" w:cs="Times New Roman"/>
          <w:i/>
          <w:lang w:val="it-IT"/>
        </w:rPr>
        <w:t xml:space="preserve">. Quais </w:t>
      </w:r>
      <w:proofErr w:type="spellStart"/>
      <w:r w:rsidRPr="00437D8C">
        <w:rPr>
          <w:rFonts w:ascii="Times New Roman" w:hAnsi="Times New Roman" w:cs="Times New Roman"/>
          <w:i/>
          <w:lang w:val="it-IT"/>
        </w:rPr>
        <w:t>os</w:t>
      </w:r>
      <w:proofErr w:type="spellEnd"/>
      <w:r w:rsidRPr="00437D8C">
        <w:rPr>
          <w:rFonts w:ascii="Times New Roman" w:hAnsi="Times New Roman" w:cs="Times New Roman"/>
          <w:i/>
          <w:lang w:val="it-IT"/>
        </w:rPr>
        <w:t xml:space="preserve"> </w:t>
      </w:r>
      <w:proofErr w:type="spellStart"/>
      <w:r w:rsidRPr="00437D8C">
        <w:rPr>
          <w:rFonts w:ascii="Times New Roman" w:hAnsi="Times New Roman" w:cs="Times New Roman"/>
          <w:i/>
          <w:lang w:val="it-IT"/>
        </w:rPr>
        <w:t>desafios</w:t>
      </w:r>
      <w:proofErr w:type="spellEnd"/>
      <w:r w:rsidRPr="00437D8C">
        <w:rPr>
          <w:rFonts w:ascii="Times New Roman" w:hAnsi="Times New Roman" w:cs="Times New Roman"/>
          <w:i/>
          <w:lang w:val="it-IT"/>
        </w:rPr>
        <w:t xml:space="preserve"> da </w:t>
      </w:r>
      <w:proofErr w:type="spellStart"/>
      <w:r w:rsidRPr="00437D8C">
        <w:rPr>
          <w:rFonts w:ascii="Times New Roman" w:hAnsi="Times New Roman" w:cs="Times New Roman"/>
          <w:i/>
          <w:lang w:val="it-IT"/>
        </w:rPr>
        <w:t>Itália</w:t>
      </w:r>
      <w:proofErr w:type="spellEnd"/>
      <w:r w:rsidRPr="00437D8C">
        <w:rPr>
          <w:rFonts w:ascii="Times New Roman" w:hAnsi="Times New Roman" w:cs="Times New Roman"/>
          <w:i/>
          <w:lang w:val="it-IT"/>
        </w:rPr>
        <w:t xml:space="preserve"> e do </w:t>
      </w:r>
      <w:proofErr w:type="gramStart"/>
      <w:r w:rsidRPr="00437D8C">
        <w:rPr>
          <w:rFonts w:ascii="Times New Roman" w:hAnsi="Times New Roman" w:cs="Times New Roman"/>
          <w:i/>
          <w:lang w:val="it-IT"/>
        </w:rPr>
        <w:t>Brasil?</w:t>
      </w:r>
      <w:r w:rsidRPr="00437D8C">
        <w:rPr>
          <w:rFonts w:ascii="Times New Roman" w:hAnsi="Times New Roman" w:cs="Times New Roman"/>
          <w:lang w:val="it-IT"/>
        </w:rPr>
        <w:t>,</w:t>
      </w:r>
      <w:proofErr w:type="gramEnd"/>
      <w:r w:rsidRPr="00437D8C">
        <w:rPr>
          <w:rFonts w:ascii="Times New Roman" w:hAnsi="Times New Roman" w:cs="Times New Roman"/>
          <w:lang w:val="it-IT"/>
        </w:rPr>
        <w:t xml:space="preserve"> Napoli, 2024, il quale osserva peraltro come “molto spesso sono gli stessi operatori economici a preferire gare meno fedeli al contenuto dei Decreti CAM, non essendo, a loro volta, pronti a conformarsi alle sofisticate soluzioni imposte da essi”.</w:t>
      </w:r>
    </w:p>
    <w:p w14:paraId="6EB564EC" w14:textId="77777777" w:rsidR="0054668D" w:rsidRPr="00437D8C" w:rsidRDefault="0054668D" w:rsidP="00437D8C">
      <w:pPr>
        <w:pStyle w:val="Testonotaapidipagina"/>
        <w:jc w:val="both"/>
        <w:rPr>
          <w:rFonts w:ascii="Times New Roman" w:hAnsi="Times New Roman" w:cs="Times New Roman"/>
          <w:lang w:val="it-IT"/>
        </w:rPr>
      </w:pPr>
    </w:p>
  </w:footnote>
  <w:footnote w:id="24">
    <w:p w14:paraId="7F10A568" w14:textId="77777777" w:rsidR="00B75610" w:rsidRPr="00437D8C" w:rsidRDefault="00B75610"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sez. III, sentenza </w:t>
      </w:r>
      <w:bookmarkStart w:id="1" w:name="_Hlk222671277"/>
      <w:r w:rsidRPr="00437D8C">
        <w:rPr>
          <w:rFonts w:ascii="Times New Roman" w:hAnsi="Times New Roman" w:cs="Times New Roman"/>
          <w:lang w:val="it-IT"/>
        </w:rPr>
        <w:t>8 ottobre 2025, n. 7898</w:t>
      </w:r>
      <w:bookmarkEnd w:id="1"/>
      <w:r w:rsidRPr="00437D8C">
        <w:rPr>
          <w:rFonts w:ascii="Times New Roman" w:hAnsi="Times New Roman" w:cs="Times New Roman"/>
          <w:lang w:val="it-IT"/>
        </w:rPr>
        <w:t xml:space="preserve">: “la disciplina dei princìpi del risultato e di buona fede non può comunque tradursi nell’imposizione all’operatore privato di un onere tendente a superare il vizio del provvedimento prima dello svolgimento della gara, pena l’irricevibilità o inammissibilità (o infondatezza) del ricorso giurisdizionale (o di specifiche censure) avverso gli atti terminali della gara stessa. Una simile affermazione sarebbe, a tacer d’altro, contraria all’effettività della tutela del diritto di difesa ex art. 24 Cost. D’altra parte la ricordata sentenza dell’Adunanza Plenaria di questo Consiglio di Stato n. 4 del 2018 ha chiarito che la tutela giurisdizionale avverso l’impugnazione di bandi illegittimi si si esercita, di regola, solo “unitamente agli atti che di essi fanno applicazione, dal momento che sono questi ultimi ad identificare in concreto il soggetto leso dal provvedimento ed a rendere attuale e concreta la lesione della situazione soggettiva dell'interessato”; solo in via di eccezione la sentenza ha affermato l’onere di immediata impugnazione di clausole che abbiano effetto escludente (anche indirettamente, in termini di formulazione dell’offerta). Tale conclusione poggia sulla disciplina, anche costituzionale (si vedano, in particolare. i punti 16.8., 18.7.1. e 19.1.2. della motivazione della sentenza appena richiamata) e comunitaria (Corte di Giustizia dell’U.E., sentenza 5 aprile 2016 in causa C-689/13), della tutela processuale amministrativa avverso i bandi di gara illegittimi: essa, pertanto, non può essere alterata dalla disciplina “di principio” del (procedimento di evidenza pubblica, e del) rapporto negoziale, ammesso che a quest’ultima possa ricondursi il significato di imporre uno sforzo esigibile in tal senso.”. Nello stesso senso Consiglio di Stato, sez. III, sentenza 14 ottobre 2022, n. 8773, in </w:t>
      </w:r>
      <w:r w:rsidRPr="00437D8C">
        <w:rPr>
          <w:rFonts w:ascii="Times New Roman" w:hAnsi="Times New Roman" w:cs="Times New Roman"/>
          <w:i/>
          <w:lang w:val="it-IT"/>
        </w:rPr>
        <w:t xml:space="preserve">Giur. </w:t>
      </w:r>
      <w:proofErr w:type="spellStart"/>
      <w:r w:rsidRPr="00437D8C">
        <w:rPr>
          <w:rFonts w:ascii="Times New Roman" w:hAnsi="Times New Roman" w:cs="Times New Roman"/>
          <w:i/>
          <w:lang w:val="it-IT"/>
        </w:rPr>
        <w:t>It</w:t>
      </w:r>
      <w:proofErr w:type="spellEnd"/>
      <w:r w:rsidRPr="00437D8C">
        <w:rPr>
          <w:rFonts w:ascii="Times New Roman" w:hAnsi="Times New Roman" w:cs="Times New Roman"/>
          <w:lang w:val="it-IT"/>
        </w:rPr>
        <w:t xml:space="preserve">., n. 2/2023, 399 e segg., con nota di </w:t>
      </w:r>
      <w:r w:rsidRPr="00437D8C">
        <w:rPr>
          <w:rFonts w:ascii="Times New Roman" w:hAnsi="Times New Roman" w:cs="Times New Roman"/>
          <w:smallCaps/>
          <w:lang w:val="it-IT"/>
        </w:rPr>
        <w:t>A. Iurascu</w:t>
      </w:r>
      <w:r w:rsidRPr="00437D8C">
        <w:rPr>
          <w:rFonts w:ascii="Times New Roman" w:hAnsi="Times New Roman" w:cs="Times New Roman"/>
          <w:lang w:val="it-IT"/>
        </w:rPr>
        <w:t xml:space="preserve">, </w:t>
      </w:r>
      <w:r w:rsidRPr="00437D8C">
        <w:rPr>
          <w:rFonts w:ascii="Times New Roman" w:hAnsi="Times New Roman" w:cs="Times New Roman"/>
          <w:i/>
          <w:lang w:val="it-IT"/>
        </w:rPr>
        <w:t>L'inefficacia del contratto pubblico concluso in violazione dei criteri ambientali minimi</w:t>
      </w:r>
      <w:r w:rsidRPr="00437D8C">
        <w:rPr>
          <w:rFonts w:ascii="Times New Roman" w:hAnsi="Times New Roman" w:cs="Times New Roman"/>
          <w:lang w:val="it-IT"/>
        </w:rPr>
        <w:t>.</w:t>
      </w:r>
    </w:p>
    <w:p w14:paraId="3CA68C3B" w14:textId="77777777" w:rsidR="00B75610" w:rsidRPr="00437D8C" w:rsidRDefault="00B75610" w:rsidP="00437D8C">
      <w:pPr>
        <w:pStyle w:val="Testonotaapidipagina"/>
        <w:jc w:val="both"/>
        <w:rPr>
          <w:rFonts w:ascii="Times New Roman" w:hAnsi="Times New Roman" w:cs="Times New Roman"/>
          <w:lang w:val="it-IT"/>
        </w:rPr>
      </w:pPr>
    </w:p>
  </w:footnote>
  <w:footnote w:id="25">
    <w:p w14:paraId="7D087BDD" w14:textId="2072F9E0" w:rsidR="00A0738C" w:rsidRPr="00437D8C" w:rsidRDefault="00A0738C"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“Nell’alveo della citata pronuncia dell’Adunanza plenaria, la giurisprudenza della Sezione ha stabilito che “in forza di uno stabile indirizzo giurisprudenziale, che il Collegio condivide, la non conformità della legge di gara agli articoli 34 e 71 del d.lgs. 18 aprile 2016, n. 50, in tema di criteri ambientali minimi (C.A.M.) non è vizio tale da imporre un’immediata e tempestiva impugnazione del bando di gara, non ricadendosi nei casi eccezionali di clausole escludenti o impeditive che, sole, consentono l’immediata impugnazione della </w:t>
      </w:r>
      <w:proofErr w:type="spellStart"/>
      <w:r w:rsidRPr="00437D8C">
        <w:rPr>
          <w:rFonts w:ascii="Times New Roman" w:hAnsi="Times New Roman" w:cs="Times New Roman"/>
          <w:lang w:val="it-IT"/>
        </w:rPr>
        <w:t>lex</w:t>
      </w:r>
      <w:proofErr w:type="spellEnd"/>
      <w:r w:rsidRPr="00437D8C">
        <w:rPr>
          <w:rFonts w:ascii="Times New Roman" w:hAnsi="Times New Roman" w:cs="Times New Roman"/>
          <w:lang w:val="it-IT"/>
        </w:rPr>
        <w:t xml:space="preserve"> </w:t>
      </w:r>
      <w:proofErr w:type="spellStart"/>
      <w:r w:rsidRPr="00437D8C">
        <w:rPr>
          <w:rFonts w:ascii="Times New Roman" w:hAnsi="Times New Roman" w:cs="Times New Roman"/>
          <w:lang w:val="it-IT"/>
        </w:rPr>
        <w:t>specialis</w:t>
      </w:r>
      <w:proofErr w:type="spellEnd"/>
      <w:r w:rsidRPr="00437D8C">
        <w:rPr>
          <w:rFonts w:ascii="Times New Roman" w:hAnsi="Times New Roman" w:cs="Times New Roman"/>
          <w:lang w:val="it-IT"/>
        </w:rPr>
        <w:t xml:space="preserve"> di gara (cfr. Cons. Stato, sez. V, 3 febbraio 2021, n. 972)” (Consiglio di Stato, Sezione III, 14 ottobre 2022, n. 8773; sulla stessa linea, cfr. Consiglio di Stato, Sezione V, 5 agosto 2022, n. 6934, e 3 febbraio 2021, n. 972), con la conseguenza che “la partecipazione alla gara in un’ipotesi del genere non può considerarsi acquiescenza alle regole di gara, essendo l’impugnazione proponibile solo all’esito della procedura e avverso l’aggiudicazione, senza che ciò possa qualificarsi come un venire contra factum </w:t>
      </w:r>
      <w:proofErr w:type="spellStart"/>
      <w:r w:rsidRPr="00437D8C">
        <w:rPr>
          <w:rFonts w:ascii="Times New Roman" w:hAnsi="Times New Roman" w:cs="Times New Roman"/>
          <w:lang w:val="it-IT"/>
        </w:rPr>
        <w:t>proprium</w:t>
      </w:r>
      <w:proofErr w:type="spellEnd"/>
      <w:r w:rsidRPr="00437D8C">
        <w:rPr>
          <w:rFonts w:ascii="Times New Roman" w:hAnsi="Times New Roman" w:cs="Times New Roman"/>
          <w:lang w:val="it-IT"/>
        </w:rPr>
        <w:t>”. Inoltre, già in precedenza era stato stabilito, per profili coincidenti con quelli che emergono in rilievo nel presente contenzioso, che “nel caso in esame le contestate previsioni di gara per un verso non riguardavano requisiti soggettivi di partecipazione immediatamente escludenti, concernendo invece la struttura del contratto, e per altro verso si riferivano agli obblighi informativi violati gravanti in capo alla stazione appaltante, senza connotarsi per essere impositive di oneri incomprensibili oppure sproporzionati, tali da impedire la partecipazione della impresa, secondo quanto ordinariamente esigibile da un operatore professionale” (Consiglio di Stato, Sezione V, n. 972/2021 cit.)”.</w:t>
      </w:r>
    </w:p>
    <w:p w14:paraId="15194BA8" w14:textId="77777777" w:rsidR="00A0738C" w:rsidRPr="00437D8C" w:rsidRDefault="00A0738C" w:rsidP="00437D8C">
      <w:pPr>
        <w:pStyle w:val="Testonotaapidipagina"/>
        <w:jc w:val="both"/>
        <w:rPr>
          <w:rFonts w:ascii="Times New Roman" w:hAnsi="Times New Roman" w:cs="Times New Roman"/>
          <w:lang w:val="it-IT"/>
        </w:rPr>
      </w:pPr>
    </w:p>
  </w:footnote>
  <w:footnote w:id="26">
    <w:p w14:paraId="6F62C565" w14:textId="1267D842" w:rsidR="00A0738C" w:rsidRPr="00437D8C" w:rsidRDefault="00A0738C"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“Il ricorso di primo grado è irricevibile e inammissibile, poiché doveva essere proposto nel termine di decadenza di 30 giorni decorrente dalla pubblicazione del bando di gara, atteso che con lo stesso il ricorrente denuncia una violazione di legge che, in considerazione delle prescrizioni di gara, non avrebbe consentito ai concorrenti di formulare un’offerta congrua e consapevole e, in particolare, avrebbe causato la presentazione di offerte non obbligatoriamente conformi ai parametri ambientali”.</w:t>
      </w:r>
    </w:p>
    <w:p w14:paraId="638F36D3" w14:textId="77777777" w:rsidR="00F37BDB" w:rsidRPr="00437D8C" w:rsidRDefault="00F37BDB" w:rsidP="00437D8C">
      <w:pPr>
        <w:pStyle w:val="Testonotaapidipagina"/>
        <w:jc w:val="both"/>
        <w:rPr>
          <w:rFonts w:ascii="Times New Roman" w:hAnsi="Times New Roman" w:cs="Times New Roman"/>
          <w:lang w:val="it-IT"/>
        </w:rPr>
      </w:pPr>
    </w:p>
  </w:footnote>
  <w:footnote w:id="27">
    <w:p w14:paraId="34DE55C0" w14:textId="62D2C4B7" w:rsidR="00A0738C" w:rsidRPr="00437D8C" w:rsidRDefault="00A0738C"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La citata sentenza n. 6651/2025 ha poi però affermato anche che “Il principio del risultato, letto in combinato disposto con quello della buona fede di cui all’art. 5, si traduce per l’operatore economico nella individuazione della soglia di sforzo esigibile per comprendere l’interesse cui la commessa è preordinata e in una maggiore responsabilizzazione nel segnalare tempestivamente alla S.A. l’impossibilità o la difficoltà di comprendere tale finalità e di corrispondervi con un’offerta consapevole e conforme alla </w:t>
      </w:r>
      <w:proofErr w:type="spellStart"/>
      <w:r w:rsidRPr="00437D8C">
        <w:rPr>
          <w:rFonts w:ascii="Times New Roman" w:hAnsi="Times New Roman" w:cs="Times New Roman"/>
          <w:lang w:val="it-IT"/>
        </w:rPr>
        <w:t>lex</w:t>
      </w:r>
      <w:proofErr w:type="spellEnd"/>
      <w:r w:rsidRPr="00437D8C">
        <w:rPr>
          <w:rFonts w:ascii="Times New Roman" w:hAnsi="Times New Roman" w:cs="Times New Roman"/>
          <w:lang w:val="it-IT"/>
        </w:rPr>
        <w:t xml:space="preserve"> di gara senza far proseguire la procedura e farla giungere al termine per poi contestarla sulla base di vizi integralmente afferenti alla </w:t>
      </w:r>
      <w:proofErr w:type="spellStart"/>
      <w:r w:rsidRPr="00437D8C">
        <w:rPr>
          <w:rFonts w:ascii="Times New Roman" w:hAnsi="Times New Roman" w:cs="Times New Roman"/>
          <w:lang w:val="it-IT"/>
        </w:rPr>
        <w:t>lex</w:t>
      </w:r>
      <w:proofErr w:type="spellEnd"/>
      <w:r w:rsidRPr="00437D8C">
        <w:rPr>
          <w:rFonts w:ascii="Times New Roman" w:hAnsi="Times New Roman" w:cs="Times New Roman"/>
          <w:lang w:val="it-IT"/>
        </w:rPr>
        <w:t xml:space="preserve"> di gara e come tali incidenti sulla stessa possibilità di formulare un’offerta consapevole”.</w:t>
      </w:r>
    </w:p>
  </w:footnote>
  <w:footnote w:id="28">
    <w:p w14:paraId="7BB2657E" w14:textId="19BD3C97" w:rsidR="009C11EA" w:rsidRPr="00437D8C" w:rsidRDefault="009C11EA"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“Nel caso di specie, è emerso che il bando di gara ha effettuato un generico riferimento alla necessità di rispettare i criteri minimi ambientali, stabilendo, all’art. 1 del Capitolato tecnico prestazionale, che «Il presente accordo quadro viene attivato nel rispetto dei Criteri Ambientali Minimi di cui ai DD.MM. di riferimento emanati dal Ministero dell’Ambiente del territorio e della tutela del mare in data 24.5.2016 (in GU 7.6.2016, n. 131)». Al momento in cui è stato pubblicato il bando, il citato D.M. era stato, peraltro, sostituito dal D.M. del 23 giugno 2022, pacificamente applicabile alla presente gara. (….) Nel caso di specie, la </w:t>
      </w:r>
      <w:proofErr w:type="spellStart"/>
      <w:r w:rsidRPr="00437D8C">
        <w:rPr>
          <w:rFonts w:ascii="Times New Roman" w:hAnsi="Times New Roman" w:cs="Times New Roman"/>
          <w:lang w:val="it-IT"/>
        </w:rPr>
        <w:t>lex</w:t>
      </w:r>
      <w:proofErr w:type="spellEnd"/>
      <w:r w:rsidRPr="00437D8C">
        <w:rPr>
          <w:rFonts w:ascii="Times New Roman" w:hAnsi="Times New Roman" w:cs="Times New Roman"/>
          <w:lang w:val="it-IT"/>
        </w:rPr>
        <w:t xml:space="preserve"> </w:t>
      </w:r>
      <w:proofErr w:type="spellStart"/>
      <w:r w:rsidRPr="00437D8C">
        <w:rPr>
          <w:rFonts w:ascii="Times New Roman" w:hAnsi="Times New Roman" w:cs="Times New Roman"/>
          <w:lang w:val="it-IT"/>
        </w:rPr>
        <w:t>specialis</w:t>
      </w:r>
      <w:proofErr w:type="spellEnd"/>
      <w:r w:rsidRPr="00437D8C">
        <w:rPr>
          <w:rFonts w:ascii="Times New Roman" w:hAnsi="Times New Roman" w:cs="Times New Roman"/>
          <w:lang w:val="it-IT"/>
        </w:rPr>
        <w:t xml:space="preserve"> non ha semplicemente effettuato un richiamo generico ai criteri ambientali minimi, ma un richiamo asseritamente errato a un DM non più in vigore, tale da rendere – in astratto ed ex ante – eccessivamente difficoltoso il calcolo di convenienza tecnica ed economica ai fini della partecipazione alla gara e tale, quindi, da impedire (ovvero da rendere estremamente e inutilmente difficoltosa) la formulazione di un'offerta corretta, adeguata e consapevole (cfr. Consiglio di Stato, V sezione, 28 marzo 2023, n. 3163)” (Consiglio di Stato, sez. IV, sentenza n. 1877/2026).</w:t>
      </w:r>
    </w:p>
    <w:p w14:paraId="71E445BB" w14:textId="2C55B29B" w:rsidR="009C11EA" w:rsidRPr="00437D8C" w:rsidRDefault="009C11EA" w:rsidP="00437D8C">
      <w:pPr>
        <w:pStyle w:val="Testonotaapidipagina"/>
        <w:jc w:val="both"/>
        <w:rPr>
          <w:rFonts w:ascii="Times New Roman" w:hAnsi="Times New Roman" w:cs="Times New Roman"/>
          <w:lang w:val="it-IT"/>
        </w:rPr>
      </w:pPr>
    </w:p>
  </w:footnote>
  <w:footnote w:id="29">
    <w:p w14:paraId="7C98034F" w14:textId="770944D5" w:rsidR="009F6DF4" w:rsidRPr="00437D8C" w:rsidRDefault="009F6DF4"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sentenza n. 7898/2025</w:t>
      </w:r>
      <w:r w:rsidR="00A14B84" w:rsidRPr="00437D8C">
        <w:rPr>
          <w:rFonts w:ascii="Times New Roman" w:hAnsi="Times New Roman" w:cs="Times New Roman"/>
          <w:lang w:val="it-IT"/>
        </w:rPr>
        <w:t>, cit.</w:t>
      </w:r>
      <w:r w:rsidRPr="00437D8C">
        <w:rPr>
          <w:rFonts w:ascii="Times New Roman" w:hAnsi="Times New Roman" w:cs="Times New Roman"/>
          <w:lang w:val="it-IT"/>
        </w:rPr>
        <w:t>: “Sotto tale profilo si consideri che questa Sezione, nella sentenza n. 2866/2024, ha affermato nella medesima materia che “l’obbligo di agire secondo buona fede (art. 1, comma 2-bis, della legge 7 agosto 1990, n. 241: ora declinato nella materia contrattuale dall’art. 5 del citato d. lgs. n. 36 del 2023), configura – come è stato osservato in dottrina - un “rapporto di tipo orizzontale tra cittadini e pubblica amministrazione”, che comporta – oltre a dei precisi doveri per l’amministrazione - anche una più marcata responsabilizzazione dei primi in seno al procedimento, il che nel caso di specie si traduce nella individuazione della soglia di sforzo esigibile dall’operatore economico per comprendere l’interesse cui la commessa è preordinata”.</w:t>
      </w:r>
    </w:p>
    <w:p w14:paraId="6F78F26B"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 xml:space="preserve">Un tale sforzo non può tuttavia tradursi nell’adozione di comportamenti potenzialmente lesivi per la stessa parte (o comunque contrari al suo interesse): la segnalazione dell’illegittimità o incompletezza del bando con riferimento ad un determinato aspetto di disciplina può infatti danneggiare gli interessi del singolo operatore economico; l’amministrazione è </w:t>
      </w:r>
      <w:proofErr w:type="spellStart"/>
      <w:r w:rsidRPr="00437D8C">
        <w:rPr>
          <w:rFonts w:ascii="Times New Roman" w:hAnsi="Times New Roman" w:cs="Times New Roman"/>
          <w:lang w:val="it-IT"/>
        </w:rPr>
        <w:t>attributaria</w:t>
      </w:r>
      <w:proofErr w:type="spellEnd"/>
      <w:r w:rsidRPr="00437D8C">
        <w:rPr>
          <w:rFonts w:ascii="Times New Roman" w:hAnsi="Times New Roman" w:cs="Times New Roman"/>
          <w:lang w:val="it-IT"/>
        </w:rPr>
        <w:t xml:space="preserve"> della cura dell’interesse pubblico portato dalla disciplina che si assume violata, e come tale è responsabilizzata in relazione all’adozione di una legge di gara conforme a tale disciplina.</w:t>
      </w:r>
    </w:p>
    <w:p w14:paraId="20D185D4"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In ogni caso una simile soluzione sottrarrebbe all’operatore economico, per effetto dell’iniziativa assunta, un possibile motivo di impugnazione, stabilendo così una decadenza in via interpretativa.</w:t>
      </w:r>
    </w:p>
    <w:p w14:paraId="425F5D3B"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Essa, inoltre, costringerebbe gli interessati ad impugnare il bando indipendentemente dall’esito della gara (e, dunque, dalla concreta lesività del vizio).</w:t>
      </w:r>
    </w:p>
    <w:p w14:paraId="11910390"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 xml:space="preserve">Non senza ragione, pertanto, la più volte citata sentenza dell’Adunanza Plenaria n. 4 del 2018 aveva chiarito che “l’effetto </w:t>
      </w:r>
      <w:proofErr w:type="spellStart"/>
      <w:r w:rsidRPr="00437D8C">
        <w:rPr>
          <w:rFonts w:ascii="Times New Roman" w:hAnsi="Times New Roman" w:cs="Times New Roman"/>
          <w:lang w:val="it-IT"/>
        </w:rPr>
        <w:t>pressochè</w:t>
      </w:r>
      <w:proofErr w:type="spellEnd"/>
      <w:r w:rsidRPr="00437D8C">
        <w:rPr>
          <w:rFonts w:ascii="Times New Roman" w:hAnsi="Times New Roman" w:cs="Times New Roman"/>
          <w:lang w:val="it-IT"/>
        </w:rPr>
        <w:t xml:space="preserve"> certo dell’abbandono del criterio tradizionale è quello dell’(ulteriore) incremento del contenzioso: quantomeno a legislazione vigente, i possibili vantaggi sembrano del tutto ipotetici”.</w:t>
      </w:r>
    </w:p>
    <w:p w14:paraId="0A7DAF98" w14:textId="1B451225"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Neppure sotto tale profilo, dunque, è dato cogliere una infondatezza (o inammissibilità) della pretesa della parte ricorrente, posto che il ricorso di primo grado – come già specificato - non aveva riguardo all’impossibilità di formulare l’offerta, ma alla illegittimità della legge di gara per mancato inserimento nella stessa dei criteri ambientali minimi.</w:t>
      </w:r>
      <w:r w:rsidR="003D30C6" w:rsidRPr="00437D8C">
        <w:rPr>
          <w:rFonts w:ascii="Times New Roman" w:hAnsi="Times New Roman" w:cs="Times New Roman"/>
          <w:lang w:val="it-IT"/>
        </w:rPr>
        <w:t xml:space="preserve"> (…)</w:t>
      </w:r>
    </w:p>
    <w:p w14:paraId="316FB21B" w14:textId="77777777"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In quest’ottica non va trascurato che, come recentemente ricordato dalla Corte costituzionale nella sentenza n. 88/2025, “Il potere amministrativo, originariamente concepito come espressione di assoluta “supremazia” (salvi i limiti segnati dalla legge) e caratterizzato dalla sua “inesauribilità”, nel suo ancoraggio costituzionale è, piuttosto, una situazione soggettiva conferita al servizio degli interessi della collettività nazionale (art. 98 Cost.). Dal descritto passaggio dalla logica della preminenza a quella del servizio deriva che la norma che attribuisce il potere per la realizzazione di uno specifico interesse pubblico fa di questo non solo il fine, ma la causa stessa del potere: proprio in quanto il potere è strumentale, va esercitato nella misura in cui serve al soddisfacimento dell’interesse pubblico ed è proporzionatamente occorrente a tal fine, quindi con il minimo sacrificio dell’interesse del privato, ma anche degli altri interessi pubblici”.</w:t>
      </w:r>
    </w:p>
    <w:p w14:paraId="379E2162" w14:textId="5C641D7D" w:rsidR="009F6DF4" w:rsidRPr="00437D8C" w:rsidRDefault="009F6DF4"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Tale richiamo, nella fattispecie in esame, assume il duplice rilievo di una consapevole verifica di legittimità che abbia riguardo alla corretta identificazione degli interessi collettivi tutelati dalla norma che funge da parametro, e della impossibilità di imporre in via interpretativa sacrifici all’interesse del privato a fronte della deviazione da tale parametro”.</w:t>
      </w:r>
    </w:p>
    <w:p w14:paraId="2ABF1A5D" w14:textId="77777777" w:rsidR="00BB6D00" w:rsidRPr="00437D8C" w:rsidRDefault="00BB6D00" w:rsidP="00437D8C">
      <w:pPr>
        <w:pStyle w:val="Testonotaapidipagina"/>
        <w:jc w:val="both"/>
        <w:rPr>
          <w:rFonts w:ascii="Times New Roman" w:hAnsi="Times New Roman" w:cs="Times New Roman"/>
          <w:lang w:val="it-IT"/>
        </w:rPr>
      </w:pPr>
    </w:p>
  </w:footnote>
  <w:footnote w:id="30">
    <w:p w14:paraId="5C5E7A3D" w14:textId="475238CE" w:rsidR="00B75610" w:rsidRPr="00437D8C" w:rsidRDefault="00B75610"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Consiglio di Stato, sez. III, sentenza 22 maggio 2025, n. 4385.</w:t>
      </w:r>
      <w:r w:rsidR="00786AEB" w:rsidRPr="00437D8C">
        <w:rPr>
          <w:rFonts w:ascii="Times New Roman" w:hAnsi="Times New Roman" w:cs="Times New Roman"/>
          <w:lang w:val="it-IT"/>
        </w:rPr>
        <w:t xml:space="preserve"> In senso conforme T.A.R. Campania, </w:t>
      </w:r>
      <w:r w:rsidR="00C45974" w:rsidRPr="00437D8C">
        <w:rPr>
          <w:rFonts w:ascii="Times New Roman" w:hAnsi="Times New Roman" w:cs="Times New Roman"/>
          <w:lang w:val="it-IT"/>
        </w:rPr>
        <w:t>N</w:t>
      </w:r>
      <w:r w:rsidR="00786AEB" w:rsidRPr="00437D8C">
        <w:rPr>
          <w:rFonts w:ascii="Times New Roman" w:hAnsi="Times New Roman" w:cs="Times New Roman"/>
          <w:lang w:val="it-IT"/>
        </w:rPr>
        <w:t>apoli, sentenza 10 febbraio 2026, n. 935.</w:t>
      </w:r>
    </w:p>
    <w:p w14:paraId="2F8468F4" w14:textId="77777777" w:rsidR="00B75610" w:rsidRPr="00437D8C" w:rsidRDefault="00B75610" w:rsidP="00437D8C">
      <w:pPr>
        <w:pStyle w:val="Testonotaapidipagina"/>
        <w:jc w:val="both"/>
        <w:rPr>
          <w:rFonts w:ascii="Times New Roman" w:hAnsi="Times New Roman" w:cs="Times New Roman"/>
          <w:lang w:val="it-IT"/>
        </w:rPr>
      </w:pPr>
      <w:r w:rsidRPr="00437D8C">
        <w:rPr>
          <w:rFonts w:ascii="Times New Roman" w:hAnsi="Times New Roman" w:cs="Times New Roman"/>
          <w:lang w:val="it-IT"/>
        </w:rPr>
        <w:t xml:space="preserve"> </w:t>
      </w:r>
    </w:p>
  </w:footnote>
  <w:footnote w:id="31">
    <w:p w14:paraId="05BB169C" w14:textId="3A7C9C3F" w:rsidR="00B75610" w:rsidRPr="00437D8C" w:rsidRDefault="00B75610"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w:t>
      </w:r>
      <w:r w:rsidR="005770C8" w:rsidRPr="00437D8C">
        <w:rPr>
          <w:rFonts w:ascii="Times New Roman" w:hAnsi="Times New Roman" w:cs="Times New Roman"/>
          <w:lang w:val="it-IT"/>
        </w:rPr>
        <w:t xml:space="preserve">Così la </w:t>
      </w:r>
      <w:r w:rsidRPr="00437D8C">
        <w:rPr>
          <w:rFonts w:ascii="Times New Roman" w:hAnsi="Times New Roman" w:cs="Times New Roman"/>
          <w:lang w:val="it-IT"/>
        </w:rPr>
        <w:t xml:space="preserve">Corte di cassazione, SS.UU., Ordinanza 21 febbraio 2026, n. 3887, </w:t>
      </w:r>
      <w:r w:rsidR="005770C8" w:rsidRPr="00437D8C">
        <w:rPr>
          <w:rFonts w:ascii="Times New Roman" w:hAnsi="Times New Roman" w:cs="Times New Roman"/>
          <w:lang w:val="it-IT"/>
        </w:rPr>
        <w:t xml:space="preserve">cit., </w:t>
      </w:r>
      <w:r w:rsidRPr="00437D8C">
        <w:rPr>
          <w:rFonts w:ascii="Times New Roman" w:hAnsi="Times New Roman" w:cs="Times New Roman"/>
          <w:lang w:val="it-IT"/>
        </w:rPr>
        <w:t>nel riferire il motivo di censura proposto contro la sentenza n. 4701/2024 del Consiglio di Stato, nella parte in cui “si è indotto ad affermare «la tutelabilità in astratto dell’interesse strumentale, senza avvedersi della circostanza per cui un conto è l’interesse al ricorso inteso come l’utilità concreta che il ricorrente intende conseguire con l’azione, altro conto è l’interesse al ricorso inteso in chiave sostanziale, e cioè nel senso della posizione giuridica soggettiva qualificata e differenziata che fonda la legittimazione al ricorso, e che deve sussistere al fine di evitare che la giurisdizione amministrativa si atteggi quale giurisdizione di diritto oggettivo»”.</w:t>
      </w:r>
    </w:p>
    <w:p w14:paraId="755F1A76" w14:textId="77777777" w:rsidR="00B75610" w:rsidRPr="00437D8C" w:rsidRDefault="00B75610" w:rsidP="00437D8C">
      <w:pPr>
        <w:pStyle w:val="Testonotaapidipagina"/>
        <w:jc w:val="both"/>
        <w:rPr>
          <w:rFonts w:ascii="Times New Roman" w:hAnsi="Times New Roman" w:cs="Times New Roman"/>
          <w:lang w:val="it-IT"/>
        </w:rPr>
      </w:pPr>
    </w:p>
  </w:footnote>
  <w:footnote w:id="32">
    <w:p w14:paraId="5C871F1F" w14:textId="77777777" w:rsidR="00B75610" w:rsidRPr="00437D8C" w:rsidRDefault="00B75610" w:rsidP="00437D8C">
      <w:pPr>
        <w:pStyle w:val="Testonotaapidipagina"/>
        <w:jc w:val="both"/>
        <w:rPr>
          <w:rFonts w:ascii="Times New Roman" w:hAnsi="Times New Roman" w:cs="Times New Roman"/>
          <w:lang w:val="it-IT"/>
        </w:rPr>
      </w:pPr>
      <w:r w:rsidRPr="00437D8C">
        <w:rPr>
          <w:rStyle w:val="Rimandonotaapidipagina"/>
          <w:rFonts w:ascii="Times New Roman" w:hAnsi="Times New Roman" w:cs="Times New Roman"/>
        </w:rPr>
        <w:footnoteRef/>
      </w:r>
      <w:r w:rsidRPr="00437D8C">
        <w:rPr>
          <w:rFonts w:ascii="Times New Roman" w:hAnsi="Times New Roman" w:cs="Times New Roman"/>
          <w:lang w:val="it-IT"/>
        </w:rPr>
        <w:t xml:space="preserve"> Corte di cassazione, SS.UU., Ordinanza 21 febbraio 2026, n. 3887, cit.: ove anche, dopo la riportata (nel testo) motivazione sull’inammissibilità del primo motivo di ricorso, l’ulteriore considerazione, in sede di esame del terzo motivo, per cui “viene, di conseguenza, meno il presupposto su cui la si fonda la deducibilità della doglianza perché, non potendosi sindacare l'apprezzamento dell'interesse al ricorso a cui ha proceduto il Consiglio di Stato, neppure si potrà dire che, così procedendo, il decidente abbia invaso la sfera del legislatore e che la decisione da lui pronunciata sia infirmata da un vizio di sconfinamento”.</w:t>
      </w:r>
    </w:p>
    <w:p w14:paraId="46C1C4A6" w14:textId="77777777" w:rsidR="00B75610" w:rsidRPr="00437D8C" w:rsidRDefault="00B75610" w:rsidP="00437D8C">
      <w:pPr>
        <w:pStyle w:val="Testonotaapidipagina"/>
        <w:jc w:val="both"/>
        <w:rPr>
          <w:rFonts w:ascii="Times New Roman" w:hAnsi="Times New Roman" w:cs="Times New Roman"/>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B67FD"/>
    <w:multiLevelType w:val="hybridMultilevel"/>
    <w:tmpl w:val="D9169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7348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10"/>
    <w:rsid w:val="00004DB8"/>
    <w:rsid w:val="00046ED3"/>
    <w:rsid w:val="000A6054"/>
    <w:rsid w:val="00100268"/>
    <w:rsid w:val="001F5964"/>
    <w:rsid w:val="00210E3F"/>
    <w:rsid w:val="002D0948"/>
    <w:rsid w:val="00333AF8"/>
    <w:rsid w:val="003A50BE"/>
    <w:rsid w:val="003D30C6"/>
    <w:rsid w:val="00410576"/>
    <w:rsid w:val="0043003B"/>
    <w:rsid w:val="00437D8C"/>
    <w:rsid w:val="004E1179"/>
    <w:rsid w:val="0054668D"/>
    <w:rsid w:val="005770C8"/>
    <w:rsid w:val="005B02B3"/>
    <w:rsid w:val="005D56CD"/>
    <w:rsid w:val="00696119"/>
    <w:rsid w:val="006A08E2"/>
    <w:rsid w:val="006C4ACD"/>
    <w:rsid w:val="007831CE"/>
    <w:rsid w:val="00786AEB"/>
    <w:rsid w:val="0078779A"/>
    <w:rsid w:val="007B4847"/>
    <w:rsid w:val="00802A24"/>
    <w:rsid w:val="008366D2"/>
    <w:rsid w:val="00874CF7"/>
    <w:rsid w:val="00895614"/>
    <w:rsid w:val="008B4FBF"/>
    <w:rsid w:val="008D2FEA"/>
    <w:rsid w:val="008E62CF"/>
    <w:rsid w:val="00927637"/>
    <w:rsid w:val="009C11EA"/>
    <w:rsid w:val="009F4A1B"/>
    <w:rsid w:val="009F6DF4"/>
    <w:rsid w:val="00A0738C"/>
    <w:rsid w:val="00A079A0"/>
    <w:rsid w:val="00A14B84"/>
    <w:rsid w:val="00AF1120"/>
    <w:rsid w:val="00B55F72"/>
    <w:rsid w:val="00B75610"/>
    <w:rsid w:val="00B84626"/>
    <w:rsid w:val="00BA2BC2"/>
    <w:rsid w:val="00BB6D00"/>
    <w:rsid w:val="00BC7A9F"/>
    <w:rsid w:val="00BE7B8B"/>
    <w:rsid w:val="00C16942"/>
    <w:rsid w:val="00C45974"/>
    <w:rsid w:val="00C75D3C"/>
    <w:rsid w:val="00D07E83"/>
    <w:rsid w:val="00D47339"/>
    <w:rsid w:val="00D70FE4"/>
    <w:rsid w:val="00D84AC2"/>
    <w:rsid w:val="00E41906"/>
    <w:rsid w:val="00EC3F5F"/>
    <w:rsid w:val="00EE01C5"/>
    <w:rsid w:val="00EF7568"/>
    <w:rsid w:val="00F37BDB"/>
    <w:rsid w:val="00F71441"/>
    <w:rsid w:val="00FA78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6C83"/>
  <w15:chartTrackingRefBased/>
  <w15:docId w15:val="{A144DE3C-FDF2-4EA2-B406-6E35D5EC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756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B756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75610"/>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75610"/>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75610"/>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B756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756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756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756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5610"/>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B75610"/>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75610"/>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75610"/>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B75610"/>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B756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756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756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756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75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756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7561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756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756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75610"/>
    <w:rPr>
      <w:i/>
      <w:iCs/>
      <w:color w:val="404040" w:themeColor="text1" w:themeTint="BF"/>
    </w:rPr>
  </w:style>
  <w:style w:type="paragraph" w:styleId="Paragrafoelenco">
    <w:name w:val="List Paragraph"/>
    <w:basedOn w:val="Normale"/>
    <w:uiPriority w:val="34"/>
    <w:qFormat/>
    <w:rsid w:val="00B75610"/>
    <w:pPr>
      <w:ind w:left="720"/>
      <w:contextualSpacing/>
    </w:pPr>
  </w:style>
  <w:style w:type="character" w:styleId="Enfasiintensa">
    <w:name w:val="Intense Emphasis"/>
    <w:basedOn w:val="Carpredefinitoparagrafo"/>
    <w:uiPriority w:val="21"/>
    <w:qFormat/>
    <w:rsid w:val="00B75610"/>
    <w:rPr>
      <w:i/>
      <w:iCs/>
      <w:color w:val="2E74B5" w:themeColor="accent1" w:themeShade="BF"/>
    </w:rPr>
  </w:style>
  <w:style w:type="paragraph" w:styleId="Citazioneintensa">
    <w:name w:val="Intense Quote"/>
    <w:basedOn w:val="Normale"/>
    <w:next w:val="Normale"/>
    <w:link w:val="CitazioneintensaCarattere"/>
    <w:uiPriority w:val="30"/>
    <w:qFormat/>
    <w:rsid w:val="00B756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75610"/>
    <w:rPr>
      <w:i/>
      <w:iCs/>
      <w:color w:val="2E74B5" w:themeColor="accent1" w:themeShade="BF"/>
    </w:rPr>
  </w:style>
  <w:style w:type="character" w:styleId="Riferimentointenso">
    <w:name w:val="Intense Reference"/>
    <w:basedOn w:val="Carpredefinitoparagrafo"/>
    <w:uiPriority w:val="32"/>
    <w:qFormat/>
    <w:rsid w:val="00B75610"/>
    <w:rPr>
      <w:b/>
      <w:bCs/>
      <w:smallCaps/>
      <w:color w:val="2E74B5" w:themeColor="accent1" w:themeShade="BF"/>
      <w:spacing w:val="5"/>
    </w:rPr>
  </w:style>
  <w:style w:type="paragraph" w:styleId="Testonotaapidipagina">
    <w:name w:val="footnote text"/>
    <w:basedOn w:val="Normale"/>
    <w:link w:val="TestonotaapidipaginaCarattere"/>
    <w:uiPriority w:val="99"/>
    <w:unhideWhenUsed/>
    <w:rsid w:val="00B7561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75610"/>
    <w:rPr>
      <w:sz w:val="20"/>
      <w:szCs w:val="20"/>
    </w:rPr>
  </w:style>
  <w:style w:type="character" w:styleId="Rimandonotaapidipagina">
    <w:name w:val="footnote reference"/>
    <w:basedOn w:val="Carpredefinitoparagrafo"/>
    <w:semiHidden/>
    <w:unhideWhenUsed/>
    <w:rsid w:val="00B75610"/>
    <w:rPr>
      <w:vertAlign w:val="superscript"/>
    </w:rPr>
  </w:style>
  <w:style w:type="paragraph" w:styleId="Corpodeltesto3">
    <w:name w:val="Body Text 3"/>
    <w:basedOn w:val="Normale"/>
    <w:link w:val="Corpodeltesto3Carattere"/>
    <w:uiPriority w:val="99"/>
    <w:semiHidden/>
    <w:unhideWhenUsed/>
    <w:rsid w:val="00B75610"/>
    <w:pPr>
      <w:overflowPunct w:val="0"/>
      <w:autoSpaceDE w:val="0"/>
      <w:autoSpaceDN w:val="0"/>
      <w:adjustRightInd w:val="0"/>
      <w:spacing w:after="120" w:line="240" w:lineRule="auto"/>
    </w:pPr>
    <w:rPr>
      <w:rFonts w:ascii="MS Serif" w:eastAsia="Times New Roman" w:hAnsi="MS Serif" w:cs="Times New Roman"/>
      <w:noProof/>
      <w:kern w:val="0"/>
      <w:sz w:val="16"/>
      <w:szCs w:val="16"/>
      <w:lang w:val="it-IT" w:eastAsia="it-IT"/>
      <w14:ligatures w14:val="none"/>
    </w:rPr>
  </w:style>
  <w:style w:type="character" w:customStyle="1" w:styleId="Corpodeltesto3Carattere">
    <w:name w:val="Corpo del testo 3 Carattere"/>
    <w:basedOn w:val="Carpredefinitoparagrafo"/>
    <w:link w:val="Corpodeltesto3"/>
    <w:uiPriority w:val="99"/>
    <w:semiHidden/>
    <w:rsid w:val="00B75610"/>
    <w:rPr>
      <w:rFonts w:ascii="MS Serif" w:eastAsia="Times New Roman" w:hAnsi="MS Serif" w:cs="Times New Roman"/>
      <w:noProof/>
      <w:kern w:val="0"/>
      <w:sz w:val="16"/>
      <w:szCs w:val="16"/>
      <w:lang w:val="it-IT" w:eastAsia="it-IT"/>
      <w14:ligatures w14:val="none"/>
    </w:rPr>
  </w:style>
  <w:style w:type="character" w:styleId="Collegamentoipertestuale">
    <w:name w:val="Hyperlink"/>
    <w:rsid w:val="00B75610"/>
    <w:rPr>
      <w:rFonts w:ascii="Times New Roman" w:hAnsi="Times New Roman"/>
      <w:color w:val="0000FF"/>
      <w:spacing w:val="0"/>
      <w:sz w:val="24"/>
      <w:u w:val="single"/>
    </w:rPr>
  </w:style>
  <w:style w:type="character" w:customStyle="1" w:styleId="Menzionenonrisolta1">
    <w:name w:val="Menzione non risolta1"/>
    <w:basedOn w:val="Carpredefinitoparagrafo"/>
    <w:uiPriority w:val="99"/>
    <w:semiHidden/>
    <w:unhideWhenUsed/>
    <w:rsid w:val="0000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FE04-CECF-48EB-9DA0-6DFCAB88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3636</Words>
  <Characters>20726</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Consiglio di Stato</Company>
  <LinksUpToDate>false</LinksUpToDate>
  <CharactersWithSpaces>24314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COZZOLI Pamela</cp:lastModifiedBy>
  <cp:revision>3</cp:revision>
  <cp:lastPrinted>2026-04-20T15:16:00Z</cp:lastPrinted>
  <dcterms:created xsi:type="dcterms:W3CDTF">2026-04-29T15:55:00Z</dcterms:created>
  <dcterms:modified xsi:type="dcterms:W3CDTF">2026-05-25T07:55:00Z</dcterms:modified>
</cp:coreProperties>
</file>