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518DC" w14:textId="4C15D27E" w:rsidR="00822187" w:rsidRDefault="00E20312" w:rsidP="00A232C6">
      <w:pPr>
        <w:jc w:val="both"/>
        <w:rPr>
          <w:sz w:val="24"/>
          <w:szCs w:val="24"/>
        </w:rPr>
      </w:pPr>
      <w:r>
        <w:rPr>
          <w:b/>
          <w:bCs/>
          <w:sz w:val="24"/>
          <w:szCs w:val="24"/>
        </w:rPr>
        <w:t xml:space="preserve">          </w:t>
      </w:r>
      <w:r w:rsidR="00795E59">
        <w:rPr>
          <w:b/>
          <w:bCs/>
          <w:sz w:val="24"/>
          <w:szCs w:val="24"/>
        </w:rPr>
        <w:t xml:space="preserve">          </w:t>
      </w:r>
      <w:r>
        <w:rPr>
          <w:b/>
          <w:bCs/>
          <w:sz w:val="24"/>
          <w:szCs w:val="24"/>
        </w:rPr>
        <w:t xml:space="preserve"> </w:t>
      </w:r>
      <w:r w:rsidR="0050459F">
        <w:rPr>
          <w:b/>
          <w:bCs/>
          <w:sz w:val="24"/>
          <w:szCs w:val="24"/>
        </w:rPr>
        <w:t>La ricerca della verità nel processo amministrativo: m</w:t>
      </w:r>
      <w:r>
        <w:rPr>
          <w:b/>
          <w:bCs/>
          <w:sz w:val="24"/>
          <w:szCs w:val="24"/>
        </w:rPr>
        <w:t xml:space="preserve">ezzi di prova e poteri officiosi </w:t>
      </w:r>
      <w:r w:rsidR="0050459F">
        <w:rPr>
          <w:b/>
          <w:bCs/>
          <w:sz w:val="24"/>
          <w:szCs w:val="24"/>
        </w:rPr>
        <w:t>del giudice</w:t>
      </w:r>
      <w:r w:rsidR="00795E59">
        <w:rPr>
          <w:b/>
          <w:bCs/>
          <w:sz w:val="24"/>
          <w:szCs w:val="24"/>
        </w:rPr>
        <w:t xml:space="preserve"> amministrativo</w:t>
      </w:r>
      <w:r w:rsidR="00C17DAB">
        <w:rPr>
          <w:b/>
          <w:bCs/>
          <w:sz w:val="24"/>
          <w:szCs w:val="24"/>
        </w:rPr>
        <w:t>*</w:t>
      </w:r>
      <w:r w:rsidR="00795E59">
        <w:rPr>
          <w:b/>
          <w:bCs/>
          <w:sz w:val="24"/>
          <w:szCs w:val="24"/>
        </w:rPr>
        <w:t>.</w:t>
      </w:r>
    </w:p>
    <w:p w14:paraId="6827A016" w14:textId="77777777" w:rsidR="00822187" w:rsidRDefault="00822187" w:rsidP="00822187">
      <w:pPr>
        <w:jc w:val="both"/>
        <w:rPr>
          <w:b/>
          <w:bCs/>
          <w:sz w:val="24"/>
          <w:szCs w:val="24"/>
        </w:rPr>
      </w:pPr>
    </w:p>
    <w:p w14:paraId="7B8076B5" w14:textId="14BEEBAE" w:rsidR="008A090E" w:rsidRDefault="004616CB" w:rsidP="00B73AE1">
      <w:pPr>
        <w:jc w:val="both"/>
        <w:rPr>
          <w:sz w:val="24"/>
          <w:szCs w:val="24"/>
        </w:rPr>
      </w:pPr>
      <w:r w:rsidRPr="00B73AE1">
        <w:rPr>
          <w:i/>
          <w:iCs/>
          <w:sz w:val="24"/>
          <w:szCs w:val="24"/>
        </w:rPr>
        <w:t xml:space="preserve">1 </w:t>
      </w:r>
      <w:r w:rsidR="00860D37" w:rsidRPr="00B73AE1">
        <w:rPr>
          <w:i/>
          <w:iCs/>
          <w:sz w:val="24"/>
          <w:szCs w:val="24"/>
        </w:rPr>
        <w:t xml:space="preserve">– La giustizia amministrativa </w:t>
      </w:r>
      <w:r w:rsidR="001C1762">
        <w:rPr>
          <w:i/>
          <w:iCs/>
          <w:sz w:val="24"/>
          <w:szCs w:val="24"/>
        </w:rPr>
        <w:t>alle origini d</w:t>
      </w:r>
      <w:r w:rsidR="008C662A">
        <w:rPr>
          <w:i/>
          <w:iCs/>
          <w:sz w:val="24"/>
          <w:szCs w:val="24"/>
        </w:rPr>
        <w:t xml:space="preserve">ello </w:t>
      </w:r>
      <w:r w:rsidR="00860D37" w:rsidRPr="00B73AE1">
        <w:rPr>
          <w:i/>
          <w:iCs/>
          <w:sz w:val="24"/>
          <w:szCs w:val="24"/>
        </w:rPr>
        <w:t>Stato a diritto amministrativo.</w:t>
      </w:r>
      <w:r w:rsidR="006C3E1E" w:rsidRPr="00B73AE1">
        <w:rPr>
          <w:sz w:val="24"/>
          <w:szCs w:val="24"/>
        </w:rPr>
        <w:t xml:space="preserve"> </w:t>
      </w:r>
    </w:p>
    <w:p w14:paraId="20DDF667" w14:textId="0AB276B3" w:rsidR="006C3E1E" w:rsidRPr="00B73AE1" w:rsidRDefault="004616CB" w:rsidP="00B73AE1">
      <w:pPr>
        <w:jc w:val="both"/>
        <w:rPr>
          <w:sz w:val="24"/>
          <w:szCs w:val="24"/>
        </w:rPr>
      </w:pPr>
      <w:r w:rsidRPr="00B73AE1">
        <w:rPr>
          <w:sz w:val="24"/>
          <w:szCs w:val="24"/>
        </w:rPr>
        <w:t xml:space="preserve">La giustizia amministrativa </w:t>
      </w:r>
      <w:r w:rsidR="006C3E1E" w:rsidRPr="00B73AE1">
        <w:rPr>
          <w:sz w:val="24"/>
          <w:szCs w:val="24"/>
        </w:rPr>
        <w:t>fino a non molti anni fa costituiva il capitolo finale, e forse</w:t>
      </w:r>
      <w:r w:rsidR="00860D37" w:rsidRPr="00B73AE1">
        <w:rPr>
          <w:sz w:val="24"/>
          <w:szCs w:val="24"/>
        </w:rPr>
        <w:t xml:space="preserve"> il</w:t>
      </w:r>
      <w:r w:rsidR="006C3E1E" w:rsidRPr="00B73AE1">
        <w:rPr>
          <w:sz w:val="24"/>
          <w:szCs w:val="24"/>
        </w:rPr>
        <w:t xml:space="preserve"> meno importante, di tutti i più collaudati manuali e trattati. </w:t>
      </w:r>
      <w:r w:rsidRPr="00B73AE1">
        <w:rPr>
          <w:sz w:val="24"/>
          <w:szCs w:val="24"/>
        </w:rPr>
        <w:t xml:space="preserve">Essa </w:t>
      </w:r>
      <w:r w:rsidR="006C3E1E" w:rsidRPr="00B73AE1">
        <w:rPr>
          <w:sz w:val="24"/>
          <w:szCs w:val="24"/>
        </w:rPr>
        <w:t>aveva una chiara collocazione sostanzialistica, e certo non processuale, laddove al centro del sistema veniva collocato l'atto amministrativo, e i rimedi ai suoi vizi, allora in larga parte disegnato secondo gli schemi civilistici derivanti dalle elaborazioni della teoria del negozio giuridico</w:t>
      </w:r>
      <w:r w:rsidR="00860D37" w:rsidRPr="00B73AE1">
        <w:rPr>
          <w:sz w:val="24"/>
          <w:szCs w:val="24"/>
        </w:rPr>
        <w:t>, importata dalla Pandettistica ed estesa all’atto amministrativo</w:t>
      </w:r>
      <w:r w:rsidR="006C3E1E" w:rsidRPr="00B73AE1">
        <w:rPr>
          <w:sz w:val="24"/>
          <w:szCs w:val="24"/>
        </w:rPr>
        <w:t xml:space="preserve">. </w:t>
      </w:r>
    </w:p>
    <w:p w14:paraId="7E428084" w14:textId="2C6B8C26" w:rsidR="006C3E1E" w:rsidRPr="00B73AE1" w:rsidRDefault="006C3E1E" w:rsidP="00B73AE1">
      <w:pPr>
        <w:jc w:val="both"/>
        <w:rPr>
          <w:sz w:val="24"/>
          <w:szCs w:val="24"/>
        </w:rPr>
      </w:pPr>
      <w:r w:rsidRPr="00B73AE1">
        <w:rPr>
          <w:sz w:val="24"/>
          <w:szCs w:val="24"/>
        </w:rPr>
        <w:t>La “giustizia amministrativa” finiva con il comprendere tutte quelle forme di controllo dirette a mantenere nell’ambito della legittimità l’esercizio del potere amministrativo. Ma, al tempo stesso, comprendeva in s</w:t>
      </w:r>
      <w:r w:rsidR="00860D37" w:rsidRPr="00B73AE1">
        <w:rPr>
          <w:sz w:val="24"/>
          <w:szCs w:val="24"/>
        </w:rPr>
        <w:t>é</w:t>
      </w:r>
      <w:r w:rsidRPr="00B73AE1">
        <w:rPr>
          <w:sz w:val="24"/>
          <w:szCs w:val="24"/>
        </w:rPr>
        <w:t xml:space="preserve"> tutti gli istituti, e le relative forme e tecniche di tutela, a disposizione del destinatario dell'azione amministrativa e che poteva utilizzare sia in sede amministrativa sia in sede giurisdizionale, secondo lo schema spaventiano della giustizia nell’amministrazione.</w:t>
      </w:r>
    </w:p>
    <w:p w14:paraId="0ACD8049" w14:textId="77777777" w:rsidR="008C662A" w:rsidRDefault="006C3E1E" w:rsidP="00B73AE1">
      <w:pPr>
        <w:jc w:val="both"/>
        <w:rPr>
          <w:sz w:val="24"/>
          <w:szCs w:val="24"/>
        </w:rPr>
      </w:pPr>
      <w:r w:rsidRPr="00B73AE1">
        <w:rPr>
          <w:sz w:val="24"/>
          <w:szCs w:val="24"/>
        </w:rPr>
        <w:t xml:space="preserve"> Sin dall’inizio fu chiaro che il cittadino si trovava naturalmente in una posizione debole, giustificata dal fatto che l'atto amministrativo, in quanto espressione delle ragioni della collettività, era in grado di sacrificare tutte le situazioni giuridiche soggettive. Anzi si può dire che la stessa ragion d'essere del diritto amministrativo, che ha avuto una indiscutibile origine pretoria, vada ricercata nell’opera di traduzione in termini giuridici della storia della tutela del cittadino nei confronti del potere amministrativo esercitato dalle burocrazie (</w:t>
      </w:r>
      <w:r w:rsidR="004616CB" w:rsidRPr="00B73AE1">
        <w:rPr>
          <w:sz w:val="24"/>
          <w:szCs w:val="24"/>
        </w:rPr>
        <w:t>d</w:t>
      </w:r>
      <w:r w:rsidRPr="00B73AE1">
        <w:rPr>
          <w:sz w:val="24"/>
          <w:szCs w:val="24"/>
        </w:rPr>
        <w:t>iventate via via sempre più autonome rispetto al potere sovran</w:t>
      </w:r>
      <w:r w:rsidR="004616CB" w:rsidRPr="00B73AE1">
        <w:rPr>
          <w:sz w:val="24"/>
          <w:szCs w:val="24"/>
        </w:rPr>
        <w:t>o</w:t>
      </w:r>
      <w:r w:rsidRPr="00B73AE1">
        <w:rPr>
          <w:sz w:val="24"/>
          <w:szCs w:val="24"/>
        </w:rPr>
        <w:t>), così come si è manifestata negli Stati autoritari del diciottesimo e diciannovesimo secolo e negli Stati democratici di oggi.</w:t>
      </w:r>
    </w:p>
    <w:p w14:paraId="58494382" w14:textId="6EA6A9D0" w:rsidR="006C3E1E" w:rsidRPr="00B73AE1" w:rsidRDefault="006C3E1E" w:rsidP="00B73AE1">
      <w:pPr>
        <w:jc w:val="both"/>
        <w:rPr>
          <w:sz w:val="24"/>
          <w:szCs w:val="24"/>
        </w:rPr>
      </w:pPr>
      <w:r w:rsidRPr="00B73AE1">
        <w:rPr>
          <w:sz w:val="24"/>
          <w:szCs w:val="24"/>
        </w:rPr>
        <w:t xml:space="preserve"> Peraltro, il pericolo di una burocrazia autoreferenziale si ripropone anche nel tempo attuale con l’affermarsi di una </w:t>
      </w:r>
      <w:proofErr w:type="spellStart"/>
      <w:r w:rsidRPr="00B73AE1">
        <w:rPr>
          <w:sz w:val="24"/>
          <w:szCs w:val="24"/>
        </w:rPr>
        <w:t>sovraordinazione</w:t>
      </w:r>
      <w:proofErr w:type="spellEnd"/>
      <w:r w:rsidRPr="00B73AE1">
        <w:rPr>
          <w:sz w:val="24"/>
          <w:szCs w:val="24"/>
        </w:rPr>
        <w:t xml:space="preserve"> delle burocrazie comunitarie rispetto a quelle nazionali, in assenza di un controbilanciamento di reali poteri sovrani degli organi</w:t>
      </w:r>
      <w:r w:rsidR="00860D37" w:rsidRPr="00B73AE1">
        <w:rPr>
          <w:sz w:val="24"/>
          <w:szCs w:val="24"/>
        </w:rPr>
        <w:t xml:space="preserve"> politici</w:t>
      </w:r>
      <w:r w:rsidRPr="00B73AE1">
        <w:rPr>
          <w:sz w:val="24"/>
          <w:szCs w:val="24"/>
        </w:rPr>
        <w:t xml:space="preserve"> rappresentativi dell’Unione Europea. </w:t>
      </w:r>
    </w:p>
    <w:p w14:paraId="45EC36AA" w14:textId="77777777" w:rsidR="008A090E" w:rsidRDefault="006C3E1E" w:rsidP="00B73AE1">
      <w:pPr>
        <w:jc w:val="both"/>
        <w:rPr>
          <w:i/>
          <w:iCs/>
          <w:sz w:val="24"/>
          <w:szCs w:val="24"/>
        </w:rPr>
      </w:pPr>
      <w:r w:rsidRPr="00B73AE1">
        <w:rPr>
          <w:i/>
          <w:iCs/>
          <w:sz w:val="24"/>
          <w:szCs w:val="24"/>
        </w:rPr>
        <w:t xml:space="preserve">2- </w:t>
      </w:r>
      <w:r w:rsidR="00860D37" w:rsidRPr="00B73AE1">
        <w:rPr>
          <w:i/>
          <w:iCs/>
          <w:sz w:val="24"/>
          <w:szCs w:val="24"/>
        </w:rPr>
        <w:t>IL codice sul processo amministrativo</w:t>
      </w:r>
      <w:r w:rsidR="00A232C6" w:rsidRPr="00B73AE1">
        <w:rPr>
          <w:i/>
          <w:iCs/>
          <w:sz w:val="24"/>
          <w:szCs w:val="24"/>
        </w:rPr>
        <w:t xml:space="preserve"> e il cambiamento del diritto amministrativo sostanziale</w:t>
      </w:r>
      <w:r w:rsidR="00860D37" w:rsidRPr="00B73AE1">
        <w:rPr>
          <w:i/>
          <w:iCs/>
          <w:sz w:val="24"/>
          <w:szCs w:val="24"/>
        </w:rPr>
        <w:t xml:space="preserve">. </w:t>
      </w:r>
    </w:p>
    <w:p w14:paraId="5B2867CE" w14:textId="0A56FB1D" w:rsidR="00860D37" w:rsidRPr="00B73AE1" w:rsidRDefault="006C3E1E" w:rsidP="00B73AE1">
      <w:pPr>
        <w:jc w:val="both"/>
        <w:rPr>
          <w:sz w:val="24"/>
          <w:szCs w:val="24"/>
        </w:rPr>
      </w:pPr>
      <w:r w:rsidRPr="00B73AE1">
        <w:rPr>
          <w:sz w:val="24"/>
          <w:szCs w:val="24"/>
        </w:rPr>
        <w:t>Con l’entrata in vigore del codice, mediante il decreto legislativo 2 luglio 201</w:t>
      </w:r>
      <w:r w:rsidR="004616CB" w:rsidRPr="00B73AE1">
        <w:rPr>
          <w:sz w:val="24"/>
          <w:szCs w:val="24"/>
        </w:rPr>
        <w:t>0</w:t>
      </w:r>
      <w:r w:rsidRPr="00B73AE1">
        <w:rPr>
          <w:sz w:val="24"/>
          <w:szCs w:val="24"/>
        </w:rPr>
        <w:t xml:space="preserve">, n. 104, sul rito del processo amministrativo le cose sono profondamente cambiate. Più precisamente, il Codice costituisce l’inevitabile conseguenza del radicale mutamento di prospettiva che ha </w:t>
      </w:r>
      <w:r w:rsidRPr="00B73AE1">
        <w:rPr>
          <w:sz w:val="24"/>
          <w:szCs w:val="24"/>
        </w:rPr>
        <w:lastRenderedPageBreak/>
        <w:t>riguardato sia il contesto, per così dire, esterno alla galassia della “giustizia amministrativa”, sia quello interno.</w:t>
      </w:r>
    </w:p>
    <w:p w14:paraId="2A70F6EE" w14:textId="1DD61299" w:rsidR="006C3E1E" w:rsidRPr="00B73AE1" w:rsidRDefault="006C3E1E" w:rsidP="00B73AE1">
      <w:pPr>
        <w:jc w:val="both"/>
        <w:rPr>
          <w:sz w:val="24"/>
          <w:szCs w:val="24"/>
        </w:rPr>
      </w:pPr>
      <w:proofErr w:type="gramStart"/>
      <w:r w:rsidRPr="00B73AE1">
        <w:rPr>
          <w:sz w:val="24"/>
          <w:szCs w:val="24"/>
        </w:rPr>
        <w:t>E</w:t>
      </w:r>
      <w:r w:rsidR="003D5073">
        <w:rPr>
          <w:sz w:val="24"/>
          <w:szCs w:val="24"/>
        </w:rPr>
        <w:t>’</w:t>
      </w:r>
      <w:proofErr w:type="gramEnd"/>
      <w:r w:rsidRPr="00B73AE1">
        <w:rPr>
          <w:sz w:val="24"/>
          <w:szCs w:val="24"/>
        </w:rPr>
        <w:t xml:space="preserve"> noto lo sconvolgimento del diritto amministrativo sostanziale.</w:t>
      </w:r>
    </w:p>
    <w:p w14:paraId="4ABDE1B3" w14:textId="1E085072" w:rsidR="006C3E1E" w:rsidRPr="00B73AE1" w:rsidRDefault="006C3E1E" w:rsidP="00B73AE1">
      <w:pPr>
        <w:jc w:val="both"/>
        <w:rPr>
          <w:sz w:val="24"/>
          <w:szCs w:val="24"/>
        </w:rPr>
      </w:pPr>
      <w:r w:rsidRPr="00B73AE1">
        <w:rPr>
          <w:sz w:val="24"/>
          <w:szCs w:val="24"/>
        </w:rPr>
        <w:t xml:space="preserve">Esso ha riguardato la soggettività pubblica, laddove, con la riforma costituzionale del 2001, si è avuta la devoluzione di molte competenze dallo Stato agli enti autarchici territoriali (sussidiarietà verticale); il coinvolgimento dei privati nello svolgimento dell’attività amministrativa (sussidiarietà orizzontale), con la disintegrazione delle formule </w:t>
      </w:r>
      <w:proofErr w:type="spellStart"/>
      <w:r w:rsidRPr="00B73AE1">
        <w:rPr>
          <w:sz w:val="24"/>
          <w:szCs w:val="24"/>
        </w:rPr>
        <w:t>organizzatorie</w:t>
      </w:r>
      <w:proofErr w:type="spellEnd"/>
      <w:r w:rsidRPr="00B73AE1">
        <w:rPr>
          <w:sz w:val="24"/>
          <w:szCs w:val="24"/>
        </w:rPr>
        <w:t xml:space="preserve"> tradizionali a favore di modelli tratti dal diritto privato</w:t>
      </w:r>
      <w:r w:rsidR="00E3436E">
        <w:rPr>
          <w:sz w:val="24"/>
          <w:szCs w:val="24"/>
        </w:rPr>
        <w:t>,</w:t>
      </w:r>
      <w:r w:rsidRPr="00B73AE1">
        <w:rPr>
          <w:sz w:val="24"/>
          <w:szCs w:val="24"/>
        </w:rPr>
        <w:t xml:space="preserve"> come le società a controllo pubblico e le società </w:t>
      </w:r>
      <w:r w:rsidRPr="00B73AE1">
        <w:rPr>
          <w:i/>
          <w:sz w:val="24"/>
          <w:szCs w:val="24"/>
        </w:rPr>
        <w:t>in house</w:t>
      </w:r>
      <w:r w:rsidRPr="00B73AE1">
        <w:rPr>
          <w:sz w:val="24"/>
          <w:szCs w:val="24"/>
        </w:rPr>
        <w:t xml:space="preserve">, senza escludere la poderosa proliferazione delle autorità amministrative indipendenti, che hanno reclamato particolari forme di tutela. </w:t>
      </w:r>
    </w:p>
    <w:p w14:paraId="718876AD" w14:textId="77777777" w:rsidR="006C3E1E" w:rsidRPr="00B73AE1" w:rsidRDefault="006C3E1E" w:rsidP="00B73AE1">
      <w:pPr>
        <w:jc w:val="both"/>
        <w:rPr>
          <w:sz w:val="24"/>
          <w:szCs w:val="24"/>
        </w:rPr>
      </w:pPr>
      <w:r w:rsidRPr="00B73AE1">
        <w:rPr>
          <w:sz w:val="24"/>
          <w:szCs w:val="24"/>
        </w:rPr>
        <w:t>Lo sconvolgimento del sistema ha riguardato anche l’attività amministrativa, culminata con l’approvazione della legge 7 agosto 1990, n. 241 ( e le tante modifiche successive), che ha una valenza sostanzialmente costituzionale, laddove, penetrando nel corpo sociale, ha segnato la fine dell’impostazione autoritaria originaria del diritto amministrativo, rendendo concretamente operante il principio di legalità, finalmente valevole anche per le burocrazie, che si sono dovute adattare ai nuovi moduli consensuali dell’”amministrare”, alla trasparenza, alla partecipazione, all’efficienza.</w:t>
      </w:r>
    </w:p>
    <w:p w14:paraId="1B3DC535" w14:textId="77777777" w:rsidR="006C3E1E" w:rsidRPr="00B73AE1" w:rsidRDefault="006C3E1E" w:rsidP="00B73AE1">
      <w:pPr>
        <w:jc w:val="both"/>
        <w:rPr>
          <w:sz w:val="24"/>
          <w:szCs w:val="24"/>
        </w:rPr>
      </w:pPr>
      <w:r w:rsidRPr="00B73AE1">
        <w:rPr>
          <w:sz w:val="24"/>
          <w:szCs w:val="24"/>
        </w:rPr>
        <w:t xml:space="preserve">Naturalmente, nell’opera di rifondazione delle basi del diritto amministrativo vanno ricompresi anche la responsabilità e la tutela, come si vedrà oltre. </w:t>
      </w:r>
    </w:p>
    <w:p w14:paraId="2BC34D8F" w14:textId="77777777" w:rsidR="006C3E1E" w:rsidRPr="00B73AE1" w:rsidRDefault="006C3E1E" w:rsidP="00B73AE1">
      <w:pPr>
        <w:jc w:val="both"/>
        <w:rPr>
          <w:sz w:val="24"/>
          <w:szCs w:val="24"/>
        </w:rPr>
      </w:pPr>
      <w:r w:rsidRPr="00B73AE1">
        <w:rPr>
          <w:sz w:val="24"/>
          <w:szCs w:val="24"/>
        </w:rPr>
        <w:t>In questo ha avuto un ruolo importante anche il diritto comunitario.</w:t>
      </w:r>
    </w:p>
    <w:p w14:paraId="7E832F7A" w14:textId="77777777" w:rsidR="006C3E1E" w:rsidRPr="00B73AE1" w:rsidRDefault="006C3E1E" w:rsidP="00B73AE1">
      <w:pPr>
        <w:jc w:val="both"/>
        <w:rPr>
          <w:sz w:val="24"/>
          <w:szCs w:val="24"/>
        </w:rPr>
      </w:pPr>
      <w:r w:rsidRPr="00B73AE1">
        <w:rPr>
          <w:sz w:val="24"/>
          <w:szCs w:val="24"/>
        </w:rPr>
        <w:t xml:space="preserve">Il mutamento del quadro generale del diritto sostanziale non poteva non avere effetti diretti nel contesto interno alla “giustizia amministrativa”, originariamente disegnata per coniugare la conformità alla legge dell’azione amministrativa e il raggiungimento del risultato migliore nel caso concreto, laddove veniva perseguito l’interesse pubblico dato in attribuzione alla singola amministrazione. </w:t>
      </w:r>
    </w:p>
    <w:p w14:paraId="09C154EF" w14:textId="044E2FE0" w:rsidR="006C3E1E" w:rsidRPr="00B73AE1" w:rsidRDefault="006C3E1E" w:rsidP="00B73AE1">
      <w:pPr>
        <w:jc w:val="both"/>
        <w:rPr>
          <w:sz w:val="24"/>
          <w:szCs w:val="24"/>
        </w:rPr>
      </w:pPr>
      <w:r w:rsidRPr="00B73AE1">
        <w:rPr>
          <w:sz w:val="24"/>
          <w:szCs w:val="24"/>
        </w:rPr>
        <w:t xml:space="preserve">Così come originariamente concepita, la giustizia amministrativa tradiva una concezione oggettiva della tutela, che, in quanto tale, poneva al centro il potere amministrativo, naturalmente predisposto a sacrificare le posizioni soggettive travolte dall’esercizio del potere medesimo. Sicché, in questa accezione finivano col rientrare le garanzie procedimentali, l’autotutela decisoria (annullamento d’ufficio, revoca, riforma, sospensione e così via), </w:t>
      </w:r>
      <w:r w:rsidR="008C662A">
        <w:rPr>
          <w:sz w:val="24"/>
          <w:szCs w:val="24"/>
        </w:rPr>
        <w:t xml:space="preserve">i </w:t>
      </w:r>
      <w:r w:rsidRPr="00B73AE1">
        <w:rPr>
          <w:sz w:val="24"/>
          <w:szCs w:val="24"/>
        </w:rPr>
        <w:t xml:space="preserve">controlli amministrativi di legittimità e di merito. Per i rimedi giustiziali </w:t>
      </w:r>
      <w:r w:rsidR="008C662A">
        <w:rPr>
          <w:sz w:val="24"/>
          <w:szCs w:val="24"/>
        </w:rPr>
        <w:t>non vi è spazio in questa sede</w:t>
      </w:r>
      <w:r w:rsidRPr="00B73AE1">
        <w:rPr>
          <w:sz w:val="24"/>
          <w:szCs w:val="24"/>
        </w:rPr>
        <w:t>.</w:t>
      </w:r>
    </w:p>
    <w:p w14:paraId="58E400CE" w14:textId="77777777" w:rsidR="006C3E1E" w:rsidRPr="00B73AE1" w:rsidRDefault="006C3E1E" w:rsidP="00B73AE1">
      <w:pPr>
        <w:jc w:val="both"/>
        <w:rPr>
          <w:sz w:val="24"/>
          <w:szCs w:val="24"/>
        </w:rPr>
      </w:pPr>
      <w:r w:rsidRPr="00B73AE1">
        <w:rPr>
          <w:sz w:val="24"/>
          <w:szCs w:val="24"/>
        </w:rPr>
        <w:t xml:space="preserve">In tale contesto, anche il processo giurisdizionale amministrativo si muoveva all’insegna di una moderata ambiguità, nonostante la faticosa ricerca dei giudici amministrativi di trovare un </w:t>
      </w:r>
      <w:r w:rsidRPr="00B73AE1">
        <w:rPr>
          <w:sz w:val="24"/>
          <w:szCs w:val="24"/>
        </w:rPr>
        <w:lastRenderedPageBreak/>
        <w:t>punto di equilibrio, che fornisse tutela effettiva al ricorrente nel rispetto della potestà, costituzionalmente attribuita, esercitata dall’amministrazione, che poi costituiva l’essenza della situazione soggettiva di cui veniva lamentata la lesione, ossia l’interesse legittimo, che si configura anche nei confronti dell’esercizio di poteri privati e quindi oramai fa parte della teoria generale del diritto.</w:t>
      </w:r>
    </w:p>
    <w:p w14:paraId="3E291B92" w14:textId="77777777" w:rsidR="008A090E" w:rsidRDefault="006C3E1E" w:rsidP="00B73AE1">
      <w:pPr>
        <w:jc w:val="both"/>
        <w:rPr>
          <w:i/>
          <w:iCs/>
          <w:sz w:val="24"/>
          <w:szCs w:val="24"/>
        </w:rPr>
      </w:pPr>
      <w:r w:rsidRPr="00B73AE1">
        <w:rPr>
          <w:i/>
          <w:iCs/>
          <w:sz w:val="24"/>
          <w:szCs w:val="24"/>
        </w:rPr>
        <w:t xml:space="preserve">3- </w:t>
      </w:r>
      <w:r w:rsidR="00860D37" w:rsidRPr="00B73AE1">
        <w:rPr>
          <w:i/>
          <w:iCs/>
          <w:sz w:val="24"/>
          <w:szCs w:val="24"/>
        </w:rPr>
        <w:t>La centralità del procedimento amministrativo e il c. d. bene della vita del privato.</w:t>
      </w:r>
    </w:p>
    <w:p w14:paraId="272F3189" w14:textId="5B783E3A" w:rsidR="004616CB" w:rsidRPr="00B73AE1" w:rsidRDefault="006C3E1E" w:rsidP="00B73AE1">
      <w:pPr>
        <w:jc w:val="both"/>
        <w:rPr>
          <w:sz w:val="24"/>
          <w:szCs w:val="24"/>
        </w:rPr>
      </w:pPr>
      <w:r w:rsidRPr="00B73AE1">
        <w:rPr>
          <w:sz w:val="24"/>
          <w:szCs w:val="24"/>
        </w:rPr>
        <w:t xml:space="preserve"> </w:t>
      </w:r>
      <w:r w:rsidR="00FA550D" w:rsidRPr="00B73AE1">
        <w:rPr>
          <w:sz w:val="24"/>
          <w:szCs w:val="24"/>
        </w:rPr>
        <w:t>Il v</w:t>
      </w:r>
      <w:r w:rsidRPr="00B73AE1">
        <w:rPr>
          <w:sz w:val="24"/>
          <w:szCs w:val="24"/>
        </w:rPr>
        <w:t>ero salto di qualità si è avuto, in primo luogo, quando al centro del sistema è stato posto il procedimento e non più l’atto amministrativo, ossia quando si è avuta la consapevolezza che tutti gli atti amministrativi sono procedimentalizzati (</w:t>
      </w:r>
      <w:r w:rsidRPr="00211209">
        <w:rPr>
          <w:i/>
          <w:iCs/>
          <w:sz w:val="24"/>
          <w:szCs w:val="24"/>
        </w:rPr>
        <w:t>G</w:t>
      </w:r>
      <w:r w:rsidR="00211209">
        <w:rPr>
          <w:i/>
          <w:iCs/>
          <w:sz w:val="24"/>
          <w:szCs w:val="24"/>
        </w:rPr>
        <w:t>iannini</w:t>
      </w:r>
      <w:r w:rsidRPr="00B73AE1">
        <w:rPr>
          <w:sz w:val="24"/>
          <w:szCs w:val="24"/>
        </w:rPr>
        <w:t xml:space="preserve">) e che la lesione dell’interesse coinvolto dal procedimento si può verificare già con l’apertura del procedimento medesimo e non solo con l’emanazione dell’atto, che, in quanto appartenente al mondo giuridico, non sempre incide di per sé “sull’interesse </w:t>
      </w:r>
      <w:proofErr w:type="spellStart"/>
      <w:r w:rsidRPr="00B73AE1">
        <w:rPr>
          <w:sz w:val="24"/>
          <w:szCs w:val="24"/>
        </w:rPr>
        <w:t>materale</w:t>
      </w:r>
      <w:proofErr w:type="spellEnd"/>
      <w:r w:rsidRPr="00B73AE1">
        <w:rPr>
          <w:sz w:val="24"/>
          <w:szCs w:val="24"/>
        </w:rPr>
        <w:t xml:space="preserve">” al bene della vita, al contrario invece della sua esecuzione, che incide sempre e comunque. </w:t>
      </w:r>
    </w:p>
    <w:p w14:paraId="3DFFD094" w14:textId="6A93123A" w:rsidR="006C3E1E" w:rsidRPr="00B73AE1" w:rsidRDefault="006C3E1E" w:rsidP="00B73AE1">
      <w:pPr>
        <w:jc w:val="both"/>
        <w:rPr>
          <w:sz w:val="24"/>
          <w:szCs w:val="24"/>
        </w:rPr>
      </w:pPr>
      <w:r w:rsidRPr="00B73AE1">
        <w:rPr>
          <w:sz w:val="24"/>
          <w:szCs w:val="24"/>
        </w:rPr>
        <w:t xml:space="preserve">In secondo luogo, quando si è stabilito un collegamento diretto tra il procedimento e l’interesse al bene della vita in attribuzione al soggetto coinvolto, normalmente già esistente nel suo patrimonio prima dell’apertura del procedimento stesso, soprattutto se si considera che di quel patrimonio fa parte anche il legittimo affidamento, che costituisce poi la situazione soggettiva base dell’interesse pretensivo. </w:t>
      </w:r>
    </w:p>
    <w:p w14:paraId="7DC94AF2" w14:textId="77777777" w:rsidR="001C1762" w:rsidRDefault="006C3E1E" w:rsidP="001C1762">
      <w:pPr>
        <w:jc w:val="both"/>
        <w:rPr>
          <w:sz w:val="24"/>
          <w:szCs w:val="24"/>
        </w:rPr>
      </w:pPr>
      <w:r w:rsidRPr="00B73AE1">
        <w:rPr>
          <w:sz w:val="24"/>
          <w:szCs w:val="24"/>
        </w:rPr>
        <w:t xml:space="preserve">La sua centralità è confermata dall’art. 7, comma 2, del </w:t>
      </w:r>
      <w:proofErr w:type="spellStart"/>
      <w:r w:rsidRPr="00B73AE1">
        <w:rPr>
          <w:sz w:val="24"/>
          <w:szCs w:val="24"/>
        </w:rPr>
        <w:t>Cpa</w:t>
      </w:r>
      <w:proofErr w:type="spellEnd"/>
      <w:r w:rsidRPr="00B73AE1">
        <w:rPr>
          <w:sz w:val="24"/>
          <w:szCs w:val="24"/>
        </w:rPr>
        <w:t>, laddove fa discendere dall’obbligo dell’osservanza dei principi del procedimento da parte di un soggetto il segno di identificazione della natura pubblica del medesimo, che potrebbe agire in una veste privatistica a seguito dell’affermazione del principio della neutralità delle forme giuridiche, e nei cui confronti invece si applica la disciplina del codice, al pari di qualunque altro soggetto a struttura amministrativa tradizionale.</w:t>
      </w:r>
    </w:p>
    <w:p w14:paraId="03103B31" w14:textId="44488484" w:rsidR="001C1762" w:rsidRPr="00B73AE1" w:rsidRDefault="001C1762" w:rsidP="001C1762">
      <w:pPr>
        <w:jc w:val="both"/>
        <w:rPr>
          <w:sz w:val="24"/>
          <w:szCs w:val="24"/>
        </w:rPr>
      </w:pPr>
      <w:r w:rsidRPr="001C1762">
        <w:rPr>
          <w:sz w:val="24"/>
          <w:szCs w:val="24"/>
        </w:rPr>
        <w:t xml:space="preserve"> </w:t>
      </w:r>
      <w:r w:rsidRPr="00B73AE1">
        <w:rPr>
          <w:sz w:val="24"/>
          <w:szCs w:val="24"/>
        </w:rPr>
        <w:t xml:space="preserve">Questo naturalmente </w:t>
      </w:r>
      <w:r>
        <w:rPr>
          <w:sz w:val="24"/>
          <w:szCs w:val="24"/>
        </w:rPr>
        <w:t>sta ad indicare che non diventa affatto</w:t>
      </w:r>
      <w:r w:rsidRPr="00B73AE1">
        <w:rPr>
          <w:sz w:val="24"/>
          <w:szCs w:val="24"/>
        </w:rPr>
        <w:t xml:space="preserve"> irrilevante la natura pubblica del soggetto nei cui confronti si agisce, altrimenti non sarebbe giustificata la presenza di un sistema giurisdizionale “ordinariamente” predisposto alla tutela di quella specifica e diversa situazione giuridica soggettiva, avente pari dignità rispetto a quella “ordinariamente” predisposta per la tutela del diritto soggettivo. Quest’ultima giurisdizione peraltro continua ad avere un ruolo indiretto anche per la tutela degli interessi legittimi. </w:t>
      </w:r>
    </w:p>
    <w:p w14:paraId="20BB721D" w14:textId="77777777" w:rsidR="001C1762" w:rsidRPr="00B73AE1" w:rsidRDefault="001C1762" w:rsidP="001C1762">
      <w:pPr>
        <w:jc w:val="both"/>
        <w:rPr>
          <w:sz w:val="24"/>
          <w:szCs w:val="24"/>
        </w:rPr>
      </w:pPr>
      <w:r w:rsidRPr="00B73AE1">
        <w:rPr>
          <w:sz w:val="24"/>
          <w:szCs w:val="24"/>
        </w:rPr>
        <w:t xml:space="preserve">Il fatto che la parola ultima sulla spettanza della giurisdizione sia affidata alla Corte di Cassazione (sono note le ragioni storiche della scelta del costituente) non cambia la sostanza delle cose, come dimostra il fatto che nella vicina Francia i conflitti di giurisdizione vengono </w:t>
      </w:r>
      <w:r w:rsidRPr="00B73AE1">
        <w:rPr>
          <w:sz w:val="24"/>
          <w:szCs w:val="24"/>
        </w:rPr>
        <w:lastRenderedPageBreak/>
        <w:t xml:space="preserve">risolti da una sezione mista, peraltro logisticamente installata presso il Consiglio di Stato francese. </w:t>
      </w:r>
    </w:p>
    <w:p w14:paraId="19F18D44" w14:textId="52157590" w:rsidR="006C3E1E" w:rsidRPr="00B73AE1" w:rsidRDefault="006C3E1E" w:rsidP="00B73AE1">
      <w:pPr>
        <w:jc w:val="both"/>
        <w:rPr>
          <w:sz w:val="24"/>
          <w:szCs w:val="24"/>
        </w:rPr>
      </w:pPr>
    </w:p>
    <w:p w14:paraId="62C538D3" w14:textId="573D0363" w:rsidR="006C3E1E" w:rsidRPr="00B73AE1" w:rsidRDefault="006C3E1E" w:rsidP="00B73AE1">
      <w:pPr>
        <w:jc w:val="both"/>
        <w:rPr>
          <w:sz w:val="24"/>
          <w:szCs w:val="24"/>
        </w:rPr>
      </w:pPr>
      <w:r w:rsidRPr="00B73AE1">
        <w:rPr>
          <w:sz w:val="24"/>
          <w:szCs w:val="24"/>
        </w:rPr>
        <w:t xml:space="preserve">Non va sottaciuto che il procedimento amministrativo diventa l’unico momento di garanzia in un mondo dove le Costituzioni e le Convenzioni moderne pongono regole </w:t>
      </w:r>
      <w:r w:rsidR="008C662A">
        <w:rPr>
          <w:sz w:val="24"/>
          <w:szCs w:val="24"/>
        </w:rPr>
        <w:t>ma anche</w:t>
      </w:r>
      <w:r w:rsidRPr="00B73AE1">
        <w:rPr>
          <w:sz w:val="24"/>
          <w:szCs w:val="24"/>
        </w:rPr>
        <w:t xml:space="preserve"> valori. Esso non è il luogo del rispetto formale delle regole bensì quello di soddisfare le pretese della persona, minacciate dall’antagonismo dialettico tra legge e diritto, tra principi e regole. Esso è divenuto lo strumento di controllo dal basso contro il possibile deviamento del potere, che va riportato nei limiti della proporzionalità e della ragionevolezza, quali espressione di quel &lt;&lt;diritto mite&gt;&gt; che deve governare i rapporti giuridici nazionali e sovranazionali.</w:t>
      </w:r>
    </w:p>
    <w:p w14:paraId="4321EFA9" w14:textId="141C023C" w:rsidR="006C3E1E" w:rsidRPr="00B73AE1" w:rsidRDefault="006C3E1E" w:rsidP="00B73AE1">
      <w:pPr>
        <w:jc w:val="both"/>
        <w:rPr>
          <w:sz w:val="24"/>
          <w:szCs w:val="24"/>
        </w:rPr>
      </w:pPr>
      <w:r w:rsidRPr="00B73AE1">
        <w:rPr>
          <w:sz w:val="24"/>
          <w:szCs w:val="24"/>
        </w:rPr>
        <w:t>Non bisogna dimenticare che la minaccia alle legittime pretese dei privati provengono proprio dalla semplificazione amministrativa e dall’amministrazione per risultato, in quanto, come è stato osservato (</w:t>
      </w:r>
      <w:proofErr w:type="spellStart"/>
      <w:proofErr w:type="gramStart"/>
      <w:r w:rsidRPr="00211209">
        <w:rPr>
          <w:i/>
          <w:iCs/>
          <w:sz w:val="22"/>
          <w:szCs w:val="22"/>
        </w:rPr>
        <w:t>R.</w:t>
      </w:r>
      <w:r w:rsidR="00211209" w:rsidRPr="00211209">
        <w:rPr>
          <w:i/>
          <w:iCs/>
          <w:sz w:val="22"/>
          <w:szCs w:val="22"/>
        </w:rPr>
        <w:t>Ferrara</w:t>
      </w:r>
      <w:proofErr w:type="spellEnd"/>
      <w:proofErr w:type="gramEnd"/>
      <w:r w:rsidRPr="00B73AE1">
        <w:rPr>
          <w:sz w:val="24"/>
          <w:szCs w:val="24"/>
        </w:rPr>
        <w:t xml:space="preserve">), l’ansia del provvedere sterilizza il fattore tempo e neutralizza la forma in quanto valore. Non bisogna dimenticare che il procedimento, quale strumento di dialogo con il sistema delle imprese, può produrre la </w:t>
      </w:r>
      <w:proofErr w:type="spellStart"/>
      <w:r w:rsidRPr="00B73AE1">
        <w:rPr>
          <w:sz w:val="24"/>
          <w:szCs w:val="24"/>
        </w:rPr>
        <w:t>dequotazione</w:t>
      </w:r>
      <w:proofErr w:type="spellEnd"/>
      <w:r w:rsidRPr="00B73AE1">
        <w:rPr>
          <w:sz w:val="24"/>
          <w:szCs w:val="24"/>
        </w:rPr>
        <w:t xml:space="preserve"> delle ragioni della legittimità rispetto a quelle dell’efficacia e dell’efficienza dell’amministrazione</w:t>
      </w:r>
      <w:r w:rsidR="00FA550D" w:rsidRPr="00B73AE1">
        <w:rPr>
          <w:sz w:val="24"/>
          <w:szCs w:val="24"/>
        </w:rPr>
        <w:t xml:space="preserve"> (il principio del risultato ora previsto nel codice dei contratti pubblici)</w:t>
      </w:r>
      <w:r w:rsidRPr="00B73AE1">
        <w:rPr>
          <w:sz w:val="24"/>
          <w:szCs w:val="24"/>
        </w:rPr>
        <w:t xml:space="preserve">. </w:t>
      </w:r>
    </w:p>
    <w:p w14:paraId="07F40DA6" w14:textId="77777777" w:rsidR="006C3E1E" w:rsidRPr="00B73AE1" w:rsidRDefault="006C3E1E" w:rsidP="00B73AE1">
      <w:pPr>
        <w:jc w:val="both"/>
        <w:rPr>
          <w:sz w:val="24"/>
          <w:szCs w:val="24"/>
        </w:rPr>
      </w:pPr>
      <w:r w:rsidRPr="00B73AE1">
        <w:rPr>
          <w:sz w:val="24"/>
          <w:szCs w:val="24"/>
        </w:rPr>
        <w:t>In questi ultimi anni sulla scena della tutela amministrativa, dunque, è comparso anche il c.d. bene della vita, ma l’uso che se ne fa non sempre è corretto, e forse è necessaria qualche precisazione.</w:t>
      </w:r>
    </w:p>
    <w:p w14:paraId="2D414492" w14:textId="77777777" w:rsidR="00B56C4F" w:rsidRDefault="006C3E1E" w:rsidP="00B73AE1">
      <w:pPr>
        <w:jc w:val="both"/>
        <w:rPr>
          <w:sz w:val="24"/>
          <w:szCs w:val="24"/>
        </w:rPr>
      </w:pPr>
      <w:r w:rsidRPr="00B73AE1">
        <w:rPr>
          <w:sz w:val="24"/>
          <w:szCs w:val="24"/>
        </w:rPr>
        <w:t xml:space="preserve"> Nel momento in cui la pubblica amministrazione comincia ad esercitare la propria potestà, in capo al soggetto interessato al medesimo bene rimane ferma la sua originaria situazione giuridica soggettiva in cui si è tradotto il suo interesse materiale al bene medesimo, fino a che non si conclude il procedimento, la cui apertura, a seguito dell’esercizio della potestà, ha fatto nascere in capo al privato quella situazione soggettiva denominata interesse legittimo. </w:t>
      </w:r>
    </w:p>
    <w:p w14:paraId="38BC5852" w14:textId="67F49692" w:rsidR="006C3E1E" w:rsidRPr="00B73AE1" w:rsidRDefault="006C3E1E" w:rsidP="00B73AE1">
      <w:pPr>
        <w:jc w:val="both"/>
        <w:rPr>
          <w:sz w:val="24"/>
          <w:szCs w:val="24"/>
        </w:rPr>
      </w:pPr>
      <w:r w:rsidRPr="00B73AE1">
        <w:rPr>
          <w:sz w:val="24"/>
          <w:szCs w:val="24"/>
        </w:rPr>
        <w:t>È necessario comprendere che il soggetto è già legato al bene della vita da un’altra situazione giuridica soggettiva sulla quale va poi ad “incidere” l’azione amministrativa e che il contatto tra privato e amministrazione non si può ridurre al semplice rapporto-potestà soggezione, in quanto tale soggezione si connota nei modi più vari, a seconda del tipo di rapporto giuridico in cui il soggetto si trova rispetto al bene della vita coinvolto nel procedimento amministrativo. Da qui la difficoltà di trovare il nucleo essenziale della nozione di interesse legittimo e ciò che lo differenzia dal diritto soggettivo e dalle altre situazioni giuridiche soggettive. Tali diversità determinano, di conseguenza, forme e tecniche di tutela diverse.</w:t>
      </w:r>
    </w:p>
    <w:p w14:paraId="2C95126A" w14:textId="77777777" w:rsidR="006C3E1E" w:rsidRPr="00B73AE1" w:rsidRDefault="006C3E1E" w:rsidP="00B73AE1">
      <w:pPr>
        <w:jc w:val="both"/>
        <w:rPr>
          <w:sz w:val="24"/>
          <w:szCs w:val="24"/>
        </w:rPr>
      </w:pPr>
      <w:r w:rsidRPr="00B73AE1">
        <w:rPr>
          <w:sz w:val="24"/>
          <w:szCs w:val="24"/>
        </w:rPr>
        <w:lastRenderedPageBreak/>
        <w:t xml:space="preserve">È chiaro quindi che il collegamento tra bene della vita, meglio sarebbe parlare di situazione giuridica soggettiva “di base” (diritto, possesso, onere, interesse legittimo, interesse di fatto e così via) del soggetto coinvolto nel procedimento, ed effetto dell’atto, necessariamente procedimentalizzato, ha imposto una rivisitazione della nozione di interesse legittimo. </w:t>
      </w:r>
    </w:p>
    <w:p w14:paraId="6DF03111" w14:textId="1CD6FFA1" w:rsidR="006C3E1E" w:rsidRPr="00B73AE1" w:rsidRDefault="006C3E1E" w:rsidP="00B73AE1">
      <w:pPr>
        <w:jc w:val="both"/>
        <w:rPr>
          <w:sz w:val="24"/>
          <w:szCs w:val="24"/>
        </w:rPr>
      </w:pPr>
      <w:r w:rsidRPr="00B73AE1">
        <w:rPr>
          <w:sz w:val="24"/>
          <w:szCs w:val="24"/>
        </w:rPr>
        <w:t>Esso non è più riducibile alla sintesi di poteri e facoltà procedimentali tesi ad ottenere</w:t>
      </w:r>
      <w:r w:rsidR="00FA550D" w:rsidRPr="00B73AE1">
        <w:rPr>
          <w:sz w:val="24"/>
          <w:szCs w:val="24"/>
        </w:rPr>
        <w:t xml:space="preserve"> </w:t>
      </w:r>
      <w:r w:rsidRPr="00B73AE1">
        <w:rPr>
          <w:sz w:val="24"/>
          <w:szCs w:val="24"/>
        </w:rPr>
        <w:t>il provvedimento favorevole. Ma si sostanzia nella legittima pretesa alla conservazione della situazione giuridica di base rispetto all’azione amministrativa reputata illegittima (interesse oppositivo) o nella legittima pretesa di esaltazione (interesse pretensivo) della situazione giuridica di base, che postula un comportamento positivo, e concretamente satisfattorio, della pretesa al conseguimento del provvedimento attraverso il quale potrà ottenere il ben</w:t>
      </w:r>
      <w:r w:rsidR="00B56C4F">
        <w:rPr>
          <w:sz w:val="24"/>
          <w:szCs w:val="24"/>
        </w:rPr>
        <w:t>e</w:t>
      </w:r>
      <w:r w:rsidRPr="00B73AE1">
        <w:rPr>
          <w:sz w:val="24"/>
          <w:szCs w:val="24"/>
        </w:rPr>
        <w:t>.</w:t>
      </w:r>
    </w:p>
    <w:p w14:paraId="32973ABC" w14:textId="1024FF0D" w:rsidR="006C3E1E" w:rsidRPr="00B73AE1" w:rsidRDefault="006C3E1E" w:rsidP="00B73AE1">
      <w:pPr>
        <w:jc w:val="both"/>
        <w:rPr>
          <w:sz w:val="24"/>
          <w:szCs w:val="24"/>
        </w:rPr>
      </w:pPr>
      <w:r w:rsidRPr="00B73AE1">
        <w:rPr>
          <w:sz w:val="24"/>
          <w:szCs w:val="24"/>
        </w:rPr>
        <w:t xml:space="preserve"> Sulla “fondatezza della pretesa” è significativamente costruita la tutela avverso l’inerzia dell’amministrazione (art. 31, comma 3, </w:t>
      </w:r>
      <w:proofErr w:type="spellStart"/>
      <w:r w:rsidRPr="00B73AE1">
        <w:rPr>
          <w:sz w:val="24"/>
          <w:szCs w:val="24"/>
        </w:rPr>
        <w:t>Cpa</w:t>
      </w:r>
      <w:proofErr w:type="spellEnd"/>
      <w:r w:rsidRPr="00B73AE1">
        <w:rPr>
          <w:sz w:val="24"/>
          <w:szCs w:val="24"/>
        </w:rPr>
        <w:t xml:space="preserve">); è il caso di ricordare che le prime decisioni “giurisdizionali” del consiglio di Stato furono pronunciate proprio per tutelare i privati dai “silenzi” dell’amministrazione. </w:t>
      </w:r>
    </w:p>
    <w:p w14:paraId="6EB504F4" w14:textId="77777777" w:rsidR="006C3E1E" w:rsidRPr="00B73AE1" w:rsidRDefault="006C3E1E" w:rsidP="00B73AE1">
      <w:pPr>
        <w:jc w:val="both"/>
        <w:rPr>
          <w:sz w:val="24"/>
          <w:szCs w:val="24"/>
        </w:rPr>
      </w:pPr>
      <w:r w:rsidRPr="00B73AE1">
        <w:rPr>
          <w:sz w:val="24"/>
          <w:szCs w:val="24"/>
        </w:rPr>
        <w:t>Se questo si ritiene non sia avvenuto nel singolo caso scatta la tutela giurisdizionale, che deve essere capace di fornire al ricorrente vittorioso tutto ciò che doveva ottenere nella sede sostanziale, ma non più di quello. Per realizzare questo c’è bisogno di un giudice tecnicamente attrezzato a capire anche le ragioni dell’amministrazione e che abbia tutti gli strumenti processuali necessari per intervenire efficacemente.</w:t>
      </w:r>
    </w:p>
    <w:p w14:paraId="6B5DE5BE" w14:textId="77777777" w:rsidR="008A090E" w:rsidRDefault="006C3E1E" w:rsidP="00B73AE1">
      <w:pPr>
        <w:jc w:val="both"/>
        <w:rPr>
          <w:i/>
          <w:iCs/>
          <w:sz w:val="24"/>
          <w:szCs w:val="24"/>
        </w:rPr>
      </w:pPr>
      <w:r w:rsidRPr="00B73AE1">
        <w:rPr>
          <w:i/>
          <w:iCs/>
          <w:sz w:val="24"/>
          <w:szCs w:val="24"/>
        </w:rPr>
        <w:t xml:space="preserve">4- </w:t>
      </w:r>
      <w:r w:rsidR="00FA550D" w:rsidRPr="00B73AE1">
        <w:rPr>
          <w:i/>
          <w:iCs/>
          <w:sz w:val="24"/>
          <w:szCs w:val="24"/>
        </w:rPr>
        <w:t xml:space="preserve">La tutela </w:t>
      </w:r>
      <w:r w:rsidR="00A232C6" w:rsidRPr="00B73AE1">
        <w:rPr>
          <w:i/>
          <w:iCs/>
          <w:sz w:val="24"/>
          <w:szCs w:val="24"/>
        </w:rPr>
        <w:t>piena</w:t>
      </w:r>
      <w:r w:rsidR="00FA550D" w:rsidRPr="00B73AE1">
        <w:rPr>
          <w:i/>
          <w:iCs/>
          <w:sz w:val="24"/>
          <w:szCs w:val="24"/>
        </w:rPr>
        <w:t xml:space="preserve"> dell’interesse legittimo così come dispone la Costituzione. </w:t>
      </w:r>
    </w:p>
    <w:p w14:paraId="318BE97F" w14:textId="4A138EE6" w:rsidR="006C3E1E" w:rsidRPr="00B73AE1" w:rsidRDefault="006C3E1E" w:rsidP="00B73AE1">
      <w:pPr>
        <w:jc w:val="both"/>
        <w:rPr>
          <w:sz w:val="24"/>
          <w:szCs w:val="24"/>
        </w:rPr>
      </w:pPr>
      <w:r w:rsidRPr="00B73AE1">
        <w:rPr>
          <w:sz w:val="24"/>
          <w:szCs w:val="24"/>
        </w:rPr>
        <w:t xml:space="preserve">Questa concezione non poteva non comportare l’esigenza di una tutela integrale della situazione giuridica lesa, che non solo includesse anche i pregiudizi patrimoniali imputabili all’azione amministrativa, ma che utilizzasse anche rimedi propri del diritto civile, quali il procedimento di ingiunzione ( art. 118 </w:t>
      </w:r>
      <w:proofErr w:type="spellStart"/>
      <w:r w:rsidRPr="00B73AE1">
        <w:rPr>
          <w:sz w:val="24"/>
          <w:szCs w:val="24"/>
        </w:rPr>
        <w:t>Cpa</w:t>
      </w:r>
      <w:proofErr w:type="spellEnd"/>
      <w:r w:rsidRPr="00B73AE1">
        <w:rPr>
          <w:sz w:val="24"/>
          <w:szCs w:val="24"/>
        </w:rPr>
        <w:t xml:space="preserve">) e l’azione di nullità (art. 21 </w:t>
      </w:r>
      <w:proofErr w:type="spellStart"/>
      <w:r w:rsidRPr="00B73AE1">
        <w:rPr>
          <w:sz w:val="24"/>
          <w:szCs w:val="24"/>
        </w:rPr>
        <w:t>septies</w:t>
      </w:r>
      <w:proofErr w:type="spellEnd"/>
      <w:r w:rsidRPr="00B73AE1">
        <w:rPr>
          <w:sz w:val="24"/>
          <w:szCs w:val="24"/>
        </w:rPr>
        <w:t xml:space="preserve"> l. n.241 del 1990; art. 31, comma 4, del decreto legislativo 2 luglio 2010, n. 104), per lungo tempo ritenuta estranea alla patologia dell’atto amministrativo, che sembrava tollerasse solamente l’azione di annullamento.</w:t>
      </w:r>
    </w:p>
    <w:p w14:paraId="5F89737E" w14:textId="527457C6" w:rsidR="006C3E1E" w:rsidRPr="00B73AE1" w:rsidRDefault="006C3E1E" w:rsidP="00B73AE1">
      <w:pPr>
        <w:jc w:val="both"/>
        <w:rPr>
          <w:sz w:val="24"/>
          <w:szCs w:val="24"/>
        </w:rPr>
      </w:pPr>
      <w:r w:rsidRPr="00B73AE1">
        <w:rPr>
          <w:sz w:val="24"/>
          <w:szCs w:val="24"/>
        </w:rPr>
        <w:t>Va da sé che questa esigenza trova fondamento negli art</w:t>
      </w:r>
      <w:r w:rsidR="003D5073">
        <w:rPr>
          <w:sz w:val="24"/>
          <w:szCs w:val="24"/>
        </w:rPr>
        <w:t xml:space="preserve">t. </w:t>
      </w:r>
      <w:r w:rsidRPr="00B73AE1">
        <w:rPr>
          <w:sz w:val="24"/>
          <w:szCs w:val="24"/>
        </w:rPr>
        <w:t xml:space="preserve"> 24 e 113 della Costituzione, laddove stabiliscono la necessità di una tutela piena ed effettiva sia dei diritti soggettivi sia degli interessi legittimi. È notissima la vicenda della caduta del dogma della </w:t>
      </w:r>
      <w:proofErr w:type="spellStart"/>
      <w:r w:rsidRPr="00B73AE1">
        <w:rPr>
          <w:sz w:val="24"/>
          <w:szCs w:val="24"/>
        </w:rPr>
        <w:t>irrisarcibilità</w:t>
      </w:r>
      <w:proofErr w:type="spellEnd"/>
      <w:r w:rsidRPr="00B73AE1">
        <w:rPr>
          <w:sz w:val="24"/>
          <w:szCs w:val="24"/>
        </w:rPr>
        <w:t xml:space="preserve"> dell’interesse legittimo, ad opera della Corte di Cassazione, sulla spinta della giurisprudenza comunitaria. Così come ugualmente noti sono i problemi che si sono aperti, alcuni dei quali il codice sembra aver definitivamente risolto, quali la spettanza della giurisdizione e il rapporto tra illiceità e illegittimità dell’azione amministrativa. Non definitivamente risolti sono, invece, i </w:t>
      </w:r>
      <w:r w:rsidRPr="00B73AE1">
        <w:rPr>
          <w:sz w:val="24"/>
          <w:szCs w:val="24"/>
        </w:rPr>
        <w:lastRenderedPageBreak/>
        <w:t xml:space="preserve">nodi della natura della responsabilità del danno da illegittimità dell’azione amministrativa e di conseguenza le tecniche di quantificazione del danno. </w:t>
      </w:r>
    </w:p>
    <w:p w14:paraId="061049B4" w14:textId="77777777" w:rsidR="0050459F" w:rsidRDefault="006C3E1E" w:rsidP="007B2144">
      <w:pPr>
        <w:jc w:val="both"/>
        <w:rPr>
          <w:sz w:val="24"/>
          <w:szCs w:val="24"/>
        </w:rPr>
      </w:pPr>
      <w:r w:rsidRPr="00B73AE1">
        <w:rPr>
          <w:sz w:val="24"/>
          <w:szCs w:val="24"/>
        </w:rPr>
        <w:t>Risulta evidente che nel momento in cui le due situazioni giuridiche soggettive, in punto di pienezza della tutela, sono state integralmente equiparate, così come vuole la Costituzione, la concezione oggettiva della tutela lascia definitivamente il campo a quella soggettiva.</w:t>
      </w:r>
    </w:p>
    <w:p w14:paraId="1F208FB9" w14:textId="46AA15BA" w:rsidR="007B2144" w:rsidRPr="001C1762" w:rsidRDefault="006C3E1E" w:rsidP="007B2144">
      <w:pPr>
        <w:jc w:val="both"/>
        <w:rPr>
          <w:sz w:val="24"/>
          <w:szCs w:val="24"/>
        </w:rPr>
      </w:pPr>
      <w:r w:rsidRPr="00B73AE1">
        <w:rPr>
          <w:sz w:val="24"/>
          <w:szCs w:val="24"/>
        </w:rPr>
        <w:t xml:space="preserve">In questo quadro, l’entrata in vigore del codice del processo amministrativo, e dei principi generali cui esso espressamente si ispira, costituisce l’esaltazione più visibile del fatto che il soggetto coinvolto nel procedimento amministrativo, quando ricorre al giudice, esercita una sua situazione giuridica soggettiva sostanziale, nel cui nucleo costitutivo è immanentemente presente il riflesso delle conseguenze derivanti dal provvedimento sperato o temuto sulla situazione giuridica di base, a sua volta direttamente collegata al bene della vita. </w:t>
      </w:r>
    </w:p>
    <w:p w14:paraId="6D7D7076" w14:textId="4CCA19D1" w:rsidR="009B2E2E" w:rsidRDefault="001C1762" w:rsidP="009B2E2E">
      <w:pPr>
        <w:spacing w:after="0"/>
        <w:jc w:val="both"/>
        <w:rPr>
          <w:i/>
          <w:iCs/>
          <w:sz w:val="24"/>
          <w:szCs w:val="24"/>
        </w:rPr>
      </w:pPr>
      <w:r>
        <w:rPr>
          <w:i/>
          <w:iCs/>
          <w:sz w:val="24"/>
          <w:szCs w:val="24"/>
        </w:rPr>
        <w:t>5</w:t>
      </w:r>
      <w:r w:rsidR="007B2144" w:rsidRPr="00BD7A66">
        <w:rPr>
          <w:i/>
          <w:iCs/>
          <w:sz w:val="24"/>
          <w:szCs w:val="24"/>
        </w:rPr>
        <w:t xml:space="preserve"> </w:t>
      </w:r>
      <w:r w:rsidR="00BD7A66" w:rsidRPr="00BD7A66">
        <w:rPr>
          <w:i/>
          <w:iCs/>
          <w:sz w:val="24"/>
          <w:szCs w:val="24"/>
        </w:rPr>
        <w:t>– La pluralità delle giurisdizioni e la rilevanza esterna dei giudicati.</w:t>
      </w:r>
    </w:p>
    <w:p w14:paraId="3F36629B" w14:textId="5217935E" w:rsidR="007B2144" w:rsidRPr="00E2422F" w:rsidRDefault="00BD7A66" w:rsidP="009B2E2E">
      <w:pPr>
        <w:spacing w:after="0"/>
        <w:jc w:val="both"/>
        <w:rPr>
          <w:sz w:val="24"/>
          <w:szCs w:val="24"/>
        </w:rPr>
      </w:pPr>
      <w:r>
        <w:rPr>
          <w:i/>
          <w:iCs/>
          <w:sz w:val="24"/>
          <w:szCs w:val="24"/>
        </w:rPr>
        <w:t xml:space="preserve"> </w:t>
      </w:r>
      <w:r w:rsidR="007B2144" w:rsidRPr="00E2422F">
        <w:rPr>
          <w:sz w:val="24"/>
          <w:szCs w:val="24"/>
        </w:rPr>
        <w:t xml:space="preserve">E’ noto che il nostro ordinamento giuridico </w:t>
      </w:r>
      <w:r w:rsidR="007B2144">
        <w:rPr>
          <w:sz w:val="24"/>
          <w:szCs w:val="24"/>
        </w:rPr>
        <w:t xml:space="preserve">è </w:t>
      </w:r>
      <w:r w:rsidR="007B2144" w:rsidRPr="00E2422F">
        <w:rPr>
          <w:sz w:val="24"/>
          <w:szCs w:val="24"/>
        </w:rPr>
        <w:t>costituzionalmente contrassegnato dalla pluralità delle giurisdizioni</w:t>
      </w:r>
      <w:r w:rsidR="007B2144">
        <w:rPr>
          <w:sz w:val="24"/>
          <w:szCs w:val="24"/>
        </w:rPr>
        <w:t>,</w:t>
      </w:r>
      <w:r w:rsidR="007B2144" w:rsidRPr="00E2422F">
        <w:rPr>
          <w:sz w:val="24"/>
          <w:szCs w:val="24"/>
        </w:rPr>
        <w:t xml:space="preserve"> originariamente composte da una giurisdizione ordinaria (a sua volta articolata in giudici civili e penali</w:t>
      </w:r>
      <w:r w:rsidR="007B2144">
        <w:rPr>
          <w:sz w:val="24"/>
          <w:szCs w:val="24"/>
        </w:rPr>
        <w:t>)</w:t>
      </w:r>
      <w:r w:rsidR="007B2144" w:rsidRPr="00E2422F">
        <w:rPr>
          <w:sz w:val="24"/>
          <w:szCs w:val="24"/>
        </w:rPr>
        <w:t>, mentre tutte le altre giurisdizioni (amministrativa, contabile, tributaria e le giurisdizioni di settore che peraltro svolgono una funzione non secondaria nel diritto dell’economia: tribunale delle acque</w:t>
      </w:r>
      <w:r w:rsidR="007B2144">
        <w:rPr>
          <w:sz w:val="24"/>
          <w:szCs w:val="24"/>
        </w:rPr>
        <w:t xml:space="preserve">, </w:t>
      </w:r>
      <w:r w:rsidR="007B2144" w:rsidRPr="00E2422F">
        <w:rPr>
          <w:sz w:val="24"/>
          <w:szCs w:val="24"/>
        </w:rPr>
        <w:t>commissario regionale agli usi civici, commissioni brevetti e altri</w:t>
      </w:r>
      <w:r w:rsidR="007B2144">
        <w:rPr>
          <w:sz w:val="24"/>
          <w:szCs w:val="24"/>
        </w:rPr>
        <w:t>)</w:t>
      </w:r>
      <w:r w:rsidR="007B2144" w:rsidRPr="00E2422F">
        <w:rPr>
          <w:sz w:val="24"/>
          <w:szCs w:val="24"/>
        </w:rPr>
        <w:t xml:space="preserve"> vennero considerate giurisdizioni amministrative speciali, sottoposte ad un obbligo di revisione entro cinque anni dalla data e di entrata in vigore della </w:t>
      </w:r>
      <w:r w:rsidR="007B2144">
        <w:rPr>
          <w:sz w:val="24"/>
          <w:szCs w:val="24"/>
        </w:rPr>
        <w:t>C</w:t>
      </w:r>
      <w:r w:rsidR="007B2144" w:rsidRPr="00E2422F">
        <w:rPr>
          <w:sz w:val="24"/>
          <w:szCs w:val="24"/>
        </w:rPr>
        <w:t>ostituzione stessa.</w:t>
      </w:r>
    </w:p>
    <w:p w14:paraId="2471A934" w14:textId="77777777" w:rsidR="007B2144" w:rsidRPr="00E2422F" w:rsidRDefault="007B2144" w:rsidP="009B2E2E">
      <w:pPr>
        <w:spacing w:after="0"/>
        <w:jc w:val="both"/>
        <w:rPr>
          <w:sz w:val="24"/>
          <w:szCs w:val="24"/>
        </w:rPr>
      </w:pPr>
      <w:r w:rsidRPr="00E2422F">
        <w:rPr>
          <w:sz w:val="24"/>
          <w:szCs w:val="24"/>
        </w:rPr>
        <w:t xml:space="preserve">Ma oramai </w:t>
      </w:r>
      <w:r>
        <w:rPr>
          <w:sz w:val="24"/>
          <w:szCs w:val="24"/>
        </w:rPr>
        <w:t xml:space="preserve">è </w:t>
      </w:r>
      <w:r w:rsidRPr="00E2422F">
        <w:rPr>
          <w:sz w:val="24"/>
          <w:szCs w:val="24"/>
        </w:rPr>
        <w:t>di comune dominio la circostanza che sono diventate vere e proprie giurisdizioni ordinarie nei settori giurisdizionali attribuiti alla loro competenza.</w:t>
      </w:r>
    </w:p>
    <w:p w14:paraId="37750203" w14:textId="77777777" w:rsidR="007B2144" w:rsidRPr="00E2422F" w:rsidRDefault="007B2144" w:rsidP="009B2E2E">
      <w:pPr>
        <w:spacing w:after="0"/>
        <w:jc w:val="both"/>
        <w:rPr>
          <w:sz w:val="24"/>
          <w:szCs w:val="24"/>
        </w:rPr>
      </w:pPr>
      <w:r w:rsidRPr="00E2422F">
        <w:rPr>
          <w:sz w:val="24"/>
          <w:szCs w:val="24"/>
        </w:rPr>
        <w:t>Questa formula di pluralismo giurisdizionale incontra non poche critiche da parte dell’analisi economica del diritto, ma anche da coloro che studiano i principi generali del diritto processuale</w:t>
      </w:r>
      <w:r>
        <w:rPr>
          <w:sz w:val="24"/>
          <w:szCs w:val="24"/>
        </w:rPr>
        <w:t xml:space="preserve">, </w:t>
      </w:r>
      <w:r w:rsidRPr="00E2422F">
        <w:rPr>
          <w:sz w:val="24"/>
          <w:szCs w:val="24"/>
        </w:rPr>
        <w:t>favorevole alla concentrazione delle tutele giurisdizionali presso un’unica giurisdizione.</w:t>
      </w:r>
    </w:p>
    <w:p w14:paraId="1EDB09EE" w14:textId="41D022CF" w:rsidR="007B2144" w:rsidRDefault="007B2144" w:rsidP="009B2E2E">
      <w:pPr>
        <w:spacing w:after="0"/>
        <w:jc w:val="both"/>
        <w:rPr>
          <w:sz w:val="24"/>
          <w:szCs w:val="24"/>
        </w:rPr>
      </w:pPr>
      <w:r w:rsidRPr="00E2422F">
        <w:rPr>
          <w:sz w:val="24"/>
          <w:szCs w:val="24"/>
        </w:rPr>
        <w:t>Attualmente i rapporti tra le varie giurisdizioni sono contrassegnati dai principi di autonomia e indipendenza di ogni giurisdizione rispetto alle altre</w:t>
      </w:r>
      <w:r>
        <w:rPr>
          <w:sz w:val="24"/>
          <w:szCs w:val="24"/>
        </w:rPr>
        <w:t>,</w:t>
      </w:r>
      <w:r w:rsidRPr="00E2422F">
        <w:rPr>
          <w:sz w:val="24"/>
          <w:szCs w:val="24"/>
        </w:rPr>
        <w:t xml:space="preserve"> ma anche dal principio di leale collaborazione che riguarda tutti i poteri pubblici dello Stato. Ciò comporta la necessità di assicurare una certa rilevanza</w:t>
      </w:r>
      <w:r w:rsidR="00A561D7">
        <w:rPr>
          <w:sz w:val="24"/>
          <w:szCs w:val="24"/>
        </w:rPr>
        <w:t xml:space="preserve"> ed</w:t>
      </w:r>
      <w:r w:rsidRPr="00E2422F">
        <w:rPr>
          <w:sz w:val="24"/>
          <w:szCs w:val="24"/>
        </w:rPr>
        <w:t xml:space="preserve"> </w:t>
      </w:r>
      <w:r w:rsidR="00A561D7">
        <w:rPr>
          <w:sz w:val="24"/>
          <w:szCs w:val="24"/>
        </w:rPr>
        <w:t xml:space="preserve">in </w:t>
      </w:r>
      <w:r w:rsidRPr="00E2422F">
        <w:rPr>
          <w:sz w:val="24"/>
          <w:szCs w:val="24"/>
        </w:rPr>
        <w:t>alcuni casi una vera e propria efficacia di giudicato esterno delle sentenze di un giudice rispetto agli altri.</w:t>
      </w:r>
    </w:p>
    <w:p w14:paraId="5418A4F5" w14:textId="77777777" w:rsidR="007B2144" w:rsidRDefault="007B2144" w:rsidP="009B2E2E">
      <w:pPr>
        <w:spacing w:after="0"/>
        <w:jc w:val="both"/>
        <w:rPr>
          <w:sz w:val="24"/>
          <w:szCs w:val="24"/>
        </w:rPr>
      </w:pPr>
      <w:r w:rsidRPr="00E2422F">
        <w:rPr>
          <w:sz w:val="24"/>
          <w:szCs w:val="24"/>
        </w:rPr>
        <w:t xml:space="preserve"> Il rapporto di rilevanza può essere così articolato: 1) rilevanza delle pronunce di una giurisdizione come fatto rispetto ai giudizi devoluti ad altre giurisdizioni, ad esempio come fatto da acquisire nel processo, come presunzione, come prova che il giudice competente valuta nell’ambito del proprio libero convincimento che costituisce la regola ultima del giudizio; </w:t>
      </w:r>
    </w:p>
    <w:p w14:paraId="507D3F5E" w14:textId="77777777" w:rsidR="007B2144" w:rsidRDefault="007B2144" w:rsidP="009B2E2E">
      <w:pPr>
        <w:spacing w:after="0"/>
        <w:jc w:val="both"/>
        <w:rPr>
          <w:sz w:val="24"/>
          <w:szCs w:val="24"/>
        </w:rPr>
      </w:pPr>
      <w:r w:rsidRPr="00E2422F">
        <w:rPr>
          <w:sz w:val="24"/>
          <w:szCs w:val="24"/>
        </w:rPr>
        <w:lastRenderedPageBreak/>
        <w:t>2) come presupposto giuridico di cui il giudice deve trarre le conseguenze obbligatoriamente. Ad esempio viene annullato dal giudice amministrativo il regolamento che disciplina le modalità di imposizione di un tributo comunale, il giudice tributario non può che annullare gli atti impugnati per illegittimità derivata;</w:t>
      </w:r>
    </w:p>
    <w:p w14:paraId="6FF4D65B" w14:textId="00504D9E" w:rsidR="007B2144" w:rsidRDefault="007B2144" w:rsidP="009B2E2E">
      <w:pPr>
        <w:spacing w:after="0"/>
        <w:jc w:val="both"/>
        <w:rPr>
          <w:sz w:val="24"/>
          <w:szCs w:val="24"/>
        </w:rPr>
      </w:pPr>
      <w:r w:rsidRPr="00E2422F">
        <w:rPr>
          <w:sz w:val="24"/>
          <w:szCs w:val="24"/>
        </w:rPr>
        <w:t>3) come fattispecie ad effetto costitutivo, come nel caso la sentenza presumibilmente passata in giudicato del primo giudice</w:t>
      </w:r>
      <w:r>
        <w:rPr>
          <w:sz w:val="24"/>
          <w:szCs w:val="24"/>
        </w:rPr>
        <w:t xml:space="preserve"> che</w:t>
      </w:r>
      <w:r w:rsidRPr="00E2422F">
        <w:rPr>
          <w:sz w:val="24"/>
          <w:szCs w:val="24"/>
        </w:rPr>
        <w:t xml:space="preserve"> concorre a stabilire la fattispecie normativa alla quale deve sottomettersi l’altro giudice; </w:t>
      </w:r>
    </w:p>
    <w:p w14:paraId="1ED05FC4" w14:textId="77777777" w:rsidR="007B2144" w:rsidRDefault="007B2144" w:rsidP="009B2E2E">
      <w:pPr>
        <w:spacing w:after="0"/>
        <w:jc w:val="both"/>
        <w:rPr>
          <w:sz w:val="24"/>
          <w:szCs w:val="24"/>
        </w:rPr>
      </w:pPr>
      <w:r w:rsidRPr="00E2422F">
        <w:rPr>
          <w:sz w:val="24"/>
          <w:szCs w:val="24"/>
        </w:rPr>
        <w:t xml:space="preserve">4) eccezionalmente come giudicato ad efficacia </w:t>
      </w:r>
      <w:proofErr w:type="spellStart"/>
      <w:r>
        <w:rPr>
          <w:sz w:val="24"/>
          <w:szCs w:val="24"/>
        </w:rPr>
        <w:t>pan</w:t>
      </w:r>
      <w:r w:rsidRPr="00E2422F">
        <w:rPr>
          <w:sz w:val="24"/>
          <w:szCs w:val="24"/>
        </w:rPr>
        <w:t>processuale</w:t>
      </w:r>
      <w:proofErr w:type="spellEnd"/>
      <w:r w:rsidRPr="00E2422F">
        <w:rPr>
          <w:sz w:val="24"/>
          <w:szCs w:val="24"/>
        </w:rPr>
        <w:t>, ad esempio giudicato sulla giurisdizione che vale nei confronti di tutte le altre giurisdizioni eventualmente adite dalle stesse parti.</w:t>
      </w:r>
    </w:p>
    <w:p w14:paraId="3AF69BAC" w14:textId="77777777" w:rsidR="007B2144" w:rsidRPr="00E2422F" w:rsidRDefault="007B2144" w:rsidP="009B2E2E">
      <w:pPr>
        <w:spacing w:after="0"/>
        <w:jc w:val="both"/>
        <w:rPr>
          <w:sz w:val="24"/>
          <w:szCs w:val="24"/>
        </w:rPr>
      </w:pPr>
      <w:r w:rsidRPr="00E2422F">
        <w:rPr>
          <w:sz w:val="24"/>
          <w:szCs w:val="24"/>
        </w:rPr>
        <w:t xml:space="preserve"> Il rapporto di autonomi</w:t>
      </w:r>
      <w:r>
        <w:rPr>
          <w:sz w:val="24"/>
          <w:szCs w:val="24"/>
        </w:rPr>
        <w:t>a</w:t>
      </w:r>
      <w:r w:rsidRPr="00E2422F">
        <w:rPr>
          <w:sz w:val="24"/>
          <w:szCs w:val="24"/>
        </w:rPr>
        <w:t xml:space="preserve"> contrassegnato dal potere di accertamento incidentale (art</w:t>
      </w:r>
      <w:r>
        <w:rPr>
          <w:sz w:val="24"/>
          <w:szCs w:val="24"/>
        </w:rPr>
        <w:t>.</w:t>
      </w:r>
      <w:r w:rsidRPr="00E2422F">
        <w:rPr>
          <w:sz w:val="24"/>
          <w:szCs w:val="24"/>
        </w:rPr>
        <w:t xml:space="preserve"> 34 c.p.c.</w:t>
      </w:r>
      <w:r>
        <w:rPr>
          <w:sz w:val="24"/>
          <w:szCs w:val="24"/>
        </w:rPr>
        <w:t xml:space="preserve">, </w:t>
      </w:r>
      <w:r w:rsidRPr="00E2422F">
        <w:rPr>
          <w:sz w:val="24"/>
          <w:szCs w:val="24"/>
        </w:rPr>
        <w:t>art</w:t>
      </w:r>
      <w:r>
        <w:rPr>
          <w:sz w:val="24"/>
          <w:szCs w:val="24"/>
        </w:rPr>
        <w:t>.</w:t>
      </w:r>
      <w:r w:rsidRPr="00E2422F">
        <w:rPr>
          <w:sz w:val="24"/>
          <w:szCs w:val="24"/>
        </w:rPr>
        <w:t xml:space="preserve"> 75 </w:t>
      </w:r>
      <w:r>
        <w:rPr>
          <w:sz w:val="24"/>
          <w:szCs w:val="24"/>
        </w:rPr>
        <w:t>c. p. p.</w:t>
      </w:r>
      <w:r w:rsidRPr="00E2422F">
        <w:rPr>
          <w:sz w:val="24"/>
          <w:szCs w:val="24"/>
        </w:rPr>
        <w:t>, art</w:t>
      </w:r>
      <w:r>
        <w:rPr>
          <w:sz w:val="24"/>
          <w:szCs w:val="24"/>
        </w:rPr>
        <w:t>. 8</w:t>
      </w:r>
      <w:r w:rsidRPr="00E2422F">
        <w:rPr>
          <w:sz w:val="24"/>
          <w:szCs w:val="24"/>
        </w:rPr>
        <w:t xml:space="preserve"> </w:t>
      </w:r>
      <w:proofErr w:type="spellStart"/>
      <w:r w:rsidRPr="00E2422F">
        <w:rPr>
          <w:sz w:val="24"/>
          <w:szCs w:val="24"/>
        </w:rPr>
        <w:t>c</w:t>
      </w:r>
      <w:r>
        <w:rPr>
          <w:sz w:val="24"/>
          <w:szCs w:val="24"/>
        </w:rPr>
        <w:t>.</w:t>
      </w:r>
      <w:r w:rsidRPr="00E2422F">
        <w:rPr>
          <w:sz w:val="24"/>
          <w:szCs w:val="24"/>
        </w:rPr>
        <w:t>p</w:t>
      </w:r>
      <w:r>
        <w:rPr>
          <w:sz w:val="24"/>
          <w:szCs w:val="24"/>
        </w:rPr>
        <w:t>.</w:t>
      </w:r>
      <w:r w:rsidRPr="00E2422F">
        <w:rPr>
          <w:sz w:val="24"/>
          <w:szCs w:val="24"/>
        </w:rPr>
        <w:t>a</w:t>
      </w:r>
      <w:proofErr w:type="spellEnd"/>
      <w:r>
        <w:rPr>
          <w:sz w:val="24"/>
          <w:szCs w:val="24"/>
        </w:rPr>
        <w:t>.;</w:t>
      </w:r>
      <w:r w:rsidRPr="00E2422F">
        <w:rPr>
          <w:sz w:val="24"/>
          <w:szCs w:val="24"/>
        </w:rPr>
        <w:t xml:space="preserve"> art</w:t>
      </w:r>
      <w:r>
        <w:rPr>
          <w:sz w:val="24"/>
          <w:szCs w:val="24"/>
        </w:rPr>
        <w:t>. 7</w:t>
      </w:r>
      <w:r w:rsidRPr="00E2422F">
        <w:rPr>
          <w:sz w:val="24"/>
          <w:szCs w:val="24"/>
        </w:rPr>
        <w:t xml:space="preserve"> del codice del processo tributario</w:t>
      </w:r>
      <w:r>
        <w:rPr>
          <w:sz w:val="24"/>
          <w:szCs w:val="24"/>
        </w:rPr>
        <w:t>. I</w:t>
      </w:r>
      <w:r w:rsidRPr="00E2422F">
        <w:rPr>
          <w:sz w:val="24"/>
          <w:szCs w:val="24"/>
        </w:rPr>
        <w:t>nfine il testo unico delle leggi sulla corte dei conti che rinvia i principi generali del codice di procedura civile compatibili.</w:t>
      </w:r>
    </w:p>
    <w:p w14:paraId="5811111F" w14:textId="55B4418B" w:rsidR="00E916D3" w:rsidRPr="00300C56" w:rsidRDefault="007B2144" w:rsidP="009B2E2E">
      <w:pPr>
        <w:spacing w:after="0"/>
        <w:jc w:val="both"/>
        <w:rPr>
          <w:sz w:val="24"/>
          <w:szCs w:val="24"/>
        </w:rPr>
      </w:pPr>
      <w:r w:rsidRPr="00E2422F">
        <w:rPr>
          <w:sz w:val="24"/>
          <w:szCs w:val="24"/>
        </w:rPr>
        <w:t>Il coordinamento tra le giurisdizioni infine</w:t>
      </w:r>
      <w:r>
        <w:rPr>
          <w:sz w:val="24"/>
          <w:szCs w:val="24"/>
        </w:rPr>
        <w:t xml:space="preserve"> viene</w:t>
      </w:r>
      <w:r w:rsidRPr="00E2422F">
        <w:rPr>
          <w:sz w:val="24"/>
          <w:szCs w:val="24"/>
        </w:rPr>
        <w:t xml:space="preserve"> assicurato dalla </w:t>
      </w:r>
      <w:r>
        <w:rPr>
          <w:sz w:val="24"/>
          <w:szCs w:val="24"/>
        </w:rPr>
        <w:t>C</w:t>
      </w:r>
      <w:r w:rsidRPr="00E2422F">
        <w:rPr>
          <w:sz w:val="24"/>
          <w:szCs w:val="24"/>
        </w:rPr>
        <w:t>orte suprema di cassazione a sezioni unite che giudica sulla violazione dei limiti esterni di giurisdizione nell’esercizio della propria funzione no</w:t>
      </w:r>
      <w:r>
        <w:rPr>
          <w:sz w:val="24"/>
          <w:szCs w:val="24"/>
        </w:rPr>
        <w:t>mo</w:t>
      </w:r>
      <w:r w:rsidRPr="00E2422F">
        <w:rPr>
          <w:sz w:val="24"/>
          <w:szCs w:val="24"/>
        </w:rPr>
        <w:t>filattica ai sensi dell’ar</w:t>
      </w:r>
      <w:r>
        <w:rPr>
          <w:sz w:val="24"/>
          <w:szCs w:val="24"/>
        </w:rPr>
        <w:t xml:space="preserve">t. </w:t>
      </w:r>
      <w:r w:rsidRPr="00E2422F">
        <w:rPr>
          <w:sz w:val="24"/>
          <w:szCs w:val="24"/>
        </w:rPr>
        <w:t xml:space="preserve"> 65 sull’ordinamento giudiziario e 362 c.p.c.</w:t>
      </w:r>
    </w:p>
    <w:p w14:paraId="557CDB39" w14:textId="77777777" w:rsidR="009B2E2E" w:rsidRDefault="009B2E2E" w:rsidP="009B2E2E">
      <w:pPr>
        <w:spacing w:after="0"/>
        <w:jc w:val="both"/>
        <w:rPr>
          <w:i/>
          <w:iCs/>
          <w:sz w:val="24"/>
          <w:szCs w:val="24"/>
        </w:rPr>
      </w:pPr>
    </w:p>
    <w:p w14:paraId="53CEACFE" w14:textId="2CEE8592" w:rsidR="009B2E2E" w:rsidRDefault="001C1762" w:rsidP="009B2E2E">
      <w:pPr>
        <w:spacing w:after="0"/>
        <w:jc w:val="both"/>
        <w:rPr>
          <w:sz w:val="24"/>
          <w:szCs w:val="24"/>
        </w:rPr>
      </w:pPr>
      <w:r>
        <w:rPr>
          <w:i/>
          <w:iCs/>
          <w:sz w:val="24"/>
          <w:szCs w:val="24"/>
        </w:rPr>
        <w:t>6</w:t>
      </w:r>
      <w:r w:rsidR="00AA4C37" w:rsidRPr="00300C56">
        <w:rPr>
          <w:i/>
          <w:iCs/>
          <w:sz w:val="24"/>
          <w:szCs w:val="24"/>
        </w:rPr>
        <w:t xml:space="preserve"> </w:t>
      </w:r>
      <w:r w:rsidR="00B90736" w:rsidRPr="00300C56">
        <w:rPr>
          <w:i/>
          <w:iCs/>
          <w:sz w:val="24"/>
          <w:szCs w:val="24"/>
        </w:rPr>
        <w:t>–</w:t>
      </w:r>
      <w:r w:rsidR="00300C56" w:rsidRPr="00300C56">
        <w:rPr>
          <w:i/>
          <w:iCs/>
          <w:sz w:val="24"/>
          <w:szCs w:val="24"/>
        </w:rPr>
        <w:t xml:space="preserve"> La formazione della prova nel diritto civile </w:t>
      </w:r>
      <w:r w:rsidR="00CE7A53">
        <w:rPr>
          <w:i/>
          <w:iCs/>
          <w:sz w:val="24"/>
          <w:szCs w:val="24"/>
        </w:rPr>
        <w:t xml:space="preserve">e amministrativo </w:t>
      </w:r>
      <w:r w:rsidR="00300C56" w:rsidRPr="00300C56">
        <w:rPr>
          <w:i/>
          <w:iCs/>
          <w:sz w:val="24"/>
          <w:szCs w:val="24"/>
        </w:rPr>
        <w:t>sostanzial</w:t>
      </w:r>
      <w:r w:rsidR="00CE7A53">
        <w:rPr>
          <w:i/>
          <w:iCs/>
          <w:sz w:val="24"/>
          <w:szCs w:val="24"/>
        </w:rPr>
        <w:t>i</w:t>
      </w:r>
      <w:r w:rsidR="00300C56" w:rsidRPr="00300C56">
        <w:rPr>
          <w:i/>
          <w:iCs/>
          <w:sz w:val="24"/>
          <w:szCs w:val="24"/>
        </w:rPr>
        <w:t>.</w:t>
      </w:r>
      <w:r w:rsidR="00300C56">
        <w:rPr>
          <w:sz w:val="24"/>
          <w:szCs w:val="24"/>
        </w:rPr>
        <w:t xml:space="preserve"> </w:t>
      </w:r>
    </w:p>
    <w:p w14:paraId="16186C13" w14:textId="0721EAEB" w:rsidR="00B90736" w:rsidRDefault="00B90736" w:rsidP="009B2E2E">
      <w:pPr>
        <w:spacing w:after="0"/>
        <w:jc w:val="both"/>
        <w:rPr>
          <w:sz w:val="24"/>
          <w:szCs w:val="24"/>
        </w:rPr>
      </w:pPr>
      <w:r w:rsidRPr="00300C56">
        <w:rPr>
          <w:sz w:val="24"/>
          <w:szCs w:val="24"/>
        </w:rPr>
        <w:t xml:space="preserve"> </w:t>
      </w:r>
      <w:r w:rsidR="007B50C3" w:rsidRPr="007B50C3">
        <w:rPr>
          <w:sz w:val="24"/>
          <w:szCs w:val="24"/>
        </w:rPr>
        <w:t>B</w:t>
      </w:r>
      <w:r w:rsidRPr="007B50C3">
        <w:rPr>
          <w:sz w:val="24"/>
          <w:szCs w:val="24"/>
        </w:rPr>
        <w:t xml:space="preserve">isogna preliminarmente osservare che l’oggetto del processo amministrativo </w:t>
      </w:r>
      <w:r w:rsidR="007B50C3" w:rsidRPr="007B50C3">
        <w:rPr>
          <w:sz w:val="24"/>
          <w:szCs w:val="24"/>
        </w:rPr>
        <w:t>è</w:t>
      </w:r>
      <w:r w:rsidRPr="007B50C3">
        <w:rPr>
          <w:sz w:val="24"/>
          <w:szCs w:val="24"/>
        </w:rPr>
        <w:t xml:space="preserve"> costituito da attività</w:t>
      </w:r>
      <w:r w:rsidR="007B50C3" w:rsidRPr="007B50C3">
        <w:rPr>
          <w:sz w:val="24"/>
          <w:szCs w:val="24"/>
        </w:rPr>
        <w:t xml:space="preserve"> giuridica e non da un episodio di vita reale</w:t>
      </w:r>
      <w:r w:rsidRPr="007B50C3">
        <w:rPr>
          <w:sz w:val="24"/>
          <w:szCs w:val="24"/>
        </w:rPr>
        <w:t>, che è quella precedentemente svolta dal responsabile del procedimento</w:t>
      </w:r>
      <w:r w:rsidR="00C11676">
        <w:rPr>
          <w:sz w:val="24"/>
          <w:szCs w:val="24"/>
        </w:rPr>
        <w:t>. I</w:t>
      </w:r>
      <w:r w:rsidRPr="007B50C3">
        <w:rPr>
          <w:sz w:val="24"/>
          <w:szCs w:val="24"/>
        </w:rPr>
        <w:t>n particolare dal fatto che questi ha già svolto in sede sostanziale una istruttoria</w:t>
      </w:r>
      <w:r w:rsidR="007B50C3" w:rsidRPr="007B50C3">
        <w:rPr>
          <w:sz w:val="24"/>
          <w:szCs w:val="24"/>
        </w:rPr>
        <w:t xml:space="preserve"> ai fini dell’emanazione del provvedimento impugnato. Discorso parzialmente diverso si ha nel caso di interesse legittimo pretensivo, cui può seguire un atto negativo oppure l’inerzia dell’amministrazione.</w:t>
      </w:r>
      <w:r w:rsidR="00C11676">
        <w:rPr>
          <w:sz w:val="24"/>
          <w:szCs w:val="24"/>
        </w:rPr>
        <w:t xml:space="preserve"> Anche se l’area dell’insignificanza è molto ridotta e quindi il silenzio produce quasi sempre effetti.</w:t>
      </w:r>
    </w:p>
    <w:p w14:paraId="2E081EE1" w14:textId="77777777" w:rsidR="00B64E63" w:rsidRDefault="00B64E63" w:rsidP="009B2E2E">
      <w:pPr>
        <w:spacing w:after="0"/>
        <w:jc w:val="both"/>
        <w:rPr>
          <w:sz w:val="24"/>
          <w:szCs w:val="24"/>
        </w:rPr>
      </w:pPr>
      <w:r>
        <w:rPr>
          <w:sz w:val="24"/>
          <w:szCs w:val="24"/>
        </w:rPr>
        <w:t>Tuttavia è utile ricordare che anche nel diritto civile la prova dei fatti giuridici è disciplinata non solamente nel codice di procedura ma anche del codice civile sostanziale. Questo per dire che vi è una certa assonanza tra l’istruttoria sostanziale amministrativa e l’istruttoria sostanziale civile.</w:t>
      </w:r>
    </w:p>
    <w:p w14:paraId="7FD7C584" w14:textId="526EEA19" w:rsidR="00B64E63" w:rsidRPr="007B50C3" w:rsidRDefault="00B64E63" w:rsidP="009B2E2E">
      <w:pPr>
        <w:spacing w:after="0"/>
        <w:jc w:val="both"/>
        <w:rPr>
          <w:sz w:val="24"/>
          <w:szCs w:val="24"/>
        </w:rPr>
      </w:pPr>
      <w:r>
        <w:rPr>
          <w:sz w:val="24"/>
          <w:szCs w:val="24"/>
        </w:rPr>
        <w:t xml:space="preserve"> È stato autorevolmente insegnato (</w:t>
      </w:r>
      <w:r w:rsidRPr="00E3436E">
        <w:rPr>
          <w:i/>
          <w:iCs/>
          <w:sz w:val="24"/>
          <w:szCs w:val="24"/>
        </w:rPr>
        <w:t>Santoro-Passarelli</w:t>
      </w:r>
      <w:r>
        <w:rPr>
          <w:sz w:val="24"/>
          <w:szCs w:val="24"/>
        </w:rPr>
        <w:t>) che la prova prima ancora che nel processo spiega la sua funzione nel diritto materiale. Ciò va inteso in un duplice senso sia perché al giudice deve essere data la prova del fatto e sia perché talune prove si formano soltanto nel processo. Le regole legali della prova le quali vanno dall’imposizione dell’onere fino alla determinazione dei requisiti, dei limiti di ammissibilità e degli effetti delle singole prove, correttamente mantenute nel codice civile, costituiscono quella parte del diritto probatorio che integra il diritto materiale, poiché per esse la prova diventa non già un elemento, come la forma dei negozi giuridici, ma un</w:t>
      </w:r>
      <w:r w:rsidRPr="00B64E63">
        <w:rPr>
          <w:b/>
          <w:bCs/>
          <w:sz w:val="24"/>
          <w:szCs w:val="24"/>
        </w:rPr>
        <w:t xml:space="preserve"> </w:t>
      </w:r>
      <w:r w:rsidRPr="001C05AB">
        <w:rPr>
          <w:i/>
          <w:iCs/>
          <w:sz w:val="24"/>
          <w:szCs w:val="24"/>
        </w:rPr>
        <w:t>complemento del fatto nella fattispecie</w:t>
      </w:r>
      <w:r>
        <w:rPr>
          <w:sz w:val="24"/>
          <w:szCs w:val="24"/>
        </w:rPr>
        <w:t xml:space="preserve"> (ad esempio </w:t>
      </w:r>
      <w:r>
        <w:rPr>
          <w:sz w:val="24"/>
          <w:szCs w:val="24"/>
        </w:rPr>
        <w:lastRenderedPageBreak/>
        <w:t>tutta la materia del cosiddetto titolo dello Stato</w:t>
      </w:r>
      <w:r w:rsidR="0095340D">
        <w:rPr>
          <w:sz w:val="24"/>
          <w:szCs w:val="24"/>
        </w:rPr>
        <w:t xml:space="preserve">: </w:t>
      </w:r>
      <w:r>
        <w:rPr>
          <w:sz w:val="24"/>
          <w:szCs w:val="24"/>
        </w:rPr>
        <w:t xml:space="preserve">atto di celebrazione del </w:t>
      </w:r>
      <w:r w:rsidR="00A561D7">
        <w:rPr>
          <w:sz w:val="24"/>
          <w:szCs w:val="24"/>
        </w:rPr>
        <w:t>m</w:t>
      </w:r>
      <w:r>
        <w:rPr>
          <w:sz w:val="24"/>
          <w:szCs w:val="24"/>
        </w:rPr>
        <w:t>atrimonio, l’atto di nascita del figlio legittimo) costituiscono le prove esclusive dei fatti rappresentati, nel senso che questi stati dipendono dall’esistenza di quegli atti che si formano nel diritto civile sostanziale.</w:t>
      </w:r>
    </w:p>
    <w:p w14:paraId="293CEDB1" w14:textId="31A2CBB9" w:rsidR="00AA4C37" w:rsidRDefault="005478BF" w:rsidP="009B2E2E">
      <w:pPr>
        <w:spacing w:after="0"/>
        <w:jc w:val="both"/>
        <w:rPr>
          <w:sz w:val="24"/>
          <w:szCs w:val="24"/>
        </w:rPr>
      </w:pPr>
      <w:r>
        <w:rPr>
          <w:sz w:val="24"/>
          <w:szCs w:val="24"/>
        </w:rPr>
        <w:t>L’</w:t>
      </w:r>
      <w:r w:rsidRPr="005478BF">
        <w:rPr>
          <w:sz w:val="24"/>
          <w:szCs w:val="24"/>
        </w:rPr>
        <w:t>istruttoria è l’attività processuale finalizzata alla raccolta delle prove relative ai fatti allegati dalle parti affinché la controversia possa essere decisa</w:t>
      </w:r>
      <w:r w:rsidR="00C11676">
        <w:rPr>
          <w:sz w:val="24"/>
          <w:szCs w:val="24"/>
        </w:rPr>
        <w:t>.</w:t>
      </w:r>
      <w:r w:rsidRPr="005478BF">
        <w:rPr>
          <w:sz w:val="24"/>
          <w:szCs w:val="24"/>
        </w:rPr>
        <w:t xml:space="preserve"> </w:t>
      </w:r>
      <w:r w:rsidR="00C11676">
        <w:rPr>
          <w:sz w:val="24"/>
          <w:szCs w:val="24"/>
        </w:rPr>
        <w:t>E</w:t>
      </w:r>
      <w:r w:rsidRPr="005478BF">
        <w:rPr>
          <w:sz w:val="24"/>
          <w:szCs w:val="24"/>
        </w:rPr>
        <w:t>ssa non è necessaria quando la decisione dipende dalla risoluzione di questioni di puro diritto.</w:t>
      </w:r>
    </w:p>
    <w:p w14:paraId="62D1F756" w14:textId="77777777" w:rsidR="005478BF" w:rsidRDefault="005478BF" w:rsidP="009B2E2E">
      <w:pPr>
        <w:spacing w:after="0"/>
        <w:jc w:val="both"/>
        <w:rPr>
          <w:sz w:val="24"/>
          <w:szCs w:val="24"/>
        </w:rPr>
      </w:pPr>
      <w:r>
        <w:rPr>
          <w:sz w:val="24"/>
          <w:szCs w:val="24"/>
        </w:rPr>
        <w:t>Nel processo civile l’istruttoria costituisce una fase autonoma, propedeutica alla fase decisoria che si svolge dinanzi al giudice istruttore che cura la trattazione della causa finalizzata a precisare ordinare le questioni controversie sulle quali il collegio si deve pronunciare.</w:t>
      </w:r>
    </w:p>
    <w:p w14:paraId="1EC8DB53" w14:textId="77777777" w:rsidR="005478BF" w:rsidRDefault="005478BF" w:rsidP="009B2E2E">
      <w:pPr>
        <w:spacing w:after="0"/>
        <w:jc w:val="both"/>
        <w:rPr>
          <w:sz w:val="24"/>
          <w:szCs w:val="24"/>
        </w:rPr>
      </w:pPr>
      <w:r>
        <w:rPr>
          <w:sz w:val="24"/>
          <w:szCs w:val="24"/>
        </w:rPr>
        <w:t>Tradizionalmente nel processo amministrativo l’istruttoria non è una fase necessaria e costante, ma un elemento soltanto eventuale. Inoltre essa è comunque molto ridotta data la maggiore importanza che assumono nel processo amministrativo le prove documentali.</w:t>
      </w:r>
    </w:p>
    <w:p w14:paraId="4A6E9AA6" w14:textId="6A5FDB0C" w:rsidR="005478BF" w:rsidRDefault="005478BF" w:rsidP="009B2E2E">
      <w:pPr>
        <w:spacing w:after="0"/>
        <w:jc w:val="both"/>
        <w:rPr>
          <w:sz w:val="24"/>
          <w:szCs w:val="24"/>
        </w:rPr>
      </w:pPr>
      <w:r>
        <w:rPr>
          <w:sz w:val="24"/>
          <w:szCs w:val="24"/>
        </w:rPr>
        <w:t xml:space="preserve">L’impostazione originaria trovava una giustificazione del tipo di giudizio amministrativo ossia di impugnazione nell’ambito della giurisdizione generale di legittimità ciò che veramente contava erano soprattutto gli atti e i documenti confluiti nel procedimento. Nei giudizi di impugnazione la principale fonte di prova è lo stesso atto amministrativo e l’istruttoria </w:t>
      </w:r>
      <w:r w:rsidR="00C11676">
        <w:rPr>
          <w:sz w:val="24"/>
          <w:szCs w:val="24"/>
        </w:rPr>
        <w:t xml:space="preserve">ha </w:t>
      </w:r>
      <w:r>
        <w:rPr>
          <w:sz w:val="24"/>
          <w:szCs w:val="24"/>
        </w:rPr>
        <w:t>solo la funzione di completare la ricostruzione operata dall’amministrazione. Il responsabile del procedimento dispone il compimento degli atti necessari per accertare i fatti adottando ogni misura per l’adeguato e sollecito svolgimento dell’istruttoria, ordinando l’esibizione di documenti e disp</w:t>
      </w:r>
      <w:r w:rsidR="00C11676">
        <w:rPr>
          <w:sz w:val="24"/>
          <w:szCs w:val="24"/>
        </w:rPr>
        <w:t>on</w:t>
      </w:r>
      <w:r>
        <w:rPr>
          <w:sz w:val="24"/>
          <w:szCs w:val="24"/>
        </w:rPr>
        <w:t>endo accertamenti tecnici</w:t>
      </w:r>
      <w:r w:rsidR="00C11676">
        <w:rPr>
          <w:sz w:val="24"/>
          <w:szCs w:val="24"/>
        </w:rPr>
        <w:t xml:space="preserve"> e</w:t>
      </w:r>
      <w:r>
        <w:rPr>
          <w:sz w:val="24"/>
          <w:szCs w:val="24"/>
        </w:rPr>
        <w:t xml:space="preserve"> ispezioni. Il difetto di istruttoria costituisce una delle figure sintomatiche dell’eccesso di potere e deve essere dedotto nel processo come motivo di ricorso.</w:t>
      </w:r>
    </w:p>
    <w:p w14:paraId="0EA755F1" w14:textId="7B6B1CEB" w:rsidR="005478BF" w:rsidRDefault="005478BF" w:rsidP="009B2E2E">
      <w:pPr>
        <w:spacing w:after="0"/>
        <w:jc w:val="both"/>
        <w:rPr>
          <w:sz w:val="24"/>
          <w:szCs w:val="24"/>
        </w:rPr>
      </w:pPr>
      <w:r>
        <w:rPr>
          <w:sz w:val="24"/>
          <w:szCs w:val="24"/>
        </w:rPr>
        <w:t xml:space="preserve">Il testo unico delle leggi sul Consiglio di Stato conteneva una regola secondo la quale se il collegio riconosce che l’istruttoria dell’affare </w:t>
      </w:r>
      <w:r w:rsidR="00DC1ACC">
        <w:rPr>
          <w:sz w:val="24"/>
          <w:szCs w:val="24"/>
        </w:rPr>
        <w:t xml:space="preserve">è </w:t>
      </w:r>
      <w:r>
        <w:rPr>
          <w:sz w:val="24"/>
          <w:szCs w:val="24"/>
        </w:rPr>
        <w:t>incompleta o che i fatti affermati nell’atto provvedimento impugnato sono in contraddizione con i documenti, può richiedere all’amministrazione nuovi schiarimenti o documenti ovvero ordinare all’amministrazione medesima di fare nuove</w:t>
      </w:r>
      <w:r w:rsidR="00B90736">
        <w:rPr>
          <w:sz w:val="24"/>
          <w:szCs w:val="24"/>
        </w:rPr>
        <w:t xml:space="preserve"> </w:t>
      </w:r>
      <w:r>
        <w:rPr>
          <w:sz w:val="24"/>
          <w:szCs w:val="24"/>
        </w:rPr>
        <w:t>verificazion</w:t>
      </w:r>
      <w:r w:rsidR="00B90736">
        <w:rPr>
          <w:sz w:val="24"/>
          <w:szCs w:val="24"/>
        </w:rPr>
        <w:t>i</w:t>
      </w:r>
      <w:r>
        <w:rPr>
          <w:sz w:val="24"/>
          <w:szCs w:val="24"/>
        </w:rPr>
        <w:t xml:space="preserve"> (articolo 44). Quindi l’istruttoria in sede processuale era dunque avviata solo per colmare lacune e incoerenze dell’istruttoria procedimentale. Di frequente nel processo di impugnazione di provvedimenti fatti non erano controversi e si discuteva soltanto di questioni di interpretazione delle norme che disciplinano il potere.</w:t>
      </w:r>
    </w:p>
    <w:p w14:paraId="4E62A43B" w14:textId="00AE28A8" w:rsidR="00CE7A53" w:rsidRPr="00CE7A53" w:rsidRDefault="005478BF" w:rsidP="009B2E2E">
      <w:pPr>
        <w:spacing w:after="0"/>
        <w:jc w:val="both"/>
        <w:rPr>
          <w:sz w:val="24"/>
          <w:szCs w:val="24"/>
        </w:rPr>
      </w:pPr>
      <w:r>
        <w:rPr>
          <w:sz w:val="24"/>
          <w:szCs w:val="24"/>
        </w:rPr>
        <w:t>L’istruttoria nel processo aveva uno spazio ridotto perché il giudizio di legittimità originariamente non era giudizio sul fatto che spettava solo all’amministrazione accertare, ma aveva per oggetto il provvedimento impugnato</w:t>
      </w:r>
      <w:r w:rsidR="006165C3">
        <w:rPr>
          <w:sz w:val="24"/>
          <w:szCs w:val="24"/>
        </w:rPr>
        <w:t xml:space="preserve"> e il fatto. Gli spazi erano più ampi nella giurisdizione di merito (testimonianze, ispezioni e perizie)</w:t>
      </w:r>
      <w:r w:rsidR="00300C56">
        <w:rPr>
          <w:sz w:val="24"/>
          <w:szCs w:val="24"/>
        </w:rPr>
        <w:t>.</w:t>
      </w:r>
    </w:p>
    <w:p w14:paraId="62541FBB" w14:textId="77777777" w:rsidR="009B2E2E" w:rsidRDefault="009B2E2E" w:rsidP="009B2E2E">
      <w:pPr>
        <w:spacing w:after="0"/>
        <w:jc w:val="both"/>
        <w:rPr>
          <w:i/>
          <w:iCs/>
          <w:sz w:val="24"/>
          <w:szCs w:val="24"/>
        </w:rPr>
      </w:pPr>
    </w:p>
    <w:p w14:paraId="7E45A6F9" w14:textId="34228D5F" w:rsidR="009B2E2E" w:rsidRDefault="001C1762" w:rsidP="009B2E2E">
      <w:pPr>
        <w:spacing w:after="0"/>
        <w:jc w:val="both"/>
        <w:rPr>
          <w:i/>
          <w:iCs/>
          <w:sz w:val="24"/>
          <w:szCs w:val="24"/>
        </w:rPr>
      </w:pPr>
      <w:r>
        <w:rPr>
          <w:i/>
          <w:iCs/>
          <w:sz w:val="24"/>
          <w:szCs w:val="24"/>
        </w:rPr>
        <w:lastRenderedPageBreak/>
        <w:t>7</w:t>
      </w:r>
      <w:r w:rsidR="00CE7A53" w:rsidRPr="00CE7A53">
        <w:rPr>
          <w:i/>
          <w:iCs/>
          <w:sz w:val="24"/>
          <w:szCs w:val="24"/>
        </w:rPr>
        <w:t xml:space="preserve"> -La </w:t>
      </w:r>
      <w:r w:rsidR="00CE7A53">
        <w:rPr>
          <w:i/>
          <w:iCs/>
          <w:sz w:val="24"/>
          <w:szCs w:val="24"/>
        </w:rPr>
        <w:t>‘</w:t>
      </w:r>
      <w:r w:rsidR="00CE7A53" w:rsidRPr="00CE7A53">
        <w:rPr>
          <w:i/>
          <w:iCs/>
          <w:sz w:val="24"/>
          <w:szCs w:val="24"/>
        </w:rPr>
        <w:t>verità</w:t>
      </w:r>
      <w:r w:rsidR="00CE7A53">
        <w:rPr>
          <w:i/>
          <w:iCs/>
          <w:sz w:val="24"/>
          <w:szCs w:val="24"/>
        </w:rPr>
        <w:t>’</w:t>
      </w:r>
      <w:r w:rsidR="00CE7A53" w:rsidRPr="00CE7A53">
        <w:rPr>
          <w:i/>
          <w:iCs/>
          <w:sz w:val="24"/>
          <w:szCs w:val="24"/>
        </w:rPr>
        <w:t xml:space="preserve"> nel diritto amministrativo sostanziale.</w:t>
      </w:r>
    </w:p>
    <w:p w14:paraId="394341E7" w14:textId="50523EF2" w:rsidR="00CE7A53" w:rsidRDefault="00CE7A53" w:rsidP="009B2E2E">
      <w:pPr>
        <w:spacing w:after="0"/>
        <w:jc w:val="both"/>
        <w:rPr>
          <w:sz w:val="24"/>
          <w:szCs w:val="24"/>
        </w:rPr>
      </w:pPr>
      <w:r>
        <w:rPr>
          <w:i/>
          <w:iCs/>
          <w:sz w:val="24"/>
          <w:szCs w:val="24"/>
        </w:rPr>
        <w:t xml:space="preserve"> </w:t>
      </w:r>
      <w:r>
        <w:rPr>
          <w:sz w:val="24"/>
          <w:szCs w:val="24"/>
        </w:rPr>
        <w:t>Mentre i procedimenti costitutivi si caratterizzano per l’effetto giuridico di nascita, modificazione o estinzione di situazioni giuridiche soggettive prodotte dai loro provvedimenti, i procedimenti dichiarativi hanno un ruolo giuridicamente meno brillante ma molto importanti nella vita pratica poiché servono ad attribuire qualificazioni giuridiche a cose a persone a rapporti.</w:t>
      </w:r>
    </w:p>
    <w:p w14:paraId="644405EB" w14:textId="77777777" w:rsidR="00CE7A53" w:rsidRDefault="00CE7A53" w:rsidP="009B2E2E">
      <w:pPr>
        <w:spacing w:after="0"/>
        <w:jc w:val="both"/>
        <w:rPr>
          <w:sz w:val="24"/>
          <w:szCs w:val="24"/>
        </w:rPr>
      </w:pPr>
      <w:r>
        <w:rPr>
          <w:sz w:val="24"/>
          <w:szCs w:val="24"/>
        </w:rPr>
        <w:t xml:space="preserve"> Le qualificazioni possono consistere nell’attribuzione di qualifiche giuridiche e nella creazione di qualità o di attributi. Ne sono esempi gli atti di stato civile, i titoli di studio l’iscrizione in albi professionali le registrazioni gli atti di pubblicità e così via. I procedimenti dichiarativi sono stati poco studiati dai giuristi perché si ritenevano che i procedimenti e gli atti relativi avessero un contenuto umile. Ma sotto l’aspetto giuridico essi pongono dei problemi teorici e pratici tutt’altro che lievi.</w:t>
      </w:r>
    </w:p>
    <w:p w14:paraId="20A401C2" w14:textId="77777777" w:rsidR="00CE7A53" w:rsidRDefault="00CE7A53" w:rsidP="009B2E2E">
      <w:pPr>
        <w:spacing w:after="0"/>
        <w:jc w:val="both"/>
        <w:rPr>
          <w:sz w:val="24"/>
          <w:szCs w:val="24"/>
        </w:rPr>
      </w:pPr>
      <w:r>
        <w:rPr>
          <w:sz w:val="24"/>
          <w:szCs w:val="24"/>
        </w:rPr>
        <w:t>Il cardine intorno a cui ruotano questi procedimenti è la nozione di certezza più moderna almeno nella sua elaborazione teorica. Infatti nel secolo XIX prevaleva l’idea che questi procedimenti servissero a stabilire delle verità cui tutti dovevano attenersi pertanto il giudice nel processo aveva il potere di verificare siffatte verità, poiché il processo doveva essere concepito come strumento destinato per sua stessa natura a ricercare e a dichiarare la verità.</w:t>
      </w:r>
    </w:p>
    <w:p w14:paraId="4EE42CD8" w14:textId="77777777" w:rsidR="00CE7A53" w:rsidRDefault="00CE7A53" w:rsidP="009B2E2E">
      <w:pPr>
        <w:spacing w:after="0"/>
        <w:jc w:val="both"/>
        <w:rPr>
          <w:sz w:val="24"/>
          <w:szCs w:val="24"/>
        </w:rPr>
      </w:pPr>
      <w:r>
        <w:rPr>
          <w:sz w:val="24"/>
          <w:szCs w:val="24"/>
        </w:rPr>
        <w:t>Le nuove scienze, nate sempre nel secolo XIX, hanno sottoposto la stessa idea di verità ad una massiccia critica, che ha finito col fare breccia nella scienza del diritto. Psicologi sociologi epistemologi hanno adottato soluzioni meno impegnative, come quelle di verità legali, verità d’uso verità vicaria oppure quelle definizioni di verità come presunzione di verità e così via. In realtà lo strumento giuridico produce verità sue proprie, diverse da quelle del supposto mondo reale. Ma se così fosse a che servirebbe lo strumento del diritto.</w:t>
      </w:r>
    </w:p>
    <w:p w14:paraId="22992B3E" w14:textId="77777777" w:rsidR="00CE7A53" w:rsidRDefault="00CE7A53" w:rsidP="009B2E2E">
      <w:pPr>
        <w:spacing w:after="0"/>
        <w:jc w:val="both"/>
        <w:rPr>
          <w:sz w:val="24"/>
          <w:szCs w:val="24"/>
        </w:rPr>
      </w:pPr>
      <w:r>
        <w:rPr>
          <w:sz w:val="24"/>
          <w:szCs w:val="24"/>
        </w:rPr>
        <w:t>Le scienze esatte hanno operato ponendo le nozioni di probabilità e di verificabilità al luogo di quella di verità e le scienze giuridiche hanno posto la nozione di certezza al luogo di quella di verità. La nozione ha poi avuto poi più ampie applicazioni come la sentenza d’accertamento il negozio di accertamento, l’accertamento giudiziale. Questa profonda revisione nozionale ha contribuito a non disumanizzare lo strumento giuridico e ad accettare la circolazione di certezze apparenti o di certezze meramente legali.</w:t>
      </w:r>
    </w:p>
    <w:p w14:paraId="691CBC04" w14:textId="77777777" w:rsidR="00CE7A53" w:rsidRDefault="00CE7A53" w:rsidP="009B2E2E">
      <w:pPr>
        <w:spacing w:after="0"/>
        <w:jc w:val="both"/>
        <w:rPr>
          <w:sz w:val="24"/>
          <w:szCs w:val="24"/>
        </w:rPr>
      </w:pPr>
      <w:r>
        <w:rPr>
          <w:sz w:val="24"/>
          <w:szCs w:val="24"/>
        </w:rPr>
        <w:t>Benché la varietà delle certezze è molto grande bisogna dire che essi hanno tutti un tratto strutturale funzionale comune, che consiste nel dare certezza di fatti giuridicamente rilevanti. I fatti rilevanti sono quelli qualificati come tali da norme giuridiche, non nel senso di fatti necessariamente produttivi di effetti giuridici. Moltissimi fatti qualificati da norme giuridiche non hanno bisogno di un procedimento dichiarativo per essere resi noti.</w:t>
      </w:r>
    </w:p>
    <w:p w14:paraId="0E65E522" w14:textId="77777777" w:rsidR="00CE7A53" w:rsidRDefault="00CE7A53" w:rsidP="009B2E2E">
      <w:pPr>
        <w:spacing w:after="0"/>
        <w:jc w:val="both"/>
        <w:rPr>
          <w:sz w:val="24"/>
          <w:szCs w:val="24"/>
        </w:rPr>
      </w:pPr>
      <w:r>
        <w:rPr>
          <w:sz w:val="24"/>
          <w:szCs w:val="24"/>
        </w:rPr>
        <w:t xml:space="preserve">I procedimenti dichiarativi, in quanto rivolti a dare certezza fatti constano sempre di due momenti logici: uno di acquisizione, l’altro di dichiarazione. Nel primo si svolgono attività per stabilire in che consiste il fatto, nel secondo si dichiara verso l’esterno ciò che è acquisito. </w:t>
      </w:r>
      <w:r>
        <w:rPr>
          <w:sz w:val="24"/>
          <w:szCs w:val="24"/>
        </w:rPr>
        <w:lastRenderedPageBreak/>
        <w:t>Sono momenti logici ma dal punto di vista giuridico si possono conformare nei modi più diversi. Lo studio delle certezze giuridiche è del secolo scorso e ha costituito un tema su cui si è soprattutto affaticata la scienza processuale civilistica.</w:t>
      </w:r>
    </w:p>
    <w:p w14:paraId="7614109B" w14:textId="0E65FEF1" w:rsidR="00CE7A53" w:rsidRDefault="00CE7A53" w:rsidP="009B2E2E">
      <w:pPr>
        <w:spacing w:after="0"/>
        <w:jc w:val="both"/>
        <w:rPr>
          <w:sz w:val="24"/>
          <w:szCs w:val="24"/>
        </w:rPr>
      </w:pPr>
      <w:r>
        <w:rPr>
          <w:sz w:val="24"/>
          <w:szCs w:val="24"/>
        </w:rPr>
        <w:t xml:space="preserve"> Dopo le intuizion</w:t>
      </w:r>
      <w:r w:rsidR="00A561D7">
        <w:rPr>
          <w:sz w:val="24"/>
          <w:szCs w:val="24"/>
        </w:rPr>
        <w:t>i</w:t>
      </w:r>
      <w:r>
        <w:rPr>
          <w:sz w:val="24"/>
          <w:szCs w:val="24"/>
        </w:rPr>
        <w:t xml:space="preserve"> illumina</w:t>
      </w:r>
      <w:r w:rsidR="00A561D7">
        <w:rPr>
          <w:sz w:val="24"/>
          <w:szCs w:val="24"/>
        </w:rPr>
        <w:t>nti</w:t>
      </w:r>
      <w:r>
        <w:rPr>
          <w:sz w:val="24"/>
          <w:szCs w:val="24"/>
        </w:rPr>
        <w:t xml:space="preserve"> d</w:t>
      </w:r>
      <w:r w:rsidR="00A561D7">
        <w:rPr>
          <w:sz w:val="24"/>
          <w:szCs w:val="24"/>
        </w:rPr>
        <w:t>i</w:t>
      </w:r>
      <w:r>
        <w:rPr>
          <w:sz w:val="24"/>
          <w:szCs w:val="24"/>
        </w:rPr>
        <w:t xml:space="preserve"> Carnelutti, in “Teoria del falso”</w:t>
      </w:r>
      <w:r w:rsidR="00A561D7">
        <w:rPr>
          <w:sz w:val="24"/>
          <w:szCs w:val="24"/>
        </w:rPr>
        <w:t>,</w:t>
      </w:r>
      <w:r>
        <w:rPr>
          <w:sz w:val="24"/>
          <w:szCs w:val="24"/>
        </w:rPr>
        <w:t xml:space="preserve"> tutti coloro che hanno studiato problemi come quelli delle prove, degli atti di stato civile, dei registri, degli albi hanno dovuto direttamente trattarne. Di particolare importanza è quella di Salvatore Pugliatti, “La trascrizione” e le voci “Accertamento e certezza pubblica” dell’enciclopedia del diritto, curate da Massimo Severo Giannini e Angelo Falzea.</w:t>
      </w:r>
    </w:p>
    <w:p w14:paraId="7ACE008B" w14:textId="77777777" w:rsidR="00CE7A53" w:rsidRDefault="00CE7A53" w:rsidP="009B2E2E">
      <w:pPr>
        <w:spacing w:after="0"/>
        <w:jc w:val="both"/>
        <w:rPr>
          <w:sz w:val="24"/>
          <w:szCs w:val="24"/>
        </w:rPr>
      </w:pPr>
      <w:r>
        <w:rPr>
          <w:sz w:val="24"/>
          <w:szCs w:val="24"/>
        </w:rPr>
        <w:t>Atti di scienza e conoscenza dunque. L’atto costitutivo dei primi è una dichiarazione di scienza, quello dei secondi è un atto di partecipazione. Il primo rende noto l’incerto, il secondo sempre emanato da una qualche figura soggettiva, consiste nel fatto che ciò che si partecipa è il fatto dell’emanazione dell’atto e non invece l’atto in quanto tale. In altre parole altro è l’atto con la sua esternazione altro la misura di partecipazione dell’atto già esternato.</w:t>
      </w:r>
    </w:p>
    <w:p w14:paraId="4BF7C69D" w14:textId="77777777" w:rsidR="00CE7A53" w:rsidRDefault="00CE7A53" w:rsidP="009B2E2E">
      <w:pPr>
        <w:spacing w:after="0"/>
        <w:jc w:val="both"/>
        <w:rPr>
          <w:sz w:val="24"/>
          <w:szCs w:val="24"/>
        </w:rPr>
      </w:pPr>
      <w:r>
        <w:rPr>
          <w:sz w:val="24"/>
          <w:szCs w:val="24"/>
        </w:rPr>
        <w:t xml:space="preserve">I procedimenti di scienza sono: gli </w:t>
      </w:r>
      <w:proofErr w:type="spellStart"/>
      <w:r>
        <w:rPr>
          <w:sz w:val="24"/>
          <w:szCs w:val="24"/>
        </w:rPr>
        <w:t>acclaramenti</w:t>
      </w:r>
      <w:proofErr w:type="spellEnd"/>
      <w:r>
        <w:rPr>
          <w:sz w:val="24"/>
          <w:szCs w:val="24"/>
        </w:rPr>
        <w:t>, gli accertamenti, le certazioni, le ispezioni, le inchieste, le verbalizzazioni, le certificazioni, i registri pubblici e privati.</w:t>
      </w:r>
    </w:p>
    <w:p w14:paraId="7B8B4116" w14:textId="77777777" w:rsidR="00CE7A53" w:rsidRDefault="00CE7A53" w:rsidP="009B2E2E">
      <w:pPr>
        <w:spacing w:after="0"/>
        <w:jc w:val="both"/>
        <w:rPr>
          <w:sz w:val="24"/>
          <w:szCs w:val="24"/>
        </w:rPr>
      </w:pPr>
      <w:r>
        <w:rPr>
          <w:sz w:val="24"/>
          <w:szCs w:val="24"/>
        </w:rPr>
        <w:t>I procedimenti o misure di conoscenza sono operazioni strumenti rivolti a dare conoscenza. Essi sono comunicazioni e notificazioni, ma anche altre.</w:t>
      </w:r>
    </w:p>
    <w:p w14:paraId="284CD0D8" w14:textId="77777777" w:rsidR="00CE7A53" w:rsidRDefault="00CE7A53" w:rsidP="009B2E2E">
      <w:pPr>
        <w:spacing w:after="0"/>
        <w:jc w:val="both"/>
        <w:rPr>
          <w:sz w:val="24"/>
          <w:szCs w:val="24"/>
        </w:rPr>
      </w:pPr>
      <w:r>
        <w:rPr>
          <w:sz w:val="24"/>
          <w:szCs w:val="24"/>
        </w:rPr>
        <w:t>Vi è poi una seconda distinzione tra le certezze, quella tra certezze legali e certezze notiziali.  Le certezze difatti sono sempre certezze notiziali quelle di rapporti possono essere sia legali sia notiziali.</w:t>
      </w:r>
    </w:p>
    <w:p w14:paraId="25F4BF05" w14:textId="77777777" w:rsidR="00CE7A53" w:rsidRDefault="00CE7A53" w:rsidP="009B2E2E">
      <w:pPr>
        <w:spacing w:after="0"/>
        <w:jc w:val="both"/>
        <w:rPr>
          <w:sz w:val="24"/>
          <w:szCs w:val="24"/>
        </w:rPr>
      </w:pPr>
      <w:r>
        <w:rPr>
          <w:sz w:val="24"/>
          <w:szCs w:val="24"/>
        </w:rPr>
        <w:t>L’atto di certezza legale crea effettivamente qualche cosa di diverso dall’atto stesso ed è quello costituito dall’obbligo di assumere come certezza l’enunciato dell’atto.</w:t>
      </w:r>
    </w:p>
    <w:p w14:paraId="3950E068" w14:textId="77777777" w:rsidR="00CE7A53" w:rsidRDefault="00CE7A53" w:rsidP="009B2E2E">
      <w:pPr>
        <w:spacing w:after="0"/>
        <w:jc w:val="both"/>
        <w:rPr>
          <w:sz w:val="24"/>
          <w:szCs w:val="24"/>
        </w:rPr>
      </w:pPr>
      <w:r>
        <w:rPr>
          <w:sz w:val="24"/>
          <w:szCs w:val="24"/>
        </w:rPr>
        <w:t xml:space="preserve">L’atto di certezza è </w:t>
      </w:r>
      <w:proofErr w:type="spellStart"/>
      <w:r>
        <w:rPr>
          <w:sz w:val="24"/>
          <w:szCs w:val="24"/>
        </w:rPr>
        <w:t>inautonomo</w:t>
      </w:r>
      <w:proofErr w:type="spellEnd"/>
      <w:r>
        <w:rPr>
          <w:sz w:val="24"/>
          <w:szCs w:val="24"/>
        </w:rPr>
        <w:t xml:space="preserve"> e può circolare solamente con l’atto a cui conferisce certezza.</w:t>
      </w:r>
    </w:p>
    <w:p w14:paraId="49334173" w14:textId="77777777" w:rsidR="00CE7A53" w:rsidRDefault="00CE7A53" w:rsidP="00795E59">
      <w:pPr>
        <w:spacing w:after="0"/>
        <w:ind w:left="708"/>
        <w:jc w:val="both"/>
        <w:rPr>
          <w:sz w:val="24"/>
          <w:szCs w:val="24"/>
        </w:rPr>
      </w:pPr>
    </w:p>
    <w:p w14:paraId="37FC3D06" w14:textId="77777777" w:rsidR="009B2E2E" w:rsidRDefault="009B2E2E" w:rsidP="009B2E2E">
      <w:pPr>
        <w:spacing w:after="0"/>
        <w:jc w:val="both"/>
        <w:rPr>
          <w:i/>
          <w:iCs/>
          <w:sz w:val="24"/>
          <w:szCs w:val="24"/>
        </w:rPr>
      </w:pPr>
      <w:r>
        <w:rPr>
          <w:i/>
          <w:iCs/>
          <w:sz w:val="24"/>
          <w:szCs w:val="24"/>
        </w:rPr>
        <w:t>8</w:t>
      </w:r>
      <w:r w:rsidR="00CE7A53" w:rsidRPr="00CE7A53">
        <w:rPr>
          <w:i/>
          <w:iCs/>
          <w:sz w:val="24"/>
          <w:szCs w:val="24"/>
        </w:rPr>
        <w:t xml:space="preserve"> -</w:t>
      </w:r>
      <w:r w:rsidR="00E916D3" w:rsidRPr="00CE7A53">
        <w:rPr>
          <w:i/>
          <w:iCs/>
          <w:sz w:val="24"/>
          <w:szCs w:val="24"/>
        </w:rPr>
        <w:t>Il cambio di regime, il principio dispositivo con metodo acquisitivo</w:t>
      </w:r>
      <w:r w:rsidR="0057784D" w:rsidRPr="00CE7A53">
        <w:rPr>
          <w:i/>
          <w:iCs/>
          <w:sz w:val="24"/>
          <w:szCs w:val="24"/>
        </w:rPr>
        <w:t>. La giurisdizione esclusiva e il risarcimento degli interessi legittimi.</w:t>
      </w:r>
      <w:r w:rsidR="00CE7A53">
        <w:rPr>
          <w:i/>
          <w:iCs/>
          <w:sz w:val="24"/>
          <w:szCs w:val="24"/>
        </w:rPr>
        <w:t xml:space="preserve"> </w:t>
      </w:r>
    </w:p>
    <w:p w14:paraId="6DBED3BB" w14:textId="404ABC09" w:rsidR="006165C3" w:rsidRDefault="00C11676" w:rsidP="009B2E2E">
      <w:pPr>
        <w:spacing w:after="0"/>
        <w:jc w:val="both"/>
        <w:rPr>
          <w:sz w:val="24"/>
          <w:szCs w:val="24"/>
        </w:rPr>
      </w:pPr>
      <w:r>
        <w:rPr>
          <w:sz w:val="24"/>
          <w:szCs w:val="24"/>
        </w:rPr>
        <w:t>T</w:t>
      </w:r>
      <w:r w:rsidR="006165C3">
        <w:rPr>
          <w:sz w:val="24"/>
          <w:szCs w:val="24"/>
        </w:rPr>
        <w:t>uttavia il giudice amministrativo ha superato la visione tradizionale rivendicando il potere di accesso pieno e di ricostruzione autonoma dei fatti così come provati dalle parti nel giudizio e ciò anche al di là della loro rappresentazione risultante dall’atto impugnato</w:t>
      </w:r>
      <w:r w:rsidR="009309AF">
        <w:rPr>
          <w:sz w:val="24"/>
          <w:szCs w:val="24"/>
        </w:rPr>
        <w:t xml:space="preserve"> e al di là della motivazione</w:t>
      </w:r>
      <w:r w:rsidR="006165C3">
        <w:rPr>
          <w:sz w:val="24"/>
          <w:szCs w:val="24"/>
        </w:rPr>
        <w:t xml:space="preserve">. </w:t>
      </w:r>
      <w:proofErr w:type="gramStart"/>
      <w:r w:rsidR="006165C3">
        <w:rPr>
          <w:sz w:val="24"/>
          <w:szCs w:val="24"/>
        </w:rPr>
        <w:t>E</w:t>
      </w:r>
      <w:r>
        <w:rPr>
          <w:sz w:val="24"/>
          <w:szCs w:val="24"/>
        </w:rPr>
        <w:t>’</w:t>
      </w:r>
      <w:proofErr w:type="gramEnd"/>
      <w:r w:rsidR="00A561D7">
        <w:rPr>
          <w:sz w:val="24"/>
          <w:szCs w:val="24"/>
        </w:rPr>
        <w:t xml:space="preserve"> </w:t>
      </w:r>
      <w:r w:rsidR="006165C3">
        <w:rPr>
          <w:sz w:val="24"/>
          <w:szCs w:val="24"/>
        </w:rPr>
        <w:t xml:space="preserve">la stessa amministrazione a dover fornire nel provvedimento la prova dei fatti posti a fondamento del potere esercitato. I poteri istruttori del giudice hanno una funzione di integrazione, ma il giudice deve </w:t>
      </w:r>
      <w:r>
        <w:rPr>
          <w:sz w:val="24"/>
          <w:szCs w:val="24"/>
        </w:rPr>
        <w:t>af</w:t>
      </w:r>
      <w:r w:rsidR="006165C3">
        <w:rPr>
          <w:sz w:val="24"/>
          <w:szCs w:val="24"/>
        </w:rPr>
        <w:t xml:space="preserve">fermare il proprio convincimento non sulla base di ciò che risulta dal provvedimento impugnato o dalle affermazioni delle parti bensì su ciò che ciascuna di esse in base alle proprie disponibilità sia stata in grado di provare. Su questa base la </w:t>
      </w:r>
      <w:r w:rsidR="00DC1ACC">
        <w:rPr>
          <w:sz w:val="24"/>
          <w:szCs w:val="24"/>
        </w:rPr>
        <w:t>C</w:t>
      </w:r>
      <w:r w:rsidR="006165C3">
        <w:rPr>
          <w:sz w:val="24"/>
          <w:szCs w:val="24"/>
        </w:rPr>
        <w:t>orte</w:t>
      </w:r>
      <w:r w:rsidR="00DC1ACC">
        <w:rPr>
          <w:sz w:val="24"/>
          <w:szCs w:val="24"/>
        </w:rPr>
        <w:t xml:space="preserve"> </w:t>
      </w:r>
      <w:r w:rsidR="00A561D7">
        <w:rPr>
          <w:sz w:val="24"/>
          <w:szCs w:val="24"/>
        </w:rPr>
        <w:t>C</w:t>
      </w:r>
      <w:r w:rsidR="00DC1ACC">
        <w:rPr>
          <w:sz w:val="24"/>
          <w:szCs w:val="24"/>
        </w:rPr>
        <w:t>ostituzionale</w:t>
      </w:r>
      <w:r w:rsidR="006165C3">
        <w:rPr>
          <w:sz w:val="24"/>
          <w:szCs w:val="24"/>
        </w:rPr>
        <w:t xml:space="preserve"> aveva ritenuto conforme a costituzione la mancata previsione della disciplina del processo amministrativo della prova testimoniale (ora introdotta dal codice, che nel processo civile costituisce uno strumento ampiamente utilizzato per la ricos</w:t>
      </w:r>
      <w:r w:rsidR="009309AF">
        <w:rPr>
          <w:sz w:val="24"/>
          <w:szCs w:val="24"/>
        </w:rPr>
        <w:t>truz</w:t>
      </w:r>
      <w:r w:rsidR="006165C3">
        <w:rPr>
          <w:sz w:val="24"/>
          <w:szCs w:val="24"/>
        </w:rPr>
        <w:t>ione dei fatti</w:t>
      </w:r>
      <w:r w:rsidR="009309AF">
        <w:rPr>
          <w:sz w:val="24"/>
          <w:szCs w:val="24"/>
        </w:rPr>
        <w:t>).</w:t>
      </w:r>
    </w:p>
    <w:p w14:paraId="18B2E7B5" w14:textId="3034EECD" w:rsidR="006165C3" w:rsidRDefault="006165C3" w:rsidP="009B2E2E">
      <w:pPr>
        <w:spacing w:after="0"/>
        <w:jc w:val="both"/>
        <w:rPr>
          <w:sz w:val="24"/>
          <w:szCs w:val="24"/>
        </w:rPr>
      </w:pPr>
      <w:r>
        <w:rPr>
          <w:sz w:val="24"/>
          <w:szCs w:val="24"/>
        </w:rPr>
        <w:lastRenderedPageBreak/>
        <w:t>La concezione tradizionale che aveva senso nel caso degli interessi o</w:t>
      </w:r>
      <w:r w:rsidR="00C11676">
        <w:rPr>
          <w:sz w:val="24"/>
          <w:szCs w:val="24"/>
        </w:rPr>
        <w:t>p</w:t>
      </w:r>
      <w:r>
        <w:rPr>
          <w:sz w:val="24"/>
          <w:szCs w:val="24"/>
        </w:rPr>
        <w:t>positivi lesi da un provvedimento lo aveva meno in quello degli interessi legittimi pre</w:t>
      </w:r>
      <w:r w:rsidR="00C11676">
        <w:rPr>
          <w:sz w:val="24"/>
          <w:szCs w:val="24"/>
        </w:rPr>
        <w:t>tens</w:t>
      </w:r>
      <w:r>
        <w:rPr>
          <w:sz w:val="24"/>
          <w:szCs w:val="24"/>
        </w:rPr>
        <w:t>ivi lesi da un comportamento inerte dell’amministrazione o da un provvedimento di rigetto. Una volta che l’oggetto della cognizione si estende alla fondatezza della pretesa del soggetto che presenta un’istanza volta al rilascio di un provvedimento a lui favorevole, la funzione dell’istruttoria in sede processuale deve necessariamente essere finalizzata all’accertamento autonomo dei presupposti di fatto. Ciò pone in capo al ricorrente l’onere di allegare i fatti e di fornire le prove all’uopo necessarie</w:t>
      </w:r>
    </w:p>
    <w:p w14:paraId="4502A68A" w14:textId="606418A5" w:rsidR="006165C3" w:rsidRDefault="006165C3" w:rsidP="009B2E2E">
      <w:pPr>
        <w:spacing w:after="0"/>
        <w:jc w:val="both"/>
        <w:rPr>
          <w:sz w:val="24"/>
          <w:szCs w:val="24"/>
        </w:rPr>
      </w:pPr>
      <w:r>
        <w:rPr>
          <w:sz w:val="24"/>
          <w:szCs w:val="24"/>
        </w:rPr>
        <w:t>La concezione tradizionale non poteva reggere una volta che il processo amministrativo si aprì alla tutela di situazioni di diritto soggettivo nell’ambito della giurisdizione esclusiva. Gli atti dell’amministrazione hanno natura di atti paritetici</w:t>
      </w:r>
      <w:r w:rsidR="00C11676">
        <w:rPr>
          <w:sz w:val="24"/>
          <w:szCs w:val="24"/>
        </w:rPr>
        <w:t xml:space="preserve"> e</w:t>
      </w:r>
      <w:r>
        <w:rPr>
          <w:sz w:val="24"/>
          <w:szCs w:val="24"/>
        </w:rPr>
        <w:t xml:space="preserve"> non provvedimentali</w:t>
      </w:r>
      <w:r w:rsidR="00C11676">
        <w:rPr>
          <w:sz w:val="24"/>
          <w:szCs w:val="24"/>
        </w:rPr>
        <w:t>. I</w:t>
      </w:r>
      <w:r>
        <w:rPr>
          <w:sz w:val="24"/>
          <w:szCs w:val="24"/>
        </w:rPr>
        <w:t>l processo ha per oggetto un rapporto obbligatorio analogo a quello usualmente sottoposto alla cognizione del giudice ordinario.</w:t>
      </w:r>
    </w:p>
    <w:p w14:paraId="68523BB3" w14:textId="4B86ABB3" w:rsidR="0057784D" w:rsidRPr="00CE7A53" w:rsidRDefault="006165C3" w:rsidP="009B2E2E">
      <w:pPr>
        <w:spacing w:after="0"/>
        <w:jc w:val="both"/>
        <w:rPr>
          <w:sz w:val="24"/>
          <w:szCs w:val="24"/>
        </w:rPr>
      </w:pPr>
      <w:r>
        <w:rPr>
          <w:sz w:val="24"/>
          <w:szCs w:val="24"/>
        </w:rPr>
        <w:t>Anche l’ingresso nel processo amministrativo dell’azione risarcitoria ha contribuito a sollecitare un ripensamento. La prova del danno e dell’elemento psicologico costituiscono elementi distinti ulteriori rispetto alla dimostrazione dell’illegittimità del provvedimento e dipendono per quanto riguarda il danno da elementi di fatto che sono spesso conosciuti e dispo</w:t>
      </w:r>
      <w:r w:rsidR="00C11676">
        <w:rPr>
          <w:sz w:val="24"/>
          <w:szCs w:val="24"/>
        </w:rPr>
        <w:t>ni</w:t>
      </w:r>
      <w:r>
        <w:rPr>
          <w:sz w:val="24"/>
          <w:szCs w:val="24"/>
        </w:rPr>
        <w:t xml:space="preserve">bili dal ricorrente. Da questa evoluzione il codice contiene disposizioni più precise in tema di onere della prova e include l’intera gamma delle prove previste nel codice di procedura civile, escluso l’interrogatorio formale </w:t>
      </w:r>
      <w:r w:rsidR="00DC1ACC">
        <w:rPr>
          <w:sz w:val="24"/>
          <w:szCs w:val="24"/>
        </w:rPr>
        <w:t xml:space="preserve">e </w:t>
      </w:r>
      <w:r>
        <w:rPr>
          <w:sz w:val="24"/>
          <w:szCs w:val="24"/>
        </w:rPr>
        <w:t xml:space="preserve">il giuramento. </w:t>
      </w:r>
    </w:p>
    <w:p w14:paraId="79C9F243" w14:textId="77777777" w:rsidR="009B2E2E" w:rsidRDefault="009B2E2E" w:rsidP="009B2E2E">
      <w:pPr>
        <w:spacing w:after="0"/>
        <w:jc w:val="both"/>
        <w:rPr>
          <w:i/>
          <w:iCs/>
          <w:sz w:val="24"/>
          <w:szCs w:val="24"/>
        </w:rPr>
      </w:pPr>
    </w:p>
    <w:p w14:paraId="1573FA36" w14:textId="77777777" w:rsidR="009B2E2E" w:rsidRDefault="009B2E2E" w:rsidP="009B2E2E">
      <w:pPr>
        <w:spacing w:after="0"/>
        <w:jc w:val="both"/>
        <w:rPr>
          <w:i/>
          <w:iCs/>
          <w:sz w:val="24"/>
          <w:szCs w:val="24"/>
        </w:rPr>
      </w:pPr>
      <w:r>
        <w:rPr>
          <w:i/>
          <w:iCs/>
          <w:sz w:val="24"/>
          <w:szCs w:val="24"/>
        </w:rPr>
        <w:t>9</w:t>
      </w:r>
      <w:r w:rsidR="0057784D" w:rsidRPr="00CE7A53">
        <w:rPr>
          <w:i/>
          <w:iCs/>
          <w:sz w:val="24"/>
          <w:szCs w:val="24"/>
        </w:rPr>
        <w:t xml:space="preserve"> </w:t>
      </w:r>
      <w:r w:rsidR="00CE7A53" w:rsidRPr="00CE7A53">
        <w:rPr>
          <w:i/>
          <w:iCs/>
          <w:sz w:val="24"/>
          <w:szCs w:val="24"/>
        </w:rPr>
        <w:t>– I</w:t>
      </w:r>
      <w:r w:rsidR="00CE7A53">
        <w:rPr>
          <w:i/>
          <w:iCs/>
          <w:sz w:val="24"/>
          <w:szCs w:val="24"/>
        </w:rPr>
        <w:t xml:space="preserve"> </w:t>
      </w:r>
      <w:r w:rsidR="00CE7A53" w:rsidRPr="00CE7A53">
        <w:rPr>
          <w:i/>
          <w:iCs/>
          <w:sz w:val="24"/>
          <w:szCs w:val="24"/>
        </w:rPr>
        <w:t>singoli mezzi di prova.</w:t>
      </w:r>
    </w:p>
    <w:p w14:paraId="4908C644" w14:textId="25174757" w:rsidR="006165C3" w:rsidRDefault="0057784D" w:rsidP="009B2E2E">
      <w:pPr>
        <w:spacing w:after="0"/>
        <w:jc w:val="both"/>
        <w:rPr>
          <w:sz w:val="24"/>
          <w:szCs w:val="24"/>
        </w:rPr>
      </w:pPr>
      <w:r>
        <w:rPr>
          <w:b/>
          <w:bCs/>
          <w:sz w:val="24"/>
          <w:szCs w:val="24"/>
        </w:rPr>
        <w:t xml:space="preserve"> </w:t>
      </w:r>
      <w:r w:rsidR="005E3FA1">
        <w:rPr>
          <w:sz w:val="24"/>
          <w:szCs w:val="24"/>
        </w:rPr>
        <w:t>Il</w:t>
      </w:r>
      <w:r w:rsidR="006165C3">
        <w:rPr>
          <w:sz w:val="24"/>
          <w:szCs w:val="24"/>
        </w:rPr>
        <w:t xml:space="preserve"> codice pone una disciplina unitaria dell’istruttoria che abbraccia la giurisdizione di legittimità, la giurisdizione esclusiva </w:t>
      </w:r>
      <w:r w:rsidR="00EB3B14">
        <w:rPr>
          <w:sz w:val="24"/>
          <w:szCs w:val="24"/>
        </w:rPr>
        <w:t xml:space="preserve">e </w:t>
      </w:r>
      <w:r w:rsidR="006165C3">
        <w:rPr>
          <w:sz w:val="24"/>
          <w:szCs w:val="24"/>
        </w:rPr>
        <w:t>della giurisdizione di merito</w:t>
      </w:r>
      <w:r w:rsidR="00EB3B14">
        <w:rPr>
          <w:sz w:val="24"/>
          <w:szCs w:val="24"/>
        </w:rPr>
        <w:t>.</w:t>
      </w:r>
      <w:r w:rsidR="006165C3">
        <w:rPr>
          <w:sz w:val="24"/>
          <w:szCs w:val="24"/>
        </w:rPr>
        <w:t xml:space="preserve"> </w:t>
      </w:r>
      <w:r w:rsidR="00EB3B14">
        <w:rPr>
          <w:sz w:val="24"/>
          <w:szCs w:val="24"/>
        </w:rPr>
        <w:t>I</w:t>
      </w:r>
      <w:r w:rsidR="006165C3">
        <w:rPr>
          <w:sz w:val="24"/>
          <w:szCs w:val="24"/>
        </w:rPr>
        <w:t>l principio generale di cui all’art</w:t>
      </w:r>
      <w:r w:rsidR="00A561D7">
        <w:rPr>
          <w:sz w:val="24"/>
          <w:szCs w:val="24"/>
        </w:rPr>
        <w:t xml:space="preserve">. </w:t>
      </w:r>
      <w:r w:rsidR="006165C3">
        <w:rPr>
          <w:sz w:val="24"/>
          <w:szCs w:val="24"/>
        </w:rPr>
        <w:t xml:space="preserve">2697 del codice civile </w:t>
      </w:r>
      <w:r w:rsidR="00EB3B14">
        <w:rPr>
          <w:sz w:val="24"/>
          <w:szCs w:val="24"/>
        </w:rPr>
        <w:t>è</w:t>
      </w:r>
      <w:r w:rsidR="006165C3">
        <w:rPr>
          <w:sz w:val="24"/>
          <w:szCs w:val="24"/>
        </w:rPr>
        <w:t xml:space="preserve"> penetrato negli art</w:t>
      </w:r>
      <w:r w:rsidR="00A561D7">
        <w:rPr>
          <w:sz w:val="24"/>
          <w:szCs w:val="24"/>
        </w:rPr>
        <w:t xml:space="preserve">t. </w:t>
      </w:r>
      <w:r w:rsidR="006165C3">
        <w:rPr>
          <w:sz w:val="24"/>
          <w:szCs w:val="24"/>
        </w:rPr>
        <w:t xml:space="preserve">63 e 64 del codice di procedura amministrativa. Il principio dell’onere della prova </w:t>
      </w:r>
      <w:r w:rsidR="00EB3B14">
        <w:rPr>
          <w:sz w:val="24"/>
          <w:szCs w:val="24"/>
        </w:rPr>
        <w:t>è</w:t>
      </w:r>
      <w:r w:rsidR="006165C3">
        <w:rPr>
          <w:sz w:val="24"/>
          <w:szCs w:val="24"/>
        </w:rPr>
        <w:t xml:space="preserve"> connaturale</w:t>
      </w:r>
      <w:r w:rsidR="00EB3B14">
        <w:rPr>
          <w:sz w:val="24"/>
          <w:szCs w:val="24"/>
        </w:rPr>
        <w:t xml:space="preserve"> a</w:t>
      </w:r>
      <w:r w:rsidR="006165C3">
        <w:rPr>
          <w:sz w:val="24"/>
          <w:szCs w:val="24"/>
        </w:rPr>
        <w:t>i processi informati al principio della domanda e al principio dispositivo in base al quale grava le parti l’onere dell’allegazione dei fatti rilevanti idonei a giustificare le domande proposte e oggetto della prova sono solo i fatti allegati dalle parti.</w:t>
      </w:r>
    </w:p>
    <w:p w14:paraId="4546E38E" w14:textId="742F7D9D" w:rsidR="006165C3" w:rsidRDefault="006165C3" w:rsidP="009B2E2E">
      <w:pPr>
        <w:spacing w:after="0"/>
        <w:jc w:val="both"/>
        <w:rPr>
          <w:sz w:val="24"/>
          <w:szCs w:val="24"/>
        </w:rPr>
      </w:pPr>
      <w:r>
        <w:rPr>
          <w:sz w:val="24"/>
          <w:szCs w:val="24"/>
        </w:rPr>
        <w:t>Il processo amministrativo si ispira al principio dispositivo con metodo acquisitiv</w:t>
      </w:r>
      <w:r w:rsidR="00DC1ACC">
        <w:rPr>
          <w:sz w:val="24"/>
          <w:szCs w:val="24"/>
        </w:rPr>
        <w:t>o</w:t>
      </w:r>
      <w:r>
        <w:rPr>
          <w:sz w:val="24"/>
          <w:szCs w:val="24"/>
        </w:rPr>
        <w:t>, in base al quale l’onere della prova che grava sul ricorrente è meno rigoroso, essendo sufficiente che gli fornisca non già una prova piena dei fatti bensì solo un principio di prova. Soddisfatto questo onere interviene il metodo acquisitiv</w:t>
      </w:r>
      <w:r w:rsidR="00DC1ACC">
        <w:rPr>
          <w:sz w:val="24"/>
          <w:szCs w:val="24"/>
        </w:rPr>
        <w:t>o</w:t>
      </w:r>
      <w:r>
        <w:rPr>
          <w:sz w:val="24"/>
          <w:szCs w:val="24"/>
        </w:rPr>
        <w:t xml:space="preserve"> consistente nell’esercizio del giudice dei poteri istruttori d’ufficio per l’accertamento dei fatti allegati allo scopo di integrare la prova laddove essa non sia nella disponibilità del ricorrente. Il metodo acquisitiv</w:t>
      </w:r>
      <w:r w:rsidR="00EB3B14">
        <w:rPr>
          <w:sz w:val="24"/>
          <w:szCs w:val="24"/>
        </w:rPr>
        <w:t>o</w:t>
      </w:r>
      <w:r>
        <w:rPr>
          <w:sz w:val="24"/>
          <w:szCs w:val="24"/>
        </w:rPr>
        <w:t xml:space="preserve"> viene generalmente giustificato in relazione alle necessità di equilibrare l’asimmetria informativa tra amministrazione e privato </w:t>
      </w:r>
      <w:r>
        <w:rPr>
          <w:sz w:val="24"/>
          <w:szCs w:val="24"/>
        </w:rPr>
        <w:lastRenderedPageBreak/>
        <w:t>che contraddistingue l’esercizio del pubblico potere il correlato rimedio dell’azione di impugnazione.</w:t>
      </w:r>
    </w:p>
    <w:p w14:paraId="42643DA0" w14:textId="5A8F0F74" w:rsidR="00EB3B14" w:rsidRDefault="00B90736" w:rsidP="009B2E2E">
      <w:pPr>
        <w:spacing w:after="0"/>
        <w:jc w:val="both"/>
        <w:rPr>
          <w:sz w:val="24"/>
          <w:szCs w:val="24"/>
        </w:rPr>
      </w:pPr>
      <w:r>
        <w:rPr>
          <w:sz w:val="24"/>
          <w:szCs w:val="24"/>
        </w:rPr>
        <w:t>Nel caso in cui il ricorrente proponga un’azione risarcitoria</w:t>
      </w:r>
      <w:r w:rsidR="00EB3B14">
        <w:rPr>
          <w:sz w:val="24"/>
          <w:szCs w:val="24"/>
        </w:rPr>
        <w:t>,</w:t>
      </w:r>
      <w:r>
        <w:rPr>
          <w:sz w:val="24"/>
          <w:szCs w:val="24"/>
        </w:rPr>
        <w:t xml:space="preserve"> la giurisprudenza richiede invece una prova rigorosa del danno subito</w:t>
      </w:r>
      <w:r w:rsidR="00EB3B14">
        <w:rPr>
          <w:sz w:val="24"/>
          <w:szCs w:val="24"/>
        </w:rPr>
        <w:t>,</w:t>
      </w:r>
      <w:r>
        <w:rPr>
          <w:sz w:val="24"/>
          <w:szCs w:val="24"/>
        </w:rPr>
        <w:t xml:space="preserve"> atteso che in relazione a tale azione il criterio della cosiddetta vicinanza della prova determina il </w:t>
      </w:r>
      <w:r w:rsidR="00EB3B14">
        <w:rPr>
          <w:sz w:val="24"/>
          <w:szCs w:val="24"/>
        </w:rPr>
        <w:t>r</w:t>
      </w:r>
      <w:r>
        <w:rPr>
          <w:sz w:val="24"/>
          <w:szCs w:val="24"/>
        </w:rPr>
        <w:t>iespandersi del principio dispositivo di cui all’art</w:t>
      </w:r>
      <w:r w:rsidR="00A561D7">
        <w:rPr>
          <w:sz w:val="24"/>
          <w:szCs w:val="24"/>
        </w:rPr>
        <w:t xml:space="preserve">. </w:t>
      </w:r>
      <w:r>
        <w:rPr>
          <w:sz w:val="24"/>
          <w:szCs w:val="24"/>
        </w:rPr>
        <w:t>2697 del codice civile. Con riguardo alla quantificazione dell’utile che l’impresa avrebbe conseguito</w:t>
      </w:r>
      <w:r w:rsidR="00EB3B14">
        <w:rPr>
          <w:sz w:val="24"/>
          <w:szCs w:val="24"/>
        </w:rPr>
        <w:t xml:space="preserve"> se f</w:t>
      </w:r>
      <w:r>
        <w:rPr>
          <w:sz w:val="24"/>
          <w:szCs w:val="24"/>
        </w:rPr>
        <w:t>osse stata aggiudicataria di un contratto si determina ulteriormente sulla base dei dati di bilancio</w:t>
      </w:r>
      <w:r w:rsidR="00EB3B14">
        <w:rPr>
          <w:sz w:val="24"/>
          <w:szCs w:val="24"/>
        </w:rPr>
        <w:t>, ma anche</w:t>
      </w:r>
      <w:r>
        <w:rPr>
          <w:sz w:val="24"/>
          <w:szCs w:val="24"/>
        </w:rPr>
        <w:t xml:space="preserve"> di altri elementi che sono nella piena disponibilità del ricorrente. </w:t>
      </w:r>
    </w:p>
    <w:p w14:paraId="568EA539" w14:textId="77777777" w:rsidR="00DC3C6B" w:rsidRDefault="00B90736" w:rsidP="009B2E2E">
      <w:pPr>
        <w:spacing w:after="0"/>
        <w:jc w:val="both"/>
        <w:rPr>
          <w:sz w:val="24"/>
          <w:szCs w:val="24"/>
        </w:rPr>
      </w:pPr>
      <w:r>
        <w:rPr>
          <w:sz w:val="24"/>
          <w:szCs w:val="24"/>
        </w:rPr>
        <w:t xml:space="preserve">Ciò vale anche quando nel giudizio </w:t>
      </w:r>
      <w:r w:rsidR="00EB3B14">
        <w:rPr>
          <w:sz w:val="24"/>
          <w:szCs w:val="24"/>
        </w:rPr>
        <w:t>è</w:t>
      </w:r>
      <w:r>
        <w:rPr>
          <w:sz w:val="24"/>
          <w:szCs w:val="24"/>
        </w:rPr>
        <w:t xml:space="preserve"> coinvolto un diritto soggettivo rientrante nella giurisdizione esclusiva</w:t>
      </w:r>
      <w:r w:rsidR="00EB3B14">
        <w:rPr>
          <w:sz w:val="24"/>
          <w:szCs w:val="24"/>
        </w:rPr>
        <w:t>.</w:t>
      </w:r>
      <w:r>
        <w:rPr>
          <w:sz w:val="24"/>
          <w:szCs w:val="24"/>
        </w:rPr>
        <w:t xml:space="preserve"> </w:t>
      </w:r>
      <w:r w:rsidR="00EB3B14">
        <w:rPr>
          <w:sz w:val="24"/>
          <w:szCs w:val="24"/>
        </w:rPr>
        <w:t>L</w:t>
      </w:r>
      <w:r>
        <w:rPr>
          <w:sz w:val="24"/>
          <w:szCs w:val="24"/>
        </w:rPr>
        <w:t>’onere della prova non subisce attenuazione attraverso il metodo acquisitiv</w:t>
      </w:r>
      <w:r w:rsidR="00DC1ACC">
        <w:rPr>
          <w:sz w:val="24"/>
          <w:szCs w:val="24"/>
        </w:rPr>
        <w:t>o</w:t>
      </w:r>
      <w:r>
        <w:rPr>
          <w:sz w:val="24"/>
          <w:szCs w:val="24"/>
        </w:rPr>
        <w:t xml:space="preserve">. In realtà il principio dispositivo con metodo acquisitiva </w:t>
      </w:r>
      <w:r w:rsidR="00DC3C6B">
        <w:rPr>
          <w:sz w:val="24"/>
          <w:szCs w:val="24"/>
        </w:rPr>
        <w:t>avrebbe potuto</w:t>
      </w:r>
      <w:r>
        <w:rPr>
          <w:sz w:val="24"/>
          <w:szCs w:val="24"/>
        </w:rPr>
        <w:t xml:space="preserve"> trovare uno spazio più limitato nel processo amministrativo</w:t>
      </w:r>
      <w:r w:rsidR="00EB3B14">
        <w:rPr>
          <w:sz w:val="24"/>
          <w:szCs w:val="24"/>
        </w:rPr>
        <w:t>.</w:t>
      </w:r>
    </w:p>
    <w:p w14:paraId="1945F9DC" w14:textId="77777777" w:rsidR="00A561D7" w:rsidRDefault="00EB3B14" w:rsidP="009B2E2E">
      <w:pPr>
        <w:spacing w:after="0"/>
        <w:jc w:val="both"/>
        <w:rPr>
          <w:sz w:val="24"/>
          <w:szCs w:val="24"/>
        </w:rPr>
      </w:pPr>
      <w:r>
        <w:rPr>
          <w:sz w:val="24"/>
          <w:szCs w:val="24"/>
        </w:rPr>
        <w:t xml:space="preserve"> I</w:t>
      </w:r>
      <w:r w:rsidR="00DC3C6B">
        <w:rPr>
          <w:sz w:val="24"/>
          <w:szCs w:val="24"/>
        </w:rPr>
        <w:t>nvece</w:t>
      </w:r>
      <w:r w:rsidR="00B90736">
        <w:rPr>
          <w:sz w:val="24"/>
          <w:szCs w:val="24"/>
        </w:rPr>
        <w:t xml:space="preserve"> i soggetti privati possono procurarsi le prove in vista della proposizione del ricorso esercitando il diritto di accesso ai documenti amministrativi ai sensi dell’art</w:t>
      </w:r>
      <w:r w:rsidR="00A561D7">
        <w:rPr>
          <w:sz w:val="24"/>
          <w:szCs w:val="24"/>
        </w:rPr>
        <w:t xml:space="preserve">. </w:t>
      </w:r>
      <w:r w:rsidR="00B90736">
        <w:rPr>
          <w:sz w:val="24"/>
          <w:szCs w:val="24"/>
        </w:rPr>
        <w:t>22 della legge n</w:t>
      </w:r>
      <w:r w:rsidR="001C1762">
        <w:rPr>
          <w:sz w:val="24"/>
          <w:szCs w:val="24"/>
        </w:rPr>
        <w:t xml:space="preserve">. </w:t>
      </w:r>
      <w:r w:rsidR="00B90736">
        <w:rPr>
          <w:sz w:val="24"/>
          <w:szCs w:val="24"/>
        </w:rPr>
        <w:t>241 del</w:t>
      </w:r>
      <w:r w:rsidR="00DC1ACC">
        <w:rPr>
          <w:sz w:val="24"/>
          <w:szCs w:val="24"/>
        </w:rPr>
        <w:t xml:space="preserve"> 19</w:t>
      </w:r>
      <w:r w:rsidR="00B90736">
        <w:rPr>
          <w:sz w:val="24"/>
          <w:szCs w:val="24"/>
        </w:rPr>
        <w:t>90</w:t>
      </w:r>
      <w:r w:rsidR="00DC3C6B">
        <w:rPr>
          <w:sz w:val="24"/>
          <w:szCs w:val="24"/>
        </w:rPr>
        <w:t xml:space="preserve"> (C.</w:t>
      </w:r>
      <w:r w:rsidR="00E3436E">
        <w:rPr>
          <w:sz w:val="24"/>
          <w:szCs w:val="24"/>
        </w:rPr>
        <w:t xml:space="preserve"> </w:t>
      </w:r>
      <w:r w:rsidR="00DC3C6B">
        <w:rPr>
          <w:sz w:val="24"/>
          <w:szCs w:val="24"/>
        </w:rPr>
        <w:t>di S., Ad. Pl. n.19 del 25/9/2022)</w:t>
      </w:r>
      <w:r>
        <w:rPr>
          <w:sz w:val="24"/>
          <w:szCs w:val="24"/>
        </w:rPr>
        <w:t>.</w:t>
      </w:r>
      <w:r w:rsidR="00B90736">
        <w:rPr>
          <w:sz w:val="24"/>
          <w:szCs w:val="24"/>
        </w:rPr>
        <w:t xml:space="preserve"> </w:t>
      </w:r>
      <w:r>
        <w:rPr>
          <w:sz w:val="24"/>
          <w:szCs w:val="24"/>
        </w:rPr>
        <w:t>L’</w:t>
      </w:r>
      <w:r w:rsidR="00B90736">
        <w:rPr>
          <w:sz w:val="24"/>
          <w:szCs w:val="24"/>
        </w:rPr>
        <w:t xml:space="preserve">istanza di accesso può essere proposta anche </w:t>
      </w:r>
      <w:r>
        <w:rPr>
          <w:sz w:val="24"/>
          <w:szCs w:val="24"/>
        </w:rPr>
        <w:t>al</w:t>
      </w:r>
      <w:r w:rsidR="00B90736">
        <w:rPr>
          <w:sz w:val="24"/>
          <w:szCs w:val="24"/>
        </w:rPr>
        <w:t>l’interno del processo ove essa abbia per oggetto documenti connessi con l’oggetto del giudizio. Oggetto della prova sono soltanto i fatti controversi</w:t>
      </w:r>
      <w:r w:rsidR="001C1762">
        <w:rPr>
          <w:sz w:val="24"/>
          <w:szCs w:val="24"/>
        </w:rPr>
        <w:t>.</w:t>
      </w:r>
    </w:p>
    <w:p w14:paraId="16F76049" w14:textId="3C47604B" w:rsidR="00B90736" w:rsidRDefault="00B90736" w:rsidP="009B2E2E">
      <w:pPr>
        <w:spacing w:after="0"/>
        <w:jc w:val="both"/>
        <w:rPr>
          <w:sz w:val="24"/>
          <w:szCs w:val="24"/>
        </w:rPr>
      </w:pPr>
      <w:r>
        <w:rPr>
          <w:sz w:val="24"/>
          <w:szCs w:val="24"/>
        </w:rPr>
        <w:t xml:space="preserve"> </w:t>
      </w:r>
      <w:r w:rsidR="00EB3B14">
        <w:rPr>
          <w:sz w:val="24"/>
          <w:szCs w:val="24"/>
        </w:rPr>
        <w:t>I</w:t>
      </w:r>
      <w:r>
        <w:rPr>
          <w:sz w:val="24"/>
          <w:szCs w:val="24"/>
        </w:rPr>
        <w:t>nfatti il codice richiama il principio di non contestazione pr</w:t>
      </w:r>
      <w:r w:rsidR="00EB3B14">
        <w:rPr>
          <w:sz w:val="24"/>
          <w:szCs w:val="24"/>
        </w:rPr>
        <w:t>e</w:t>
      </w:r>
      <w:r>
        <w:rPr>
          <w:sz w:val="24"/>
          <w:szCs w:val="24"/>
        </w:rPr>
        <w:t>visto nel processo civile prevedendo che il giudice può fondare la propria decisione su fatti non specificamente contestati dalle parti costituite.</w:t>
      </w:r>
    </w:p>
    <w:p w14:paraId="37247513" w14:textId="516B501C" w:rsidR="00B90736" w:rsidRDefault="00B90736" w:rsidP="009B2E2E">
      <w:pPr>
        <w:spacing w:after="0"/>
        <w:jc w:val="both"/>
        <w:rPr>
          <w:sz w:val="24"/>
          <w:szCs w:val="24"/>
        </w:rPr>
      </w:pPr>
      <w:r>
        <w:rPr>
          <w:sz w:val="24"/>
          <w:szCs w:val="24"/>
        </w:rPr>
        <w:t>Il giudice può desumere argomenti di prova dal comportamento tenuto dalle parti nel corso del processo</w:t>
      </w:r>
      <w:r w:rsidR="00EB3B14">
        <w:rPr>
          <w:sz w:val="24"/>
          <w:szCs w:val="24"/>
        </w:rPr>
        <w:t>, ai sensi</w:t>
      </w:r>
      <w:r>
        <w:rPr>
          <w:sz w:val="24"/>
          <w:szCs w:val="24"/>
        </w:rPr>
        <w:t xml:space="preserve"> art</w:t>
      </w:r>
      <w:r w:rsidR="00B153CB">
        <w:rPr>
          <w:sz w:val="24"/>
          <w:szCs w:val="24"/>
        </w:rPr>
        <w:t xml:space="preserve">. </w:t>
      </w:r>
      <w:r>
        <w:rPr>
          <w:sz w:val="24"/>
          <w:szCs w:val="24"/>
        </w:rPr>
        <w:t>64</w:t>
      </w:r>
      <w:r w:rsidR="00EB3B14">
        <w:rPr>
          <w:sz w:val="24"/>
          <w:szCs w:val="24"/>
        </w:rPr>
        <w:t>,</w:t>
      </w:r>
      <w:r>
        <w:rPr>
          <w:sz w:val="24"/>
          <w:szCs w:val="24"/>
        </w:rPr>
        <w:t xml:space="preserve"> comma </w:t>
      </w:r>
      <w:r w:rsidR="00EB3B14">
        <w:rPr>
          <w:sz w:val="24"/>
          <w:szCs w:val="24"/>
        </w:rPr>
        <w:t>4,</w:t>
      </w:r>
      <w:r>
        <w:rPr>
          <w:sz w:val="24"/>
          <w:szCs w:val="24"/>
        </w:rPr>
        <w:t xml:space="preserve"> che riprende l’art</w:t>
      </w:r>
      <w:r w:rsidR="00B153CB">
        <w:rPr>
          <w:sz w:val="24"/>
          <w:szCs w:val="24"/>
        </w:rPr>
        <w:t>.</w:t>
      </w:r>
      <w:r>
        <w:rPr>
          <w:sz w:val="24"/>
          <w:szCs w:val="24"/>
        </w:rPr>
        <w:t xml:space="preserve"> 116, comma </w:t>
      </w:r>
      <w:r w:rsidR="00EB3B14">
        <w:rPr>
          <w:sz w:val="24"/>
          <w:szCs w:val="24"/>
        </w:rPr>
        <w:t>2,</w:t>
      </w:r>
      <w:r>
        <w:rPr>
          <w:sz w:val="24"/>
          <w:szCs w:val="24"/>
        </w:rPr>
        <w:t xml:space="preserve"> del codice di procedura civile. Ad esempio può essere valutato il comportamento dell’amministrazione che non produce in giudizio un documento in suo possesso e che il giudice gli ha ordinato di esibire</w:t>
      </w:r>
      <w:r w:rsidR="00EB3B14">
        <w:rPr>
          <w:sz w:val="24"/>
          <w:szCs w:val="24"/>
        </w:rPr>
        <w:t xml:space="preserve">. </w:t>
      </w:r>
      <w:r>
        <w:rPr>
          <w:sz w:val="24"/>
          <w:szCs w:val="24"/>
        </w:rPr>
        <w:t xml:space="preserve"> </w:t>
      </w:r>
      <w:r w:rsidR="00EB3B14">
        <w:rPr>
          <w:sz w:val="24"/>
          <w:szCs w:val="24"/>
        </w:rPr>
        <w:t>P</w:t>
      </w:r>
      <w:r>
        <w:rPr>
          <w:sz w:val="24"/>
          <w:szCs w:val="24"/>
        </w:rPr>
        <w:t>uò porre a fondamento della propria decisione, anche se il codice tace su questo punto, anche i cosiddetti fatti notori, quelli cioè che rientrano nella comune esperienza (art</w:t>
      </w:r>
      <w:r w:rsidR="00B153CB">
        <w:rPr>
          <w:sz w:val="24"/>
          <w:szCs w:val="24"/>
        </w:rPr>
        <w:t xml:space="preserve">. </w:t>
      </w:r>
      <w:r>
        <w:rPr>
          <w:sz w:val="24"/>
          <w:szCs w:val="24"/>
        </w:rPr>
        <w:t xml:space="preserve">115 comma </w:t>
      </w:r>
      <w:r w:rsidR="00EB3B14">
        <w:rPr>
          <w:sz w:val="24"/>
          <w:szCs w:val="24"/>
        </w:rPr>
        <w:t>3, del</w:t>
      </w:r>
      <w:r>
        <w:rPr>
          <w:sz w:val="24"/>
          <w:szCs w:val="24"/>
        </w:rPr>
        <w:t xml:space="preserve"> codice procedura civile</w:t>
      </w:r>
      <w:r w:rsidR="00DC1ACC">
        <w:rPr>
          <w:sz w:val="24"/>
          <w:szCs w:val="24"/>
        </w:rPr>
        <w:t>).</w:t>
      </w:r>
    </w:p>
    <w:p w14:paraId="2F5A8065" w14:textId="0749EA0F" w:rsidR="005478BF" w:rsidRDefault="00EB3B14" w:rsidP="009B2E2E">
      <w:pPr>
        <w:spacing w:after="0"/>
        <w:jc w:val="both"/>
        <w:rPr>
          <w:sz w:val="24"/>
          <w:szCs w:val="24"/>
        </w:rPr>
      </w:pPr>
      <w:r>
        <w:rPr>
          <w:sz w:val="24"/>
          <w:szCs w:val="24"/>
        </w:rPr>
        <w:t>P</w:t>
      </w:r>
      <w:r w:rsidR="00B90736">
        <w:rPr>
          <w:sz w:val="24"/>
          <w:szCs w:val="24"/>
        </w:rPr>
        <w:t>assando a considerare i singoli mezzi di prova il codice anzitutto conferma i tre mezzi istruttori previsti nella disciplina prev</w:t>
      </w:r>
      <w:r>
        <w:rPr>
          <w:sz w:val="24"/>
          <w:szCs w:val="24"/>
        </w:rPr>
        <w:t>i</w:t>
      </w:r>
      <w:r w:rsidR="00B90736">
        <w:rPr>
          <w:sz w:val="24"/>
          <w:szCs w:val="24"/>
        </w:rPr>
        <w:t>gente, ossia la richiesta di chiarimenti o di documenti</w:t>
      </w:r>
      <w:r>
        <w:rPr>
          <w:sz w:val="24"/>
          <w:szCs w:val="24"/>
        </w:rPr>
        <w:t xml:space="preserve"> e la</w:t>
      </w:r>
      <w:r w:rsidR="00B90736">
        <w:rPr>
          <w:sz w:val="24"/>
          <w:szCs w:val="24"/>
        </w:rPr>
        <w:t xml:space="preserve"> verificazione, aggiungendo le ispezioni, la prova testimoniale e per quanto non sia un mezzo di prova in senso proprio,</w:t>
      </w:r>
      <w:r>
        <w:rPr>
          <w:sz w:val="24"/>
          <w:szCs w:val="24"/>
        </w:rPr>
        <w:t xml:space="preserve"> anche</w:t>
      </w:r>
      <w:r w:rsidR="00B90736">
        <w:rPr>
          <w:sz w:val="24"/>
          <w:szCs w:val="24"/>
        </w:rPr>
        <w:t xml:space="preserve"> la consulenza tecnica.</w:t>
      </w:r>
    </w:p>
    <w:p w14:paraId="1F2488B4" w14:textId="77777777" w:rsidR="00742F7E" w:rsidRDefault="00742F7E" w:rsidP="009B2E2E">
      <w:pPr>
        <w:spacing w:after="0"/>
        <w:jc w:val="both"/>
        <w:rPr>
          <w:sz w:val="24"/>
          <w:szCs w:val="24"/>
        </w:rPr>
      </w:pPr>
      <w:r>
        <w:rPr>
          <w:sz w:val="24"/>
          <w:szCs w:val="24"/>
        </w:rPr>
        <w:t>Per l’acquisizione di documenti, l’unica nota di rilievo e che ove le parti del giudizio non diano seguito alla richiesta, il giudice può trarre argomenti di prova a sfavore della parte.</w:t>
      </w:r>
    </w:p>
    <w:p w14:paraId="42ED38D2" w14:textId="624395B9" w:rsidR="00742F7E" w:rsidRDefault="00742F7E" w:rsidP="009B2E2E">
      <w:pPr>
        <w:spacing w:after="0"/>
        <w:jc w:val="both"/>
        <w:rPr>
          <w:sz w:val="24"/>
          <w:szCs w:val="24"/>
        </w:rPr>
      </w:pPr>
      <w:r>
        <w:rPr>
          <w:sz w:val="24"/>
          <w:szCs w:val="24"/>
        </w:rPr>
        <w:t>La richiesta di chiarimenti può essere rivolta invece</w:t>
      </w:r>
      <w:r w:rsidR="00EB3B14">
        <w:rPr>
          <w:sz w:val="24"/>
          <w:szCs w:val="24"/>
        </w:rPr>
        <w:t xml:space="preserve"> </w:t>
      </w:r>
      <w:r>
        <w:rPr>
          <w:sz w:val="24"/>
          <w:szCs w:val="24"/>
        </w:rPr>
        <w:t>dal giudice sia alla pubblica amministrazione si</w:t>
      </w:r>
      <w:r w:rsidR="00EB3B14">
        <w:rPr>
          <w:sz w:val="24"/>
          <w:szCs w:val="24"/>
        </w:rPr>
        <w:t>a</w:t>
      </w:r>
      <w:r>
        <w:rPr>
          <w:sz w:val="24"/>
          <w:szCs w:val="24"/>
        </w:rPr>
        <w:t xml:space="preserve"> alle parti privati. È dubbio se questa facoltà costituisca una modalità per acquisire una prova in senso proprio o non sia invece assimilabile all’analogo potere del quale titolare nel processo civile il giudice istruttore, che ai sensi dell’art</w:t>
      </w:r>
      <w:r w:rsidR="00B153CB">
        <w:rPr>
          <w:sz w:val="24"/>
          <w:szCs w:val="24"/>
        </w:rPr>
        <w:t>.</w:t>
      </w:r>
      <w:r>
        <w:rPr>
          <w:sz w:val="24"/>
          <w:szCs w:val="24"/>
        </w:rPr>
        <w:t xml:space="preserve"> 183, comma </w:t>
      </w:r>
      <w:r w:rsidR="00EB3B14">
        <w:rPr>
          <w:sz w:val="24"/>
          <w:szCs w:val="24"/>
        </w:rPr>
        <w:t>4</w:t>
      </w:r>
      <w:r>
        <w:rPr>
          <w:sz w:val="24"/>
          <w:szCs w:val="24"/>
        </w:rPr>
        <w:t xml:space="preserve">, del codice </w:t>
      </w:r>
      <w:r>
        <w:rPr>
          <w:sz w:val="24"/>
          <w:szCs w:val="24"/>
        </w:rPr>
        <w:lastRenderedPageBreak/>
        <w:t xml:space="preserve">di procedura civile può richiedere alle parti chiarimenti necessari per precisare i termini della controversia. La richiesta di chiarimenti alla pubblica amministrazione non può costituire un mezzo per consentire a quest’ultima di integrare la motivazione del provvedimento impugnato e non può alterare il principio della parità delle armi. La richiesta di chiarimenti è stata interpretata nel senso di includere anche l’interrogatorio libero delle parti </w:t>
      </w:r>
      <w:r w:rsidRPr="00B153CB">
        <w:rPr>
          <w:i/>
          <w:iCs/>
          <w:sz w:val="24"/>
          <w:szCs w:val="24"/>
        </w:rPr>
        <w:t xml:space="preserve">ex </w:t>
      </w:r>
      <w:r>
        <w:rPr>
          <w:sz w:val="24"/>
          <w:szCs w:val="24"/>
        </w:rPr>
        <w:t>art</w:t>
      </w:r>
      <w:r w:rsidR="00B153CB">
        <w:rPr>
          <w:sz w:val="24"/>
          <w:szCs w:val="24"/>
        </w:rPr>
        <w:t>.</w:t>
      </w:r>
      <w:r>
        <w:rPr>
          <w:sz w:val="24"/>
          <w:szCs w:val="24"/>
        </w:rPr>
        <w:t xml:space="preserve"> 117 del codice di procedura civile, da ritenersi operante anche in base al rinvio esterno di cui all’art</w:t>
      </w:r>
      <w:r w:rsidR="00B153CB">
        <w:rPr>
          <w:sz w:val="24"/>
          <w:szCs w:val="24"/>
        </w:rPr>
        <w:t>.</w:t>
      </w:r>
      <w:r>
        <w:rPr>
          <w:sz w:val="24"/>
          <w:szCs w:val="24"/>
        </w:rPr>
        <w:t xml:space="preserve"> 39 del codice.</w:t>
      </w:r>
    </w:p>
    <w:p w14:paraId="2F2FACB2" w14:textId="37B47638" w:rsidR="00742F7E" w:rsidRDefault="00742F7E" w:rsidP="009B2E2E">
      <w:pPr>
        <w:spacing w:after="0"/>
        <w:jc w:val="both"/>
        <w:rPr>
          <w:sz w:val="24"/>
          <w:szCs w:val="24"/>
        </w:rPr>
      </w:pPr>
      <w:r>
        <w:rPr>
          <w:sz w:val="24"/>
          <w:szCs w:val="24"/>
        </w:rPr>
        <w:t>La verificazione è prevista da sempre nel processo amministrativo, mentre lo strumento più evoluto</w:t>
      </w:r>
      <w:r w:rsidR="00B153CB">
        <w:rPr>
          <w:sz w:val="24"/>
          <w:szCs w:val="24"/>
        </w:rPr>
        <w:t>,</w:t>
      </w:r>
      <w:r>
        <w:rPr>
          <w:sz w:val="24"/>
          <w:szCs w:val="24"/>
        </w:rPr>
        <w:t xml:space="preserve"> costituito dalla consulenza tecnica</w:t>
      </w:r>
      <w:r w:rsidR="00B153CB">
        <w:rPr>
          <w:sz w:val="24"/>
          <w:szCs w:val="24"/>
        </w:rPr>
        <w:t>,</w:t>
      </w:r>
      <w:r>
        <w:rPr>
          <w:sz w:val="24"/>
          <w:szCs w:val="24"/>
        </w:rPr>
        <w:t xml:space="preserve"> è stato introdotto solo di recente. Entrambe possono essere disputate dal giudice quando sia necessario l’accertamento di fatti o l’acquisizione di valutazioni che richiedono particolari competenze tecniche. Esse consentono al giudice di effettuare un controllo più intenso sulle valutazioni tecniche. Secondo la giurisprudenza più recente il sindacato non è più soltanto estrinseco ma serve a verificare l’attendibilità della valutazione espressa dall’amministrazione o addirittura maggiore o minore attendibilità di quest’ultima rispetto a quella espressa dal ricorrente.</w:t>
      </w:r>
    </w:p>
    <w:p w14:paraId="02DA9CBF" w14:textId="75866697" w:rsidR="00742F7E" w:rsidRDefault="00742F7E" w:rsidP="009B2E2E">
      <w:pPr>
        <w:spacing w:after="0"/>
        <w:jc w:val="both"/>
        <w:rPr>
          <w:sz w:val="24"/>
          <w:szCs w:val="24"/>
        </w:rPr>
      </w:pPr>
      <w:r>
        <w:rPr>
          <w:sz w:val="24"/>
          <w:szCs w:val="24"/>
        </w:rPr>
        <w:t>La verificazione</w:t>
      </w:r>
      <w:r w:rsidR="00EB3B14">
        <w:rPr>
          <w:sz w:val="24"/>
          <w:szCs w:val="24"/>
        </w:rPr>
        <w:t xml:space="preserve"> e</w:t>
      </w:r>
      <w:r>
        <w:rPr>
          <w:sz w:val="24"/>
          <w:szCs w:val="24"/>
        </w:rPr>
        <w:t xml:space="preserve"> la consulenza tecnica sono strumenti fungibili. La diversità funzionale tra le due consiste essenzialmente nel fatto che la prima di regol</w:t>
      </w:r>
      <w:r w:rsidR="00EB3B14">
        <w:rPr>
          <w:sz w:val="24"/>
          <w:szCs w:val="24"/>
        </w:rPr>
        <w:t>a è</w:t>
      </w:r>
      <w:r>
        <w:rPr>
          <w:sz w:val="24"/>
          <w:szCs w:val="24"/>
        </w:rPr>
        <w:t xml:space="preserve"> volta ad appurare la realtà oggettiva delle cose, mentre la seconda ha per oggetto una valutazione non meramente ricognitiva di questioni di fatto, ma anche quella di fornire al giudice i necessari elementi di valutazione quando la complessità sul piano tecnico scientifico dei fatti di causa impedisca una compiuta comprensione.</w:t>
      </w:r>
    </w:p>
    <w:p w14:paraId="2C60D038" w14:textId="77777777" w:rsidR="00742F7E" w:rsidRDefault="00742F7E" w:rsidP="009B2E2E">
      <w:pPr>
        <w:spacing w:after="0"/>
        <w:jc w:val="both"/>
        <w:rPr>
          <w:sz w:val="24"/>
          <w:szCs w:val="24"/>
        </w:rPr>
      </w:pPr>
      <w:r>
        <w:rPr>
          <w:sz w:val="24"/>
          <w:szCs w:val="24"/>
        </w:rPr>
        <w:t>Entrambe non vanno considerate mezzi di prova in senso proprio, ma strumenti per consentire al giudice di poter operare migliore apprezzamento dei fatti complessi.</w:t>
      </w:r>
    </w:p>
    <w:p w14:paraId="1D64E334" w14:textId="77777777" w:rsidR="00742F7E" w:rsidRDefault="00742F7E" w:rsidP="009B2E2E">
      <w:pPr>
        <w:spacing w:after="0"/>
        <w:jc w:val="both"/>
        <w:rPr>
          <w:sz w:val="24"/>
          <w:szCs w:val="24"/>
        </w:rPr>
      </w:pPr>
      <w:r>
        <w:rPr>
          <w:sz w:val="24"/>
          <w:szCs w:val="24"/>
        </w:rPr>
        <w:t>Il codice non prevede una fase istruttoria autonoma affidata a un giudice istruttore, anche se in sede di commissione per l’elaborazione del codice erano state avanzate alcune proposte in tal senso. Si è preferito mantenere una struttura del processo più compatta e lineare.</w:t>
      </w:r>
    </w:p>
    <w:p w14:paraId="360CB76A" w14:textId="1223DE1F" w:rsidR="00742F7E" w:rsidRDefault="00742F7E" w:rsidP="009B2E2E">
      <w:pPr>
        <w:spacing w:after="0"/>
        <w:jc w:val="both"/>
        <w:rPr>
          <w:sz w:val="24"/>
          <w:szCs w:val="24"/>
        </w:rPr>
      </w:pPr>
      <w:r>
        <w:rPr>
          <w:sz w:val="24"/>
          <w:szCs w:val="24"/>
        </w:rPr>
        <w:t>L’istruttoria disposta dal collegio con ordinanza dal presidente della sezione o da un magistrato delegato le parti che ritengono necessaria l’acquisizione di prova devono formulare un’istanza motivata.</w:t>
      </w:r>
    </w:p>
    <w:p w14:paraId="1A189066" w14:textId="62C6DDCD" w:rsidR="005478BF" w:rsidRDefault="0057784D" w:rsidP="00795E59">
      <w:pPr>
        <w:spacing w:after="0"/>
        <w:ind w:left="708"/>
        <w:jc w:val="both"/>
        <w:rPr>
          <w:i/>
          <w:iCs/>
          <w:sz w:val="24"/>
          <w:szCs w:val="24"/>
        </w:rPr>
      </w:pPr>
      <w:r>
        <w:rPr>
          <w:b/>
          <w:bCs/>
          <w:sz w:val="24"/>
          <w:szCs w:val="24"/>
        </w:rPr>
        <w:t xml:space="preserve">                                                                                </w:t>
      </w:r>
      <w:r w:rsidR="001E5909">
        <w:rPr>
          <w:b/>
          <w:bCs/>
          <w:sz w:val="24"/>
          <w:szCs w:val="24"/>
        </w:rPr>
        <w:t xml:space="preserve">               </w:t>
      </w:r>
      <w:r>
        <w:rPr>
          <w:b/>
          <w:bCs/>
          <w:sz w:val="24"/>
          <w:szCs w:val="24"/>
        </w:rPr>
        <w:t xml:space="preserve"> </w:t>
      </w:r>
      <w:r w:rsidRPr="0057784D">
        <w:rPr>
          <w:i/>
          <w:iCs/>
          <w:sz w:val="24"/>
          <w:szCs w:val="24"/>
        </w:rPr>
        <w:t>Prof. G</w:t>
      </w:r>
      <w:r w:rsidR="001E5909">
        <w:rPr>
          <w:i/>
          <w:iCs/>
          <w:sz w:val="24"/>
          <w:szCs w:val="24"/>
        </w:rPr>
        <w:t xml:space="preserve">ianpiero </w:t>
      </w:r>
      <w:r w:rsidRPr="0057784D">
        <w:rPr>
          <w:i/>
          <w:iCs/>
          <w:sz w:val="24"/>
          <w:szCs w:val="24"/>
        </w:rPr>
        <w:t>P</w:t>
      </w:r>
      <w:r w:rsidR="001E5909">
        <w:rPr>
          <w:i/>
          <w:iCs/>
          <w:sz w:val="24"/>
          <w:szCs w:val="24"/>
        </w:rPr>
        <w:t>aolo</w:t>
      </w:r>
      <w:r w:rsidRPr="0057784D">
        <w:rPr>
          <w:i/>
          <w:iCs/>
          <w:sz w:val="24"/>
          <w:szCs w:val="24"/>
        </w:rPr>
        <w:t xml:space="preserve"> Cirillo</w:t>
      </w:r>
    </w:p>
    <w:p w14:paraId="3261A577" w14:textId="26379D19" w:rsidR="001E5909" w:rsidRPr="0057784D" w:rsidRDefault="001E5909" w:rsidP="00795E59">
      <w:pPr>
        <w:spacing w:after="0"/>
        <w:ind w:left="708"/>
        <w:jc w:val="both"/>
        <w:rPr>
          <w:i/>
          <w:iCs/>
          <w:sz w:val="24"/>
          <w:szCs w:val="24"/>
        </w:rPr>
      </w:pPr>
      <w:r>
        <w:rPr>
          <w:i/>
          <w:iCs/>
          <w:sz w:val="24"/>
          <w:szCs w:val="24"/>
        </w:rPr>
        <w:t xml:space="preserve">                                                                          Presidente di sezione emerito del Consiglio di Stato</w:t>
      </w:r>
    </w:p>
    <w:p w14:paraId="142DB92E" w14:textId="77777777" w:rsidR="003D5073" w:rsidRDefault="003D5073" w:rsidP="003D5073">
      <w:pPr>
        <w:spacing w:after="0"/>
        <w:ind w:left="708"/>
        <w:jc w:val="both"/>
        <w:rPr>
          <w:b/>
          <w:bCs/>
          <w:i/>
          <w:iCs/>
          <w:sz w:val="24"/>
          <w:szCs w:val="24"/>
        </w:rPr>
      </w:pPr>
    </w:p>
    <w:p w14:paraId="78CD8CA9" w14:textId="77777777" w:rsidR="003D5073" w:rsidRDefault="003D5073" w:rsidP="003D5073">
      <w:pPr>
        <w:spacing w:after="0"/>
        <w:ind w:left="708"/>
        <w:jc w:val="both"/>
        <w:rPr>
          <w:b/>
          <w:bCs/>
          <w:i/>
          <w:iCs/>
          <w:sz w:val="24"/>
          <w:szCs w:val="24"/>
        </w:rPr>
      </w:pPr>
    </w:p>
    <w:p w14:paraId="7EBF1318" w14:textId="3925C399" w:rsidR="003D5073" w:rsidRDefault="003D5073" w:rsidP="003D5073">
      <w:pPr>
        <w:spacing w:after="0"/>
        <w:ind w:left="708"/>
        <w:jc w:val="both"/>
        <w:rPr>
          <w:b/>
          <w:bCs/>
          <w:i/>
          <w:iCs/>
          <w:sz w:val="24"/>
          <w:szCs w:val="24"/>
        </w:rPr>
      </w:pPr>
      <w:r w:rsidRPr="00CA6DD2">
        <w:rPr>
          <w:b/>
          <w:bCs/>
          <w:i/>
          <w:iCs/>
          <w:sz w:val="24"/>
          <w:szCs w:val="24"/>
        </w:rPr>
        <w:t>*Relazione tenuta alla Scuola Superiore della Magistratura presso la Corte di Cassazione nei giorni 11-12 giugno 2026 nell’ambito del tema</w:t>
      </w:r>
      <w:r>
        <w:rPr>
          <w:b/>
          <w:bCs/>
          <w:i/>
          <w:iCs/>
          <w:sz w:val="24"/>
          <w:szCs w:val="24"/>
        </w:rPr>
        <w:t xml:space="preserve"> più generale</w:t>
      </w:r>
      <w:r w:rsidRPr="00CA6DD2">
        <w:rPr>
          <w:b/>
          <w:bCs/>
          <w:i/>
          <w:iCs/>
          <w:sz w:val="24"/>
          <w:szCs w:val="24"/>
        </w:rPr>
        <w:t xml:space="preserve"> “L’obbligo di verità della parte e del difensore: processo civile penale e amministrativo, con uno sguardo al diritto comparato</w:t>
      </w:r>
      <w:r>
        <w:rPr>
          <w:b/>
          <w:bCs/>
          <w:i/>
          <w:iCs/>
          <w:sz w:val="24"/>
          <w:szCs w:val="24"/>
        </w:rPr>
        <w:t>”</w:t>
      </w:r>
      <w:r w:rsidRPr="00CA6DD2">
        <w:rPr>
          <w:b/>
          <w:bCs/>
          <w:i/>
          <w:iCs/>
          <w:sz w:val="24"/>
          <w:szCs w:val="24"/>
        </w:rPr>
        <w:t>.</w:t>
      </w:r>
    </w:p>
    <w:p w14:paraId="5180736D" w14:textId="77777777" w:rsidR="00CF2F7E" w:rsidRDefault="00CF2F7E" w:rsidP="00795E59">
      <w:pPr>
        <w:spacing w:after="0"/>
        <w:ind w:left="708"/>
        <w:jc w:val="both"/>
        <w:rPr>
          <w:sz w:val="24"/>
          <w:szCs w:val="24"/>
        </w:rPr>
      </w:pPr>
    </w:p>
    <w:p w14:paraId="6853854A" w14:textId="77777777" w:rsidR="00CF2F7E" w:rsidRDefault="00CF2F7E" w:rsidP="00795E59">
      <w:pPr>
        <w:spacing w:after="0"/>
        <w:ind w:left="708"/>
        <w:jc w:val="both"/>
        <w:rPr>
          <w:sz w:val="24"/>
          <w:szCs w:val="24"/>
        </w:rPr>
      </w:pPr>
    </w:p>
    <w:p w14:paraId="121AC668" w14:textId="1FAE92B6" w:rsidR="00AA4C37" w:rsidRDefault="00B153CB" w:rsidP="00795E59">
      <w:pPr>
        <w:spacing w:after="0"/>
        <w:ind w:left="708"/>
        <w:jc w:val="both"/>
        <w:rPr>
          <w:i/>
          <w:iCs/>
          <w:sz w:val="24"/>
          <w:szCs w:val="24"/>
        </w:rPr>
      </w:pPr>
      <w:r>
        <w:rPr>
          <w:i/>
          <w:iCs/>
          <w:sz w:val="24"/>
          <w:szCs w:val="24"/>
        </w:rPr>
        <w:t>Il carattere discorsivo e non speculativo del lavoro consente l’indicazione di una b</w:t>
      </w:r>
      <w:r w:rsidR="001E5909" w:rsidRPr="00CF2F7E">
        <w:rPr>
          <w:i/>
          <w:iCs/>
          <w:sz w:val="24"/>
          <w:szCs w:val="24"/>
        </w:rPr>
        <w:t>reve</w:t>
      </w:r>
      <w:r w:rsidR="003D5073">
        <w:rPr>
          <w:i/>
          <w:iCs/>
          <w:sz w:val="24"/>
          <w:szCs w:val="24"/>
        </w:rPr>
        <w:t xml:space="preserve"> e non puntuale</w:t>
      </w:r>
      <w:r w:rsidR="001E5909" w:rsidRPr="00CF2F7E">
        <w:rPr>
          <w:i/>
          <w:iCs/>
          <w:sz w:val="24"/>
          <w:szCs w:val="24"/>
        </w:rPr>
        <w:t xml:space="preserve"> bibliografia di riferimento</w:t>
      </w:r>
      <w:r w:rsidR="00CF2F7E">
        <w:rPr>
          <w:i/>
          <w:iCs/>
          <w:sz w:val="24"/>
          <w:szCs w:val="24"/>
        </w:rPr>
        <w:t>:</w:t>
      </w:r>
    </w:p>
    <w:p w14:paraId="02C86F3D" w14:textId="5BA08AFD" w:rsidR="00CF2F7E" w:rsidRDefault="00CF2F7E" w:rsidP="00795E59">
      <w:pPr>
        <w:spacing w:after="0"/>
        <w:ind w:left="708"/>
        <w:jc w:val="both"/>
        <w:rPr>
          <w:i/>
          <w:iCs/>
          <w:sz w:val="24"/>
          <w:szCs w:val="24"/>
        </w:rPr>
      </w:pPr>
      <w:r>
        <w:rPr>
          <w:i/>
          <w:iCs/>
          <w:sz w:val="24"/>
          <w:szCs w:val="24"/>
        </w:rPr>
        <w:t>1)M.S. Giannini,</w:t>
      </w:r>
      <w:r w:rsidR="001C05AB">
        <w:rPr>
          <w:i/>
          <w:iCs/>
          <w:sz w:val="24"/>
          <w:szCs w:val="24"/>
        </w:rPr>
        <w:t xml:space="preserve"> </w:t>
      </w:r>
      <w:r>
        <w:rPr>
          <w:i/>
          <w:iCs/>
          <w:sz w:val="24"/>
          <w:szCs w:val="24"/>
        </w:rPr>
        <w:t>Diritto amministrativo, Giuffrè 1993;</w:t>
      </w:r>
    </w:p>
    <w:p w14:paraId="72E966AB" w14:textId="26E8A0FB" w:rsidR="00CF2F7E" w:rsidRDefault="00CF2F7E" w:rsidP="00795E59">
      <w:pPr>
        <w:spacing w:after="0"/>
        <w:ind w:left="708"/>
        <w:jc w:val="both"/>
        <w:rPr>
          <w:i/>
          <w:iCs/>
          <w:sz w:val="24"/>
          <w:szCs w:val="24"/>
        </w:rPr>
      </w:pPr>
      <w:r>
        <w:rPr>
          <w:i/>
          <w:iCs/>
          <w:sz w:val="24"/>
          <w:szCs w:val="24"/>
        </w:rPr>
        <w:t>2) M. Clarich, Manuale di giustizia amministrativa, Il Mulino, 2021;</w:t>
      </w:r>
    </w:p>
    <w:p w14:paraId="22ECC8B6" w14:textId="2C8E0159" w:rsidR="00CF2F7E" w:rsidRDefault="00CF2F7E" w:rsidP="00795E59">
      <w:pPr>
        <w:spacing w:after="0"/>
        <w:ind w:left="708"/>
        <w:jc w:val="both"/>
        <w:rPr>
          <w:i/>
          <w:iCs/>
          <w:sz w:val="24"/>
          <w:szCs w:val="24"/>
        </w:rPr>
      </w:pPr>
      <w:r>
        <w:rPr>
          <w:i/>
          <w:iCs/>
          <w:sz w:val="24"/>
          <w:szCs w:val="24"/>
        </w:rPr>
        <w:t xml:space="preserve">3) F. Santoro-Passarelli, </w:t>
      </w:r>
      <w:r w:rsidR="001C05AB">
        <w:rPr>
          <w:i/>
          <w:iCs/>
          <w:sz w:val="24"/>
          <w:szCs w:val="24"/>
        </w:rPr>
        <w:t>D</w:t>
      </w:r>
      <w:r>
        <w:rPr>
          <w:i/>
          <w:iCs/>
          <w:sz w:val="24"/>
          <w:szCs w:val="24"/>
        </w:rPr>
        <w:t xml:space="preserve">ottrine generali del diritto civile, </w:t>
      </w:r>
      <w:proofErr w:type="spellStart"/>
      <w:r>
        <w:rPr>
          <w:i/>
          <w:iCs/>
          <w:sz w:val="24"/>
          <w:szCs w:val="24"/>
        </w:rPr>
        <w:t>Jovene</w:t>
      </w:r>
      <w:proofErr w:type="spellEnd"/>
      <w:r>
        <w:rPr>
          <w:i/>
          <w:iCs/>
          <w:sz w:val="24"/>
          <w:szCs w:val="24"/>
        </w:rPr>
        <w:t>, 1978;</w:t>
      </w:r>
    </w:p>
    <w:p w14:paraId="7EA1FCBF" w14:textId="639CCAFB" w:rsidR="00CF2F7E" w:rsidRDefault="00CF2F7E" w:rsidP="00795E59">
      <w:pPr>
        <w:spacing w:after="0"/>
        <w:ind w:left="708"/>
        <w:jc w:val="both"/>
        <w:rPr>
          <w:i/>
          <w:iCs/>
          <w:sz w:val="24"/>
          <w:szCs w:val="24"/>
        </w:rPr>
      </w:pPr>
      <w:r>
        <w:rPr>
          <w:i/>
          <w:iCs/>
          <w:sz w:val="24"/>
          <w:szCs w:val="24"/>
        </w:rPr>
        <w:t>4) R. Ferrara, Introduzione al diritto amministrativo, Laterza, 2002;</w:t>
      </w:r>
    </w:p>
    <w:p w14:paraId="2B73FCE0" w14:textId="463A6199" w:rsidR="00CF2F7E" w:rsidRDefault="00CF2F7E" w:rsidP="00795E59">
      <w:pPr>
        <w:spacing w:after="0"/>
        <w:ind w:left="708"/>
        <w:jc w:val="both"/>
        <w:rPr>
          <w:i/>
          <w:iCs/>
          <w:sz w:val="24"/>
          <w:szCs w:val="24"/>
        </w:rPr>
      </w:pPr>
      <w:r>
        <w:rPr>
          <w:i/>
          <w:iCs/>
          <w:sz w:val="24"/>
          <w:szCs w:val="24"/>
        </w:rPr>
        <w:t>5) E. Picozza-V. Ricciuto, Diritto dell’economia, Giappichelli, 2017;</w:t>
      </w:r>
    </w:p>
    <w:p w14:paraId="636151AC" w14:textId="66F2CE2A" w:rsidR="00CF2F7E" w:rsidRDefault="001C05AB" w:rsidP="00795E59">
      <w:pPr>
        <w:spacing w:after="0"/>
        <w:ind w:left="708"/>
        <w:jc w:val="both"/>
        <w:rPr>
          <w:i/>
          <w:iCs/>
          <w:sz w:val="24"/>
          <w:szCs w:val="24"/>
        </w:rPr>
      </w:pPr>
      <w:r>
        <w:rPr>
          <w:i/>
          <w:iCs/>
          <w:sz w:val="24"/>
          <w:szCs w:val="24"/>
        </w:rPr>
        <w:t>6) G.P. Cirillo, Sistema istituzionale di diritto comune, Cedam, 2^ ed.,2021;</w:t>
      </w:r>
    </w:p>
    <w:p w14:paraId="14647B6B" w14:textId="55EF6ABC" w:rsidR="001C05AB" w:rsidRDefault="001C05AB" w:rsidP="00795E59">
      <w:pPr>
        <w:spacing w:after="0"/>
        <w:ind w:left="708"/>
        <w:jc w:val="both"/>
        <w:rPr>
          <w:i/>
          <w:iCs/>
          <w:sz w:val="24"/>
          <w:szCs w:val="24"/>
        </w:rPr>
      </w:pPr>
      <w:r>
        <w:rPr>
          <w:i/>
          <w:iCs/>
          <w:sz w:val="24"/>
          <w:szCs w:val="24"/>
        </w:rPr>
        <w:t>7) G. P. Cirillo, Il nuovo diritto processuale amministrativo, a cura di Cirillo,</w:t>
      </w:r>
      <w:r w:rsidR="009309AF">
        <w:rPr>
          <w:i/>
          <w:iCs/>
          <w:sz w:val="24"/>
          <w:szCs w:val="24"/>
        </w:rPr>
        <w:t xml:space="preserve"> in</w:t>
      </w:r>
      <w:r>
        <w:rPr>
          <w:i/>
          <w:iCs/>
          <w:sz w:val="24"/>
          <w:szCs w:val="24"/>
        </w:rPr>
        <w:t xml:space="preserve"> Trattato</w:t>
      </w:r>
      <w:r w:rsidR="009309AF">
        <w:rPr>
          <w:i/>
          <w:iCs/>
          <w:sz w:val="24"/>
          <w:szCs w:val="24"/>
        </w:rPr>
        <w:t xml:space="preserve"> di</w:t>
      </w:r>
      <w:r>
        <w:rPr>
          <w:i/>
          <w:iCs/>
          <w:sz w:val="24"/>
          <w:szCs w:val="24"/>
        </w:rPr>
        <w:t xml:space="preserve"> diritto amministrativo</w:t>
      </w:r>
      <w:r w:rsidR="00233D62">
        <w:rPr>
          <w:i/>
          <w:iCs/>
          <w:sz w:val="24"/>
          <w:szCs w:val="24"/>
        </w:rPr>
        <w:t>,</w:t>
      </w:r>
      <w:r>
        <w:rPr>
          <w:i/>
          <w:iCs/>
          <w:sz w:val="24"/>
          <w:szCs w:val="24"/>
        </w:rPr>
        <w:t xml:space="preserve"> diretto da G. Santaniello, Cedam 2014;</w:t>
      </w:r>
    </w:p>
    <w:p w14:paraId="10CA87EA" w14:textId="3AC01219" w:rsidR="001C05AB" w:rsidRDefault="001C05AB" w:rsidP="00795E59">
      <w:pPr>
        <w:spacing w:after="0"/>
        <w:ind w:left="708"/>
        <w:jc w:val="both"/>
        <w:rPr>
          <w:i/>
          <w:iCs/>
          <w:sz w:val="24"/>
          <w:szCs w:val="24"/>
        </w:rPr>
      </w:pPr>
      <w:r>
        <w:rPr>
          <w:i/>
          <w:iCs/>
          <w:sz w:val="24"/>
          <w:szCs w:val="24"/>
        </w:rPr>
        <w:t>9) G. P. Cirillo, Sette brevi lezioni di diritto, Giappichelli, 2026</w:t>
      </w:r>
      <w:r w:rsidR="00C17DAB">
        <w:rPr>
          <w:i/>
          <w:iCs/>
          <w:sz w:val="24"/>
          <w:szCs w:val="24"/>
        </w:rPr>
        <w:t>;</w:t>
      </w:r>
    </w:p>
    <w:p w14:paraId="4072A557" w14:textId="58F2425A" w:rsidR="00C17DAB" w:rsidRDefault="00C17DAB" w:rsidP="00795E59">
      <w:pPr>
        <w:spacing w:after="0"/>
        <w:ind w:left="708"/>
        <w:jc w:val="both"/>
        <w:rPr>
          <w:i/>
          <w:iCs/>
          <w:sz w:val="24"/>
          <w:szCs w:val="24"/>
        </w:rPr>
      </w:pPr>
      <w:r>
        <w:rPr>
          <w:i/>
          <w:iCs/>
          <w:sz w:val="24"/>
          <w:szCs w:val="24"/>
        </w:rPr>
        <w:t>10) L. Tarantino, Sistema, pratica e realtà del principio del libero convincimento nel processo amministrativo,</w:t>
      </w:r>
      <w:r w:rsidR="00507D5B">
        <w:rPr>
          <w:i/>
          <w:iCs/>
          <w:sz w:val="24"/>
          <w:szCs w:val="24"/>
        </w:rPr>
        <w:t xml:space="preserve"> in www. giustizia-</w:t>
      </w:r>
      <w:r>
        <w:rPr>
          <w:i/>
          <w:iCs/>
          <w:sz w:val="24"/>
          <w:szCs w:val="24"/>
        </w:rPr>
        <w:t xml:space="preserve">mministrativa.it, </w:t>
      </w:r>
      <w:r w:rsidR="00CA6DD2">
        <w:rPr>
          <w:i/>
          <w:iCs/>
          <w:sz w:val="24"/>
          <w:szCs w:val="24"/>
        </w:rPr>
        <w:t>D</w:t>
      </w:r>
      <w:r>
        <w:rPr>
          <w:i/>
          <w:iCs/>
          <w:sz w:val="24"/>
          <w:szCs w:val="24"/>
        </w:rPr>
        <w:t>ottrina</w:t>
      </w:r>
      <w:r w:rsidR="00B153CB">
        <w:rPr>
          <w:i/>
          <w:iCs/>
          <w:sz w:val="24"/>
          <w:szCs w:val="24"/>
        </w:rPr>
        <w:t>,</w:t>
      </w:r>
      <w:r>
        <w:rPr>
          <w:i/>
          <w:iCs/>
          <w:sz w:val="24"/>
          <w:szCs w:val="24"/>
        </w:rPr>
        <w:t xml:space="preserve"> 2025.</w:t>
      </w:r>
    </w:p>
    <w:p w14:paraId="21FC11AD" w14:textId="77777777" w:rsidR="001C05AB" w:rsidRDefault="001C05AB" w:rsidP="00795E59">
      <w:pPr>
        <w:spacing w:after="0"/>
        <w:ind w:left="708"/>
        <w:jc w:val="both"/>
        <w:rPr>
          <w:i/>
          <w:iCs/>
          <w:sz w:val="24"/>
          <w:szCs w:val="24"/>
        </w:rPr>
      </w:pPr>
    </w:p>
    <w:p w14:paraId="408FEF45" w14:textId="77777777" w:rsidR="00B153CB" w:rsidRDefault="00B153CB" w:rsidP="00795E59">
      <w:pPr>
        <w:spacing w:after="0"/>
        <w:ind w:left="708"/>
        <w:jc w:val="both"/>
        <w:rPr>
          <w:b/>
          <w:bCs/>
          <w:i/>
          <w:iCs/>
          <w:sz w:val="24"/>
          <w:szCs w:val="24"/>
        </w:rPr>
      </w:pPr>
    </w:p>
    <w:p w14:paraId="744958FE" w14:textId="77777777" w:rsidR="00507D5B" w:rsidRPr="0013239B" w:rsidRDefault="00507D5B" w:rsidP="00507D5B">
      <w:pPr>
        <w:pStyle w:val="Default"/>
        <w:suppressAutoHyphens/>
        <w:spacing w:before="0" w:after="340" w:line="360" w:lineRule="auto"/>
        <w:ind w:left="397"/>
        <w:jc w:val="both"/>
        <w:rPr>
          <w:rFonts w:ascii="Times New Roman" w:hAnsi="Times New Roman"/>
          <w:sz w:val="28"/>
          <w:szCs w:val="28"/>
        </w:rPr>
      </w:pPr>
      <w:r w:rsidRPr="0013239B">
        <w:rPr>
          <w:rFonts w:ascii="Garamond" w:eastAsia="Calibri" w:hAnsi="Garamond"/>
          <w:i/>
          <w:iCs/>
          <w:kern w:val="2"/>
          <w14:textOutline w14:w="0" w14:cap="rnd" w14:cmpd="sng" w14:algn="ctr">
            <w14:noFill/>
            <w14:prstDash w14:val="solid"/>
            <w14:bevel/>
          </w14:textOutline>
        </w:rPr>
        <w:t>Le opinioni di cui al presente contributo sono espresse dall’Autore a titolo personale; esse non impegnano l'Ufficio studi della Giustizia amministrativa, né quest'ultima quale Istituzione</w:t>
      </w:r>
      <w:r>
        <w:rPr>
          <w:rFonts w:ascii="Garamond" w:eastAsia="Calibri" w:hAnsi="Garamond"/>
          <w:i/>
          <w:iCs/>
          <w:kern w:val="2"/>
          <w14:textOutline w14:w="0" w14:cap="rnd" w14:cmpd="sng" w14:algn="ctr">
            <w14:noFill/>
            <w14:prstDash w14:val="solid"/>
            <w14:bevel/>
          </w14:textOutline>
        </w:rPr>
        <w:t>.</w:t>
      </w:r>
    </w:p>
    <w:p w14:paraId="29262D79" w14:textId="77777777" w:rsidR="00B153CB" w:rsidRDefault="00B153CB" w:rsidP="00795E59">
      <w:pPr>
        <w:spacing w:after="0"/>
        <w:ind w:left="708"/>
        <w:jc w:val="both"/>
        <w:rPr>
          <w:b/>
          <w:bCs/>
          <w:i/>
          <w:iCs/>
          <w:sz w:val="24"/>
          <w:szCs w:val="24"/>
        </w:rPr>
      </w:pPr>
    </w:p>
    <w:p w14:paraId="1C8E0E10" w14:textId="77777777" w:rsidR="00B153CB" w:rsidRDefault="00B153CB" w:rsidP="00795E59">
      <w:pPr>
        <w:spacing w:after="0"/>
        <w:ind w:left="708"/>
        <w:jc w:val="both"/>
        <w:rPr>
          <w:b/>
          <w:bCs/>
          <w:i/>
          <w:iCs/>
          <w:sz w:val="24"/>
          <w:szCs w:val="24"/>
        </w:rPr>
      </w:pPr>
    </w:p>
    <w:p w14:paraId="6FAC8790" w14:textId="77777777" w:rsidR="00B153CB" w:rsidRDefault="00B153CB" w:rsidP="00795E59">
      <w:pPr>
        <w:spacing w:after="0"/>
        <w:ind w:left="708"/>
        <w:jc w:val="both"/>
        <w:rPr>
          <w:b/>
          <w:bCs/>
          <w:i/>
          <w:iCs/>
          <w:sz w:val="24"/>
          <w:szCs w:val="24"/>
        </w:rPr>
      </w:pPr>
    </w:p>
    <w:p w14:paraId="5EA9E9A2" w14:textId="77777777" w:rsidR="00B153CB" w:rsidRDefault="00B153CB" w:rsidP="00795E59">
      <w:pPr>
        <w:spacing w:after="0"/>
        <w:ind w:left="708"/>
        <w:jc w:val="both"/>
        <w:rPr>
          <w:b/>
          <w:bCs/>
          <w:i/>
          <w:iCs/>
          <w:sz w:val="24"/>
          <w:szCs w:val="24"/>
        </w:rPr>
      </w:pPr>
    </w:p>
    <w:p w14:paraId="154F8ECC" w14:textId="77777777" w:rsidR="00B153CB" w:rsidRDefault="00B153CB" w:rsidP="00795E59">
      <w:pPr>
        <w:spacing w:after="0"/>
        <w:ind w:left="708"/>
        <w:jc w:val="both"/>
        <w:rPr>
          <w:b/>
          <w:bCs/>
          <w:i/>
          <w:iCs/>
          <w:sz w:val="24"/>
          <w:szCs w:val="24"/>
        </w:rPr>
      </w:pPr>
    </w:p>
    <w:p w14:paraId="4E6046EF" w14:textId="77777777" w:rsidR="00B153CB" w:rsidRPr="00CA6DD2" w:rsidRDefault="00B153CB" w:rsidP="00795E59">
      <w:pPr>
        <w:spacing w:after="0"/>
        <w:ind w:left="708"/>
        <w:jc w:val="both"/>
        <w:rPr>
          <w:b/>
          <w:bCs/>
          <w:i/>
          <w:iCs/>
          <w:sz w:val="24"/>
          <w:szCs w:val="24"/>
        </w:rPr>
      </w:pPr>
    </w:p>
    <w:sectPr w:rsidR="00B153CB" w:rsidRPr="00CA6DD2" w:rsidSect="00795E59">
      <w:headerReference w:type="even" r:id="rId8"/>
      <w:headerReference w:type="default" r:id="rId9"/>
      <w:footerReference w:type="even" r:id="rId10"/>
      <w:footerReference w:type="default" r:id="rId11"/>
      <w:headerReference w:type="first" r:id="rId12"/>
      <w:footerReference w:type="first" r:id="rId13"/>
      <w:pgSz w:w="11906" w:h="16838" w:code="9"/>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CAF76" w14:textId="77777777" w:rsidR="00BC4FAC" w:rsidRDefault="00BC4FAC" w:rsidP="00F31D78">
      <w:pPr>
        <w:spacing w:after="0" w:line="240" w:lineRule="auto"/>
      </w:pPr>
      <w:r>
        <w:separator/>
      </w:r>
    </w:p>
  </w:endnote>
  <w:endnote w:type="continuationSeparator" w:id="0">
    <w:p w14:paraId="5DA1CAC5" w14:textId="77777777" w:rsidR="00BC4FAC" w:rsidRDefault="00BC4FAC" w:rsidP="00F31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Arial Unicode MS">
    <w:panose1 w:val="020B0604020202020204"/>
    <w:charset w:val="00"/>
    <w:family w:val="roman"/>
    <w:pitch w:val="default"/>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A638B" w14:textId="77777777" w:rsidR="00F31D78" w:rsidRDefault="00F31D7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0178740"/>
      <w:docPartObj>
        <w:docPartGallery w:val="Page Numbers (Bottom of Page)"/>
        <w:docPartUnique/>
      </w:docPartObj>
    </w:sdtPr>
    <w:sdtContent>
      <w:p w14:paraId="26B3D00A" w14:textId="62BCEA79" w:rsidR="00832707" w:rsidRDefault="00832707">
        <w:pPr>
          <w:pStyle w:val="Pidipagina"/>
        </w:pPr>
        <w:r>
          <w:fldChar w:fldCharType="begin"/>
        </w:r>
        <w:r>
          <w:instrText>PAGE   \* MERGEFORMAT</w:instrText>
        </w:r>
        <w:r>
          <w:fldChar w:fldCharType="separate"/>
        </w:r>
        <w:r>
          <w:t>2</w:t>
        </w:r>
        <w:r>
          <w:fldChar w:fldCharType="end"/>
        </w:r>
      </w:p>
    </w:sdtContent>
  </w:sdt>
  <w:p w14:paraId="2718B678" w14:textId="77777777" w:rsidR="00F31D78" w:rsidRDefault="00F31D7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619BE" w14:textId="77777777" w:rsidR="00F31D78" w:rsidRDefault="00F31D7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5E4D1" w14:textId="77777777" w:rsidR="00BC4FAC" w:rsidRDefault="00BC4FAC" w:rsidP="00F31D78">
      <w:pPr>
        <w:spacing w:after="0" w:line="240" w:lineRule="auto"/>
      </w:pPr>
      <w:r>
        <w:separator/>
      </w:r>
    </w:p>
  </w:footnote>
  <w:footnote w:type="continuationSeparator" w:id="0">
    <w:p w14:paraId="645D8513" w14:textId="77777777" w:rsidR="00BC4FAC" w:rsidRDefault="00BC4FAC" w:rsidP="00F31D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6B239" w14:textId="77777777" w:rsidR="00F31D78" w:rsidRDefault="00F31D7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278D4" w14:textId="77777777" w:rsidR="00F31D78" w:rsidRDefault="00F31D7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84C11" w14:textId="77777777" w:rsidR="00F31D78" w:rsidRDefault="00F31D7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F52AF"/>
    <w:multiLevelType w:val="hybridMultilevel"/>
    <w:tmpl w:val="839A1CC0"/>
    <w:lvl w:ilvl="0" w:tplc="D2B2B50E">
      <w:start w:val="1"/>
      <w:numFmt w:val="decimal"/>
      <w:lvlText w:val="%1 "/>
      <w:lvlJc w:val="left"/>
      <w:pPr>
        <w:ind w:left="1452" w:hanging="375"/>
      </w:pPr>
      <w:rPr>
        <w:rFonts w:hint="default"/>
      </w:rPr>
    </w:lvl>
    <w:lvl w:ilvl="1" w:tplc="04100019" w:tentative="1">
      <w:start w:val="1"/>
      <w:numFmt w:val="lowerLetter"/>
      <w:lvlText w:val="%2."/>
      <w:lvlJc w:val="left"/>
      <w:pPr>
        <w:ind w:left="2157" w:hanging="360"/>
      </w:pPr>
    </w:lvl>
    <w:lvl w:ilvl="2" w:tplc="0410001B" w:tentative="1">
      <w:start w:val="1"/>
      <w:numFmt w:val="lowerRoman"/>
      <w:lvlText w:val="%3."/>
      <w:lvlJc w:val="right"/>
      <w:pPr>
        <w:ind w:left="2877" w:hanging="180"/>
      </w:pPr>
    </w:lvl>
    <w:lvl w:ilvl="3" w:tplc="0410000F" w:tentative="1">
      <w:start w:val="1"/>
      <w:numFmt w:val="decimal"/>
      <w:lvlText w:val="%4."/>
      <w:lvlJc w:val="left"/>
      <w:pPr>
        <w:ind w:left="3597" w:hanging="360"/>
      </w:pPr>
    </w:lvl>
    <w:lvl w:ilvl="4" w:tplc="04100019" w:tentative="1">
      <w:start w:val="1"/>
      <w:numFmt w:val="lowerLetter"/>
      <w:lvlText w:val="%5."/>
      <w:lvlJc w:val="left"/>
      <w:pPr>
        <w:ind w:left="4317" w:hanging="360"/>
      </w:pPr>
    </w:lvl>
    <w:lvl w:ilvl="5" w:tplc="0410001B" w:tentative="1">
      <w:start w:val="1"/>
      <w:numFmt w:val="lowerRoman"/>
      <w:lvlText w:val="%6."/>
      <w:lvlJc w:val="right"/>
      <w:pPr>
        <w:ind w:left="5037" w:hanging="180"/>
      </w:pPr>
    </w:lvl>
    <w:lvl w:ilvl="6" w:tplc="0410000F" w:tentative="1">
      <w:start w:val="1"/>
      <w:numFmt w:val="decimal"/>
      <w:lvlText w:val="%7."/>
      <w:lvlJc w:val="left"/>
      <w:pPr>
        <w:ind w:left="5757" w:hanging="360"/>
      </w:pPr>
    </w:lvl>
    <w:lvl w:ilvl="7" w:tplc="04100019" w:tentative="1">
      <w:start w:val="1"/>
      <w:numFmt w:val="lowerLetter"/>
      <w:lvlText w:val="%8."/>
      <w:lvlJc w:val="left"/>
      <w:pPr>
        <w:ind w:left="6477" w:hanging="360"/>
      </w:pPr>
    </w:lvl>
    <w:lvl w:ilvl="8" w:tplc="0410001B" w:tentative="1">
      <w:start w:val="1"/>
      <w:numFmt w:val="lowerRoman"/>
      <w:lvlText w:val="%9."/>
      <w:lvlJc w:val="right"/>
      <w:pPr>
        <w:ind w:left="7197" w:hanging="180"/>
      </w:pPr>
    </w:lvl>
  </w:abstractNum>
  <w:num w:numId="1" w16cid:durableId="1554734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0480DEE-A116-40CA-90B1-2C83A49EDB8F}"/>
    <w:docVar w:name="dgnword-eventsink" w:val="1440484929792"/>
  </w:docVars>
  <w:rsids>
    <w:rsidRoot w:val="000A7EA5"/>
    <w:rsid w:val="00007CF8"/>
    <w:rsid w:val="00017118"/>
    <w:rsid w:val="000A7EA5"/>
    <w:rsid w:val="000D54D4"/>
    <w:rsid w:val="00101E13"/>
    <w:rsid w:val="001102D3"/>
    <w:rsid w:val="00112E6E"/>
    <w:rsid w:val="001A288C"/>
    <w:rsid w:val="001C05AB"/>
    <w:rsid w:val="001C1762"/>
    <w:rsid w:val="001E5909"/>
    <w:rsid w:val="00211209"/>
    <w:rsid w:val="00233D62"/>
    <w:rsid w:val="00283C56"/>
    <w:rsid w:val="00293D48"/>
    <w:rsid w:val="002D5509"/>
    <w:rsid w:val="00300C56"/>
    <w:rsid w:val="00322A44"/>
    <w:rsid w:val="00371566"/>
    <w:rsid w:val="003C3264"/>
    <w:rsid w:val="003D0AF3"/>
    <w:rsid w:val="003D5073"/>
    <w:rsid w:val="003D6756"/>
    <w:rsid w:val="003E34E6"/>
    <w:rsid w:val="004276C1"/>
    <w:rsid w:val="0044335C"/>
    <w:rsid w:val="004616CB"/>
    <w:rsid w:val="00492C63"/>
    <w:rsid w:val="0050459F"/>
    <w:rsid w:val="00507D5B"/>
    <w:rsid w:val="00511247"/>
    <w:rsid w:val="005478BF"/>
    <w:rsid w:val="00572002"/>
    <w:rsid w:val="0057784D"/>
    <w:rsid w:val="005779E3"/>
    <w:rsid w:val="005E2579"/>
    <w:rsid w:val="005E3FA1"/>
    <w:rsid w:val="0060770C"/>
    <w:rsid w:val="006165C3"/>
    <w:rsid w:val="00647246"/>
    <w:rsid w:val="00681E25"/>
    <w:rsid w:val="006C29E5"/>
    <w:rsid w:val="006C3E1E"/>
    <w:rsid w:val="00707265"/>
    <w:rsid w:val="00707C04"/>
    <w:rsid w:val="00742F7E"/>
    <w:rsid w:val="00747BB7"/>
    <w:rsid w:val="00795E59"/>
    <w:rsid w:val="007A5F2F"/>
    <w:rsid w:val="007B2144"/>
    <w:rsid w:val="007B50C3"/>
    <w:rsid w:val="007D2039"/>
    <w:rsid w:val="007E3EE5"/>
    <w:rsid w:val="007F2518"/>
    <w:rsid w:val="00801D29"/>
    <w:rsid w:val="00807BC6"/>
    <w:rsid w:val="00822187"/>
    <w:rsid w:val="00832707"/>
    <w:rsid w:val="0083285E"/>
    <w:rsid w:val="00860D37"/>
    <w:rsid w:val="008A06BB"/>
    <w:rsid w:val="008A090E"/>
    <w:rsid w:val="008B2109"/>
    <w:rsid w:val="008C1E46"/>
    <w:rsid w:val="008C662A"/>
    <w:rsid w:val="009309AF"/>
    <w:rsid w:val="0094116B"/>
    <w:rsid w:val="0095340D"/>
    <w:rsid w:val="009B2E2E"/>
    <w:rsid w:val="009C08D1"/>
    <w:rsid w:val="009D1AFA"/>
    <w:rsid w:val="00A232C6"/>
    <w:rsid w:val="00A55A7C"/>
    <w:rsid w:val="00A561D7"/>
    <w:rsid w:val="00AA3B15"/>
    <w:rsid w:val="00AA4C37"/>
    <w:rsid w:val="00AB1BB0"/>
    <w:rsid w:val="00B153CB"/>
    <w:rsid w:val="00B2210E"/>
    <w:rsid w:val="00B233C2"/>
    <w:rsid w:val="00B24B95"/>
    <w:rsid w:val="00B37578"/>
    <w:rsid w:val="00B5684C"/>
    <w:rsid w:val="00B56C4F"/>
    <w:rsid w:val="00B64E63"/>
    <w:rsid w:val="00B73AE1"/>
    <w:rsid w:val="00B90736"/>
    <w:rsid w:val="00BC4FAC"/>
    <w:rsid w:val="00BD7A66"/>
    <w:rsid w:val="00C04592"/>
    <w:rsid w:val="00C11676"/>
    <w:rsid w:val="00C17DAB"/>
    <w:rsid w:val="00C419CB"/>
    <w:rsid w:val="00CA40C9"/>
    <w:rsid w:val="00CA6DD2"/>
    <w:rsid w:val="00CE30F7"/>
    <w:rsid w:val="00CE7A53"/>
    <w:rsid w:val="00CF2F7E"/>
    <w:rsid w:val="00D13BAD"/>
    <w:rsid w:val="00D26895"/>
    <w:rsid w:val="00DB4296"/>
    <w:rsid w:val="00DC1ACC"/>
    <w:rsid w:val="00DC3C6B"/>
    <w:rsid w:val="00DE2E61"/>
    <w:rsid w:val="00DF53E5"/>
    <w:rsid w:val="00E14391"/>
    <w:rsid w:val="00E20312"/>
    <w:rsid w:val="00E2422F"/>
    <w:rsid w:val="00E3436E"/>
    <w:rsid w:val="00E916D3"/>
    <w:rsid w:val="00E93DE1"/>
    <w:rsid w:val="00E971FE"/>
    <w:rsid w:val="00EB1D00"/>
    <w:rsid w:val="00EB3B14"/>
    <w:rsid w:val="00EC0EBB"/>
    <w:rsid w:val="00EC7B15"/>
    <w:rsid w:val="00ED02A4"/>
    <w:rsid w:val="00EF2B67"/>
    <w:rsid w:val="00F13BBC"/>
    <w:rsid w:val="00F31D78"/>
    <w:rsid w:val="00F47525"/>
    <w:rsid w:val="00F62CE4"/>
    <w:rsid w:val="00F92B22"/>
    <w:rsid w:val="00F9759D"/>
    <w:rsid w:val="00FA550D"/>
    <w:rsid w:val="00FD185B"/>
    <w:rsid w:val="00FD66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1327D"/>
  <w15:chartTrackingRefBased/>
  <w15:docId w15:val="{F9811D58-BDFE-443A-BF48-FEE1E7019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it-IT"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D5073"/>
  </w:style>
  <w:style w:type="paragraph" w:styleId="Titolo1">
    <w:name w:val="heading 1"/>
    <w:basedOn w:val="Normale"/>
    <w:next w:val="Normale"/>
    <w:link w:val="Titolo1Carattere"/>
    <w:uiPriority w:val="9"/>
    <w:qFormat/>
    <w:rsid w:val="00B73AE1"/>
    <w:pPr>
      <w:keepNext/>
      <w:keepLines/>
      <w:pBdr>
        <w:left w:val="single" w:sz="12" w:space="12" w:color="ED7D31"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Titolo2">
    <w:name w:val="heading 2"/>
    <w:basedOn w:val="Normale"/>
    <w:next w:val="Normale"/>
    <w:link w:val="Titolo2Carattere"/>
    <w:uiPriority w:val="9"/>
    <w:semiHidden/>
    <w:unhideWhenUsed/>
    <w:qFormat/>
    <w:rsid w:val="00B73AE1"/>
    <w:pPr>
      <w:keepNext/>
      <w:keepLines/>
      <w:spacing w:before="120" w:after="0" w:line="240" w:lineRule="auto"/>
      <w:outlineLvl w:val="1"/>
    </w:pPr>
    <w:rPr>
      <w:rFonts w:asciiTheme="majorHAnsi" w:eastAsiaTheme="majorEastAsia" w:hAnsiTheme="majorHAnsi" w:cstheme="majorBidi"/>
      <w:sz w:val="36"/>
      <w:szCs w:val="36"/>
    </w:rPr>
  </w:style>
  <w:style w:type="paragraph" w:styleId="Titolo3">
    <w:name w:val="heading 3"/>
    <w:basedOn w:val="Normale"/>
    <w:next w:val="Normale"/>
    <w:link w:val="Titolo3Carattere"/>
    <w:uiPriority w:val="9"/>
    <w:semiHidden/>
    <w:unhideWhenUsed/>
    <w:qFormat/>
    <w:rsid w:val="00B73AE1"/>
    <w:pPr>
      <w:keepNext/>
      <w:keepLines/>
      <w:spacing w:before="80" w:after="0" w:line="240" w:lineRule="auto"/>
      <w:outlineLvl w:val="2"/>
    </w:pPr>
    <w:rPr>
      <w:rFonts w:asciiTheme="majorHAnsi" w:eastAsiaTheme="majorEastAsia" w:hAnsiTheme="majorHAnsi" w:cstheme="majorBidi"/>
      <w:caps/>
      <w:sz w:val="28"/>
      <w:szCs w:val="28"/>
    </w:rPr>
  </w:style>
  <w:style w:type="paragraph" w:styleId="Titolo4">
    <w:name w:val="heading 4"/>
    <w:basedOn w:val="Normale"/>
    <w:next w:val="Normale"/>
    <w:link w:val="Titolo4Carattere"/>
    <w:uiPriority w:val="9"/>
    <w:semiHidden/>
    <w:unhideWhenUsed/>
    <w:qFormat/>
    <w:rsid w:val="00B73AE1"/>
    <w:pPr>
      <w:keepNext/>
      <w:keepLines/>
      <w:spacing w:before="80" w:after="0" w:line="240" w:lineRule="auto"/>
      <w:outlineLvl w:val="3"/>
    </w:pPr>
    <w:rPr>
      <w:rFonts w:asciiTheme="majorHAnsi" w:eastAsiaTheme="majorEastAsia" w:hAnsiTheme="majorHAnsi" w:cstheme="majorBidi"/>
      <w:i/>
      <w:iCs/>
      <w:sz w:val="28"/>
      <w:szCs w:val="28"/>
    </w:rPr>
  </w:style>
  <w:style w:type="paragraph" w:styleId="Titolo5">
    <w:name w:val="heading 5"/>
    <w:basedOn w:val="Normale"/>
    <w:next w:val="Normale"/>
    <w:link w:val="Titolo5Carattere"/>
    <w:uiPriority w:val="9"/>
    <w:semiHidden/>
    <w:unhideWhenUsed/>
    <w:qFormat/>
    <w:rsid w:val="00B73AE1"/>
    <w:pPr>
      <w:keepNext/>
      <w:keepLines/>
      <w:spacing w:before="80" w:after="0" w:line="240" w:lineRule="auto"/>
      <w:outlineLvl w:val="4"/>
    </w:pPr>
    <w:rPr>
      <w:rFonts w:asciiTheme="majorHAnsi" w:eastAsiaTheme="majorEastAsia" w:hAnsiTheme="majorHAnsi" w:cstheme="majorBidi"/>
      <w:sz w:val="24"/>
      <w:szCs w:val="24"/>
    </w:rPr>
  </w:style>
  <w:style w:type="paragraph" w:styleId="Titolo6">
    <w:name w:val="heading 6"/>
    <w:basedOn w:val="Normale"/>
    <w:next w:val="Normale"/>
    <w:link w:val="Titolo6Carattere"/>
    <w:uiPriority w:val="9"/>
    <w:semiHidden/>
    <w:unhideWhenUsed/>
    <w:qFormat/>
    <w:rsid w:val="00B73AE1"/>
    <w:pPr>
      <w:keepNext/>
      <w:keepLines/>
      <w:spacing w:before="80" w:after="0" w:line="240" w:lineRule="auto"/>
      <w:outlineLvl w:val="5"/>
    </w:pPr>
    <w:rPr>
      <w:rFonts w:asciiTheme="majorHAnsi" w:eastAsiaTheme="majorEastAsia" w:hAnsiTheme="majorHAnsi" w:cstheme="majorBidi"/>
      <w:i/>
      <w:iCs/>
      <w:sz w:val="24"/>
      <w:szCs w:val="24"/>
    </w:rPr>
  </w:style>
  <w:style w:type="paragraph" w:styleId="Titolo7">
    <w:name w:val="heading 7"/>
    <w:basedOn w:val="Normale"/>
    <w:next w:val="Normale"/>
    <w:link w:val="Titolo7Carattere"/>
    <w:uiPriority w:val="9"/>
    <w:semiHidden/>
    <w:unhideWhenUsed/>
    <w:qFormat/>
    <w:rsid w:val="00B73AE1"/>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Titolo8">
    <w:name w:val="heading 8"/>
    <w:basedOn w:val="Normale"/>
    <w:next w:val="Normale"/>
    <w:link w:val="Titolo8Carattere"/>
    <w:uiPriority w:val="9"/>
    <w:semiHidden/>
    <w:unhideWhenUsed/>
    <w:qFormat/>
    <w:rsid w:val="00B73AE1"/>
    <w:pPr>
      <w:keepNext/>
      <w:keepLines/>
      <w:spacing w:before="80" w:after="0" w:line="240" w:lineRule="auto"/>
      <w:outlineLvl w:val="7"/>
    </w:pPr>
    <w:rPr>
      <w:rFonts w:asciiTheme="majorHAnsi" w:eastAsiaTheme="majorEastAsia" w:hAnsiTheme="majorHAnsi" w:cstheme="majorBidi"/>
      <w:caps/>
    </w:rPr>
  </w:style>
  <w:style w:type="paragraph" w:styleId="Titolo9">
    <w:name w:val="heading 9"/>
    <w:basedOn w:val="Normale"/>
    <w:next w:val="Normale"/>
    <w:link w:val="Titolo9Carattere"/>
    <w:uiPriority w:val="9"/>
    <w:semiHidden/>
    <w:unhideWhenUsed/>
    <w:qFormat/>
    <w:rsid w:val="00B73AE1"/>
    <w:pPr>
      <w:keepNext/>
      <w:keepLines/>
      <w:spacing w:before="80" w:after="0" w:line="240" w:lineRule="auto"/>
      <w:outlineLvl w:val="8"/>
    </w:pPr>
    <w:rPr>
      <w:rFonts w:asciiTheme="majorHAnsi" w:eastAsiaTheme="majorEastAsia" w:hAnsiTheme="majorHAnsi" w:cstheme="majorBidi"/>
      <w:i/>
      <w:iCs/>
      <w:cap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73AE1"/>
    <w:rPr>
      <w:rFonts w:asciiTheme="majorHAnsi" w:eastAsiaTheme="majorEastAsia" w:hAnsiTheme="majorHAnsi" w:cstheme="majorBidi"/>
      <w:caps/>
      <w:spacing w:val="10"/>
      <w:sz w:val="36"/>
      <w:szCs w:val="36"/>
    </w:rPr>
  </w:style>
  <w:style w:type="character" w:customStyle="1" w:styleId="Titolo2Carattere">
    <w:name w:val="Titolo 2 Carattere"/>
    <w:basedOn w:val="Carpredefinitoparagrafo"/>
    <w:link w:val="Titolo2"/>
    <w:uiPriority w:val="9"/>
    <w:semiHidden/>
    <w:rsid w:val="00B73AE1"/>
    <w:rPr>
      <w:rFonts w:asciiTheme="majorHAnsi" w:eastAsiaTheme="majorEastAsia" w:hAnsiTheme="majorHAnsi" w:cstheme="majorBidi"/>
      <w:sz w:val="36"/>
      <w:szCs w:val="36"/>
    </w:rPr>
  </w:style>
  <w:style w:type="character" w:customStyle="1" w:styleId="Titolo3Carattere">
    <w:name w:val="Titolo 3 Carattere"/>
    <w:basedOn w:val="Carpredefinitoparagrafo"/>
    <w:link w:val="Titolo3"/>
    <w:uiPriority w:val="9"/>
    <w:semiHidden/>
    <w:rsid w:val="00B73AE1"/>
    <w:rPr>
      <w:rFonts w:asciiTheme="majorHAnsi" w:eastAsiaTheme="majorEastAsia" w:hAnsiTheme="majorHAnsi" w:cstheme="majorBidi"/>
      <w:caps/>
      <w:sz w:val="28"/>
      <w:szCs w:val="28"/>
    </w:rPr>
  </w:style>
  <w:style w:type="character" w:customStyle="1" w:styleId="Titolo4Carattere">
    <w:name w:val="Titolo 4 Carattere"/>
    <w:basedOn w:val="Carpredefinitoparagrafo"/>
    <w:link w:val="Titolo4"/>
    <w:uiPriority w:val="9"/>
    <w:semiHidden/>
    <w:rsid w:val="00B73AE1"/>
    <w:rPr>
      <w:rFonts w:asciiTheme="majorHAnsi" w:eastAsiaTheme="majorEastAsia" w:hAnsiTheme="majorHAnsi" w:cstheme="majorBidi"/>
      <w:i/>
      <w:iCs/>
      <w:sz w:val="28"/>
      <w:szCs w:val="28"/>
    </w:rPr>
  </w:style>
  <w:style w:type="character" w:customStyle="1" w:styleId="Titolo5Carattere">
    <w:name w:val="Titolo 5 Carattere"/>
    <w:basedOn w:val="Carpredefinitoparagrafo"/>
    <w:link w:val="Titolo5"/>
    <w:uiPriority w:val="9"/>
    <w:semiHidden/>
    <w:rsid w:val="00B73AE1"/>
    <w:rPr>
      <w:rFonts w:asciiTheme="majorHAnsi" w:eastAsiaTheme="majorEastAsia" w:hAnsiTheme="majorHAnsi" w:cstheme="majorBidi"/>
      <w:sz w:val="24"/>
      <w:szCs w:val="24"/>
    </w:rPr>
  </w:style>
  <w:style w:type="character" w:customStyle="1" w:styleId="Titolo6Carattere">
    <w:name w:val="Titolo 6 Carattere"/>
    <w:basedOn w:val="Carpredefinitoparagrafo"/>
    <w:link w:val="Titolo6"/>
    <w:uiPriority w:val="9"/>
    <w:semiHidden/>
    <w:rsid w:val="00B73AE1"/>
    <w:rPr>
      <w:rFonts w:asciiTheme="majorHAnsi" w:eastAsiaTheme="majorEastAsia" w:hAnsiTheme="majorHAnsi" w:cstheme="majorBidi"/>
      <w:i/>
      <w:iCs/>
      <w:sz w:val="24"/>
      <w:szCs w:val="24"/>
    </w:rPr>
  </w:style>
  <w:style w:type="character" w:customStyle="1" w:styleId="Titolo7Carattere">
    <w:name w:val="Titolo 7 Carattere"/>
    <w:basedOn w:val="Carpredefinitoparagrafo"/>
    <w:link w:val="Titolo7"/>
    <w:uiPriority w:val="9"/>
    <w:semiHidden/>
    <w:rsid w:val="00B73AE1"/>
    <w:rPr>
      <w:rFonts w:asciiTheme="majorHAnsi" w:eastAsiaTheme="majorEastAsia" w:hAnsiTheme="majorHAnsi" w:cstheme="majorBidi"/>
      <w:color w:val="595959" w:themeColor="text1" w:themeTint="A6"/>
      <w:sz w:val="24"/>
      <w:szCs w:val="24"/>
    </w:rPr>
  </w:style>
  <w:style w:type="character" w:customStyle="1" w:styleId="Titolo8Carattere">
    <w:name w:val="Titolo 8 Carattere"/>
    <w:basedOn w:val="Carpredefinitoparagrafo"/>
    <w:link w:val="Titolo8"/>
    <w:uiPriority w:val="9"/>
    <w:semiHidden/>
    <w:rsid w:val="00B73AE1"/>
    <w:rPr>
      <w:rFonts w:asciiTheme="majorHAnsi" w:eastAsiaTheme="majorEastAsia" w:hAnsiTheme="majorHAnsi" w:cstheme="majorBidi"/>
      <w:caps/>
    </w:rPr>
  </w:style>
  <w:style w:type="character" w:customStyle="1" w:styleId="Titolo9Carattere">
    <w:name w:val="Titolo 9 Carattere"/>
    <w:basedOn w:val="Carpredefinitoparagrafo"/>
    <w:link w:val="Titolo9"/>
    <w:uiPriority w:val="9"/>
    <w:semiHidden/>
    <w:rsid w:val="00B73AE1"/>
    <w:rPr>
      <w:rFonts w:asciiTheme="majorHAnsi" w:eastAsiaTheme="majorEastAsia" w:hAnsiTheme="majorHAnsi" w:cstheme="majorBidi"/>
      <w:i/>
      <w:iCs/>
      <w:caps/>
    </w:rPr>
  </w:style>
  <w:style w:type="paragraph" w:styleId="Titolo">
    <w:name w:val="Title"/>
    <w:basedOn w:val="Normale"/>
    <w:next w:val="Normale"/>
    <w:link w:val="TitoloCarattere"/>
    <w:uiPriority w:val="10"/>
    <w:qFormat/>
    <w:rsid w:val="00B73AE1"/>
    <w:pPr>
      <w:spacing w:after="0" w:line="240" w:lineRule="auto"/>
      <w:contextualSpacing/>
    </w:pPr>
    <w:rPr>
      <w:rFonts w:asciiTheme="majorHAnsi" w:eastAsiaTheme="majorEastAsia" w:hAnsiTheme="majorHAnsi" w:cstheme="majorBidi"/>
      <w:caps/>
      <w:spacing w:val="40"/>
      <w:sz w:val="76"/>
      <w:szCs w:val="76"/>
    </w:rPr>
  </w:style>
  <w:style w:type="character" w:customStyle="1" w:styleId="TitoloCarattere">
    <w:name w:val="Titolo Carattere"/>
    <w:basedOn w:val="Carpredefinitoparagrafo"/>
    <w:link w:val="Titolo"/>
    <w:uiPriority w:val="10"/>
    <w:rsid w:val="00B73AE1"/>
    <w:rPr>
      <w:rFonts w:asciiTheme="majorHAnsi" w:eastAsiaTheme="majorEastAsia" w:hAnsiTheme="majorHAnsi" w:cstheme="majorBidi"/>
      <w:caps/>
      <w:spacing w:val="40"/>
      <w:sz w:val="76"/>
      <w:szCs w:val="76"/>
    </w:rPr>
  </w:style>
  <w:style w:type="paragraph" w:styleId="Sottotitolo">
    <w:name w:val="Subtitle"/>
    <w:basedOn w:val="Normale"/>
    <w:next w:val="Normale"/>
    <w:link w:val="SottotitoloCarattere"/>
    <w:uiPriority w:val="11"/>
    <w:qFormat/>
    <w:rsid w:val="00B73AE1"/>
    <w:pPr>
      <w:numPr>
        <w:ilvl w:val="1"/>
      </w:numPr>
      <w:spacing w:after="240"/>
    </w:pPr>
    <w:rPr>
      <w:color w:val="000000" w:themeColor="text1"/>
      <w:sz w:val="24"/>
      <w:szCs w:val="24"/>
    </w:rPr>
  </w:style>
  <w:style w:type="character" w:customStyle="1" w:styleId="SottotitoloCarattere">
    <w:name w:val="Sottotitolo Carattere"/>
    <w:basedOn w:val="Carpredefinitoparagrafo"/>
    <w:link w:val="Sottotitolo"/>
    <w:uiPriority w:val="11"/>
    <w:rsid w:val="00B73AE1"/>
    <w:rPr>
      <w:color w:val="000000" w:themeColor="text1"/>
      <w:sz w:val="24"/>
      <w:szCs w:val="24"/>
    </w:rPr>
  </w:style>
  <w:style w:type="paragraph" w:styleId="Citazione">
    <w:name w:val="Quote"/>
    <w:basedOn w:val="Normale"/>
    <w:next w:val="Normale"/>
    <w:link w:val="CitazioneCarattere"/>
    <w:uiPriority w:val="29"/>
    <w:qFormat/>
    <w:rsid w:val="00B73AE1"/>
    <w:pPr>
      <w:spacing w:before="160"/>
      <w:ind w:left="720"/>
    </w:pPr>
    <w:rPr>
      <w:rFonts w:asciiTheme="majorHAnsi" w:eastAsiaTheme="majorEastAsia" w:hAnsiTheme="majorHAnsi" w:cstheme="majorBidi"/>
      <w:sz w:val="24"/>
      <w:szCs w:val="24"/>
    </w:rPr>
  </w:style>
  <w:style w:type="character" w:customStyle="1" w:styleId="CitazioneCarattere">
    <w:name w:val="Citazione Carattere"/>
    <w:basedOn w:val="Carpredefinitoparagrafo"/>
    <w:link w:val="Citazione"/>
    <w:uiPriority w:val="29"/>
    <w:rsid w:val="00B73AE1"/>
    <w:rPr>
      <w:rFonts w:asciiTheme="majorHAnsi" w:eastAsiaTheme="majorEastAsia" w:hAnsiTheme="majorHAnsi" w:cstheme="majorBidi"/>
      <w:sz w:val="24"/>
      <w:szCs w:val="24"/>
    </w:rPr>
  </w:style>
  <w:style w:type="paragraph" w:styleId="Paragrafoelenco">
    <w:name w:val="List Paragraph"/>
    <w:basedOn w:val="Normale"/>
    <w:uiPriority w:val="34"/>
    <w:qFormat/>
    <w:rsid w:val="000A7EA5"/>
    <w:pPr>
      <w:ind w:left="720"/>
      <w:contextualSpacing/>
    </w:pPr>
  </w:style>
  <w:style w:type="character" w:styleId="Enfasiintensa">
    <w:name w:val="Intense Emphasis"/>
    <w:basedOn w:val="Carpredefinitoparagrafo"/>
    <w:uiPriority w:val="21"/>
    <w:qFormat/>
    <w:rsid w:val="00B73AE1"/>
    <w:rPr>
      <w:rFonts w:asciiTheme="minorHAnsi" w:eastAsiaTheme="minorEastAsia" w:hAnsiTheme="minorHAnsi" w:cstheme="minorBidi"/>
      <w:b/>
      <w:bCs/>
      <w:i/>
      <w:iCs/>
      <w:color w:val="C45911" w:themeColor="accent2" w:themeShade="BF"/>
      <w:spacing w:val="0"/>
      <w:w w:val="100"/>
      <w:position w:val="0"/>
      <w:sz w:val="20"/>
      <w:szCs w:val="20"/>
    </w:rPr>
  </w:style>
  <w:style w:type="paragraph" w:styleId="Citazioneintensa">
    <w:name w:val="Intense Quote"/>
    <w:basedOn w:val="Normale"/>
    <w:next w:val="Normale"/>
    <w:link w:val="CitazioneintensaCarattere"/>
    <w:uiPriority w:val="30"/>
    <w:qFormat/>
    <w:rsid w:val="00B73AE1"/>
    <w:pPr>
      <w:spacing w:before="100" w:beforeAutospacing="1" w:after="240"/>
      <w:ind w:left="936" w:right="936"/>
      <w:jc w:val="center"/>
    </w:pPr>
    <w:rPr>
      <w:rFonts w:asciiTheme="majorHAnsi" w:eastAsiaTheme="majorEastAsia" w:hAnsiTheme="majorHAnsi" w:cstheme="majorBidi"/>
      <w:caps/>
      <w:color w:val="C45911" w:themeColor="accent2" w:themeShade="BF"/>
      <w:spacing w:val="10"/>
      <w:sz w:val="28"/>
      <w:szCs w:val="28"/>
    </w:rPr>
  </w:style>
  <w:style w:type="character" w:customStyle="1" w:styleId="CitazioneintensaCarattere">
    <w:name w:val="Citazione intensa Carattere"/>
    <w:basedOn w:val="Carpredefinitoparagrafo"/>
    <w:link w:val="Citazioneintensa"/>
    <w:uiPriority w:val="30"/>
    <w:rsid w:val="00B73AE1"/>
    <w:rPr>
      <w:rFonts w:asciiTheme="majorHAnsi" w:eastAsiaTheme="majorEastAsia" w:hAnsiTheme="majorHAnsi" w:cstheme="majorBidi"/>
      <w:caps/>
      <w:color w:val="C45911" w:themeColor="accent2" w:themeShade="BF"/>
      <w:spacing w:val="10"/>
      <w:sz w:val="28"/>
      <w:szCs w:val="28"/>
    </w:rPr>
  </w:style>
  <w:style w:type="character" w:styleId="Riferimentointenso">
    <w:name w:val="Intense Reference"/>
    <w:basedOn w:val="Carpredefinitoparagrafo"/>
    <w:uiPriority w:val="32"/>
    <w:qFormat/>
    <w:rsid w:val="00B73AE1"/>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paragraph" w:styleId="Intestazione">
    <w:name w:val="header"/>
    <w:basedOn w:val="Normale"/>
    <w:link w:val="IntestazioneCarattere"/>
    <w:uiPriority w:val="99"/>
    <w:unhideWhenUsed/>
    <w:rsid w:val="00F31D7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31D78"/>
  </w:style>
  <w:style w:type="paragraph" w:styleId="Pidipagina">
    <w:name w:val="footer"/>
    <w:basedOn w:val="Normale"/>
    <w:link w:val="PidipaginaCarattere"/>
    <w:uiPriority w:val="99"/>
    <w:unhideWhenUsed/>
    <w:rsid w:val="00F31D7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31D78"/>
  </w:style>
  <w:style w:type="character" w:styleId="Numeroriga">
    <w:name w:val="line number"/>
    <w:basedOn w:val="Carpredefinitoparagrafo"/>
    <w:uiPriority w:val="99"/>
    <w:semiHidden/>
    <w:unhideWhenUsed/>
    <w:rsid w:val="00795E59"/>
  </w:style>
  <w:style w:type="paragraph" w:styleId="Didascalia">
    <w:name w:val="caption"/>
    <w:basedOn w:val="Normale"/>
    <w:next w:val="Normale"/>
    <w:uiPriority w:val="35"/>
    <w:semiHidden/>
    <w:unhideWhenUsed/>
    <w:qFormat/>
    <w:rsid w:val="00B73AE1"/>
    <w:pPr>
      <w:spacing w:line="240" w:lineRule="auto"/>
    </w:pPr>
    <w:rPr>
      <w:b/>
      <w:bCs/>
      <w:color w:val="ED7D31" w:themeColor="accent2"/>
      <w:spacing w:val="10"/>
      <w:sz w:val="16"/>
      <w:szCs w:val="16"/>
    </w:rPr>
  </w:style>
  <w:style w:type="character" w:styleId="Enfasigrassetto">
    <w:name w:val="Strong"/>
    <w:basedOn w:val="Carpredefinitoparagrafo"/>
    <w:uiPriority w:val="22"/>
    <w:qFormat/>
    <w:rsid w:val="00B73AE1"/>
    <w:rPr>
      <w:rFonts w:asciiTheme="minorHAnsi" w:eastAsiaTheme="minorEastAsia" w:hAnsiTheme="minorHAnsi" w:cstheme="minorBidi"/>
      <w:b/>
      <w:bCs/>
      <w:spacing w:val="0"/>
      <w:w w:val="100"/>
      <w:position w:val="0"/>
      <w:sz w:val="20"/>
      <w:szCs w:val="20"/>
    </w:rPr>
  </w:style>
  <w:style w:type="character" w:styleId="Enfasicorsivo">
    <w:name w:val="Emphasis"/>
    <w:basedOn w:val="Carpredefinitoparagrafo"/>
    <w:uiPriority w:val="20"/>
    <w:qFormat/>
    <w:rsid w:val="00B73AE1"/>
    <w:rPr>
      <w:rFonts w:asciiTheme="minorHAnsi" w:eastAsiaTheme="minorEastAsia" w:hAnsiTheme="minorHAnsi" w:cstheme="minorBidi"/>
      <w:i/>
      <w:iCs/>
      <w:color w:val="C45911" w:themeColor="accent2" w:themeShade="BF"/>
      <w:sz w:val="20"/>
      <w:szCs w:val="20"/>
    </w:rPr>
  </w:style>
  <w:style w:type="paragraph" w:styleId="Nessunaspaziatura">
    <w:name w:val="No Spacing"/>
    <w:uiPriority w:val="1"/>
    <w:qFormat/>
    <w:rsid w:val="00B73AE1"/>
    <w:pPr>
      <w:spacing w:after="0" w:line="240" w:lineRule="auto"/>
    </w:pPr>
  </w:style>
  <w:style w:type="character" w:styleId="Enfasidelicata">
    <w:name w:val="Subtle Emphasis"/>
    <w:basedOn w:val="Carpredefinitoparagrafo"/>
    <w:uiPriority w:val="19"/>
    <w:qFormat/>
    <w:rsid w:val="00B73AE1"/>
    <w:rPr>
      <w:i/>
      <w:iCs/>
      <w:color w:val="auto"/>
    </w:rPr>
  </w:style>
  <w:style w:type="character" w:styleId="Riferimentodelicato">
    <w:name w:val="Subtle Reference"/>
    <w:basedOn w:val="Carpredefinitoparagrafo"/>
    <w:uiPriority w:val="31"/>
    <w:qFormat/>
    <w:rsid w:val="00B73AE1"/>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Titolodellibro">
    <w:name w:val="Book Title"/>
    <w:basedOn w:val="Carpredefinitoparagrafo"/>
    <w:uiPriority w:val="33"/>
    <w:qFormat/>
    <w:rsid w:val="00B73AE1"/>
    <w:rPr>
      <w:rFonts w:asciiTheme="minorHAnsi" w:eastAsiaTheme="minorEastAsia" w:hAnsiTheme="minorHAnsi" w:cstheme="minorBidi"/>
      <w:b/>
      <w:bCs/>
      <w:i/>
      <w:iCs/>
      <w:caps w:val="0"/>
      <w:smallCaps w:val="0"/>
      <w:color w:val="auto"/>
      <w:spacing w:val="10"/>
      <w:w w:val="100"/>
      <w:sz w:val="20"/>
      <w:szCs w:val="20"/>
    </w:rPr>
  </w:style>
  <w:style w:type="paragraph" w:styleId="Titolosommario">
    <w:name w:val="TOC Heading"/>
    <w:basedOn w:val="Titolo1"/>
    <w:next w:val="Normale"/>
    <w:uiPriority w:val="39"/>
    <w:semiHidden/>
    <w:unhideWhenUsed/>
    <w:qFormat/>
    <w:rsid w:val="00B73AE1"/>
    <w:pPr>
      <w:outlineLvl w:val="9"/>
    </w:pPr>
  </w:style>
  <w:style w:type="character" w:styleId="Collegamentoipertestuale">
    <w:name w:val="Hyperlink"/>
    <w:basedOn w:val="Carpredefinitoparagrafo"/>
    <w:uiPriority w:val="99"/>
    <w:unhideWhenUsed/>
    <w:rsid w:val="00C17DAB"/>
    <w:rPr>
      <w:color w:val="0563C1" w:themeColor="hyperlink"/>
      <w:u w:val="single"/>
    </w:rPr>
  </w:style>
  <w:style w:type="character" w:styleId="Menzionenonrisolta">
    <w:name w:val="Unresolved Mention"/>
    <w:basedOn w:val="Carpredefinitoparagrafo"/>
    <w:uiPriority w:val="99"/>
    <w:semiHidden/>
    <w:unhideWhenUsed/>
    <w:rsid w:val="00C17DAB"/>
    <w:rPr>
      <w:color w:val="605E5C"/>
      <w:shd w:val="clear" w:color="auto" w:fill="E1DFDD"/>
    </w:rPr>
  </w:style>
  <w:style w:type="paragraph" w:customStyle="1" w:styleId="Default">
    <w:name w:val="Default"/>
    <w:rsid w:val="00507D5B"/>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u w:color="000000"/>
      <w:bdr w:val="nil"/>
      <w:lang w:eastAsia="it-IT"/>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502157">
      <w:bodyDiv w:val="1"/>
      <w:marLeft w:val="0"/>
      <w:marRight w:val="0"/>
      <w:marTop w:val="0"/>
      <w:marBottom w:val="0"/>
      <w:divBdr>
        <w:top w:val="none" w:sz="0" w:space="0" w:color="auto"/>
        <w:left w:val="none" w:sz="0" w:space="0" w:color="auto"/>
        <w:bottom w:val="none" w:sz="0" w:space="0" w:color="auto"/>
        <w:right w:val="none" w:sz="0" w:space="0" w:color="auto"/>
      </w:divBdr>
    </w:div>
    <w:div w:id="1475836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F8066-6AD8-450F-9C1B-806CA98D2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5945</Words>
  <Characters>33891</Characters>
  <Application>Microsoft Office Word</Application>
  <DocSecurity>0</DocSecurity>
  <Lines>282</Lines>
  <Paragraphs>79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CIRILLO Giampiero Paolo</dc:creator>
  <cp:keywords/>
  <dc:description/>
  <cp:lastModifiedBy>CIRILLO Giampiero Paolo</cp:lastModifiedBy>
  <cp:revision>2</cp:revision>
  <dcterms:created xsi:type="dcterms:W3CDTF">2026-10-27T17:05:00Z</dcterms:created>
  <dcterms:modified xsi:type="dcterms:W3CDTF">2026-10-27T17:05:00Z</dcterms:modified>
</cp:coreProperties>
</file>