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20AD7" w14:textId="77777777" w:rsidR="000F3232" w:rsidRPr="00FF3970" w:rsidRDefault="001F4BBC">
      <w:pPr>
        <w:pStyle w:val="Titolo"/>
        <w:rPr>
          <w:lang w:val="it-IT"/>
        </w:rPr>
      </w:pPr>
      <w:r w:rsidRPr="00FF3970">
        <w:rPr>
          <w:lang w:val="it-IT"/>
        </w:rPr>
        <w:t>INDIVIDUO, SFERA PUBBLICA E GIUSTIZIA AMMINISTRATIVA</w:t>
      </w:r>
      <w:r w:rsidRPr="00FF3970">
        <w:rPr>
          <w:rStyle w:val="Rimandonotaapidipagina"/>
          <w:rFonts w:ascii="Cambria" w:eastAsia="Cambria" w:hAnsi="Cambria" w:cs="Cambria"/>
          <w:b w:val="0"/>
          <w:color w:val="auto"/>
          <w:spacing w:val="0"/>
          <w:szCs w:val="32"/>
          <w:lang w:val="it-IT"/>
        </w:rPr>
        <w:footnoteReference w:customMarkFollows="1" w:id="1"/>
        <w:t>*</w:t>
      </w:r>
    </w:p>
    <w:p w14:paraId="0AA69A66" w14:textId="77777777" w:rsidR="000F3232" w:rsidRPr="00FF3970" w:rsidRDefault="001F4BBC">
      <w:pPr>
        <w:pStyle w:val="Titolo1"/>
        <w:ind w:firstLine="0"/>
        <w:jc w:val="center"/>
        <w:rPr>
          <w:lang w:val="it-IT"/>
        </w:rPr>
      </w:pPr>
      <w:r w:rsidRPr="00FF3970">
        <w:rPr>
          <w:lang w:val="it-IT"/>
        </w:rPr>
        <w:t>Le trasformazioni del processo amministrativo nel tempo: alla ricerca di una possibile ragione</w:t>
      </w:r>
    </w:p>
    <w:p w14:paraId="347DE8B0" w14:textId="77777777" w:rsidR="000F3232" w:rsidRPr="00FF3970" w:rsidRDefault="001F4BBC">
      <w:pPr>
        <w:pStyle w:val="Titolo1"/>
        <w:rPr>
          <w:lang w:val="it-IT"/>
        </w:rPr>
      </w:pPr>
      <w:r w:rsidRPr="00FF3970">
        <w:rPr>
          <w:lang w:val="it-IT"/>
        </w:rPr>
        <w:t>Introduzione</w:t>
      </w:r>
    </w:p>
    <w:p w14:paraId="5D54732A" w14:textId="77777777" w:rsidR="000F3232" w:rsidRPr="00FF3970" w:rsidRDefault="001F4BBC">
      <w:pPr>
        <w:rPr>
          <w:lang w:val="it-IT"/>
        </w:rPr>
      </w:pPr>
      <w:r w:rsidRPr="00FF3970">
        <w:rPr>
          <w:lang w:val="it-IT"/>
        </w:rPr>
        <w:t>Il filo conduttore di queste pagine è l’evoluzione della giustizia amministrativa osservata attraverso il mutare della relazione tra individuo e sfera pubblica. Non si propone, dunque, una storia del processo amministrativo, né una ricostruzione completa delle riforme, degli istituti e degli orientamenti giurisprudenziali che lo hanno trasformato. Ai fini più limitati di questo scritto può bastare una scansione per passaggi di fondo, inevitabilmente schematica: interessa comprendere come siano cambiate, insieme, l’immagine del singolo, la posizione dell’amministrazione e la rappresentazione dell’interesse comune. Da questo angolo visuale, le vicende del processo acquistano senso entro un movimento più ampio, nel quale varia la distanza tra la persona e il potere e mutano le attese rivolte allo Stato. Anche la sfera pubblica perde progressivamente l’apparente compattezza delle origini e diviene il luogo, mobile e plurale, nel quale si incontrano autorità, servizi, regolazione, organizzazioni, mercato e interessi collettivi.</w:t>
      </w:r>
    </w:p>
    <w:p w14:paraId="0BD2FA30" w14:textId="77777777" w:rsidR="000F3232" w:rsidRPr="00FF3970" w:rsidRDefault="001F4BBC">
      <w:pPr>
        <w:rPr>
          <w:lang w:val="it-IT"/>
        </w:rPr>
      </w:pPr>
      <w:r w:rsidRPr="00FF3970">
        <w:rPr>
          <w:lang w:val="it-IT"/>
        </w:rPr>
        <w:t xml:space="preserve">Le pagine hanno anche il carattere, più personale, di un bilancio retrospettivo. Riprendono problemi affrontati in tempi diversi, spesso senza che fosse allora visibile un disegno capace di riunirli. Rileggendo oggi quei lavori, mi sembra che questioni nate separatamente possano essere ricondotte a una domanda comune; sarebbe però artificioso presentare questa continuità come se fosse stata chiara fin dall’inizio, o come se conducesse ora a una conclusione definitiva. La distanza consente di riconoscere un filo, ma rende percepibili anche gli scarti, le esitazioni e i limiti delle categorie impiegate. Alcuni passaggi che oggi possono apparire acquisiti vanno inoltre ricollocati nel momento in cui furono formulati; altri chiedono di essere nuovamente interrogati alla luce di un quadro istituzionale ancora in movimento. I richiami in nota ai precedenti scritti </w:t>
      </w:r>
      <w:r w:rsidRPr="00FF3970">
        <w:rPr>
          <w:lang w:val="it-IT"/>
        </w:rPr>
        <w:lastRenderedPageBreak/>
        <w:t>servono a rendere riconoscibile questo itinerario, non a costruire una bibliografia della materia né, tanto meno, ad attribuire a quei lavori un valore di autorità.</w:t>
      </w:r>
    </w:p>
    <w:p w14:paraId="37D4B471" w14:textId="77777777" w:rsidR="000F3232" w:rsidRPr="00FF3970" w:rsidRDefault="001F4BBC">
      <w:pPr>
        <w:pStyle w:val="Corpotesto"/>
        <w:rPr>
          <w:lang w:val="it-IT"/>
        </w:rPr>
      </w:pPr>
      <w:r w:rsidRPr="00FF3970">
        <w:rPr>
          <w:lang w:val="it-IT"/>
        </w:rPr>
        <w:t>In una prima, sommaria rappresentazione, il sistema delle origini si reggeva su una distinzione riconoscibile tra pubblico e privato. La protezione del cittadino contro l’arbitrio passava soprattutto attraverso il controllo della legalità dell’atto: il giudice rimuoveva il provvedimento illegittimo e lasciava alla funzione amministrativa il compito di tornare a decidere. L’interesse legittimo occupava precisamente questo intervallo. Dava rilievo giuridico alla posizione individuale senza cancellare lo spazio nel quale l’amministrazione era chiamata a confrontare interessi diversi. La schematizzazione non pretende di restituire tutta la complessità storica; serve a mettere a fuoco la struttura di una tutela che proteggeva il singolo attraverso il limite imposto al potere e, insieme, attraverso il limite riconosciuto al giudice. La ricostruzione del passato interessa qui soprattutto perché permette di leggere il presente come l’esito provvisorio di un lungo movimento istituzionale. (</w:t>
      </w:r>
      <w:r>
        <w:footnoteReference w:id="2"/>
      </w:r>
      <w:r w:rsidRPr="00FF3970">
        <w:rPr>
          <w:lang w:val="it-IT"/>
        </w:rPr>
        <w:t>)</w:t>
      </w:r>
    </w:p>
    <w:p w14:paraId="761B24F2" w14:textId="77777777" w:rsidR="000F3232" w:rsidRPr="00FF3970" w:rsidRDefault="001F4BBC">
      <w:pPr>
        <w:pStyle w:val="Corpotesto"/>
        <w:rPr>
          <w:lang w:val="it-IT"/>
        </w:rPr>
      </w:pPr>
      <w:r w:rsidRPr="00FF3970">
        <w:rPr>
          <w:lang w:val="it-IT"/>
        </w:rPr>
        <w:t>Con lo Stato costituzionale e sociale cambia l’immagine stessa dell’individuo. La persona non incontra l’amministrazione soltanto quando deve difendere una libertà dall’ingerenza pubblica: dipende anche da servizi, prestazioni, procedure e organizzazioni che condizionano concretamente le sue possibilità di vita. Il procedimento acquista così il significato di uno spazio di cittadinanza; la conoscenza degli atti e la motivazione diventano forme di controllo e di interlocuzione. Nello stesso tempo affiorano interessi che nessun singolo può interamente fare propri, come l’ambiente e gli altri beni comuni. Il quadro si complica in entrambe le direzioni: l’interesse pubblico non può più essere semplicemente identificato con la volontà dell’apparato, mentre la società non può essere pensata come la sola somma delle pretese individuali.</w:t>
      </w:r>
    </w:p>
    <w:p w14:paraId="0A654636" w14:textId="77777777" w:rsidR="000F3232" w:rsidRPr="00FF3970" w:rsidRDefault="001F4BBC">
      <w:pPr>
        <w:pStyle w:val="Corpotesto"/>
        <w:rPr>
          <w:lang w:val="it-IT"/>
        </w:rPr>
      </w:pPr>
      <w:r w:rsidRPr="00FF3970">
        <w:rPr>
          <w:lang w:val="it-IT"/>
        </w:rPr>
        <w:t xml:space="preserve">Nel tempo presente la tutela tende ad avvicinarsi al rapporto e al risultato utile. Risarcimento, cautela, ottemperanza e cognizione della pretesa sostanziale hanno reso più concreta la protezione del cittadino; proprio per questo hanno reso meno stabile il confine tra il giudicare e l’amministrare. Sullo sfondo agisce un mutamento sociale più difficile da descrivere e sul quale le categorie della tardomodernità offrono soltanto una chiave, non una diagnosi conclusiva: </w:t>
      </w:r>
      <w:r w:rsidRPr="00FF3970">
        <w:rPr>
          <w:lang w:val="it-IT"/>
        </w:rPr>
        <w:lastRenderedPageBreak/>
        <w:t>l’autonomia individuale si espande, le sfere si sovrappongono e le istituzioni vengono interrogate anzitutto sulla loro capacità di produrre un’utilità percepibile. Accanto al rischio, mai esaurito, che il potere comprima la persona, se ne profila un altro: che la dimensione comune perda consistenza nella competizione tra bisogni e che al giudice venga affidata l’attesa, impossibile da soddisfare stabilmente, di trasformare ogni aspirazione in un risultato. (</w:t>
      </w:r>
      <w:r>
        <w:footnoteReference w:id="3"/>
      </w:r>
      <w:r w:rsidRPr="00FF3970">
        <w:rPr>
          <w:lang w:val="it-IT"/>
        </w:rPr>
        <w:t>)</w:t>
      </w:r>
    </w:p>
    <w:p w14:paraId="6A43477A" w14:textId="77777777" w:rsidR="000F3232" w:rsidRPr="00FF3970" w:rsidRDefault="001F4BBC">
      <w:pPr>
        <w:pStyle w:val="Corpotesto"/>
        <w:rPr>
          <w:lang w:val="it-IT"/>
        </w:rPr>
      </w:pPr>
      <w:r w:rsidRPr="00FF3970">
        <w:rPr>
          <w:lang w:val="it-IT"/>
        </w:rPr>
        <w:t>Più che una tesi da dimostrare una volta per tutte, le pagine che seguono propongono una possibile chiave di lettura. La specificità della giustizia amministrativa potrebbe essere cercata nella relazione che essa giudica: una funzione pubblica che incide sulle persone deve restare controllabile, mentre la pretesa individuale si colloca entro un insieme di interessi che spesso eccede le parti del processo. Questa eccedenza non riguarda soltanto i casi nei quali compaiono interessi collettivi o diffusi. Sembra appartenere, in misura variabile, alla struttura della funzione amministrativa, chiamata a ordinare beni, oneri, possibilità e interessi entro una sfera comune. Il processo mette di fronte un ricorrente e un’amministrazione; la relazione sostanziale può essere più ampia di quella rappresentazione. Da qui l’ipotesi che la storia della giustizia amministrativa non descriva un avanzamento lineare dalla tutela debole alla tutela piena, ma un continuo spostamento del limite tra individuo, amministrazione e società. Quel limite deve contenere l’arbitrio e, nello stesso tempo, lasciare possibile una decisione pubblica responsabile.</w:t>
      </w:r>
    </w:p>
    <w:p w14:paraId="321A0690" w14:textId="77777777" w:rsidR="000F3232" w:rsidRPr="00FF3970" w:rsidRDefault="001F4BBC">
      <w:pPr>
        <w:pStyle w:val="Titolo1"/>
        <w:rPr>
          <w:lang w:val="it-IT"/>
        </w:rPr>
      </w:pPr>
      <w:bookmarkStart w:id="0" w:name="X4a320e5f880aa4b0f7043da82f47a32ac2fbb10"/>
      <w:bookmarkEnd w:id="0"/>
      <w:r w:rsidRPr="00FF3970">
        <w:rPr>
          <w:lang w:val="it-IT"/>
        </w:rPr>
        <w:t>1.- Alle origini: una giustizia tra autorità e libertà</w:t>
      </w:r>
    </w:p>
    <w:p w14:paraId="2B7A83BA" w14:textId="77777777" w:rsidR="000F3232" w:rsidRPr="00FF3970" w:rsidRDefault="001F4BBC">
      <w:pPr>
        <w:rPr>
          <w:lang w:val="it-IT"/>
        </w:rPr>
      </w:pPr>
      <w:r w:rsidRPr="00FF3970">
        <w:rPr>
          <w:lang w:val="it-IT"/>
        </w:rPr>
        <w:t>Per individuare il problema originario non occorre ripercorrere qui, in tutta la sua complessità, la formazione della giustizia amministrativa italiana. È sufficiente ricordare la sequenza che conduce dalla legge del 1865 alla quarta sezione del Consiglio di Stato e al consolidamento giurisdizionale del 1907. Letta nella prospettiva di queste pagine, quella vicenda non esprime soltanto una soluzione organizzativa. Mostra il tentativo dello Stato liberale di rendere compatibili la libertà del singolo e l’autonomia di un’amministrazione incaricata di curare interessi che non potevano essere ridotti a quelli delle persone immediatamente coinvolte.</w:t>
      </w:r>
    </w:p>
    <w:p w14:paraId="161C4001" w14:textId="77777777" w:rsidR="000F3232" w:rsidRPr="00FF3970" w:rsidRDefault="001F4BBC">
      <w:pPr>
        <w:pStyle w:val="Corpotesto"/>
        <w:rPr>
          <w:lang w:val="it-IT"/>
        </w:rPr>
      </w:pPr>
      <w:r w:rsidRPr="00FF3970">
        <w:rPr>
          <w:lang w:val="it-IT"/>
        </w:rPr>
        <w:t>La distinzione tra sfera privata e sfera pubblica costituiva il linguaggio entro il quale quel tentativo veniva pensato. Si tratta, evidentemente, di una rappresentazione semplificata, non della fotografia di una società senza intrecci. Essa attribuiva però alle due sfere una consistenza riconoscibile: nella prima l’individuo esercitava le libertà civili e organizzava le proprie relazioni; nella seconda lo Stato poteva imporre sacrifici in vista di fini comuni. Il diritto conteneva il potere entro forme e competenze, senza cancellare la differenza tra autorità e libertà. Quella differenza non appariva come un residuo da eliminare; reggeva l’architettura del sistema.</w:t>
      </w:r>
    </w:p>
    <w:p w14:paraId="54D01A23" w14:textId="77777777" w:rsidR="000F3232" w:rsidRPr="00FF3970" w:rsidRDefault="001F4BBC">
      <w:pPr>
        <w:pStyle w:val="Corpotesto"/>
        <w:rPr>
          <w:lang w:val="it-IT"/>
        </w:rPr>
      </w:pPr>
      <w:r w:rsidRPr="00FF3970">
        <w:rPr>
          <w:lang w:val="it-IT"/>
        </w:rPr>
        <w:t>Il giudice amministrativo nasce dentro questa architettura. Il controllo riguardava il modo in cui il potere era stato esercitato e la tutela del singolo passava attraverso il ripristino della legalità dell’azione pubblica. L’annullamento proteggeva il cittadino senza attribuirgli direttamente il risultato pratico richiesto: una volta eliminato l’atto illegittimo, l’amministrazione conservava il compito di provvedere nuovamente entro il vincolo posto dalla sentenza. Tra la decisione giudiziale e il bene della vita rimaneva, dunque, uno spazio nel quale la funzione pubblica continuava a operare.</w:t>
      </w:r>
    </w:p>
    <w:p w14:paraId="4E879E42" w14:textId="77777777" w:rsidR="000F3232" w:rsidRPr="00FF3970" w:rsidRDefault="001F4BBC">
      <w:pPr>
        <w:pStyle w:val="Corpotesto"/>
        <w:rPr>
          <w:lang w:val="it-IT"/>
        </w:rPr>
      </w:pPr>
      <w:r w:rsidRPr="00FF3970">
        <w:rPr>
          <w:lang w:val="it-IT"/>
        </w:rPr>
        <w:t>Quella tutela appare oggi incompleta, soprattutto se misurata con gli strumenti successivamente acquisiti. La sua prudenza aveva tuttavia una coerenza che la lettura retrospettiva non dovrebbe cancellare. Il potere amministrativo era concepito come funzione orientata a un fine pubblico e sottoposta a forme legali. Il limite del giudice preservava la distinzione dei compiti: la giurisdizione verificava la conformità dell’azione al diritto; l’amministrazione assumeva la responsabilità di selezionare e comporre gli interessi presenti nella società. In questa separazione poteva annidarsi una protezione eccessiva dell’apparato, ma vi era anche l’idea che la decisione pubblica non coincidesse immediatamente con la somma delle preferenze individuali.</w:t>
      </w:r>
    </w:p>
    <w:p w14:paraId="43CF393F" w14:textId="77777777" w:rsidR="000F3232" w:rsidRPr="00FF3970" w:rsidRDefault="001F4BBC">
      <w:pPr>
        <w:pStyle w:val="Corpotesto"/>
        <w:rPr>
          <w:lang w:val="it-IT"/>
        </w:rPr>
      </w:pPr>
      <w:r w:rsidRPr="00FF3970">
        <w:rPr>
          <w:lang w:val="it-IT"/>
        </w:rPr>
        <w:t>Il rapporto tra il singolo e la società risultava così mediato da una sfera pubblica dotata di una propria consistenza. L’individuo poteva contestare il provvedimento che lo colpiva illegittimamente; non disponeva, per questo solo fatto, dell’interesse generale. La libertà era garantita entro un ordine comune, del quale poteva denunciare le violazioni senza sostituirvi il proprio interesse. La giustizia amministrativa delle origini può essere letta, sotto questo profilo, come una giustizia del limite: limite del potere, vincolato dalla legge; limite del giudice, chiamato a non amministrare; limite della pretesa privata, costretta a misurarsi con interessi ulteriori.</w:t>
      </w:r>
    </w:p>
    <w:p w14:paraId="7FD3F59B" w14:textId="77777777" w:rsidR="000F3232" w:rsidRPr="00FF3970" w:rsidRDefault="001F4BBC">
      <w:pPr>
        <w:pStyle w:val="Corpotesto"/>
        <w:rPr>
          <w:lang w:val="it-IT"/>
        </w:rPr>
      </w:pPr>
      <w:r w:rsidRPr="00FF3970">
        <w:rPr>
          <w:lang w:val="it-IT"/>
        </w:rPr>
        <w:t>Il limite esprimeva dunque più di una tecnica di riparto. Rifletteva una concezione della società nella quale la centralità dell’individuo conviveva con istituzioni capaci di filtrare la forza immediata degli interessi. La legalità rendeva il potere prevedibile e controllabile; la separazione delle sfere proteggeva lo spazio personale e, al tempo stesso, impediva che ogni aspirazione privata si trasformasse senza mediazioni nel criterio della decisione pubblica. In questo equilibrio, certamente imperfetto e spesso sbilanciato, prese forma l’interesse legittimo.</w:t>
      </w:r>
    </w:p>
    <w:p w14:paraId="018245B5" w14:textId="77777777" w:rsidR="000F3232" w:rsidRPr="00FF3970" w:rsidRDefault="001F4BBC">
      <w:pPr>
        <w:pStyle w:val="Titolo1"/>
        <w:rPr>
          <w:lang w:val="it-IT"/>
        </w:rPr>
      </w:pPr>
      <w:bookmarkStart w:id="1" w:name="X30ec3ab9522a86968271ae537a91a4ded4aceee"/>
      <w:bookmarkEnd w:id="1"/>
      <w:r w:rsidRPr="00FF3970">
        <w:rPr>
          <w:lang w:val="it-IT"/>
        </w:rPr>
        <w:t>2.- L’interesse legittimo e la funzione di mediazione</w:t>
      </w:r>
    </w:p>
    <w:p w14:paraId="7DB8D0BF" w14:textId="77777777" w:rsidR="000F3232" w:rsidRPr="00FF3970" w:rsidRDefault="001F4BBC">
      <w:pPr>
        <w:rPr>
          <w:lang w:val="it-IT"/>
        </w:rPr>
      </w:pPr>
      <w:r w:rsidRPr="00FF3970">
        <w:rPr>
          <w:lang w:val="it-IT"/>
        </w:rPr>
        <w:t>L’interesse legittimo viene qui richiamato per il significato storico e relazionale che ha assunto, non per riproporne una definizione manualistica. Esso fu il modo attraverso il quale l’ordinamento riconobbe rilievo alla posizione del cittadino proprio mentre l’amministrazione esercitava un potere. Il soddisfacimento dell’interesse individuale dipendeva da una decisione pubblica, ma il singolo poteva esigere che quella decisione fosse assunta nel rispetto della legge, dell’imparzialità e della ragionevolezza. La categoria rendeva così giuridicamente visibile una posizione che non aveva la struttura del diritto soggettivo e non poteva, tuttavia, restare una mera aspettativa di fatto.</w:t>
      </w:r>
    </w:p>
    <w:p w14:paraId="362D1EBB" w14:textId="77777777" w:rsidR="000F3232" w:rsidRPr="00FF3970" w:rsidRDefault="001F4BBC">
      <w:pPr>
        <w:pStyle w:val="Corpotesto"/>
        <w:rPr>
          <w:lang w:val="it-IT"/>
        </w:rPr>
      </w:pPr>
      <w:r w:rsidRPr="00FF3970">
        <w:rPr>
          <w:lang w:val="it-IT"/>
        </w:rPr>
        <w:t>In essa si rifletteva una relazione nella quale interesse privato e interesse pubblico rimanevano distinti senza essere separati. La protezione del singolo nasceva dal corretto svolgimento della funzione amministrativa. Il ricorrente otteneva che l’amministrazione tornasse a decidere libera dai vizi accertati; l’utilità concreta restava possibile, ma non era anticipata come conseguenza necessaria della sentenza. Lo spazio lasciato tra l’annullamento e il bene della vita era precisamente lo spazio della funzione.</w:t>
      </w:r>
    </w:p>
    <w:p w14:paraId="7C00CE29" w14:textId="77777777" w:rsidR="000F3232" w:rsidRPr="00FF3970" w:rsidRDefault="001F4BBC">
      <w:pPr>
        <w:pStyle w:val="Corpotesto"/>
        <w:rPr>
          <w:lang w:val="it-IT"/>
        </w:rPr>
      </w:pPr>
      <w:r w:rsidRPr="00FF3970">
        <w:rPr>
          <w:lang w:val="it-IT"/>
        </w:rPr>
        <w:t>La successiva distinzione tra interessi oppositivi e pretensivi rese più percepibili le diverse direzioni nelle quali quella relazione poteva svilupparsi: difendere una sfera già acquisita oppure aspirare a un’utilità dipendente dall’esercizio del potere. Qui interessa meno la tassonomia delle singole figure che il dato comune. In entrambi i casi il bisogno concreto del cittadino entrava nel giudizio attraverso il controllo della funzione; non era estraneo alla legalità, ma non ne esauriva il metro. Questo passaggio, oggi facilmente consegnato alle categorie di base della materia, segnava allora il tentativo di rendere più sostanziale la tutela senza dissolvere la peculiarità del rapporto amministrativo.</w:t>
      </w:r>
    </w:p>
    <w:p w14:paraId="45F2001E" w14:textId="77777777" w:rsidR="000F3232" w:rsidRPr="00FF3970" w:rsidRDefault="001F4BBC">
      <w:pPr>
        <w:pStyle w:val="Corpotesto"/>
        <w:rPr>
          <w:lang w:val="it-IT"/>
        </w:rPr>
      </w:pPr>
      <w:r w:rsidRPr="00FF3970">
        <w:rPr>
          <w:lang w:val="it-IT"/>
        </w:rPr>
        <w:t>Anche le tecniche elaborate dal giudice in un quadro legislativo ancora povero vanno lette in questa luce. Contraddittorietà, disparità di trattamento, difetto di istruttoria e sviamento non sono richiamati come un elenco di vizi. Mostrano piuttosto il lavoro attraverso il quale la giurisprudenza rese controllabile una funzione che, limitata alla sola competenza formale e alla violazione espressa di legge, avrebbe conservato spazi troppo ampi di insindacabilità.</w:t>
      </w:r>
    </w:p>
    <w:p w14:paraId="6FFB573C" w14:textId="77777777" w:rsidR="000F3232" w:rsidRPr="00FF3970" w:rsidRDefault="001F4BBC">
      <w:pPr>
        <w:pStyle w:val="Corpotesto"/>
        <w:rPr>
          <w:lang w:val="it-IT"/>
        </w:rPr>
      </w:pPr>
      <w:r w:rsidRPr="00FF3970">
        <w:rPr>
          <w:lang w:val="it-IT"/>
        </w:rPr>
        <w:t>L’interpretazione giurisprudenziale assumeva così un carattere creativo anche quando si presentava come applicazione del diritto. Il giudice ricostruiva la regola adatta al caso, collegava fatti e valori, ricorreva a presunzioni, analogie e finzioni, attribuiva significato giuridico a condotte non compiutamente previste. In questa capacità di adattamento può essere cercata una delle ragioni della vitalità della giustizia amministrativa: il controllo si rendeva più penetrante senza cancellare, almeno nelle intenzioni, la specificità dell’azione pubblica. (</w:t>
      </w:r>
      <w:r>
        <w:footnoteReference w:id="4"/>
      </w:r>
      <w:r w:rsidRPr="00FF3970">
        <w:rPr>
          <w:lang w:val="it-IT"/>
        </w:rPr>
        <w:t>)</w:t>
      </w:r>
    </w:p>
    <w:p w14:paraId="184E9EEC" w14:textId="77777777" w:rsidR="000F3232" w:rsidRPr="00FF3970" w:rsidRDefault="001F4BBC">
      <w:pPr>
        <w:pStyle w:val="Corpotesto"/>
        <w:rPr>
          <w:lang w:val="it-IT"/>
        </w:rPr>
      </w:pPr>
      <w:r w:rsidRPr="00FF3970">
        <w:rPr>
          <w:lang w:val="it-IT"/>
        </w:rPr>
        <w:t>La creatività rimaneva però inscritta in un orizzonte relativamente condiviso. Il giudizio cercava di verificare se l’amministrazione avesse composto in modo giuridicamente accettabile l’interesse generale e quello particolare; la pretesa sostanziale affiorava, ma continuava a essere osservata attraverso la legittimità dell’atto. La verità processuale non pretendeva di esaurire il rapporto e il sindacato, anche quando penetrava nelle ragioni della decisione, conservava la discrezionalità come soglia problematica. Quella soglia non fu mai immobile, ma il giudice avvertiva il rischio che oltrepassarla significasse assumere la decisione al posto dell’amministrazione.</w:t>
      </w:r>
    </w:p>
    <w:p w14:paraId="1B337C9C" w14:textId="77777777" w:rsidR="000F3232" w:rsidRPr="00FF3970" w:rsidRDefault="001F4BBC">
      <w:pPr>
        <w:pStyle w:val="Corpotesto"/>
        <w:rPr>
          <w:lang w:val="it-IT"/>
        </w:rPr>
      </w:pPr>
      <w:r w:rsidRPr="00FF3970">
        <w:rPr>
          <w:lang w:val="it-IT"/>
        </w:rPr>
        <w:t>Riletta a distanza, la funzione di equilibrio attribuita all’interesse legittimo non dovrebbe essere idealizzata. La tutela indiretta poteva lasciare il cittadino senza un’utilità concreta e offrire all’amministrazione nuovi spazi di decisione. Essa conteneva, tuttavia, un’intuizione che il successivo rafforzamento dei rimedi non ha interamente cancellato: il potere pubblico può incidere sugli interessi particolari soltanto attraverso una scelta conforme alla legge e al fine per il quale è stato attribuito, e il controllo di quella scelta non coincide necessariamente con la sostituzione del giudice.</w:t>
      </w:r>
    </w:p>
    <w:p w14:paraId="21401AFB" w14:textId="77777777" w:rsidR="000F3232" w:rsidRPr="00FF3970" w:rsidRDefault="001F4BBC">
      <w:pPr>
        <w:pStyle w:val="Corpotesto"/>
        <w:rPr>
          <w:szCs w:val="24"/>
          <w:lang w:val="it-IT"/>
        </w:rPr>
      </w:pPr>
      <w:r w:rsidRPr="00FF3970">
        <w:rPr>
          <w:lang w:val="it-IT"/>
        </w:rPr>
        <w:t>Questa struttura accompagnò la giustizia amministrativa per una parte considerevole del Novecento. Il suo mutamento non si lascia spiegare soltanto con la successione delle riforme processuali. A cambiare furono lo Stato, la società e l’immagine dell’individuo. Quando la sfera pubblica perse la compattezza che le era stata attribuita e il cittadino apparve anche come destinatario di prestazioni, partecipe delle decisioni e portatore di bisogni differenziati, la stessa categoria dell’interesse legittimo cominciò a dire qualcosa di diverso.</w:t>
      </w:r>
    </w:p>
    <w:p w14:paraId="3357CC67" w14:textId="77777777" w:rsidR="000F3232" w:rsidRPr="00FF3970" w:rsidRDefault="001F4BBC">
      <w:pPr>
        <w:pStyle w:val="Titolo1"/>
        <w:rPr>
          <w:lang w:val="it-IT"/>
        </w:rPr>
      </w:pPr>
      <w:bookmarkStart w:id="2" w:name="X2f9c0c0f75fbf1f7fbdaae31d070da97b67825a"/>
      <w:bookmarkEnd w:id="2"/>
      <w:r w:rsidRPr="00FF3970">
        <w:rPr>
          <w:lang w:val="it-IT"/>
        </w:rPr>
        <w:t>3.- La persona nello Stato costituzionale e sociale</w:t>
      </w:r>
    </w:p>
    <w:p w14:paraId="4A494E41" w14:textId="77777777" w:rsidR="000F3232" w:rsidRPr="00FF3970" w:rsidRDefault="001F4BBC">
      <w:pPr>
        <w:rPr>
          <w:lang w:val="it-IT"/>
        </w:rPr>
      </w:pPr>
      <w:r w:rsidRPr="00FF3970">
        <w:rPr>
          <w:lang w:val="it-IT"/>
        </w:rPr>
        <w:t>Non occorre ricostruire qui l’intero passaggio dallo Stato liberale allo Stato costituzionale e sociale. Per il percorso che si sta seguendo è decisivo un mutamento più circoscritto: dopo l’esperienza autoritaria, la Costituzione repubblicana non si limita a ripristinare le libertà compresse, ma colloca la persona, l’eguaglianza sostanziale e la partecipazione al centro di un ordinamento che assume compiti positivi. La legalità non può più essere pensata come un confine puramente esterno del potere; viene attraversata dai principi e dalla promessa, assai più impegnativa, di rendere effettive condizioni di libertà.</w:t>
      </w:r>
    </w:p>
    <w:p w14:paraId="794BEE59" w14:textId="77777777" w:rsidR="000F3232" w:rsidRPr="00FF3970" w:rsidRDefault="001F4BBC">
      <w:pPr>
        <w:pStyle w:val="Corpotesto"/>
        <w:rPr>
          <w:lang w:val="it-IT"/>
        </w:rPr>
      </w:pPr>
      <w:r w:rsidRPr="00FF3970">
        <w:rPr>
          <w:lang w:val="it-IT"/>
        </w:rPr>
        <w:t>La garanzia costituzionale della tutela contro l’amministrazione consolida il giudice amministrativo e, insieme, ne trasforma l’ambiente. L’azione pubblica è chiamata a misurarsi con imparzialità, buon andamento, diritti fondamentali e sovranità democratica. La conformità alla legge rimane indispensabile, ma la legge non esaurisce più da sola il significato della legalità. Il controllo si sposta verso una trama nella quale disposizioni, principi e condizioni concrete della persona devono essere letti insieme.</w:t>
      </w:r>
    </w:p>
    <w:p w14:paraId="7103CB42" w14:textId="77777777" w:rsidR="000F3232" w:rsidRPr="00FF3970" w:rsidRDefault="001F4BBC">
      <w:pPr>
        <w:pStyle w:val="Corpotesto"/>
        <w:rPr>
          <w:lang w:val="it-IT"/>
        </w:rPr>
      </w:pPr>
      <w:r w:rsidRPr="00FF3970">
        <w:rPr>
          <w:lang w:val="it-IT"/>
        </w:rPr>
        <w:t>Con l’espansione dei compiti pubblici il cittadino incontra l’amministrazione sempre meno soltanto come autorità che limita. La incontra come organizzazione dalla quale dipendono prestazioni, servizi e opportunità essenziali. Il rapporto tra libertà e potere non scompare, ma non basta più a descrivere la relazione. La domanda rivolta all’amministrazione diventa anche domanda di inclusione, di eguaglianza e di accesso a condizioni che nessun individuo può produrre da solo.</w:t>
      </w:r>
    </w:p>
    <w:p w14:paraId="399997CA" w14:textId="77777777" w:rsidR="000F3232" w:rsidRPr="00FF3970" w:rsidRDefault="001F4BBC">
      <w:pPr>
        <w:pStyle w:val="Corpotesto"/>
        <w:tabs>
          <w:tab w:val="left" w:pos="2381"/>
        </w:tabs>
        <w:rPr>
          <w:b/>
          <w:bCs/>
          <w:lang w:val="it-IT"/>
        </w:rPr>
      </w:pPr>
      <w:r w:rsidRPr="00FF3970">
        <w:rPr>
          <w:lang w:val="it-IT"/>
        </w:rPr>
        <w:t>Per il giudice la trasformazione è profonda. Nel modello liberale il controllo poteva concentrarsi sull’atto che sacrificava una sfera già definita; nello Stato sociale l’utilità richiesta dipende spesso dall’organizzazione, dalle risorse e dalle esigenze di altri soggetti. La tutela deve allora avvicinarsi al contenuto sostanziale della domanda, pur restando priva della capacità di creare le risorse o di governare direttamente l’organizzazione che dovrebbe soddisfarla.</w:t>
      </w:r>
    </w:p>
    <w:p w14:paraId="5461011D" w14:textId="77777777" w:rsidR="000F3232" w:rsidRPr="00FF3970" w:rsidRDefault="001F4BBC">
      <w:pPr>
        <w:pStyle w:val="Corpotesto"/>
        <w:tabs>
          <w:tab w:val="left" w:pos="2381"/>
        </w:tabs>
        <w:rPr>
          <w:lang w:val="it-IT"/>
        </w:rPr>
      </w:pPr>
      <w:r w:rsidRPr="00FF3970">
        <w:rPr>
          <w:lang w:val="it-IT"/>
        </w:rPr>
        <w:t>Affiora qui una tensione destinata a riapparire in forme diverse. Lo Stato sociale riconosce diritti e promette una liberazione più concreta dal bisogno; la realizzazione di quelle promesse passa attraverso apparati, procedure e risorse limitate. L’attuazione richiede scelte selettive anche quando le finalità normative sono ampie. La giustizia amministrativa viene così a controllare il modo in cui l’amministrazione organizza la scarsità e stabilisce priorità. È un passaggio che sposta il giudizio dal solo confine esterno del potere verso il cuore, più esposto e più difficile, delle condizioni nelle quali la funzione viene esercitata.</w:t>
      </w:r>
    </w:p>
    <w:p w14:paraId="2874A27C" w14:textId="77777777" w:rsidR="000F3232" w:rsidRPr="00FF3970" w:rsidRDefault="001F4BBC">
      <w:pPr>
        <w:pStyle w:val="Corpotesto"/>
        <w:rPr>
          <w:lang w:val="it-IT"/>
        </w:rPr>
      </w:pPr>
      <w:r w:rsidRPr="00FF3970">
        <w:rPr>
          <w:lang w:val="it-IT"/>
        </w:rPr>
        <w:t>La posizione del singolo muta di conseguenza. La sua autonomia non si esercita più soltanto in uno spazio protetto dall’intervento pubblico; prende forma dentro istituzioni che incidono sulle concrete possibilità di vita. È questo il punto che interessava mettere in luce quando il rapporto tra persona, amministrazione e giudice veniva affrontato negli anni Ottanta: dietro le diverse figure soggettive emergeva un individuo la cui libertà dipendeva anche dalla qualità dell’organizzazione pubblica. Ciò che oggi può apparire familiare acquistava allora il significato di un passaggio dalla difesa esterna della sfera privata alla considerazione della persona dentro la funzione. (</w:t>
      </w:r>
      <w:r>
        <w:footnoteReference w:id="5"/>
      </w:r>
      <w:r w:rsidRPr="00FF3970">
        <w:rPr>
          <w:lang w:val="it-IT"/>
        </w:rPr>
        <w:t>)</w:t>
      </w:r>
    </w:p>
    <w:p w14:paraId="1D8A2692" w14:textId="77777777" w:rsidR="000F3232" w:rsidRPr="00FF3970" w:rsidRDefault="001F4BBC">
      <w:pPr>
        <w:pStyle w:val="Corpotesto"/>
        <w:rPr>
          <w:lang w:val="it-IT"/>
        </w:rPr>
      </w:pPr>
      <w:r w:rsidRPr="00FF3970">
        <w:rPr>
          <w:lang w:val="it-IT"/>
        </w:rPr>
        <w:t>Il controllo di legalità non viene meno, ma cambia densità. La disposizione legislativa offre meno spesso una soluzione autosufficiente; i principi possono orientare in direzioni diverse e la tutela della persona deve misurarsi con la continuità dell’organizzazione e con gli interessi di altri destinatari. Il giudice entra così in una legalità costruita nel rapporto tra norme, principi e realtà sociale. È in questo ambiente che il procedimento, la conoscibilità dell’amministrazione e il dovere di decidere acquistano un rilievo nuovo.</w:t>
      </w:r>
    </w:p>
    <w:p w14:paraId="57F6795E" w14:textId="77777777" w:rsidR="000F3232" w:rsidRPr="00FF3970" w:rsidRDefault="001F4BBC">
      <w:pPr>
        <w:pStyle w:val="Titolo1"/>
        <w:rPr>
          <w:lang w:val="it-IT"/>
        </w:rPr>
      </w:pPr>
      <w:bookmarkStart w:id="3" w:name="X6f2c04fd26ada9b23fec4efb1162ebc6850ad9e"/>
      <w:bookmarkEnd w:id="3"/>
      <w:r w:rsidRPr="00FF3970">
        <w:rPr>
          <w:lang w:val="it-IT"/>
        </w:rPr>
        <w:t>4.- Il procedimento, il dovere di decidere e la conoscibilità dell’amministrazione</w:t>
      </w:r>
    </w:p>
    <w:p w14:paraId="259AEC2F" w14:textId="77777777" w:rsidR="000F3232" w:rsidRPr="00FF3970" w:rsidRDefault="001F4BBC">
      <w:pPr>
        <w:rPr>
          <w:lang w:val="it-IT"/>
        </w:rPr>
      </w:pPr>
      <w:r w:rsidRPr="00FF3970">
        <w:rPr>
          <w:lang w:val="it-IT"/>
        </w:rPr>
        <w:t>Anche la storia del procedimento viene qui richiamata soltanto per il passaggio che interessa. Prima della legge generale del 1990, dottrina e giurisprudenza avevano già ricostruito la sequenza degli atti e reso giuridicamente controllabili le fasi preparatorie della decisione. Quella elaborazione rimaneva però, in larga parte, interna al percorso attraverso il quale l’amministrazione formava la propria volontà. Il privato riceveva garanzie, ma faticava ancora ad apparire come interlocutore della funzione pubblica. (</w:t>
      </w:r>
      <w:r>
        <w:footnoteReference w:id="6"/>
      </w:r>
      <w:r w:rsidRPr="00FF3970">
        <w:rPr>
          <w:lang w:val="it-IT"/>
        </w:rPr>
        <w:t>)</w:t>
      </w:r>
    </w:p>
    <w:p w14:paraId="4363832B" w14:textId="77777777" w:rsidR="000F3232" w:rsidRPr="00FF3970" w:rsidRDefault="001F4BBC">
      <w:pPr>
        <w:pStyle w:val="Corpotesto"/>
        <w:rPr>
          <w:lang w:val="it-IT"/>
        </w:rPr>
      </w:pPr>
      <w:r w:rsidRPr="00FF3970">
        <w:rPr>
          <w:lang w:val="it-IT"/>
        </w:rPr>
        <w:t>La legge n. 241 del 1990 segna allora qualcosa di più dell’introduzione di singoli istituti. Responsabile del procedimento, partecipazione, motivazione, termine e accesso modificano l’immagine del rapporto. Il cittadino viene riconosciuto come soggetto capace di fornire elementi, contraddire, conoscere le ragioni dell’azione e controllarne lo svolgimento. Questa immagine, divenuta in seguito quasi naturale nel lessico del diritto amministrativo, non era priva di discontinuità nel momento in cui veniva formulata: sottraeva la decisione all’idea di una volontà pubblica separata e restituiva al procedimento la qualità di una relazione.</w:t>
      </w:r>
    </w:p>
    <w:p w14:paraId="5BABD605" w14:textId="77777777" w:rsidR="000F3232" w:rsidRPr="00FF3970" w:rsidRDefault="001F4BBC">
      <w:pPr>
        <w:pStyle w:val="Corpotesto"/>
        <w:rPr>
          <w:lang w:val="it-IT"/>
        </w:rPr>
      </w:pPr>
      <w:r w:rsidRPr="00FF3970">
        <w:rPr>
          <w:lang w:val="it-IT"/>
        </w:rPr>
        <w:t>La funzione democratica del procedimento si coglie in questo obbligo di confronto. La partecipazione non attribuisce a ciascun interessato un potere di veto e non trasforma la decisione in una votazione tra preferenze. Costringe l’amministrazione a incontrare i fatti e le ragioni presenti nella realtà, a selezionarli e a rendere intelligibile il percorso seguito. L’autorità conserva il compito di decidere, ma la decisione deve poter essere ricondotta a un’istruttoria e a un’argomentazione riconoscibili.</w:t>
      </w:r>
    </w:p>
    <w:p w14:paraId="6A3E7001" w14:textId="77777777" w:rsidR="000F3232" w:rsidRPr="00FF3970" w:rsidRDefault="001F4BBC">
      <w:pPr>
        <w:pStyle w:val="Corpotesto"/>
        <w:rPr>
          <w:lang w:val="it-IT"/>
        </w:rPr>
      </w:pPr>
      <w:r w:rsidRPr="00FF3970">
        <w:rPr>
          <w:lang w:val="it-IT"/>
        </w:rPr>
        <w:t>Anche il giudizio cambia prospettiva. L’omessa comunicazione, l’istruttoria insufficiente, la mancata considerazione delle osservazioni e la motivazione inadeguata possono rivelare l’esclusione del cittadino dal processo di costruzione della scelta. Il controllo non tutela soltanto la regolarità di una sequenza; verifica la qualità giuridica della relazione nella quale la decisione si è formata.</w:t>
      </w:r>
    </w:p>
    <w:p w14:paraId="785BCFAB" w14:textId="77777777" w:rsidR="000F3232" w:rsidRPr="00FF3970" w:rsidRDefault="001F4BBC">
      <w:pPr>
        <w:pStyle w:val="Corpotesto"/>
        <w:rPr>
          <w:b/>
          <w:bCs/>
          <w:lang w:val="it-IT"/>
        </w:rPr>
      </w:pPr>
      <w:r w:rsidRPr="00FF3970">
        <w:rPr>
          <w:lang w:val="it-IT"/>
        </w:rPr>
        <w:t>La legge del 1990 contribuisce inoltre a incrinare l’immagine dell’interesse pubblico come contenuto già posseduto dall’amministrazione e semplicemente opposto agli interessi privati. Esso emerge dalla conoscenza dei fatti, dal confronto e dalla comparazione delle posizioni, entro i vincoli e le finalità posti dall’ordinamento. Questo non significa che il procedimento produca da solo tutto ciò che è pubblico. La legge può affidare all’amministrazione la cura di valori che nessuno dei partecipanti rappresenta adeguatamente. Proprio questa riserva impedisce di trasformare la partecipazione in una contrattazione esaustiva e prepara il problema degli interessi assenti.</w:t>
      </w:r>
    </w:p>
    <w:p w14:paraId="753AD63E" w14:textId="77777777" w:rsidR="000F3232" w:rsidRPr="00FF3970" w:rsidRDefault="001F4BBC">
      <w:pPr>
        <w:pStyle w:val="Corpotesto"/>
        <w:rPr>
          <w:lang w:val="it-IT"/>
        </w:rPr>
      </w:pPr>
      <w:r w:rsidRPr="00FF3970">
        <w:rPr>
          <w:lang w:val="it-IT"/>
        </w:rPr>
        <w:t>Il silenzio dell’amministrazione rende particolarmente visibile l’ambivalenza del nuovo modello. Il dovere di concludere il procedimento riconosce al cittadino il diritto a una risposta e costringe l’autorità ad assumersi la responsabilità della decisione. Il silenzio-assenso protegge invece l’iniziativa privata dalla paralisi dell’inerzia, sostituendo alla risposta un effetto favorevole. I due strumenti perseguono entrambi l’esigenza di non lasciare il cittadino in balia del tempo amministrativo, ma lo fanno attraverso logiche diverse.</w:t>
      </w:r>
    </w:p>
    <w:p w14:paraId="6D3A03EE" w14:textId="77777777" w:rsidR="000F3232" w:rsidRPr="00FF3970" w:rsidRDefault="001F4BBC">
      <w:pPr>
        <w:pStyle w:val="Corpotesto"/>
        <w:rPr>
          <w:lang w:val="it-IT"/>
        </w:rPr>
      </w:pPr>
      <w:r w:rsidRPr="00FF3970">
        <w:rPr>
          <w:lang w:val="it-IT"/>
        </w:rPr>
        <w:t>Il punto non è preferire in astratto il provvedimento espresso a ogni meccanismo di semplificazione. La decisione motivata possiede però una dimensione discorsiva che l’effetto automatico non può offrire: rende comprensibile perché un interesse sia stato accolto o sacrificato, consente il controllo del giudice e lascia vedere come siano stati considerati gli interessi ulteriori. Quando la semplificazione si generalizza attraverso finzioni di decisione, il guadagno di tempo può accompagnarsi a una perdita di ragioni. La tensione tra efficienza e responsabilità della scelta resta perciò aperta.</w:t>
      </w:r>
    </w:p>
    <w:p w14:paraId="65B5A198" w14:textId="77777777" w:rsidR="000F3232" w:rsidRPr="00FF3970" w:rsidRDefault="001F4BBC">
      <w:pPr>
        <w:pStyle w:val="Corpotesto"/>
        <w:rPr>
          <w:lang w:val="it-IT"/>
        </w:rPr>
      </w:pPr>
      <w:r w:rsidRPr="00FF3970">
        <w:rPr>
          <w:lang w:val="it-IT"/>
        </w:rPr>
        <w:t>Il diritto di accesso completa, in quegli stessi anni, il passaggio verso un’amministrazione conoscibile. Sapere come vengono distribuite risorse, valutate domande, attribuiti incarichi e assunte decisioni non serve soltanto a preparare un ricorso. La conoscenza permette al cittadino di formare un giudizio sul funzionamento delle istituzioni e assume, per questa via, un significato politico.</w:t>
      </w:r>
    </w:p>
    <w:p w14:paraId="04051FDC" w14:textId="77777777" w:rsidR="000F3232" w:rsidRPr="00FF3970" w:rsidRDefault="001F4BBC">
      <w:pPr>
        <w:pStyle w:val="Corpotesto"/>
        <w:rPr>
          <w:lang w:val="it-IT"/>
        </w:rPr>
      </w:pPr>
      <w:r w:rsidRPr="00FF3970">
        <w:rPr>
          <w:lang w:val="it-IT"/>
        </w:rPr>
        <w:t>La conoscibilità incontra però la riservatezza della persona i cui dati sono contenuti nei documenti amministrativi. I due interessi non si lasciano ordinare una volta per tutte secondo una gerarchia astratta. La qualità della domanda conoscitiva, la natura dei dati, la posizione dei soggetti e la possibilità di limitare l’ostensione alle informazioni necessarie compongono ogni volta il problema concreto. Il bilanciamento non è una formula che risolve il conflitto; è il nome del lavoro richiesto per evitare che uno dei due interessi cancelli l’altro. (</w:t>
      </w:r>
      <w:r>
        <w:footnoteReference w:id="7"/>
      </w:r>
      <w:r w:rsidRPr="00FF3970">
        <w:rPr>
          <w:lang w:val="it-IT"/>
        </w:rPr>
        <w:t>)</w:t>
      </w:r>
    </w:p>
    <w:p w14:paraId="53A3F404" w14:textId="77777777" w:rsidR="000F3232" w:rsidRPr="00FF3970" w:rsidRDefault="001F4BBC">
      <w:pPr>
        <w:pStyle w:val="Corpotesto"/>
        <w:rPr>
          <w:lang w:val="it-IT"/>
        </w:rPr>
      </w:pPr>
      <w:r w:rsidRPr="00FF3970">
        <w:rPr>
          <w:lang w:val="it-IT"/>
        </w:rPr>
        <w:t>In questa materia il rapporto tra individuo e sfera comune assume una forma particolarmente delicata. La riservatezza può diventare uno schermo per l’opacità del potere; la trasparenza può trasformarsi in esposizione indiscriminata della persona. L’equilibrio cercato è quello di un’amministrazione conoscibile che non riduca l’individuo a un insieme di informazioni disponibili.</w:t>
      </w:r>
    </w:p>
    <w:p w14:paraId="53D52707" w14:textId="77777777" w:rsidR="000F3232" w:rsidRPr="00FF3970" w:rsidRDefault="001F4BBC">
      <w:pPr>
        <w:pStyle w:val="Corpotesto"/>
        <w:rPr>
          <w:lang w:val="it-IT"/>
        </w:rPr>
      </w:pPr>
      <w:r w:rsidRPr="00FF3970">
        <w:rPr>
          <w:lang w:val="it-IT"/>
        </w:rPr>
        <w:t>Il giudice amministrativo ha contribuito a dare consistenza alla tutela dell’accesso e alle tecniche necessarie per comporla con la riservatezza. La riflessione maturata in quel passaggio conserva un nucleo che va oltre il singolo istituto: la protezione della persona comprende il diritto di conoscere il potere e, insieme, la possibilità di sottrarre una parte di sé alla disponibilità generale. L’una esigenza perde senso se diventa il pretesto per negare l’altra.</w:t>
      </w:r>
    </w:p>
    <w:p w14:paraId="33470EC3" w14:textId="77777777" w:rsidR="000F3232" w:rsidRPr="00FF3970" w:rsidRDefault="001F4BBC">
      <w:pPr>
        <w:pStyle w:val="Titolo1"/>
        <w:rPr>
          <w:lang w:val="it-IT"/>
        </w:rPr>
      </w:pPr>
      <w:bookmarkStart w:id="4" w:name="X44fb28c56b8b3aead4ec1f5e70b7541c9b4e48a"/>
      <w:bookmarkEnd w:id="4"/>
      <w:r w:rsidRPr="00FF3970">
        <w:rPr>
          <w:lang w:val="it-IT"/>
        </w:rPr>
        <w:t>5.- Dagli interessi individuali ai beni comuni</w:t>
      </w:r>
    </w:p>
    <w:p w14:paraId="480E12CD" w14:textId="77777777" w:rsidR="000F3232" w:rsidRPr="00FF3970" w:rsidRDefault="001F4BBC">
      <w:pPr>
        <w:rPr>
          <w:lang w:val="it-IT"/>
        </w:rPr>
      </w:pPr>
      <w:r w:rsidRPr="00FF3970">
        <w:rPr>
          <w:lang w:val="it-IT"/>
        </w:rPr>
        <w:t>L’ampliamento della partecipazione rende visibile un problema che la rappresentazione individuale degli interessi non riesce a contenere. Ambiente, paesaggio, salute collettiva e qualità dei luoghi riguardano pluralità aperte e tempi che eccedono la vita del singolo titolare. La categoria dell’interesse diffuso cercava di dare forma giuridica a questa eccedenza. Il suo rilievo, nel percorso qui ricostruito, non è soprattutto classificatorio: mette in discussione l’idea che ogni bene rilevante debba presentarsi nel processo attraverso una posizione individuale già differenziata. (</w:t>
      </w:r>
      <w:r>
        <w:footnoteReference w:id="8"/>
      </w:r>
      <w:r w:rsidRPr="00FF3970">
        <w:rPr>
          <w:lang w:val="it-IT"/>
        </w:rPr>
        <w:t>)</w:t>
      </w:r>
    </w:p>
    <w:p w14:paraId="5EF412A5" w14:textId="77777777" w:rsidR="000F3232" w:rsidRPr="00FF3970" w:rsidRDefault="001F4BBC">
      <w:pPr>
        <w:pStyle w:val="Corpotesto"/>
        <w:rPr>
          <w:lang w:val="it-IT"/>
        </w:rPr>
      </w:pPr>
      <w:r w:rsidRPr="00FF3970">
        <w:rPr>
          <w:lang w:val="it-IT"/>
        </w:rPr>
        <w:t>Il problema investe anche una lettura troppo fiduciosa della partecipazione. L’interesse pubblico non si forma interamente nella contrattazione tra i soggetti che riescono a sedere al tavolo della decisione. Vi sono valori che possono imporre limiti anche quando nessuno li rappresenta con sufficiente forza. Le generazioni future, il territorio e gli equilibri ecologici non prendono direttamente la parola. La loro presenza dipende dalla legge, dalla conoscenza tecnica e dalla responsabilità dell’amministrazione di non confondere ciò che è rappresentato con tutto ciò che rileva.</w:t>
      </w:r>
    </w:p>
    <w:p w14:paraId="547C2B6B" w14:textId="77777777" w:rsidR="000F3232" w:rsidRPr="00FF3970" w:rsidRDefault="001F4BBC">
      <w:pPr>
        <w:pStyle w:val="Corpotesto"/>
        <w:rPr>
          <w:lang w:val="it-IT"/>
        </w:rPr>
      </w:pPr>
      <w:r w:rsidRPr="00FF3970">
        <w:rPr>
          <w:lang w:val="it-IT"/>
        </w:rPr>
        <w:t>È in questo punto che la scelta ambientalista del giudice amministrativo mostrava, già negli scritti richiamati in nota, la doppia possibilità della tutela sostanziale. Essa poteva impedire che un formalismo povero lasciasse senza protezione beni essenziali; poteva anche trasformare il valore prescelto in una premessa sottratta alla discussione e piegare l’interpretazione verso l’esito ritenuto preferibile. La domanda non riguardava il riconoscimento dell’importanza dell’ambiente, bensì il modo in cui quella importanza potesse entrare nel diritto senza consumare la prevedibilità e la controllabilità delle decisioni.</w:t>
      </w:r>
    </w:p>
    <w:p w14:paraId="3A9A7BCB" w14:textId="77777777" w:rsidR="000F3232" w:rsidRPr="00FF3970" w:rsidRDefault="001F4BBC">
      <w:pPr>
        <w:pStyle w:val="Corpotesto"/>
        <w:rPr>
          <w:lang w:val="it-IT"/>
        </w:rPr>
      </w:pPr>
      <w:r w:rsidRPr="00FF3970">
        <w:rPr>
          <w:lang w:val="it-IT"/>
        </w:rPr>
        <w:t>Gli interessi diffusi incrinano così la grammatica tradizionalmente bilaterale del processo. La controversia nasce da una lesione concreta e deve conservare un legame con soggetti determinati; molti beni comuni, tuttavia, non appartengono in via esclusiva a chi subisce il danno più immediato. La loro tutela chiede di riconoscere interessi reali anche quando non assumono la forma della proprietà o di una pretesa individuale perfettamente delimitata.</w:t>
      </w:r>
    </w:p>
    <w:p w14:paraId="538BDF01" w14:textId="77777777" w:rsidR="000F3232" w:rsidRPr="00FF3970" w:rsidRDefault="001F4BBC">
      <w:pPr>
        <w:pStyle w:val="Corpotesto"/>
        <w:rPr>
          <w:lang w:val="it-IT"/>
        </w:rPr>
      </w:pPr>
      <w:r w:rsidRPr="00FF3970">
        <w:rPr>
          <w:lang w:val="it-IT"/>
        </w:rPr>
        <w:t>La difficoltà consiste nel dare rappresentanza a tali interessi senza trasformare il giudice in un controllore generale dell’amministrazione. L’azione indiscriminata spezzerebbe il legame con una controversia concreta; l’esigenza di una lesione individuale modellata sulle figure tradizionali lascerebbe prive di voce molte condizioni comuni. Associazioni, comitati e soggetti stabilmente collegati al territorio o alla finalità protetta hanno offerto soluzioni necessariamente imperfette. La legittimazione diventa così una forma di rappresentanza sociale, esposta al problema di chi possa parlare e con quale titolo per interessi che non gli appartengono interamente.</w:t>
      </w:r>
    </w:p>
    <w:p w14:paraId="37F71569" w14:textId="77777777" w:rsidR="000F3232" w:rsidRPr="00FF3970" w:rsidRDefault="001F4BBC">
      <w:pPr>
        <w:pStyle w:val="Corpotesto"/>
        <w:rPr>
          <w:lang w:val="it-IT"/>
        </w:rPr>
      </w:pPr>
      <w:r w:rsidRPr="00FF3970">
        <w:rPr>
          <w:lang w:val="it-IT"/>
        </w:rPr>
        <w:t>La priorità riconosciuta all’ambiente non elimina questa difficoltà e non autorizza una prevalenza automatica. Anche il valore più intenso deve entrare nella decisione attraverso competenze, istruttoria, motivazione e partecipazione. Quando il giudice sostituisce alla regola una propria opzione di valore può raggiungere, nel singolo caso, un esito condivisibile e lasciare tuttavia più incerto il criterio destinato ai casi futuri. La tutela ambientale domanda dunque una legalità più capace di integrare conoscenza scientifica, precauzione e confronto; non una legalità meno esigente.</w:t>
      </w:r>
    </w:p>
    <w:p w14:paraId="1CFD3424" w14:textId="77777777" w:rsidR="000F3232" w:rsidRPr="00FF3970" w:rsidRDefault="001F4BBC">
      <w:pPr>
        <w:pStyle w:val="Corpotesto"/>
        <w:rPr>
          <w:lang w:val="it-IT"/>
        </w:rPr>
      </w:pPr>
      <w:r w:rsidRPr="00FF3970">
        <w:rPr>
          <w:lang w:val="it-IT"/>
        </w:rPr>
        <w:t>Nel processo restano, comunque, interessi che nessuna parte rappresenta perfettamente. Le generazioni future, gli abitanti non organizzati e gli ecosistemi non presentano memorie né propongono ricorsi; associazioni e istituzioni ne assumono la cura senza poter colmare integralmente l’assenza. Il giudice dovrebbe conservarne la consapevolezza e rendere leggibile, nella motivazione, il modo in cui la decisione considera ciò che eccede le parti. Si manifesta qui un limite strutturale della rappresentazione processuale: la coincidenza tra le parti presenti non coincide necessariamente con la totalità degli interessi coinvolti dalla funzione sottoposta a controllo.</w:t>
      </w:r>
    </w:p>
    <w:p w14:paraId="38C5F822" w14:textId="77777777" w:rsidR="000F3232" w:rsidRPr="00FF3970" w:rsidRDefault="001F4BBC">
      <w:pPr>
        <w:pStyle w:val="Corpotesto"/>
        <w:rPr>
          <w:lang w:val="it-IT"/>
        </w:rPr>
      </w:pPr>
      <w:r w:rsidRPr="00FF3970">
        <w:rPr>
          <w:lang w:val="it-IT"/>
        </w:rPr>
        <w:t>L’ambiente finisce così per limitare tanto l’iniziativa privata quanto il potere pubblico. Ricorda al privato che l’utilità economica non esaurisce la liceità della sua azione e costringe l’amministrazione a dare contenuto, attraverso conoscenza e istruttoria, all’invocazione dell’interesse generale. Il bene protetto non coincide con la somma delle pretese processuali. La questione diventa allora l’ordine di relazioni entro il quale ciascuna pretesa può essere riconosciuta. Riappare, in una forma diversa da quella autoritativa delle origini, una dimensione sociale dell’interesse pubblico: responsabilità verso condizioni comuni che nessun individuo può produrre o difendere da solo.</w:t>
      </w:r>
    </w:p>
    <w:p w14:paraId="1DCD0CE4" w14:textId="77777777" w:rsidR="000F3232" w:rsidRPr="00FF3970" w:rsidRDefault="001F4BBC">
      <w:pPr>
        <w:pStyle w:val="Titolo1"/>
        <w:rPr>
          <w:lang w:val="it-IT"/>
        </w:rPr>
      </w:pPr>
      <w:bookmarkStart w:id="5" w:name="X022f9dd2c5992db31283b32be7d620f2ff3fd68"/>
      <w:bookmarkEnd w:id="5"/>
      <w:r w:rsidRPr="00FF3970">
        <w:rPr>
          <w:lang w:val="it-IT"/>
        </w:rPr>
        <w:t>6.- Dall’atto al rapporto: risultato, giurisdizione e stabilità</w:t>
      </w:r>
    </w:p>
    <w:p w14:paraId="5E7446D1" w14:textId="77777777" w:rsidR="000F3232" w:rsidRPr="00FF3970" w:rsidRDefault="001F4BBC">
      <w:pPr>
        <w:rPr>
          <w:lang w:val="it-IT"/>
        </w:rPr>
      </w:pPr>
      <w:r w:rsidRPr="00FF3970">
        <w:rPr>
          <w:lang w:val="it-IT"/>
        </w:rPr>
        <w:t>Negli ultimi decenni del Novecento il centro della tutela comincia a spostarsi dall’atto verso la relazione tra cittadino e amministrazione. Il provvedimento resta la soglia formale del giudizio, ma descrive sempre meno ciò che il ricorrente si attende dal processo. L’annullamento può risultare insufficiente quando lascia aperta una nuova decisione identica o una sequenza senza fine. La domanda non riguarda più soltanto la rimozione dell’atto; cerca l’autorizzazione, il posto, il contratto, il servizio o il vantaggio che si ritiene ingiustamente negato.</w:t>
      </w:r>
    </w:p>
    <w:p w14:paraId="2DCD9E69" w14:textId="77777777" w:rsidR="000F3232" w:rsidRPr="00FF3970" w:rsidRDefault="001F4BBC">
      <w:pPr>
        <w:pStyle w:val="Corpotesto"/>
        <w:rPr>
          <w:lang w:val="it-IT"/>
        </w:rPr>
      </w:pPr>
      <w:r w:rsidRPr="00FF3970">
        <w:rPr>
          <w:lang w:val="it-IT"/>
        </w:rPr>
        <w:t>La richiesta di un risultato utile nasce dunque da un’insufficienza reale della tutela meramente demolitoria. Un processo che non incide sulla situazione concreta rischia di ridursi a un rito. Cautela, ottemperanza, condanna e poteri conformativi si rafforzano per preservare o rendere conseguibile l’utilità riconosciuta dall’ordinamento. L’effettività esprime questa esigenza, ma apre immediatamente la domanda sulla misura del potere necessario a soddisfarla.</w:t>
      </w:r>
    </w:p>
    <w:p w14:paraId="4442FDDB" w14:textId="77777777" w:rsidR="000F3232" w:rsidRPr="00FF3970" w:rsidRDefault="001F4BBC">
      <w:pPr>
        <w:pStyle w:val="Corpotesto"/>
        <w:rPr>
          <w:lang w:val="it-IT"/>
        </w:rPr>
      </w:pPr>
      <w:r w:rsidRPr="00FF3970">
        <w:rPr>
          <w:lang w:val="it-IT"/>
        </w:rPr>
        <w:t>L’espressione «giudizio sul rapporto» descrive questa tendenza, purché non sia assunta come il nome di un modello ormai compiuto. Quanto più la sentenza determina il contenuto dell’azione successiva e si avvicina al risultato, tanto più si restringe il potere residuo dell’amministrazione. In alcuni casi il restringimento è imposto dalla legge o dal giudicato; in altri il giudice rischia di entrare nella composizione degli interessi ancora affidata alla funzione. Il confine tra rendere giustizia e amministrare non scompare, ma diventa mobile e deve essere ricostruito dentro ciascuna controversia.</w:t>
      </w:r>
    </w:p>
    <w:p w14:paraId="5911A0FC" w14:textId="77777777" w:rsidR="000F3232" w:rsidRPr="00FF3970" w:rsidRDefault="001F4BBC">
      <w:pPr>
        <w:pStyle w:val="Corpotesto"/>
        <w:rPr>
          <w:lang w:val="it-IT"/>
        </w:rPr>
      </w:pPr>
      <w:r w:rsidRPr="00FF3970">
        <w:rPr>
          <w:lang w:val="it-IT"/>
        </w:rPr>
        <w:t>Questa evoluzione incide sulla consistenza dell’interesse legittimo. Quando il processo si orienta verso la pretesa sostanziale, la categoria perde una parte della capacità di indicare la specifica relazione con il potere e tende ad avvicinarsi alle altre situazioni soggettive. Il problema posto anni fa dalla distinzione tra interesse legittimo e interesse a ricorrere riemerge sotto un’altra luce: danno allegato, vantaggio negato e utilità attesa dal processo finiscono talvolta per sovrapporsi. Rileggendo oggi quella riflessione, la distinzione non appare semplicemente risolta; appare piuttosto come il segnale di una trasformazione che ha reso meno riconoscibili i confini tra posizione sostanziale e condizione dell’azione. (</w:t>
      </w:r>
      <w:r>
        <w:footnoteReference w:id="9"/>
      </w:r>
      <w:r w:rsidRPr="00FF3970">
        <w:rPr>
          <w:lang w:val="it-IT"/>
        </w:rPr>
        <w:t>)</w:t>
      </w:r>
    </w:p>
    <w:p w14:paraId="1459C901" w14:textId="77777777" w:rsidR="000F3232" w:rsidRPr="00FF3970" w:rsidRDefault="001F4BBC">
      <w:pPr>
        <w:pStyle w:val="Corpotesto"/>
        <w:rPr>
          <w:lang w:val="it-IT"/>
        </w:rPr>
      </w:pPr>
      <w:r w:rsidRPr="00FF3970">
        <w:rPr>
          <w:lang w:val="it-IT"/>
        </w:rPr>
        <w:t>L’avvicinamento al diritto soggettivo investe inevitabilmente anche la giurisdizione. La contrapposizione tradizionale aveva offerto un criterio difficile ma riconoscibile per distinguere giudice ordinario e giudice amministrativo. Quando entrambe le giurisdizioni guardano alla sostanza dell’interesse e alla concretezza del risultato, quel criterio perde nitidezza. L’estensione della giurisdizione esclusiva per materie offre una risposta pratica, ma espone la giustizia amministrativa al rischio di essere definita dalla successione contingente delle attribuzioni legislative.</w:t>
      </w:r>
    </w:p>
    <w:p w14:paraId="5380DC97" w14:textId="77777777" w:rsidR="000F3232" w:rsidRPr="00FF3970" w:rsidRDefault="001F4BBC">
      <w:pPr>
        <w:pStyle w:val="Corpotesto"/>
        <w:rPr>
          <w:lang w:val="it-IT"/>
        </w:rPr>
      </w:pPr>
      <w:r w:rsidRPr="00FF3970">
        <w:rPr>
          <w:lang w:val="it-IT"/>
        </w:rPr>
        <w:t>Si forma così quello che, in un precedente scritto, veniva indicato come il paradosso della giustizia amministrativa. Mentre il suo fondamento teorico tradizionale diventa meno riconoscibile, l’istituzione si rafforza nei rimedi e nelle materie. L’interesse legittimo aveva fornito una ragione della specificità; la sua assimilazione alle altre situazioni soggettive obbliga a cercare altrove quella ragione. L’effettività non basta, perché appartiene alla promessa di ogni giurisdizione. Il paradosso non conduce da solo a una soluzione: rende più urgente la domanda su quale relazione giustifichi una forma di giudizio distinta. (</w:t>
      </w:r>
      <w:r>
        <w:footnoteReference w:id="10"/>
      </w:r>
      <w:r w:rsidRPr="00FF3970">
        <w:rPr>
          <w:lang w:val="it-IT"/>
        </w:rPr>
        <w:t>)</w:t>
      </w:r>
    </w:p>
    <w:p w14:paraId="119B73A9" w14:textId="77777777" w:rsidR="000F3232" w:rsidRPr="00FF3970" w:rsidRDefault="001F4BBC">
      <w:pPr>
        <w:pStyle w:val="Corpotesto"/>
        <w:rPr>
          <w:lang w:val="it-IT"/>
        </w:rPr>
      </w:pPr>
      <w:r w:rsidRPr="00FF3970">
        <w:rPr>
          <w:lang w:val="it-IT"/>
        </w:rPr>
        <w:t>Una differenza di ispirazione può forse essere cercata nel modo in cui le due giurisdizioni guardano alla relazione tra amministrazione e individuo. Il giudice ordinario tende a ricondurla a una logica di parità e di corrispondenza tra ciò che ciascun soggetto deve all’altro. Il giudice amministrativo conserva, almeno in parte, la consapevolezza che l’amministrazione esercita una funzione di composizione tra interessi e che la sua decisione coinvolge finalità eccedenti il rapporto processuale. Si tratta di una differenza di accento e di struttura, non di una contrapposizione assoluta. (</w:t>
      </w:r>
      <w:r>
        <w:footnoteReference w:id="11"/>
      </w:r>
      <w:r w:rsidRPr="00FF3970">
        <w:rPr>
          <w:lang w:val="it-IT"/>
        </w:rPr>
        <w:t>)</w:t>
      </w:r>
    </w:p>
    <w:p w14:paraId="13B0D5F7" w14:textId="77777777" w:rsidR="000F3232" w:rsidRPr="00FF3970" w:rsidRDefault="001F4BBC">
      <w:pPr>
        <w:pStyle w:val="Corpotesto"/>
        <w:rPr>
          <w:lang w:val="it-IT"/>
        </w:rPr>
      </w:pPr>
      <w:r w:rsidRPr="00FF3970">
        <w:rPr>
          <w:lang w:val="it-IT"/>
        </w:rPr>
        <w:t>Il richiamo alla distinzione, di matrice aristotelico-tomista, tra giustizia commutativa e giustizia distributiva va inteso entro limiti precisi. Non è possibile riprendere qui la profondità storica e filosofica di quelle nozioni, né ricavarne una dimostrazione della necessità di due apparati giudiziari. Esse funzionano come coordinate orientative. La giustizia commutativa guarda al rapporto tra soggetti posti l’uno di fronte all’altro e a ciò che ciascuno deve all’altro; quella distributiva richiama la relazione tra il tutto e le parti, entro la quale beni, oneri e possibilità vengono assegnati considerando anche gli altri membri della comunità. La distinzione aiuta a vedere una differenza nella struttura della relazione, senza pretendere di esaurirla.</w:t>
      </w:r>
    </w:p>
    <w:p w14:paraId="020D27B8" w14:textId="77777777" w:rsidR="000F3232" w:rsidRPr="00FF3970" w:rsidRDefault="001F4BBC">
      <w:pPr>
        <w:pStyle w:val="Corpotesto"/>
        <w:rPr>
          <w:lang w:val="it-IT"/>
        </w:rPr>
      </w:pPr>
      <w:r w:rsidRPr="00FF3970">
        <w:rPr>
          <w:lang w:val="it-IT"/>
        </w:rPr>
        <w:t>L’amministrazione contemporanea non è, naturalmente, proprietaria del bene comune né titolare esclusiva di una sfera pubblica separata. Il superamento del modello autoritario impedisce di identificare il tutto con l’apparato o di collocare il suo interesse sopra quello del cittadino. Resta però affidata all’amministrazione una funzione: far emergere, ordinare e comporre, nelle forme dell’ordinamento, una pluralità di interessi che non si lascia ricondurre alla sola posizione del destinatario. È questa funzione, più della qualità soggettiva dell’apparato, a resistere all’assimilazione integrale del rapporto amministrativo a quello tra due privati.</w:t>
      </w:r>
    </w:p>
    <w:p w14:paraId="4DB98028" w14:textId="77777777" w:rsidR="000F3232" w:rsidRPr="00FF3970" w:rsidRDefault="001F4BBC">
      <w:pPr>
        <w:pStyle w:val="Corpotesto"/>
        <w:tabs>
          <w:tab w:val="left" w:pos="2721"/>
        </w:tabs>
        <w:rPr>
          <w:lang w:val="it-IT"/>
        </w:rPr>
      </w:pPr>
      <w:r w:rsidRPr="00FF3970">
        <w:rPr>
          <w:lang w:val="it-IT"/>
        </w:rPr>
        <w:t>Il riferimento alla giustizia distributiva non attribuisce perciò al giudice il compito di distribuire direttamente beni e sacrifici. Scelta e composizione spettano anzitutto all’amministrazione. Il giudice controlla la funzione; proprio per la struttura di ciò che controlla non può sempre trattare l’amministrazione come il semplice debitore del ricorrente. La controversia si svolge tra parti determinate, ma la decisione può ripercuotersi su contribuenti, comunità territoriali, titolari di interessi diffusi e soggetti che non hanno titolo per intervenire. La loro presenza non autorizza il giudice a sostituirsi alla funzione, ma impedisce di considerare il rapporto processuale come una realtà chiusa.</w:t>
      </w:r>
    </w:p>
    <w:p w14:paraId="60764EDB" w14:textId="77777777" w:rsidR="000F3232" w:rsidRPr="00FF3970" w:rsidRDefault="001F4BBC">
      <w:pPr>
        <w:pStyle w:val="Corpotesto"/>
        <w:rPr>
          <w:lang w:val="it-IT"/>
        </w:rPr>
      </w:pPr>
      <w:r w:rsidRPr="00FF3970">
        <w:rPr>
          <w:lang w:val="it-IT"/>
        </w:rPr>
        <w:t>Questa può essere una chiave, ancora provvisoria, per interrogare la specificità della giustizia amministrativa. Non si tratta di proteggere l’autorità come valore in sé. La peculiarità potrebbe dipendere dalla struttura della relazione sottoposta al giudizio: la posizione individuale esige una tutela piena, mentre il suo contenuto deve essere determinato sapendo che la funzione amministrativa rinvia anche a interessi non rappresentati dal processo. La pretesa del ricorrente è presente e concreta; ciò che la circonda non diventa per questo giuridicamente irrilevante.</w:t>
      </w:r>
    </w:p>
    <w:p w14:paraId="35BC0D9D" w14:textId="77777777" w:rsidR="000F3232" w:rsidRPr="00FF3970" w:rsidRDefault="001F4BBC">
      <w:pPr>
        <w:pStyle w:val="Corpotesto"/>
        <w:rPr>
          <w:lang w:val="it-IT"/>
        </w:rPr>
      </w:pPr>
      <w:r w:rsidRPr="00FF3970">
        <w:rPr>
          <w:lang w:val="it-IT"/>
        </w:rPr>
        <w:t>Da questa eccedenza deriva anche il problema del limite della giurisdizione. Se la relazione amministrativa non è interamente commutativa, il giudice non può comporre direttamente tutti gli interessi coinvolti come se disponesse della stessa investitura dell’amministrazione. Quando sostituisce alla ponderazione amministrativa una propria ponderazione, corre il rischio di esercitare la funzione che dovrebbe controllare. La specificità non disegna allora un giudice più potente; gli consegna un oggetto più complesso e gli richiede una coscienza particolarmente rigorosa della misura dei propri rimedi.</w:t>
      </w:r>
    </w:p>
    <w:p w14:paraId="0A6302A6" w14:textId="77777777" w:rsidR="000F3232" w:rsidRPr="00FF3970" w:rsidRDefault="001F4BBC">
      <w:pPr>
        <w:pStyle w:val="Corpotesto"/>
        <w:rPr>
          <w:lang w:val="it-IT"/>
        </w:rPr>
      </w:pPr>
      <w:r w:rsidRPr="00FF3970">
        <w:rPr>
          <w:lang w:val="it-IT"/>
        </w:rPr>
        <w:t>La difficoltà consiste nel conservare questa misura senza ricostruire zone di immunità. La tutela indiretta delle origini non è più sufficiente: il cittadino ha diritto a una decisione tempestiva e capace di incidere sulla realtà. Il risultato, tuttavia, non esaurisce il criterio della giustizia. Una sentenza utile a chi ha agito può alterare una procedura competitiva, impegnare risorse, incidere su terzi o destabilizzare rapporti già formati. L’effettività chiede di essere valutata dentro la relazione sociale nella quale produce effetti, oltre che dalla prospettiva del ricorrente.</w:t>
      </w:r>
    </w:p>
    <w:p w14:paraId="13696024" w14:textId="77777777" w:rsidR="000F3232" w:rsidRPr="00FF3970" w:rsidRDefault="001F4BBC">
      <w:pPr>
        <w:pStyle w:val="Corpotesto"/>
        <w:rPr>
          <w:lang w:val="it-IT"/>
        </w:rPr>
      </w:pPr>
      <w:r w:rsidRPr="00FF3970">
        <w:rPr>
          <w:lang w:val="it-IT"/>
        </w:rPr>
        <w:t>I conflitti di giurisdizione che accompagnano l’ampliamento dei rimedi non costituiscono, in questa prospettiva, un capitolo soltanto tecnico. Le oscillazioni tra situazioni soggettive e materie attribuite registrano l’incertezza sull’oggetto stesso della giustizia amministrativa. Le pronunce della Corte di cassazione, del Consiglio di Stato e della Corte costituzionale hanno contenuto l’espansione della giurisdizione esclusiva senza restituire al vecchio criterio la nettezza perduta. Il riparto continua così a mostrare, sul piano istituzionale, una tensione teorica rimasta aperta. (</w:t>
      </w:r>
      <w:r>
        <w:footnoteReference w:id="12"/>
      </w:r>
      <w:r w:rsidRPr="00FF3970">
        <w:rPr>
          <w:lang w:val="it-IT"/>
        </w:rPr>
        <w:t>)</w:t>
      </w:r>
    </w:p>
    <w:p w14:paraId="4C9A03A5" w14:textId="77777777" w:rsidR="000F3232" w:rsidRPr="00FF3970" w:rsidRDefault="001F4BBC">
      <w:pPr>
        <w:pStyle w:val="Corpotesto"/>
        <w:rPr>
          <w:lang w:val="it-IT"/>
        </w:rPr>
      </w:pPr>
      <w:r w:rsidRPr="00FF3970">
        <w:rPr>
          <w:lang w:val="it-IT"/>
        </w:rPr>
        <w:t>La sorte del contratto dopo l’annullamento dell’aggiudicazione offre un banco di prova concreto. Attrarlo interamente nella logica pubblicistica della procedura rende più incisiva la tutela del concorrente pretermesso; considerarlo soltanto come rapporto ormai stipulato rischia di separarlo dal vizio che ne ha segnato la formazione. Tra i due estremi entrano l’affidamento, lo stato dell’esecuzione, l’interesse alla prestazione e la possibilità di una tutela specifica o per equivalente. Il caso interessa qui perché mostra come il risultato dovuto al ricorrente debba misurarsi con la stabilità di una relazione già divenuta plurale. (</w:t>
      </w:r>
      <w:r>
        <w:footnoteReference w:id="13"/>
      </w:r>
      <w:r w:rsidRPr="00FF3970">
        <w:rPr>
          <w:lang w:val="it-IT"/>
        </w:rPr>
        <w:t>)</w:t>
      </w:r>
    </w:p>
    <w:p w14:paraId="4B8A9E1E" w14:textId="77777777" w:rsidR="000F3232" w:rsidRPr="00FF3970" w:rsidRDefault="001F4BBC">
      <w:pPr>
        <w:pStyle w:val="Corpotesto"/>
        <w:rPr>
          <w:lang w:val="it-IT"/>
        </w:rPr>
      </w:pPr>
      <w:r w:rsidRPr="00FF3970">
        <w:rPr>
          <w:lang w:val="it-IT"/>
        </w:rPr>
        <w:t>La disapplicazione dei regolamenti illegittimi rende visibile la stessa tensione da un altro angolo. Il controllo incidentale può evitare che una norma illegittima continui a produrre effetti nel caso concreto; può anche eludere, se dilatato senza misura, le regole dell’impugnazione e l’esigenza di certezza. La distinzione tra il regolamento che opera quale presupposto immediato della lesione e la norma da contestare autonomamente non viene qui ripresa per sé. Serve a mostrare che l’incisività del rimedio acquista senso soltanto dentro il rapporto tra tutela del caso e stabilità dell’ordinamento. (</w:t>
      </w:r>
      <w:r>
        <w:footnoteReference w:id="14"/>
      </w:r>
      <w:r w:rsidRPr="00FF3970">
        <w:rPr>
          <w:lang w:val="it-IT"/>
        </w:rPr>
        <w:t>)</w:t>
      </w:r>
    </w:p>
    <w:p w14:paraId="1FE0C230" w14:textId="77777777" w:rsidR="000F3232" w:rsidRPr="00FF3970" w:rsidRDefault="001F4BBC">
      <w:pPr>
        <w:pStyle w:val="Titolo1"/>
        <w:rPr>
          <w:lang w:val="it-IT"/>
        </w:rPr>
      </w:pPr>
      <w:bookmarkStart w:id="6" w:name="responsabilità-e-legalità-plurale"/>
      <w:bookmarkEnd w:id="6"/>
      <w:r w:rsidRPr="00FF3970">
        <w:rPr>
          <w:lang w:val="it-IT"/>
        </w:rPr>
        <w:t>7.- Responsabilità e legalità plurale</w:t>
      </w:r>
    </w:p>
    <w:p w14:paraId="0C866463" w14:textId="77777777" w:rsidR="000F3232" w:rsidRPr="00FF3970" w:rsidRDefault="001F4BBC">
      <w:pPr>
        <w:rPr>
          <w:lang w:val="it-IT"/>
        </w:rPr>
      </w:pPr>
      <w:r w:rsidRPr="00FF3970">
        <w:rPr>
          <w:lang w:val="it-IT"/>
        </w:rPr>
        <w:t>La svolta della responsabilità civile rende ancora più evidente il mutamento. Per lungo tempo l’annullamento dell’atto e il risarcimento del danno erano rimasti su piani separati, soprattutto quando la lesione riguardava un interesse legittimo. La decisione delle Sezioni Unite n. 500 del 1999 è divenuta il simbolo del superamento di quella chiusura. Più che ripercorrerne qui la costruzione tecnica, interessa osservare come il risarcimento abbia costretto la giustizia amministrativa a interrogarsi direttamente sul bene della vita, sulle conseguenze dell’azione illegittima e sul criterio con cui imputarle all’amministrazione. (</w:t>
      </w:r>
      <w:r>
        <w:footnoteReference w:id="15"/>
      </w:r>
      <w:r w:rsidRPr="00FF3970">
        <w:rPr>
          <w:lang w:val="it-IT"/>
        </w:rPr>
        <w:t>)</w:t>
      </w:r>
    </w:p>
    <w:p w14:paraId="1AC5DF3E" w14:textId="77777777" w:rsidR="000F3232" w:rsidRPr="00FF3970" w:rsidRDefault="001F4BBC">
      <w:pPr>
        <w:pStyle w:val="Corpotesto"/>
        <w:rPr>
          <w:lang w:val="it-IT"/>
        </w:rPr>
      </w:pPr>
      <w:r w:rsidRPr="00FF3970">
        <w:rPr>
          <w:lang w:val="it-IT"/>
        </w:rPr>
        <w:t>Il riconoscimento della risarcibilità risponde a un’esigenza elementare di giustizia sostanziale: la qualificazione della posizione come interesse legittimo non può, da sola, lasciare sul cittadino il costo economico di un’azione illegittima. La responsabilità rende più concreta la tutela e avvicina l’amministrazione agli altri soggetti dell’ordinamento. Nel compiere questo avvicinamento, tuttavia, trasferisce nel processo amministrativo domande che non si risolvono con la sola verifica dell’illegittimità.</w:t>
      </w:r>
    </w:p>
    <w:p w14:paraId="3412069F" w14:textId="77777777" w:rsidR="000F3232" w:rsidRPr="00FF3970" w:rsidRDefault="001F4BBC">
      <w:pPr>
        <w:pStyle w:val="Corpotesto"/>
        <w:rPr>
          <w:lang w:val="it-IT"/>
        </w:rPr>
      </w:pPr>
      <w:r w:rsidRPr="00FF3970">
        <w:rPr>
          <w:lang w:val="it-IT"/>
        </w:rPr>
        <w:t>Annullamento e risarcimento non coincidono. Per attribuire il danno occorre ricostruire ciò che sarebbe accaduto senza l’illegittimità, stabilire se il bene della vita sarebbe stato conseguito e comprendere se la condotta sia imputabile all’apparato. La colpa dell’amministrazione si colloca in un punto particolarmente instabile: desumerla automaticamente dall’atto illegittimo produce una colpa senza persone; richiederne una prova quasi individuale può rendere la tutela impraticabile. La difficoltà non è soltanto probatoria. Riflette la distanza tra una decisione funzionale, formata dentro un’organizzazione, e lo schema ordinario della responsabilità.</w:t>
      </w:r>
    </w:p>
    <w:p w14:paraId="3294C4F9" w14:textId="77777777" w:rsidR="000F3232" w:rsidRPr="00FF3970" w:rsidRDefault="001F4BBC">
      <w:pPr>
        <w:pStyle w:val="Corpotesto"/>
        <w:rPr>
          <w:lang w:val="it-IT"/>
        </w:rPr>
      </w:pPr>
      <w:r w:rsidRPr="00FF3970">
        <w:rPr>
          <w:lang w:val="it-IT"/>
        </w:rPr>
        <w:t>La condanna decide inoltre come distribuire il costo del danno tra chi lo ha subito e la collettività sulla quale ricadono le risorse dell’amministrazione. Questo dato non fonda alcuna immunità e non giustifica la negazione del danno ingiusto. Impedisce però di leggere il risarcimento come una sanzione automatica per ogni interpretazione successivamente ritenuta errata. La correzione dell’ingiustizia individuale si svolge dentro una responsabilità che conserva effetti sociali.</w:t>
      </w:r>
    </w:p>
    <w:p w14:paraId="10555BAD" w14:textId="77777777" w:rsidR="000F3232" w:rsidRPr="00FF3970" w:rsidRDefault="001F4BBC">
      <w:pPr>
        <w:pStyle w:val="Corpotesto"/>
        <w:rPr>
          <w:lang w:val="it-IT"/>
        </w:rPr>
      </w:pPr>
      <w:r w:rsidRPr="00FF3970">
        <w:rPr>
          <w:lang w:val="it-IT"/>
        </w:rPr>
        <w:t>Il rapporto tra responsabilità e legalità diventa così centrale. L’amministrazione può vedere la stessa scelta valutata, con parametri diversi, dal giudice amministrativo, civile, contabile o penale. Un atto può essere annullato senza che emerga un colpevole, risultare illegittimo senza avere causato un danno, apparire ragionevole in una prospettiva e censurabile in un’altra. Questa pluralità delle legalità non è necessariamente patologica, ma può rendere poco prevedibile l’azione e alimentare comportamenti difensivi. Il problema si sposta allora dalla sola sanzione successiva alla capacità dell’ordinamento di orientare prima la decisione.</w:t>
      </w:r>
    </w:p>
    <w:p w14:paraId="35AABFCF" w14:textId="77777777" w:rsidR="000F3232" w:rsidRPr="00FF3970" w:rsidRDefault="001F4BBC">
      <w:pPr>
        <w:pStyle w:val="Corpotesto"/>
        <w:rPr>
          <w:lang w:val="it-IT"/>
        </w:rPr>
      </w:pPr>
      <w:r w:rsidRPr="00FF3970">
        <w:rPr>
          <w:lang w:val="it-IT"/>
        </w:rPr>
        <w:t>La risarcibilità ha comunque mutato in modo difficilmente reversibile il significato dell’interesse legittimo. Il giudice entra più direttamente nella valutazione del bene della vita, della causalità, dell’imputazione e della quantificazione. La giustizia amministrativa si avvicina alla logica della responsabilità civile senza poter ignorare il contesto funzionale nel quale la condotta è maturata. È proprio questa compresenza, più che l’assimilazione completa a un altro modello, a rendere il passaggio problematico.</w:t>
      </w:r>
    </w:p>
    <w:p w14:paraId="728D385F" w14:textId="77777777" w:rsidR="000F3232" w:rsidRPr="00FF3970" w:rsidRDefault="001F4BBC">
      <w:pPr>
        <w:pStyle w:val="Corpotesto"/>
        <w:rPr>
          <w:lang w:val="it-IT"/>
        </w:rPr>
      </w:pPr>
      <w:r w:rsidRPr="00FF3970">
        <w:rPr>
          <w:lang w:val="it-IT"/>
        </w:rPr>
        <w:t>Tra la negazione del danno e la presunzione della colpa si apre l’esigenza di una legalità capace di orientare l’azione prima di giudicarla. Se la regola diventa conoscibile soltanto con il giudicato, la responsabilità perde parte della sua funzione preventiva e l’amministrazione decide in una condizione di insicurezza permanente. La prevedibilità delle decisioni giurisprudenziali entra così nella tutela del cittadino e, insieme, nella qualità dell’azione pubblica.</w:t>
      </w:r>
    </w:p>
    <w:p w14:paraId="2EB87BFD" w14:textId="77777777" w:rsidR="000F3232" w:rsidRPr="00FF3970" w:rsidRDefault="001F4BBC">
      <w:pPr>
        <w:pStyle w:val="Corpotesto"/>
        <w:rPr>
          <w:lang w:val="it-IT"/>
        </w:rPr>
      </w:pPr>
      <w:r w:rsidRPr="00FF3970">
        <w:rPr>
          <w:lang w:val="it-IT"/>
        </w:rPr>
        <w:t>La trasformazione non riguarda soltanto l’ampiezza dei rimedi. Investe il modo di intendere la legalità. La configurazione liberale poteva rappresentare la legge come un confine relativamente stabile: la norma attribuiva il potere e il giudice ne verificava l’esercizio. Quell’immagine non descriveva interamente neppure l’esperienza delle origini, ma offriva una coordinata riconoscibile nel rapporto tra autorità e libertà. Con la pluralità delle fonti e dei principi, la coordinata diventa meno sicura. (</w:t>
      </w:r>
      <w:r>
        <w:footnoteReference w:id="16"/>
      </w:r>
      <w:r w:rsidRPr="00FF3970">
        <w:rPr>
          <w:lang w:val="it-IT"/>
        </w:rPr>
        <w:t>)</w:t>
      </w:r>
    </w:p>
    <w:p w14:paraId="76796CE7" w14:textId="77777777" w:rsidR="000F3232" w:rsidRPr="00FF3970" w:rsidRDefault="001F4BBC">
      <w:pPr>
        <w:pStyle w:val="Corpotesto"/>
        <w:rPr>
          <w:lang w:val="it-IT"/>
        </w:rPr>
      </w:pPr>
      <w:r w:rsidRPr="00FF3970">
        <w:rPr>
          <w:lang w:val="it-IT"/>
        </w:rPr>
        <w:t>I principi non contengono sempre una soluzione già pronta e possono orientare verso esigenze concorrenti: conoscibilità e riservatezza, concorrenza e continuità, protezione dell’ambiente e iniziativa economica, rapidità e contraddittorio. L’elenco non pretende di esaurire i conflitti. Mostra che decidere significa spesso attribuire un peso concreto a valori tutti riconosciuti dall’ordinamento, senza poter ricavare la soluzione dalla loro mera enunciazione.</w:t>
      </w:r>
    </w:p>
    <w:p w14:paraId="2B53CB83" w14:textId="77777777" w:rsidR="000F3232" w:rsidRPr="00FF3970" w:rsidRDefault="001F4BBC">
      <w:pPr>
        <w:pStyle w:val="Corpotesto"/>
        <w:rPr>
          <w:lang w:val="it-IT"/>
        </w:rPr>
      </w:pPr>
      <w:r w:rsidRPr="00FF3970">
        <w:rPr>
          <w:lang w:val="it-IT"/>
        </w:rPr>
        <w:t>La prevedibilità della giurisprudenza acquista perciò un valore istituzionale. Gli orientamenti devono poter cambiare quando cambiano le fonti, la società o la comprensione dei diritti. Una svolta non adeguatamente argomentata incide però sull’affidamento di cittadini e amministrazioni. Chi decide prima del processo ha bisogno di criteri sufficientemente conoscibili; una legalità che emerge soltanto dopo la sentenza giudica l’azione secondo un parametro che non ha potuto orientarla.</w:t>
      </w:r>
    </w:p>
    <w:p w14:paraId="48B32227" w14:textId="77777777" w:rsidR="000F3232" w:rsidRPr="00FF3970" w:rsidRDefault="001F4BBC">
      <w:pPr>
        <w:pStyle w:val="Corpotesto"/>
        <w:rPr>
          <w:lang w:val="it-IT"/>
        </w:rPr>
      </w:pPr>
      <w:r w:rsidRPr="00FF3970">
        <w:rPr>
          <w:lang w:val="it-IT"/>
        </w:rPr>
        <w:t>Da queste tensioni non si ricava una regola semplice. Affiora piuttosto l’idea che il limite possa essere una condizione della tutela, non la sua rinuncia. La legalità conserva forza quando orienta prima di sanzionare, rende comprensibili le conseguenze e permette di spiegare perché una pretesa venga riconosciuta o debba incontrare altri interessi. Il giudizio del caso può allora contribuire a un ordine almeno prevedibile; resta il rischio, mai interamente eliminabile, che diventi una successione di soluzioni isolate.</w:t>
      </w:r>
    </w:p>
    <w:p w14:paraId="1B320989" w14:textId="77777777" w:rsidR="000F3232" w:rsidRPr="00FF3970" w:rsidRDefault="001F4BBC">
      <w:pPr>
        <w:pStyle w:val="Titolo1"/>
        <w:rPr>
          <w:lang w:val="it-IT"/>
        </w:rPr>
      </w:pPr>
      <w:bookmarkStart w:id="7" w:name="effettività-cautela-e-ottemperanza"/>
      <w:bookmarkEnd w:id="7"/>
      <w:r w:rsidRPr="00FF3970">
        <w:rPr>
          <w:lang w:val="it-IT"/>
        </w:rPr>
        <w:t>8.- Effettività, cautela e ottemperanza</w:t>
      </w:r>
    </w:p>
    <w:p w14:paraId="69A49EAA" w14:textId="77777777" w:rsidR="000F3232" w:rsidRPr="00FF3970" w:rsidRDefault="001F4BBC">
      <w:pPr>
        <w:rPr>
          <w:lang w:val="it-IT"/>
        </w:rPr>
      </w:pPr>
      <w:r w:rsidRPr="00FF3970">
        <w:rPr>
          <w:lang w:val="it-IT"/>
        </w:rPr>
        <w:t>L’effettività ha trasformato i principali istituti del processo amministrativo e il percorso che conduce dalla legge n. 205 del 2000 al codice del 2010 ne ha consolidato molte acquisizioni. Non interessa qui inventariare azioni, riti e poteri. La cautela e l’ottemperanza possono essere assunte come due osservatori privilegiati della medesima tensione: rendere reale la tutela senza trasferire al giudice la funzione che il processo controlla. (</w:t>
      </w:r>
      <w:r>
        <w:footnoteReference w:id="17"/>
      </w:r>
      <w:r w:rsidRPr="00FF3970">
        <w:rPr>
          <w:lang w:val="it-IT"/>
        </w:rPr>
        <w:t>)</w:t>
      </w:r>
    </w:p>
    <w:p w14:paraId="6B67CE0D" w14:textId="77777777" w:rsidR="000F3232" w:rsidRPr="00FF3970" w:rsidRDefault="001F4BBC">
      <w:pPr>
        <w:pStyle w:val="Corpotesto"/>
        <w:rPr>
          <w:lang w:val="it-IT"/>
        </w:rPr>
      </w:pPr>
      <w:r w:rsidRPr="00FF3970">
        <w:rPr>
          <w:lang w:val="it-IT"/>
        </w:rPr>
        <w:t>La tutela cautelare non poteva restare confinata alla sospensione dell’atto quando l’attesa della sentenza avrebbe reso irreversibile la lesione. Il giudice ha quindi modellato misure positive, riesami, ammissioni con riserva e attività provvisorie per conservare l’utilità finale. Il rafforzamento risponde alla concretezza degli interessi; nello stesso tempo attribuisce alla decisione sommaria, formata in tempi ridotti e sulla base di una conoscenza incompleta, un peso che può avvicinarsi a quello della sentenza.</w:t>
      </w:r>
    </w:p>
    <w:p w14:paraId="0858B0F4" w14:textId="77777777" w:rsidR="000F3232" w:rsidRPr="00FF3970" w:rsidRDefault="001F4BBC">
      <w:pPr>
        <w:pStyle w:val="Corpotesto"/>
        <w:rPr>
          <w:lang w:val="it-IT"/>
        </w:rPr>
      </w:pPr>
      <w:r w:rsidRPr="00FF3970">
        <w:rPr>
          <w:lang w:val="it-IT"/>
        </w:rPr>
        <w:t>La misura efficace non coincide necessariamente con l’attribuzione immediata del bene richiesto. In molti casi consiste nel preservare possibilità ancora aperte e nel mantenere un equilibrio ragionevole fino alla decisione piena. Quando la cautela anticipa in modo quasi definitivo il risultato, la provvisorietà rischia di diventare soltanto nominale e il giudice può trovarsi ad amministrare l’urgenza prima di avere conosciuto compiutamente il rapporto.</w:t>
      </w:r>
    </w:p>
    <w:p w14:paraId="4D89273A" w14:textId="77777777" w:rsidR="000F3232" w:rsidRPr="00FF3970" w:rsidRDefault="001F4BBC">
      <w:pPr>
        <w:pStyle w:val="Corpotesto"/>
        <w:rPr>
          <w:lang w:val="it-IT"/>
        </w:rPr>
      </w:pPr>
      <w:r w:rsidRPr="00FF3970">
        <w:rPr>
          <w:lang w:val="it-IT"/>
        </w:rPr>
        <w:t>Nell’ottemperanza l’esigenza di effettività appare con forza ancora maggiore. Una sentenza non eseguita perde la sua utilità concreta; da qui la necessità di ordini conformativi, commissari e misure sostitutive. Con il tempo, l’ottemperanza si è allontanata dalla sola esecuzione formale ed è divenuta il luogo nel quale il giudicato orienta in profondità l’azione successiva dell’amministrazione. (</w:t>
      </w:r>
      <w:r>
        <w:footnoteReference w:id="18"/>
      </w:r>
      <w:r w:rsidRPr="00FF3970">
        <w:rPr>
          <w:lang w:val="it-IT"/>
        </w:rPr>
        <w:t>)</w:t>
      </w:r>
    </w:p>
    <w:p w14:paraId="21B2CAD1" w14:textId="77777777" w:rsidR="000F3232" w:rsidRPr="00FF3970" w:rsidRDefault="001F4BBC">
      <w:pPr>
        <w:pStyle w:val="Corpotesto"/>
        <w:rPr>
          <w:lang w:val="it-IT"/>
        </w:rPr>
      </w:pPr>
      <w:r w:rsidRPr="00FF3970">
        <w:rPr>
          <w:lang w:val="it-IT"/>
        </w:rPr>
        <w:t>Proprio questa capacità rende visibile l’antinomia interna del giudizio amministrativo. Un ordine troppo debole può lasciare il cittadino senza il bene riconosciuto; una sostituzione integrale può assorbire la funzione pubblica. La densità del potere residuo offre una coordinata utile, non una formula meccanica. Quando legge e giudicato lasciano una sola scelta, la sostituzione appare coerente con l’esecuzione; quando restano più opzioni legittime e interessi da comparare, il problema riemerge in tutta la sua difficoltà.</w:t>
      </w:r>
    </w:p>
    <w:p w14:paraId="631B793C" w14:textId="77777777" w:rsidR="000F3232" w:rsidRPr="00FF3970" w:rsidRDefault="001F4BBC">
      <w:pPr>
        <w:pStyle w:val="Corpotesto"/>
        <w:rPr>
          <w:lang w:val="it-IT"/>
        </w:rPr>
      </w:pPr>
      <w:r w:rsidRPr="00FF3970">
        <w:rPr>
          <w:lang w:val="it-IT"/>
        </w:rPr>
        <w:t>L’effettività va allora intesa come verifica dell’adeguatezza degli strumenti rispetto alla posizione riconosciuta dall’ordinamento. Se diventa un valore autosufficiente, tende a misurare la giustizia con il solo risultato e a trasformare il fatto compiuto nel criterio della tutela. Una decisione è effettiva quando rende operativa la protezione dovuta; non quando converte in risultato qualsiasi aspettativa portata davanti al giudice.</w:t>
      </w:r>
    </w:p>
    <w:p w14:paraId="3006CD50" w14:textId="77777777" w:rsidR="000F3232" w:rsidRPr="00FF3970" w:rsidRDefault="001F4BBC">
      <w:pPr>
        <w:pStyle w:val="Corpotesto"/>
        <w:rPr>
          <w:lang w:val="it-IT"/>
        </w:rPr>
      </w:pPr>
      <w:r w:rsidRPr="00FF3970">
        <w:rPr>
          <w:lang w:val="it-IT"/>
        </w:rPr>
        <w:t>La moltiplicazione dei riti accelerati mostra un’ambivalenza analoga. La rapidità è essenziale, soprattutto là dove il tempo modifica irreversibilmente gli interessi in gioco. Ridurre i termini non risolve però automaticamente l’arretrato o la litigiosità e può comprimere contraddittorio, istruttoria ed eguaglianza delle parti. Un processo più breve sulla carta può diventare meno comprensibile e più esposto all’errore. Anche il tempo, dunque, deve essere misurato sulla qualità della tutela e non soltanto sulla velocità della definizione.</w:t>
      </w:r>
    </w:p>
    <w:p w14:paraId="0FFF39BA" w14:textId="77777777" w:rsidR="000F3232" w:rsidRPr="00FF3970" w:rsidRDefault="001F4BBC">
      <w:pPr>
        <w:pStyle w:val="Corpotesto"/>
        <w:rPr>
          <w:lang w:val="it-IT"/>
        </w:rPr>
      </w:pPr>
      <w:r w:rsidRPr="00FF3970">
        <w:rPr>
          <w:lang w:val="it-IT"/>
        </w:rPr>
        <w:t>La relazione tra prassi giurisprudenziale e riforma legislativa accompagna l’intero percorso. Molte innovazioni sono nate dall’adattamento interpretativo del processo; il legislatore le ha poi consolidate, corrette o limitate. Questa interazione testimonia la capacità evolutiva della giustizia amministrativa e, insieme, il rischio di una disciplina costruita per stratificazioni, nella quale la regola arriva dopo la prassi e viene subito nuovamente trasformata dalla prassi.</w:t>
      </w:r>
    </w:p>
    <w:p w14:paraId="4D5648DF" w14:textId="77777777" w:rsidR="000F3232" w:rsidRPr="00FF3970" w:rsidRDefault="001F4BBC">
      <w:pPr>
        <w:pStyle w:val="Corpotesto"/>
        <w:rPr>
          <w:lang w:val="it-IT"/>
        </w:rPr>
      </w:pPr>
      <w:r w:rsidRPr="00FF3970">
        <w:rPr>
          <w:lang w:val="it-IT"/>
        </w:rPr>
        <w:t>Il codice del 2010 ha dato ordine agli strumenti e ha affermato pienezza ed effettività della tutela. Non poteva però risolvere per via normativa la questione che attraversa queste pagine. La pienezza deve ancora misurarsi con la specificità della funzione amministrativa; il confine tra giurisdizione e amministrazione resta affidato al modo in cui i poteri processuali vengono esercitati nei casi concreti. Il codice stabilizza il lessico e le forme, non chiude la tensione.</w:t>
      </w:r>
    </w:p>
    <w:p w14:paraId="0236649D" w14:textId="77777777" w:rsidR="000F3232" w:rsidRPr="00FF3970" w:rsidRDefault="001F4BBC">
      <w:pPr>
        <w:pStyle w:val="Titolo1"/>
        <w:rPr>
          <w:lang w:val="it-IT"/>
        </w:rPr>
      </w:pPr>
      <w:bookmarkStart w:id="8" w:name="Xb7d0b07ea4f0d9075417b9d986ee79b85f94fb8"/>
      <w:bookmarkEnd w:id="8"/>
      <w:r w:rsidRPr="00FF3970">
        <w:rPr>
          <w:lang w:val="it-IT"/>
        </w:rPr>
        <w:t>9.- La società contemporanea, la crisi del limite e il racconto della giustizia</w:t>
      </w:r>
    </w:p>
    <w:p w14:paraId="7BBE8717" w14:textId="77777777" w:rsidR="000F3232" w:rsidRPr="00FF3970" w:rsidRDefault="001F4BBC">
      <w:pPr>
        <w:rPr>
          <w:lang w:val="it-IT"/>
        </w:rPr>
      </w:pPr>
      <w:r w:rsidRPr="00FF3970">
        <w:rPr>
          <w:lang w:val="it-IT"/>
        </w:rPr>
        <w:t>Tra la fine del Novecento e l’inizio del nuovo secolo cambia anche la rappresentazione sociale dell’individuo. Le categorie della tardomodernità e della cultura del narcisismo, richiamate in precedenti scritti, sono troppo ampie per essere qui sviluppate in tutta la loro portata e non pretendono di offrire una descrizione sociologica esaustiva. Servono a indicare una tendenza: appartenenze, status e istituzioni perdono parte della capacità di ordinare in anticipo le possibilità personali; l’individuo si percepisce sempre più come autore del proprio progetto di vita e chiede riconoscimento per bisogni e aspirazioni. L’emancipazione accresce la libertà, ma rende più fragili i riferimenti comuni entro i quali le pretese vengono composte. (</w:t>
      </w:r>
      <w:r>
        <w:footnoteReference w:id="19"/>
      </w:r>
      <w:r w:rsidRPr="00FF3970">
        <w:rPr>
          <w:lang w:val="it-IT"/>
        </w:rPr>
        <w:t>)</w:t>
      </w:r>
    </w:p>
    <w:p w14:paraId="57517611" w14:textId="77777777" w:rsidR="000F3232" w:rsidRPr="00FF3970" w:rsidRDefault="001F4BBC">
      <w:pPr>
        <w:pStyle w:val="Corpotesto"/>
        <w:rPr>
          <w:lang w:val="it-IT"/>
        </w:rPr>
      </w:pPr>
      <w:r w:rsidRPr="00FF3970">
        <w:rPr>
          <w:lang w:val="it-IT"/>
        </w:rPr>
        <w:t>Anche la distinzione tra sfera pubblica e privata diventa meno netta. L’amministrazione viene rappresentata sempre più come un servizio destinato a soddisfare bisogni, e la funzione pubblica è valutata per l’utilità che produce per gli individui. Il limite posto in nome dell’interesse generale suscita allora un sospetto comprensibile: può apparire come il residuo di un’autorità non democratica. Il sospetto ha contribuito a smascherare molte invocazioni retoriche del pubblico; può anche rendere difficile dare forma a interessi comuni che non coincidono con una domanda individuale immediata.</w:t>
      </w:r>
    </w:p>
    <w:p w14:paraId="6B2B4C8E" w14:textId="77777777" w:rsidR="000F3232" w:rsidRPr="00FF3970" w:rsidRDefault="001F4BBC">
      <w:pPr>
        <w:pStyle w:val="Corpotesto"/>
        <w:rPr>
          <w:lang w:val="it-IT"/>
        </w:rPr>
      </w:pPr>
      <w:r w:rsidRPr="00FF3970">
        <w:rPr>
          <w:lang w:val="it-IT"/>
        </w:rPr>
        <w:t>La giustizia amministrativa registra questa trasformazione. Il ricorrente chiede che il potere rispetti la legge e, sempre più spesso, che il processo realizzi la sua pretesa. L’effettività diventa il linguaggio attraverso il quale tale domanda acquista forza. Dotato di poteri cautelari, conformativi e sostitutivi, il giudice appare come il soggetto capace di superare l’inerzia o l’insufficienza dell’amministrazione. Su di lui si concentrano aspettative che riflettono la crescita della tutela e, insieme, la debolezza degli altri luoghi della decisione pubblica.</w:t>
      </w:r>
    </w:p>
    <w:p w14:paraId="7724D061" w14:textId="77777777" w:rsidR="000F3232" w:rsidRPr="00FF3970" w:rsidRDefault="001F4BBC">
      <w:pPr>
        <w:pStyle w:val="Corpotesto"/>
        <w:rPr>
          <w:lang w:val="it-IT"/>
        </w:rPr>
      </w:pPr>
      <w:r w:rsidRPr="00FF3970">
        <w:rPr>
          <w:lang w:val="it-IT"/>
        </w:rPr>
        <w:t>Questa evoluzione ha eliminato arbitri, reso concreta la protezione e costretto l’amministrazione a motivare, partecipare e rispondere. Le conquiste non vanno ridimensionate per nostalgia del vecchio limite. Il loro successo apre però una difficoltà nuova. Quando la sfera pubblica perde consistenza, ciascun interesse tende a confrontarsi soltanto con altri interessi individuali; il bene comune appare come l’esito contingente del conflitto tra pretese e al giudice viene chiesto di stabilire quale debba prevalere.</w:t>
      </w:r>
    </w:p>
    <w:p w14:paraId="5A5B0F8C" w14:textId="77777777" w:rsidR="000F3232" w:rsidRPr="00FF3970" w:rsidRDefault="001F4BBC">
      <w:pPr>
        <w:pStyle w:val="Corpotesto"/>
        <w:rPr>
          <w:lang w:val="it-IT"/>
        </w:rPr>
      </w:pPr>
      <w:r w:rsidRPr="00FF3970">
        <w:rPr>
          <w:lang w:val="it-IT"/>
        </w:rPr>
        <w:t>L’espressione «cultura del narcisismo» intendeva descrivere questa situazione come una forma sociale, non formulare un giudizio morale sui singoli. È una formula volutamente intensa e, proprio per questo, parziale. Indica un ambiente nel quale l’individuo è sollecitato a espandere continuamente le proprie possibilità e a percepire il limite come una lesione; le istituzioni vengono valutate secondo la prestazione offerta, la giustizia secondo rapidità, visibilità ed efficacia. Il processo assume i tratti di un servizio e il ricorrente quelli dell’utente. La categoria aiuta a vedere un rischio, ma non esaurisce la pluralità delle domande di giustizia contemporanee.</w:t>
      </w:r>
    </w:p>
    <w:p w14:paraId="727066DE" w14:textId="77777777" w:rsidR="000F3232" w:rsidRPr="00FF3970" w:rsidRDefault="001F4BBC">
      <w:pPr>
        <w:pStyle w:val="Corpotesto"/>
        <w:rPr>
          <w:lang w:val="it-IT"/>
        </w:rPr>
      </w:pPr>
      <w:r w:rsidRPr="00FF3970">
        <w:rPr>
          <w:lang w:val="it-IT"/>
        </w:rPr>
        <w:t>Anche il linguaggio dei diritti può essere coinvolto in questa dinamica quando ogni bisogno viene tradotto immediatamente nella forma di una pretesa soggettiva piena. Il problema non è la forza dei diritti fondamentali, che rimane essenziale alla protezione della persona. È la perdita delle mediazioni attraverso le quali ciascun diritto incontra i diritti altrui, le risorse e le condizioni istituzionali che ne rendono possibile l’esercizio. La retorica dell’assolutezza può finire per banalizzare proprio ciò che vorrebbe rafforzare.</w:t>
      </w:r>
    </w:p>
    <w:p w14:paraId="5D2739E6" w14:textId="77777777" w:rsidR="000F3232" w:rsidRPr="00FF3970" w:rsidRDefault="001F4BBC">
      <w:pPr>
        <w:pStyle w:val="Corpotesto"/>
        <w:rPr>
          <w:i/>
          <w:iCs/>
          <w:lang w:val="it-IT"/>
        </w:rPr>
      </w:pPr>
      <w:r w:rsidRPr="00FF3970">
        <w:rPr>
          <w:lang w:val="it-IT"/>
        </w:rPr>
        <w:t>La crisi del limite investe infine il giudice. La convinzione di poter offrire nel singolo caso la soluzione più giusta può spingerlo oltre il controllo della funzione. Quando l’amministrazione viene descritta come inefficiente, la politica come lenta e il legislatore come confuso, sulla giurisdizione si concentrano attese che nessun processo può soddisfare stabilmente. La sentenza risolve la controversia che ha davanti; non può sostituire la capacità delle istituzioni di costruire decisioni generali. La distinzione costituzionale delle funzioni non è soltanto un residuo formale: resta una condizione della responsabilità di chi decide e del controllo di chi giudica.</w:t>
      </w:r>
    </w:p>
    <w:p w14:paraId="44E51215" w14:textId="77777777" w:rsidR="000F3232" w:rsidRPr="00FF3970" w:rsidRDefault="001F4BBC">
      <w:pPr>
        <w:pStyle w:val="Corpotesto"/>
        <w:rPr>
          <w:lang w:val="it-IT"/>
        </w:rPr>
      </w:pPr>
      <w:r w:rsidRPr="00FF3970">
        <w:rPr>
          <w:lang w:val="it-IT"/>
        </w:rPr>
        <w:t>L’espansione giurisdizionale può inoltre provocare reazioni. Il legislatore può comprimere cautela e ottemperanza, introdurre barriere processuali o sottrarre settori all’incisività delle decisioni; l’opinione pubblica può rappresentare i tribunali amministrativi come un ostacolo allo sviluppo. Queste reazioni non provano che la tutela sia, in sé, eccessiva. Mostrano che la legittimazione della giustizia non può reggersi soltanto sull’ampiezza dei rimedi e che il sindacato perde forza quando appare come appropriazione di scelte affidate alla responsabilità politica e amministrativa.</w:t>
      </w:r>
    </w:p>
    <w:p w14:paraId="22F38E31" w14:textId="77777777" w:rsidR="000F3232" w:rsidRPr="00FF3970" w:rsidRDefault="001F4BBC">
      <w:pPr>
        <w:pStyle w:val="Corpotesto"/>
        <w:rPr>
          <w:lang w:val="it-IT"/>
        </w:rPr>
      </w:pPr>
      <w:r w:rsidRPr="00FF3970">
        <w:rPr>
          <w:lang w:val="it-IT"/>
        </w:rPr>
        <w:t>Il limite va quindi cercato in una forma diversa da quella delle origini. Distinzione delle funzioni, proporzione dei rimedi, attenzione agli interessi assenti e prevedibilità delle regole indicano alcuni punti di orientamento; non compongono una ricetta capace di risolvere ogni controversia. La forza del giudice può manifestarsi nella capacità di proteggere senza appropriarsi della scelta pubblica. L’autorità dell’amministrazione si misura, a sua volta, nella disponibilità ad assumere la responsabilità della mediazione e a darne ragione, non nell’invocazione generica dell’interesse pubblico. Tra questi due poli il confine resta mobile e, in parte, sofferto.</w:t>
      </w:r>
    </w:p>
    <w:p w14:paraId="74A2AA1D" w14:textId="77777777" w:rsidR="000F3232" w:rsidRPr="00FF3970" w:rsidRDefault="001F4BBC">
      <w:pPr>
        <w:pStyle w:val="Corpotesto"/>
        <w:rPr>
          <w:lang w:val="it-IT"/>
        </w:rPr>
      </w:pPr>
      <w:r w:rsidRPr="00FF3970">
        <w:rPr>
          <w:lang w:val="it-IT"/>
        </w:rPr>
        <w:t>La stessa esigenza di misura riguarda il modo in cui la giustizia si rende visibile. La trasparenza dei criteri organizzativi, dei dati e delle ragioni rafforza il controllo democratico; l’esposizione continua può invece favorire la ricerca del consenso e trasformare la decisione in racconto di sé. Il giudice non può essere invisibile, ma la sua autorevolezza non dovrebbe dipendere dalla visibilità. La fiducia sembra nascere più lentamente: dalla continuità di comportamenti sobri, dalla chiarezza delle motivazioni e dalla capacità di riconoscere errori e difficoltà. (</w:t>
      </w:r>
      <w:r>
        <w:footnoteReference w:id="20"/>
      </w:r>
      <w:r w:rsidRPr="00FF3970">
        <w:rPr>
          <w:lang w:val="it-IT"/>
        </w:rPr>
        <w:t>)</w:t>
      </w:r>
    </w:p>
    <w:p w14:paraId="1F652335" w14:textId="77777777" w:rsidR="000F3232" w:rsidRPr="00FF3970" w:rsidRDefault="001F4BBC">
      <w:pPr>
        <w:pStyle w:val="Corpotesto"/>
        <w:rPr>
          <w:lang w:val="it-IT"/>
        </w:rPr>
      </w:pPr>
      <w:r w:rsidRPr="00FF3970">
        <w:rPr>
          <w:lang w:val="it-IT"/>
        </w:rPr>
        <w:t>Un’autorappresentazione meno difensiva dovrebbe quindi sottrarsi sia all’autocompiacimento sia alla svalutazione. La giustizia amministrativa non giustifica la propria esistenza enumerando le materie nelle quali interviene e non può leggere ogni critica come insofferenza verso la legalità. La domanda riguarda il senso dei risultati prodotti e i limiti del ruolo esercitato. Essa diventa più urgente proprio quando l’istituzione è forte, tecnicamente sviluppata e capace di incidere. La legittimazione non deriva soltanto dalla potenza dei rimedi; dipende dalla qualità della relazione che le decisioni contribuiscono a costruire tra cittadino, amministrazione e comunità.</w:t>
      </w:r>
    </w:p>
    <w:p w14:paraId="060467B9" w14:textId="77777777" w:rsidR="000F3232" w:rsidRPr="00FF3970" w:rsidRDefault="001F4BBC">
      <w:pPr>
        <w:pStyle w:val="Titolo1"/>
        <w:rPr>
          <w:lang w:val="it-IT"/>
        </w:rPr>
      </w:pPr>
      <w:r w:rsidRPr="00FF3970">
        <w:rPr>
          <w:lang w:val="it-IT"/>
        </w:rPr>
        <w:t>10.- Nel tempo presente: un approdo provvisorio</w:t>
      </w:r>
    </w:p>
    <w:p w14:paraId="720BD1E9" w14:textId="77777777" w:rsidR="000F3232" w:rsidRPr="00FF3970" w:rsidRDefault="001F4BBC">
      <w:pPr>
        <w:rPr>
          <w:lang w:val="it-IT"/>
        </w:rPr>
      </w:pPr>
      <w:r w:rsidRPr="00FF3970">
        <w:rPr>
          <w:lang w:val="it-IT"/>
        </w:rPr>
        <w:t>Il percorso ricostruito non si lascia raccontare come un progresso lineare. L’ampliamento della tutela ha corretto insufficienze profonde e ha aperto problemi che gli strumenti precedenti non potevano vedere. L’atto non è più il centro esclusivo del giudizio; la pretesa sostanziale è divenuta decisiva; l’interesse legittimo continua a essere nominato mentre fatica a indicare una figura nettamente distinta. Il riparto di giurisdizione rimane esposto a conflitti e il giudice interviene in settori economici, regolatori e sociali sempre più ampi. Nessuno di questi passaggi offre, da solo, una definizione stabile dell’identità raggiunta.</w:t>
      </w:r>
    </w:p>
    <w:p w14:paraId="4A80D034" w14:textId="77777777" w:rsidR="000F3232" w:rsidRPr="00FF3970" w:rsidRDefault="001F4BBC">
      <w:pPr>
        <w:pStyle w:val="Corpotesto"/>
        <w:rPr>
          <w:lang w:val="it-IT"/>
        </w:rPr>
      </w:pPr>
      <w:r w:rsidRPr="00FF3970">
        <w:rPr>
          <w:lang w:val="it-IT"/>
        </w:rPr>
        <w:t>Anche le forme contemporanee della modernizzazione ripropongono la stessa domanda. Numero delle decisioni, funzionalità dei sistemi informatici, rapidità, trasparenza ed efficienza sono requisiti importanti dell’organizzazione, ma non possiedono un significato autosufficiente. Servono la giustizia quando migliorano la qualità della tutela e della decisione; possono deformarla quando il linguaggio della prestazione diventa il metro esterno al quale l’istituzione deve conformarsi.</w:t>
      </w:r>
    </w:p>
    <w:p w14:paraId="4AC03EC5" w14:textId="77777777" w:rsidR="000F3232" w:rsidRPr="00FF3970" w:rsidRDefault="001F4BBC">
      <w:pPr>
        <w:pStyle w:val="Corpotesto"/>
        <w:rPr>
          <w:lang w:val="it-IT"/>
        </w:rPr>
      </w:pPr>
      <w:r w:rsidRPr="00FF3970">
        <w:rPr>
          <w:lang w:val="it-IT"/>
        </w:rPr>
        <w:t>La tecnologia agevola il deposito, la conoscenza degli atti e la gestione degli uffici; non sostituisce il processo. La rapidità ha valore se conserva il tempo necessario all’ascolto, alla verifica del fatto e alla ponderazione. La trasparenza permette di controllare le ragioni dell’istituzione, mentre la ricerca della visibilità può spostare l’attenzione sul risultato comunicato. La fiducia pubblica dipende anche dalla coerenza tra ciò che la giustizia chiede all’amministrazione e ciò che esige da se stessa: motivazioni comprensibili, procedure affidabili, sobrietà nell’uso del potere e disponibilità a riconoscere i propri limiti.</w:t>
      </w:r>
    </w:p>
    <w:p w14:paraId="4C34EA46" w14:textId="77777777" w:rsidR="000F3232" w:rsidRPr="00FF3970" w:rsidRDefault="001F4BBC">
      <w:pPr>
        <w:pStyle w:val="Corpotesto"/>
        <w:rPr>
          <w:lang w:val="it-IT"/>
        </w:rPr>
      </w:pPr>
      <w:r w:rsidRPr="00FF3970">
        <w:rPr>
          <w:lang w:val="it-IT"/>
        </w:rPr>
        <w:t>La funzione può forse continuare a essere cercata nella giustizia nell’amministrazione, purché la formula rimanga aperta. L’amministrazione contemporanea comprende reti, autorità, soggetti privati funzionalizzati e procedure negoziali; il potere può assumere la forma di una regolazione tecnica, di una classificazione algoritmica, di un contratto o di un’omissione. L’elenco è soltanto esemplificativo e sarà presto incompleto. Resta la domanda che attraversa queste trasformazioni: come rendere controllabile una funzione capace di ordinare interessi collettivi e di incidere sulle persone quando le forme del potere diventano meno riconoscibili.</w:t>
      </w:r>
    </w:p>
    <w:p w14:paraId="250C700D" w14:textId="77777777" w:rsidR="000F3232" w:rsidRPr="00FF3970" w:rsidRDefault="001F4BBC">
      <w:pPr>
        <w:pStyle w:val="Corpotesto"/>
        <w:rPr>
          <w:lang w:val="it-IT"/>
        </w:rPr>
      </w:pPr>
      <w:r w:rsidRPr="00FF3970">
        <w:rPr>
          <w:lang w:val="it-IT"/>
        </w:rPr>
        <w:t>La domanda riconduce al rapporto tra singolo e società. Il cittadino contemporaneo ha conquistato una posizione che non può essere ridotta: partecipa, conosce, agisce, chiede il risarcimento e pretende l’esecuzione. Nello stesso tempo la società incontra una crescente difficoltà nel rappresentare interessi comuni non immediatamente traducibili in una pretesa individuale. Ambiente, organizzazione dei servizi, stabilità finanziaria e qualità delle istituzioni rinviano a decisioni che coinvolgono soggetti e tempi non interamente presenti nel processo. Non ne deriva l’ingresso indiscriminato di ogni interesse sociale nel giudizio. Ne deriva la cautela di non identificare la realtà giuridica sottoposta al controllo con la sola relazione processuale visibile.</w:t>
      </w:r>
    </w:p>
    <w:p w14:paraId="6933566C" w14:textId="77777777" w:rsidR="000F3232" w:rsidRPr="00FF3970" w:rsidRDefault="001F4BBC">
      <w:pPr>
        <w:pStyle w:val="Corpotesto"/>
        <w:rPr>
          <w:lang w:val="it-IT"/>
        </w:rPr>
      </w:pPr>
      <w:r w:rsidRPr="00FF3970">
        <w:rPr>
          <w:lang w:val="it-IT"/>
        </w:rPr>
        <w:t>Un possibile approdo, ancora esposto a revisione, consiste allora nel cercare la specificità della giustizia amministrativa nella relazione. Essa giudica l’incontro tra la libertà individuale e una funzione pubblica tenuta a rendere ragione delle proprie scelte. La persona non è un individuo isolato e l’amministrazione non è il titolare di un interesse superiore; entrambe si collocano entro una comunità di eguali e dentro decisioni che possono incidere su altri. La distinzione tra giustizia commutativa e distributiva non offre una nuova formula per il riparto e non dimostra la necessità di due apparati. Suggerisce però perché la relazione amministrativa resista a una riduzione senza residui allo schema bilaterale: ciò che spetta al singolo deve essere determinato dentro una funzione che, mentre incide su di lui, ordina interessi ulteriori.</w:t>
      </w:r>
    </w:p>
    <w:p w14:paraId="718753CF" w14:textId="77777777" w:rsidR="000F3232" w:rsidRPr="00FF3970" w:rsidRDefault="001F4BBC">
      <w:pPr>
        <w:pStyle w:val="Corpotesto"/>
        <w:rPr>
          <w:lang w:val="it-IT"/>
        </w:rPr>
      </w:pPr>
      <w:r w:rsidRPr="00FF3970">
        <w:rPr>
          <w:lang w:val="it-IT"/>
        </w:rPr>
        <w:t>La mediazione evocata da questa formula non è pacificazione e non attenua, di per sé, la tutela. Può richiedere annullamento, condanna, risarcimento o sostituzione; può imporre all’amministrazione di decidere e può condurre al riconoscimento del bene della vita. Chiede però che resti visibile il contesto nel quale la pretesa si colloca. La tutela piena non diventa per questo assoluta. L’effettività misura l’adeguatezza della protezione dovuta alla persona e perde il proprio senso se, per intensificarla, cancella gli altri termini della relazione.</w:t>
      </w:r>
    </w:p>
    <w:p w14:paraId="6FA71F96" w14:textId="77777777" w:rsidR="000F3232" w:rsidRPr="00FF3970" w:rsidRDefault="001F4BBC">
      <w:pPr>
        <w:pStyle w:val="Corpotesto"/>
        <w:rPr>
          <w:lang w:val="it-IT"/>
        </w:rPr>
      </w:pPr>
      <w:r w:rsidRPr="00FF3970">
        <w:rPr>
          <w:lang w:val="it-IT"/>
        </w:rPr>
        <w:t>Questo induce a lasciare sullo sfondo le definizioni troppo nette del giudice del pubblico o del giudice del privato. Il giudice amministrativo decide una controversia costruita processualmente tra parti, sapendo che la relazione sostanziale può eccederle. Il limite che ne deriva non offre protezione al potere in quanto tale e non chiede al cittadino di rinunciare alla propria libertà. Ricorda soltanto che il giusto non coincide sempre con la ricostruzione del rapporto come incontro di due interessi isolati. Anche questa formulazione resta, tuttavia, un criterio di attenzione più che una risposta già pronta.</w:t>
      </w:r>
    </w:p>
    <w:p w14:paraId="7973B334" w14:textId="77777777" w:rsidR="000F3232" w:rsidRPr="00FF3970" w:rsidRDefault="001F4BBC">
      <w:pPr>
        <w:pStyle w:val="Corpotesto"/>
        <w:rPr>
          <w:lang w:val="it-IT"/>
        </w:rPr>
      </w:pPr>
      <w:r w:rsidRPr="00FF3970">
        <w:rPr>
          <w:lang w:val="it-IT"/>
        </w:rPr>
        <w:t>Forse la figura che meglio restituisce il percorso è quella di una storia che prosegue in forma rovesciata. Alle origini il problema consisteva nel proteggere l’individuo dentro una sfera pubblica forte; oggi sembra consistere nel proteggere la persona senza dissolvere la sfera comune. La giustizia amministrativa ha accompagnato questo movimento, accumulando conquiste, ambivalenze e tensioni. La sua possibile ragione non sta soltanto nell’estensione delle materie o nella potenza dei rimedi, ma nella fatica di assicurare a ciascuno ciò che gli è dovuto senza ridurre l’amministrazione al debitore di una pretesa individuale; di conservare la dimensione comune senza restituire al potere immunità; di ascoltare gli interessi presenti senza dimenticare quelli che, pur coinvolti, non hanno voce nel processo.</w:t>
      </w:r>
    </w:p>
    <w:p w14:paraId="66AEB984" w14:textId="77777777" w:rsidR="000F3232" w:rsidRDefault="001F4BBC">
      <w:pPr>
        <w:pStyle w:val="Corpotesto"/>
        <w:rPr>
          <w:lang w:val="it-IT"/>
        </w:rPr>
      </w:pPr>
      <w:r w:rsidRPr="00FF3970">
        <w:rPr>
          <w:lang w:val="it-IT"/>
        </w:rPr>
        <w:t>Se queste pagine sono un bilancio, non possono chiudersi fingendo che un disegno unitario fosse presente fin dall’origine o che oggi abbia finalmente trovato la propria formula. Il filo appare a distanza: questioni affrontate separatamente sembrano variazioni di una stessa domanda sul rapporto tra individuo, amministrazione e sfera comune. La distanza, però, non scioglie le contraddizioni e non sottrae quella domanda al mutamento delle istituzioni e della società. Consente soltanto di formularla con maggiore consapevolezza. È il punto al quale questa riflessione sembra giungere oggi, non quello nel quale può dirsi conclusa: proteggere la persona senza dissolvere ciò che è comune, e custodire la dimensione comune senza trasformarla nuovamente in immunità del potere.</w:t>
      </w:r>
    </w:p>
    <w:p w14:paraId="648A837D" w14:textId="284E6850" w:rsidR="00711E51" w:rsidRDefault="00711E51" w:rsidP="00711E51">
      <w:pPr>
        <w:pStyle w:val="Corpotesto"/>
        <w:rPr>
          <w:i/>
          <w:iCs/>
          <w:lang w:val="it-IT"/>
        </w:rPr>
      </w:pPr>
      <w:r w:rsidRPr="00711E51">
        <w:rPr>
          <w:i/>
          <w:iCs/>
          <w:lang w:val="it-IT"/>
        </w:rPr>
        <w:t>Giuseppe Romeo, Presidente aggiunto onorario del Consiglio di Stato</w:t>
      </w:r>
    </w:p>
    <w:p w14:paraId="3C4C656F" w14:textId="77777777" w:rsidR="00711E51" w:rsidRPr="0013239B" w:rsidRDefault="00711E51" w:rsidP="00711E51">
      <w:pPr>
        <w:pStyle w:val="Default"/>
        <w:suppressAutoHyphens/>
        <w:spacing w:before="0" w:after="340" w:line="360" w:lineRule="auto"/>
        <w:ind w:left="397"/>
        <w:jc w:val="both"/>
        <w:rPr>
          <w:rFonts w:ascii="Times New Roman" w:hAnsi="Times New Roman"/>
          <w:sz w:val="28"/>
          <w:szCs w:val="28"/>
        </w:rPr>
      </w:pPr>
      <w:r w:rsidRPr="0013239B">
        <w:rPr>
          <w:rFonts w:ascii="Garamond" w:eastAsia="Calibri" w:hAnsi="Garamond"/>
          <w:i/>
          <w:iCs/>
          <w:kern w:val="2"/>
          <w14:textOutline w14:w="0" w14:cap="rnd" w14:cmpd="sng" w14:algn="ctr">
            <w14:noFill/>
            <w14:prstDash w14:val="solid"/>
            <w14:bevel/>
          </w14:textOutline>
        </w:rPr>
        <w:t>Le opinioni di cui al presente contributo sono espresse dall’Autore a titolo personale; esse non impegnano l'Ufficio studi della Giustizia amministrativa, né quest'ultima quale Istituzione</w:t>
      </w:r>
      <w:r>
        <w:rPr>
          <w:rFonts w:ascii="Garamond" w:eastAsia="Calibri" w:hAnsi="Garamond"/>
          <w:i/>
          <w:iCs/>
          <w:kern w:val="2"/>
          <w14:textOutline w14:w="0" w14:cap="rnd" w14:cmpd="sng" w14:algn="ctr">
            <w14:noFill/>
            <w14:prstDash w14:val="solid"/>
            <w14:bevel/>
          </w14:textOutline>
        </w:rPr>
        <w:t>.</w:t>
      </w:r>
    </w:p>
    <w:p w14:paraId="668CA2BF" w14:textId="77777777" w:rsidR="00711E51" w:rsidRPr="00711E51" w:rsidRDefault="00711E51">
      <w:pPr>
        <w:pStyle w:val="Corpotesto"/>
        <w:rPr>
          <w:i/>
          <w:iCs/>
          <w:lang w:val="it-IT"/>
        </w:rPr>
      </w:pPr>
    </w:p>
    <w:sectPr w:rsidR="00711E51" w:rsidRPr="00711E51">
      <w:headerReference w:type="default" r:id="rId7"/>
      <w:footerReference w:type="default" r:id="rId8"/>
      <w:headerReference w:type="first" r:id="rId9"/>
      <w:footerReference w:type="first" r:id="rId10"/>
      <w:endnotePr>
        <w:numFmt w:val="decimal"/>
      </w:endnotePr>
      <w:pgSz w:w="12240" w:h="15840"/>
      <w:pgMar w:top="1417" w:right="1417" w:bottom="1361" w:left="1531" w:header="68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43F25" w14:textId="77777777" w:rsidR="001F4BBC" w:rsidRDefault="001F4BBC">
      <w:pPr>
        <w:spacing w:after="0" w:line="240" w:lineRule="auto"/>
      </w:pPr>
      <w:r>
        <w:separator/>
      </w:r>
    </w:p>
  </w:endnote>
  <w:endnote w:type="continuationSeparator" w:id="0">
    <w:p w14:paraId="27F0668C" w14:textId="77777777" w:rsidR="001F4BBC" w:rsidRDefault="001F4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default"/>
  </w:font>
  <w:font w:name="Helvetica Neue">
    <w:altName w:val="Arial"/>
    <w:charset w:val="00"/>
    <w:family w:val="roman"/>
    <w:pitch w:val="default"/>
  </w:font>
  <w:font w:name="Arial Unicode MS">
    <w:altName w:val="Arial"/>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A16CF" w14:textId="77777777" w:rsidR="000F3232" w:rsidRDefault="001F4BBC">
    <w:pPr>
      <w:pStyle w:val="Pidipagina"/>
      <w:jc w:val="center"/>
    </w:pPr>
    <w:r>
      <w:rPr>
        <w:sz w:val="18"/>
      </w:rPr>
      <w:fldChar w:fldCharType="begin"/>
    </w:r>
    <w:r>
      <w:rPr>
        <w:sz w:val="18"/>
      </w:rPr>
      <w:instrText xml:space="preserve"> PAGE </w:instrText>
    </w:r>
    <w:r>
      <w:rPr>
        <w:sz w:val="18"/>
      </w:rPr>
      <w:fldChar w:fldCharType="separate"/>
    </w:r>
    <w:r>
      <w:rPr>
        <w:sz w:val="18"/>
      </w:rPr>
      <w:t>25</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4C94C" w14:textId="77777777" w:rsidR="000F3232" w:rsidRDefault="001F4BBC">
    <w:pPr>
      <w:pStyle w:val="Pidipagina"/>
      <w:jc w:val="center"/>
    </w:pPr>
    <w:r>
      <w:rPr>
        <w:sz w:val="18"/>
      </w:rPr>
      <w:fldChar w:fldCharType="begin"/>
    </w:r>
    <w:r>
      <w:rPr>
        <w:sz w:val="18"/>
      </w:rPr>
      <w:instrText xml:space="preserve"> PAGE </w:instrText>
    </w:r>
    <w:r>
      <w:rPr>
        <w:sz w:val="18"/>
      </w:rPr>
      <w:fldChar w:fldCharType="separate"/>
    </w:r>
    <w:r>
      <w:rPr>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A27D4" w14:textId="77777777" w:rsidR="001F4BBC" w:rsidRDefault="001F4BBC">
      <w:pPr>
        <w:spacing w:after="0" w:line="240" w:lineRule="auto"/>
      </w:pPr>
      <w:r>
        <w:separator/>
      </w:r>
    </w:p>
  </w:footnote>
  <w:footnote w:type="continuationSeparator" w:id="0">
    <w:p w14:paraId="5B90EA80" w14:textId="77777777" w:rsidR="001F4BBC" w:rsidRDefault="001F4BBC">
      <w:pPr>
        <w:spacing w:after="0" w:line="240" w:lineRule="auto"/>
      </w:pPr>
      <w:r>
        <w:continuationSeparator/>
      </w:r>
    </w:p>
  </w:footnote>
  <w:footnote w:id="1">
    <w:p w14:paraId="41CD2560" w14:textId="77777777" w:rsidR="000F3232" w:rsidRPr="00FF3970" w:rsidRDefault="001F4BBC">
      <w:pPr>
        <w:pStyle w:val="Testonotaapidipagina"/>
        <w:rPr>
          <w:sz w:val="22"/>
          <w:lang w:val="it-IT"/>
        </w:rPr>
      </w:pPr>
      <w:r w:rsidRPr="00FF3970">
        <w:rPr>
          <w:rStyle w:val="Rimandonotaapidipagina"/>
          <w:lang w:val="it-IT"/>
        </w:rPr>
        <w:t>*</w:t>
      </w:r>
      <w:r w:rsidRPr="00FF3970">
        <w:rPr>
          <w:lang w:val="it-IT"/>
        </w:rPr>
        <w:t xml:space="preserve"> Il presente studio riprende e ricompone, in una prospettiva retrospettiva, contenuti di articoli pubblicati nel corso degli anni su temi di giustizia amministrativa. Nella fase di rielaborazione del testo sono stati impiegati anche strumenti di intelligenza artificiale generativa.</w:t>
      </w:r>
    </w:p>
  </w:footnote>
  <w:footnote w:id="2">
    <w:p w14:paraId="761FB9ED" w14:textId="77777777" w:rsidR="000F3232" w:rsidRPr="00FF3970" w:rsidRDefault="001F4BBC">
      <w:pPr>
        <w:rPr>
          <w:lang w:val="it-IT"/>
        </w:rPr>
      </w:pPr>
      <w:r>
        <w:footnoteRef/>
      </w:r>
      <w:r w:rsidRPr="00FF3970">
        <w:rPr>
          <w:lang w:val="it-IT"/>
        </w:rPr>
        <w:t xml:space="preserve"> G. Romeo, La giustizia amministrativa: passato, presente e futuro, in Diritto processuale amministrativo, 2017, n. 1.</w:t>
      </w:r>
    </w:p>
  </w:footnote>
  <w:footnote w:id="3">
    <w:p w14:paraId="3A2CA213" w14:textId="77777777" w:rsidR="000F3232" w:rsidRPr="00FF3970" w:rsidRDefault="001F4BBC">
      <w:pPr>
        <w:rPr>
          <w:lang w:val="it-IT"/>
        </w:rPr>
      </w:pPr>
      <w:r>
        <w:footnoteRef/>
      </w:r>
      <w:r w:rsidRPr="00FF3970">
        <w:rPr>
          <w:lang w:val="it-IT"/>
        </w:rPr>
        <w:t xml:space="preserve"> G. Romeo, Il giudice amministrativo nella società civile tardomoderna, in Diritto processuale amministrativo, 1997, n. 1.</w:t>
      </w:r>
    </w:p>
  </w:footnote>
  <w:footnote w:id="4">
    <w:p w14:paraId="5D5278CF" w14:textId="77777777" w:rsidR="000F3232" w:rsidRPr="00FF3970" w:rsidRDefault="001F4BBC">
      <w:pPr>
        <w:rPr>
          <w:lang w:val="it-IT"/>
        </w:rPr>
      </w:pPr>
      <w:r>
        <w:footnoteRef/>
      </w:r>
      <w:r w:rsidRPr="00FF3970">
        <w:rPr>
          <w:lang w:val="it-IT"/>
        </w:rPr>
        <w:t xml:space="preserve"> G. Romeo, Figure di verità nella giurisprudenza amministrativa, in Diritto processuale amministrativo, 2010, n. 4, p. 1185 ss.</w:t>
      </w:r>
    </w:p>
  </w:footnote>
  <w:footnote w:id="5">
    <w:p w14:paraId="3FF18919" w14:textId="77777777" w:rsidR="000F3232" w:rsidRPr="00FF3970" w:rsidRDefault="001F4BBC">
      <w:pPr>
        <w:rPr>
          <w:lang w:val="it-IT"/>
        </w:rPr>
      </w:pPr>
      <w:r>
        <w:footnoteRef/>
      </w:r>
      <w:r w:rsidRPr="00FF3970">
        <w:rPr>
          <w:lang w:val="it-IT"/>
        </w:rPr>
        <w:t xml:space="preserve"> G. Romeo, La persona, l’amministrazione ed il giudice amministrativo, in Diritto processuale amministrativo, 1986, n. 1, p. 94 ss.</w:t>
      </w:r>
    </w:p>
  </w:footnote>
  <w:footnote w:id="6">
    <w:p w14:paraId="30254D23" w14:textId="77777777" w:rsidR="000F3232" w:rsidRPr="00FF3970" w:rsidRDefault="001F4BBC">
      <w:pPr>
        <w:rPr>
          <w:lang w:val="it-IT"/>
        </w:rPr>
      </w:pPr>
      <w:r>
        <w:footnoteRef/>
      </w:r>
      <w:r w:rsidRPr="00FF3970">
        <w:rPr>
          <w:lang w:val="it-IT"/>
        </w:rPr>
        <w:t xml:space="preserve"> G. Romeo, Commento all’art. 20, in V. Italia - M. Bassani (coord.), Procedimento amministrativo e diritto di accesso ai documenti, Milano, Giuffrè, 1991; Id., Il cittadino e il giudice amministrativo di fronte al procedimento, in Diritto processuale amministrativo, 1993, n. 1, p. 105 ss.</w:t>
      </w:r>
    </w:p>
  </w:footnote>
  <w:footnote w:id="7">
    <w:p w14:paraId="220D1561" w14:textId="77777777" w:rsidR="000F3232" w:rsidRPr="00FF3970" w:rsidRDefault="001F4BBC">
      <w:pPr>
        <w:rPr>
          <w:lang w:val="it-IT"/>
        </w:rPr>
      </w:pPr>
      <w:r>
        <w:footnoteRef/>
      </w:r>
      <w:r w:rsidRPr="00FF3970">
        <w:rPr>
          <w:lang w:val="it-IT"/>
        </w:rPr>
        <w:t xml:space="preserve"> G. Romeo, Il diritto di accesso e la tutela della riservatezza nel procedimento amministrativo, in Foro italiano, 1999, III, 433.</w:t>
      </w:r>
    </w:p>
  </w:footnote>
  <w:footnote w:id="8">
    <w:p w14:paraId="6AF9DFA9" w14:textId="77777777" w:rsidR="000F3232" w:rsidRDefault="001F4BBC">
      <w:pPr>
        <w:rPr>
          <w:rFonts w:eastAsia="SimSun"/>
          <w:kern w:val="1"/>
          <w:sz w:val="20"/>
          <w:szCs w:val="20"/>
          <w:lang w:val="it-IT"/>
        </w:rPr>
      </w:pPr>
      <w:r>
        <w:footnoteRef/>
      </w:r>
      <w:r w:rsidRPr="00FF3970">
        <w:rPr>
          <w:lang w:val="it-IT"/>
        </w:rPr>
        <w:t xml:space="preserve"> Per l’emersione della problematica dell’interesse diffuso e della sua tutela, v. G. Romeo, L’interesse diffuso, l’ambiente e il giudice amministrativo, in Diritto processuale amministrativo, 1986, n. 4, p. 562 ss.; per il successivo problema degli interessi che eccedono la rappresentazione procedimentale delineata dalla legge n. 241 del 1990, Id., La scelta ambientalista del giudice amministrativo, in Urbanistica e appalti, 2000, p. 1283 ss.</w:t>
      </w:r>
    </w:p>
  </w:footnote>
  <w:footnote w:id="9">
    <w:p w14:paraId="0F0643CB" w14:textId="77777777" w:rsidR="000F3232" w:rsidRPr="00FF3970" w:rsidRDefault="001F4BBC">
      <w:pPr>
        <w:rPr>
          <w:lang w:val="it-IT"/>
        </w:rPr>
      </w:pPr>
      <w:r>
        <w:footnoteRef/>
      </w:r>
      <w:r w:rsidRPr="00FF3970">
        <w:rPr>
          <w:lang w:val="it-IT"/>
        </w:rPr>
        <w:t xml:space="preserve"> G. Romeo, Interesse legittimo e interesse a ricorrere: una distinzione inutile, in Diritto processuale amministrativo, 1989, n. 3, p. 400 ss.</w:t>
      </w:r>
    </w:p>
  </w:footnote>
  <w:footnote w:id="10">
    <w:p w14:paraId="7E637DB6" w14:textId="77777777" w:rsidR="000F3232" w:rsidRPr="00FF3970" w:rsidRDefault="001F4BBC">
      <w:pPr>
        <w:rPr>
          <w:lang w:val="it-IT"/>
        </w:rPr>
      </w:pPr>
      <w:r>
        <w:footnoteRef/>
      </w:r>
      <w:r w:rsidRPr="00FF3970">
        <w:rPr>
          <w:lang w:val="it-IT"/>
        </w:rPr>
        <w:t xml:space="preserve"> G. Romeo, Il paradosso della giustizia amministrativa, in Diritto processuale amministrativo, 2001, n. 4, p. 1042 ss.</w:t>
      </w:r>
    </w:p>
  </w:footnote>
  <w:footnote w:id="11">
    <w:p w14:paraId="49DAAD72" w14:textId="77777777" w:rsidR="000F3232" w:rsidRPr="00FF3970" w:rsidRDefault="001F4BBC">
      <w:pPr>
        <w:rPr>
          <w:lang w:val="it-IT"/>
        </w:rPr>
      </w:pPr>
      <w:r>
        <w:footnoteRef/>
      </w:r>
      <w:r w:rsidRPr="00FF3970">
        <w:rPr>
          <w:lang w:val="it-IT"/>
        </w:rPr>
        <w:t xml:space="preserve"> G. Romeo, Giustizia ordinaria e amministrativa: due ispirazioni a confronto, in Diritto processuale amministrativo, 2008, n. 1, p. 14 ss.</w:t>
      </w:r>
    </w:p>
  </w:footnote>
  <w:footnote w:id="12">
    <w:p w14:paraId="653CD1D8" w14:textId="77777777" w:rsidR="000F3232" w:rsidRPr="00FF3970" w:rsidRDefault="001F4BBC">
      <w:pPr>
        <w:rPr>
          <w:lang w:val="it-IT"/>
        </w:rPr>
      </w:pPr>
      <w:r>
        <w:footnoteRef/>
      </w:r>
      <w:r w:rsidRPr="00FF3970">
        <w:rPr>
          <w:lang w:val="it-IT"/>
        </w:rPr>
        <w:t xml:space="preserve"> G. Romeo, A proposito del giudizio sulla giurisdizione, in Diritto processuale amministrativo, 2013, n. 3, p. 987 ss.</w:t>
      </w:r>
    </w:p>
  </w:footnote>
  <w:footnote w:id="13">
    <w:p w14:paraId="694B26BB" w14:textId="77777777" w:rsidR="000F3232" w:rsidRPr="00FF3970" w:rsidRDefault="001F4BBC">
      <w:pPr>
        <w:rPr>
          <w:lang w:val="it-IT"/>
        </w:rPr>
      </w:pPr>
      <w:r>
        <w:footnoteRef/>
      </w:r>
      <w:r w:rsidRPr="00FF3970">
        <w:rPr>
          <w:lang w:val="it-IT"/>
        </w:rPr>
        <w:t xml:space="preserve"> G. Romeo, Aggiudicazione e contratto: un tentativo fallito di pubblicizzare il contratto, in Diritto processuale amministrativo, 2008, n. 4, p. 1031 ss.</w:t>
      </w:r>
    </w:p>
  </w:footnote>
  <w:footnote w:id="14">
    <w:p w14:paraId="0319B6EB" w14:textId="77777777" w:rsidR="000F3232" w:rsidRDefault="001F4BBC">
      <w:pPr>
        <w:rPr>
          <w:rFonts w:eastAsia="SimSun"/>
          <w:kern w:val="1"/>
          <w:sz w:val="20"/>
          <w:szCs w:val="20"/>
          <w:lang w:val="it-IT"/>
        </w:rPr>
      </w:pPr>
      <w:r>
        <w:footnoteRef/>
      </w:r>
      <w:r w:rsidRPr="00FF3970">
        <w:rPr>
          <w:lang w:val="it-IT"/>
        </w:rPr>
        <w:t xml:space="preserve"> Sul problema della disapplicazione dei regolamenti illegittimi e sui suoi riflessi sui rapporti tra controllo incidentale, impugnazione e certezza dei rapporti, v. G. Romeo, La disapplicazione dei regolamenti illegittimi: una pratica giudiziale dagli esiti incerti, in Diritto processuale amministrativo, 1998, n. 1, p. 10; per una più generale considerazione delle tecniche interpretative utilizzate dal giudice amministrativo, Id., Figure di verità nella giurisprudenza amministrativa, cit.</w:t>
      </w:r>
    </w:p>
  </w:footnote>
  <w:footnote w:id="15">
    <w:p w14:paraId="0C8B06D4" w14:textId="77777777" w:rsidR="000F3232" w:rsidRPr="00FF3970" w:rsidRDefault="001F4BBC">
      <w:pPr>
        <w:rPr>
          <w:lang w:val="it-IT"/>
        </w:rPr>
      </w:pPr>
      <w:r>
        <w:footnoteRef/>
      </w:r>
      <w:r w:rsidRPr="00FF3970">
        <w:rPr>
          <w:lang w:val="it-IT"/>
        </w:rPr>
        <w:t xml:space="preserve"> Per la diversa lettura della responsabilità dell’amministrazione nella prospettiva della tutela individuale e della sfera pubblica, v. G. Romeo, Giustizia ordinaria e amministrativa: due ispirazioni a confronto, cit.</w:t>
      </w:r>
    </w:p>
  </w:footnote>
  <w:footnote w:id="16">
    <w:p w14:paraId="4C91A1FF" w14:textId="77777777" w:rsidR="000F3232" w:rsidRPr="00FF3970" w:rsidRDefault="001F4BBC">
      <w:pPr>
        <w:rPr>
          <w:lang w:val="it-IT"/>
        </w:rPr>
      </w:pPr>
      <w:r>
        <w:footnoteRef/>
      </w:r>
      <w:r w:rsidRPr="00FF3970">
        <w:rPr>
          <w:lang w:val="it-IT"/>
        </w:rPr>
        <w:t xml:space="preserve"> G. Romeo, A proposito del controllo di legalità, in Diritto processuale amministrativo, 2012, n. 2, p. 551 ss.</w:t>
      </w:r>
    </w:p>
  </w:footnote>
  <w:footnote w:id="17">
    <w:p w14:paraId="0A00A034" w14:textId="77777777" w:rsidR="000F3232" w:rsidRPr="00FF3970" w:rsidRDefault="001F4BBC">
      <w:pPr>
        <w:rPr>
          <w:lang w:val="it-IT"/>
        </w:rPr>
      </w:pPr>
      <w:r>
        <w:footnoteRef/>
      </w:r>
      <w:r w:rsidRPr="00FF3970">
        <w:rPr>
          <w:lang w:val="it-IT"/>
        </w:rPr>
        <w:t xml:space="preserve"> G. Romeo, La giustizia amministrativa: passato, presente e futuro, cit.</w:t>
      </w:r>
    </w:p>
  </w:footnote>
  <w:footnote w:id="18">
    <w:p w14:paraId="550E96A6" w14:textId="77777777" w:rsidR="000F3232" w:rsidRPr="00FF3970" w:rsidRDefault="001F4BBC">
      <w:pPr>
        <w:rPr>
          <w:lang w:val="it-IT"/>
        </w:rPr>
      </w:pPr>
      <w:r>
        <w:footnoteRef/>
      </w:r>
      <w:r w:rsidRPr="00FF3970">
        <w:rPr>
          <w:lang w:val="it-IT"/>
        </w:rPr>
        <w:t xml:space="preserve"> G. Romeo, L’ottemperanza, oggi, in Diritto processuale amministrativo, 1988, n. 1.</w:t>
      </w:r>
    </w:p>
  </w:footnote>
  <w:footnote w:id="19">
    <w:p w14:paraId="2BB63B24" w14:textId="77777777" w:rsidR="000F3232" w:rsidRPr="00FF3970" w:rsidRDefault="001F4BBC">
      <w:pPr>
        <w:rPr>
          <w:lang w:val="it-IT"/>
        </w:rPr>
      </w:pPr>
      <w:r>
        <w:footnoteRef/>
      </w:r>
      <w:r w:rsidRPr="00FF3970">
        <w:rPr>
          <w:lang w:val="it-IT"/>
        </w:rPr>
        <w:t xml:space="preserve"> Per due momenti della riflessione sul mutamento sociale e sulla crisi del limite, v. G. Romeo, Il giudice amministrativo nella società civile tardomoderna, cit.; Id., La cultura del narcisismo e l’assenza del «limite» nella giurisprudenza amministrativa, in Diritto processuale amministrativo, 2015.</w:t>
      </w:r>
    </w:p>
  </w:footnote>
  <w:footnote w:id="20">
    <w:p w14:paraId="0907AFF2" w14:textId="77777777" w:rsidR="000F3232" w:rsidRPr="00FF3970" w:rsidRDefault="001F4BBC">
      <w:pPr>
        <w:rPr>
          <w:lang w:val="it-IT"/>
        </w:rPr>
      </w:pPr>
      <w:r>
        <w:footnoteRef/>
      </w:r>
      <w:r w:rsidRPr="00FF3970">
        <w:rPr>
          <w:lang w:val="it-IT"/>
        </w:rPr>
        <w:t xml:space="preserve"> G. Romeo, La narrativa della giustizia amministrativa tra autocompiacenza, insoddisfazione e mitologie, vecchie e nuove, in Diritto processuale amministrativo, 2016, n. 4, p. 1219.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D13E" w14:textId="77777777" w:rsidR="000F3232" w:rsidRPr="00FF3970" w:rsidRDefault="001F4BBC">
    <w:pPr>
      <w:pStyle w:val="Intestazione"/>
      <w:jc w:val="center"/>
      <w:rPr>
        <w:lang w:val="it-IT"/>
      </w:rPr>
    </w:pPr>
    <w:r w:rsidRPr="00FF3970">
      <w:rPr>
        <w:i/>
        <w:sz w:val="16"/>
        <w:lang w:val="it-IT"/>
      </w:rPr>
      <w:t>INDIVIDUO, SFERA PUBBLICA E GIUSTIZIA AMMINISTRATIVA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7B28" w14:textId="77777777" w:rsidR="000F3232" w:rsidRDefault="000F323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E15B1"/>
    <w:multiLevelType w:val="singleLevel"/>
    <w:tmpl w:val="B694DA8A"/>
    <w:name w:val="Elenco numerato 5"/>
    <w:lvl w:ilvl="0">
      <w:numFmt w:val="bullet"/>
      <w:lvlText w:val=""/>
      <w:lvlJc w:val="left"/>
      <w:pPr>
        <w:ind w:left="1080" w:firstLine="0"/>
      </w:pPr>
      <w:rPr>
        <w:rFonts w:ascii="Symbol" w:hAnsi="Symbol"/>
      </w:rPr>
    </w:lvl>
  </w:abstractNum>
  <w:abstractNum w:abstractNumId="1" w15:restartNumberingAfterBreak="0">
    <w:nsid w:val="115D447F"/>
    <w:multiLevelType w:val="hybridMultilevel"/>
    <w:tmpl w:val="AF861B32"/>
    <w:lvl w:ilvl="0" w:tplc="9B406152">
      <w:numFmt w:val="none"/>
      <w:lvlText w:val=""/>
      <w:lvlJc w:val="left"/>
      <w:pPr>
        <w:tabs>
          <w:tab w:val="num" w:pos="360"/>
        </w:tabs>
        <w:ind w:left="360" w:hanging="360"/>
      </w:pPr>
    </w:lvl>
    <w:lvl w:ilvl="1" w:tplc="1D386EF2">
      <w:numFmt w:val="none"/>
      <w:lvlText w:val=""/>
      <w:lvlJc w:val="left"/>
      <w:pPr>
        <w:tabs>
          <w:tab w:val="num" w:pos="360"/>
        </w:tabs>
        <w:ind w:left="360" w:hanging="360"/>
      </w:pPr>
    </w:lvl>
    <w:lvl w:ilvl="2" w:tplc="C7A21486">
      <w:numFmt w:val="none"/>
      <w:lvlText w:val=""/>
      <w:lvlJc w:val="left"/>
      <w:pPr>
        <w:tabs>
          <w:tab w:val="num" w:pos="360"/>
        </w:tabs>
        <w:ind w:left="360" w:hanging="360"/>
      </w:pPr>
    </w:lvl>
    <w:lvl w:ilvl="3" w:tplc="A9D87810">
      <w:numFmt w:val="none"/>
      <w:lvlText w:val=""/>
      <w:lvlJc w:val="left"/>
      <w:pPr>
        <w:tabs>
          <w:tab w:val="num" w:pos="360"/>
        </w:tabs>
        <w:ind w:left="360" w:hanging="360"/>
      </w:pPr>
    </w:lvl>
    <w:lvl w:ilvl="4" w:tplc="8DA2F968">
      <w:numFmt w:val="none"/>
      <w:lvlText w:val=""/>
      <w:lvlJc w:val="left"/>
      <w:pPr>
        <w:tabs>
          <w:tab w:val="num" w:pos="360"/>
        </w:tabs>
        <w:ind w:left="360" w:hanging="360"/>
      </w:pPr>
    </w:lvl>
    <w:lvl w:ilvl="5" w:tplc="C84C8A70">
      <w:numFmt w:val="none"/>
      <w:lvlText w:val=""/>
      <w:lvlJc w:val="left"/>
      <w:pPr>
        <w:tabs>
          <w:tab w:val="num" w:pos="360"/>
        </w:tabs>
        <w:ind w:left="360" w:hanging="360"/>
      </w:pPr>
    </w:lvl>
    <w:lvl w:ilvl="6" w:tplc="715C46D2">
      <w:numFmt w:val="none"/>
      <w:lvlText w:val=""/>
      <w:lvlJc w:val="left"/>
      <w:pPr>
        <w:tabs>
          <w:tab w:val="num" w:pos="360"/>
        </w:tabs>
        <w:ind w:left="360" w:hanging="360"/>
      </w:pPr>
    </w:lvl>
    <w:lvl w:ilvl="7" w:tplc="681672FA">
      <w:numFmt w:val="none"/>
      <w:lvlText w:val=""/>
      <w:lvlJc w:val="left"/>
      <w:pPr>
        <w:tabs>
          <w:tab w:val="num" w:pos="360"/>
        </w:tabs>
        <w:ind w:left="360" w:hanging="360"/>
      </w:pPr>
    </w:lvl>
    <w:lvl w:ilvl="8" w:tplc="6F1ACE1A">
      <w:numFmt w:val="none"/>
      <w:lvlText w:val=""/>
      <w:lvlJc w:val="left"/>
      <w:pPr>
        <w:tabs>
          <w:tab w:val="num" w:pos="360"/>
        </w:tabs>
        <w:ind w:left="360" w:hanging="360"/>
      </w:pPr>
    </w:lvl>
  </w:abstractNum>
  <w:abstractNum w:abstractNumId="2" w15:restartNumberingAfterBreak="0">
    <w:nsid w:val="12F2065A"/>
    <w:multiLevelType w:val="hybridMultilevel"/>
    <w:tmpl w:val="AF481174"/>
    <w:name w:val="Elenco numerato 10"/>
    <w:lvl w:ilvl="0" w:tplc="CE042524">
      <w:numFmt w:val="bullet"/>
      <w:lvlText w:val=" "/>
      <w:lvlJc w:val="left"/>
      <w:pPr>
        <w:ind w:left="240" w:firstLine="0"/>
      </w:pPr>
    </w:lvl>
    <w:lvl w:ilvl="1" w:tplc="251C1860">
      <w:numFmt w:val="bullet"/>
      <w:lvlText w:val=" "/>
      <w:lvlJc w:val="left"/>
      <w:pPr>
        <w:ind w:left="960" w:firstLine="0"/>
      </w:pPr>
    </w:lvl>
    <w:lvl w:ilvl="2" w:tplc="5DCE3AC4">
      <w:numFmt w:val="bullet"/>
      <w:lvlText w:val=" "/>
      <w:lvlJc w:val="left"/>
      <w:pPr>
        <w:ind w:left="1680" w:firstLine="0"/>
      </w:pPr>
    </w:lvl>
    <w:lvl w:ilvl="3" w:tplc="E5D8333E">
      <w:numFmt w:val="bullet"/>
      <w:lvlText w:val=" "/>
      <w:lvlJc w:val="left"/>
      <w:pPr>
        <w:ind w:left="2400" w:firstLine="0"/>
      </w:pPr>
    </w:lvl>
    <w:lvl w:ilvl="4" w:tplc="3BA6DF34">
      <w:numFmt w:val="bullet"/>
      <w:lvlText w:val=" "/>
      <w:lvlJc w:val="left"/>
      <w:pPr>
        <w:ind w:left="3120" w:firstLine="0"/>
      </w:pPr>
    </w:lvl>
    <w:lvl w:ilvl="5" w:tplc="4C1AF308">
      <w:numFmt w:val="bullet"/>
      <w:lvlText w:val=" "/>
      <w:lvlJc w:val="left"/>
      <w:pPr>
        <w:ind w:left="3840" w:firstLine="0"/>
      </w:pPr>
    </w:lvl>
    <w:lvl w:ilvl="6" w:tplc="3D067BEC">
      <w:numFmt w:val="bullet"/>
      <w:lvlText w:val=" "/>
      <w:lvlJc w:val="left"/>
      <w:pPr>
        <w:ind w:left="4560" w:firstLine="0"/>
      </w:pPr>
    </w:lvl>
    <w:lvl w:ilvl="7" w:tplc="7FBA8F7E">
      <w:numFmt w:val="bullet"/>
      <w:lvlText w:val=" "/>
      <w:lvlJc w:val="left"/>
      <w:pPr>
        <w:ind w:left="5280" w:firstLine="0"/>
      </w:pPr>
    </w:lvl>
    <w:lvl w:ilvl="8" w:tplc="7488E1DE">
      <w:numFmt w:val="bullet"/>
      <w:lvlText w:val=" "/>
      <w:lvlJc w:val="left"/>
      <w:pPr>
        <w:ind w:left="6000" w:firstLine="0"/>
      </w:pPr>
    </w:lvl>
  </w:abstractNum>
  <w:abstractNum w:abstractNumId="3" w15:restartNumberingAfterBreak="0">
    <w:nsid w:val="1CEB232C"/>
    <w:multiLevelType w:val="singleLevel"/>
    <w:tmpl w:val="FB48A774"/>
    <w:name w:val="Elenco numerato 2"/>
    <w:lvl w:ilvl="0">
      <w:start w:val="1"/>
      <w:numFmt w:val="decimal"/>
      <w:lvlText w:val="%1."/>
      <w:lvlJc w:val="left"/>
      <w:pPr>
        <w:ind w:left="1080" w:firstLine="0"/>
      </w:pPr>
    </w:lvl>
  </w:abstractNum>
  <w:abstractNum w:abstractNumId="4" w15:restartNumberingAfterBreak="0">
    <w:nsid w:val="395521D0"/>
    <w:multiLevelType w:val="singleLevel"/>
    <w:tmpl w:val="AB5A4EC8"/>
    <w:name w:val="Elenco numerato 1"/>
    <w:lvl w:ilvl="0">
      <w:start w:val="1"/>
      <w:numFmt w:val="decimal"/>
      <w:lvlText w:val="%1."/>
      <w:lvlJc w:val="left"/>
      <w:pPr>
        <w:ind w:left="1440" w:firstLine="0"/>
      </w:pPr>
    </w:lvl>
  </w:abstractNum>
  <w:abstractNum w:abstractNumId="5" w15:restartNumberingAfterBreak="0">
    <w:nsid w:val="3ADD6DB7"/>
    <w:multiLevelType w:val="singleLevel"/>
    <w:tmpl w:val="9D3EC754"/>
    <w:name w:val="Elenco numerato 4"/>
    <w:lvl w:ilvl="0">
      <w:start w:val="1"/>
      <w:numFmt w:val="decimal"/>
      <w:pStyle w:val="Numeroelenco2"/>
      <w:lvlText w:val="%1."/>
      <w:lvlJc w:val="left"/>
      <w:pPr>
        <w:ind w:left="360" w:firstLine="0"/>
      </w:pPr>
    </w:lvl>
  </w:abstractNum>
  <w:abstractNum w:abstractNumId="6" w15:restartNumberingAfterBreak="0">
    <w:nsid w:val="3BAC0744"/>
    <w:multiLevelType w:val="singleLevel"/>
    <w:tmpl w:val="C548106C"/>
    <w:name w:val="Elenco numerato 3"/>
    <w:lvl w:ilvl="0">
      <w:start w:val="1"/>
      <w:numFmt w:val="decimal"/>
      <w:pStyle w:val="Numeroelenco3"/>
      <w:lvlText w:val="%1."/>
      <w:lvlJc w:val="left"/>
      <w:pPr>
        <w:ind w:left="720" w:firstLine="0"/>
      </w:pPr>
    </w:lvl>
  </w:abstractNum>
  <w:abstractNum w:abstractNumId="7" w15:restartNumberingAfterBreak="0">
    <w:nsid w:val="52CB6DE4"/>
    <w:multiLevelType w:val="singleLevel"/>
    <w:tmpl w:val="1BEC8B9A"/>
    <w:name w:val="Elenco numerato 8"/>
    <w:lvl w:ilvl="0">
      <w:start w:val="1"/>
      <w:numFmt w:val="decimal"/>
      <w:pStyle w:val="Numeroelenco"/>
      <w:lvlText w:val="%1."/>
      <w:lvlJc w:val="left"/>
      <w:pPr>
        <w:ind w:left="0" w:firstLine="0"/>
      </w:pPr>
    </w:lvl>
  </w:abstractNum>
  <w:abstractNum w:abstractNumId="8" w15:restartNumberingAfterBreak="0">
    <w:nsid w:val="65B77630"/>
    <w:multiLevelType w:val="singleLevel"/>
    <w:tmpl w:val="D2128DD4"/>
    <w:name w:val="Elenco numerato 9"/>
    <w:lvl w:ilvl="0">
      <w:numFmt w:val="bullet"/>
      <w:pStyle w:val="Puntoelenco"/>
      <w:lvlText w:val=""/>
      <w:lvlJc w:val="left"/>
      <w:pPr>
        <w:ind w:left="0" w:firstLine="0"/>
      </w:pPr>
      <w:rPr>
        <w:rFonts w:ascii="Symbol" w:hAnsi="Symbol"/>
      </w:rPr>
    </w:lvl>
  </w:abstractNum>
  <w:abstractNum w:abstractNumId="9" w15:restartNumberingAfterBreak="0">
    <w:nsid w:val="6DF52C54"/>
    <w:multiLevelType w:val="singleLevel"/>
    <w:tmpl w:val="A1361024"/>
    <w:name w:val="Elenco numerato 6"/>
    <w:lvl w:ilvl="0">
      <w:numFmt w:val="bullet"/>
      <w:pStyle w:val="Puntoelenco3"/>
      <w:lvlText w:val=""/>
      <w:lvlJc w:val="left"/>
      <w:pPr>
        <w:ind w:left="720" w:firstLine="0"/>
      </w:pPr>
      <w:rPr>
        <w:rFonts w:ascii="Symbol" w:hAnsi="Symbol"/>
      </w:rPr>
    </w:lvl>
  </w:abstractNum>
  <w:abstractNum w:abstractNumId="10" w15:restartNumberingAfterBreak="0">
    <w:nsid w:val="71B175FF"/>
    <w:multiLevelType w:val="singleLevel"/>
    <w:tmpl w:val="EC2AA9EE"/>
    <w:name w:val="Elenco numerato 7"/>
    <w:lvl w:ilvl="0">
      <w:numFmt w:val="bullet"/>
      <w:pStyle w:val="Puntoelenco2"/>
      <w:lvlText w:val=""/>
      <w:lvlJc w:val="left"/>
      <w:pPr>
        <w:ind w:left="360" w:firstLine="0"/>
      </w:pPr>
      <w:rPr>
        <w:rFonts w:ascii="Symbol" w:hAnsi="Symbol"/>
      </w:rPr>
    </w:lvl>
  </w:abstractNum>
  <w:num w:numId="1" w16cid:durableId="1532302351">
    <w:abstractNumId w:val="4"/>
  </w:num>
  <w:num w:numId="2" w16cid:durableId="993795258">
    <w:abstractNumId w:val="3"/>
  </w:num>
  <w:num w:numId="3" w16cid:durableId="1808740957">
    <w:abstractNumId w:val="6"/>
  </w:num>
  <w:num w:numId="4" w16cid:durableId="51123245">
    <w:abstractNumId w:val="5"/>
  </w:num>
  <w:num w:numId="5" w16cid:durableId="293488058">
    <w:abstractNumId w:val="0"/>
  </w:num>
  <w:num w:numId="6" w16cid:durableId="459153773">
    <w:abstractNumId w:val="9"/>
  </w:num>
  <w:num w:numId="7" w16cid:durableId="1509054771">
    <w:abstractNumId w:val="10"/>
  </w:num>
  <w:num w:numId="8" w16cid:durableId="1700203200">
    <w:abstractNumId w:val="7"/>
  </w:num>
  <w:num w:numId="9" w16cid:durableId="1934125801">
    <w:abstractNumId w:val="8"/>
  </w:num>
  <w:num w:numId="10" w16cid:durableId="491723362">
    <w:abstractNumId w:val="2"/>
  </w:num>
  <w:num w:numId="11" w16cid:durableId="1161459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360"/>
  <w:drawingGridVerticalSpacing w:val="36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232"/>
    <w:rsid w:val="000F3232"/>
    <w:rsid w:val="001F4BBC"/>
    <w:rsid w:val="00711E51"/>
    <w:rsid w:val="007B5D94"/>
    <w:rsid w:val="00F44CB6"/>
    <w:rsid w:val="00FF39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98F85"/>
  <w15:docId w15:val="{9EC5E218-A2B9-47D6-9643-F9C1DBB31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sz w:val="22"/>
        <w:szCs w:val="22"/>
        <w:lang w:val="en-US" w:eastAsia="zh-CN" w:bidi="ar-SA"/>
      </w:rPr>
    </w:rPrDefault>
    <w:pPrDefault>
      <w:pPr>
        <w:spacing w:after="100" w:line="360" w:lineRule="auto"/>
        <w:ind w:firstLine="3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sz w:val="24"/>
    </w:rPr>
  </w:style>
  <w:style w:type="paragraph" w:styleId="Titolo1">
    <w:name w:val="heading 1"/>
    <w:basedOn w:val="Normale"/>
    <w:next w:val="Normale"/>
    <w:qFormat/>
    <w:pPr>
      <w:keepNext/>
      <w:keepLines/>
      <w:spacing w:before="280" w:after="140"/>
      <w:outlineLvl w:val="0"/>
    </w:pPr>
    <w:rPr>
      <w:b/>
      <w:bCs/>
      <w:color w:val="000000"/>
      <w:sz w:val="26"/>
      <w:szCs w:val="28"/>
    </w:rPr>
  </w:style>
  <w:style w:type="paragraph" w:styleId="Titolo2">
    <w:name w:val="heading 2"/>
    <w:basedOn w:val="Normale"/>
    <w:next w:val="Normale"/>
    <w:qFormat/>
    <w:pPr>
      <w:keepNext/>
      <w:keepLines/>
      <w:spacing w:before="200" w:after="0"/>
      <w:outlineLvl w:val="1"/>
    </w:pPr>
    <w:rPr>
      <w:rFonts w:ascii="Calibri" w:eastAsia="Calibri" w:hAnsi="Calibri"/>
      <w:b/>
      <w:bCs/>
      <w:color w:val="4F81BD"/>
      <w:sz w:val="26"/>
      <w:szCs w:val="26"/>
    </w:rPr>
  </w:style>
  <w:style w:type="paragraph" w:styleId="Titolo3">
    <w:name w:val="heading 3"/>
    <w:basedOn w:val="Normale"/>
    <w:next w:val="Normale"/>
    <w:qFormat/>
    <w:pPr>
      <w:keepNext/>
      <w:keepLines/>
      <w:spacing w:before="200" w:after="0"/>
      <w:outlineLvl w:val="2"/>
    </w:pPr>
    <w:rPr>
      <w:rFonts w:ascii="Calibri" w:eastAsia="Calibri" w:hAnsi="Calibri"/>
      <w:b/>
      <w:bCs/>
      <w:color w:val="4F81BD"/>
    </w:rPr>
  </w:style>
  <w:style w:type="paragraph" w:styleId="Titolo4">
    <w:name w:val="heading 4"/>
    <w:basedOn w:val="Normale"/>
    <w:next w:val="Normale"/>
    <w:qFormat/>
    <w:pPr>
      <w:keepNext/>
      <w:keepLines/>
      <w:spacing w:before="200" w:after="0"/>
      <w:outlineLvl w:val="3"/>
    </w:pPr>
    <w:rPr>
      <w:rFonts w:ascii="Calibri" w:eastAsia="Calibri" w:hAnsi="Calibri"/>
      <w:b/>
      <w:bCs/>
      <w:i/>
      <w:iCs/>
      <w:color w:val="4F81BD"/>
    </w:rPr>
  </w:style>
  <w:style w:type="paragraph" w:styleId="Titolo5">
    <w:name w:val="heading 5"/>
    <w:basedOn w:val="Normale"/>
    <w:next w:val="Normale"/>
    <w:qFormat/>
    <w:pPr>
      <w:keepNext/>
      <w:keepLines/>
      <w:spacing w:before="200" w:after="0"/>
      <w:outlineLvl w:val="4"/>
    </w:pPr>
    <w:rPr>
      <w:rFonts w:ascii="Calibri" w:eastAsia="Calibri" w:hAnsi="Calibri"/>
      <w:color w:val="243F60"/>
    </w:rPr>
  </w:style>
  <w:style w:type="paragraph" w:styleId="Titolo6">
    <w:name w:val="heading 6"/>
    <w:basedOn w:val="Normale"/>
    <w:next w:val="Normale"/>
    <w:qFormat/>
    <w:pPr>
      <w:keepNext/>
      <w:keepLines/>
      <w:spacing w:before="200" w:after="0"/>
      <w:outlineLvl w:val="5"/>
    </w:pPr>
    <w:rPr>
      <w:rFonts w:ascii="Calibri" w:eastAsia="Calibri" w:hAnsi="Calibri"/>
      <w:i/>
      <w:iCs/>
      <w:color w:val="243F60"/>
    </w:rPr>
  </w:style>
  <w:style w:type="paragraph" w:styleId="Titolo7">
    <w:name w:val="heading 7"/>
    <w:basedOn w:val="Normale"/>
    <w:next w:val="Normale"/>
    <w:qFormat/>
    <w:pPr>
      <w:keepNext/>
      <w:keepLines/>
      <w:spacing w:before="200" w:after="0"/>
      <w:outlineLvl w:val="6"/>
    </w:pPr>
    <w:rPr>
      <w:rFonts w:ascii="Calibri" w:eastAsia="Calibri" w:hAnsi="Calibri"/>
      <w:i/>
      <w:iCs/>
      <w:color w:val="404040"/>
    </w:rPr>
  </w:style>
  <w:style w:type="paragraph" w:styleId="Titolo8">
    <w:name w:val="heading 8"/>
    <w:basedOn w:val="Normale"/>
    <w:next w:val="Normale"/>
    <w:qFormat/>
    <w:pPr>
      <w:keepNext/>
      <w:keepLines/>
      <w:spacing w:before="200" w:after="0"/>
      <w:outlineLvl w:val="7"/>
    </w:pPr>
    <w:rPr>
      <w:rFonts w:ascii="Calibri" w:eastAsia="Calibri" w:hAnsi="Calibri"/>
      <w:color w:val="4F81BD"/>
      <w:sz w:val="20"/>
      <w:szCs w:val="20"/>
    </w:rPr>
  </w:style>
  <w:style w:type="paragraph" w:styleId="Titolo9">
    <w:name w:val="heading 9"/>
    <w:basedOn w:val="Normale"/>
    <w:next w:val="Normale"/>
    <w:qFormat/>
    <w:pPr>
      <w:keepNext/>
      <w:keepLines/>
      <w:spacing w:before="200" w:after="0"/>
      <w:outlineLvl w:val="8"/>
    </w:pPr>
    <w:rPr>
      <w:rFonts w:ascii="Calibri" w:eastAsia="Calibri" w:hAnsi="Calibri"/>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qFormat/>
    <w:pPr>
      <w:tabs>
        <w:tab w:val="center" w:pos="4680"/>
        <w:tab w:val="right" w:pos="9360"/>
      </w:tabs>
      <w:spacing w:after="0" w:line="240" w:lineRule="auto"/>
    </w:pPr>
  </w:style>
  <w:style w:type="paragraph" w:styleId="Pidipagina">
    <w:name w:val="footer"/>
    <w:basedOn w:val="Normale"/>
    <w:qFormat/>
    <w:pPr>
      <w:tabs>
        <w:tab w:val="center" w:pos="4680"/>
        <w:tab w:val="right" w:pos="9360"/>
      </w:tabs>
      <w:spacing w:after="0" w:line="240" w:lineRule="auto"/>
    </w:pPr>
  </w:style>
  <w:style w:type="paragraph" w:styleId="Nessunaspaziatura">
    <w:name w:val="No Spacing"/>
    <w:qFormat/>
    <w:pPr>
      <w:spacing w:after="0" w:line="240" w:lineRule="auto"/>
      <w:ind w:firstLine="0"/>
      <w:jc w:val="left"/>
    </w:pPr>
  </w:style>
  <w:style w:type="paragraph" w:styleId="Titolo">
    <w:name w:val="Title"/>
    <w:basedOn w:val="Normale"/>
    <w:next w:val="Normale"/>
    <w:qFormat/>
    <w:pPr>
      <w:spacing w:after="120" w:line="240" w:lineRule="auto"/>
      <w:contextualSpacing/>
      <w:jc w:val="center"/>
    </w:pPr>
    <w:rPr>
      <w:b/>
      <w:color w:val="000000"/>
      <w:spacing w:val="5"/>
      <w:kern w:val="1"/>
      <w:sz w:val="32"/>
      <w:szCs w:val="52"/>
    </w:rPr>
  </w:style>
  <w:style w:type="paragraph" w:styleId="Sottotitolo">
    <w:name w:val="Subtitle"/>
    <w:basedOn w:val="Normale"/>
    <w:next w:val="Normale"/>
    <w:qFormat/>
    <w:pPr>
      <w:spacing w:after="360"/>
      <w:jc w:val="center"/>
    </w:pPr>
    <w:rPr>
      <w:i/>
      <w:iCs/>
      <w:color w:val="000000"/>
      <w:spacing w:val="15"/>
      <w:szCs w:val="24"/>
    </w:rPr>
  </w:style>
  <w:style w:type="paragraph" w:styleId="Paragrafoelenco">
    <w:name w:val="List Paragraph"/>
    <w:basedOn w:val="Normale"/>
    <w:qFormat/>
    <w:pPr>
      <w:ind w:left="720"/>
      <w:contextualSpacing/>
    </w:pPr>
  </w:style>
  <w:style w:type="paragraph" w:styleId="Corpotesto">
    <w:name w:val="Body Text"/>
    <w:basedOn w:val="Normale"/>
    <w:qFormat/>
    <w:pPr>
      <w:spacing w:after="120"/>
    </w:pPr>
  </w:style>
  <w:style w:type="paragraph" w:styleId="Corpodeltesto2">
    <w:name w:val="Body Text 2"/>
    <w:basedOn w:val="Normale"/>
    <w:qFormat/>
    <w:pPr>
      <w:spacing w:after="120" w:line="480" w:lineRule="auto"/>
    </w:pPr>
  </w:style>
  <w:style w:type="paragraph" w:styleId="Corpodeltesto3">
    <w:name w:val="Body Text 3"/>
    <w:basedOn w:val="Normale"/>
    <w:qFormat/>
    <w:pPr>
      <w:spacing w:after="120"/>
    </w:pPr>
    <w:rPr>
      <w:sz w:val="16"/>
      <w:szCs w:val="16"/>
    </w:rPr>
  </w:style>
  <w:style w:type="paragraph" w:styleId="Elenco">
    <w:name w:val="List"/>
    <w:basedOn w:val="Normale"/>
    <w:qFormat/>
    <w:pPr>
      <w:ind w:left="360" w:hanging="360"/>
      <w:contextualSpacing/>
    </w:pPr>
  </w:style>
  <w:style w:type="paragraph" w:styleId="Elenco2">
    <w:name w:val="List 2"/>
    <w:basedOn w:val="Normale"/>
    <w:qFormat/>
    <w:pPr>
      <w:ind w:left="720" w:hanging="360"/>
      <w:contextualSpacing/>
    </w:pPr>
  </w:style>
  <w:style w:type="paragraph" w:styleId="Elenco3">
    <w:name w:val="List 3"/>
    <w:basedOn w:val="Normale"/>
    <w:qFormat/>
    <w:pPr>
      <w:ind w:left="1080" w:hanging="360"/>
      <w:contextualSpacing/>
    </w:pPr>
  </w:style>
  <w:style w:type="paragraph" w:styleId="Puntoelenco">
    <w:name w:val="List Bullet"/>
    <w:basedOn w:val="Normale"/>
    <w:qFormat/>
    <w:pPr>
      <w:numPr>
        <w:numId w:val="9"/>
      </w:numPr>
      <w:ind w:left="360" w:hanging="360"/>
      <w:contextualSpacing/>
    </w:pPr>
  </w:style>
  <w:style w:type="paragraph" w:styleId="Puntoelenco2">
    <w:name w:val="List Bullet 2"/>
    <w:basedOn w:val="Normale"/>
    <w:qFormat/>
    <w:pPr>
      <w:numPr>
        <w:numId w:val="7"/>
      </w:numPr>
      <w:ind w:left="720" w:hanging="360"/>
      <w:contextualSpacing/>
    </w:pPr>
  </w:style>
  <w:style w:type="paragraph" w:styleId="Puntoelenco3">
    <w:name w:val="List Bullet 3"/>
    <w:basedOn w:val="Normale"/>
    <w:qFormat/>
    <w:pPr>
      <w:numPr>
        <w:numId w:val="6"/>
      </w:numPr>
      <w:ind w:left="1080" w:hanging="360"/>
      <w:contextualSpacing/>
    </w:pPr>
  </w:style>
  <w:style w:type="paragraph" w:styleId="Numeroelenco">
    <w:name w:val="List Number"/>
    <w:basedOn w:val="Normale"/>
    <w:qFormat/>
    <w:pPr>
      <w:numPr>
        <w:numId w:val="8"/>
      </w:numPr>
      <w:ind w:left="360" w:hanging="360"/>
      <w:contextualSpacing/>
    </w:pPr>
  </w:style>
  <w:style w:type="paragraph" w:styleId="Numeroelenco2">
    <w:name w:val="List Number 2"/>
    <w:basedOn w:val="Normale"/>
    <w:qFormat/>
    <w:pPr>
      <w:numPr>
        <w:numId w:val="4"/>
      </w:numPr>
      <w:ind w:left="720" w:hanging="360"/>
      <w:contextualSpacing/>
    </w:pPr>
  </w:style>
  <w:style w:type="paragraph" w:styleId="Numeroelenco3">
    <w:name w:val="List Number 3"/>
    <w:basedOn w:val="Normale"/>
    <w:qFormat/>
    <w:pPr>
      <w:numPr>
        <w:numId w:val="3"/>
      </w:numPr>
      <w:ind w:left="1080" w:hanging="360"/>
      <w:contextualSpacing/>
    </w:pPr>
  </w:style>
  <w:style w:type="paragraph" w:styleId="Elencocontinua">
    <w:name w:val="List Continue"/>
    <w:basedOn w:val="Normale"/>
    <w:qFormat/>
    <w:pPr>
      <w:spacing w:after="120"/>
      <w:ind w:left="360"/>
      <w:contextualSpacing/>
    </w:pPr>
  </w:style>
  <w:style w:type="paragraph" w:styleId="Elencocontinua2">
    <w:name w:val="List Continue 2"/>
    <w:basedOn w:val="Normale"/>
    <w:qFormat/>
    <w:pPr>
      <w:spacing w:after="120"/>
      <w:ind w:left="720"/>
      <w:contextualSpacing/>
    </w:pPr>
  </w:style>
  <w:style w:type="paragraph" w:styleId="Elencocontinua3">
    <w:name w:val="List Continue 3"/>
    <w:basedOn w:val="Normale"/>
    <w:qFormat/>
    <w:pPr>
      <w:spacing w:after="120"/>
      <w:ind w:left="1080"/>
      <w:contextualSpacing/>
    </w:pPr>
  </w:style>
  <w:style w:type="paragraph" w:customStyle="1" w:styleId="Testomacro1">
    <w:name w:val="Testo macro1"/>
    <w:qFormat/>
    <w:pPr>
      <w:tabs>
        <w:tab w:val="left" w:pos="576"/>
        <w:tab w:val="left" w:pos="1152"/>
        <w:tab w:val="left" w:pos="1728"/>
        <w:tab w:val="left" w:pos="2304"/>
        <w:tab w:val="left" w:pos="2880"/>
        <w:tab w:val="left" w:pos="3456"/>
        <w:tab w:val="left" w:pos="4032"/>
      </w:tabs>
      <w:spacing w:after="200" w:line="276" w:lineRule="auto"/>
      <w:ind w:firstLine="0"/>
      <w:jc w:val="left"/>
    </w:pPr>
    <w:rPr>
      <w:rFonts w:ascii="Courier" w:hAnsi="Courier"/>
    </w:rPr>
  </w:style>
  <w:style w:type="paragraph" w:styleId="Citazione">
    <w:name w:val="Quote"/>
    <w:basedOn w:val="Normale"/>
    <w:next w:val="Normale"/>
    <w:qFormat/>
    <w:rPr>
      <w:i/>
      <w:iCs/>
      <w:color w:val="000000"/>
    </w:rPr>
  </w:style>
  <w:style w:type="paragraph" w:styleId="Didascalia">
    <w:name w:val="caption"/>
    <w:basedOn w:val="Normale"/>
    <w:next w:val="Normale"/>
    <w:qFormat/>
    <w:pPr>
      <w:spacing w:line="240" w:lineRule="auto"/>
    </w:pPr>
    <w:rPr>
      <w:b/>
      <w:bCs/>
      <w:color w:val="4F81BD"/>
      <w:sz w:val="18"/>
      <w:szCs w:val="18"/>
    </w:rPr>
  </w:style>
  <w:style w:type="paragraph" w:styleId="Citazioneintensa">
    <w:name w:val="Intense Quote"/>
    <w:basedOn w:val="Normale"/>
    <w:next w:val="Normale"/>
    <w:qFormat/>
    <w:pPr>
      <w:pBdr>
        <w:top w:val="nil"/>
        <w:left w:val="nil"/>
        <w:bottom w:val="single" w:sz="4" w:space="4" w:color="4F81BD"/>
        <w:right w:val="nil"/>
        <w:between w:val="nil"/>
      </w:pBdr>
      <w:spacing w:before="200" w:after="280"/>
      <w:ind w:left="936" w:right="936"/>
    </w:pPr>
    <w:rPr>
      <w:b/>
      <w:bCs/>
      <w:i/>
      <w:iCs/>
      <w:color w:val="4F81BD"/>
    </w:rPr>
  </w:style>
  <w:style w:type="paragraph" w:styleId="Titolosommario">
    <w:name w:val="TOC Heading"/>
    <w:basedOn w:val="Titolo1"/>
    <w:next w:val="Normale"/>
    <w:qFormat/>
    <w:pPr>
      <w:outlineLvl w:val="9"/>
    </w:pPr>
  </w:style>
  <w:style w:type="paragraph" w:customStyle="1" w:styleId="SourceCode">
    <w:name w:val="Source Code"/>
    <w:basedOn w:val="Normale"/>
    <w:qFormat/>
  </w:style>
  <w:style w:type="paragraph" w:styleId="Testonotaapidipagina">
    <w:name w:val="footnote text"/>
    <w:basedOn w:val="Normale"/>
    <w:qFormat/>
    <w:pPr>
      <w:spacing w:after="0" w:line="240" w:lineRule="auto"/>
    </w:pPr>
  </w:style>
  <w:style w:type="character" w:customStyle="1" w:styleId="HeaderChar">
    <w:name w:val="Header Char"/>
    <w:basedOn w:val="Carpredefinitoparagrafo"/>
  </w:style>
  <w:style w:type="character" w:customStyle="1" w:styleId="FooterChar">
    <w:name w:val="Footer Char"/>
    <w:basedOn w:val="Carpredefinitoparagrafo"/>
  </w:style>
  <w:style w:type="character" w:customStyle="1" w:styleId="Heading1Char">
    <w:name w:val="Heading 1 Char"/>
    <w:basedOn w:val="Carpredefinitoparagrafo"/>
    <w:rPr>
      <w:rFonts w:ascii="Calibri" w:eastAsia="Calibri" w:hAnsi="Calibri"/>
      <w:b/>
      <w:bCs/>
      <w:color w:val="365F91"/>
      <w:sz w:val="28"/>
      <w:szCs w:val="28"/>
    </w:rPr>
  </w:style>
  <w:style w:type="character" w:customStyle="1" w:styleId="Heading2Char">
    <w:name w:val="Heading 2 Char"/>
    <w:basedOn w:val="Carpredefinitoparagrafo"/>
    <w:rPr>
      <w:rFonts w:ascii="Calibri" w:eastAsia="Calibri" w:hAnsi="Calibri"/>
      <w:b/>
      <w:bCs/>
      <w:color w:val="4F81BD"/>
      <w:sz w:val="26"/>
      <w:szCs w:val="26"/>
    </w:rPr>
  </w:style>
  <w:style w:type="character" w:customStyle="1" w:styleId="Heading3Char">
    <w:name w:val="Heading 3 Char"/>
    <w:basedOn w:val="Carpredefinitoparagrafo"/>
    <w:rPr>
      <w:rFonts w:ascii="Calibri" w:eastAsia="Calibri" w:hAnsi="Calibri"/>
      <w:b/>
      <w:bCs/>
      <w:color w:val="4F81BD"/>
    </w:rPr>
  </w:style>
  <w:style w:type="character" w:customStyle="1" w:styleId="TitleChar">
    <w:name w:val="Title Char"/>
    <w:basedOn w:val="Carpredefinitoparagrafo"/>
    <w:rPr>
      <w:rFonts w:ascii="Calibri" w:eastAsia="Calibri" w:hAnsi="Calibri"/>
      <w:color w:val="17365D"/>
      <w:spacing w:val="5"/>
      <w:kern w:val="1"/>
      <w:sz w:val="52"/>
      <w:szCs w:val="52"/>
    </w:rPr>
  </w:style>
  <w:style w:type="character" w:customStyle="1" w:styleId="SubtitleChar">
    <w:name w:val="Subtitle Char"/>
    <w:basedOn w:val="Carpredefinitoparagrafo"/>
    <w:rPr>
      <w:rFonts w:ascii="Calibri" w:eastAsia="Calibri" w:hAnsi="Calibri"/>
      <w:i/>
      <w:iCs/>
      <w:color w:val="4F81BD"/>
      <w:spacing w:val="15"/>
      <w:sz w:val="24"/>
      <w:szCs w:val="24"/>
    </w:rPr>
  </w:style>
  <w:style w:type="character" w:customStyle="1" w:styleId="BodyTextChar">
    <w:name w:val="Body Text Char"/>
    <w:basedOn w:val="Carpredefinitoparagrafo"/>
  </w:style>
  <w:style w:type="character" w:customStyle="1" w:styleId="BodyText2Char">
    <w:name w:val="Body Text 2 Char"/>
    <w:basedOn w:val="Carpredefinitoparagrafo"/>
  </w:style>
  <w:style w:type="character" w:customStyle="1" w:styleId="BodyText3Char">
    <w:name w:val="Body Text 3 Char"/>
    <w:basedOn w:val="Carpredefinitoparagrafo"/>
    <w:rPr>
      <w:sz w:val="16"/>
      <w:szCs w:val="16"/>
    </w:rPr>
  </w:style>
  <w:style w:type="character" w:customStyle="1" w:styleId="MacroTextChar">
    <w:name w:val="Macro Text Char"/>
    <w:basedOn w:val="Carpredefinitoparagrafo"/>
    <w:rPr>
      <w:rFonts w:ascii="Courier" w:hAnsi="Courier"/>
      <w:sz w:val="20"/>
      <w:szCs w:val="20"/>
    </w:rPr>
  </w:style>
  <w:style w:type="character" w:customStyle="1" w:styleId="QuoteChar">
    <w:name w:val="Quote Char"/>
    <w:basedOn w:val="Carpredefinitoparagrafo"/>
    <w:rPr>
      <w:i/>
      <w:iCs/>
      <w:color w:val="000000"/>
    </w:rPr>
  </w:style>
  <w:style w:type="character" w:customStyle="1" w:styleId="Heading4Char">
    <w:name w:val="Heading 4 Char"/>
    <w:basedOn w:val="Carpredefinitoparagrafo"/>
    <w:rPr>
      <w:rFonts w:ascii="Calibri" w:eastAsia="Calibri" w:hAnsi="Calibri"/>
      <w:b/>
      <w:bCs/>
      <w:i/>
      <w:iCs/>
      <w:color w:val="4F81BD"/>
    </w:rPr>
  </w:style>
  <w:style w:type="character" w:customStyle="1" w:styleId="Heading5Char">
    <w:name w:val="Heading 5 Char"/>
    <w:basedOn w:val="Carpredefinitoparagrafo"/>
    <w:rPr>
      <w:rFonts w:ascii="Calibri" w:eastAsia="Calibri" w:hAnsi="Calibri"/>
      <w:color w:val="243F60"/>
    </w:rPr>
  </w:style>
  <w:style w:type="character" w:customStyle="1" w:styleId="Heading6Char">
    <w:name w:val="Heading 6 Char"/>
    <w:basedOn w:val="Carpredefinitoparagrafo"/>
    <w:rPr>
      <w:rFonts w:ascii="Calibri" w:eastAsia="Calibri" w:hAnsi="Calibri"/>
      <w:i/>
      <w:iCs/>
      <w:color w:val="243F60"/>
    </w:rPr>
  </w:style>
  <w:style w:type="character" w:customStyle="1" w:styleId="Heading7Char">
    <w:name w:val="Heading 7 Char"/>
    <w:basedOn w:val="Carpredefinitoparagrafo"/>
    <w:rPr>
      <w:rFonts w:ascii="Calibri" w:eastAsia="Calibri" w:hAnsi="Calibri"/>
      <w:i/>
      <w:iCs/>
      <w:color w:val="404040"/>
    </w:rPr>
  </w:style>
  <w:style w:type="character" w:customStyle="1" w:styleId="Heading8Char">
    <w:name w:val="Heading 8 Char"/>
    <w:basedOn w:val="Carpredefinitoparagrafo"/>
    <w:rPr>
      <w:rFonts w:ascii="Calibri" w:eastAsia="Calibri" w:hAnsi="Calibri"/>
      <w:color w:val="4F81BD"/>
      <w:sz w:val="20"/>
      <w:szCs w:val="20"/>
    </w:rPr>
  </w:style>
  <w:style w:type="character" w:customStyle="1" w:styleId="Heading9Char">
    <w:name w:val="Heading 9 Char"/>
    <w:basedOn w:val="Carpredefinitoparagrafo"/>
    <w:rPr>
      <w:rFonts w:ascii="Calibri" w:eastAsia="Calibri" w:hAnsi="Calibri"/>
      <w:i/>
      <w:iCs/>
      <w:color w:val="404040"/>
      <w:sz w:val="20"/>
      <w:szCs w:val="20"/>
    </w:rPr>
  </w:style>
  <w:style w:type="character" w:styleId="Enfasigrassetto">
    <w:name w:val="Strong"/>
    <w:basedOn w:val="Carpredefinitoparagrafo"/>
    <w:rPr>
      <w:b/>
      <w:bCs/>
    </w:rPr>
  </w:style>
  <w:style w:type="character" w:styleId="Enfasicorsivo">
    <w:name w:val="Emphasis"/>
    <w:basedOn w:val="Carpredefinitoparagrafo"/>
    <w:rPr>
      <w:i/>
      <w:iCs/>
    </w:rPr>
  </w:style>
  <w:style w:type="character" w:customStyle="1" w:styleId="IntenseQuoteChar">
    <w:name w:val="Intense Quote Char"/>
    <w:basedOn w:val="Carpredefinitoparagrafo"/>
    <w:rPr>
      <w:b/>
      <w:bCs/>
      <w:i/>
      <w:iCs/>
      <w:color w:val="4F81BD"/>
    </w:rPr>
  </w:style>
  <w:style w:type="character" w:styleId="Enfasidelicata">
    <w:name w:val="Subtle Emphasis"/>
    <w:basedOn w:val="Carpredefinitoparagrafo"/>
    <w:rPr>
      <w:i/>
      <w:iCs/>
      <w:color w:val="808080"/>
    </w:rPr>
  </w:style>
  <w:style w:type="character" w:styleId="Enfasiintensa">
    <w:name w:val="Intense Emphasis"/>
    <w:basedOn w:val="Carpredefinitoparagrafo"/>
    <w:rPr>
      <w:b/>
      <w:bCs/>
      <w:i/>
      <w:iCs/>
      <w:color w:val="4F81BD"/>
    </w:rPr>
  </w:style>
  <w:style w:type="character" w:styleId="Riferimentodelicato">
    <w:name w:val="Subtle Reference"/>
    <w:basedOn w:val="Carpredefinitoparagrafo"/>
    <w:rPr>
      <w:smallCaps/>
      <w:color w:val="C0504D"/>
      <w:u w:val="single"/>
    </w:rPr>
  </w:style>
  <w:style w:type="character" w:styleId="Riferimentointenso">
    <w:name w:val="Intense Reference"/>
    <w:basedOn w:val="Carpredefinitoparagrafo"/>
    <w:rPr>
      <w:b/>
      <w:bCs/>
      <w:smallCaps/>
      <w:color w:val="C0504D"/>
      <w:spacing w:val="5"/>
      <w:u w:val="single"/>
    </w:rPr>
  </w:style>
  <w:style w:type="character" w:styleId="Titolodellibro">
    <w:name w:val="Book Title"/>
    <w:basedOn w:val="Carpredefinitoparagrafo"/>
    <w:rPr>
      <w:b/>
      <w:bCs/>
      <w:smallCaps/>
      <w:spacing w:val="5"/>
    </w:r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Rimandonotaapidipagina">
    <w:name w:val="footnote reference"/>
    <w:rPr>
      <w:vertAlign w:val="superscript"/>
    </w:rPr>
  </w:style>
  <w:style w:type="table" w:styleId="Grigliatabella">
    <w:name w:val="Table Grid"/>
    <w:basedOn w:val="Tabellanormale"/>
    <w:uiPriority w:val="59"/>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Sfondochiaro">
    <w:name w:val="Light Shading"/>
    <w:basedOn w:val="Tabellanormale"/>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bottom w:val="single" w:sz="8" w:space="0" w:color="000000"/>
        </w:tcBorders>
      </w:tcPr>
    </w:tblStylePr>
    <w:tblStylePr w:type="lastRow">
      <w:pPr>
        <w:spacing w:before="0" w:after="0" w:line="240" w:lineRule="auto"/>
      </w:pPr>
      <w:rPr>
        <w:b/>
        <w:bCs/>
      </w:rPr>
      <w:tblPr/>
      <w:tcPr>
        <w:tcBorders>
          <w:top w:val="single" w:sz="8" w:space="0" w:color="000000"/>
          <w:bottom w:val="single" w:sz="8" w:space="0" w:color="000000"/>
        </w:tcBorders>
      </w:tcPr>
    </w:tblStylePr>
    <w:tblStylePr w:type="firstCol">
      <w:rPr>
        <w:b/>
        <w:bCs/>
      </w:rPr>
    </w:tblStylePr>
    <w:tblStylePr w:type="lastCol">
      <w:rPr>
        <w:b/>
        <w:bCs/>
      </w:rPr>
    </w:tblStylePr>
    <w:tblStylePr w:type="band1Vert">
      <w:tblPr/>
      <w:tcPr>
        <w:shd w:val="solid" w:color="C0C0C0" w:fill="auto"/>
      </w:tcPr>
    </w:tblStylePr>
    <w:tblStylePr w:type="band1Horz">
      <w:tblPr/>
      <w:tcPr>
        <w:shd w:val="solid" w:color="C0C0C0" w:fill="auto"/>
      </w:tcPr>
    </w:tblStylePr>
  </w:style>
  <w:style w:type="table" w:styleId="Sfondochiaro-Colore1">
    <w:name w:val="Light Shading Accent 1"/>
    <w:basedOn w:val="Tabellanormale"/>
    <w:uiPriority w:val="60"/>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bottom w:val="single" w:sz="8" w:space="0" w:color="4F81BD"/>
        </w:tcBorders>
      </w:tcPr>
    </w:tblStylePr>
    <w:tblStylePr w:type="lastRow">
      <w:pPr>
        <w:spacing w:before="0" w:after="0" w:line="240" w:lineRule="auto"/>
      </w:pPr>
      <w:rPr>
        <w:b/>
        <w:bCs/>
      </w:rPr>
      <w:tblPr/>
      <w:tcPr>
        <w:tcBorders>
          <w:top w:val="single" w:sz="8" w:space="0" w:color="4F81BD"/>
          <w:bottom w:val="single" w:sz="8" w:space="0" w:color="4F81BD"/>
        </w:tcBorders>
      </w:tcPr>
    </w:tblStylePr>
    <w:tblStylePr w:type="firstCol">
      <w:rPr>
        <w:b/>
        <w:bCs/>
      </w:rPr>
    </w:tblStylePr>
    <w:tblStylePr w:type="lastCol">
      <w:rPr>
        <w:b/>
        <w:bCs/>
      </w:rPr>
    </w:tblStylePr>
    <w:tblStylePr w:type="band1Vert">
      <w:tblPr/>
      <w:tcPr>
        <w:shd w:val="solid" w:color="D3DFEE" w:fill="auto"/>
      </w:tcPr>
    </w:tblStylePr>
    <w:tblStylePr w:type="band1Horz">
      <w:tblPr/>
      <w:tcPr>
        <w:shd w:val="solid" w:color="D3DFEE" w:fill="auto"/>
      </w:tcPr>
    </w:tblStylePr>
  </w:style>
  <w:style w:type="table" w:styleId="Sfondochiaro-Colore2">
    <w:name w:val="Light Shading Accent 2"/>
    <w:basedOn w:val="Tabellanormale"/>
    <w:uiPriority w:val="60"/>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bottom w:val="single" w:sz="8" w:space="0" w:color="C0504D"/>
        </w:tcBorders>
      </w:tcPr>
    </w:tblStylePr>
    <w:tblStylePr w:type="lastRow">
      <w:pPr>
        <w:spacing w:before="0" w:after="0" w:line="240" w:lineRule="auto"/>
      </w:pPr>
      <w:rPr>
        <w:b/>
        <w:bCs/>
      </w:rPr>
      <w:tblPr/>
      <w:tcPr>
        <w:tcBorders>
          <w:top w:val="single" w:sz="8" w:space="0" w:color="C0504D"/>
          <w:bottom w:val="single" w:sz="8" w:space="0" w:color="C0504D"/>
        </w:tcBorders>
      </w:tcPr>
    </w:tblStylePr>
    <w:tblStylePr w:type="firstCol">
      <w:rPr>
        <w:b/>
        <w:bCs/>
      </w:rPr>
    </w:tblStylePr>
    <w:tblStylePr w:type="lastCol">
      <w:rPr>
        <w:b/>
        <w:bCs/>
      </w:rPr>
    </w:tblStylePr>
    <w:tblStylePr w:type="band1Vert">
      <w:tblPr/>
      <w:tcPr>
        <w:shd w:val="solid" w:color="EFD3D2" w:fill="auto"/>
      </w:tcPr>
    </w:tblStylePr>
    <w:tblStylePr w:type="band1Horz">
      <w:tblPr/>
      <w:tcPr>
        <w:shd w:val="solid" w:color="EFD3D2" w:fill="auto"/>
      </w:tcPr>
    </w:tblStylePr>
  </w:style>
  <w:style w:type="table" w:styleId="Sfondochiaro-Colore3">
    <w:name w:val="Light Shading Accent 3"/>
    <w:basedOn w:val="Tabellanormale"/>
    <w:uiPriority w:val="60"/>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bottom w:val="single" w:sz="8" w:space="0" w:color="9BBB59"/>
        </w:tcBorders>
      </w:tcPr>
    </w:tblStylePr>
    <w:tblStylePr w:type="lastRow">
      <w:pPr>
        <w:spacing w:before="0" w:after="0" w:line="240" w:lineRule="auto"/>
      </w:pPr>
      <w:rPr>
        <w:b/>
        <w:bCs/>
      </w:rPr>
      <w:tblPr/>
      <w:tcPr>
        <w:tcBorders>
          <w:top w:val="single" w:sz="8" w:space="0" w:color="9BBB59"/>
          <w:bottom w:val="single" w:sz="8" w:space="0" w:color="9BBB59"/>
        </w:tcBorders>
      </w:tcPr>
    </w:tblStylePr>
    <w:tblStylePr w:type="firstCol">
      <w:rPr>
        <w:b/>
        <w:bCs/>
      </w:rPr>
    </w:tblStylePr>
    <w:tblStylePr w:type="lastCol">
      <w:rPr>
        <w:b/>
        <w:bCs/>
      </w:rPr>
    </w:tblStylePr>
    <w:tblStylePr w:type="band1Vert">
      <w:tblPr/>
      <w:tcPr>
        <w:shd w:val="solid" w:color="E6EED5" w:fill="auto"/>
      </w:tcPr>
    </w:tblStylePr>
    <w:tblStylePr w:type="band1Horz">
      <w:tblPr/>
      <w:tcPr>
        <w:shd w:val="solid" w:color="E6EED5" w:fill="auto"/>
      </w:tcPr>
    </w:tblStylePr>
  </w:style>
  <w:style w:type="table" w:styleId="Sfondochiaro-Colore4">
    <w:name w:val="Light Shading Accent 4"/>
    <w:basedOn w:val="Tabellanormale"/>
    <w:uiPriority w:val="60"/>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bottom w:val="single" w:sz="8" w:space="0" w:color="8064A2"/>
        </w:tcBorders>
      </w:tcPr>
    </w:tblStylePr>
    <w:tblStylePr w:type="lastRow">
      <w:pPr>
        <w:spacing w:before="0" w:after="0" w:line="240" w:lineRule="auto"/>
      </w:pPr>
      <w:rPr>
        <w:b/>
        <w:bCs/>
      </w:rPr>
      <w:tblPr/>
      <w:tcPr>
        <w:tcBorders>
          <w:top w:val="single" w:sz="8" w:space="0" w:color="8064A2"/>
          <w:bottom w:val="single" w:sz="8" w:space="0" w:color="8064A2"/>
        </w:tcBorders>
      </w:tcPr>
    </w:tblStylePr>
    <w:tblStylePr w:type="firstCol">
      <w:rPr>
        <w:b/>
        <w:bCs/>
      </w:rPr>
    </w:tblStylePr>
    <w:tblStylePr w:type="lastCol">
      <w:rPr>
        <w:b/>
        <w:bCs/>
      </w:rPr>
    </w:tblStylePr>
    <w:tblStylePr w:type="band1Vert">
      <w:tblPr/>
      <w:tcPr>
        <w:shd w:val="solid" w:color="DFD8E8" w:fill="auto"/>
      </w:tcPr>
    </w:tblStylePr>
    <w:tblStylePr w:type="band1Horz">
      <w:tblPr/>
      <w:tcPr>
        <w:shd w:val="solid" w:color="DFD8E8" w:fill="auto"/>
      </w:tcPr>
    </w:tblStylePr>
  </w:style>
  <w:style w:type="table" w:styleId="Sfondochiaro-Colore5">
    <w:name w:val="Light Shading Accent 5"/>
    <w:basedOn w:val="Tabellanormale"/>
    <w:uiPriority w:val="60"/>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bottom w:val="single" w:sz="8" w:space="0" w:color="4BACC6"/>
        </w:tcBorders>
      </w:tcPr>
    </w:tblStylePr>
    <w:tblStylePr w:type="lastRow">
      <w:pPr>
        <w:spacing w:before="0" w:after="0" w:line="240" w:lineRule="auto"/>
      </w:pPr>
      <w:rPr>
        <w:b/>
        <w:bCs/>
      </w:rPr>
      <w:tblPr/>
      <w:tcPr>
        <w:tcBorders>
          <w:top w:val="single" w:sz="8" w:space="0" w:color="4BACC6"/>
          <w:bottom w:val="single" w:sz="8" w:space="0" w:color="4BACC6"/>
        </w:tcBorders>
      </w:tcPr>
    </w:tblStylePr>
    <w:tblStylePr w:type="firstCol">
      <w:rPr>
        <w:b/>
        <w:bCs/>
      </w:rPr>
    </w:tblStylePr>
    <w:tblStylePr w:type="lastCol">
      <w:rPr>
        <w:b/>
        <w:bCs/>
      </w:rPr>
    </w:tblStylePr>
    <w:tblStylePr w:type="band1Vert">
      <w:tblPr/>
      <w:tcPr>
        <w:shd w:val="solid" w:color="D2EAF1" w:fill="auto"/>
      </w:tcPr>
    </w:tblStylePr>
    <w:tblStylePr w:type="band1Horz">
      <w:tblPr/>
      <w:tcPr>
        <w:shd w:val="solid" w:color="D2EAF1" w:fill="auto"/>
      </w:tcPr>
    </w:tblStylePr>
  </w:style>
  <w:style w:type="table" w:styleId="Sfondochiaro-Colore6">
    <w:name w:val="Light Shading Accent 6"/>
    <w:basedOn w:val="Tabellanormale"/>
    <w:uiPriority w:val="60"/>
    <w:pPr>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bottom w:val="single" w:sz="8" w:space="0" w:color="F79646"/>
        </w:tcBorders>
      </w:tcPr>
    </w:tblStylePr>
    <w:tblStylePr w:type="lastRow">
      <w:pPr>
        <w:spacing w:before="0" w:after="0" w:line="240" w:lineRule="auto"/>
      </w:pPr>
      <w:rPr>
        <w:b/>
        <w:bCs/>
      </w:rPr>
      <w:tblPr/>
      <w:tcPr>
        <w:tcBorders>
          <w:top w:val="single" w:sz="8" w:space="0" w:color="F79646"/>
          <w:bottom w:val="single" w:sz="8" w:space="0" w:color="F79646"/>
        </w:tcBorders>
      </w:tcPr>
    </w:tblStylePr>
    <w:tblStylePr w:type="firstCol">
      <w:rPr>
        <w:b/>
        <w:bCs/>
      </w:rPr>
    </w:tblStylePr>
    <w:tblStylePr w:type="lastCol">
      <w:rPr>
        <w:b/>
        <w:bCs/>
      </w:rPr>
    </w:tblStylePr>
    <w:tblStylePr w:type="band1Vert">
      <w:tblPr/>
      <w:tcPr>
        <w:shd w:val="solid" w:color="FDE4D0" w:fill="auto"/>
      </w:tcPr>
    </w:tblStylePr>
    <w:tblStylePr w:type="band1Horz">
      <w:tblPr/>
      <w:tcPr>
        <w:shd w:val="solid" w:color="FDE4D0" w:fill="auto"/>
      </w:tcPr>
    </w:tblStylePr>
  </w:style>
  <w:style w:type="table" w:styleId="Elencochiaro">
    <w:name w:val="Light List"/>
    <w:basedOn w:val="Tabellanormale"/>
    <w:uiPriority w:val="6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solid" w:color="000000" w:fill="auto"/>
      </w:tcPr>
    </w:tblStylePr>
    <w:tblStylePr w:type="lastRow">
      <w:pPr>
        <w:spacing w:before="0" w:after="0" w:line="240" w:lineRule="auto"/>
      </w:pPr>
      <w:rPr>
        <w:b/>
        <w:bCs/>
      </w:rPr>
      <w:tblPr/>
      <w:tcPr>
        <w:tcBorders>
          <w:top w:val="double" w:sz="18"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Elencochiaro-Colore1">
    <w:name w:val="Light List Accent 1"/>
    <w:basedOn w:val="Tabellanormale"/>
    <w:uiPriority w:val="6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solid" w:color="4F81BD" w:fill="auto"/>
      </w:tcPr>
    </w:tblStylePr>
    <w:tblStylePr w:type="lastRow">
      <w:pPr>
        <w:spacing w:before="0" w:after="0" w:line="240" w:lineRule="auto"/>
      </w:pPr>
      <w:rPr>
        <w:b/>
        <w:bCs/>
      </w:rPr>
      <w:tblPr/>
      <w:tcPr>
        <w:tcBorders>
          <w:top w:val="double" w:sz="18"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Elencochiaro-Colore2">
    <w:name w:val="Light List Accent 2"/>
    <w:basedOn w:val="Tabellanormale"/>
    <w:uiPriority w:val="6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solid" w:color="C0504D" w:fill="auto"/>
      </w:tcPr>
    </w:tblStylePr>
    <w:tblStylePr w:type="lastRow">
      <w:pPr>
        <w:spacing w:before="0" w:after="0" w:line="240" w:lineRule="auto"/>
      </w:pPr>
      <w:rPr>
        <w:b/>
        <w:bCs/>
      </w:rPr>
      <w:tblPr/>
      <w:tcPr>
        <w:tcBorders>
          <w:top w:val="double" w:sz="18"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Elencochiaro-Colore3">
    <w:name w:val="Light List Accent 3"/>
    <w:basedOn w:val="Tabellanormale"/>
    <w:uiPriority w:val="6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solid" w:color="9BBB59" w:fill="auto"/>
      </w:tcPr>
    </w:tblStylePr>
    <w:tblStylePr w:type="lastRow">
      <w:pPr>
        <w:spacing w:before="0" w:after="0" w:line="240" w:lineRule="auto"/>
      </w:pPr>
      <w:rPr>
        <w:b/>
        <w:bCs/>
      </w:rPr>
      <w:tblPr/>
      <w:tcPr>
        <w:tcBorders>
          <w:top w:val="double" w:sz="18"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Elencochiaro-Colore4">
    <w:name w:val="Light List Accent 4"/>
    <w:basedOn w:val="Tabellanormale"/>
    <w:uiPriority w:val="6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solid" w:color="8064A2" w:fill="auto"/>
      </w:tcPr>
    </w:tblStylePr>
    <w:tblStylePr w:type="lastRow">
      <w:pPr>
        <w:spacing w:before="0" w:after="0" w:line="240" w:lineRule="auto"/>
      </w:pPr>
      <w:rPr>
        <w:b/>
        <w:bCs/>
      </w:rPr>
      <w:tblPr/>
      <w:tcPr>
        <w:tcBorders>
          <w:top w:val="double" w:sz="18"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Elencochiaro-Colore5">
    <w:name w:val="Light List Accent 5"/>
    <w:basedOn w:val="Tabellanormale"/>
    <w:uiPriority w:val="6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solid" w:color="4BACC6" w:fill="auto"/>
      </w:tcPr>
    </w:tblStylePr>
    <w:tblStylePr w:type="lastRow">
      <w:pPr>
        <w:spacing w:before="0" w:after="0" w:line="240" w:lineRule="auto"/>
      </w:pPr>
      <w:rPr>
        <w:b/>
        <w:bCs/>
      </w:rPr>
      <w:tblPr/>
      <w:tcPr>
        <w:tcBorders>
          <w:top w:val="double" w:sz="18"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Elencochiaro-Colore6">
    <w:name w:val="Light List Accent 6"/>
    <w:basedOn w:val="Tabellanormale"/>
    <w:uiPriority w:val="6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solid" w:color="F79646" w:fill="auto"/>
      </w:tcPr>
    </w:tblStylePr>
    <w:tblStylePr w:type="lastRow">
      <w:pPr>
        <w:spacing w:before="0" w:after="0" w:line="240" w:lineRule="auto"/>
      </w:pPr>
      <w:rPr>
        <w:b/>
        <w:bCs/>
      </w:rPr>
      <w:tblPr/>
      <w:tcPr>
        <w:tcBorders>
          <w:top w:val="double" w:sz="18"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Grigliachiara">
    <w:name w:val="Light Grid"/>
    <w:basedOn w:val="Tabellanormale"/>
    <w:uiPriority w:val="6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Calibri" w:hAnsi="Calibri"/>
        <w:b/>
        <w:bCs/>
      </w:rPr>
      <w:tblPr/>
      <w:tcPr>
        <w:tcBorders>
          <w:top w:val="single" w:sz="8" w:space="0" w:color="000000"/>
          <w:left w:val="single" w:sz="8" w:space="0" w:color="000000"/>
          <w:bottom w:val="single" w:sz="18" w:space="0" w:color="000000"/>
          <w:right w:val="single" w:sz="8" w:space="0" w:color="000000"/>
          <w:insideV w:val="single" w:sz="8" w:space="0" w:color="000000"/>
        </w:tcBorders>
      </w:tcPr>
    </w:tblStylePr>
    <w:tblStylePr w:type="lastRow">
      <w:pPr>
        <w:spacing w:before="0" w:after="0" w:line="240" w:lineRule="auto"/>
      </w:pPr>
      <w:rPr>
        <w:rFonts w:ascii="Calibri" w:eastAsia="Calibri" w:hAnsi="Calibri"/>
        <w:b/>
        <w:bCs/>
      </w:rPr>
      <w:tblPr/>
      <w:tcPr>
        <w:tcBorders>
          <w:top w:val="double" w:sz="18" w:space="0" w:color="000000"/>
          <w:left w:val="single" w:sz="8" w:space="0" w:color="000000"/>
          <w:bottom w:val="single" w:sz="8" w:space="0" w:color="000000"/>
          <w:right w:val="single" w:sz="8" w:space="0" w:color="000000"/>
          <w:insideV w:val="single" w:sz="8" w:space="0" w:color="000000"/>
        </w:tcBorders>
      </w:tcPr>
    </w:tblStylePr>
    <w:tblStylePr w:type="firstCol">
      <w:rPr>
        <w:rFonts w:ascii="Calibri" w:eastAsia="Calibri" w:hAnsi="Calibri"/>
        <w:b/>
        <w:bCs/>
      </w:rPr>
    </w:tblStylePr>
    <w:tblStylePr w:type="lastCol">
      <w:rPr>
        <w:rFonts w:ascii="Calibri" w:eastAsia="Calibri"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solid" w:color="C0C0C0" w:fill="auto"/>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solid" w:color="C0C0C0" w:fill="auto"/>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gliachiara-Colore1">
    <w:name w:val="Light Grid Accent 1"/>
    <w:basedOn w:val="Tabellanormale"/>
    <w:uiPriority w:val="62"/>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Calibri" w:hAnsi="Calibri"/>
        <w:b/>
        <w:bCs/>
      </w:rPr>
      <w:tblPr/>
      <w:tcPr>
        <w:tcBorders>
          <w:top w:val="single" w:sz="8" w:space="0" w:color="4F81BD"/>
          <w:left w:val="single" w:sz="8" w:space="0" w:color="4F81BD"/>
          <w:bottom w:val="single" w:sz="18" w:space="0" w:color="4F81BD"/>
          <w:right w:val="single" w:sz="8" w:space="0" w:color="4F81BD"/>
          <w:insideV w:val="single" w:sz="8" w:space="0" w:color="4F81BD"/>
        </w:tcBorders>
      </w:tcPr>
    </w:tblStylePr>
    <w:tblStylePr w:type="lastRow">
      <w:pPr>
        <w:spacing w:before="0" w:after="0" w:line="240" w:lineRule="auto"/>
      </w:pPr>
      <w:rPr>
        <w:rFonts w:ascii="Calibri" w:eastAsia="Calibri" w:hAnsi="Calibri"/>
        <w:b/>
        <w:bCs/>
      </w:rPr>
      <w:tblPr/>
      <w:tcPr>
        <w:tcBorders>
          <w:top w:val="double" w:sz="18" w:space="0" w:color="4F81BD"/>
          <w:left w:val="single" w:sz="8" w:space="0" w:color="4F81BD"/>
          <w:bottom w:val="single" w:sz="8" w:space="0" w:color="4F81BD"/>
          <w:right w:val="single" w:sz="8" w:space="0" w:color="4F81BD"/>
          <w:insideV w:val="single" w:sz="8" w:space="0" w:color="4F81BD"/>
        </w:tcBorders>
      </w:tcPr>
    </w:tblStylePr>
    <w:tblStylePr w:type="firstCol">
      <w:rPr>
        <w:rFonts w:ascii="Calibri" w:eastAsia="Calibri" w:hAnsi="Calibri"/>
        <w:b/>
        <w:bCs/>
      </w:rPr>
    </w:tblStylePr>
    <w:tblStylePr w:type="lastCol">
      <w:rPr>
        <w:rFonts w:ascii="Calibri" w:eastAsia="Calibri"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solid" w:color="D3DFEE" w:fill="auto"/>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solid" w:color="D3DFEE" w:fill="auto"/>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gliachiara-Colore2">
    <w:name w:val="Light Grid Accent 2"/>
    <w:basedOn w:val="Tabellanormale"/>
    <w:uiPriority w:val="62"/>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Calibri" w:hAnsi="Calibri"/>
        <w:b/>
        <w:bCs/>
      </w:rPr>
      <w:tblPr/>
      <w:tcPr>
        <w:tcBorders>
          <w:top w:val="single" w:sz="8" w:space="0" w:color="C0504D"/>
          <w:left w:val="single" w:sz="8" w:space="0" w:color="C0504D"/>
          <w:bottom w:val="single" w:sz="18" w:space="0" w:color="C0504D"/>
          <w:right w:val="single" w:sz="8" w:space="0" w:color="C0504D"/>
          <w:insideV w:val="single" w:sz="8" w:space="0" w:color="C0504D"/>
        </w:tcBorders>
      </w:tcPr>
    </w:tblStylePr>
    <w:tblStylePr w:type="lastRow">
      <w:pPr>
        <w:spacing w:before="0" w:after="0" w:line="240" w:lineRule="auto"/>
      </w:pPr>
      <w:rPr>
        <w:rFonts w:ascii="Calibri" w:eastAsia="Calibri" w:hAnsi="Calibri"/>
        <w:b/>
        <w:bCs/>
      </w:rPr>
      <w:tblPr/>
      <w:tcPr>
        <w:tcBorders>
          <w:top w:val="double" w:sz="18" w:space="0" w:color="C0504D"/>
          <w:left w:val="single" w:sz="8" w:space="0" w:color="C0504D"/>
          <w:bottom w:val="single" w:sz="8" w:space="0" w:color="C0504D"/>
          <w:right w:val="single" w:sz="8" w:space="0" w:color="C0504D"/>
          <w:insideV w:val="single" w:sz="8" w:space="0" w:color="C0504D"/>
        </w:tcBorders>
      </w:tcPr>
    </w:tblStylePr>
    <w:tblStylePr w:type="firstCol">
      <w:rPr>
        <w:rFonts w:ascii="Calibri" w:eastAsia="Calibri" w:hAnsi="Calibri"/>
        <w:b/>
        <w:bCs/>
      </w:rPr>
    </w:tblStylePr>
    <w:tblStylePr w:type="lastCol">
      <w:rPr>
        <w:rFonts w:ascii="Calibri" w:eastAsia="Calibri"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solid" w:color="EFD3D2" w:fill="auto"/>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solid" w:color="EFD3D2" w:fill="auto"/>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gliachiara-Colore3">
    <w:name w:val="Light Grid Accent 3"/>
    <w:basedOn w:val="Tabellanormale"/>
    <w:uiPriority w:val="62"/>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Calibri" w:hAnsi="Calibri"/>
        <w:b/>
        <w:bCs/>
      </w:rPr>
      <w:tblPr/>
      <w:tcPr>
        <w:tcBorders>
          <w:top w:val="single" w:sz="8" w:space="0" w:color="9BBB59"/>
          <w:left w:val="single" w:sz="8" w:space="0" w:color="9BBB59"/>
          <w:bottom w:val="single" w:sz="18" w:space="0" w:color="9BBB59"/>
          <w:right w:val="single" w:sz="8" w:space="0" w:color="9BBB59"/>
          <w:insideV w:val="single" w:sz="8" w:space="0" w:color="9BBB59"/>
        </w:tcBorders>
      </w:tcPr>
    </w:tblStylePr>
    <w:tblStylePr w:type="lastRow">
      <w:pPr>
        <w:spacing w:before="0" w:after="0" w:line="240" w:lineRule="auto"/>
      </w:pPr>
      <w:rPr>
        <w:rFonts w:ascii="Calibri" w:eastAsia="Calibri" w:hAnsi="Calibri"/>
        <w:b/>
        <w:bCs/>
      </w:rPr>
      <w:tblPr/>
      <w:tcPr>
        <w:tcBorders>
          <w:top w:val="double" w:sz="18" w:space="0" w:color="9BBB59"/>
          <w:left w:val="single" w:sz="8" w:space="0" w:color="9BBB59"/>
          <w:bottom w:val="single" w:sz="8" w:space="0" w:color="9BBB59"/>
          <w:right w:val="single" w:sz="8" w:space="0" w:color="9BBB59"/>
          <w:insideV w:val="single" w:sz="8" w:space="0" w:color="9BBB59"/>
        </w:tcBorders>
      </w:tcPr>
    </w:tblStylePr>
    <w:tblStylePr w:type="firstCol">
      <w:rPr>
        <w:rFonts w:ascii="Calibri" w:eastAsia="Calibri" w:hAnsi="Calibri"/>
        <w:b/>
        <w:bCs/>
      </w:rPr>
    </w:tblStylePr>
    <w:tblStylePr w:type="lastCol">
      <w:rPr>
        <w:rFonts w:ascii="Calibri" w:eastAsia="Calibri"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solid" w:color="E6EED5" w:fill="auto"/>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solid" w:color="E6EED5" w:fill="auto"/>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gliachiara-Colore4">
    <w:name w:val="Light Grid Accent 4"/>
    <w:basedOn w:val="Tabellanormale"/>
    <w:uiPriority w:val="62"/>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Calibri" w:hAnsi="Calibri"/>
        <w:b/>
        <w:bCs/>
      </w:rPr>
      <w:tblPr/>
      <w:tcPr>
        <w:tcBorders>
          <w:top w:val="single" w:sz="8" w:space="0" w:color="8064A2"/>
          <w:left w:val="single" w:sz="8" w:space="0" w:color="8064A2"/>
          <w:bottom w:val="single" w:sz="18" w:space="0" w:color="8064A2"/>
          <w:right w:val="single" w:sz="8" w:space="0" w:color="8064A2"/>
          <w:insideV w:val="single" w:sz="8" w:space="0" w:color="8064A2"/>
        </w:tcBorders>
      </w:tcPr>
    </w:tblStylePr>
    <w:tblStylePr w:type="lastRow">
      <w:pPr>
        <w:spacing w:before="0" w:after="0" w:line="240" w:lineRule="auto"/>
      </w:pPr>
      <w:rPr>
        <w:rFonts w:ascii="Calibri" w:eastAsia="Calibri" w:hAnsi="Calibri"/>
        <w:b/>
        <w:bCs/>
      </w:rPr>
      <w:tblPr/>
      <w:tcPr>
        <w:tcBorders>
          <w:top w:val="double" w:sz="18" w:space="0" w:color="8064A2"/>
          <w:left w:val="single" w:sz="8" w:space="0" w:color="8064A2"/>
          <w:bottom w:val="single" w:sz="8" w:space="0" w:color="8064A2"/>
          <w:right w:val="single" w:sz="8" w:space="0" w:color="8064A2"/>
          <w:insideV w:val="single" w:sz="8" w:space="0" w:color="8064A2"/>
        </w:tcBorders>
      </w:tcPr>
    </w:tblStylePr>
    <w:tblStylePr w:type="firstCol">
      <w:rPr>
        <w:rFonts w:ascii="Calibri" w:eastAsia="Calibri" w:hAnsi="Calibri"/>
        <w:b/>
        <w:bCs/>
      </w:rPr>
    </w:tblStylePr>
    <w:tblStylePr w:type="lastCol">
      <w:rPr>
        <w:rFonts w:ascii="Calibri" w:eastAsia="Calibri"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solid" w:color="DFD8E8" w:fill="auto"/>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solid" w:color="DFD8E8" w:fill="auto"/>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gliachiara-Colore5">
    <w:name w:val="Light Grid Accent 5"/>
    <w:basedOn w:val="Tabellanormale"/>
    <w:uiPriority w:val="62"/>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Calibri" w:hAnsi="Calibri"/>
        <w:b/>
        <w:bCs/>
      </w:rPr>
      <w:tblPr/>
      <w:tcPr>
        <w:tcBorders>
          <w:top w:val="single" w:sz="8" w:space="0" w:color="4BACC6"/>
          <w:left w:val="single" w:sz="8" w:space="0" w:color="4BACC6"/>
          <w:bottom w:val="single" w:sz="18" w:space="0" w:color="4BACC6"/>
          <w:right w:val="single" w:sz="8" w:space="0" w:color="4BACC6"/>
          <w:insideV w:val="single" w:sz="8" w:space="0" w:color="4BACC6"/>
        </w:tcBorders>
      </w:tcPr>
    </w:tblStylePr>
    <w:tblStylePr w:type="lastRow">
      <w:pPr>
        <w:spacing w:before="0" w:after="0" w:line="240" w:lineRule="auto"/>
      </w:pPr>
      <w:rPr>
        <w:rFonts w:ascii="Calibri" w:eastAsia="Calibri" w:hAnsi="Calibri"/>
        <w:b/>
        <w:bCs/>
      </w:rPr>
      <w:tblPr/>
      <w:tcPr>
        <w:tcBorders>
          <w:top w:val="double" w:sz="18" w:space="0" w:color="4BACC6"/>
          <w:left w:val="single" w:sz="8" w:space="0" w:color="4BACC6"/>
          <w:bottom w:val="single" w:sz="8" w:space="0" w:color="4BACC6"/>
          <w:right w:val="single" w:sz="8" w:space="0" w:color="4BACC6"/>
          <w:insideV w:val="single" w:sz="8" w:space="0" w:color="4BACC6"/>
        </w:tcBorders>
      </w:tcPr>
    </w:tblStylePr>
    <w:tblStylePr w:type="firstCol">
      <w:rPr>
        <w:rFonts w:ascii="Calibri" w:eastAsia="Calibri" w:hAnsi="Calibri"/>
        <w:b/>
        <w:bCs/>
      </w:rPr>
    </w:tblStylePr>
    <w:tblStylePr w:type="lastCol">
      <w:rPr>
        <w:rFonts w:ascii="Calibri" w:eastAsia="Calibri"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solid" w:color="D2EAF1" w:fill="auto"/>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solid" w:color="D2EAF1" w:fill="auto"/>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gliachiara-Colore6">
    <w:name w:val="Light Grid Accent 6"/>
    <w:basedOn w:val="Tabellanormale"/>
    <w:uiPriority w:val="62"/>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Calibri" w:hAnsi="Calibri"/>
        <w:b/>
        <w:bCs/>
      </w:rPr>
      <w:tblPr/>
      <w:tcPr>
        <w:tcBorders>
          <w:top w:val="single" w:sz="8" w:space="0" w:color="F79646"/>
          <w:left w:val="single" w:sz="8" w:space="0" w:color="F79646"/>
          <w:bottom w:val="single" w:sz="18" w:space="0" w:color="F79646"/>
          <w:right w:val="single" w:sz="8" w:space="0" w:color="F79646"/>
          <w:insideV w:val="single" w:sz="8" w:space="0" w:color="F79646"/>
        </w:tcBorders>
      </w:tcPr>
    </w:tblStylePr>
    <w:tblStylePr w:type="lastRow">
      <w:pPr>
        <w:spacing w:before="0" w:after="0" w:line="240" w:lineRule="auto"/>
      </w:pPr>
      <w:rPr>
        <w:rFonts w:ascii="Calibri" w:eastAsia="Calibri" w:hAnsi="Calibri"/>
        <w:b/>
        <w:bCs/>
      </w:rPr>
      <w:tblPr/>
      <w:tcPr>
        <w:tcBorders>
          <w:top w:val="double" w:sz="18" w:space="0" w:color="F79646"/>
          <w:left w:val="single" w:sz="8" w:space="0" w:color="F79646"/>
          <w:bottom w:val="single" w:sz="8" w:space="0" w:color="F79646"/>
          <w:right w:val="single" w:sz="8" w:space="0" w:color="F79646"/>
          <w:insideV w:val="single" w:sz="8" w:space="0" w:color="F79646"/>
        </w:tcBorders>
      </w:tcPr>
    </w:tblStylePr>
    <w:tblStylePr w:type="firstCol">
      <w:rPr>
        <w:rFonts w:ascii="Calibri" w:eastAsia="Calibri" w:hAnsi="Calibri"/>
        <w:b/>
        <w:bCs/>
      </w:rPr>
    </w:tblStylePr>
    <w:tblStylePr w:type="lastCol">
      <w:rPr>
        <w:rFonts w:ascii="Calibri" w:eastAsia="Calibri"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solid" w:color="FDE4D0" w:fill="auto"/>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solid" w:color="FDE4D0" w:fill="auto"/>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Sfondomedio1">
    <w:name w:val="Medium Shading 1"/>
    <w:basedOn w:val="Tabellanormale"/>
    <w:uiPriority w:val="6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tcBorders>
        <w:shd w:val="solid" w:color="000000" w:fill="auto"/>
      </w:tcPr>
    </w:tblStylePr>
    <w:tblStylePr w:type="lastRow">
      <w:pPr>
        <w:spacing w:before="0" w:after="0" w:line="240" w:lineRule="auto"/>
      </w:pPr>
      <w:rPr>
        <w:b/>
        <w:bCs/>
      </w:rPr>
      <w:tblPr/>
      <w:tcPr>
        <w:tcBorders>
          <w:top w:val="double" w:sz="18" w:space="0" w:color="404040"/>
          <w:left w:val="single" w:sz="8" w:space="0" w:color="404040"/>
          <w:bottom w:val="single" w:sz="8" w:space="0" w:color="404040"/>
          <w:right w:val="single" w:sz="8" w:space="0" w:color="404040"/>
        </w:tcBorders>
      </w:tcPr>
    </w:tblStylePr>
    <w:tblStylePr w:type="firstCol">
      <w:rPr>
        <w:b/>
        <w:bCs/>
      </w:rPr>
    </w:tblStylePr>
    <w:tblStylePr w:type="lastCol">
      <w:rPr>
        <w:b/>
        <w:bCs/>
      </w:rPr>
    </w:tblStylePr>
    <w:tblStylePr w:type="band1Vert">
      <w:tblPr/>
      <w:tcPr>
        <w:shd w:val="solid" w:color="C0C0C0" w:fill="auto"/>
      </w:tcPr>
    </w:tblStylePr>
    <w:tblStylePr w:type="band1Horz">
      <w:tblPr/>
      <w:tcPr>
        <w:shd w:val="solid" w:color="C0C0C0" w:fill="auto"/>
      </w:tcPr>
    </w:tblStylePr>
  </w:style>
  <w:style w:type="table" w:styleId="Sfondomedio1-Colore1">
    <w:name w:val="Medium Shading 1 Accent 1"/>
    <w:basedOn w:val="Tabellanormale"/>
    <w:uiPriority w:val="6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tcBorders>
        <w:shd w:val="solid" w:color="4F81BD" w:fill="auto"/>
      </w:tcPr>
    </w:tblStylePr>
    <w:tblStylePr w:type="lastRow">
      <w:pPr>
        <w:spacing w:before="0" w:after="0" w:line="240" w:lineRule="auto"/>
      </w:pPr>
      <w:rPr>
        <w:b/>
        <w:bCs/>
      </w:rPr>
      <w:tblPr/>
      <w:tcPr>
        <w:tcBorders>
          <w:top w:val="double" w:sz="18" w:space="0" w:color="7BA0CD"/>
          <w:left w:val="single" w:sz="8" w:space="0" w:color="7BA0CD"/>
          <w:bottom w:val="single" w:sz="8" w:space="0" w:color="7BA0CD"/>
          <w:right w:val="single" w:sz="8" w:space="0" w:color="7BA0CD"/>
        </w:tcBorders>
      </w:tcPr>
    </w:tblStylePr>
    <w:tblStylePr w:type="firstCol">
      <w:rPr>
        <w:b/>
        <w:bCs/>
      </w:rPr>
    </w:tblStylePr>
    <w:tblStylePr w:type="lastCol">
      <w:rPr>
        <w:b/>
        <w:bCs/>
      </w:rPr>
    </w:tblStylePr>
    <w:tblStylePr w:type="band1Vert">
      <w:tblPr/>
      <w:tcPr>
        <w:shd w:val="solid" w:color="D3DFEE" w:fill="auto"/>
      </w:tcPr>
    </w:tblStylePr>
    <w:tblStylePr w:type="band1Horz">
      <w:tblPr/>
      <w:tcPr>
        <w:shd w:val="solid" w:color="D3DFEE" w:fill="auto"/>
      </w:tcPr>
    </w:tblStylePr>
  </w:style>
  <w:style w:type="table" w:styleId="Sfondomedio1-Colore2">
    <w:name w:val="Medium Shading 1 Accent 2"/>
    <w:basedOn w:val="Tabellanormale"/>
    <w:uiPriority w:val="6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tcBorders>
        <w:shd w:val="solid" w:color="C0504D" w:fill="auto"/>
      </w:tcPr>
    </w:tblStylePr>
    <w:tblStylePr w:type="lastRow">
      <w:pPr>
        <w:spacing w:before="0" w:after="0" w:line="240" w:lineRule="auto"/>
      </w:pPr>
      <w:rPr>
        <w:b/>
        <w:bCs/>
      </w:rPr>
      <w:tblPr/>
      <w:tcPr>
        <w:tcBorders>
          <w:top w:val="double" w:sz="18" w:space="0" w:color="CF7B79"/>
          <w:left w:val="single" w:sz="8" w:space="0" w:color="CF7B79"/>
          <w:bottom w:val="single" w:sz="8" w:space="0" w:color="CF7B79"/>
          <w:right w:val="single" w:sz="8" w:space="0" w:color="CF7B79"/>
        </w:tcBorders>
      </w:tcPr>
    </w:tblStylePr>
    <w:tblStylePr w:type="firstCol">
      <w:rPr>
        <w:b/>
        <w:bCs/>
      </w:rPr>
    </w:tblStylePr>
    <w:tblStylePr w:type="lastCol">
      <w:rPr>
        <w:b/>
        <w:bCs/>
      </w:rPr>
    </w:tblStylePr>
    <w:tblStylePr w:type="band1Vert">
      <w:tblPr/>
      <w:tcPr>
        <w:shd w:val="solid" w:color="EFD3D2" w:fill="auto"/>
      </w:tcPr>
    </w:tblStylePr>
    <w:tblStylePr w:type="band1Horz">
      <w:tblPr/>
      <w:tcPr>
        <w:shd w:val="solid" w:color="EFD3D2" w:fill="auto"/>
      </w:tcPr>
    </w:tblStylePr>
  </w:style>
  <w:style w:type="table" w:styleId="Sfondomedio1-Colore3">
    <w:name w:val="Medium Shading 1 Accent 3"/>
    <w:basedOn w:val="Tabellanormale"/>
    <w:uiPriority w:val="6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tcBorders>
        <w:shd w:val="solid" w:color="9BBB59" w:fill="auto"/>
      </w:tcPr>
    </w:tblStylePr>
    <w:tblStylePr w:type="lastRow">
      <w:pPr>
        <w:spacing w:before="0" w:after="0" w:line="240" w:lineRule="auto"/>
      </w:pPr>
      <w:rPr>
        <w:b/>
        <w:bCs/>
      </w:rPr>
      <w:tblPr/>
      <w:tcPr>
        <w:tcBorders>
          <w:top w:val="double" w:sz="18" w:space="0" w:color="B3CC82"/>
          <w:left w:val="single" w:sz="8" w:space="0" w:color="B3CC82"/>
          <w:bottom w:val="single" w:sz="8" w:space="0" w:color="B3CC82"/>
          <w:right w:val="single" w:sz="8" w:space="0" w:color="B3CC82"/>
        </w:tcBorders>
      </w:tcPr>
    </w:tblStylePr>
    <w:tblStylePr w:type="firstCol">
      <w:rPr>
        <w:b/>
        <w:bCs/>
      </w:rPr>
    </w:tblStylePr>
    <w:tblStylePr w:type="lastCol">
      <w:rPr>
        <w:b/>
        <w:bCs/>
      </w:rPr>
    </w:tblStylePr>
    <w:tblStylePr w:type="band1Vert">
      <w:tblPr/>
      <w:tcPr>
        <w:shd w:val="solid" w:color="E6EED5" w:fill="auto"/>
      </w:tcPr>
    </w:tblStylePr>
    <w:tblStylePr w:type="band1Horz">
      <w:tblPr/>
      <w:tcPr>
        <w:shd w:val="solid" w:color="E6EED5" w:fill="auto"/>
      </w:tcPr>
    </w:tblStylePr>
  </w:style>
  <w:style w:type="table" w:styleId="Sfondomedio1-Colore4">
    <w:name w:val="Medium Shading 1 Accent 4"/>
    <w:basedOn w:val="Tabellanormale"/>
    <w:uiPriority w:val="6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tcBorders>
        <w:shd w:val="solid" w:color="8064A2" w:fill="auto"/>
      </w:tcPr>
    </w:tblStylePr>
    <w:tblStylePr w:type="lastRow">
      <w:pPr>
        <w:spacing w:before="0" w:after="0" w:line="240" w:lineRule="auto"/>
      </w:pPr>
      <w:rPr>
        <w:b/>
        <w:bCs/>
      </w:rPr>
      <w:tblPr/>
      <w:tcPr>
        <w:tcBorders>
          <w:top w:val="double" w:sz="18" w:space="0" w:color="9F8AB9"/>
          <w:left w:val="single" w:sz="8" w:space="0" w:color="9F8AB9"/>
          <w:bottom w:val="single" w:sz="8" w:space="0" w:color="9F8AB9"/>
          <w:right w:val="single" w:sz="8" w:space="0" w:color="9F8AB9"/>
        </w:tcBorders>
      </w:tcPr>
    </w:tblStylePr>
    <w:tblStylePr w:type="firstCol">
      <w:rPr>
        <w:b/>
        <w:bCs/>
      </w:rPr>
    </w:tblStylePr>
    <w:tblStylePr w:type="lastCol">
      <w:rPr>
        <w:b/>
        <w:bCs/>
      </w:rPr>
    </w:tblStylePr>
    <w:tblStylePr w:type="band1Vert">
      <w:tblPr/>
      <w:tcPr>
        <w:shd w:val="solid" w:color="DFD8E8" w:fill="auto"/>
      </w:tcPr>
    </w:tblStylePr>
    <w:tblStylePr w:type="band1Horz">
      <w:tblPr/>
      <w:tcPr>
        <w:shd w:val="solid" w:color="DFD8E8" w:fill="auto"/>
      </w:tcPr>
    </w:tblStylePr>
  </w:style>
  <w:style w:type="table" w:styleId="Sfondomedio1-Colore5">
    <w:name w:val="Medium Shading 1 Accent 5"/>
    <w:basedOn w:val="Tabellanormale"/>
    <w:uiPriority w:val="6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tcBorders>
        <w:shd w:val="solid" w:color="4BACC6" w:fill="auto"/>
      </w:tcPr>
    </w:tblStylePr>
    <w:tblStylePr w:type="lastRow">
      <w:pPr>
        <w:spacing w:before="0" w:after="0" w:line="240" w:lineRule="auto"/>
      </w:pPr>
      <w:rPr>
        <w:b/>
        <w:bCs/>
      </w:rPr>
      <w:tblPr/>
      <w:tcPr>
        <w:tcBorders>
          <w:top w:val="double" w:sz="18" w:space="0" w:color="78C0D4"/>
          <w:left w:val="single" w:sz="8" w:space="0" w:color="78C0D4"/>
          <w:bottom w:val="single" w:sz="8" w:space="0" w:color="78C0D4"/>
          <w:right w:val="single" w:sz="8" w:space="0" w:color="78C0D4"/>
        </w:tcBorders>
      </w:tcPr>
    </w:tblStylePr>
    <w:tblStylePr w:type="firstCol">
      <w:rPr>
        <w:b/>
        <w:bCs/>
      </w:rPr>
    </w:tblStylePr>
    <w:tblStylePr w:type="lastCol">
      <w:rPr>
        <w:b/>
        <w:bCs/>
      </w:rPr>
    </w:tblStylePr>
    <w:tblStylePr w:type="band1Vert">
      <w:tblPr/>
      <w:tcPr>
        <w:shd w:val="solid" w:color="D2EAF1" w:fill="auto"/>
      </w:tcPr>
    </w:tblStylePr>
    <w:tblStylePr w:type="band1Horz">
      <w:tblPr/>
      <w:tcPr>
        <w:shd w:val="solid" w:color="D2EAF1" w:fill="auto"/>
      </w:tcPr>
    </w:tblStylePr>
  </w:style>
  <w:style w:type="table" w:styleId="Sfondomedio1-Colore6">
    <w:name w:val="Medium Shading 1 Accent 6"/>
    <w:basedOn w:val="Tabellanormale"/>
    <w:uiPriority w:val="6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tcBorders>
        <w:shd w:val="solid" w:color="F79646" w:fill="auto"/>
      </w:tcPr>
    </w:tblStylePr>
    <w:tblStylePr w:type="lastRow">
      <w:pPr>
        <w:spacing w:before="0" w:after="0" w:line="240" w:lineRule="auto"/>
      </w:pPr>
      <w:rPr>
        <w:b/>
        <w:bCs/>
      </w:rPr>
      <w:tblPr/>
      <w:tcPr>
        <w:tcBorders>
          <w:top w:val="double" w:sz="18" w:space="0" w:color="F9B074"/>
          <w:left w:val="single" w:sz="8" w:space="0" w:color="F9B074"/>
          <w:bottom w:val="single" w:sz="8" w:space="0" w:color="F9B074"/>
          <w:right w:val="single" w:sz="8" w:space="0" w:color="F9B074"/>
        </w:tcBorders>
      </w:tcPr>
    </w:tblStylePr>
    <w:tblStylePr w:type="firstCol">
      <w:rPr>
        <w:b/>
        <w:bCs/>
      </w:rPr>
    </w:tblStylePr>
    <w:tblStylePr w:type="lastCol">
      <w:rPr>
        <w:b/>
        <w:bCs/>
      </w:rPr>
    </w:tblStylePr>
    <w:tblStylePr w:type="band1Vert">
      <w:tblPr/>
      <w:tcPr>
        <w:shd w:val="solid" w:color="FDE4D0" w:fill="auto"/>
      </w:tcPr>
    </w:tblStylePr>
    <w:tblStylePr w:type="band1Horz">
      <w:tblPr/>
      <w:tcPr>
        <w:shd w:val="solid" w:color="FDE4D0" w:fill="auto"/>
      </w:tcPr>
    </w:tblStylePr>
  </w:style>
  <w:style w:type="table" w:styleId="Sfondomedio2">
    <w:name w:val="Medium Shading 2"/>
    <w:basedOn w:val="Tabellanormale"/>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rPr>
      <w:tblPr/>
      <w:tcPr>
        <w:tcBorders>
          <w:top w:val="single" w:sz="18" w:space="0" w:color="000000"/>
          <w:bottom w:val="single" w:sz="18" w:space="0" w:color="000000"/>
        </w:tcBorders>
        <w:shd w:val="solid" w:color="000000" w:fill="auto"/>
      </w:tcPr>
    </w:tblStylePr>
    <w:tblStylePr w:type="lastRow">
      <w:pPr>
        <w:spacing w:before="0" w:after="0" w:line="240" w:lineRule="auto"/>
      </w:pPr>
      <w:tblPr/>
      <w:tcPr>
        <w:tcBorders>
          <w:top w:val="double" w:sz="18" w:space="0" w:color="000000"/>
          <w:bottom w:val="single" w:sz="18" w:space="0" w:color="000000"/>
        </w:tcBorders>
        <w:shd w:val="solid" w:color="FFFFFF" w:fill="auto"/>
      </w:tcPr>
    </w:tblStylePr>
    <w:tblStylePr w:type="firstCol">
      <w:rPr>
        <w:b/>
        <w:bCs/>
        <w:color w:val="FFFFFF"/>
      </w:rPr>
      <w:tblPr/>
      <w:tcPr>
        <w:tcBorders>
          <w:bottom w:val="single" w:sz="18" w:space="0" w:color="000000"/>
        </w:tcBorders>
        <w:shd w:val="solid" w:color="000000" w:fill="auto"/>
      </w:tcPr>
    </w:tblStylePr>
    <w:tblStylePr w:type="lastCol">
      <w:rPr>
        <w:b/>
        <w:bCs/>
        <w:color w:val="FFFFFF"/>
      </w:rPr>
      <w:tblPr/>
      <w:tcPr>
        <w:shd w:val="solid" w:color="000000" w:fill="auto"/>
      </w:tcPr>
    </w:tblStylePr>
    <w:tblStylePr w:type="band1Vert">
      <w:tblPr/>
      <w:tcPr>
        <w:shd w:val="solid" w:color="D8D8D8" w:fill="auto"/>
      </w:tcPr>
    </w:tblStylePr>
    <w:tblStylePr w:type="band1Horz">
      <w:tblPr/>
      <w:tcPr>
        <w:shd w:val="solid" w:color="D8D8D8" w:fill="auto"/>
      </w:tcPr>
    </w:tblStylePr>
    <w:tblStylePr w:type="neCell">
      <w:tblPr/>
      <w:tcPr>
        <w:tcBorders>
          <w:top w:val="single" w:sz="18" w:space="0" w:color="000000"/>
          <w:bottom w:val="single" w:sz="18" w:space="0" w:color="000000"/>
        </w:tcBorders>
      </w:tcPr>
    </w:tblStylePr>
    <w:tblStylePr w:type="nwCell">
      <w:rPr>
        <w:color w:val="FFFFFF"/>
      </w:rPr>
      <w:tblPr/>
      <w:tcPr>
        <w:tcBorders>
          <w:top w:val="single" w:sz="18" w:space="0" w:color="000000"/>
          <w:bottom w:val="single" w:sz="18" w:space="0" w:color="000000"/>
        </w:tcBorders>
      </w:tcPr>
    </w:tblStylePr>
  </w:style>
  <w:style w:type="table" w:styleId="Sfondomedio2-Colore1">
    <w:name w:val="Medium Shading 2 Accent 1"/>
    <w:basedOn w:val="Tabellanormale"/>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rPr>
      <w:tblPr/>
      <w:tcPr>
        <w:tcBorders>
          <w:top w:val="single" w:sz="18" w:space="0" w:color="000000"/>
          <w:bottom w:val="single" w:sz="18" w:space="0" w:color="000000"/>
        </w:tcBorders>
        <w:shd w:val="solid" w:color="4F81BD" w:fill="auto"/>
      </w:tcPr>
    </w:tblStylePr>
    <w:tblStylePr w:type="lastRow">
      <w:pPr>
        <w:spacing w:before="0" w:after="0" w:line="240" w:lineRule="auto"/>
      </w:pPr>
      <w:tblPr/>
      <w:tcPr>
        <w:tcBorders>
          <w:top w:val="double" w:sz="18" w:space="0" w:color="000000"/>
          <w:bottom w:val="single" w:sz="18" w:space="0" w:color="000000"/>
        </w:tcBorders>
        <w:shd w:val="solid" w:color="FFFFFF" w:fill="auto"/>
      </w:tcPr>
    </w:tblStylePr>
    <w:tblStylePr w:type="firstCol">
      <w:rPr>
        <w:b/>
        <w:bCs/>
        <w:color w:val="FFFFFF"/>
      </w:rPr>
      <w:tblPr/>
      <w:tcPr>
        <w:tcBorders>
          <w:bottom w:val="single" w:sz="18" w:space="0" w:color="000000"/>
        </w:tcBorders>
        <w:shd w:val="solid" w:color="4F81BD" w:fill="auto"/>
      </w:tcPr>
    </w:tblStylePr>
    <w:tblStylePr w:type="lastCol">
      <w:rPr>
        <w:b/>
        <w:bCs/>
        <w:color w:val="FFFFFF"/>
      </w:rPr>
      <w:tblPr/>
      <w:tcPr>
        <w:shd w:val="solid" w:color="4F81BD" w:fill="auto"/>
      </w:tcPr>
    </w:tblStylePr>
    <w:tblStylePr w:type="band1Vert">
      <w:tblPr/>
      <w:tcPr>
        <w:shd w:val="solid" w:color="D8D8D8" w:fill="auto"/>
      </w:tcPr>
    </w:tblStylePr>
    <w:tblStylePr w:type="band1Horz">
      <w:tblPr/>
      <w:tcPr>
        <w:shd w:val="solid" w:color="D8D8D8" w:fill="auto"/>
      </w:tcPr>
    </w:tblStylePr>
    <w:tblStylePr w:type="neCell">
      <w:tblPr/>
      <w:tcPr>
        <w:tcBorders>
          <w:top w:val="single" w:sz="18" w:space="0" w:color="000000"/>
          <w:bottom w:val="single" w:sz="18" w:space="0" w:color="000000"/>
        </w:tcBorders>
      </w:tcPr>
    </w:tblStylePr>
    <w:tblStylePr w:type="nwCell">
      <w:rPr>
        <w:color w:val="FFFFFF"/>
      </w:rPr>
      <w:tblPr/>
      <w:tcPr>
        <w:tcBorders>
          <w:top w:val="single" w:sz="18" w:space="0" w:color="000000"/>
          <w:bottom w:val="single" w:sz="18" w:space="0" w:color="000000"/>
        </w:tcBorders>
      </w:tcPr>
    </w:tblStylePr>
  </w:style>
  <w:style w:type="table" w:styleId="Sfondomedio2-Colore2">
    <w:name w:val="Medium Shading 2 Accent 2"/>
    <w:basedOn w:val="Tabellanormale"/>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rPr>
      <w:tblPr/>
      <w:tcPr>
        <w:tcBorders>
          <w:top w:val="single" w:sz="18" w:space="0" w:color="000000"/>
          <w:bottom w:val="single" w:sz="18" w:space="0" w:color="000000"/>
        </w:tcBorders>
        <w:shd w:val="solid" w:color="C0504D" w:fill="auto"/>
      </w:tcPr>
    </w:tblStylePr>
    <w:tblStylePr w:type="lastRow">
      <w:pPr>
        <w:spacing w:before="0" w:after="0" w:line="240" w:lineRule="auto"/>
      </w:pPr>
      <w:tblPr/>
      <w:tcPr>
        <w:tcBorders>
          <w:top w:val="double" w:sz="18" w:space="0" w:color="000000"/>
          <w:bottom w:val="single" w:sz="18" w:space="0" w:color="000000"/>
        </w:tcBorders>
        <w:shd w:val="solid" w:color="FFFFFF" w:fill="auto"/>
      </w:tcPr>
    </w:tblStylePr>
    <w:tblStylePr w:type="firstCol">
      <w:rPr>
        <w:b/>
        <w:bCs/>
        <w:color w:val="FFFFFF"/>
      </w:rPr>
      <w:tblPr/>
      <w:tcPr>
        <w:tcBorders>
          <w:bottom w:val="single" w:sz="18" w:space="0" w:color="000000"/>
        </w:tcBorders>
        <w:shd w:val="solid" w:color="C0504D" w:fill="auto"/>
      </w:tcPr>
    </w:tblStylePr>
    <w:tblStylePr w:type="lastCol">
      <w:rPr>
        <w:b/>
        <w:bCs/>
        <w:color w:val="FFFFFF"/>
      </w:rPr>
      <w:tblPr/>
      <w:tcPr>
        <w:shd w:val="solid" w:color="C0504D" w:fill="auto"/>
      </w:tcPr>
    </w:tblStylePr>
    <w:tblStylePr w:type="band1Vert">
      <w:tblPr/>
      <w:tcPr>
        <w:shd w:val="solid" w:color="D8D8D8" w:fill="auto"/>
      </w:tcPr>
    </w:tblStylePr>
    <w:tblStylePr w:type="band1Horz">
      <w:tblPr/>
      <w:tcPr>
        <w:shd w:val="solid" w:color="D8D8D8" w:fill="auto"/>
      </w:tcPr>
    </w:tblStylePr>
    <w:tblStylePr w:type="neCell">
      <w:tblPr/>
      <w:tcPr>
        <w:tcBorders>
          <w:top w:val="single" w:sz="18" w:space="0" w:color="000000"/>
          <w:bottom w:val="single" w:sz="18" w:space="0" w:color="000000"/>
        </w:tcBorders>
      </w:tcPr>
    </w:tblStylePr>
    <w:tblStylePr w:type="nwCell">
      <w:rPr>
        <w:color w:val="FFFFFF"/>
      </w:rPr>
      <w:tblPr/>
      <w:tcPr>
        <w:tcBorders>
          <w:top w:val="single" w:sz="18" w:space="0" w:color="000000"/>
          <w:bottom w:val="single" w:sz="18" w:space="0" w:color="000000"/>
        </w:tcBorders>
      </w:tcPr>
    </w:tblStylePr>
  </w:style>
  <w:style w:type="table" w:styleId="Sfondomedio2-Colore3">
    <w:name w:val="Medium Shading 2 Accent 3"/>
    <w:basedOn w:val="Tabellanormale"/>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rPr>
      <w:tblPr/>
      <w:tcPr>
        <w:tcBorders>
          <w:top w:val="single" w:sz="18" w:space="0" w:color="000000"/>
          <w:bottom w:val="single" w:sz="18" w:space="0" w:color="000000"/>
        </w:tcBorders>
        <w:shd w:val="solid" w:color="9BBB59" w:fill="auto"/>
      </w:tcPr>
    </w:tblStylePr>
    <w:tblStylePr w:type="lastRow">
      <w:pPr>
        <w:spacing w:before="0" w:after="0" w:line="240" w:lineRule="auto"/>
      </w:pPr>
      <w:tblPr/>
      <w:tcPr>
        <w:tcBorders>
          <w:top w:val="double" w:sz="18" w:space="0" w:color="000000"/>
          <w:bottom w:val="single" w:sz="18" w:space="0" w:color="000000"/>
        </w:tcBorders>
        <w:shd w:val="solid" w:color="FFFFFF" w:fill="auto"/>
      </w:tcPr>
    </w:tblStylePr>
    <w:tblStylePr w:type="firstCol">
      <w:rPr>
        <w:b/>
        <w:bCs/>
        <w:color w:val="FFFFFF"/>
      </w:rPr>
      <w:tblPr/>
      <w:tcPr>
        <w:tcBorders>
          <w:bottom w:val="single" w:sz="18" w:space="0" w:color="000000"/>
        </w:tcBorders>
        <w:shd w:val="solid" w:color="9BBB59" w:fill="auto"/>
      </w:tcPr>
    </w:tblStylePr>
    <w:tblStylePr w:type="lastCol">
      <w:rPr>
        <w:b/>
        <w:bCs/>
        <w:color w:val="FFFFFF"/>
      </w:rPr>
      <w:tblPr/>
      <w:tcPr>
        <w:shd w:val="solid" w:color="9BBB59" w:fill="auto"/>
      </w:tcPr>
    </w:tblStylePr>
    <w:tblStylePr w:type="band1Vert">
      <w:tblPr/>
      <w:tcPr>
        <w:shd w:val="solid" w:color="D8D8D8" w:fill="auto"/>
      </w:tcPr>
    </w:tblStylePr>
    <w:tblStylePr w:type="band1Horz">
      <w:tblPr/>
      <w:tcPr>
        <w:shd w:val="solid" w:color="D8D8D8" w:fill="auto"/>
      </w:tcPr>
    </w:tblStylePr>
    <w:tblStylePr w:type="neCell">
      <w:tblPr/>
      <w:tcPr>
        <w:tcBorders>
          <w:top w:val="single" w:sz="18" w:space="0" w:color="000000"/>
          <w:bottom w:val="single" w:sz="18" w:space="0" w:color="000000"/>
        </w:tcBorders>
      </w:tcPr>
    </w:tblStylePr>
    <w:tblStylePr w:type="nwCell">
      <w:rPr>
        <w:color w:val="FFFFFF"/>
      </w:rPr>
      <w:tblPr/>
      <w:tcPr>
        <w:tcBorders>
          <w:top w:val="single" w:sz="18" w:space="0" w:color="000000"/>
          <w:bottom w:val="single" w:sz="18" w:space="0" w:color="000000"/>
        </w:tcBorders>
      </w:tcPr>
    </w:tblStylePr>
  </w:style>
  <w:style w:type="table" w:styleId="Sfondomedio2-Colore4">
    <w:name w:val="Medium Shading 2 Accent 4"/>
    <w:basedOn w:val="Tabellanormale"/>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rPr>
      <w:tblPr/>
      <w:tcPr>
        <w:tcBorders>
          <w:top w:val="single" w:sz="18" w:space="0" w:color="000000"/>
          <w:bottom w:val="single" w:sz="18" w:space="0" w:color="000000"/>
        </w:tcBorders>
        <w:shd w:val="solid" w:color="8064A2" w:fill="auto"/>
      </w:tcPr>
    </w:tblStylePr>
    <w:tblStylePr w:type="lastRow">
      <w:pPr>
        <w:spacing w:before="0" w:after="0" w:line="240" w:lineRule="auto"/>
      </w:pPr>
      <w:tblPr/>
      <w:tcPr>
        <w:tcBorders>
          <w:top w:val="double" w:sz="18" w:space="0" w:color="000000"/>
          <w:bottom w:val="single" w:sz="18" w:space="0" w:color="000000"/>
        </w:tcBorders>
        <w:shd w:val="solid" w:color="FFFFFF" w:fill="auto"/>
      </w:tcPr>
    </w:tblStylePr>
    <w:tblStylePr w:type="firstCol">
      <w:rPr>
        <w:b/>
        <w:bCs/>
        <w:color w:val="FFFFFF"/>
      </w:rPr>
      <w:tblPr/>
      <w:tcPr>
        <w:tcBorders>
          <w:bottom w:val="single" w:sz="18" w:space="0" w:color="000000"/>
        </w:tcBorders>
        <w:shd w:val="solid" w:color="8064A2" w:fill="auto"/>
      </w:tcPr>
    </w:tblStylePr>
    <w:tblStylePr w:type="lastCol">
      <w:rPr>
        <w:b/>
        <w:bCs/>
        <w:color w:val="FFFFFF"/>
      </w:rPr>
      <w:tblPr/>
      <w:tcPr>
        <w:shd w:val="solid" w:color="8064A2" w:fill="auto"/>
      </w:tcPr>
    </w:tblStylePr>
    <w:tblStylePr w:type="band1Vert">
      <w:tblPr/>
      <w:tcPr>
        <w:shd w:val="solid" w:color="D8D8D8" w:fill="auto"/>
      </w:tcPr>
    </w:tblStylePr>
    <w:tblStylePr w:type="band1Horz">
      <w:tblPr/>
      <w:tcPr>
        <w:shd w:val="solid" w:color="D8D8D8" w:fill="auto"/>
      </w:tcPr>
    </w:tblStylePr>
    <w:tblStylePr w:type="neCell">
      <w:tblPr/>
      <w:tcPr>
        <w:tcBorders>
          <w:top w:val="single" w:sz="18" w:space="0" w:color="000000"/>
          <w:bottom w:val="single" w:sz="18" w:space="0" w:color="000000"/>
        </w:tcBorders>
      </w:tcPr>
    </w:tblStylePr>
    <w:tblStylePr w:type="nwCell">
      <w:rPr>
        <w:color w:val="FFFFFF"/>
      </w:rPr>
      <w:tblPr/>
      <w:tcPr>
        <w:tcBorders>
          <w:top w:val="single" w:sz="18" w:space="0" w:color="000000"/>
          <w:bottom w:val="single" w:sz="18" w:space="0" w:color="000000"/>
        </w:tcBorders>
      </w:tcPr>
    </w:tblStylePr>
  </w:style>
  <w:style w:type="table" w:styleId="Sfondomedio2-Colore5">
    <w:name w:val="Medium Shading 2 Accent 5"/>
    <w:basedOn w:val="Tabellanormale"/>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rPr>
      <w:tblPr/>
      <w:tcPr>
        <w:tcBorders>
          <w:top w:val="single" w:sz="18" w:space="0" w:color="000000"/>
          <w:bottom w:val="single" w:sz="18" w:space="0" w:color="000000"/>
        </w:tcBorders>
        <w:shd w:val="solid" w:color="4BACC6" w:fill="auto"/>
      </w:tcPr>
    </w:tblStylePr>
    <w:tblStylePr w:type="lastRow">
      <w:pPr>
        <w:spacing w:before="0" w:after="0" w:line="240" w:lineRule="auto"/>
      </w:pPr>
      <w:tblPr/>
      <w:tcPr>
        <w:tcBorders>
          <w:top w:val="double" w:sz="18" w:space="0" w:color="000000"/>
          <w:bottom w:val="single" w:sz="18" w:space="0" w:color="000000"/>
        </w:tcBorders>
        <w:shd w:val="solid" w:color="FFFFFF" w:fill="auto"/>
      </w:tcPr>
    </w:tblStylePr>
    <w:tblStylePr w:type="firstCol">
      <w:rPr>
        <w:b/>
        <w:bCs/>
        <w:color w:val="FFFFFF"/>
      </w:rPr>
      <w:tblPr/>
      <w:tcPr>
        <w:tcBorders>
          <w:bottom w:val="single" w:sz="18" w:space="0" w:color="000000"/>
        </w:tcBorders>
        <w:shd w:val="solid" w:color="4BACC6" w:fill="auto"/>
      </w:tcPr>
    </w:tblStylePr>
    <w:tblStylePr w:type="lastCol">
      <w:rPr>
        <w:b/>
        <w:bCs/>
        <w:color w:val="FFFFFF"/>
      </w:rPr>
      <w:tblPr/>
      <w:tcPr>
        <w:shd w:val="solid" w:color="4BACC6" w:fill="auto"/>
      </w:tcPr>
    </w:tblStylePr>
    <w:tblStylePr w:type="band1Vert">
      <w:tblPr/>
      <w:tcPr>
        <w:shd w:val="solid" w:color="D8D8D8" w:fill="auto"/>
      </w:tcPr>
    </w:tblStylePr>
    <w:tblStylePr w:type="band1Horz">
      <w:tblPr/>
      <w:tcPr>
        <w:shd w:val="solid" w:color="D8D8D8" w:fill="auto"/>
      </w:tcPr>
    </w:tblStylePr>
    <w:tblStylePr w:type="neCell">
      <w:tblPr/>
      <w:tcPr>
        <w:tcBorders>
          <w:top w:val="single" w:sz="18" w:space="0" w:color="000000"/>
          <w:bottom w:val="single" w:sz="18" w:space="0" w:color="000000"/>
        </w:tcBorders>
      </w:tcPr>
    </w:tblStylePr>
    <w:tblStylePr w:type="nwCell">
      <w:rPr>
        <w:color w:val="FFFFFF"/>
      </w:rPr>
      <w:tblPr/>
      <w:tcPr>
        <w:tcBorders>
          <w:top w:val="single" w:sz="18" w:space="0" w:color="000000"/>
          <w:bottom w:val="single" w:sz="18" w:space="0" w:color="000000"/>
        </w:tcBorders>
      </w:tcPr>
    </w:tblStylePr>
  </w:style>
  <w:style w:type="table" w:styleId="Sfondomedio2-Colore6">
    <w:name w:val="Medium Shading 2 Accent 6"/>
    <w:basedOn w:val="Tabellanormale"/>
    <w:uiPriority w:val="64"/>
    <w:pPr>
      <w:spacing w:after="0" w:line="240" w:lineRule="auto"/>
    </w:p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rPr>
      <w:tblPr/>
      <w:tcPr>
        <w:tcBorders>
          <w:top w:val="single" w:sz="18" w:space="0" w:color="000000"/>
          <w:bottom w:val="single" w:sz="18" w:space="0" w:color="000000"/>
        </w:tcBorders>
        <w:shd w:val="solid" w:color="F79646" w:fill="auto"/>
      </w:tcPr>
    </w:tblStylePr>
    <w:tblStylePr w:type="lastRow">
      <w:pPr>
        <w:spacing w:before="0" w:after="0" w:line="240" w:lineRule="auto"/>
      </w:pPr>
      <w:tblPr/>
      <w:tcPr>
        <w:tcBorders>
          <w:top w:val="double" w:sz="18" w:space="0" w:color="000000"/>
          <w:bottom w:val="single" w:sz="18" w:space="0" w:color="000000"/>
        </w:tcBorders>
        <w:shd w:val="solid" w:color="FFFFFF" w:fill="auto"/>
      </w:tcPr>
    </w:tblStylePr>
    <w:tblStylePr w:type="firstCol">
      <w:rPr>
        <w:b/>
        <w:bCs/>
        <w:color w:val="FFFFFF"/>
      </w:rPr>
      <w:tblPr/>
      <w:tcPr>
        <w:tcBorders>
          <w:bottom w:val="single" w:sz="18" w:space="0" w:color="000000"/>
        </w:tcBorders>
        <w:shd w:val="solid" w:color="F79646" w:fill="auto"/>
      </w:tcPr>
    </w:tblStylePr>
    <w:tblStylePr w:type="lastCol">
      <w:rPr>
        <w:b/>
        <w:bCs/>
        <w:color w:val="FFFFFF"/>
      </w:rPr>
      <w:tblPr/>
      <w:tcPr>
        <w:shd w:val="solid" w:color="F79646" w:fill="auto"/>
      </w:tcPr>
    </w:tblStylePr>
    <w:tblStylePr w:type="band1Vert">
      <w:tblPr/>
      <w:tcPr>
        <w:shd w:val="solid" w:color="D8D8D8" w:fill="auto"/>
      </w:tcPr>
    </w:tblStylePr>
    <w:tblStylePr w:type="band1Horz">
      <w:tblPr/>
      <w:tcPr>
        <w:shd w:val="solid" w:color="D8D8D8" w:fill="auto"/>
      </w:tcPr>
    </w:tblStylePr>
    <w:tblStylePr w:type="neCell">
      <w:tblPr/>
      <w:tcPr>
        <w:tcBorders>
          <w:top w:val="single" w:sz="18" w:space="0" w:color="000000"/>
          <w:bottom w:val="single" w:sz="18" w:space="0" w:color="000000"/>
        </w:tcBorders>
      </w:tcPr>
    </w:tblStylePr>
    <w:tblStylePr w:type="nwCell">
      <w:rPr>
        <w:color w:val="FFFFFF"/>
      </w:rPr>
      <w:tblPr/>
      <w:tcPr>
        <w:tcBorders>
          <w:top w:val="single" w:sz="18" w:space="0" w:color="000000"/>
          <w:bottom w:val="single" w:sz="18" w:space="0" w:color="000000"/>
        </w:tcBorders>
      </w:tcPr>
    </w:tblStylePr>
  </w:style>
  <w:style w:type="table" w:styleId="Elencomedio1">
    <w:name w:val="Medium List 1"/>
    <w:basedOn w:val="Tabellanormale"/>
    <w:uiPriority w:val="6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Calibri" w:hAnsi="Calibri"/>
      </w:rPr>
      <w:tblPr/>
      <w:tcPr>
        <w:tcBorders>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solid" w:color="C0C0C0" w:fill="auto"/>
      </w:tcPr>
    </w:tblStylePr>
    <w:tblStylePr w:type="band1Horz">
      <w:tblPr/>
      <w:tcPr>
        <w:shd w:val="solid" w:color="C0C0C0" w:fill="auto"/>
      </w:tcPr>
    </w:tblStylePr>
  </w:style>
  <w:style w:type="table" w:styleId="Elencomedio1-Colore1">
    <w:name w:val="Medium List 1 Accent 1"/>
    <w:basedOn w:val="Tabellanormale"/>
    <w:uiPriority w:val="65"/>
    <w:pPr>
      <w:spacing w:after="0" w:line="240" w:lineRule="auto"/>
    </w:pPr>
    <w:rPr>
      <w:color w:val="000000"/>
    </w:rPr>
    <w:tblPr>
      <w:tblStyleRowBandSize w:val="1"/>
      <w:tblStyleColBandSize w:val="1"/>
      <w:tblBorders>
        <w:top w:val="single" w:sz="8" w:space="0" w:color="4F81BD"/>
        <w:bottom w:val="single" w:sz="8" w:space="0" w:color="4F81BD"/>
      </w:tblBorders>
    </w:tblPr>
    <w:tblStylePr w:type="firstRow">
      <w:rPr>
        <w:rFonts w:ascii="Calibri" w:eastAsia="Calibri" w:hAnsi="Calibri"/>
      </w:rPr>
      <w:tblPr/>
      <w:tcPr>
        <w:tcBorders>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solid" w:color="D3DFEE" w:fill="auto"/>
      </w:tcPr>
    </w:tblStylePr>
    <w:tblStylePr w:type="band1Horz">
      <w:tblPr/>
      <w:tcPr>
        <w:shd w:val="solid" w:color="D3DFEE" w:fill="auto"/>
      </w:tcPr>
    </w:tblStylePr>
  </w:style>
  <w:style w:type="table" w:styleId="Elencomedio1-Colore2">
    <w:name w:val="Medium List 1 Accent 2"/>
    <w:basedOn w:val="Tabellanormale"/>
    <w:uiPriority w:val="65"/>
    <w:pPr>
      <w:spacing w:after="0" w:line="240" w:lineRule="auto"/>
    </w:pPr>
    <w:rPr>
      <w:color w:val="000000"/>
    </w:rPr>
    <w:tblPr>
      <w:tblStyleRowBandSize w:val="1"/>
      <w:tblStyleColBandSize w:val="1"/>
      <w:tblBorders>
        <w:top w:val="single" w:sz="8" w:space="0" w:color="C0504D"/>
        <w:bottom w:val="single" w:sz="8" w:space="0" w:color="C0504D"/>
      </w:tblBorders>
    </w:tblPr>
    <w:tblStylePr w:type="firstRow">
      <w:rPr>
        <w:rFonts w:ascii="Calibri" w:eastAsia="Calibri" w:hAnsi="Calibri"/>
      </w:rPr>
      <w:tblPr/>
      <w:tcPr>
        <w:tcBorders>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solid" w:color="EFD3D2" w:fill="auto"/>
      </w:tcPr>
    </w:tblStylePr>
    <w:tblStylePr w:type="band1Horz">
      <w:tblPr/>
      <w:tcPr>
        <w:shd w:val="solid" w:color="EFD3D2" w:fill="auto"/>
      </w:tcPr>
    </w:tblStylePr>
  </w:style>
  <w:style w:type="table" w:styleId="Elencomedio1-Colore3">
    <w:name w:val="Medium List 1 Accent 3"/>
    <w:basedOn w:val="Tabellanormale"/>
    <w:uiPriority w:val="65"/>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libri" w:eastAsia="Calibri" w:hAnsi="Calibri"/>
      </w:rPr>
      <w:tblPr/>
      <w:tcPr>
        <w:tcBorders>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solid" w:color="E6EED5" w:fill="auto"/>
      </w:tcPr>
    </w:tblStylePr>
    <w:tblStylePr w:type="band1Horz">
      <w:tblPr/>
      <w:tcPr>
        <w:shd w:val="solid" w:color="E6EED5" w:fill="auto"/>
      </w:tcPr>
    </w:tblStylePr>
  </w:style>
  <w:style w:type="table" w:styleId="Elencomedio1-Colore4">
    <w:name w:val="Medium List 1 Accent 4"/>
    <w:basedOn w:val="Tabellanormale"/>
    <w:uiPriority w:val="65"/>
    <w:pPr>
      <w:spacing w:after="0" w:line="240" w:lineRule="auto"/>
    </w:pPr>
    <w:rPr>
      <w:color w:val="000000"/>
    </w:rPr>
    <w:tblPr>
      <w:tblStyleRowBandSize w:val="1"/>
      <w:tblStyleColBandSize w:val="1"/>
      <w:tblBorders>
        <w:top w:val="single" w:sz="8" w:space="0" w:color="8064A2"/>
        <w:bottom w:val="single" w:sz="8" w:space="0" w:color="8064A2"/>
      </w:tblBorders>
    </w:tblPr>
    <w:tblStylePr w:type="firstRow">
      <w:rPr>
        <w:rFonts w:ascii="Calibri" w:eastAsia="Calibri" w:hAnsi="Calibri"/>
      </w:rPr>
      <w:tblPr/>
      <w:tcPr>
        <w:tcBorders>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solid" w:color="DFD8E8" w:fill="auto"/>
      </w:tcPr>
    </w:tblStylePr>
    <w:tblStylePr w:type="band1Horz">
      <w:tblPr/>
      <w:tcPr>
        <w:shd w:val="solid" w:color="DFD8E8" w:fill="auto"/>
      </w:tcPr>
    </w:tblStylePr>
  </w:style>
  <w:style w:type="table" w:styleId="Elencomedio1-Colore5">
    <w:name w:val="Medium List 1 Accent 5"/>
    <w:basedOn w:val="Tabellanormale"/>
    <w:uiPriority w:val="65"/>
    <w:pPr>
      <w:spacing w:after="0" w:line="240" w:lineRule="auto"/>
    </w:pPr>
    <w:rPr>
      <w:color w:val="000000"/>
    </w:rPr>
    <w:tblPr>
      <w:tblStyleRowBandSize w:val="1"/>
      <w:tblStyleColBandSize w:val="1"/>
      <w:tblBorders>
        <w:top w:val="single" w:sz="8" w:space="0" w:color="4BACC6"/>
        <w:bottom w:val="single" w:sz="8" w:space="0" w:color="4BACC6"/>
      </w:tblBorders>
    </w:tblPr>
    <w:tblStylePr w:type="firstRow">
      <w:rPr>
        <w:rFonts w:ascii="Calibri" w:eastAsia="Calibri" w:hAnsi="Calibri"/>
      </w:rPr>
      <w:tblPr/>
      <w:tcPr>
        <w:tcBorders>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solid" w:color="D2EAF1" w:fill="auto"/>
      </w:tcPr>
    </w:tblStylePr>
    <w:tblStylePr w:type="band1Horz">
      <w:tblPr/>
      <w:tcPr>
        <w:shd w:val="solid" w:color="D2EAF1" w:fill="auto"/>
      </w:tcPr>
    </w:tblStylePr>
  </w:style>
  <w:style w:type="table" w:styleId="Elencomedio1-Colore6">
    <w:name w:val="Medium List 1 Accent 6"/>
    <w:basedOn w:val="Tabellanormale"/>
    <w:uiPriority w:val="65"/>
    <w:pPr>
      <w:spacing w:after="0" w:line="240" w:lineRule="auto"/>
    </w:pPr>
    <w:rPr>
      <w:color w:val="000000"/>
    </w:rPr>
    <w:tblPr>
      <w:tblStyleRowBandSize w:val="1"/>
      <w:tblStyleColBandSize w:val="1"/>
      <w:tblBorders>
        <w:top w:val="single" w:sz="8" w:space="0" w:color="F79646"/>
        <w:bottom w:val="single" w:sz="8" w:space="0" w:color="F79646"/>
      </w:tblBorders>
    </w:tblPr>
    <w:tblStylePr w:type="firstRow">
      <w:rPr>
        <w:rFonts w:ascii="Calibri" w:eastAsia="Calibri" w:hAnsi="Calibri"/>
      </w:rPr>
      <w:tblPr/>
      <w:tcPr>
        <w:tcBorders>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solid" w:color="FDE4D0" w:fill="auto"/>
      </w:tcPr>
    </w:tblStylePr>
    <w:tblStylePr w:type="band1Horz">
      <w:tblPr/>
      <w:tcPr>
        <w:shd w:val="solid" w:color="FDE4D0" w:fill="auto"/>
      </w:tcPr>
    </w:tblStylePr>
  </w:style>
  <w:style w:type="table" w:styleId="Elencomedio2">
    <w:name w:val="Medium List 2"/>
    <w:basedOn w:val="Tabellanormale"/>
    <w:uiPriority w:val="66"/>
    <w:pPr>
      <w:spacing w:after="0" w:line="240" w:lineRule="auto"/>
    </w:pPr>
    <w:rPr>
      <w:rFonts w:ascii="Calibri" w:eastAsia="Calibri"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bottom w:val="single" w:sz="24" w:space="0" w:color="000000"/>
        </w:tcBorders>
        <w:shd w:val="solid" w:color="FFFFFF" w:fill="auto"/>
      </w:tcPr>
    </w:tblStylePr>
    <w:tblStylePr w:type="lastRow">
      <w:tblPr/>
      <w:tcPr>
        <w:tcBorders>
          <w:top w:val="single" w:sz="8" w:space="0" w:color="000000"/>
        </w:tcBorders>
        <w:shd w:val="solid" w:color="FFFFFF" w:fill="auto"/>
      </w:tcPr>
    </w:tblStylePr>
    <w:tblStylePr w:type="firstCol">
      <w:tblPr/>
      <w:tcPr>
        <w:tcBorders>
          <w:right w:val="single" w:sz="8" w:space="0" w:color="000000"/>
        </w:tcBorders>
        <w:shd w:val="solid" w:color="FFFFFF" w:fill="auto"/>
      </w:tcPr>
    </w:tblStylePr>
    <w:tblStylePr w:type="lastCol">
      <w:tblPr/>
      <w:tcPr>
        <w:tcBorders>
          <w:left w:val="single" w:sz="8" w:space="0" w:color="000000"/>
        </w:tcBorders>
        <w:shd w:val="solid" w:color="FFFFFF" w:fill="auto"/>
      </w:tcPr>
    </w:tblStylePr>
    <w:tblStylePr w:type="band1Vert">
      <w:tblPr/>
      <w:tcPr>
        <w:shd w:val="solid" w:color="C0C0C0" w:fill="auto"/>
      </w:tcPr>
    </w:tblStylePr>
    <w:tblStylePr w:type="band1Horz">
      <w:tblPr/>
      <w:tcPr>
        <w:shd w:val="solid" w:color="C0C0C0" w:fill="auto"/>
      </w:tcPr>
    </w:tblStylePr>
    <w:tblStylePr w:type="nwCell">
      <w:tblPr/>
      <w:tcPr>
        <w:shd w:val="solid" w:color="FFFFFF" w:fill="auto"/>
      </w:tcPr>
    </w:tblStylePr>
  </w:style>
  <w:style w:type="table" w:styleId="Elencomedio2-Colore1">
    <w:name w:val="Medium List 2 Accent 1"/>
    <w:basedOn w:val="Tabellanormale"/>
    <w:uiPriority w:val="66"/>
    <w:pPr>
      <w:spacing w:after="0" w:line="240" w:lineRule="auto"/>
    </w:pPr>
    <w:rPr>
      <w:rFonts w:ascii="Calibri" w:eastAsia="Calibri"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bottom w:val="single" w:sz="24" w:space="0" w:color="4F81BD"/>
        </w:tcBorders>
        <w:shd w:val="solid" w:color="FFFFFF" w:fill="auto"/>
      </w:tcPr>
    </w:tblStylePr>
    <w:tblStylePr w:type="lastRow">
      <w:tblPr/>
      <w:tcPr>
        <w:tcBorders>
          <w:top w:val="single" w:sz="8" w:space="0" w:color="4F81BD"/>
        </w:tcBorders>
        <w:shd w:val="solid" w:color="FFFFFF" w:fill="auto"/>
      </w:tcPr>
    </w:tblStylePr>
    <w:tblStylePr w:type="firstCol">
      <w:tblPr/>
      <w:tcPr>
        <w:tcBorders>
          <w:right w:val="single" w:sz="8" w:space="0" w:color="4F81BD"/>
        </w:tcBorders>
        <w:shd w:val="solid" w:color="FFFFFF" w:fill="auto"/>
      </w:tcPr>
    </w:tblStylePr>
    <w:tblStylePr w:type="lastCol">
      <w:tblPr/>
      <w:tcPr>
        <w:tcBorders>
          <w:left w:val="single" w:sz="8" w:space="0" w:color="4F81BD"/>
        </w:tcBorders>
        <w:shd w:val="solid" w:color="FFFFFF" w:fill="auto"/>
      </w:tcPr>
    </w:tblStylePr>
    <w:tblStylePr w:type="band1Vert">
      <w:tblPr/>
      <w:tcPr>
        <w:shd w:val="solid" w:color="D3DFEE" w:fill="auto"/>
      </w:tcPr>
    </w:tblStylePr>
    <w:tblStylePr w:type="band1Horz">
      <w:tblPr/>
      <w:tcPr>
        <w:shd w:val="solid" w:color="D3DFEE" w:fill="auto"/>
      </w:tcPr>
    </w:tblStylePr>
    <w:tblStylePr w:type="nwCell">
      <w:tblPr/>
      <w:tcPr>
        <w:shd w:val="solid" w:color="FFFFFF" w:fill="auto"/>
      </w:tcPr>
    </w:tblStylePr>
  </w:style>
  <w:style w:type="table" w:styleId="Elencomedio2-Colore2">
    <w:name w:val="Medium List 2 Accent 2"/>
    <w:basedOn w:val="Tabellanormale"/>
    <w:uiPriority w:val="66"/>
    <w:pPr>
      <w:spacing w:after="0" w:line="240" w:lineRule="auto"/>
    </w:pPr>
    <w:rPr>
      <w:rFonts w:ascii="Calibri" w:eastAsia="Calibri"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bottom w:val="single" w:sz="24" w:space="0" w:color="C0504D"/>
        </w:tcBorders>
        <w:shd w:val="solid" w:color="FFFFFF" w:fill="auto"/>
      </w:tcPr>
    </w:tblStylePr>
    <w:tblStylePr w:type="lastRow">
      <w:tblPr/>
      <w:tcPr>
        <w:tcBorders>
          <w:top w:val="single" w:sz="8" w:space="0" w:color="C0504D"/>
        </w:tcBorders>
        <w:shd w:val="solid" w:color="FFFFFF" w:fill="auto"/>
      </w:tcPr>
    </w:tblStylePr>
    <w:tblStylePr w:type="firstCol">
      <w:tblPr/>
      <w:tcPr>
        <w:tcBorders>
          <w:right w:val="single" w:sz="8" w:space="0" w:color="C0504D"/>
        </w:tcBorders>
        <w:shd w:val="solid" w:color="FFFFFF" w:fill="auto"/>
      </w:tcPr>
    </w:tblStylePr>
    <w:tblStylePr w:type="lastCol">
      <w:tblPr/>
      <w:tcPr>
        <w:tcBorders>
          <w:left w:val="single" w:sz="8" w:space="0" w:color="C0504D"/>
        </w:tcBorders>
        <w:shd w:val="solid" w:color="FFFFFF" w:fill="auto"/>
      </w:tcPr>
    </w:tblStylePr>
    <w:tblStylePr w:type="band1Vert">
      <w:tblPr/>
      <w:tcPr>
        <w:shd w:val="solid" w:color="EFD3D2" w:fill="auto"/>
      </w:tcPr>
    </w:tblStylePr>
    <w:tblStylePr w:type="band1Horz">
      <w:tblPr/>
      <w:tcPr>
        <w:shd w:val="solid" w:color="EFD3D2" w:fill="auto"/>
      </w:tcPr>
    </w:tblStylePr>
    <w:tblStylePr w:type="nwCell">
      <w:tblPr/>
      <w:tcPr>
        <w:shd w:val="solid" w:color="FFFFFF" w:fill="auto"/>
      </w:tcPr>
    </w:tblStylePr>
  </w:style>
  <w:style w:type="table" w:styleId="Elencomedio2-Colore3">
    <w:name w:val="Medium List 2 Accent 3"/>
    <w:basedOn w:val="Tabellanormale"/>
    <w:uiPriority w:val="66"/>
    <w:pPr>
      <w:spacing w:after="0" w:line="240" w:lineRule="auto"/>
    </w:pPr>
    <w:rPr>
      <w:rFonts w:ascii="Calibri" w:eastAsia="Calibri"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bottom w:val="single" w:sz="24" w:space="0" w:color="9BBB59"/>
        </w:tcBorders>
        <w:shd w:val="solid" w:color="FFFFFF" w:fill="auto"/>
      </w:tcPr>
    </w:tblStylePr>
    <w:tblStylePr w:type="lastRow">
      <w:tblPr/>
      <w:tcPr>
        <w:tcBorders>
          <w:top w:val="single" w:sz="8" w:space="0" w:color="9BBB59"/>
        </w:tcBorders>
        <w:shd w:val="solid" w:color="FFFFFF" w:fill="auto"/>
      </w:tcPr>
    </w:tblStylePr>
    <w:tblStylePr w:type="firstCol">
      <w:tblPr/>
      <w:tcPr>
        <w:tcBorders>
          <w:right w:val="single" w:sz="8" w:space="0" w:color="9BBB59"/>
        </w:tcBorders>
        <w:shd w:val="solid" w:color="FFFFFF" w:fill="auto"/>
      </w:tcPr>
    </w:tblStylePr>
    <w:tblStylePr w:type="lastCol">
      <w:tblPr/>
      <w:tcPr>
        <w:tcBorders>
          <w:left w:val="single" w:sz="8" w:space="0" w:color="9BBB59"/>
        </w:tcBorders>
        <w:shd w:val="solid" w:color="FFFFFF" w:fill="auto"/>
      </w:tcPr>
    </w:tblStylePr>
    <w:tblStylePr w:type="band1Vert">
      <w:tblPr/>
      <w:tcPr>
        <w:shd w:val="solid" w:color="E6EED5" w:fill="auto"/>
      </w:tcPr>
    </w:tblStylePr>
    <w:tblStylePr w:type="band1Horz">
      <w:tblPr/>
      <w:tcPr>
        <w:shd w:val="solid" w:color="E6EED5" w:fill="auto"/>
      </w:tcPr>
    </w:tblStylePr>
    <w:tblStylePr w:type="nwCell">
      <w:tblPr/>
      <w:tcPr>
        <w:shd w:val="solid" w:color="FFFFFF" w:fill="auto"/>
      </w:tcPr>
    </w:tblStylePr>
  </w:style>
  <w:style w:type="table" w:styleId="Elencomedio2-Colore4">
    <w:name w:val="Medium List 2 Accent 4"/>
    <w:basedOn w:val="Tabellanormale"/>
    <w:uiPriority w:val="66"/>
    <w:pPr>
      <w:spacing w:after="0" w:line="240" w:lineRule="auto"/>
    </w:pPr>
    <w:rPr>
      <w:rFonts w:ascii="Calibri" w:eastAsia="Calibri"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bottom w:val="single" w:sz="24" w:space="0" w:color="8064A2"/>
        </w:tcBorders>
        <w:shd w:val="solid" w:color="FFFFFF" w:fill="auto"/>
      </w:tcPr>
    </w:tblStylePr>
    <w:tblStylePr w:type="lastRow">
      <w:tblPr/>
      <w:tcPr>
        <w:tcBorders>
          <w:top w:val="single" w:sz="8" w:space="0" w:color="8064A2"/>
        </w:tcBorders>
        <w:shd w:val="solid" w:color="FFFFFF" w:fill="auto"/>
      </w:tcPr>
    </w:tblStylePr>
    <w:tblStylePr w:type="firstCol">
      <w:tblPr/>
      <w:tcPr>
        <w:tcBorders>
          <w:right w:val="single" w:sz="8" w:space="0" w:color="8064A2"/>
        </w:tcBorders>
        <w:shd w:val="solid" w:color="FFFFFF" w:fill="auto"/>
      </w:tcPr>
    </w:tblStylePr>
    <w:tblStylePr w:type="lastCol">
      <w:tblPr/>
      <w:tcPr>
        <w:tcBorders>
          <w:left w:val="single" w:sz="8" w:space="0" w:color="8064A2"/>
        </w:tcBorders>
        <w:shd w:val="solid" w:color="FFFFFF" w:fill="auto"/>
      </w:tcPr>
    </w:tblStylePr>
    <w:tblStylePr w:type="band1Vert">
      <w:tblPr/>
      <w:tcPr>
        <w:shd w:val="solid" w:color="DFD8E8" w:fill="auto"/>
      </w:tcPr>
    </w:tblStylePr>
    <w:tblStylePr w:type="band1Horz">
      <w:tblPr/>
      <w:tcPr>
        <w:shd w:val="solid" w:color="DFD8E8" w:fill="auto"/>
      </w:tcPr>
    </w:tblStylePr>
    <w:tblStylePr w:type="nwCell">
      <w:tblPr/>
      <w:tcPr>
        <w:shd w:val="solid" w:color="FFFFFF" w:fill="auto"/>
      </w:tcPr>
    </w:tblStylePr>
  </w:style>
  <w:style w:type="table" w:styleId="Elencomedio2-Colore5">
    <w:name w:val="Medium List 2 Accent 5"/>
    <w:basedOn w:val="Tabellanormale"/>
    <w:uiPriority w:val="66"/>
    <w:pPr>
      <w:spacing w:after="0" w:line="240" w:lineRule="auto"/>
    </w:pPr>
    <w:rPr>
      <w:rFonts w:ascii="Calibri" w:eastAsia="Calibri"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bottom w:val="single" w:sz="24" w:space="0" w:color="4BACC6"/>
        </w:tcBorders>
        <w:shd w:val="solid" w:color="FFFFFF" w:fill="auto"/>
      </w:tcPr>
    </w:tblStylePr>
    <w:tblStylePr w:type="lastRow">
      <w:tblPr/>
      <w:tcPr>
        <w:tcBorders>
          <w:top w:val="single" w:sz="8" w:space="0" w:color="4BACC6"/>
        </w:tcBorders>
        <w:shd w:val="solid" w:color="FFFFFF" w:fill="auto"/>
      </w:tcPr>
    </w:tblStylePr>
    <w:tblStylePr w:type="firstCol">
      <w:tblPr/>
      <w:tcPr>
        <w:tcBorders>
          <w:right w:val="single" w:sz="8" w:space="0" w:color="4BACC6"/>
        </w:tcBorders>
        <w:shd w:val="solid" w:color="FFFFFF" w:fill="auto"/>
      </w:tcPr>
    </w:tblStylePr>
    <w:tblStylePr w:type="lastCol">
      <w:tblPr/>
      <w:tcPr>
        <w:tcBorders>
          <w:left w:val="single" w:sz="8" w:space="0" w:color="4BACC6"/>
        </w:tcBorders>
        <w:shd w:val="solid" w:color="FFFFFF" w:fill="auto"/>
      </w:tcPr>
    </w:tblStylePr>
    <w:tblStylePr w:type="band1Vert">
      <w:tblPr/>
      <w:tcPr>
        <w:shd w:val="solid" w:color="D2EAF1" w:fill="auto"/>
      </w:tcPr>
    </w:tblStylePr>
    <w:tblStylePr w:type="band1Horz">
      <w:tblPr/>
      <w:tcPr>
        <w:shd w:val="solid" w:color="D2EAF1" w:fill="auto"/>
      </w:tcPr>
    </w:tblStylePr>
    <w:tblStylePr w:type="nwCell">
      <w:tblPr/>
      <w:tcPr>
        <w:shd w:val="solid" w:color="FFFFFF" w:fill="auto"/>
      </w:tcPr>
    </w:tblStylePr>
  </w:style>
  <w:style w:type="table" w:styleId="Elencomedio2-Colore6">
    <w:name w:val="Medium List 2 Accent 6"/>
    <w:basedOn w:val="Tabellanormale"/>
    <w:uiPriority w:val="66"/>
    <w:pPr>
      <w:spacing w:after="0" w:line="240" w:lineRule="auto"/>
    </w:pPr>
    <w:rPr>
      <w:rFonts w:ascii="Calibri" w:eastAsia="Calibri"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bottom w:val="single" w:sz="24" w:space="0" w:color="F79646"/>
        </w:tcBorders>
        <w:shd w:val="solid" w:color="FFFFFF" w:fill="auto"/>
      </w:tcPr>
    </w:tblStylePr>
    <w:tblStylePr w:type="lastRow">
      <w:tblPr/>
      <w:tcPr>
        <w:tcBorders>
          <w:top w:val="single" w:sz="8" w:space="0" w:color="F79646"/>
        </w:tcBorders>
        <w:shd w:val="solid" w:color="FFFFFF" w:fill="auto"/>
      </w:tcPr>
    </w:tblStylePr>
    <w:tblStylePr w:type="firstCol">
      <w:tblPr/>
      <w:tcPr>
        <w:tcBorders>
          <w:right w:val="single" w:sz="8" w:space="0" w:color="F79646"/>
        </w:tcBorders>
        <w:shd w:val="solid" w:color="FFFFFF" w:fill="auto"/>
      </w:tcPr>
    </w:tblStylePr>
    <w:tblStylePr w:type="lastCol">
      <w:tblPr/>
      <w:tcPr>
        <w:tcBorders>
          <w:left w:val="single" w:sz="8" w:space="0" w:color="F79646"/>
        </w:tcBorders>
        <w:shd w:val="solid" w:color="FFFFFF" w:fill="auto"/>
      </w:tcPr>
    </w:tblStylePr>
    <w:tblStylePr w:type="band1Vert">
      <w:tblPr/>
      <w:tcPr>
        <w:shd w:val="solid" w:color="FDE4D0" w:fill="auto"/>
      </w:tcPr>
    </w:tblStylePr>
    <w:tblStylePr w:type="band1Horz">
      <w:tblPr/>
      <w:tcPr>
        <w:shd w:val="solid" w:color="FDE4D0" w:fill="auto"/>
      </w:tcPr>
    </w:tblStylePr>
    <w:tblStylePr w:type="nwCell">
      <w:tblPr/>
      <w:tcPr>
        <w:shd w:val="solid" w:color="FFFFFF" w:fill="auto"/>
      </w:tcPr>
    </w:tblStylePr>
  </w:style>
  <w:style w:type="table" w:styleId="Grigliamedia1">
    <w:name w:val="Medium Grid 1"/>
    <w:basedOn w:val="Tabellanormale"/>
    <w:uiPriority w:val="6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solid" w:color="C0C0C0" w:fill="auto"/>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solid" w:color="808080" w:fill="auto"/>
      </w:tcPr>
    </w:tblStylePr>
    <w:tblStylePr w:type="band1Horz">
      <w:tblPr/>
      <w:tcPr>
        <w:shd w:val="solid" w:color="808080" w:fill="auto"/>
      </w:tcPr>
    </w:tblStylePr>
  </w:style>
  <w:style w:type="table" w:styleId="Grigliamedia1-Colore1">
    <w:name w:val="Medium Grid 1 Accent 1"/>
    <w:basedOn w:val="Tabellanormale"/>
    <w:uiPriority w:val="67"/>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solid" w:color="D3DFEE" w:fill="auto"/>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solid" w:color="A7BFDE" w:fill="auto"/>
      </w:tcPr>
    </w:tblStylePr>
    <w:tblStylePr w:type="band1Horz">
      <w:tblPr/>
      <w:tcPr>
        <w:shd w:val="solid" w:color="A7BFDE" w:fill="auto"/>
      </w:tcPr>
    </w:tblStylePr>
  </w:style>
  <w:style w:type="table" w:styleId="Grigliamedia1-Colore2">
    <w:name w:val="Medium Grid 1 Accent 2"/>
    <w:basedOn w:val="Tabellanormale"/>
    <w:uiPriority w:val="67"/>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solid" w:color="EFD3D2" w:fill="auto"/>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solid" w:color="DFA7A6" w:fill="auto"/>
      </w:tcPr>
    </w:tblStylePr>
    <w:tblStylePr w:type="band1Horz">
      <w:tblPr/>
      <w:tcPr>
        <w:shd w:val="solid" w:color="DFA7A6" w:fill="auto"/>
      </w:tcPr>
    </w:tblStylePr>
  </w:style>
  <w:style w:type="table" w:styleId="Grigliamedia1-Colore3">
    <w:name w:val="Medium Grid 1 Accent 3"/>
    <w:basedOn w:val="Tabellanormale"/>
    <w:uiPriority w:val="67"/>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solid" w:color="E6EED5" w:fill="auto"/>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solid" w:color="CDDDAC" w:fill="auto"/>
      </w:tcPr>
    </w:tblStylePr>
    <w:tblStylePr w:type="band1Horz">
      <w:tblPr/>
      <w:tcPr>
        <w:shd w:val="solid" w:color="CDDDAC" w:fill="auto"/>
      </w:tcPr>
    </w:tblStylePr>
  </w:style>
  <w:style w:type="table" w:styleId="Grigliamedia1-Colore4">
    <w:name w:val="Medium Grid 1 Accent 4"/>
    <w:basedOn w:val="Tabellanormale"/>
    <w:uiPriority w:val="67"/>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solid" w:color="DFD8E8" w:fill="auto"/>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solid" w:color="BFB1D0" w:fill="auto"/>
      </w:tcPr>
    </w:tblStylePr>
    <w:tblStylePr w:type="band1Horz">
      <w:tblPr/>
      <w:tcPr>
        <w:shd w:val="solid" w:color="BFB1D0" w:fill="auto"/>
      </w:tcPr>
    </w:tblStylePr>
  </w:style>
  <w:style w:type="table" w:styleId="Grigliamedia1-Colore5">
    <w:name w:val="Medium Grid 1 Accent 5"/>
    <w:basedOn w:val="Tabellanormale"/>
    <w:uiPriority w:val="67"/>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solid" w:color="D2EAF1" w:fill="auto"/>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solid" w:color="A5D5E2" w:fill="auto"/>
      </w:tcPr>
    </w:tblStylePr>
    <w:tblStylePr w:type="band1Horz">
      <w:tblPr/>
      <w:tcPr>
        <w:shd w:val="solid" w:color="A5D5E2" w:fill="auto"/>
      </w:tcPr>
    </w:tblStylePr>
  </w:style>
  <w:style w:type="table" w:styleId="Grigliamedia1-Colore6">
    <w:name w:val="Medium Grid 1 Accent 6"/>
    <w:basedOn w:val="Tabellanormale"/>
    <w:uiPriority w:val="67"/>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solid" w:color="FDE4D0" w:fill="auto"/>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solid" w:color="FBCAA2" w:fill="auto"/>
      </w:tcPr>
    </w:tblStylePr>
    <w:tblStylePr w:type="band1Horz">
      <w:tblPr/>
      <w:tcPr>
        <w:shd w:val="solid" w:color="FBCAA2" w:fill="auto"/>
      </w:tcPr>
    </w:tblStylePr>
  </w:style>
  <w:style w:type="table" w:styleId="Grigliamedia2">
    <w:name w:val="Medium Grid 2"/>
    <w:basedOn w:val="Tabellanormale"/>
    <w:uiPriority w:val="68"/>
    <w:pPr>
      <w:spacing w:after="0" w:line="240" w:lineRule="auto"/>
    </w:pPr>
    <w:rPr>
      <w:rFonts w:ascii="Calibri" w:eastAsia="Calibri"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solid" w:color="C0C0C0" w:fill="auto"/>
    </w:tcPr>
    <w:tblStylePr w:type="firstRow">
      <w:rPr>
        <w:b/>
        <w:bCs/>
        <w:color w:val="000000"/>
      </w:rPr>
      <w:tblPr/>
      <w:tcPr>
        <w:shd w:val="solid" w:color="E6E6E6" w:fill="auto"/>
      </w:tcPr>
    </w:tblStylePr>
    <w:tblStylePr w:type="lastRow">
      <w:rPr>
        <w:b/>
        <w:bCs/>
        <w:color w:val="000000"/>
      </w:rPr>
      <w:tblPr/>
      <w:tcPr>
        <w:tcBorders>
          <w:top w:val="single" w:sz="12" w:space="0" w:color="000000"/>
        </w:tcBorders>
        <w:shd w:val="solid" w:color="FFFFFF" w:fill="auto"/>
      </w:tcPr>
    </w:tblStylePr>
    <w:tblStylePr w:type="firstCol">
      <w:rPr>
        <w:b/>
        <w:bCs/>
        <w:color w:val="000000"/>
      </w:rPr>
      <w:tblPr/>
      <w:tcPr>
        <w:shd w:val="solid" w:color="FFFFFF" w:fill="auto"/>
      </w:tcPr>
    </w:tblStylePr>
    <w:tblStylePr w:type="lastCol">
      <w:rPr>
        <w:b w:val="0"/>
        <w:bCs w:val="0"/>
        <w:color w:val="000000"/>
      </w:rPr>
      <w:tblPr/>
      <w:tcPr>
        <w:shd w:val="solid" w:color="CCCCCC" w:fill="auto"/>
      </w:tcPr>
    </w:tblStylePr>
    <w:tblStylePr w:type="band1Vert">
      <w:tblPr/>
      <w:tcPr>
        <w:shd w:val="solid" w:color="808080" w:fill="auto"/>
      </w:tcPr>
    </w:tblStylePr>
    <w:tblStylePr w:type="band1Horz">
      <w:tblPr/>
      <w:tcPr>
        <w:tcBorders>
          <w:insideH w:val="single" w:sz="6" w:space="0" w:color="000000"/>
          <w:insideV w:val="single" w:sz="6" w:space="0" w:color="000000"/>
        </w:tcBorders>
        <w:shd w:val="solid" w:color="808080" w:fill="auto"/>
      </w:tcPr>
    </w:tblStylePr>
    <w:tblStylePr w:type="nwCell">
      <w:tblPr/>
      <w:tcPr>
        <w:shd w:val="solid" w:color="FFFFFF" w:fill="auto"/>
      </w:tcPr>
    </w:tblStylePr>
  </w:style>
  <w:style w:type="table" w:styleId="Grigliamedia2-Colore1">
    <w:name w:val="Medium Grid 2 Accent 1"/>
    <w:basedOn w:val="Tabellanormale"/>
    <w:uiPriority w:val="68"/>
    <w:pPr>
      <w:spacing w:after="0" w:line="240" w:lineRule="auto"/>
    </w:pPr>
    <w:rPr>
      <w:rFonts w:ascii="Calibri" w:eastAsia="Calibri"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solid" w:color="D3DFEE" w:fill="auto"/>
    </w:tcPr>
    <w:tblStylePr w:type="firstRow">
      <w:rPr>
        <w:b/>
        <w:bCs/>
        <w:color w:val="000000"/>
      </w:rPr>
      <w:tblPr/>
      <w:tcPr>
        <w:shd w:val="solid" w:color="EDF2F8" w:fill="auto"/>
      </w:tcPr>
    </w:tblStylePr>
    <w:tblStylePr w:type="lastRow">
      <w:rPr>
        <w:b/>
        <w:bCs/>
        <w:color w:val="000000"/>
      </w:rPr>
      <w:tblPr/>
      <w:tcPr>
        <w:tcBorders>
          <w:top w:val="single" w:sz="12" w:space="0" w:color="000000"/>
        </w:tcBorders>
        <w:shd w:val="solid" w:color="FFFFFF" w:fill="auto"/>
      </w:tcPr>
    </w:tblStylePr>
    <w:tblStylePr w:type="firstCol">
      <w:rPr>
        <w:b/>
        <w:bCs/>
        <w:color w:val="000000"/>
      </w:rPr>
      <w:tblPr/>
      <w:tcPr>
        <w:shd w:val="solid" w:color="FFFFFF" w:fill="auto"/>
      </w:tcPr>
    </w:tblStylePr>
    <w:tblStylePr w:type="lastCol">
      <w:rPr>
        <w:b w:val="0"/>
        <w:bCs w:val="0"/>
        <w:color w:val="000000"/>
      </w:rPr>
      <w:tblPr/>
      <w:tcPr>
        <w:shd w:val="solid" w:color="DBE5F1" w:fill="auto"/>
      </w:tcPr>
    </w:tblStylePr>
    <w:tblStylePr w:type="band1Vert">
      <w:tblPr/>
      <w:tcPr>
        <w:shd w:val="solid" w:color="A7BFDE" w:fill="auto"/>
      </w:tcPr>
    </w:tblStylePr>
    <w:tblStylePr w:type="band1Horz">
      <w:tblPr/>
      <w:tcPr>
        <w:tcBorders>
          <w:insideH w:val="single" w:sz="6" w:space="0" w:color="4F81BD"/>
          <w:insideV w:val="single" w:sz="6" w:space="0" w:color="4F81BD"/>
        </w:tcBorders>
        <w:shd w:val="solid" w:color="A7BFDE" w:fill="auto"/>
      </w:tcPr>
    </w:tblStylePr>
    <w:tblStylePr w:type="nwCell">
      <w:tblPr/>
      <w:tcPr>
        <w:shd w:val="solid" w:color="FFFFFF" w:fill="auto"/>
      </w:tcPr>
    </w:tblStylePr>
  </w:style>
  <w:style w:type="table" w:styleId="Grigliamedia2-Colore2">
    <w:name w:val="Medium Grid 2 Accent 2"/>
    <w:basedOn w:val="Tabellanormale"/>
    <w:uiPriority w:val="68"/>
    <w:pPr>
      <w:spacing w:after="0" w:line="240" w:lineRule="auto"/>
    </w:pPr>
    <w:rPr>
      <w:rFonts w:ascii="Calibri" w:eastAsia="Calibri"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solid" w:color="EFD3D2" w:fill="auto"/>
    </w:tcPr>
    <w:tblStylePr w:type="firstRow">
      <w:rPr>
        <w:b/>
        <w:bCs/>
        <w:color w:val="000000"/>
      </w:rPr>
      <w:tblPr/>
      <w:tcPr>
        <w:shd w:val="solid" w:color="F8EDED" w:fill="auto"/>
      </w:tcPr>
    </w:tblStylePr>
    <w:tblStylePr w:type="lastRow">
      <w:rPr>
        <w:b/>
        <w:bCs/>
        <w:color w:val="000000"/>
      </w:rPr>
      <w:tblPr/>
      <w:tcPr>
        <w:tcBorders>
          <w:top w:val="single" w:sz="12" w:space="0" w:color="000000"/>
        </w:tcBorders>
        <w:shd w:val="solid" w:color="FFFFFF" w:fill="auto"/>
      </w:tcPr>
    </w:tblStylePr>
    <w:tblStylePr w:type="firstCol">
      <w:rPr>
        <w:b/>
        <w:bCs/>
        <w:color w:val="000000"/>
      </w:rPr>
      <w:tblPr/>
      <w:tcPr>
        <w:shd w:val="solid" w:color="FFFFFF" w:fill="auto"/>
      </w:tcPr>
    </w:tblStylePr>
    <w:tblStylePr w:type="lastCol">
      <w:rPr>
        <w:b w:val="0"/>
        <w:bCs w:val="0"/>
        <w:color w:val="000000"/>
      </w:rPr>
      <w:tblPr/>
      <w:tcPr>
        <w:shd w:val="solid" w:color="F2DBDB" w:fill="auto"/>
      </w:tcPr>
    </w:tblStylePr>
    <w:tblStylePr w:type="band1Vert">
      <w:tblPr/>
      <w:tcPr>
        <w:shd w:val="solid" w:color="DFA7A6" w:fill="auto"/>
      </w:tcPr>
    </w:tblStylePr>
    <w:tblStylePr w:type="band1Horz">
      <w:tblPr/>
      <w:tcPr>
        <w:tcBorders>
          <w:insideH w:val="single" w:sz="6" w:space="0" w:color="C0504D"/>
          <w:insideV w:val="single" w:sz="6" w:space="0" w:color="C0504D"/>
        </w:tcBorders>
        <w:shd w:val="solid" w:color="DFA7A6" w:fill="auto"/>
      </w:tcPr>
    </w:tblStylePr>
    <w:tblStylePr w:type="nwCell">
      <w:tblPr/>
      <w:tcPr>
        <w:shd w:val="solid" w:color="FFFFFF" w:fill="auto"/>
      </w:tcPr>
    </w:tblStylePr>
  </w:style>
  <w:style w:type="table" w:styleId="Grigliamedia2-Colore3">
    <w:name w:val="Medium Grid 2 Accent 3"/>
    <w:basedOn w:val="Tabellanormale"/>
    <w:uiPriority w:val="68"/>
    <w:pPr>
      <w:spacing w:after="0" w:line="240" w:lineRule="auto"/>
    </w:pPr>
    <w:rPr>
      <w:rFonts w:ascii="Calibri" w:eastAsia="Calibri"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solid" w:color="E6EED5" w:fill="auto"/>
    </w:tcPr>
    <w:tblStylePr w:type="firstRow">
      <w:rPr>
        <w:b/>
        <w:bCs/>
        <w:color w:val="000000"/>
      </w:rPr>
      <w:tblPr/>
      <w:tcPr>
        <w:shd w:val="solid" w:color="F5F8EE" w:fill="auto"/>
      </w:tcPr>
    </w:tblStylePr>
    <w:tblStylePr w:type="lastRow">
      <w:rPr>
        <w:b/>
        <w:bCs/>
        <w:color w:val="000000"/>
      </w:rPr>
      <w:tblPr/>
      <w:tcPr>
        <w:tcBorders>
          <w:top w:val="single" w:sz="12" w:space="0" w:color="000000"/>
        </w:tcBorders>
        <w:shd w:val="solid" w:color="FFFFFF" w:fill="auto"/>
      </w:tcPr>
    </w:tblStylePr>
    <w:tblStylePr w:type="firstCol">
      <w:rPr>
        <w:b/>
        <w:bCs/>
        <w:color w:val="000000"/>
      </w:rPr>
      <w:tblPr/>
      <w:tcPr>
        <w:shd w:val="solid" w:color="FFFFFF" w:fill="auto"/>
      </w:tcPr>
    </w:tblStylePr>
    <w:tblStylePr w:type="lastCol">
      <w:rPr>
        <w:b w:val="0"/>
        <w:bCs w:val="0"/>
        <w:color w:val="000000"/>
      </w:rPr>
      <w:tblPr/>
      <w:tcPr>
        <w:shd w:val="solid" w:color="EAF1DD" w:fill="auto"/>
      </w:tcPr>
    </w:tblStylePr>
    <w:tblStylePr w:type="band1Vert">
      <w:tblPr/>
      <w:tcPr>
        <w:shd w:val="solid" w:color="CDDDAC" w:fill="auto"/>
      </w:tcPr>
    </w:tblStylePr>
    <w:tblStylePr w:type="band1Horz">
      <w:tblPr/>
      <w:tcPr>
        <w:tcBorders>
          <w:insideH w:val="single" w:sz="6" w:space="0" w:color="9BBB59"/>
          <w:insideV w:val="single" w:sz="6" w:space="0" w:color="9BBB59"/>
        </w:tcBorders>
        <w:shd w:val="solid" w:color="CDDDAC" w:fill="auto"/>
      </w:tcPr>
    </w:tblStylePr>
    <w:tblStylePr w:type="nwCell">
      <w:tblPr/>
      <w:tcPr>
        <w:shd w:val="solid" w:color="FFFFFF" w:fill="auto"/>
      </w:tcPr>
    </w:tblStylePr>
  </w:style>
  <w:style w:type="table" w:styleId="Grigliamedia2-Colore4">
    <w:name w:val="Medium Grid 2 Accent 4"/>
    <w:basedOn w:val="Tabellanormale"/>
    <w:uiPriority w:val="68"/>
    <w:pPr>
      <w:spacing w:after="0" w:line="240" w:lineRule="auto"/>
    </w:pPr>
    <w:rPr>
      <w:rFonts w:ascii="Calibri" w:eastAsia="Calibri"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solid" w:color="DFD8E8" w:fill="auto"/>
    </w:tcPr>
    <w:tblStylePr w:type="firstRow">
      <w:rPr>
        <w:b/>
        <w:bCs/>
        <w:color w:val="000000"/>
      </w:rPr>
      <w:tblPr/>
      <w:tcPr>
        <w:shd w:val="solid" w:color="F2EFF6" w:fill="auto"/>
      </w:tcPr>
    </w:tblStylePr>
    <w:tblStylePr w:type="lastRow">
      <w:rPr>
        <w:b/>
        <w:bCs/>
        <w:color w:val="000000"/>
      </w:rPr>
      <w:tblPr/>
      <w:tcPr>
        <w:tcBorders>
          <w:top w:val="single" w:sz="12" w:space="0" w:color="000000"/>
        </w:tcBorders>
        <w:shd w:val="solid" w:color="FFFFFF" w:fill="auto"/>
      </w:tcPr>
    </w:tblStylePr>
    <w:tblStylePr w:type="firstCol">
      <w:rPr>
        <w:b/>
        <w:bCs/>
        <w:color w:val="000000"/>
      </w:rPr>
      <w:tblPr/>
      <w:tcPr>
        <w:shd w:val="solid" w:color="FFFFFF" w:fill="auto"/>
      </w:tcPr>
    </w:tblStylePr>
    <w:tblStylePr w:type="lastCol">
      <w:rPr>
        <w:b w:val="0"/>
        <w:bCs w:val="0"/>
        <w:color w:val="000000"/>
      </w:rPr>
      <w:tblPr/>
      <w:tcPr>
        <w:shd w:val="solid" w:color="E5DFEC" w:fill="auto"/>
      </w:tcPr>
    </w:tblStylePr>
    <w:tblStylePr w:type="band1Vert">
      <w:tblPr/>
      <w:tcPr>
        <w:shd w:val="solid" w:color="BFB1D0" w:fill="auto"/>
      </w:tcPr>
    </w:tblStylePr>
    <w:tblStylePr w:type="band1Horz">
      <w:tblPr/>
      <w:tcPr>
        <w:tcBorders>
          <w:insideH w:val="single" w:sz="6" w:space="0" w:color="8064A2"/>
          <w:insideV w:val="single" w:sz="6" w:space="0" w:color="8064A2"/>
        </w:tcBorders>
        <w:shd w:val="solid" w:color="BFB1D0" w:fill="auto"/>
      </w:tcPr>
    </w:tblStylePr>
    <w:tblStylePr w:type="nwCell">
      <w:tblPr/>
      <w:tcPr>
        <w:shd w:val="solid" w:color="FFFFFF" w:fill="auto"/>
      </w:tcPr>
    </w:tblStylePr>
  </w:style>
  <w:style w:type="table" w:styleId="Grigliamedia2-Colore5">
    <w:name w:val="Medium Grid 2 Accent 5"/>
    <w:basedOn w:val="Tabellanormale"/>
    <w:uiPriority w:val="68"/>
    <w:pPr>
      <w:spacing w:after="0" w:line="240" w:lineRule="auto"/>
    </w:pPr>
    <w:rPr>
      <w:rFonts w:ascii="Calibri" w:eastAsia="Calibri"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solid" w:color="D2EAF1" w:fill="auto"/>
    </w:tcPr>
    <w:tblStylePr w:type="firstRow">
      <w:rPr>
        <w:b/>
        <w:bCs/>
        <w:color w:val="000000"/>
      </w:rPr>
      <w:tblPr/>
      <w:tcPr>
        <w:shd w:val="solid" w:color="EDF6F9" w:fill="auto"/>
      </w:tcPr>
    </w:tblStylePr>
    <w:tblStylePr w:type="lastRow">
      <w:rPr>
        <w:b/>
        <w:bCs/>
        <w:color w:val="000000"/>
      </w:rPr>
      <w:tblPr/>
      <w:tcPr>
        <w:tcBorders>
          <w:top w:val="single" w:sz="12" w:space="0" w:color="000000"/>
        </w:tcBorders>
        <w:shd w:val="solid" w:color="FFFFFF" w:fill="auto"/>
      </w:tcPr>
    </w:tblStylePr>
    <w:tblStylePr w:type="firstCol">
      <w:rPr>
        <w:b/>
        <w:bCs/>
        <w:color w:val="000000"/>
      </w:rPr>
      <w:tblPr/>
      <w:tcPr>
        <w:shd w:val="solid" w:color="FFFFFF" w:fill="auto"/>
      </w:tcPr>
    </w:tblStylePr>
    <w:tblStylePr w:type="lastCol">
      <w:rPr>
        <w:b w:val="0"/>
        <w:bCs w:val="0"/>
        <w:color w:val="000000"/>
      </w:rPr>
      <w:tblPr/>
      <w:tcPr>
        <w:shd w:val="solid" w:color="DAEEF3" w:fill="auto"/>
      </w:tcPr>
    </w:tblStylePr>
    <w:tblStylePr w:type="band1Vert">
      <w:tblPr/>
      <w:tcPr>
        <w:shd w:val="solid" w:color="A5D5E2" w:fill="auto"/>
      </w:tcPr>
    </w:tblStylePr>
    <w:tblStylePr w:type="band1Horz">
      <w:tblPr/>
      <w:tcPr>
        <w:tcBorders>
          <w:insideH w:val="single" w:sz="6" w:space="0" w:color="4BACC6"/>
          <w:insideV w:val="single" w:sz="6" w:space="0" w:color="4BACC6"/>
        </w:tcBorders>
        <w:shd w:val="solid" w:color="A5D5E2" w:fill="auto"/>
      </w:tcPr>
    </w:tblStylePr>
    <w:tblStylePr w:type="nwCell">
      <w:tblPr/>
      <w:tcPr>
        <w:shd w:val="solid" w:color="FFFFFF" w:fill="auto"/>
      </w:tcPr>
    </w:tblStylePr>
  </w:style>
  <w:style w:type="table" w:styleId="Grigliamedia2-Colore6">
    <w:name w:val="Medium Grid 2 Accent 6"/>
    <w:basedOn w:val="Tabellanormale"/>
    <w:uiPriority w:val="68"/>
    <w:pPr>
      <w:spacing w:after="0" w:line="240" w:lineRule="auto"/>
    </w:pPr>
    <w:rPr>
      <w:rFonts w:ascii="Calibri" w:eastAsia="Calibri"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solid" w:color="FDE4D0" w:fill="auto"/>
    </w:tcPr>
    <w:tblStylePr w:type="firstRow">
      <w:rPr>
        <w:b/>
        <w:bCs/>
        <w:color w:val="000000"/>
      </w:rPr>
      <w:tblPr/>
      <w:tcPr>
        <w:shd w:val="solid" w:color="FEF4EC" w:fill="auto"/>
      </w:tcPr>
    </w:tblStylePr>
    <w:tblStylePr w:type="lastRow">
      <w:rPr>
        <w:b/>
        <w:bCs/>
        <w:color w:val="000000"/>
      </w:rPr>
      <w:tblPr/>
      <w:tcPr>
        <w:tcBorders>
          <w:top w:val="single" w:sz="12" w:space="0" w:color="000000"/>
        </w:tcBorders>
        <w:shd w:val="solid" w:color="FFFFFF" w:fill="auto"/>
      </w:tcPr>
    </w:tblStylePr>
    <w:tblStylePr w:type="firstCol">
      <w:rPr>
        <w:b/>
        <w:bCs/>
        <w:color w:val="000000"/>
      </w:rPr>
      <w:tblPr/>
      <w:tcPr>
        <w:shd w:val="solid" w:color="FFFFFF" w:fill="auto"/>
      </w:tcPr>
    </w:tblStylePr>
    <w:tblStylePr w:type="lastCol">
      <w:rPr>
        <w:b w:val="0"/>
        <w:bCs w:val="0"/>
        <w:color w:val="000000"/>
      </w:rPr>
      <w:tblPr/>
      <w:tcPr>
        <w:shd w:val="solid" w:color="FDE9D9" w:fill="auto"/>
      </w:tcPr>
    </w:tblStylePr>
    <w:tblStylePr w:type="band1Vert">
      <w:tblPr/>
      <w:tcPr>
        <w:shd w:val="solid" w:color="FBCAA2" w:fill="auto"/>
      </w:tcPr>
    </w:tblStylePr>
    <w:tblStylePr w:type="band1Horz">
      <w:tblPr/>
      <w:tcPr>
        <w:tcBorders>
          <w:insideH w:val="single" w:sz="6" w:space="0" w:color="F79646"/>
          <w:insideV w:val="single" w:sz="6" w:space="0" w:color="F79646"/>
        </w:tcBorders>
        <w:shd w:val="solid" w:color="FBCAA2" w:fill="auto"/>
      </w:tcPr>
    </w:tblStylePr>
    <w:tblStylePr w:type="nwCell">
      <w:tblPr/>
      <w:tcPr>
        <w:shd w:val="solid" w:color="FFFFFF" w:fill="auto"/>
      </w:tcPr>
    </w:tblStylePr>
  </w:style>
  <w:style w:type="table" w:styleId="Grigliamedia3">
    <w:name w:val="Medium Grid 3"/>
    <w:basedOn w:val="Tabellanormale"/>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solid" w:color="C0C0C0" w:fill="auto"/>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solid" w:color="000000" w:fill="auto"/>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solid" w:color="000000" w:fill="auto"/>
      </w:tcPr>
    </w:tblStylePr>
    <w:tblStylePr w:type="firstCol">
      <w:rPr>
        <w:b/>
        <w:bCs/>
        <w:i w:val="0"/>
        <w:iCs w:val="0"/>
        <w:color w:val="FFFFFF"/>
      </w:rPr>
      <w:tblPr/>
      <w:tcPr>
        <w:tcBorders>
          <w:left w:val="single" w:sz="8" w:space="0" w:color="FFFFFF"/>
          <w:right w:val="single" w:sz="24" w:space="0" w:color="FFFFFF"/>
        </w:tcBorders>
        <w:shd w:val="solid" w:color="000000" w:fill="auto"/>
      </w:tcPr>
    </w:tblStylePr>
    <w:tblStylePr w:type="lastCol">
      <w:rPr>
        <w:b/>
        <w:bCs/>
        <w:i w:val="0"/>
        <w:iCs w:val="0"/>
        <w:color w:val="FFFFFF"/>
      </w:rPr>
      <w:tblPr/>
      <w:tcPr>
        <w:tcBorders>
          <w:left w:val="single" w:sz="24" w:space="0" w:color="FFFFFF"/>
        </w:tcBorders>
        <w:shd w:val="solid" w:color="000000" w:fill="auto"/>
      </w:tcPr>
    </w:tblStylePr>
    <w:tblStylePr w:type="band1Vert">
      <w:tblPr/>
      <w:tcPr>
        <w:tcBorders>
          <w:top w:val="single" w:sz="8" w:space="0" w:color="FFFFFF"/>
          <w:left w:val="single" w:sz="8" w:space="0" w:color="FFFFFF"/>
          <w:bottom w:val="single" w:sz="8" w:space="0" w:color="FFFFFF"/>
          <w:right w:val="single" w:sz="8" w:space="0" w:color="FFFFFF"/>
        </w:tcBorders>
        <w:shd w:val="solid" w:color="808080" w:fill="auto"/>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solid" w:color="808080" w:fill="auto"/>
      </w:tcPr>
    </w:tblStylePr>
  </w:style>
  <w:style w:type="table" w:styleId="Grigliamedia3-Colore1">
    <w:name w:val="Medium Grid 3 Accent 1"/>
    <w:basedOn w:val="Tabellanormale"/>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solid" w:color="D3DFEE" w:fill="auto"/>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solid" w:color="4F81BD" w:fill="auto"/>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solid" w:color="4F81BD" w:fill="auto"/>
      </w:tcPr>
    </w:tblStylePr>
    <w:tblStylePr w:type="firstCol">
      <w:rPr>
        <w:b/>
        <w:bCs/>
        <w:i w:val="0"/>
        <w:iCs w:val="0"/>
        <w:color w:val="FFFFFF"/>
      </w:rPr>
      <w:tblPr/>
      <w:tcPr>
        <w:tcBorders>
          <w:left w:val="single" w:sz="8" w:space="0" w:color="FFFFFF"/>
          <w:right w:val="single" w:sz="24" w:space="0" w:color="FFFFFF"/>
        </w:tcBorders>
        <w:shd w:val="solid" w:color="4F81BD" w:fill="auto"/>
      </w:tcPr>
    </w:tblStylePr>
    <w:tblStylePr w:type="lastCol">
      <w:rPr>
        <w:b/>
        <w:bCs/>
        <w:i w:val="0"/>
        <w:iCs w:val="0"/>
        <w:color w:val="FFFFFF"/>
      </w:rPr>
      <w:tblPr/>
      <w:tcPr>
        <w:tcBorders>
          <w:left w:val="single" w:sz="24" w:space="0" w:color="FFFFFF"/>
        </w:tcBorders>
        <w:shd w:val="solid" w:color="4F81BD" w:fill="auto"/>
      </w:tcPr>
    </w:tblStylePr>
    <w:tblStylePr w:type="band1Vert">
      <w:tblPr/>
      <w:tcPr>
        <w:tcBorders>
          <w:top w:val="single" w:sz="8" w:space="0" w:color="FFFFFF"/>
          <w:left w:val="single" w:sz="8" w:space="0" w:color="FFFFFF"/>
          <w:bottom w:val="single" w:sz="8" w:space="0" w:color="FFFFFF"/>
          <w:right w:val="single" w:sz="8" w:space="0" w:color="FFFFFF"/>
        </w:tcBorders>
        <w:shd w:val="solid" w:color="A7BFDE" w:fill="auto"/>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solid" w:color="A7BFDE" w:fill="auto"/>
      </w:tcPr>
    </w:tblStylePr>
  </w:style>
  <w:style w:type="table" w:styleId="Grigliamedia3-Colore2">
    <w:name w:val="Medium Grid 3 Accent 2"/>
    <w:basedOn w:val="Tabellanormale"/>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solid" w:color="EFD3D2" w:fill="auto"/>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solid" w:color="C0504D" w:fill="auto"/>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solid" w:color="C0504D" w:fill="auto"/>
      </w:tcPr>
    </w:tblStylePr>
    <w:tblStylePr w:type="firstCol">
      <w:rPr>
        <w:b/>
        <w:bCs/>
        <w:i w:val="0"/>
        <w:iCs w:val="0"/>
        <w:color w:val="FFFFFF"/>
      </w:rPr>
      <w:tblPr/>
      <w:tcPr>
        <w:tcBorders>
          <w:left w:val="single" w:sz="8" w:space="0" w:color="FFFFFF"/>
          <w:right w:val="single" w:sz="24" w:space="0" w:color="FFFFFF"/>
        </w:tcBorders>
        <w:shd w:val="solid" w:color="C0504D" w:fill="auto"/>
      </w:tcPr>
    </w:tblStylePr>
    <w:tblStylePr w:type="lastCol">
      <w:rPr>
        <w:b/>
        <w:bCs/>
        <w:i w:val="0"/>
        <w:iCs w:val="0"/>
        <w:color w:val="FFFFFF"/>
      </w:rPr>
      <w:tblPr/>
      <w:tcPr>
        <w:tcBorders>
          <w:left w:val="single" w:sz="24" w:space="0" w:color="FFFFFF"/>
        </w:tcBorders>
        <w:shd w:val="solid" w:color="C0504D" w:fill="auto"/>
      </w:tcPr>
    </w:tblStylePr>
    <w:tblStylePr w:type="band1Vert">
      <w:tblPr/>
      <w:tcPr>
        <w:tcBorders>
          <w:top w:val="single" w:sz="8" w:space="0" w:color="FFFFFF"/>
          <w:left w:val="single" w:sz="8" w:space="0" w:color="FFFFFF"/>
          <w:bottom w:val="single" w:sz="8" w:space="0" w:color="FFFFFF"/>
          <w:right w:val="single" w:sz="8" w:space="0" w:color="FFFFFF"/>
        </w:tcBorders>
        <w:shd w:val="solid" w:color="DFA7A6" w:fill="auto"/>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solid" w:color="DFA7A6" w:fill="auto"/>
      </w:tcPr>
    </w:tblStylePr>
  </w:style>
  <w:style w:type="table" w:styleId="Grigliamedia3-Colore3">
    <w:name w:val="Medium Grid 3 Accent 3"/>
    <w:basedOn w:val="Tabellanormale"/>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solid" w:color="E6EED5" w:fill="auto"/>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solid" w:color="9BBB59" w:fill="auto"/>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solid" w:color="9BBB59" w:fill="auto"/>
      </w:tcPr>
    </w:tblStylePr>
    <w:tblStylePr w:type="firstCol">
      <w:rPr>
        <w:b/>
        <w:bCs/>
        <w:i w:val="0"/>
        <w:iCs w:val="0"/>
        <w:color w:val="FFFFFF"/>
      </w:rPr>
      <w:tblPr/>
      <w:tcPr>
        <w:tcBorders>
          <w:left w:val="single" w:sz="8" w:space="0" w:color="FFFFFF"/>
          <w:right w:val="single" w:sz="24" w:space="0" w:color="FFFFFF"/>
        </w:tcBorders>
        <w:shd w:val="solid" w:color="9BBB59" w:fill="auto"/>
      </w:tcPr>
    </w:tblStylePr>
    <w:tblStylePr w:type="lastCol">
      <w:rPr>
        <w:b/>
        <w:bCs/>
        <w:i w:val="0"/>
        <w:iCs w:val="0"/>
        <w:color w:val="FFFFFF"/>
      </w:rPr>
      <w:tblPr/>
      <w:tcPr>
        <w:tcBorders>
          <w:left w:val="single" w:sz="24" w:space="0" w:color="FFFFFF"/>
        </w:tcBorders>
        <w:shd w:val="solid" w:color="9BBB59" w:fill="auto"/>
      </w:tcPr>
    </w:tblStylePr>
    <w:tblStylePr w:type="band1Vert">
      <w:tblPr/>
      <w:tcPr>
        <w:tcBorders>
          <w:top w:val="single" w:sz="8" w:space="0" w:color="FFFFFF"/>
          <w:left w:val="single" w:sz="8" w:space="0" w:color="FFFFFF"/>
          <w:bottom w:val="single" w:sz="8" w:space="0" w:color="FFFFFF"/>
          <w:right w:val="single" w:sz="8" w:space="0" w:color="FFFFFF"/>
        </w:tcBorders>
        <w:shd w:val="solid" w:color="CDDDAC" w:fill="auto"/>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solid" w:color="CDDDAC" w:fill="auto"/>
      </w:tcPr>
    </w:tblStylePr>
  </w:style>
  <w:style w:type="table" w:styleId="Grigliamedia3-Colore4">
    <w:name w:val="Medium Grid 3 Accent 4"/>
    <w:basedOn w:val="Tabellanormale"/>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solid" w:color="DFD8E8" w:fill="auto"/>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solid" w:color="8064A2" w:fill="auto"/>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solid" w:color="8064A2" w:fill="auto"/>
      </w:tcPr>
    </w:tblStylePr>
    <w:tblStylePr w:type="firstCol">
      <w:rPr>
        <w:b/>
        <w:bCs/>
        <w:i w:val="0"/>
        <w:iCs w:val="0"/>
        <w:color w:val="FFFFFF"/>
      </w:rPr>
      <w:tblPr/>
      <w:tcPr>
        <w:tcBorders>
          <w:left w:val="single" w:sz="8" w:space="0" w:color="FFFFFF"/>
          <w:right w:val="single" w:sz="24" w:space="0" w:color="FFFFFF"/>
        </w:tcBorders>
        <w:shd w:val="solid" w:color="8064A2" w:fill="auto"/>
      </w:tcPr>
    </w:tblStylePr>
    <w:tblStylePr w:type="lastCol">
      <w:rPr>
        <w:b/>
        <w:bCs/>
        <w:i w:val="0"/>
        <w:iCs w:val="0"/>
        <w:color w:val="FFFFFF"/>
      </w:rPr>
      <w:tblPr/>
      <w:tcPr>
        <w:tcBorders>
          <w:left w:val="single" w:sz="24" w:space="0" w:color="FFFFFF"/>
        </w:tcBorders>
        <w:shd w:val="solid" w:color="8064A2" w:fill="auto"/>
      </w:tcPr>
    </w:tblStylePr>
    <w:tblStylePr w:type="band1Vert">
      <w:tblPr/>
      <w:tcPr>
        <w:tcBorders>
          <w:top w:val="single" w:sz="8" w:space="0" w:color="FFFFFF"/>
          <w:left w:val="single" w:sz="8" w:space="0" w:color="FFFFFF"/>
          <w:bottom w:val="single" w:sz="8" w:space="0" w:color="FFFFFF"/>
          <w:right w:val="single" w:sz="8" w:space="0" w:color="FFFFFF"/>
        </w:tcBorders>
        <w:shd w:val="solid" w:color="BFB1D0" w:fill="auto"/>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solid" w:color="BFB1D0" w:fill="auto"/>
      </w:tcPr>
    </w:tblStylePr>
  </w:style>
  <w:style w:type="table" w:styleId="Grigliamedia3-Colore5">
    <w:name w:val="Medium Grid 3 Accent 5"/>
    <w:basedOn w:val="Tabellanormale"/>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solid" w:color="D2EAF1" w:fill="auto"/>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solid" w:color="4BACC6" w:fill="auto"/>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solid" w:color="4BACC6" w:fill="auto"/>
      </w:tcPr>
    </w:tblStylePr>
    <w:tblStylePr w:type="firstCol">
      <w:rPr>
        <w:b/>
        <w:bCs/>
        <w:i w:val="0"/>
        <w:iCs w:val="0"/>
        <w:color w:val="FFFFFF"/>
      </w:rPr>
      <w:tblPr/>
      <w:tcPr>
        <w:tcBorders>
          <w:left w:val="single" w:sz="8" w:space="0" w:color="FFFFFF"/>
          <w:right w:val="single" w:sz="24" w:space="0" w:color="FFFFFF"/>
        </w:tcBorders>
        <w:shd w:val="solid" w:color="4BACC6" w:fill="auto"/>
      </w:tcPr>
    </w:tblStylePr>
    <w:tblStylePr w:type="lastCol">
      <w:rPr>
        <w:b/>
        <w:bCs/>
        <w:i w:val="0"/>
        <w:iCs w:val="0"/>
        <w:color w:val="FFFFFF"/>
      </w:rPr>
      <w:tblPr/>
      <w:tcPr>
        <w:tcBorders>
          <w:left w:val="single" w:sz="24" w:space="0" w:color="FFFFFF"/>
        </w:tcBorders>
        <w:shd w:val="solid" w:color="4BACC6" w:fill="auto"/>
      </w:tcPr>
    </w:tblStylePr>
    <w:tblStylePr w:type="band1Vert">
      <w:tblPr/>
      <w:tcPr>
        <w:tcBorders>
          <w:top w:val="single" w:sz="8" w:space="0" w:color="FFFFFF"/>
          <w:left w:val="single" w:sz="8" w:space="0" w:color="FFFFFF"/>
          <w:bottom w:val="single" w:sz="8" w:space="0" w:color="FFFFFF"/>
          <w:right w:val="single" w:sz="8" w:space="0" w:color="FFFFFF"/>
        </w:tcBorders>
        <w:shd w:val="solid" w:color="A5D5E2" w:fill="auto"/>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solid" w:color="A5D5E2" w:fill="auto"/>
      </w:tcPr>
    </w:tblStylePr>
  </w:style>
  <w:style w:type="table" w:styleId="Grigliamedia3-Colore6">
    <w:name w:val="Medium Grid 3 Accent 6"/>
    <w:basedOn w:val="Tabellanormale"/>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solid" w:color="FDE4D0" w:fill="auto"/>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V w:val="single" w:sz="8" w:space="0" w:color="FFFFFF"/>
        </w:tcBorders>
        <w:shd w:val="solid" w:color="F79646" w:fill="auto"/>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V w:val="single" w:sz="8" w:space="0" w:color="FFFFFF"/>
        </w:tcBorders>
        <w:shd w:val="solid" w:color="F79646" w:fill="auto"/>
      </w:tcPr>
    </w:tblStylePr>
    <w:tblStylePr w:type="firstCol">
      <w:rPr>
        <w:b/>
        <w:bCs/>
        <w:i w:val="0"/>
        <w:iCs w:val="0"/>
        <w:color w:val="FFFFFF"/>
      </w:rPr>
      <w:tblPr/>
      <w:tcPr>
        <w:tcBorders>
          <w:left w:val="single" w:sz="8" w:space="0" w:color="FFFFFF"/>
          <w:right w:val="single" w:sz="24" w:space="0" w:color="FFFFFF"/>
        </w:tcBorders>
        <w:shd w:val="solid" w:color="F79646" w:fill="auto"/>
      </w:tcPr>
    </w:tblStylePr>
    <w:tblStylePr w:type="lastCol">
      <w:rPr>
        <w:b/>
        <w:bCs/>
        <w:i w:val="0"/>
        <w:iCs w:val="0"/>
        <w:color w:val="FFFFFF"/>
      </w:rPr>
      <w:tblPr/>
      <w:tcPr>
        <w:tcBorders>
          <w:left w:val="single" w:sz="24" w:space="0" w:color="FFFFFF"/>
        </w:tcBorders>
        <w:shd w:val="solid" w:color="F79646" w:fill="auto"/>
      </w:tcPr>
    </w:tblStylePr>
    <w:tblStylePr w:type="band1Vert">
      <w:tblPr/>
      <w:tcPr>
        <w:tcBorders>
          <w:top w:val="single" w:sz="8" w:space="0" w:color="FFFFFF"/>
          <w:left w:val="single" w:sz="8" w:space="0" w:color="FFFFFF"/>
          <w:bottom w:val="single" w:sz="8" w:space="0" w:color="FFFFFF"/>
          <w:right w:val="single" w:sz="8" w:space="0" w:color="FFFFFF"/>
        </w:tcBorders>
        <w:shd w:val="solid" w:color="FBCAA2" w:fill="auto"/>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solid" w:color="FBCAA2" w:fill="auto"/>
      </w:tcPr>
    </w:tblStylePr>
  </w:style>
  <w:style w:type="table" w:styleId="Elencoscuro">
    <w:name w:val="Dark List"/>
    <w:basedOn w:val="Tabellanormale"/>
    <w:uiPriority w:val="70"/>
    <w:pPr>
      <w:spacing w:after="0" w:line="240" w:lineRule="auto"/>
    </w:pPr>
    <w:rPr>
      <w:color w:val="FFFFFF"/>
    </w:rPr>
    <w:tblPr>
      <w:tblStyleRowBandSize w:val="1"/>
      <w:tblStyleColBandSize w:val="1"/>
    </w:tblPr>
    <w:tcPr>
      <w:shd w:val="solid" w:color="000000" w:fill="auto"/>
    </w:tcPr>
    <w:tblStylePr w:type="firstRow">
      <w:rPr>
        <w:b/>
        <w:bCs/>
      </w:rPr>
      <w:tblPr/>
      <w:tcPr>
        <w:tcBorders>
          <w:bottom w:val="single" w:sz="18" w:space="0" w:color="FFFFFF"/>
        </w:tcBorders>
        <w:shd w:val="solid" w:color="000000" w:fill="auto"/>
      </w:tcPr>
    </w:tblStylePr>
    <w:tblStylePr w:type="lastRow">
      <w:tblPr/>
      <w:tcPr>
        <w:tcBorders>
          <w:top w:val="single" w:sz="18" w:space="0" w:color="FFFFFF"/>
        </w:tcBorders>
        <w:shd w:val="solid" w:color="000000" w:fill="auto"/>
      </w:tcPr>
    </w:tblStylePr>
    <w:tblStylePr w:type="firstCol">
      <w:tblPr/>
      <w:tcPr>
        <w:tcBorders>
          <w:right w:val="single" w:sz="18" w:space="0" w:color="FFFFFF"/>
        </w:tcBorders>
        <w:shd w:val="solid" w:color="000000" w:fill="auto"/>
      </w:tcPr>
    </w:tblStylePr>
    <w:tblStylePr w:type="lastCol">
      <w:tblPr/>
      <w:tcPr>
        <w:tcBorders>
          <w:left w:val="single" w:sz="18" w:space="0" w:color="FFFFFF"/>
        </w:tcBorders>
        <w:shd w:val="solid" w:color="000000" w:fill="auto"/>
      </w:tcPr>
    </w:tblStylePr>
    <w:tblStylePr w:type="band1Vert">
      <w:tblPr/>
      <w:tcPr>
        <w:shd w:val="solid" w:color="000000" w:fill="auto"/>
      </w:tcPr>
    </w:tblStylePr>
    <w:tblStylePr w:type="band1Horz">
      <w:tblPr/>
      <w:tcPr>
        <w:shd w:val="solid" w:color="000000" w:fill="auto"/>
      </w:tcPr>
    </w:tblStylePr>
  </w:style>
  <w:style w:type="table" w:styleId="Elencoscuro-Colore1">
    <w:name w:val="Dark List Accent 1"/>
    <w:basedOn w:val="Tabellanormale"/>
    <w:uiPriority w:val="70"/>
    <w:pPr>
      <w:spacing w:after="0" w:line="240" w:lineRule="auto"/>
    </w:pPr>
    <w:rPr>
      <w:color w:val="FFFFFF"/>
    </w:rPr>
    <w:tblPr>
      <w:tblStyleRowBandSize w:val="1"/>
      <w:tblStyleColBandSize w:val="1"/>
    </w:tblPr>
    <w:tcPr>
      <w:shd w:val="solid" w:color="4F81BD" w:fill="auto"/>
    </w:tcPr>
    <w:tblStylePr w:type="firstRow">
      <w:rPr>
        <w:b/>
        <w:bCs/>
      </w:rPr>
      <w:tblPr/>
      <w:tcPr>
        <w:tcBorders>
          <w:bottom w:val="single" w:sz="18" w:space="0" w:color="FFFFFF"/>
        </w:tcBorders>
        <w:shd w:val="solid" w:color="000000" w:fill="auto"/>
      </w:tcPr>
    </w:tblStylePr>
    <w:tblStylePr w:type="lastRow">
      <w:tblPr/>
      <w:tcPr>
        <w:tcBorders>
          <w:top w:val="single" w:sz="18" w:space="0" w:color="FFFFFF"/>
        </w:tcBorders>
        <w:shd w:val="solid" w:color="243F60" w:fill="auto"/>
      </w:tcPr>
    </w:tblStylePr>
    <w:tblStylePr w:type="firstCol">
      <w:tblPr/>
      <w:tcPr>
        <w:tcBorders>
          <w:right w:val="single" w:sz="18" w:space="0" w:color="FFFFFF"/>
        </w:tcBorders>
        <w:shd w:val="solid" w:color="365F91" w:fill="auto"/>
      </w:tcPr>
    </w:tblStylePr>
    <w:tblStylePr w:type="lastCol">
      <w:tblPr/>
      <w:tcPr>
        <w:tcBorders>
          <w:left w:val="single" w:sz="18" w:space="0" w:color="FFFFFF"/>
        </w:tcBorders>
        <w:shd w:val="solid" w:color="365F91" w:fill="auto"/>
      </w:tcPr>
    </w:tblStylePr>
    <w:tblStylePr w:type="band1Vert">
      <w:tblPr/>
      <w:tcPr>
        <w:shd w:val="solid" w:color="365F91" w:fill="auto"/>
      </w:tcPr>
    </w:tblStylePr>
    <w:tblStylePr w:type="band1Horz">
      <w:tblPr/>
      <w:tcPr>
        <w:shd w:val="solid" w:color="365F91" w:fill="auto"/>
      </w:tcPr>
    </w:tblStylePr>
  </w:style>
  <w:style w:type="table" w:styleId="Elencoscuro-Colore2">
    <w:name w:val="Dark List Accent 2"/>
    <w:basedOn w:val="Tabellanormale"/>
    <w:uiPriority w:val="70"/>
    <w:pPr>
      <w:spacing w:after="0" w:line="240" w:lineRule="auto"/>
    </w:pPr>
    <w:rPr>
      <w:color w:val="FFFFFF"/>
    </w:rPr>
    <w:tblPr>
      <w:tblStyleRowBandSize w:val="1"/>
      <w:tblStyleColBandSize w:val="1"/>
    </w:tblPr>
    <w:tcPr>
      <w:shd w:val="solid" w:color="C0504D" w:fill="auto"/>
    </w:tcPr>
    <w:tblStylePr w:type="firstRow">
      <w:rPr>
        <w:b/>
        <w:bCs/>
      </w:rPr>
      <w:tblPr/>
      <w:tcPr>
        <w:tcBorders>
          <w:bottom w:val="single" w:sz="18" w:space="0" w:color="FFFFFF"/>
        </w:tcBorders>
        <w:shd w:val="solid" w:color="000000" w:fill="auto"/>
      </w:tcPr>
    </w:tblStylePr>
    <w:tblStylePr w:type="lastRow">
      <w:tblPr/>
      <w:tcPr>
        <w:tcBorders>
          <w:top w:val="single" w:sz="18" w:space="0" w:color="FFFFFF"/>
        </w:tcBorders>
        <w:shd w:val="solid" w:color="622423" w:fill="auto"/>
      </w:tcPr>
    </w:tblStylePr>
    <w:tblStylePr w:type="firstCol">
      <w:tblPr/>
      <w:tcPr>
        <w:tcBorders>
          <w:right w:val="single" w:sz="18" w:space="0" w:color="FFFFFF"/>
        </w:tcBorders>
        <w:shd w:val="solid" w:color="943634" w:fill="auto"/>
      </w:tcPr>
    </w:tblStylePr>
    <w:tblStylePr w:type="lastCol">
      <w:tblPr/>
      <w:tcPr>
        <w:tcBorders>
          <w:left w:val="single" w:sz="18" w:space="0" w:color="FFFFFF"/>
        </w:tcBorders>
        <w:shd w:val="solid" w:color="943634" w:fill="auto"/>
      </w:tcPr>
    </w:tblStylePr>
    <w:tblStylePr w:type="band1Vert">
      <w:tblPr/>
      <w:tcPr>
        <w:shd w:val="solid" w:color="943634" w:fill="auto"/>
      </w:tcPr>
    </w:tblStylePr>
    <w:tblStylePr w:type="band1Horz">
      <w:tblPr/>
      <w:tcPr>
        <w:shd w:val="solid" w:color="943634" w:fill="auto"/>
      </w:tcPr>
    </w:tblStylePr>
  </w:style>
  <w:style w:type="table" w:styleId="Elencoscuro-Colore3">
    <w:name w:val="Dark List Accent 3"/>
    <w:basedOn w:val="Tabellanormale"/>
    <w:uiPriority w:val="70"/>
    <w:pPr>
      <w:spacing w:after="0" w:line="240" w:lineRule="auto"/>
    </w:pPr>
    <w:rPr>
      <w:color w:val="FFFFFF"/>
    </w:rPr>
    <w:tblPr>
      <w:tblStyleRowBandSize w:val="1"/>
      <w:tblStyleColBandSize w:val="1"/>
    </w:tblPr>
    <w:tcPr>
      <w:shd w:val="solid" w:color="9BBB59" w:fill="auto"/>
    </w:tcPr>
    <w:tblStylePr w:type="firstRow">
      <w:rPr>
        <w:b/>
        <w:bCs/>
      </w:rPr>
      <w:tblPr/>
      <w:tcPr>
        <w:tcBorders>
          <w:bottom w:val="single" w:sz="18" w:space="0" w:color="FFFFFF"/>
        </w:tcBorders>
        <w:shd w:val="solid" w:color="000000" w:fill="auto"/>
      </w:tcPr>
    </w:tblStylePr>
    <w:tblStylePr w:type="lastRow">
      <w:tblPr/>
      <w:tcPr>
        <w:tcBorders>
          <w:top w:val="single" w:sz="18" w:space="0" w:color="FFFFFF"/>
        </w:tcBorders>
        <w:shd w:val="solid" w:color="4E6128" w:fill="auto"/>
      </w:tcPr>
    </w:tblStylePr>
    <w:tblStylePr w:type="firstCol">
      <w:tblPr/>
      <w:tcPr>
        <w:tcBorders>
          <w:right w:val="single" w:sz="18" w:space="0" w:color="FFFFFF"/>
        </w:tcBorders>
        <w:shd w:val="solid" w:color="76923C" w:fill="auto"/>
      </w:tcPr>
    </w:tblStylePr>
    <w:tblStylePr w:type="lastCol">
      <w:tblPr/>
      <w:tcPr>
        <w:tcBorders>
          <w:left w:val="single" w:sz="18" w:space="0" w:color="FFFFFF"/>
        </w:tcBorders>
        <w:shd w:val="solid" w:color="76923C" w:fill="auto"/>
      </w:tcPr>
    </w:tblStylePr>
    <w:tblStylePr w:type="band1Vert">
      <w:tblPr/>
      <w:tcPr>
        <w:shd w:val="solid" w:color="76923C" w:fill="auto"/>
      </w:tcPr>
    </w:tblStylePr>
    <w:tblStylePr w:type="band1Horz">
      <w:tblPr/>
      <w:tcPr>
        <w:shd w:val="solid" w:color="76923C" w:fill="auto"/>
      </w:tcPr>
    </w:tblStylePr>
  </w:style>
  <w:style w:type="table" w:styleId="Elencoscuro-Colore4">
    <w:name w:val="Dark List Accent 4"/>
    <w:basedOn w:val="Tabellanormale"/>
    <w:uiPriority w:val="70"/>
    <w:pPr>
      <w:spacing w:after="0" w:line="240" w:lineRule="auto"/>
    </w:pPr>
    <w:rPr>
      <w:color w:val="FFFFFF"/>
    </w:rPr>
    <w:tblPr>
      <w:tblStyleRowBandSize w:val="1"/>
      <w:tblStyleColBandSize w:val="1"/>
    </w:tblPr>
    <w:tcPr>
      <w:shd w:val="solid" w:color="8064A2" w:fill="auto"/>
    </w:tcPr>
    <w:tblStylePr w:type="firstRow">
      <w:rPr>
        <w:b/>
        <w:bCs/>
      </w:rPr>
      <w:tblPr/>
      <w:tcPr>
        <w:tcBorders>
          <w:bottom w:val="single" w:sz="18" w:space="0" w:color="FFFFFF"/>
        </w:tcBorders>
        <w:shd w:val="solid" w:color="000000" w:fill="auto"/>
      </w:tcPr>
    </w:tblStylePr>
    <w:tblStylePr w:type="lastRow">
      <w:tblPr/>
      <w:tcPr>
        <w:tcBorders>
          <w:top w:val="single" w:sz="18" w:space="0" w:color="FFFFFF"/>
        </w:tcBorders>
        <w:shd w:val="solid" w:color="3F3151" w:fill="auto"/>
      </w:tcPr>
    </w:tblStylePr>
    <w:tblStylePr w:type="firstCol">
      <w:tblPr/>
      <w:tcPr>
        <w:tcBorders>
          <w:right w:val="single" w:sz="18" w:space="0" w:color="FFFFFF"/>
        </w:tcBorders>
        <w:shd w:val="solid" w:color="5F497A" w:fill="auto"/>
      </w:tcPr>
    </w:tblStylePr>
    <w:tblStylePr w:type="lastCol">
      <w:tblPr/>
      <w:tcPr>
        <w:tcBorders>
          <w:left w:val="single" w:sz="18" w:space="0" w:color="FFFFFF"/>
        </w:tcBorders>
        <w:shd w:val="solid" w:color="5F497A" w:fill="auto"/>
      </w:tcPr>
    </w:tblStylePr>
    <w:tblStylePr w:type="band1Vert">
      <w:tblPr/>
      <w:tcPr>
        <w:shd w:val="solid" w:color="5F497A" w:fill="auto"/>
      </w:tcPr>
    </w:tblStylePr>
    <w:tblStylePr w:type="band1Horz">
      <w:tblPr/>
      <w:tcPr>
        <w:shd w:val="solid" w:color="5F497A" w:fill="auto"/>
      </w:tcPr>
    </w:tblStylePr>
  </w:style>
  <w:style w:type="table" w:styleId="Elencoscuro-Colore5">
    <w:name w:val="Dark List Accent 5"/>
    <w:basedOn w:val="Tabellanormale"/>
    <w:uiPriority w:val="70"/>
    <w:pPr>
      <w:spacing w:after="0" w:line="240" w:lineRule="auto"/>
    </w:pPr>
    <w:rPr>
      <w:color w:val="FFFFFF"/>
    </w:rPr>
    <w:tblPr>
      <w:tblStyleRowBandSize w:val="1"/>
      <w:tblStyleColBandSize w:val="1"/>
    </w:tblPr>
    <w:tcPr>
      <w:shd w:val="solid" w:color="4BACC6" w:fill="auto"/>
    </w:tcPr>
    <w:tblStylePr w:type="firstRow">
      <w:rPr>
        <w:b/>
        <w:bCs/>
      </w:rPr>
      <w:tblPr/>
      <w:tcPr>
        <w:tcBorders>
          <w:bottom w:val="single" w:sz="18" w:space="0" w:color="FFFFFF"/>
        </w:tcBorders>
        <w:shd w:val="solid" w:color="000000" w:fill="auto"/>
      </w:tcPr>
    </w:tblStylePr>
    <w:tblStylePr w:type="lastRow">
      <w:tblPr/>
      <w:tcPr>
        <w:tcBorders>
          <w:top w:val="single" w:sz="18" w:space="0" w:color="FFFFFF"/>
        </w:tcBorders>
        <w:shd w:val="solid" w:color="205867" w:fill="auto"/>
      </w:tcPr>
    </w:tblStylePr>
    <w:tblStylePr w:type="firstCol">
      <w:tblPr/>
      <w:tcPr>
        <w:tcBorders>
          <w:right w:val="single" w:sz="18" w:space="0" w:color="FFFFFF"/>
        </w:tcBorders>
        <w:shd w:val="solid" w:color="31849B" w:fill="auto"/>
      </w:tcPr>
    </w:tblStylePr>
    <w:tblStylePr w:type="lastCol">
      <w:tblPr/>
      <w:tcPr>
        <w:tcBorders>
          <w:left w:val="single" w:sz="18" w:space="0" w:color="FFFFFF"/>
        </w:tcBorders>
        <w:shd w:val="solid" w:color="31849B" w:fill="auto"/>
      </w:tcPr>
    </w:tblStylePr>
    <w:tblStylePr w:type="band1Vert">
      <w:tblPr/>
      <w:tcPr>
        <w:shd w:val="solid" w:color="31849B" w:fill="auto"/>
      </w:tcPr>
    </w:tblStylePr>
    <w:tblStylePr w:type="band1Horz">
      <w:tblPr/>
      <w:tcPr>
        <w:shd w:val="solid" w:color="31849B" w:fill="auto"/>
      </w:tcPr>
    </w:tblStylePr>
  </w:style>
  <w:style w:type="table" w:styleId="Elencoscuro-Colore6">
    <w:name w:val="Dark List Accent 6"/>
    <w:basedOn w:val="Tabellanormale"/>
    <w:uiPriority w:val="70"/>
    <w:pPr>
      <w:spacing w:after="0" w:line="240" w:lineRule="auto"/>
    </w:pPr>
    <w:rPr>
      <w:color w:val="FFFFFF"/>
    </w:rPr>
    <w:tblPr>
      <w:tblStyleRowBandSize w:val="1"/>
      <w:tblStyleColBandSize w:val="1"/>
    </w:tblPr>
    <w:tcPr>
      <w:shd w:val="solid" w:color="F79646" w:fill="auto"/>
    </w:tcPr>
    <w:tblStylePr w:type="firstRow">
      <w:rPr>
        <w:b/>
        <w:bCs/>
      </w:rPr>
      <w:tblPr/>
      <w:tcPr>
        <w:tcBorders>
          <w:bottom w:val="single" w:sz="18" w:space="0" w:color="FFFFFF"/>
        </w:tcBorders>
        <w:shd w:val="solid" w:color="000000" w:fill="auto"/>
      </w:tcPr>
    </w:tblStylePr>
    <w:tblStylePr w:type="lastRow">
      <w:tblPr/>
      <w:tcPr>
        <w:tcBorders>
          <w:top w:val="single" w:sz="18" w:space="0" w:color="FFFFFF"/>
        </w:tcBorders>
        <w:shd w:val="solid" w:color="974706" w:fill="auto"/>
      </w:tcPr>
    </w:tblStylePr>
    <w:tblStylePr w:type="firstCol">
      <w:tblPr/>
      <w:tcPr>
        <w:tcBorders>
          <w:right w:val="single" w:sz="18" w:space="0" w:color="FFFFFF"/>
        </w:tcBorders>
        <w:shd w:val="solid" w:color="E36C0A" w:fill="auto"/>
      </w:tcPr>
    </w:tblStylePr>
    <w:tblStylePr w:type="lastCol">
      <w:tblPr/>
      <w:tcPr>
        <w:tcBorders>
          <w:left w:val="single" w:sz="18" w:space="0" w:color="FFFFFF"/>
        </w:tcBorders>
        <w:shd w:val="solid" w:color="E36C0A" w:fill="auto"/>
      </w:tcPr>
    </w:tblStylePr>
    <w:tblStylePr w:type="band1Vert">
      <w:tblPr/>
      <w:tcPr>
        <w:shd w:val="solid" w:color="E36C0A" w:fill="auto"/>
      </w:tcPr>
    </w:tblStylePr>
    <w:tblStylePr w:type="band1Horz">
      <w:tblPr/>
      <w:tcPr>
        <w:shd w:val="solid" w:color="E36C0A" w:fill="auto"/>
      </w:tcPr>
    </w:tblStylePr>
  </w:style>
  <w:style w:type="table" w:styleId="Sfondoacolori">
    <w:name w:val="Colorful Shading"/>
    <w:basedOn w:val="Tabellanormale"/>
    <w:uiPriority w:val="71"/>
    <w:pPr>
      <w:spacing w:after="0" w:line="240" w:lineRule="auto"/>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solid" w:color="E6E6E6" w:fill="auto"/>
    </w:tcPr>
    <w:tblStylePr w:type="firstRow">
      <w:rPr>
        <w:b/>
        <w:bCs/>
      </w:rPr>
      <w:tblPr/>
      <w:tcPr>
        <w:tcBorders>
          <w:bottom w:val="single" w:sz="24" w:space="0" w:color="C0504D"/>
        </w:tcBorders>
        <w:shd w:val="solid" w:color="FFFFFF" w:fill="auto"/>
      </w:tcPr>
    </w:tblStylePr>
    <w:tblStylePr w:type="lastRow">
      <w:rPr>
        <w:b/>
        <w:bCs/>
        <w:color w:val="FFFFFF"/>
      </w:rPr>
      <w:tblPr/>
      <w:tcPr>
        <w:tcBorders>
          <w:top w:val="single" w:sz="6" w:space="0" w:color="FFFFFF"/>
        </w:tcBorders>
        <w:shd w:val="solid" w:color="000000" w:fill="auto"/>
      </w:tcPr>
    </w:tblStylePr>
    <w:tblStylePr w:type="firstCol">
      <w:rPr>
        <w:color w:val="FFFFFF"/>
      </w:rPr>
      <w:tblPr/>
      <w:tcPr>
        <w:tcBorders>
          <w:insideH w:val="single" w:sz="4" w:space="0" w:color="000000"/>
        </w:tcBorders>
        <w:shd w:val="solid" w:color="000000" w:fill="auto"/>
      </w:tcPr>
    </w:tblStylePr>
    <w:tblStylePr w:type="lastCol">
      <w:rPr>
        <w:color w:val="FFFFFF"/>
      </w:rPr>
      <w:tblPr/>
      <w:tcPr>
        <w:shd w:val="solid" w:color="000000" w:fill="auto"/>
      </w:tcPr>
    </w:tblStylePr>
    <w:tblStylePr w:type="band1Vert">
      <w:tblPr/>
      <w:tcPr>
        <w:shd w:val="solid" w:color="999999" w:fill="auto"/>
      </w:tcPr>
    </w:tblStylePr>
    <w:tblStylePr w:type="band1Horz">
      <w:tblPr/>
      <w:tcPr>
        <w:shd w:val="solid" w:color="808080" w:fill="auto"/>
      </w:tcPr>
    </w:tblStylePr>
    <w:tblStylePr w:type="neCell">
      <w:rPr>
        <w:color w:val="000000"/>
      </w:rPr>
    </w:tblStylePr>
    <w:tblStylePr w:type="nwCell">
      <w:rPr>
        <w:color w:val="000000"/>
      </w:rPr>
    </w:tblStylePr>
  </w:style>
  <w:style w:type="table" w:styleId="Sfondoacolori-Colore1">
    <w:name w:val="Colorful Shading Accent 1"/>
    <w:basedOn w:val="Tabellanormale"/>
    <w:uiPriority w:val="71"/>
    <w:pPr>
      <w:spacing w:after="0" w:line="240" w:lineRule="auto"/>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solid" w:color="EDF2F8" w:fill="auto"/>
    </w:tcPr>
    <w:tblStylePr w:type="firstRow">
      <w:rPr>
        <w:b/>
        <w:bCs/>
      </w:rPr>
      <w:tblPr/>
      <w:tcPr>
        <w:tcBorders>
          <w:bottom w:val="single" w:sz="24" w:space="0" w:color="C0504D"/>
        </w:tcBorders>
        <w:shd w:val="solid" w:color="FFFFFF" w:fill="auto"/>
      </w:tcPr>
    </w:tblStylePr>
    <w:tblStylePr w:type="lastRow">
      <w:rPr>
        <w:b/>
        <w:bCs/>
        <w:color w:val="FFFFFF"/>
      </w:rPr>
      <w:tblPr/>
      <w:tcPr>
        <w:tcBorders>
          <w:top w:val="single" w:sz="6" w:space="0" w:color="FFFFFF"/>
        </w:tcBorders>
        <w:shd w:val="solid" w:color="2C4C74" w:fill="auto"/>
      </w:tcPr>
    </w:tblStylePr>
    <w:tblStylePr w:type="firstCol">
      <w:rPr>
        <w:color w:val="FFFFFF"/>
      </w:rPr>
      <w:tblPr/>
      <w:tcPr>
        <w:tcBorders>
          <w:insideH w:val="single" w:sz="4" w:space="0" w:color="2C4C74"/>
        </w:tcBorders>
        <w:shd w:val="solid" w:color="2C4C74" w:fill="auto"/>
      </w:tcPr>
    </w:tblStylePr>
    <w:tblStylePr w:type="lastCol">
      <w:rPr>
        <w:color w:val="FFFFFF"/>
      </w:rPr>
      <w:tblPr/>
      <w:tcPr>
        <w:shd w:val="solid" w:color="2C4C74" w:fill="auto"/>
      </w:tcPr>
    </w:tblStylePr>
    <w:tblStylePr w:type="band1Vert">
      <w:tblPr/>
      <w:tcPr>
        <w:shd w:val="solid" w:color="B8CCE4" w:fill="auto"/>
      </w:tcPr>
    </w:tblStylePr>
    <w:tblStylePr w:type="band1Horz">
      <w:tblPr/>
      <w:tcPr>
        <w:shd w:val="solid" w:color="A7BFDE" w:fill="auto"/>
      </w:tcPr>
    </w:tblStylePr>
    <w:tblStylePr w:type="neCell">
      <w:rPr>
        <w:color w:val="000000"/>
      </w:rPr>
    </w:tblStylePr>
    <w:tblStylePr w:type="nwCell">
      <w:rPr>
        <w:color w:val="000000"/>
      </w:rPr>
    </w:tblStylePr>
  </w:style>
  <w:style w:type="table" w:styleId="Sfondoacolori-Colore2">
    <w:name w:val="Colorful Shading Accent 2"/>
    <w:basedOn w:val="Tabellanormale"/>
    <w:uiPriority w:val="71"/>
    <w:pPr>
      <w:spacing w:after="0" w:line="240" w:lineRule="auto"/>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solid" w:color="F8EDED" w:fill="auto"/>
    </w:tcPr>
    <w:tblStylePr w:type="firstRow">
      <w:rPr>
        <w:b/>
        <w:bCs/>
      </w:rPr>
      <w:tblPr/>
      <w:tcPr>
        <w:tcBorders>
          <w:bottom w:val="single" w:sz="24" w:space="0" w:color="C0504D"/>
        </w:tcBorders>
        <w:shd w:val="solid" w:color="FFFFFF" w:fill="auto"/>
      </w:tcPr>
    </w:tblStylePr>
    <w:tblStylePr w:type="lastRow">
      <w:rPr>
        <w:b/>
        <w:bCs/>
        <w:color w:val="FFFFFF"/>
      </w:rPr>
      <w:tblPr/>
      <w:tcPr>
        <w:tcBorders>
          <w:top w:val="single" w:sz="6" w:space="0" w:color="FFFFFF"/>
        </w:tcBorders>
        <w:shd w:val="solid" w:color="772C2A" w:fill="auto"/>
      </w:tcPr>
    </w:tblStylePr>
    <w:tblStylePr w:type="firstCol">
      <w:rPr>
        <w:color w:val="FFFFFF"/>
      </w:rPr>
      <w:tblPr/>
      <w:tcPr>
        <w:tcBorders>
          <w:insideH w:val="single" w:sz="4" w:space="0" w:color="772C2A"/>
        </w:tcBorders>
        <w:shd w:val="solid" w:color="772C2A" w:fill="auto"/>
      </w:tcPr>
    </w:tblStylePr>
    <w:tblStylePr w:type="lastCol">
      <w:rPr>
        <w:color w:val="FFFFFF"/>
      </w:rPr>
      <w:tblPr/>
      <w:tcPr>
        <w:shd w:val="solid" w:color="772C2A" w:fill="auto"/>
      </w:tcPr>
    </w:tblStylePr>
    <w:tblStylePr w:type="band1Vert">
      <w:tblPr/>
      <w:tcPr>
        <w:shd w:val="solid" w:color="E5B8B7" w:fill="auto"/>
      </w:tcPr>
    </w:tblStylePr>
    <w:tblStylePr w:type="band1Horz">
      <w:tblPr/>
      <w:tcPr>
        <w:shd w:val="solid" w:color="DFA7A6" w:fill="auto"/>
      </w:tcPr>
    </w:tblStylePr>
    <w:tblStylePr w:type="neCell">
      <w:rPr>
        <w:color w:val="000000"/>
      </w:rPr>
    </w:tblStylePr>
    <w:tblStylePr w:type="nwCell">
      <w:rPr>
        <w:color w:val="000000"/>
      </w:rPr>
    </w:tblStylePr>
  </w:style>
  <w:style w:type="table" w:styleId="Sfondoacolori-Colore3">
    <w:name w:val="Colorful Shading Accent 3"/>
    <w:basedOn w:val="Tabellanormale"/>
    <w:uiPriority w:val="71"/>
    <w:pPr>
      <w:spacing w:after="0" w:line="240" w:lineRule="auto"/>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solid" w:color="F5F8EE" w:fill="auto"/>
    </w:tcPr>
    <w:tblStylePr w:type="firstRow">
      <w:rPr>
        <w:b/>
        <w:bCs/>
      </w:rPr>
      <w:tblPr/>
      <w:tcPr>
        <w:tcBorders>
          <w:bottom w:val="single" w:sz="24" w:space="0" w:color="8064A2"/>
        </w:tcBorders>
        <w:shd w:val="solid" w:color="FFFFFF" w:fill="auto"/>
      </w:tcPr>
    </w:tblStylePr>
    <w:tblStylePr w:type="lastRow">
      <w:rPr>
        <w:b/>
        <w:bCs/>
        <w:color w:val="FFFFFF"/>
      </w:rPr>
      <w:tblPr/>
      <w:tcPr>
        <w:tcBorders>
          <w:top w:val="single" w:sz="6" w:space="0" w:color="FFFFFF"/>
        </w:tcBorders>
        <w:shd w:val="solid" w:color="5E7530" w:fill="auto"/>
      </w:tcPr>
    </w:tblStylePr>
    <w:tblStylePr w:type="firstCol">
      <w:rPr>
        <w:color w:val="FFFFFF"/>
      </w:rPr>
      <w:tblPr/>
      <w:tcPr>
        <w:tcBorders>
          <w:insideH w:val="single" w:sz="4" w:space="0" w:color="5E7530"/>
        </w:tcBorders>
        <w:shd w:val="solid" w:color="5E7530" w:fill="auto"/>
      </w:tcPr>
    </w:tblStylePr>
    <w:tblStylePr w:type="lastCol">
      <w:rPr>
        <w:color w:val="FFFFFF"/>
      </w:rPr>
      <w:tblPr/>
      <w:tcPr>
        <w:shd w:val="solid" w:color="5E7530" w:fill="auto"/>
      </w:tcPr>
    </w:tblStylePr>
    <w:tblStylePr w:type="band1Vert">
      <w:tblPr/>
      <w:tcPr>
        <w:shd w:val="solid" w:color="D6E3BC" w:fill="auto"/>
      </w:tcPr>
    </w:tblStylePr>
    <w:tblStylePr w:type="band1Horz">
      <w:tblPr/>
      <w:tcPr>
        <w:shd w:val="solid" w:color="CDDDAC" w:fill="auto"/>
      </w:tcPr>
    </w:tblStylePr>
  </w:style>
  <w:style w:type="table" w:styleId="Sfondoacolori-Colore4">
    <w:name w:val="Colorful Shading Accent 4"/>
    <w:basedOn w:val="Tabellanormale"/>
    <w:uiPriority w:val="71"/>
    <w:pPr>
      <w:spacing w:after="0" w:line="240" w:lineRule="auto"/>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solid" w:color="F2EFF6" w:fill="auto"/>
    </w:tcPr>
    <w:tblStylePr w:type="firstRow">
      <w:rPr>
        <w:b/>
        <w:bCs/>
      </w:rPr>
      <w:tblPr/>
      <w:tcPr>
        <w:tcBorders>
          <w:bottom w:val="single" w:sz="24" w:space="0" w:color="9BBB59"/>
        </w:tcBorders>
        <w:shd w:val="solid" w:color="FFFFFF" w:fill="auto"/>
      </w:tcPr>
    </w:tblStylePr>
    <w:tblStylePr w:type="lastRow">
      <w:rPr>
        <w:b/>
        <w:bCs/>
        <w:color w:val="FFFFFF"/>
      </w:rPr>
      <w:tblPr/>
      <w:tcPr>
        <w:tcBorders>
          <w:top w:val="single" w:sz="6" w:space="0" w:color="FFFFFF"/>
        </w:tcBorders>
        <w:shd w:val="solid" w:color="4C3B62" w:fill="auto"/>
      </w:tcPr>
    </w:tblStylePr>
    <w:tblStylePr w:type="firstCol">
      <w:rPr>
        <w:color w:val="FFFFFF"/>
      </w:rPr>
      <w:tblPr/>
      <w:tcPr>
        <w:tcBorders>
          <w:insideH w:val="single" w:sz="4" w:space="0" w:color="4C3B62"/>
        </w:tcBorders>
        <w:shd w:val="solid" w:color="4C3B62" w:fill="auto"/>
      </w:tcPr>
    </w:tblStylePr>
    <w:tblStylePr w:type="lastCol">
      <w:rPr>
        <w:color w:val="FFFFFF"/>
      </w:rPr>
      <w:tblPr/>
      <w:tcPr>
        <w:shd w:val="solid" w:color="4C3B62" w:fill="auto"/>
      </w:tcPr>
    </w:tblStylePr>
    <w:tblStylePr w:type="band1Vert">
      <w:tblPr/>
      <w:tcPr>
        <w:shd w:val="solid" w:color="CCC0D9" w:fill="auto"/>
      </w:tcPr>
    </w:tblStylePr>
    <w:tblStylePr w:type="band1Horz">
      <w:tblPr/>
      <w:tcPr>
        <w:shd w:val="solid" w:color="BFB1D0" w:fill="auto"/>
      </w:tcPr>
    </w:tblStylePr>
    <w:tblStylePr w:type="neCell">
      <w:rPr>
        <w:color w:val="000000"/>
      </w:rPr>
    </w:tblStylePr>
    <w:tblStylePr w:type="nwCell">
      <w:rPr>
        <w:color w:val="000000"/>
      </w:rPr>
    </w:tblStylePr>
  </w:style>
  <w:style w:type="table" w:styleId="Sfondoacolori-Colore5">
    <w:name w:val="Colorful Shading Accent 5"/>
    <w:basedOn w:val="Tabellanormale"/>
    <w:uiPriority w:val="71"/>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solid" w:color="EDF6F9" w:fill="auto"/>
    </w:tcPr>
    <w:tblStylePr w:type="firstRow">
      <w:rPr>
        <w:b/>
        <w:bCs/>
      </w:rPr>
      <w:tblPr/>
      <w:tcPr>
        <w:tcBorders>
          <w:bottom w:val="single" w:sz="24" w:space="0" w:color="F79646"/>
        </w:tcBorders>
        <w:shd w:val="solid" w:color="FFFFFF" w:fill="auto"/>
      </w:tcPr>
    </w:tblStylePr>
    <w:tblStylePr w:type="lastRow">
      <w:rPr>
        <w:b/>
        <w:bCs/>
        <w:color w:val="FFFFFF"/>
      </w:rPr>
      <w:tblPr/>
      <w:tcPr>
        <w:tcBorders>
          <w:top w:val="single" w:sz="6" w:space="0" w:color="FFFFFF"/>
        </w:tcBorders>
        <w:shd w:val="solid" w:color="276A7C" w:fill="auto"/>
      </w:tcPr>
    </w:tblStylePr>
    <w:tblStylePr w:type="firstCol">
      <w:rPr>
        <w:color w:val="FFFFFF"/>
      </w:rPr>
      <w:tblPr/>
      <w:tcPr>
        <w:tcBorders>
          <w:insideH w:val="single" w:sz="4" w:space="0" w:color="276A7C"/>
        </w:tcBorders>
        <w:shd w:val="solid" w:color="276A7C" w:fill="auto"/>
      </w:tcPr>
    </w:tblStylePr>
    <w:tblStylePr w:type="lastCol">
      <w:rPr>
        <w:color w:val="FFFFFF"/>
      </w:rPr>
      <w:tblPr/>
      <w:tcPr>
        <w:shd w:val="solid" w:color="276A7C" w:fill="auto"/>
      </w:tcPr>
    </w:tblStylePr>
    <w:tblStylePr w:type="band1Vert">
      <w:tblPr/>
      <w:tcPr>
        <w:shd w:val="solid" w:color="B6DDE8" w:fill="auto"/>
      </w:tcPr>
    </w:tblStylePr>
    <w:tblStylePr w:type="band1Horz">
      <w:tblPr/>
      <w:tcPr>
        <w:shd w:val="solid" w:color="A5D5E2" w:fill="auto"/>
      </w:tcPr>
    </w:tblStylePr>
    <w:tblStylePr w:type="neCell">
      <w:rPr>
        <w:color w:val="000000"/>
      </w:rPr>
    </w:tblStylePr>
    <w:tblStylePr w:type="nwCell">
      <w:rPr>
        <w:color w:val="000000"/>
      </w:rPr>
    </w:tblStylePr>
  </w:style>
  <w:style w:type="table" w:styleId="Sfondoacolori-Colore6">
    <w:name w:val="Colorful Shading Accent 6"/>
    <w:basedOn w:val="Tabellanormale"/>
    <w:uiPriority w:val="71"/>
    <w:pPr>
      <w:spacing w:after="0" w:line="240" w:lineRule="auto"/>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solid" w:color="FEF4EC" w:fill="auto"/>
    </w:tcPr>
    <w:tblStylePr w:type="firstRow">
      <w:rPr>
        <w:b/>
        <w:bCs/>
      </w:rPr>
      <w:tblPr/>
      <w:tcPr>
        <w:tcBorders>
          <w:bottom w:val="single" w:sz="24" w:space="0" w:color="4BACC6"/>
        </w:tcBorders>
        <w:shd w:val="solid" w:color="FFFFFF" w:fill="auto"/>
      </w:tcPr>
    </w:tblStylePr>
    <w:tblStylePr w:type="lastRow">
      <w:rPr>
        <w:b/>
        <w:bCs/>
        <w:color w:val="FFFFFF"/>
      </w:rPr>
      <w:tblPr/>
      <w:tcPr>
        <w:tcBorders>
          <w:top w:val="single" w:sz="6" w:space="0" w:color="FFFFFF"/>
        </w:tcBorders>
        <w:shd w:val="solid" w:color="B65608" w:fill="auto"/>
      </w:tcPr>
    </w:tblStylePr>
    <w:tblStylePr w:type="firstCol">
      <w:rPr>
        <w:color w:val="FFFFFF"/>
      </w:rPr>
      <w:tblPr/>
      <w:tcPr>
        <w:tcBorders>
          <w:insideH w:val="single" w:sz="4" w:space="0" w:color="B65608"/>
        </w:tcBorders>
        <w:shd w:val="solid" w:color="B65608" w:fill="auto"/>
      </w:tcPr>
    </w:tblStylePr>
    <w:tblStylePr w:type="lastCol">
      <w:rPr>
        <w:color w:val="FFFFFF"/>
      </w:rPr>
      <w:tblPr/>
      <w:tcPr>
        <w:shd w:val="solid" w:color="B65608" w:fill="auto"/>
      </w:tcPr>
    </w:tblStylePr>
    <w:tblStylePr w:type="band1Vert">
      <w:tblPr/>
      <w:tcPr>
        <w:shd w:val="solid" w:color="FBD4B4" w:fill="auto"/>
      </w:tcPr>
    </w:tblStylePr>
    <w:tblStylePr w:type="band1Horz">
      <w:tblPr/>
      <w:tcPr>
        <w:shd w:val="solid" w:color="FBCAA2" w:fill="auto"/>
      </w:tcPr>
    </w:tblStylePr>
    <w:tblStylePr w:type="neCell">
      <w:rPr>
        <w:color w:val="000000"/>
      </w:rPr>
    </w:tblStylePr>
    <w:tblStylePr w:type="nwCell">
      <w:rPr>
        <w:color w:val="000000"/>
      </w:rPr>
    </w:tblStylePr>
  </w:style>
  <w:style w:type="table" w:styleId="Elencoacolori">
    <w:name w:val="Colorful List"/>
    <w:basedOn w:val="Tabellanormale"/>
    <w:uiPriority w:val="72"/>
    <w:pPr>
      <w:spacing w:after="0" w:line="240" w:lineRule="auto"/>
    </w:pPr>
    <w:rPr>
      <w:color w:val="000000"/>
    </w:rPr>
    <w:tblPr>
      <w:tblStyleRowBandSize w:val="1"/>
      <w:tblStyleColBandSize w:val="1"/>
    </w:tblPr>
    <w:tcPr>
      <w:shd w:val="solid" w:color="E6E6E6" w:fill="auto"/>
    </w:tcPr>
    <w:tblStylePr w:type="firstRow">
      <w:rPr>
        <w:b/>
        <w:bCs/>
        <w:color w:val="FFFFFF"/>
      </w:rPr>
      <w:tblPr/>
      <w:tcPr>
        <w:tcBorders>
          <w:bottom w:val="single" w:sz="12" w:space="0" w:color="FFFFFF"/>
        </w:tcBorders>
        <w:shd w:val="solid" w:color="9E3A38" w:fill="auto"/>
      </w:tcPr>
    </w:tblStylePr>
    <w:tblStylePr w:type="lastRow">
      <w:rPr>
        <w:b/>
        <w:bCs/>
        <w:color w:val="9E3A38"/>
      </w:rPr>
      <w:tblPr/>
      <w:tcPr>
        <w:tcBorders>
          <w:top w:val="single" w:sz="12" w:space="0" w:color="000000"/>
        </w:tcBorders>
        <w:shd w:val="solid" w:color="FFFFFF" w:fill="auto"/>
      </w:tcPr>
    </w:tblStylePr>
    <w:tblStylePr w:type="firstCol">
      <w:rPr>
        <w:b/>
        <w:bCs/>
      </w:rPr>
    </w:tblStylePr>
    <w:tblStylePr w:type="lastCol">
      <w:rPr>
        <w:b/>
        <w:bCs/>
      </w:rPr>
    </w:tblStylePr>
    <w:tblStylePr w:type="band1Vert">
      <w:tblPr/>
      <w:tcPr>
        <w:shd w:val="solid" w:color="C0C0C0" w:fill="auto"/>
      </w:tcPr>
    </w:tblStylePr>
    <w:tblStylePr w:type="band1Horz">
      <w:tblPr/>
      <w:tcPr>
        <w:shd w:val="solid" w:color="CCCCCC" w:fill="auto"/>
      </w:tcPr>
    </w:tblStylePr>
  </w:style>
  <w:style w:type="table" w:styleId="Elencoacolori-Colore1">
    <w:name w:val="Colorful List Accent 1"/>
    <w:basedOn w:val="Tabellanormale"/>
    <w:uiPriority w:val="72"/>
    <w:pPr>
      <w:spacing w:after="0" w:line="240" w:lineRule="auto"/>
    </w:pPr>
    <w:rPr>
      <w:color w:val="000000"/>
    </w:rPr>
    <w:tblPr>
      <w:tblStyleRowBandSize w:val="1"/>
      <w:tblStyleColBandSize w:val="1"/>
    </w:tblPr>
    <w:tcPr>
      <w:shd w:val="solid" w:color="EDF2F8" w:fill="auto"/>
    </w:tcPr>
    <w:tblStylePr w:type="firstRow">
      <w:rPr>
        <w:b/>
        <w:bCs/>
        <w:color w:val="FFFFFF"/>
      </w:rPr>
      <w:tblPr/>
      <w:tcPr>
        <w:tcBorders>
          <w:bottom w:val="single" w:sz="12" w:space="0" w:color="FFFFFF"/>
        </w:tcBorders>
        <w:shd w:val="solid" w:color="9E3A38" w:fill="auto"/>
      </w:tcPr>
    </w:tblStylePr>
    <w:tblStylePr w:type="lastRow">
      <w:rPr>
        <w:b/>
        <w:bCs/>
        <w:color w:val="9E3A38"/>
      </w:rPr>
      <w:tblPr/>
      <w:tcPr>
        <w:tcBorders>
          <w:top w:val="single" w:sz="12" w:space="0" w:color="000000"/>
        </w:tcBorders>
        <w:shd w:val="solid" w:color="FFFFFF" w:fill="auto"/>
      </w:tcPr>
    </w:tblStylePr>
    <w:tblStylePr w:type="firstCol">
      <w:rPr>
        <w:b/>
        <w:bCs/>
      </w:rPr>
    </w:tblStylePr>
    <w:tblStylePr w:type="lastCol">
      <w:rPr>
        <w:b/>
        <w:bCs/>
      </w:rPr>
    </w:tblStylePr>
    <w:tblStylePr w:type="band1Vert">
      <w:tblPr/>
      <w:tcPr>
        <w:shd w:val="solid" w:color="D3DFEE" w:fill="auto"/>
      </w:tcPr>
    </w:tblStylePr>
    <w:tblStylePr w:type="band1Horz">
      <w:tblPr/>
      <w:tcPr>
        <w:shd w:val="solid" w:color="DBE5F1" w:fill="auto"/>
      </w:tcPr>
    </w:tblStylePr>
  </w:style>
  <w:style w:type="table" w:styleId="Elencoacolori-Colore2">
    <w:name w:val="Colorful List Accent 2"/>
    <w:basedOn w:val="Tabellanormale"/>
    <w:uiPriority w:val="72"/>
    <w:pPr>
      <w:spacing w:after="0" w:line="240" w:lineRule="auto"/>
    </w:pPr>
    <w:rPr>
      <w:color w:val="000000"/>
    </w:rPr>
    <w:tblPr>
      <w:tblStyleRowBandSize w:val="1"/>
      <w:tblStyleColBandSize w:val="1"/>
    </w:tblPr>
    <w:tcPr>
      <w:shd w:val="solid" w:color="F8EDED" w:fill="auto"/>
    </w:tcPr>
    <w:tblStylePr w:type="firstRow">
      <w:rPr>
        <w:b/>
        <w:bCs/>
        <w:color w:val="FFFFFF"/>
      </w:rPr>
      <w:tblPr/>
      <w:tcPr>
        <w:tcBorders>
          <w:bottom w:val="single" w:sz="12" w:space="0" w:color="FFFFFF"/>
        </w:tcBorders>
        <w:shd w:val="solid" w:color="9E3A38" w:fill="auto"/>
      </w:tcPr>
    </w:tblStylePr>
    <w:tblStylePr w:type="lastRow">
      <w:rPr>
        <w:b/>
        <w:bCs/>
        <w:color w:val="9E3A38"/>
      </w:rPr>
      <w:tblPr/>
      <w:tcPr>
        <w:tcBorders>
          <w:top w:val="single" w:sz="12" w:space="0" w:color="000000"/>
        </w:tcBorders>
        <w:shd w:val="solid" w:color="FFFFFF" w:fill="auto"/>
      </w:tcPr>
    </w:tblStylePr>
    <w:tblStylePr w:type="firstCol">
      <w:rPr>
        <w:b/>
        <w:bCs/>
      </w:rPr>
    </w:tblStylePr>
    <w:tblStylePr w:type="lastCol">
      <w:rPr>
        <w:b/>
        <w:bCs/>
      </w:rPr>
    </w:tblStylePr>
    <w:tblStylePr w:type="band1Vert">
      <w:tblPr/>
      <w:tcPr>
        <w:shd w:val="solid" w:color="EFD3D2" w:fill="auto"/>
      </w:tcPr>
    </w:tblStylePr>
    <w:tblStylePr w:type="band1Horz">
      <w:tblPr/>
      <w:tcPr>
        <w:shd w:val="solid" w:color="F2DBDB" w:fill="auto"/>
      </w:tcPr>
    </w:tblStylePr>
  </w:style>
  <w:style w:type="table" w:styleId="Elencoacolori-Colore3">
    <w:name w:val="Colorful List Accent 3"/>
    <w:basedOn w:val="Tabellanormale"/>
    <w:uiPriority w:val="72"/>
    <w:pPr>
      <w:spacing w:after="0" w:line="240" w:lineRule="auto"/>
    </w:pPr>
    <w:rPr>
      <w:color w:val="000000"/>
    </w:rPr>
    <w:tblPr>
      <w:tblStyleRowBandSize w:val="1"/>
      <w:tblStyleColBandSize w:val="1"/>
    </w:tblPr>
    <w:tcPr>
      <w:shd w:val="solid" w:color="F5F8EE" w:fill="auto"/>
    </w:tcPr>
    <w:tblStylePr w:type="firstRow">
      <w:rPr>
        <w:b/>
        <w:bCs/>
        <w:color w:val="FFFFFF"/>
      </w:rPr>
      <w:tblPr/>
      <w:tcPr>
        <w:tcBorders>
          <w:bottom w:val="single" w:sz="12" w:space="0" w:color="FFFFFF"/>
        </w:tcBorders>
        <w:shd w:val="solid" w:color="664E82" w:fill="auto"/>
      </w:tcPr>
    </w:tblStylePr>
    <w:tblStylePr w:type="lastRow">
      <w:rPr>
        <w:b/>
        <w:bCs/>
        <w:color w:val="664E82"/>
      </w:rPr>
      <w:tblPr/>
      <w:tcPr>
        <w:tcBorders>
          <w:top w:val="single" w:sz="12" w:space="0" w:color="000000"/>
        </w:tcBorders>
        <w:shd w:val="solid" w:color="FFFFFF" w:fill="auto"/>
      </w:tcPr>
    </w:tblStylePr>
    <w:tblStylePr w:type="firstCol">
      <w:rPr>
        <w:b/>
        <w:bCs/>
      </w:rPr>
    </w:tblStylePr>
    <w:tblStylePr w:type="lastCol">
      <w:rPr>
        <w:b/>
        <w:bCs/>
      </w:rPr>
    </w:tblStylePr>
    <w:tblStylePr w:type="band1Vert">
      <w:tblPr/>
      <w:tcPr>
        <w:shd w:val="solid" w:color="E6EED5" w:fill="auto"/>
      </w:tcPr>
    </w:tblStylePr>
    <w:tblStylePr w:type="band1Horz">
      <w:tblPr/>
      <w:tcPr>
        <w:shd w:val="solid" w:color="EAF1DD" w:fill="auto"/>
      </w:tcPr>
    </w:tblStylePr>
  </w:style>
  <w:style w:type="table" w:styleId="Elencoacolori-Colore4">
    <w:name w:val="Colorful List Accent 4"/>
    <w:basedOn w:val="Tabellanormale"/>
    <w:uiPriority w:val="72"/>
    <w:pPr>
      <w:spacing w:after="0" w:line="240" w:lineRule="auto"/>
    </w:pPr>
    <w:rPr>
      <w:color w:val="000000"/>
    </w:rPr>
    <w:tblPr>
      <w:tblStyleRowBandSize w:val="1"/>
      <w:tblStyleColBandSize w:val="1"/>
    </w:tblPr>
    <w:tcPr>
      <w:shd w:val="solid" w:color="F2EFF6" w:fill="auto"/>
    </w:tcPr>
    <w:tblStylePr w:type="firstRow">
      <w:rPr>
        <w:b/>
        <w:bCs/>
        <w:color w:val="FFFFFF"/>
      </w:rPr>
      <w:tblPr/>
      <w:tcPr>
        <w:tcBorders>
          <w:bottom w:val="single" w:sz="12" w:space="0" w:color="FFFFFF"/>
        </w:tcBorders>
        <w:shd w:val="solid" w:color="7E9C40" w:fill="auto"/>
      </w:tcPr>
    </w:tblStylePr>
    <w:tblStylePr w:type="lastRow">
      <w:rPr>
        <w:b/>
        <w:bCs/>
        <w:color w:val="7E9C40"/>
      </w:rPr>
      <w:tblPr/>
      <w:tcPr>
        <w:tcBorders>
          <w:top w:val="single" w:sz="12" w:space="0" w:color="000000"/>
        </w:tcBorders>
        <w:shd w:val="solid" w:color="FFFFFF" w:fill="auto"/>
      </w:tcPr>
    </w:tblStylePr>
    <w:tblStylePr w:type="firstCol">
      <w:rPr>
        <w:b/>
        <w:bCs/>
      </w:rPr>
    </w:tblStylePr>
    <w:tblStylePr w:type="lastCol">
      <w:rPr>
        <w:b/>
        <w:bCs/>
      </w:rPr>
    </w:tblStylePr>
    <w:tblStylePr w:type="band1Vert">
      <w:tblPr/>
      <w:tcPr>
        <w:shd w:val="solid" w:color="DFD8E8" w:fill="auto"/>
      </w:tcPr>
    </w:tblStylePr>
    <w:tblStylePr w:type="band1Horz">
      <w:tblPr/>
      <w:tcPr>
        <w:shd w:val="solid" w:color="E5DFEC" w:fill="auto"/>
      </w:tcPr>
    </w:tblStylePr>
  </w:style>
  <w:style w:type="table" w:styleId="Elencoacolori-Colore5">
    <w:name w:val="Colorful List Accent 5"/>
    <w:basedOn w:val="Tabellanormale"/>
    <w:uiPriority w:val="72"/>
    <w:pPr>
      <w:spacing w:after="0" w:line="240" w:lineRule="auto"/>
    </w:pPr>
    <w:rPr>
      <w:color w:val="000000"/>
    </w:rPr>
    <w:tblPr>
      <w:tblStyleRowBandSize w:val="1"/>
      <w:tblStyleColBandSize w:val="1"/>
    </w:tblPr>
    <w:tcPr>
      <w:shd w:val="solid" w:color="EDF6F9" w:fill="auto"/>
    </w:tcPr>
    <w:tblStylePr w:type="firstRow">
      <w:rPr>
        <w:b/>
        <w:bCs/>
        <w:color w:val="FFFFFF"/>
      </w:rPr>
      <w:tblPr/>
      <w:tcPr>
        <w:tcBorders>
          <w:bottom w:val="single" w:sz="12" w:space="0" w:color="FFFFFF"/>
        </w:tcBorders>
        <w:shd w:val="solid" w:color="F2730A" w:fill="auto"/>
      </w:tcPr>
    </w:tblStylePr>
    <w:tblStylePr w:type="lastRow">
      <w:rPr>
        <w:b/>
        <w:bCs/>
        <w:color w:val="F2730A"/>
      </w:rPr>
      <w:tblPr/>
      <w:tcPr>
        <w:tcBorders>
          <w:top w:val="single" w:sz="12" w:space="0" w:color="000000"/>
        </w:tcBorders>
        <w:shd w:val="solid" w:color="FFFFFF" w:fill="auto"/>
      </w:tcPr>
    </w:tblStylePr>
    <w:tblStylePr w:type="firstCol">
      <w:rPr>
        <w:b/>
        <w:bCs/>
      </w:rPr>
    </w:tblStylePr>
    <w:tblStylePr w:type="lastCol">
      <w:rPr>
        <w:b/>
        <w:bCs/>
      </w:rPr>
    </w:tblStylePr>
    <w:tblStylePr w:type="band1Vert">
      <w:tblPr/>
      <w:tcPr>
        <w:shd w:val="solid" w:color="D2EAF1" w:fill="auto"/>
      </w:tcPr>
    </w:tblStylePr>
    <w:tblStylePr w:type="band1Horz">
      <w:tblPr/>
      <w:tcPr>
        <w:shd w:val="solid" w:color="DAEEF3" w:fill="auto"/>
      </w:tcPr>
    </w:tblStylePr>
  </w:style>
  <w:style w:type="table" w:styleId="Elencoacolori-Colore6">
    <w:name w:val="Colorful List Accent 6"/>
    <w:basedOn w:val="Tabellanormale"/>
    <w:uiPriority w:val="72"/>
    <w:pPr>
      <w:spacing w:after="0" w:line="240" w:lineRule="auto"/>
    </w:pPr>
    <w:rPr>
      <w:color w:val="000000"/>
    </w:rPr>
    <w:tblPr>
      <w:tblStyleRowBandSize w:val="1"/>
      <w:tblStyleColBandSize w:val="1"/>
    </w:tblPr>
    <w:tcPr>
      <w:shd w:val="solid" w:color="FEF4EC" w:fill="auto"/>
    </w:tcPr>
    <w:tblStylePr w:type="firstRow">
      <w:rPr>
        <w:b/>
        <w:bCs/>
        <w:color w:val="FFFFFF"/>
      </w:rPr>
      <w:tblPr/>
      <w:tcPr>
        <w:tcBorders>
          <w:bottom w:val="single" w:sz="12" w:space="0" w:color="FFFFFF"/>
        </w:tcBorders>
        <w:shd w:val="solid" w:color="348DA5" w:fill="auto"/>
      </w:tcPr>
    </w:tblStylePr>
    <w:tblStylePr w:type="lastRow">
      <w:rPr>
        <w:b/>
        <w:bCs/>
        <w:color w:val="348DA5"/>
      </w:rPr>
      <w:tblPr/>
      <w:tcPr>
        <w:tcBorders>
          <w:top w:val="single" w:sz="12" w:space="0" w:color="000000"/>
        </w:tcBorders>
        <w:shd w:val="solid" w:color="FFFFFF" w:fill="auto"/>
      </w:tcPr>
    </w:tblStylePr>
    <w:tblStylePr w:type="firstCol">
      <w:rPr>
        <w:b/>
        <w:bCs/>
      </w:rPr>
    </w:tblStylePr>
    <w:tblStylePr w:type="lastCol">
      <w:rPr>
        <w:b/>
        <w:bCs/>
      </w:rPr>
    </w:tblStylePr>
    <w:tblStylePr w:type="band1Vert">
      <w:tblPr/>
      <w:tcPr>
        <w:shd w:val="solid" w:color="FDE4D0" w:fill="auto"/>
      </w:tcPr>
    </w:tblStylePr>
    <w:tblStylePr w:type="band1Horz">
      <w:tblPr/>
      <w:tcPr>
        <w:shd w:val="solid" w:color="FDE9D9" w:fill="auto"/>
      </w:tcPr>
    </w:tblStylePr>
  </w:style>
  <w:style w:type="table" w:styleId="Grigliaacolori">
    <w:name w:val="Colorful Grid"/>
    <w:basedOn w:val="Tabellanormale"/>
    <w:uiPriority w:val="73"/>
    <w:pPr>
      <w:spacing w:after="0" w:line="240" w:lineRule="auto"/>
    </w:pPr>
    <w:rPr>
      <w:color w:val="000000"/>
    </w:rPr>
    <w:tblPr>
      <w:tblStyleRowBandSize w:val="1"/>
      <w:tblStyleColBandSize w:val="1"/>
      <w:tblBorders>
        <w:insideH w:val="single" w:sz="4" w:space="0" w:color="FFFFFF"/>
      </w:tblBorders>
    </w:tblPr>
    <w:tcPr>
      <w:shd w:val="solid" w:color="CCCCCC" w:fill="auto"/>
    </w:tcPr>
    <w:tblStylePr w:type="firstRow">
      <w:rPr>
        <w:b/>
        <w:bCs/>
      </w:rPr>
      <w:tblPr/>
      <w:tcPr>
        <w:shd w:val="solid" w:color="999999" w:fill="auto"/>
      </w:tcPr>
    </w:tblStylePr>
    <w:tblStylePr w:type="lastRow">
      <w:rPr>
        <w:b/>
        <w:bCs/>
        <w:color w:val="000000"/>
      </w:rPr>
      <w:tblPr/>
      <w:tcPr>
        <w:shd w:val="solid" w:color="999999" w:fill="auto"/>
      </w:tcPr>
    </w:tblStylePr>
    <w:tblStylePr w:type="firstCol">
      <w:rPr>
        <w:color w:val="FFFFFF"/>
      </w:rPr>
      <w:tblPr/>
      <w:tcPr>
        <w:shd w:val="solid" w:color="000000" w:fill="auto"/>
      </w:tcPr>
    </w:tblStylePr>
    <w:tblStylePr w:type="lastCol">
      <w:rPr>
        <w:color w:val="FFFFFF"/>
      </w:rPr>
      <w:tblPr/>
      <w:tcPr>
        <w:shd w:val="solid" w:color="000000" w:fill="auto"/>
      </w:tcPr>
    </w:tblStylePr>
    <w:tblStylePr w:type="band1Vert">
      <w:tblPr/>
      <w:tcPr>
        <w:shd w:val="solid" w:color="808080" w:fill="auto"/>
      </w:tcPr>
    </w:tblStylePr>
    <w:tblStylePr w:type="band1Horz">
      <w:tblPr/>
      <w:tcPr>
        <w:shd w:val="solid" w:color="808080" w:fill="auto"/>
      </w:tcPr>
    </w:tblStylePr>
  </w:style>
  <w:style w:type="table" w:styleId="Grigliaacolori-Colore1">
    <w:name w:val="Colorful Grid Accent 1"/>
    <w:basedOn w:val="Tabellanormale"/>
    <w:uiPriority w:val="73"/>
    <w:pPr>
      <w:spacing w:after="0" w:line="240" w:lineRule="auto"/>
    </w:pPr>
    <w:rPr>
      <w:color w:val="000000"/>
    </w:rPr>
    <w:tblPr>
      <w:tblStyleRowBandSize w:val="1"/>
      <w:tblStyleColBandSize w:val="1"/>
      <w:tblBorders>
        <w:insideH w:val="single" w:sz="4" w:space="0" w:color="FFFFFF"/>
      </w:tblBorders>
    </w:tblPr>
    <w:tcPr>
      <w:shd w:val="solid" w:color="DBE5F1" w:fill="auto"/>
    </w:tcPr>
    <w:tblStylePr w:type="firstRow">
      <w:rPr>
        <w:b/>
        <w:bCs/>
      </w:rPr>
      <w:tblPr/>
      <w:tcPr>
        <w:shd w:val="solid" w:color="B8CCE4" w:fill="auto"/>
      </w:tcPr>
    </w:tblStylePr>
    <w:tblStylePr w:type="lastRow">
      <w:rPr>
        <w:b/>
        <w:bCs/>
        <w:color w:val="000000"/>
      </w:rPr>
      <w:tblPr/>
      <w:tcPr>
        <w:shd w:val="solid" w:color="B8CCE4" w:fill="auto"/>
      </w:tcPr>
    </w:tblStylePr>
    <w:tblStylePr w:type="firstCol">
      <w:rPr>
        <w:color w:val="FFFFFF"/>
      </w:rPr>
      <w:tblPr/>
      <w:tcPr>
        <w:shd w:val="solid" w:color="365F91" w:fill="auto"/>
      </w:tcPr>
    </w:tblStylePr>
    <w:tblStylePr w:type="lastCol">
      <w:rPr>
        <w:color w:val="FFFFFF"/>
      </w:rPr>
      <w:tblPr/>
      <w:tcPr>
        <w:shd w:val="solid" w:color="365F91" w:fill="auto"/>
      </w:tcPr>
    </w:tblStylePr>
    <w:tblStylePr w:type="band1Vert">
      <w:tblPr/>
      <w:tcPr>
        <w:shd w:val="solid" w:color="A7BFDE" w:fill="auto"/>
      </w:tcPr>
    </w:tblStylePr>
    <w:tblStylePr w:type="band1Horz">
      <w:tblPr/>
      <w:tcPr>
        <w:shd w:val="solid" w:color="A7BFDE" w:fill="auto"/>
      </w:tcPr>
    </w:tblStylePr>
  </w:style>
  <w:style w:type="table" w:styleId="Grigliaacolori-Colore2">
    <w:name w:val="Colorful Grid Accent 2"/>
    <w:basedOn w:val="Tabellanormale"/>
    <w:uiPriority w:val="73"/>
    <w:pPr>
      <w:spacing w:after="0" w:line="240" w:lineRule="auto"/>
    </w:pPr>
    <w:rPr>
      <w:color w:val="000000"/>
    </w:rPr>
    <w:tblPr>
      <w:tblStyleRowBandSize w:val="1"/>
      <w:tblStyleColBandSize w:val="1"/>
      <w:tblBorders>
        <w:insideH w:val="single" w:sz="4" w:space="0" w:color="FFFFFF"/>
      </w:tblBorders>
    </w:tblPr>
    <w:tcPr>
      <w:shd w:val="solid" w:color="F2DBDB" w:fill="auto"/>
    </w:tcPr>
    <w:tblStylePr w:type="firstRow">
      <w:rPr>
        <w:b/>
        <w:bCs/>
      </w:rPr>
      <w:tblPr/>
      <w:tcPr>
        <w:shd w:val="solid" w:color="E5B8B7" w:fill="auto"/>
      </w:tcPr>
    </w:tblStylePr>
    <w:tblStylePr w:type="lastRow">
      <w:rPr>
        <w:b/>
        <w:bCs/>
        <w:color w:val="000000"/>
      </w:rPr>
      <w:tblPr/>
      <w:tcPr>
        <w:shd w:val="solid" w:color="E5B8B7" w:fill="auto"/>
      </w:tcPr>
    </w:tblStylePr>
    <w:tblStylePr w:type="firstCol">
      <w:rPr>
        <w:color w:val="FFFFFF"/>
      </w:rPr>
      <w:tblPr/>
      <w:tcPr>
        <w:shd w:val="solid" w:color="943634" w:fill="auto"/>
      </w:tcPr>
    </w:tblStylePr>
    <w:tblStylePr w:type="lastCol">
      <w:rPr>
        <w:color w:val="FFFFFF"/>
      </w:rPr>
      <w:tblPr/>
      <w:tcPr>
        <w:shd w:val="solid" w:color="943634" w:fill="auto"/>
      </w:tcPr>
    </w:tblStylePr>
    <w:tblStylePr w:type="band1Vert">
      <w:tblPr/>
      <w:tcPr>
        <w:shd w:val="solid" w:color="DFA7A6" w:fill="auto"/>
      </w:tcPr>
    </w:tblStylePr>
    <w:tblStylePr w:type="band1Horz">
      <w:tblPr/>
      <w:tcPr>
        <w:shd w:val="solid" w:color="DFA7A6" w:fill="auto"/>
      </w:tcPr>
    </w:tblStylePr>
  </w:style>
  <w:style w:type="table" w:styleId="Grigliaacolori-Colore3">
    <w:name w:val="Colorful Grid Accent 3"/>
    <w:basedOn w:val="Tabellanormale"/>
    <w:uiPriority w:val="73"/>
    <w:pPr>
      <w:spacing w:after="0" w:line="240" w:lineRule="auto"/>
    </w:pPr>
    <w:rPr>
      <w:color w:val="000000"/>
    </w:rPr>
    <w:tblPr>
      <w:tblStyleRowBandSize w:val="1"/>
      <w:tblStyleColBandSize w:val="1"/>
      <w:tblBorders>
        <w:insideH w:val="single" w:sz="4" w:space="0" w:color="FFFFFF"/>
      </w:tblBorders>
    </w:tblPr>
    <w:tcPr>
      <w:shd w:val="solid" w:color="EAF1DD" w:fill="auto"/>
    </w:tcPr>
    <w:tblStylePr w:type="firstRow">
      <w:rPr>
        <w:b/>
        <w:bCs/>
      </w:rPr>
      <w:tblPr/>
      <w:tcPr>
        <w:shd w:val="solid" w:color="D6E3BC" w:fill="auto"/>
      </w:tcPr>
    </w:tblStylePr>
    <w:tblStylePr w:type="lastRow">
      <w:rPr>
        <w:b/>
        <w:bCs/>
        <w:color w:val="000000"/>
      </w:rPr>
      <w:tblPr/>
      <w:tcPr>
        <w:shd w:val="solid" w:color="D6E3BC" w:fill="auto"/>
      </w:tcPr>
    </w:tblStylePr>
    <w:tblStylePr w:type="firstCol">
      <w:rPr>
        <w:color w:val="FFFFFF"/>
      </w:rPr>
      <w:tblPr/>
      <w:tcPr>
        <w:shd w:val="solid" w:color="76923C" w:fill="auto"/>
      </w:tcPr>
    </w:tblStylePr>
    <w:tblStylePr w:type="lastCol">
      <w:rPr>
        <w:color w:val="FFFFFF"/>
      </w:rPr>
      <w:tblPr/>
      <w:tcPr>
        <w:shd w:val="solid" w:color="76923C" w:fill="auto"/>
      </w:tcPr>
    </w:tblStylePr>
    <w:tblStylePr w:type="band1Vert">
      <w:tblPr/>
      <w:tcPr>
        <w:shd w:val="solid" w:color="CDDDAC" w:fill="auto"/>
      </w:tcPr>
    </w:tblStylePr>
    <w:tblStylePr w:type="band1Horz">
      <w:tblPr/>
      <w:tcPr>
        <w:shd w:val="solid" w:color="CDDDAC" w:fill="auto"/>
      </w:tcPr>
    </w:tblStylePr>
  </w:style>
  <w:style w:type="table" w:styleId="Grigliaacolori-Colore4">
    <w:name w:val="Colorful Grid Accent 4"/>
    <w:basedOn w:val="Tabellanormale"/>
    <w:uiPriority w:val="73"/>
    <w:pPr>
      <w:spacing w:after="0" w:line="240" w:lineRule="auto"/>
    </w:pPr>
    <w:rPr>
      <w:color w:val="000000"/>
    </w:rPr>
    <w:tblPr>
      <w:tblStyleRowBandSize w:val="1"/>
      <w:tblStyleColBandSize w:val="1"/>
      <w:tblBorders>
        <w:insideH w:val="single" w:sz="4" w:space="0" w:color="FFFFFF"/>
      </w:tblBorders>
    </w:tblPr>
    <w:tcPr>
      <w:shd w:val="solid" w:color="E5DFEC" w:fill="auto"/>
    </w:tcPr>
    <w:tblStylePr w:type="firstRow">
      <w:rPr>
        <w:b/>
        <w:bCs/>
      </w:rPr>
      <w:tblPr/>
      <w:tcPr>
        <w:shd w:val="solid" w:color="CCC0D9" w:fill="auto"/>
      </w:tcPr>
    </w:tblStylePr>
    <w:tblStylePr w:type="lastRow">
      <w:rPr>
        <w:b/>
        <w:bCs/>
        <w:color w:val="000000"/>
      </w:rPr>
      <w:tblPr/>
      <w:tcPr>
        <w:shd w:val="solid" w:color="CCC0D9" w:fill="auto"/>
      </w:tcPr>
    </w:tblStylePr>
    <w:tblStylePr w:type="firstCol">
      <w:rPr>
        <w:color w:val="FFFFFF"/>
      </w:rPr>
      <w:tblPr/>
      <w:tcPr>
        <w:shd w:val="solid" w:color="5F497A" w:fill="auto"/>
      </w:tcPr>
    </w:tblStylePr>
    <w:tblStylePr w:type="lastCol">
      <w:rPr>
        <w:color w:val="FFFFFF"/>
      </w:rPr>
      <w:tblPr/>
      <w:tcPr>
        <w:shd w:val="solid" w:color="5F497A" w:fill="auto"/>
      </w:tcPr>
    </w:tblStylePr>
    <w:tblStylePr w:type="band1Vert">
      <w:tblPr/>
      <w:tcPr>
        <w:shd w:val="solid" w:color="BFB1D0" w:fill="auto"/>
      </w:tcPr>
    </w:tblStylePr>
    <w:tblStylePr w:type="band1Horz">
      <w:tblPr/>
      <w:tcPr>
        <w:shd w:val="solid" w:color="BFB1D0" w:fill="auto"/>
      </w:tcPr>
    </w:tblStylePr>
  </w:style>
  <w:style w:type="table" w:styleId="Grigliaacolori-Colore5">
    <w:name w:val="Colorful Grid Accent 5"/>
    <w:basedOn w:val="Tabellanormale"/>
    <w:uiPriority w:val="73"/>
    <w:pPr>
      <w:spacing w:after="0" w:line="240" w:lineRule="auto"/>
    </w:pPr>
    <w:rPr>
      <w:color w:val="000000"/>
    </w:rPr>
    <w:tblPr>
      <w:tblStyleRowBandSize w:val="1"/>
      <w:tblStyleColBandSize w:val="1"/>
      <w:tblBorders>
        <w:insideH w:val="single" w:sz="4" w:space="0" w:color="FFFFFF"/>
      </w:tblBorders>
    </w:tblPr>
    <w:tcPr>
      <w:shd w:val="solid" w:color="DAEEF3" w:fill="auto"/>
    </w:tcPr>
    <w:tblStylePr w:type="firstRow">
      <w:rPr>
        <w:b/>
        <w:bCs/>
      </w:rPr>
      <w:tblPr/>
      <w:tcPr>
        <w:shd w:val="solid" w:color="B6DDE8" w:fill="auto"/>
      </w:tcPr>
    </w:tblStylePr>
    <w:tblStylePr w:type="lastRow">
      <w:rPr>
        <w:b/>
        <w:bCs/>
        <w:color w:val="000000"/>
      </w:rPr>
      <w:tblPr/>
      <w:tcPr>
        <w:shd w:val="solid" w:color="B6DDE8" w:fill="auto"/>
      </w:tcPr>
    </w:tblStylePr>
    <w:tblStylePr w:type="firstCol">
      <w:rPr>
        <w:color w:val="FFFFFF"/>
      </w:rPr>
      <w:tblPr/>
      <w:tcPr>
        <w:shd w:val="solid" w:color="31849B" w:fill="auto"/>
      </w:tcPr>
    </w:tblStylePr>
    <w:tblStylePr w:type="lastCol">
      <w:rPr>
        <w:color w:val="FFFFFF"/>
      </w:rPr>
      <w:tblPr/>
      <w:tcPr>
        <w:shd w:val="solid" w:color="31849B" w:fill="auto"/>
      </w:tcPr>
    </w:tblStylePr>
    <w:tblStylePr w:type="band1Vert">
      <w:tblPr/>
      <w:tcPr>
        <w:shd w:val="solid" w:color="A5D5E2" w:fill="auto"/>
      </w:tcPr>
    </w:tblStylePr>
    <w:tblStylePr w:type="band1Horz">
      <w:tblPr/>
      <w:tcPr>
        <w:shd w:val="solid" w:color="A5D5E2" w:fill="auto"/>
      </w:tcPr>
    </w:tblStylePr>
  </w:style>
  <w:style w:type="table" w:styleId="Grigliaacolori-Colore6">
    <w:name w:val="Colorful Grid Accent 6"/>
    <w:basedOn w:val="Tabellanormale"/>
    <w:uiPriority w:val="73"/>
    <w:pPr>
      <w:spacing w:after="0" w:line="240" w:lineRule="auto"/>
    </w:pPr>
    <w:rPr>
      <w:color w:val="000000"/>
    </w:rPr>
    <w:tblPr>
      <w:tblStyleRowBandSize w:val="1"/>
      <w:tblStyleColBandSize w:val="1"/>
      <w:tblBorders>
        <w:insideH w:val="single" w:sz="4" w:space="0" w:color="FFFFFF"/>
      </w:tblBorders>
    </w:tblPr>
    <w:tcPr>
      <w:shd w:val="solid" w:color="FDE9D9" w:fill="auto"/>
    </w:tcPr>
    <w:tblStylePr w:type="firstRow">
      <w:rPr>
        <w:b/>
        <w:bCs/>
      </w:rPr>
      <w:tblPr/>
      <w:tcPr>
        <w:shd w:val="solid" w:color="FBD4B4" w:fill="auto"/>
      </w:tcPr>
    </w:tblStylePr>
    <w:tblStylePr w:type="lastRow">
      <w:rPr>
        <w:b/>
        <w:bCs/>
        <w:color w:val="000000"/>
      </w:rPr>
      <w:tblPr/>
      <w:tcPr>
        <w:shd w:val="solid" w:color="FBD4B4" w:fill="auto"/>
      </w:tcPr>
    </w:tblStylePr>
    <w:tblStylePr w:type="firstCol">
      <w:rPr>
        <w:color w:val="FFFFFF"/>
      </w:rPr>
      <w:tblPr/>
      <w:tcPr>
        <w:shd w:val="solid" w:color="E36C0A" w:fill="auto"/>
      </w:tcPr>
    </w:tblStylePr>
    <w:tblStylePr w:type="lastCol">
      <w:rPr>
        <w:color w:val="FFFFFF"/>
      </w:rPr>
      <w:tblPr/>
      <w:tcPr>
        <w:shd w:val="solid" w:color="E36C0A" w:fill="auto"/>
      </w:tcPr>
    </w:tblStylePr>
    <w:tblStylePr w:type="band1Vert">
      <w:tblPr/>
      <w:tcPr>
        <w:shd w:val="solid" w:color="FBCAA2" w:fill="auto"/>
      </w:tcPr>
    </w:tblStylePr>
    <w:tblStylePr w:type="band1Horz">
      <w:tblPr/>
      <w:tcPr>
        <w:shd w:val="solid" w:color="FBCAA2" w:fill="auto"/>
      </w:tcPr>
    </w:tblStylePr>
  </w:style>
  <w:style w:type="paragraph" w:customStyle="1" w:styleId="Default">
    <w:name w:val="Default"/>
    <w:rsid w:val="00711E51"/>
    <w:pPr>
      <w:pBdr>
        <w:top w:val="nil"/>
        <w:left w:val="nil"/>
        <w:bottom w:val="nil"/>
        <w:right w:val="nil"/>
        <w:between w:val="nil"/>
        <w:bar w:val="nil"/>
      </w:pBdr>
      <w:spacing w:before="160" w:after="0" w:line="288" w:lineRule="auto"/>
      <w:ind w:firstLine="0"/>
      <w:jc w:val="left"/>
    </w:pPr>
    <w:rPr>
      <w:rFonts w:ascii="Helvetica Neue" w:eastAsia="Arial Unicode MS" w:hAnsi="Helvetica Neue" w:cs="Arial Unicode MS"/>
      <w:color w:val="000000"/>
      <w:sz w:val="24"/>
      <w:szCs w:val="24"/>
      <w:u w:color="000000"/>
      <w:bdr w:val="nil"/>
      <w:lang w:val="it-IT" w:eastAsia="it-IT"/>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28</Pages>
  <Words>9543</Words>
  <Characters>54396</Characters>
  <Application>Microsoft Office Word</Application>
  <DocSecurity>0</DocSecurity>
  <Lines>453</Lines>
  <Paragraphs>127</Paragraphs>
  <ScaleCrop>false</ScaleCrop>
  <HeadingPairs>
    <vt:vector size="2" baseType="variant">
      <vt:variant>
        <vt:lpstr>Titolo</vt:lpstr>
      </vt:variant>
      <vt:variant>
        <vt:i4>1</vt:i4>
      </vt:variant>
    </vt:vector>
  </HeadingPairs>
  <TitlesOfParts>
    <vt:vector size="1" baseType="lpstr">
      <vt:lpstr>Individuo, sfera pubblica e giustizia amministrativa - versione revisionata pulita</vt:lpstr>
    </vt:vector>
  </TitlesOfParts>
  <Company/>
  <LinksUpToDate>false</LinksUpToDate>
  <CharactersWithSpaces>63812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Individuo, sfera pubblica e giustizia amministrativa - versione revisionata pulita</dc:title>
  <dc:subject>Proposta di revisione editoriale</dc:subject>
  <dc:creator>COZZOLI Pamela</dc:creator>
  <cp:keywords/>
  <dc:description/>
  <cp:lastModifiedBy>COZZOLI Pamela</cp:lastModifiedBy>
  <cp:revision>3</cp:revision>
  <dcterms:created xsi:type="dcterms:W3CDTF">2026-09-01T07:37:00Z</dcterms:created>
  <dcterms:modified xsi:type="dcterms:W3CDTF">2026-09-03T08:59:00Z</dcterms:modified>
</cp:coreProperties>
</file>