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9CA2F9" w14:textId="6D4686D5" w:rsidR="00627D7F" w:rsidRPr="00627D7F" w:rsidRDefault="00627D7F" w:rsidP="00627D7F">
      <w:pPr>
        <w:spacing w:after="240" w:line="288" w:lineRule="auto"/>
        <w:jc w:val="center"/>
        <w:rPr>
          <w:b/>
          <w:bCs/>
          <w:smallCaps/>
          <w:sz w:val="32"/>
          <w:szCs w:val="32"/>
        </w:rPr>
      </w:pPr>
      <w:r w:rsidRPr="00627D7F">
        <w:rPr>
          <w:b/>
          <w:bCs/>
          <w:smallCaps/>
          <w:sz w:val="32"/>
          <w:szCs w:val="32"/>
        </w:rPr>
        <w:t>Andrea Carbone</w:t>
      </w:r>
    </w:p>
    <w:p w14:paraId="42E0BD82" w14:textId="33ACBB5D" w:rsidR="001B64D1" w:rsidRDefault="00ED34CB" w:rsidP="00BE37BE">
      <w:pPr>
        <w:spacing w:line="288" w:lineRule="auto"/>
        <w:jc w:val="center"/>
        <w:rPr>
          <w:b/>
          <w:bCs/>
          <w:sz w:val="32"/>
          <w:szCs w:val="32"/>
        </w:rPr>
      </w:pPr>
      <w:r w:rsidRPr="00BE37BE">
        <w:rPr>
          <w:b/>
          <w:bCs/>
          <w:sz w:val="32"/>
          <w:szCs w:val="32"/>
        </w:rPr>
        <w:t>La situazione giuridica sostanziale quale oggetto del processo amministrativo</w:t>
      </w:r>
      <w:r w:rsidR="00675DA0">
        <w:rPr>
          <w:rStyle w:val="Rimandonotaapidipagina"/>
          <w:b/>
          <w:bCs/>
          <w:sz w:val="32"/>
          <w:szCs w:val="32"/>
        </w:rPr>
        <w:footnoteReference w:customMarkFollows="1" w:id="1"/>
        <w:t>*</w:t>
      </w:r>
    </w:p>
    <w:p w14:paraId="6E19BE4E" w14:textId="77777777" w:rsidR="00BE37BE" w:rsidRDefault="00BE37BE" w:rsidP="00ED34CB">
      <w:pPr>
        <w:spacing w:line="288" w:lineRule="auto"/>
      </w:pPr>
    </w:p>
    <w:p w14:paraId="73BA4BA3" w14:textId="77777777" w:rsidR="00906669" w:rsidRDefault="00906669" w:rsidP="00ED34CB">
      <w:pPr>
        <w:spacing w:line="288" w:lineRule="auto"/>
      </w:pPr>
    </w:p>
    <w:p w14:paraId="73FAC92D" w14:textId="77777777" w:rsidR="00BE37BE" w:rsidRDefault="00BE37BE" w:rsidP="00BE37BE">
      <w:pPr>
        <w:spacing w:line="288" w:lineRule="auto"/>
      </w:pPr>
    </w:p>
    <w:p w14:paraId="3361043D" w14:textId="3A9731F5" w:rsidR="00ED34CB" w:rsidRDefault="003216C7" w:rsidP="00BE37BE">
      <w:pPr>
        <w:spacing w:line="288" w:lineRule="auto"/>
      </w:pPr>
      <w:r>
        <w:t xml:space="preserve">1. È considerazione tutto sommato comune che, </w:t>
      </w:r>
      <w:r w:rsidR="00C83B64">
        <w:t>dopo</w:t>
      </w:r>
      <w:r w:rsidR="00ED34CB">
        <w:t xml:space="preserve"> i fervori iniziali, al</w:t>
      </w:r>
      <w:r w:rsidR="0005610D">
        <w:t>l’introduzione del</w:t>
      </w:r>
      <w:r w:rsidR="00ED34CB">
        <w:t xml:space="preserve"> Codice non è corrisposto un discostamento dall’interpretazione precedente. Non si è riusci</w:t>
      </w:r>
      <w:r w:rsidR="00A96F52">
        <w:t>ti, cioè, ad attuare il ruolo</w:t>
      </w:r>
      <w:r w:rsidR="00ED34CB">
        <w:t xml:space="preserve"> strumentale che dovrebbe essere proprio del processo, quale delineato dall’art. 24 Cost. Questa norma, </w:t>
      </w:r>
      <w:r w:rsidR="008E1F56">
        <w:t>come</w:t>
      </w:r>
      <w:r w:rsidR="00ED34CB">
        <w:t xml:space="preserve"> del resto anche l’art. 7 c.p.a., </w:t>
      </w:r>
      <w:r w:rsidR="00745506">
        <w:t>porta infatti con sé l’affermazione</w:t>
      </w:r>
      <w:r w:rsidR="00ED34CB">
        <w:t xml:space="preserve"> che oggetto della tutela (e, quindi, del giudizio) de</w:t>
      </w:r>
      <w:r w:rsidR="00745506">
        <w:t>bba</w:t>
      </w:r>
      <w:r w:rsidR="00ED34CB">
        <w:t xml:space="preserve"> essere </w:t>
      </w:r>
      <w:r w:rsidR="00C83B64">
        <w:t>la situazione sostanziale del cittadino, corrispondente</w:t>
      </w:r>
      <w:r w:rsidR="00C83B64" w:rsidRPr="00C83B64">
        <w:t xml:space="preserve"> </w:t>
      </w:r>
      <w:r w:rsidR="00C83B64">
        <w:t>essenzialmente, nei rapporti di diritto amministrativo, al</w:t>
      </w:r>
      <w:r w:rsidR="00ED34CB">
        <w:t>l’interesse legittimo.</w:t>
      </w:r>
      <w:r w:rsidR="00C83B64">
        <w:t xml:space="preserve"> Tale non è, tuttavia, la rappresentazione che trova attualmente riscontro</w:t>
      </w:r>
      <w:r w:rsidR="00A71172">
        <w:t>.</w:t>
      </w:r>
    </w:p>
    <w:p w14:paraId="5895EE97" w14:textId="77777777" w:rsidR="00030CB2" w:rsidRDefault="00030CB2" w:rsidP="00ED34CB">
      <w:pPr>
        <w:spacing w:line="288" w:lineRule="auto"/>
      </w:pPr>
    </w:p>
    <w:p w14:paraId="40ADBF4C" w14:textId="45053A46" w:rsidR="008E1F56" w:rsidRDefault="00721AAA" w:rsidP="00ED34CB">
      <w:pPr>
        <w:spacing w:line="288" w:lineRule="auto"/>
      </w:pPr>
      <w:r>
        <w:t xml:space="preserve">1.1 </w:t>
      </w:r>
      <w:r w:rsidR="00C83B64">
        <w:t>In proposito</w:t>
      </w:r>
      <w:r w:rsidR="00745506">
        <w:t xml:space="preserve">, </w:t>
      </w:r>
      <w:r w:rsidR="00C83B64">
        <w:t>va</w:t>
      </w:r>
      <w:r w:rsidR="00745506">
        <w:t xml:space="preserve"> ten</w:t>
      </w:r>
      <w:r w:rsidR="00C83B64">
        <w:t>uto</w:t>
      </w:r>
      <w:r w:rsidR="00745506">
        <w:t xml:space="preserve"> presente come i</w:t>
      </w:r>
      <w:r w:rsidR="00ED34CB">
        <w:t>l diritto processuale insegn</w:t>
      </w:r>
      <w:r w:rsidR="00745506">
        <w:t>i</w:t>
      </w:r>
      <w:r w:rsidR="00ED34CB">
        <w:t xml:space="preserve"> che, sotto un profilo logico, oggetto di un processo di</w:t>
      </w:r>
      <w:r w:rsidR="008E1F56">
        <w:t>chiarativo</w:t>
      </w:r>
      <w:r w:rsidR="00ED34CB">
        <w:t xml:space="preserve"> può essere</w:t>
      </w:r>
      <w:r w:rsidR="00F458C4">
        <w:t xml:space="preserve"> </w:t>
      </w:r>
      <w:r w:rsidR="00BE37BE">
        <w:t xml:space="preserve">indifferentemente </w:t>
      </w:r>
      <w:r w:rsidR="00F458C4">
        <w:t>la sussistenza di un fatto, una questione giuridica, o un’intera situazione giuridica soggettiva</w:t>
      </w:r>
      <w:r w:rsidR="005F3419">
        <w:rPr>
          <w:rStyle w:val="Rimandonotaapidipagina"/>
        </w:rPr>
        <w:footnoteReference w:id="2"/>
      </w:r>
      <w:r w:rsidR="00F458C4">
        <w:t>. Sotto il profilo del diritto positivo</w:t>
      </w:r>
      <w:r w:rsidR="00BE37BE">
        <w:t>,</w:t>
      </w:r>
      <w:r w:rsidR="00F458C4">
        <w:t xml:space="preserve"> si ritiene </w:t>
      </w:r>
      <w:r w:rsidR="00241B9F">
        <w:t>invece</w:t>
      </w:r>
      <w:r w:rsidR="008E1F56">
        <w:t xml:space="preserve"> </w:t>
      </w:r>
      <w:r w:rsidR="00F458C4">
        <w:t xml:space="preserve">che, salvi i casi </w:t>
      </w:r>
      <w:r w:rsidR="000C671A">
        <w:t xml:space="preserve">normativamente </w:t>
      </w:r>
      <w:r w:rsidR="00F458C4">
        <w:t xml:space="preserve">previsti (ad es., querela di falso), </w:t>
      </w:r>
      <w:r w:rsidR="00BE37BE">
        <w:t>l’</w:t>
      </w:r>
      <w:r w:rsidR="00F458C4">
        <w:t>oggetto del giudizio de</w:t>
      </w:r>
      <w:r w:rsidR="00BE37BE">
        <w:t>bba</w:t>
      </w:r>
      <w:r w:rsidR="00F458C4">
        <w:t xml:space="preserve"> essere </w:t>
      </w:r>
      <w:r w:rsidR="00E9567D">
        <w:t xml:space="preserve">necessariamente </w:t>
      </w:r>
      <w:r w:rsidR="00F458C4">
        <w:t>una situazione giuridica soggettiva</w:t>
      </w:r>
      <w:r w:rsidR="00E9567D">
        <w:t xml:space="preserve"> in sé considerata</w:t>
      </w:r>
      <w:r w:rsidR="00BE37BE">
        <w:rPr>
          <w:rStyle w:val="Rimandonotaapidipagina"/>
        </w:rPr>
        <w:footnoteReference w:id="3"/>
      </w:r>
      <w:r w:rsidR="00F458C4">
        <w:t>.</w:t>
      </w:r>
    </w:p>
    <w:p w14:paraId="24E78953" w14:textId="106B0804" w:rsidR="00ED34CB" w:rsidRDefault="008D7320" w:rsidP="00ED34CB">
      <w:pPr>
        <w:spacing w:line="288" w:lineRule="auto"/>
      </w:pPr>
      <w:r>
        <w:t xml:space="preserve">La </w:t>
      </w:r>
      <w:r w:rsidR="00BE37BE">
        <w:t xml:space="preserve">forma di </w:t>
      </w:r>
      <w:r>
        <w:t>tutela</w:t>
      </w:r>
      <w:r w:rsidR="008E1F56">
        <w:t xml:space="preserve">, rispetto a detta situazione, si delinea </w:t>
      </w:r>
      <w:r>
        <w:t xml:space="preserve">poi </w:t>
      </w:r>
      <w:r w:rsidR="008E1F56">
        <w:t xml:space="preserve">nel senso </w:t>
      </w:r>
      <w:r>
        <w:t>di mero accertamento, costitutiva o di condanna</w:t>
      </w:r>
      <w:r w:rsidR="008E1F56">
        <w:t>, a</w:t>
      </w:r>
      <w:r>
        <w:t xml:space="preserve"> seconda della </w:t>
      </w:r>
      <w:r w:rsidR="008E1F56">
        <w:t xml:space="preserve">tipologia di </w:t>
      </w:r>
      <w:r>
        <w:t>lesione subita</w:t>
      </w:r>
      <w:r w:rsidR="008E1F56">
        <w:rPr>
          <w:rStyle w:val="Rimandonotaapidipagina"/>
        </w:rPr>
        <w:footnoteReference w:id="4"/>
      </w:r>
      <w:r w:rsidR="008E1F56">
        <w:t xml:space="preserve">. In particolare, </w:t>
      </w:r>
      <w:r>
        <w:t>nell</w:t>
      </w:r>
      <w:r w:rsidR="008E1F56">
        <w:t>’ipotesi della</w:t>
      </w:r>
      <w:r>
        <w:t xml:space="preserve"> condanna, </w:t>
      </w:r>
      <w:r w:rsidR="008E1F56">
        <w:t>la le</w:t>
      </w:r>
      <w:r w:rsidR="000C671A">
        <w:t>s</w:t>
      </w:r>
      <w:r w:rsidR="008E1F56">
        <w:t>ione corrisponde ad un inadempimento, cioè a</w:t>
      </w:r>
      <w:r>
        <w:t xml:space="preserve">l mancato </w:t>
      </w:r>
      <w:r w:rsidR="00A96F52">
        <w:t xml:space="preserve">svolgimento del </w:t>
      </w:r>
      <w:r>
        <w:t>comportamento doveroso</w:t>
      </w:r>
      <w:r w:rsidR="008E1F56">
        <w:rPr>
          <w:rStyle w:val="Rimandonotaapidipagina"/>
        </w:rPr>
        <w:footnoteReference w:id="5"/>
      </w:r>
      <w:r>
        <w:t>.</w:t>
      </w:r>
    </w:p>
    <w:p w14:paraId="0F2F64D3" w14:textId="77777777" w:rsidR="00030CB2" w:rsidRDefault="00030CB2" w:rsidP="00ED34CB">
      <w:pPr>
        <w:spacing w:line="288" w:lineRule="auto"/>
      </w:pPr>
    </w:p>
    <w:p w14:paraId="2693C55C" w14:textId="3D14C5FB" w:rsidR="00E9567D" w:rsidRDefault="00721AAA" w:rsidP="00ED34CB">
      <w:pPr>
        <w:spacing w:line="288" w:lineRule="auto"/>
      </w:pPr>
      <w:r>
        <w:t xml:space="preserve">1.2 </w:t>
      </w:r>
      <w:r w:rsidR="00F458C4">
        <w:t xml:space="preserve">Nel processo amministrativo l’interesse legittimo non è </w:t>
      </w:r>
      <w:r w:rsidR="00BE37BE">
        <w:t xml:space="preserve">però </w:t>
      </w:r>
      <w:r w:rsidR="00F458C4">
        <w:t xml:space="preserve">oggetto del giudizio. Tale situazione, nella sua </w:t>
      </w:r>
      <w:r w:rsidR="00C83B64">
        <w:t>rappresentazione</w:t>
      </w:r>
      <w:r w:rsidR="00F458C4">
        <w:t xml:space="preserve"> </w:t>
      </w:r>
      <w:r w:rsidR="00A96F52">
        <w:t xml:space="preserve">che potremmo definire </w:t>
      </w:r>
      <w:r w:rsidR="00F458C4">
        <w:t xml:space="preserve">‘standard’, propone un interesse ad una particolare utilità sostanziale (vittoria di un concorso, </w:t>
      </w:r>
      <w:r w:rsidR="00A96F52">
        <w:t>rilascio</w:t>
      </w:r>
      <w:r w:rsidR="00F458C4">
        <w:t xml:space="preserve"> di un’autorizzazione, </w:t>
      </w:r>
      <w:r w:rsidR="00271FEF">
        <w:t xml:space="preserve">mancata espropriazione o sanzione, </w:t>
      </w:r>
      <w:r w:rsidR="00F458C4">
        <w:t>ecc.), tutelato dall’ordinamento, ma non garantito nella sua soddisfazione</w:t>
      </w:r>
      <w:r w:rsidR="00BE37BE">
        <w:rPr>
          <w:rStyle w:val="Rimandonotaapidipagina"/>
        </w:rPr>
        <w:footnoteReference w:id="6"/>
      </w:r>
      <w:r w:rsidR="00F458C4">
        <w:t>.</w:t>
      </w:r>
    </w:p>
    <w:p w14:paraId="54A0DE06" w14:textId="74C4378B" w:rsidR="00F458C4" w:rsidRDefault="00F458C4" w:rsidP="00ED34CB">
      <w:pPr>
        <w:spacing w:line="288" w:lineRule="auto"/>
      </w:pPr>
      <w:r>
        <w:lastRenderedPageBreak/>
        <w:t xml:space="preserve">Nell’ambito del processo amministrativo, </w:t>
      </w:r>
      <w:r w:rsidR="00A96F52">
        <w:t>la sussistenza di tale interesse</w:t>
      </w:r>
      <w:r>
        <w:t xml:space="preserve"> non delinea l’oggetto del processo, ma corrisponde ad un presupposto processuale (legittimazione, o anche interesse a ricorrere</w:t>
      </w:r>
      <w:r w:rsidR="00C83B64">
        <w:t>,</w:t>
      </w:r>
      <w:r>
        <w:t xml:space="preserve"> </w:t>
      </w:r>
      <w:r w:rsidR="00745506">
        <w:t>a seconda de</w:t>
      </w:r>
      <w:r w:rsidR="00C83B64">
        <w:t>i termini presi in considerazione</w:t>
      </w:r>
      <w:r>
        <w:t>)</w:t>
      </w:r>
      <w:r w:rsidR="00BE37BE">
        <w:rPr>
          <w:rStyle w:val="Rimandonotaapidipagina"/>
        </w:rPr>
        <w:footnoteReference w:id="7"/>
      </w:r>
      <w:r>
        <w:t>.</w:t>
      </w:r>
    </w:p>
    <w:p w14:paraId="51F73D08" w14:textId="38B2A026" w:rsidR="00F458C4" w:rsidRDefault="00F458C4" w:rsidP="00ED34CB">
      <w:pPr>
        <w:spacing w:line="288" w:lineRule="auto"/>
      </w:pPr>
      <w:r>
        <w:t>L’oggetto del giudizio è individuato</w:t>
      </w:r>
      <w:r w:rsidR="00A96F52">
        <w:t xml:space="preserve"> invece</w:t>
      </w:r>
      <w:r>
        <w:t xml:space="preserve"> ne</w:t>
      </w:r>
      <w:r w:rsidR="001110FA">
        <w:t>i motivi di annullamento dell’atto</w:t>
      </w:r>
      <w:r w:rsidR="00BE37BE">
        <w:rPr>
          <w:rStyle w:val="Rimandonotaapidipagina"/>
        </w:rPr>
        <w:footnoteReference w:id="8"/>
      </w:r>
      <w:r w:rsidR="001110FA">
        <w:t>. Quindi, questioni giuridiche singole, su cui si appunta l’accertamento, e la conseguente portata precettiva della sentenza.</w:t>
      </w:r>
    </w:p>
    <w:p w14:paraId="6AE6158C" w14:textId="2BD5D774" w:rsidR="001110FA" w:rsidRDefault="001110FA" w:rsidP="00ED34CB">
      <w:pPr>
        <w:spacing w:line="288" w:lineRule="auto"/>
      </w:pPr>
      <w:r>
        <w:t xml:space="preserve">Di fatto, </w:t>
      </w:r>
      <w:r w:rsidR="00BE37BE">
        <w:t xml:space="preserve">in questo modo, </w:t>
      </w:r>
      <w:r>
        <w:t>si riconosce che la situazione che si rapporta con il potere, l’interesse legittimo, ha rilevanza soltanto processuale</w:t>
      </w:r>
      <w:r w:rsidR="00BE37BE">
        <w:t xml:space="preserve">. È vero che molto spesso </w:t>
      </w:r>
      <w:r w:rsidR="00C83B64">
        <w:t>vengono</w:t>
      </w:r>
      <w:r w:rsidR="00BE37BE">
        <w:t xml:space="preserve"> ascritte all’interesse legittimo situazioni giuridiche di carattere procedimentale</w:t>
      </w:r>
      <w:r w:rsidR="00030CB2">
        <w:rPr>
          <w:rStyle w:val="Rimandonotaapidipagina"/>
        </w:rPr>
        <w:footnoteReference w:id="9"/>
      </w:r>
      <w:r w:rsidR="00BE37BE">
        <w:t xml:space="preserve">, ma </w:t>
      </w:r>
      <w:r w:rsidR="00C83B64">
        <w:t>tale</w:t>
      </w:r>
      <w:r w:rsidR="00BE37BE">
        <w:t xml:space="preserve"> profilo non risulta decisivo: </w:t>
      </w:r>
      <w:r>
        <w:t xml:space="preserve">la partecipazione al procedimento individua situazioni diverse, la cui soddisfazione non comporta </w:t>
      </w:r>
      <w:r w:rsidR="001C25BE">
        <w:t xml:space="preserve">anche la soddisfazione </w:t>
      </w:r>
      <w:r>
        <w:t>dell’interesse sostanziale.</w:t>
      </w:r>
      <w:r w:rsidR="00030CB2">
        <w:t xml:space="preserve"> L’interesso legittimo, per come situazione collegata ad un’utilità sostanziale che si confronta con il potere, </w:t>
      </w:r>
      <w:r w:rsidR="008E1F56">
        <w:t>rimane invece sullo sfondo</w:t>
      </w:r>
      <w:r w:rsidR="001C25BE">
        <w:t>: esso r</w:t>
      </w:r>
      <w:r w:rsidR="00C83B64">
        <w:t>esta appuntato</w:t>
      </w:r>
      <w:r w:rsidR="008E1F56">
        <w:t xml:space="preserve">, cioè, </w:t>
      </w:r>
      <w:r w:rsidR="00E9567D">
        <w:t>ad</w:t>
      </w:r>
      <w:r w:rsidR="00C83B64">
        <w:t xml:space="preserve"> un</w:t>
      </w:r>
      <w:r w:rsidR="008E1F56">
        <w:t xml:space="preserve"> ruolo di </w:t>
      </w:r>
      <w:r w:rsidR="008E1F56" w:rsidRPr="001C25BE">
        <w:rPr>
          <w:i/>
          <w:iCs/>
        </w:rPr>
        <w:t>accesso</w:t>
      </w:r>
      <w:r w:rsidR="008E1F56">
        <w:t xml:space="preserve"> alla tutela rispetto alla</w:t>
      </w:r>
      <w:r w:rsidR="001C25BE">
        <w:t xml:space="preserve"> verifica della</w:t>
      </w:r>
      <w:r w:rsidR="008E1F56">
        <w:t xml:space="preserve"> legittimità dell’atto, che </w:t>
      </w:r>
      <w:r w:rsidR="00D70EE7">
        <w:t>d</w:t>
      </w:r>
      <w:r w:rsidR="00C83B64">
        <w:t xml:space="preserve">ella </w:t>
      </w:r>
      <w:r w:rsidR="00D70EE7">
        <w:t>tutela</w:t>
      </w:r>
      <w:r w:rsidR="00E9567D">
        <w:t xml:space="preserve"> stessa</w:t>
      </w:r>
      <w:r w:rsidR="00D70EE7">
        <w:t xml:space="preserve"> </w:t>
      </w:r>
      <w:r w:rsidR="008E1F56">
        <w:t>continuerebbe a rappresentar</w:t>
      </w:r>
      <w:r w:rsidR="00D70EE7">
        <w:t>e</w:t>
      </w:r>
      <w:r w:rsidR="008E1F56">
        <w:t xml:space="preserve"> l’oggetto.</w:t>
      </w:r>
    </w:p>
    <w:p w14:paraId="190457A1" w14:textId="77777777" w:rsidR="00030CB2" w:rsidRDefault="00030CB2" w:rsidP="00ED34CB">
      <w:pPr>
        <w:spacing w:line="288" w:lineRule="auto"/>
      </w:pPr>
    </w:p>
    <w:p w14:paraId="1332E68D" w14:textId="3D31BDDB" w:rsidR="00F869CE" w:rsidRDefault="00E85861" w:rsidP="00ED34CB">
      <w:pPr>
        <w:spacing w:line="288" w:lineRule="auto"/>
      </w:pPr>
      <w:r>
        <w:t>1.</w:t>
      </w:r>
      <w:r w:rsidR="00721AAA">
        <w:t>2.1</w:t>
      </w:r>
      <w:r>
        <w:t xml:space="preserve"> </w:t>
      </w:r>
      <w:r w:rsidR="001110FA">
        <w:t xml:space="preserve">L’elaborazione processualistica ci consente di inquadrare in maniera più precisa </w:t>
      </w:r>
      <w:r w:rsidR="00E9567D">
        <w:t>tale scenario</w:t>
      </w:r>
      <w:r w:rsidR="001110FA">
        <w:t>.</w:t>
      </w:r>
    </w:p>
    <w:p w14:paraId="30F5C560" w14:textId="3C6208D8" w:rsidR="00030CB2" w:rsidRDefault="001110FA" w:rsidP="00ED34CB">
      <w:pPr>
        <w:spacing w:line="288" w:lineRule="auto"/>
      </w:pPr>
      <w:r>
        <w:t>La dottrina processual</w:t>
      </w:r>
      <w:r w:rsidR="00F72D80">
        <w:t>civil</w:t>
      </w:r>
      <w:r>
        <w:t xml:space="preserve">istica riconosce </w:t>
      </w:r>
      <w:r w:rsidR="00E9567D">
        <w:t xml:space="preserve">in proposito </w:t>
      </w:r>
      <w:r>
        <w:t>che, qualora manchi una situazione sostanziale da porre ad oggetto del giudizio, quest’ultimo è rappresentato da una situazione di carattere processuale, il diritto nei confronti del giudice ad ottenere la tutela richiesta</w:t>
      </w:r>
      <w:r w:rsidR="00C83B64">
        <w:t xml:space="preserve"> (</w:t>
      </w:r>
      <w:r>
        <w:t>l’</w:t>
      </w:r>
      <w:r w:rsidRPr="000D4C58">
        <w:rPr>
          <w:i/>
          <w:iCs/>
        </w:rPr>
        <w:t>azione concreta</w:t>
      </w:r>
      <w:r w:rsidR="00C83B64">
        <w:t>)</w:t>
      </w:r>
      <w:r w:rsidR="00030CB2">
        <w:rPr>
          <w:rStyle w:val="Rimandonotaapidipagina"/>
        </w:rPr>
        <w:footnoteReference w:id="10"/>
      </w:r>
      <w:r>
        <w:t>.</w:t>
      </w:r>
    </w:p>
    <w:p w14:paraId="0F8DFF3B" w14:textId="16A3998F" w:rsidR="00F869CE" w:rsidRDefault="001110FA" w:rsidP="00ED34CB">
      <w:pPr>
        <w:spacing w:line="288" w:lineRule="auto"/>
      </w:pPr>
      <w:r>
        <w:t xml:space="preserve">L’oggetto del giudizio amministrativo sarebbe allora l’azione concreta di annullamento, sulla base dei motivi che diventano rilevanti ai fini della portata precettiva della decisione. Questa era, del resto, anche la soluzione che </w:t>
      </w:r>
      <w:r w:rsidR="001C25BE">
        <w:t xml:space="preserve">aveva </w:t>
      </w:r>
      <w:r>
        <w:t>da</w:t>
      </w:r>
      <w:r w:rsidR="001C25BE">
        <w:t>to</w:t>
      </w:r>
      <w:r>
        <w:t xml:space="preserve"> la dottrina amministrativistica più atte</w:t>
      </w:r>
      <w:r w:rsidR="00A96F52">
        <w:t>nta a tali profili</w:t>
      </w:r>
      <w:r w:rsidR="00030CB2">
        <w:rPr>
          <w:rStyle w:val="Rimandonotaapidipagina"/>
        </w:rPr>
        <w:footnoteReference w:id="11"/>
      </w:r>
      <w:r>
        <w:t>.</w:t>
      </w:r>
    </w:p>
    <w:p w14:paraId="782D0B01" w14:textId="1D46AE43" w:rsidR="001110FA" w:rsidRDefault="001110FA" w:rsidP="00ED34CB">
      <w:pPr>
        <w:spacing w:line="288" w:lineRule="auto"/>
      </w:pPr>
      <w:r>
        <w:t>L’interesse legittimo</w:t>
      </w:r>
      <w:r w:rsidR="00F869CE">
        <w:t xml:space="preserve"> </w:t>
      </w:r>
      <w:r w:rsidR="00E85861">
        <w:t>consisterebbe</w:t>
      </w:r>
      <w:r w:rsidR="00F869CE" w:rsidRPr="00F869CE">
        <w:t xml:space="preserve"> </w:t>
      </w:r>
      <w:r w:rsidR="00F869CE">
        <w:t>quindi</w:t>
      </w:r>
      <w:r w:rsidR="00030CB2">
        <w:t xml:space="preserve">, </w:t>
      </w:r>
      <w:r>
        <w:t xml:space="preserve">al più, </w:t>
      </w:r>
      <w:r w:rsidR="00E85861">
        <w:t xml:space="preserve">in </w:t>
      </w:r>
      <w:r w:rsidR="00030CB2">
        <w:t xml:space="preserve">una </w:t>
      </w:r>
      <w:r>
        <w:t xml:space="preserve">situazione di carattere processuale, </w:t>
      </w:r>
      <w:r w:rsidR="00E924E7">
        <w:t xml:space="preserve">coincidente con il diritto all’annullamento dell’atto illegittimo, </w:t>
      </w:r>
      <w:r>
        <w:t>che in quanto tale può essere</w:t>
      </w:r>
      <w:r w:rsidR="00030CB2">
        <w:t xml:space="preserve"> </w:t>
      </w:r>
      <w:r>
        <w:t xml:space="preserve">oggetto </w:t>
      </w:r>
      <w:r>
        <w:lastRenderedPageBreak/>
        <w:t>del giudizio</w:t>
      </w:r>
      <w:r w:rsidR="00DB6915">
        <w:t xml:space="preserve"> nella maniera </w:t>
      </w:r>
      <w:r w:rsidR="00C03E7A">
        <w:t>descritta</w:t>
      </w:r>
      <w:r w:rsidR="001C25BE">
        <w:rPr>
          <w:rStyle w:val="Rimandonotaapidipagina"/>
        </w:rPr>
        <w:footnoteReference w:id="12"/>
      </w:r>
      <w:r w:rsidR="00DB6915">
        <w:t>;</w:t>
      </w:r>
      <w:r>
        <w:t xml:space="preserve"> ma non individu</w:t>
      </w:r>
      <w:r w:rsidR="00C83B64">
        <w:t>erebbe</w:t>
      </w:r>
      <w:r w:rsidR="0005610D">
        <w:t xml:space="preserve"> </w:t>
      </w:r>
      <w:r>
        <w:t>una situazione di carattere sostanziale contenente, in sé, la corrispondente regolamentazione della posizione del soggetto rispetto al potere.</w:t>
      </w:r>
    </w:p>
    <w:p w14:paraId="730C1168" w14:textId="77777777" w:rsidR="001110FA" w:rsidRDefault="001110FA" w:rsidP="00ED34CB">
      <w:pPr>
        <w:spacing w:line="288" w:lineRule="auto"/>
      </w:pPr>
    </w:p>
    <w:p w14:paraId="0A769A81" w14:textId="2F814E34" w:rsidR="00030CB2" w:rsidRDefault="003216C7" w:rsidP="00ED34CB">
      <w:pPr>
        <w:spacing w:line="288" w:lineRule="auto"/>
      </w:pPr>
      <w:r>
        <w:t xml:space="preserve">2. </w:t>
      </w:r>
      <w:r w:rsidR="001110FA">
        <w:t>È da chiedersi se questa impostazione possa dirsi attualmente corretta.</w:t>
      </w:r>
    </w:p>
    <w:p w14:paraId="3283DFFC" w14:textId="7F64FC5F" w:rsidR="00030CB2" w:rsidRDefault="001110FA" w:rsidP="00ED34CB">
      <w:pPr>
        <w:spacing w:line="288" w:lineRule="auto"/>
      </w:pPr>
      <w:r>
        <w:t xml:space="preserve">Sotto il profilo sostanziale, il </w:t>
      </w:r>
      <w:r w:rsidR="003C0F40">
        <w:t xml:space="preserve">contenuto </w:t>
      </w:r>
      <w:r w:rsidR="00E776B0">
        <w:t xml:space="preserve">appunto </w:t>
      </w:r>
      <w:r w:rsidR="001C25BE">
        <w:t>sostanziali</w:t>
      </w:r>
      <w:r w:rsidR="00DB6915">
        <w:t>stico</w:t>
      </w:r>
      <w:r>
        <w:t xml:space="preserve"> della situazione giuridica</w:t>
      </w:r>
      <w:r w:rsidR="003C0F40">
        <w:t xml:space="preserve"> è, infatti, da tempo riconosciut</w:t>
      </w:r>
      <w:r w:rsidR="00DB6915">
        <w:t>o</w:t>
      </w:r>
      <w:r w:rsidR="003C0F40">
        <w:t xml:space="preserve"> </w:t>
      </w:r>
      <w:r w:rsidR="00FC290E">
        <w:t>in</w:t>
      </w:r>
      <w:r w:rsidR="00D70EE7">
        <w:t xml:space="preserve"> dottrina</w:t>
      </w:r>
      <w:r>
        <w:t xml:space="preserve"> </w:t>
      </w:r>
      <w:r w:rsidR="003759FD">
        <w:t xml:space="preserve">e </w:t>
      </w:r>
      <w:r w:rsidR="00D70EE7">
        <w:t>in giurisprudenza</w:t>
      </w:r>
      <w:r w:rsidR="00C83B64">
        <w:rPr>
          <w:rStyle w:val="Rimandonotaapidipagina"/>
        </w:rPr>
        <w:footnoteReference w:id="13"/>
      </w:r>
      <w:r w:rsidR="003C0F40">
        <w:t xml:space="preserve">. Non è </w:t>
      </w:r>
      <w:r w:rsidR="0022345A">
        <w:t xml:space="preserve">quindi </w:t>
      </w:r>
      <w:r w:rsidR="003C0F40">
        <w:t>un profilo che</w:t>
      </w:r>
      <w:r w:rsidR="00C83B64">
        <w:t xml:space="preserve">, in sé, </w:t>
      </w:r>
      <w:r w:rsidR="003C0F40">
        <w:t xml:space="preserve">è </w:t>
      </w:r>
      <w:r w:rsidR="00C83B64">
        <w:t>oggetto di discussione</w:t>
      </w:r>
      <w:r w:rsidR="003C0F40">
        <w:t xml:space="preserve">, </w:t>
      </w:r>
      <w:r w:rsidR="00BA735B">
        <w:t>almeno in via di principio</w:t>
      </w:r>
      <w:r w:rsidR="00030CB2">
        <w:t>.</w:t>
      </w:r>
      <w:r w:rsidR="00E776B0">
        <w:t xml:space="preserve"> </w:t>
      </w:r>
      <w:r w:rsidR="00055C73">
        <w:t xml:space="preserve">Più problematica </w:t>
      </w:r>
      <w:r w:rsidR="00E776B0">
        <w:t>risulta</w:t>
      </w:r>
      <w:r w:rsidR="001106F0">
        <w:t xml:space="preserve">, tuttavia, </w:t>
      </w:r>
      <w:r w:rsidR="00055C73">
        <w:t xml:space="preserve">la questione </w:t>
      </w:r>
      <w:r w:rsidR="0011106B">
        <w:t xml:space="preserve">inerente alla </w:t>
      </w:r>
      <w:r w:rsidR="00055C73">
        <w:t xml:space="preserve">sua configurazione quale situazione giuridica </w:t>
      </w:r>
      <w:r w:rsidR="00DF11C2" w:rsidRPr="00E776B0">
        <w:rPr>
          <w:i/>
          <w:iCs/>
        </w:rPr>
        <w:t xml:space="preserve">idonea ad essere </w:t>
      </w:r>
      <w:r w:rsidR="00055C73" w:rsidRPr="00E776B0">
        <w:rPr>
          <w:i/>
          <w:iCs/>
        </w:rPr>
        <w:t>po</w:t>
      </w:r>
      <w:r w:rsidR="00DF11C2" w:rsidRPr="00E776B0">
        <w:rPr>
          <w:i/>
          <w:iCs/>
        </w:rPr>
        <w:t>sta</w:t>
      </w:r>
      <w:r w:rsidR="00055C73" w:rsidRPr="00E776B0">
        <w:rPr>
          <w:i/>
          <w:iCs/>
        </w:rPr>
        <w:t xml:space="preserve"> ad oggetto del giudizio</w:t>
      </w:r>
      <w:r w:rsidR="00383A66">
        <w:t xml:space="preserve"> (</w:t>
      </w:r>
      <w:r w:rsidR="00791C3F">
        <w:t>di cui, ad ogni modo, non sono mancati i tentativi ricostruttivi</w:t>
      </w:r>
      <w:r w:rsidR="00383A66">
        <w:t>)</w:t>
      </w:r>
      <w:r w:rsidR="00383A66">
        <w:rPr>
          <w:rStyle w:val="Rimandonotaapidipagina"/>
        </w:rPr>
        <w:footnoteReference w:id="14"/>
      </w:r>
      <w:r w:rsidR="00055C73">
        <w:t xml:space="preserve">. </w:t>
      </w:r>
      <w:r w:rsidR="001106F0">
        <w:t>I</w:t>
      </w:r>
      <w:r w:rsidR="00055C73">
        <w:t xml:space="preserve">l valore sostanziale dell’interesse </w:t>
      </w:r>
      <w:r w:rsidR="00055C73">
        <w:lastRenderedPageBreak/>
        <w:t>legittimo, se ‘preso sul serio’</w:t>
      </w:r>
      <w:r w:rsidR="001106F0">
        <w:t>,</w:t>
      </w:r>
      <w:r w:rsidR="00055C73">
        <w:t xml:space="preserve"> </w:t>
      </w:r>
      <w:r w:rsidR="00E776B0">
        <w:t xml:space="preserve">dovrebbe </w:t>
      </w:r>
      <w:r w:rsidR="000D4C58">
        <w:t xml:space="preserve">però </w:t>
      </w:r>
      <w:r w:rsidR="00055C73">
        <w:t>port</w:t>
      </w:r>
      <w:r w:rsidR="00DF67BE">
        <w:t>a</w:t>
      </w:r>
      <w:r w:rsidR="00E776B0">
        <w:t>re</w:t>
      </w:r>
      <w:r w:rsidR="00055C73">
        <w:t xml:space="preserve"> necessariamente a </w:t>
      </w:r>
      <w:r w:rsidR="00DF67BE">
        <w:t>tale conseguenza</w:t>
      </w:r>
      <w:r w:rsidR="00055C73">
        <w:t>, ché, altrimenti, la tutela non potrebbe essere effettivamente incentrata sul contenuto</w:t>
      </w:r>
      <w:r w:rsidR="0022345A">
        <w:t xml:space="preserve"> materiale</w:t>
      </w:r>
      <w:r w:rsidR="00055C73">
        <w:t xml:space="preserve"> della situazione</w:t>
      </w:r>
      <w:r w:rsidR="0011106B">
        <w:t xml:space="preserve"> in questione</w:t>
      </w:r>
      <w:r w:rsidR="00055C73">
        <w:t xml:space="preserve">. </w:t>
      </w:r>
    </w:p>
    <w:p w14:paraId="3104C04A" w14:textId="7AA208E5" w:rsidR="001110FA" w:rsidRDefault="001110FA" w:rsidP="00ED34CB">
      <w:pPr>
        <w:spacing w:line="288" w:lineRule="auto"/>
      </w:pPr>
      <w:r>
        <w:t>Sotto il profilo</w:t>
      </w:r>
      <w:r w:rsidR="000D4C58">
        <w:t>,</w:t>
      </w:r>
      <w:r w:rsidR="000D4C58" w:rsidRPr="000D4C58">
        <w:t xml:space="preserve"> </w:t>
      </w:r>
      <w:r w:rsidR="000D4C58">
        <w:t>poi,</w:t>
      </w:r>
      <w:r>
        <w:t xml:space="preserve"> </w:t>
      </w:r>
      <w:r w:rsidR="00055C73">
        <w:t xml:space="preserve">squisitamente </w:t>
      </w:r>
      <w:r>
        <w:t xml:space="preserve">processuale, </w:t>
      </w:r>
      <w:r w:rsidR="00D70EE7">
        <w:t xml:space="preserve">il giudice amministrativo ha </w:t>
      </w:r>
      <w:r w:rsidR="00B2187D">
        <w:t>ottenuto</w:t>
      </w:r>
      <w:r w:rsidR="00D70EE7">
        <w:t xml:space="preserve"> la sanzione di giudice ordinario dell’interesse legittimo</w:t>
      </w:r>
      <w:r w:rsidR="00D70EE7">
        <w:rPr>
          <w:rStyle w:val="Rimandonotaapidipagina"/>
        </w:rPr>
        <w:footnoteReference w:id="15"/>
      </w:r>
      <w:r w:rsidR="00D70EE7">
        <w:t xml:space="preserve">. E </w:t>
      </w:r>
      <w:r>
        <w:t>la possibilità di rapportare compiutamente</w:t>
      </w:r>
      <w:r w:rsidR="005E2E51">
        <w:t xml:space="preserve"> tale situazione al processo, che prima mancava, </w:t>
      </w:r>
      <w:r w:rsidR="003C0F40">
        <w:t>ha</w:t>
      </w:r>
      <w:r w:rsidR="005E2E51">
        <w:t xml:space="preserve"> ricevuto riscontro con il Codice del processo amministrativo</w:t>
      </w:r>
      <w:r w:rsidR="00030CB2">
        <w:rPr>
          <w:rStyle w:val="Rimandonotaapidipagina"/>
        </w:rPr>
        <w:footnoteReference w:id="16"/>
      </w:r>
      <w:r w:rsidR="00EF5F10">
        <w:t>. A</w:t>
      </w:r>
      <w:r w:rsidR="00B43C50">
        <w:t xml:space="preserve">nzi, </w:t>
      </w:r>
      <w:r w:rsidR="0022345A">
        <w:t xml:space="preserve">questo </w:t>
      </w:r>
      <w:r w:rsidR="00B43C50">
        <w:t xml:space="preserve">dovrebbe essere stato </w:t>
      </w:r>
      <w:r w:rsidR="0022345A">
        <w:t>lo stesso scopo del Codice</w:t>
      </w:r>
      <w:r w:rsidR="00A06B7B">
        <w:t xml:space="preserve">, come si </w:t>
      </w:r>
      <w:r w:rsidR="00EF5F10">
        <w:t xml:space="preserve">evince dal suo art. 7, </w:t>
      </w:r>
      <w:r w:rsidR="00745506">
        <w:t xml:space="preserve">già richiamato, </w:t>
      </w:r>
      <w:r w:rsidR="00EF5F10">
        <w:t>che fa riferimento alle controversie aventi ad oggetto interessi legittimi</w:t>
      </w:r>
      <w:r w:rsidR="00170F1C">
        <w:rPr>
          <w:rStyle w:val="Rimandonotaapidipagina"/>
        </w:rPr>
        <w:footnoteReference w:id="17"/>
      </w:r>
      <w:r w:rsidR="00B43C50">
        <w:t>.</w:t>
      </w:r>
    </w:p>
    <w:p w14:paraId="2270663A" w14:textId="6ECA8C8B" w:rsidR="00E776B0" w:rsidRDefault="00867479" w:rsidP="00ED34CB">
      <w:pPr>
        <w:spacing w:line="288" w:lineRule="auto"/>
      </w:pPr>
      <w:r>
        <w:t xml:space="preserve">Lo scenario, quindi, sembra delineato </w:t>
      </w:r>
      <w:r w:rsidR="000D4C58">
        <w:t>in</w:t>
      </w:r>
      <w:r>
        <w:t xml:space="preserve"> senso preci</w:t>
      </w:r>
      <w:r w:rsidR="000D4C58">
        <w:t>pua</w:t>
      </w:r>
      <w:r>
        <w:t>mente opposto</w:t>
      </w:r>
      <w:r w:rsidR="00EF5F10">
        <w:t xml:space="preserve"> </w:t>
      </w:r>
      <w:r w:rsidR="000D4C58">
        <w:t xml:space="preserve">rispetto </w:t>
      </w:r>
      <w:r w:rsidR="00EF5F10">
        <w:t>a quello fatto proprio dalla considerazione (ancora) attuale del giudizio amministrativo</w:t>
      </w:r>
      <w:r>
        <w:t>. Nel senso, cioè, che l’interesse legittimo, quale situazione di carattere sostanziale, de</w:t>
      </w:r>
      <w:r w:rsidR="00EF5F10">
        <w:t>ve</w:t>
      </w:r>
      <w:r>
        <w:t xml:space="preserve"> essere configurato come oggetto della tutela, e quindi, corrispondentemente, </w:t>
      </w:r>
      <w:r w:rsidR="001D4FBE">
        <w:t xml:space="preserve">come oggetto </w:t>
      </w:r>
      <w:r>
        <w:t>del processo amministrativo.</w:t>
      </w:r>
    </w:p>
    <w:p w14:paraId="688789EB" w14:textId="1FE00331" w:rsidR="003C0F40" w:rsidRDefault="003C0F40" w:rsidP="00ED34CB">
      <w:pPr>
        <w:spacing w:line="288" w:lineRule="auto"/>
      </w:pPr>
      <w:r>
        <w:t>Si assiste così ad una discrasia tra ciò che è affermato in via di principio – il carattere sostanziale dell’interesse legittimo e la pienezza della sua tutela – e ciò che trova riscontro effettivo riscontro in concreto – un giudizio di annullamento il cui oggetto sono i vizi dell’atto. Tale discrasia, come tale, deve</w:t>
      </w:r>
      <w:r w:rsidR="00E776B0">
        <w:t xml:space="preserve"> poter</w:t>
      </w:r>
      <w:r>
        <w:t xml:space="preserve"> trovare ricomposizione.</w:t>
      </w:r>
    </w:p>
    <w:p w14:paraId="74CD18E8" w14:textId="77777777" w:rsidR="003E02B8" w:rsidRDefault="003E02B8" w:rsidP="00ED34CB">
      <w:pPr>
        <w:spacing w:line="288" w:lineRule="auto"/>
      </w:pPr>
    </w:p>
    <w:p w14:paraId="1E5193F4" w14:textId="66357505" w:rsidR="00B43C50" w:rsidRDefault="00E85861" w:rsidP="00ED34CB">
      <w:pPr>
        <w:spacing w:line="288" w:lineRule="auto"/>
      </w:pPr>
      <w:r>
        <w:t xml:space="preserve">2.1 </w:t>
      </w:r>
      <w:r w:rsidR="003E02B8">
        <w:t>Il presupposto logico da cui patire è quello di una declinazione teorico-concettuale della situazione giuridica che possa porsi in senso corrispondente a quanto sin qui considerato.</w:t>
      </w:r>
    </w:p>
    <w:p w14:paraId="1EB412C0" w14:textId="425219CE" w:rsidR="00030CB2" w:rsidRDefault="001F6EE8" w:rsidP="00ED34CB">
      <w:pPr>
        <w:spacing w:line="288" w:lineRule="auto"/>
      </w:pPr>
      <w:r>
        <w:t>Ora, l</w:t>
      </w:r>
      <w:r w:rsidR="00B43C50">
        <w:t>a teoria generale ha consentito di concepire il potere non come mera attribuzione o capacità, come, cioè, mera possibilità giuridica dell’effetto, ma come situazione giuridica in senso stretto; intesa, quest’ultima, come l’intera regolamentazione normativa della posizione del soggetto rispetto all’adozione di un atto precettivo</w:t>
      </w:r>
      <w:r w:rsidR="00F869CE">
        <w:rPr>
          <w:rStyle w:val="Rimandonotaapidipagina"/>
        </w:rPr>
        <w:footnoteReference w:id="18"/>
      </w:r>
      <w:r w:rsidR="00B43C50">
        <w:t>.</w:t>
      </w:r>
    </w:p>
    <w:p w14:paraId="0709B8FA" w14:textId="1940E57F" w:rsidR="00030CB2" w:rsidRDefault="00B43C50" w:rsidP="00ED34CB">
      <w:pPr>
        <w:spacing w:line="288" w:lineRule="auto"/>
      </w:pPr>
      <w:r>
        <w:lastRenderedPageBreak/>
        <w:t>Intes</w:t>
      </w:r>
      <w:r w:rsidR="003368C5">
        <w:t>o</w:t>
      </w:r>
      <w:r>
        <w:t xml:space="preserve"> in questo senso, il potere è una modalità deontica (facol</w:t>
      </w:r>
      <w:r w:rsidR="00A96F52">
        <w:t>tà o obbligo, positivo negativo</w:t>
      </w:r>
      <w:r>
        <w:t>) di un atto precettivo</w:t>
      </w:r>
      <w:r w:rsidR="00030CB2">
        <w:t>. Essa rappresenta, in altri termini,</w:t>
      </w:r>
      <w:r>
        <w:t xml:space="preserve"> l’estrinsecazione soggettiva rispetto alla doverosità</w:t>
      </w:r>
      <w:r w:rsidR="003368C5">
        <w:t xml:space="preserve"> o</w:t>
      </w:r>
      <w:r>
        <w:t xml:space="preserve"> facoltatività dell’atto precettivo nel caso concreto</w:t>
      </w:r>
      <w:r w:rsidR="00030CB2">
        <w:t xml:space="preserve">, sussistente se sussistono in fatto gli elementi della fattispecie normativa che integrano la necessità o la facoltà di porre in essere il relativo atto (se sono </w:t>
      </w:r>
      <w:r w:rsidR="00F869CE">
        <w:t>rispettate</w:t>
      </w:r>
      <w:r w:rsidR="00030CB2">
        <w:t>, cioè, le prescrizioni concernenti le norme sostanziali sulla produzione del relativo atto)</w:t>
      </w:r>
      <w:r w:rsidR="00030CB2">
        <w:rPr>
          <w:rStyle w:val="Rimandonotaapidipagina"/>
        </w:rPr>
        <w:footnoteReference w:id="19"/>
      </w:r>
      <w:r>
        <w:t>.</w:t>
      </w:r>
    </w:p>
    <w:p w14:paraId="3AA5AC8A" w14:textId="2BA4644B" w:rsidR="00B43C50" w:rsidRDefault="00B43C50" w:rsidP="00ED34CB">
      <w:pPr>
        <w:spacing w:line="288" w:lineRule="auto"/>
      </w:pPr>
      <w:r>
        <w:t xml:space="preserve">Rispetto ad una tale situazione, in relazione ai profili di doverosità, è possibile configurare, </w:t>
      </w:r>
      <w:r w:rsidR="003368C5">
        <w:t>in capo</w:t>
      </w:r>
      <w:r>
        <w:t xml:space="preserve"> a coloro</w:t>
      </w:r>
      <w:r w:rsidR="003368C5">
        <w:t xml:space="preserve"> </w:t>
      </w:r>
      <w:r>
        <w:t xml:space="preserve">i quali sono in una posizione normativamente rilevante, una corrispondente situazione di </w:t>
      </w:r>
      <w:r w:rsidRPr="00030CB2">
        <w:rPr>
          <w:i/>
          <w:iCs/>
        </w:rPr>
        <w:t>pretesa</w:t>
      </w:r>
      <w:r>
        <w:t>, intesa in senso proprio, quale garanzia giuridica alla soddisfazione di quanto è dovuto</w:t>
      </w:r>
      <w:r w:rsidR="00030CB2">
        <w:t xml:space="preserve"> (rapporto pretesa-obbligo)</w:t>
      </w:r>
      <w:r w:rsidR="00030CB2">
        <w:rPr>
          <w:rStyle w:val="Rimandonotaapidipagina"/>
        </w:rPr>
        <w:footnoteReference w:id="20"/>
      </w:r>
      <w:r>
        <w:t>.</w:t>
      </w:r>
    </w:p>
    <w:p w14:paraId="00D90D1E" w14:textId="77777777" w:rsidR="00B43C50" w:rsidRDefault="00B43C50" w:rsidP="00ED34CB">
      <w:pPr>
        <w:spacing w:line="288" w:lineRule="auto"/>
      </w:pPr>
    </w:p>
    <w:p w14:paraId="241787AD" w14:textId="719D3CCA" w:rsidR="002C13B6" w:rsidRDefault="00721AAA" w:rsidP="00ED34CB">
      <w:pPr>
        <w:spacing w:line="288" w:lineRule="auto"/>
      </w:pPr>
      <w:r>
        <w:t xml:space="preserve">2.2 </w:t>
      </w:r>
      <w:r w:rsidR="00B43C50">
        <w:t>Tale operazione</w:t>
      </w:r>
      <w:r w:rsidR="003E02B8">
        <w:t>, se parte dalla teoria generale,</w:t>
      </w:r>
      <w:r w:rsidR="00B43C50">
        <w:t xml:space="preserve"> non </w:t>
      </w:r>
      <w:r w:rsidR="00BB1194">
        <w:t>rappresenta</w:t>
      </w:r>
      <w:r w:rsidR="00B43C50">
        <w:t xml:space="preserve"> </w:t>
      </w:r>
      <w:r w:rsidR="003E02B8">
        <w:t xml:space="preserve">però </w:t>
      </w:r>
      <w:r w:rsidR="00BB1194">
        <w:t xml:space="preserve">un </w:t>
      </w:r>
      <w:r w:rsidR="00B43C50">
        <w:t xml:space="preserve">mero esercizio di logica giuridica. Attraverso di essa, </w:t>
      </w:r>
      <w:r w:rsidR="003E02B8">
        <w:t xml:space="preserve">infatti, </w:t>
      </w:r>
      <w:r w:rsidR="00B43C50">
        <w:t>è possibile racchiudere nel rapporto P.A.-cittadino, e corrispondentemente nella pretesa del cittadino, l’intera regolamentazione del potere nel caso concreto</w:t>
      </w:r>
      <w:r w:rsidR="003216C7">
        <w:rPr>
          <w:rStyle w:val="Rimandonotaapidipagina"/>
        </w:rPr>
        <w:footnoteReference w:id="21"/>
      </w:r>
      <w:r w:rsidR="00B43C50">
        <w:t>. E</w:t>
      </w:r>
      <w:r w:rsidR="003368C5">
        <w:t xml:space="preserve">, di conseguenza, </w:t>
      </w:r>
      <w:r w:rsidR="00B43C50">
        <w:t>nel caso vi sia una lesione</w:t>
      </w:r>
      <w:r w:rsidR="003216C7">
        <w:t xml:space="preserve"> della </w:t>
      </w:r>
      <w:r w:rsidR="00867479">
        <w:t xml:space="preserve">relativa </w:t>
      </w:r>
      <w:r w:rsidR="003216C7">
        <w:t>posizione del privato</w:t>
      </w:r>
      <w:r w:rsidR="00B43C50">
        <w:t xml:space="preserve">, di portare tale intera regolamentazione nel processo, ponendo, appunto, </w:t>
      </w:r>
      <w:r w:rsidR="003216C7">
        <w:t xml:space="preserve">ad oggetto del </w:t>
      </w:r>
      <w:r w:rsidR="00867479">
        <w:t>giudizio</w:t>
      </w:r>
      <w:r w:rsidR="003216C7">
        <w:t xml:space="preserve"> amministrativo </w:t>
      </w:r>
      <w:r w:rsidR="00B43C50">
        <w:t>la corrispondente situazione giuridica di pretesa</w:t>
      </w:r>
      <w:r w:rsidR="00867479" w:rsidRPr="00867479">
        <w:t xml:space="preserve"> </w:t>
      </w:r>
      <w:r w:rsidR="00867479">
        <w:t>sostanziale</w:t>
      </w:r>
      <w:r w:rsidR="00434908">
        <w:rPr>
          <w:rStyle w:val="Rimandonotaapidipagina"/>
        </w:rPr>
        <w:footnoteReference w:id="22"/>
      </w:r>
      <w:r w:rsidR="00B43C50">
        <w:t>.</w:t>
      </w:r>
    </w:p>
    <w:p w14:paraId="1738256B" w14:textId="77777777" w:rsidR="0022345A" w:rsidRDefault="0022345A" w:rsidP="00ED34CB">
      <w:pPr>
        <w:spacing w:line="288" w:lineRule="auto"/>
      </w:pPr>
    </w:p>
    <w:p w14:paraId="3C5A33D3" w14:textId="3204C27D" w:rsidR="00E924E7" w:rsidRDefault="0022345A" w:rsidP="00ED34CB">
      <w:pPr>
        <w:spacing w:line="288" w:lineRule="auto"/>
      </w:pPr>
      <w:r>
        <w:t>Nella</w:t>
      </w:r>
      <w:r w:rsidR="002C13B6">
        <w:t xml:space="preserve"> prospettiva</w:t>
      </w:r>
      <w:r>
        <w:t xml:space="preserve"> indicata</w:t>
      </w:r>
      <w:r w:rsidR="002C13B6">
        <w:t xml:space="preserve">, </w:t>
      </w:r>
      <w:r w:rsidR="00817DB8">
        <w:t>l’accertamento</w:t>
      </w:r>
      <w:r w:rsidR="002C13B6">
        <w:t xml:space="preserve"> giudi</w:t>
      </w:r>
      <w:r w:rsidR="00817DB8">
        <w:t>ziale verterebbe</w:t>
      </w:r>
      <w:r w:rsidR="00A069BD">
        <w:t>, allora</w:t>
      </w:r>
      <w:r w:rsidR="002C13B6">
        <w:t xml:space="preserve">, </w:t>
      </w:r>
      <w:r w:rsidR="00817DB8">
        <w:t>su</w:t>
      </w:r>
      <w:r w:rsidR="002C13B6">
        <w:t>l rapporto pretesa-obbligo</w:t>
      </w:r>
      <w:r w:rsidR="00817DB8">
        <w:t xml:space="preserve"> in sé considerato</w:t>
      </w:r>
      <w:r w:rsidR="002C13B6">
        <w:t xml:space="preserve">, nei termini in cui esso si viene ad esplicare. Mentre non sarebbero oggetto di accertamento, ma solo di </w:t>
      </w:r>
      <w:r w:rsidR="002C13B6">
        <w:rPr>
          <w:i/>
          <w:iCs/>
        </w:rPr>
        <w:t>cognizione</w:t>
      </w:r>
      <w:r w:rsidR="002C13B6">
        <w:t xml:space="preserve"> da parte </w:t>
      </w:r>
      <w:r w:rsidR="00817DB8">
        <w:t xml:space="preserve">del </w:t>
      </w:r>
      <w:r w:rsidR="002C13B6">
        <w:t>giudi</w:t>
      </w:r>
      <w:r w:rsidR="00817DB8">
        <w:t>ce</w:t>
      </w:r>
      <w:r w:rsidR="002C13B6">
        <w:t xml:space="preserve"> rispetto all’accertamento stesso (</w:t>
      </w:r>
      <w:r w:rsidR="005C74E9">
        <w:t>rispetto</w:t>
      </w:r>
      <w:r w:rsidR="00817DB8">
        <w:t>, cioè,</w:t>
      </w:r>
      <w:r w:rsidR="005C74E9">
        <w:t xml:space="preserve"> </w:t>
      </w:r>
      <w:r w:rsidR="002C13B6">
        <w:t>alla fondatezza o meno della sussistenza della situazione oggetto dell’accertamento), i motivi di ricorso, e in generale i profili e gli elementi allegati alle parti</w:t>
      </w:r>
      <w:r w:rsidR="00E924E7">
        <w:t>.</w:t>
      </w:r>
    </w:p>
    <w:p w14:paraId="1AC84FCA" w14:textId="77777777" w:rsidR="001C25BE" w:rsidRDefault="00E924E7" w:rsidP="00ED34CB">
      <w:pPr>
        <w:spacing w:line="288" w:lineRule="auto"/>
      </w:pPr>
      <w:r>
        <w:t>L’accertamento</w:t>
      </w:r>
      <w:r w:rsidR="00A91CD0">
        <w:t xml:space="preserve">, </w:t>
      </w:r>
      <w:r>
        <w:t>appunt</w:t>
      </w:r>
      <w:r w:rsidR="00A91CD0">
        <w:t>andosi</w:t>
      </w:r>
      <w:r>
        <w:t xml:space="preserve"> sul rapporto pretesa-obbligo, rende </w:t>
      </w:r>
      <w:r w:rsidR="00A069BD">
        <w:t xml:space="preserve">a sua volta </w:t>
      </w:r>
      <w:r>
        <w:t>incontrovertibile,</w:t>
      </w:r>
      <w:r w:rsidR="00A91CD0">
        <w:t xml:space="preserve"> </w:t>
      </w:r>
      <w:r>
        <w:t>con riferimento al referente temporale del giudicato</w:t>
      </w:r>
      <w:r w:rsidR="00A069BD">
        <w:t xml:space="preserve"> (e con possibilità quindi di superamento </w:t>
      </w:r>
      <w:r w:rsidR="00E85861">
        <w:t xml:space="preserve">solo </w:t>
      </w:r>
      <w:r w:rsidR="00A069BD">
        <w:t>da parte di sopravvenienze rilevanti)</w:t>
      </w:r>
      <w:r w:rsidR="001D38C9">
        <w:t>, la sussistenza/insussistenza</w:t>
      </w:r>
      <w:r w:rsidR="009B7E0E">
        <w:t xml:space="preserve"> del rapporto stesso</w:t>
      </w:r>
      <w:r>
        <w:t xml:space="preserve">. Gli elementi della </w:t>
      </w:r>
      <w:r w:rsidR="001D38C9">
        <w:t xml:space="preserve">fattispecie della situazione giuridica, dedotti o deducibili </w:t>
      </w:r>
      <w:r w:rsidR="00FC28FC">
        <w:t xml:space="preserve">in giudizio </w:t>
      </w:r>
      <w:r w:rsidR="001D38C9">
        <w:t>da parti, non possono</w:t>
      </w:r>
      <w:r w:rsidR="009B7E0E">
        <w:t>, conseguentemente,</w:t>
      </w:r>
      <w:r w:rsidR="001D38C9">
        <w:t xml:space="preserve"> </w:t>
      </w:r>
      <w:r w:rsidR="009B7E0E">
        <w:t xml:space="preserve">essere fatti valere al fine di </w:t>
      </w:r>
      <w:r w:rsidR="00FC28FC">
        <w:t xml:space="preserve">disattendere </w:t>
      </w:r>
      <w:r w:rsidR="009B7E0E">
        <w:t xml:space="preserve">successivamente </w:t>
      </w:r>
      <w:r w:rsidR="00FC28FC">
        <w:t>l’accertamento.</w:t>
      </w:r>
    </w:p>
    <w:p w14:paraId="21D8E95A" w14:textId="5AA34343" w:rsidR="00B43C50" w:rsidRDefault="001D38C9" w:rsidP="00ED34CB">
      <w:pPr>
        <w:spacing w:line="288" w:lineRule="auto"/>
      </w:pPr>
      <w:r>
        <w:t xml:space="preserve">Ciò </w:t>
      </w:r>
      <w:r w:rsidR="009B7E0E">
        <w:t>implica,</w:t>
      </w:r>
      <w:r w:rsidR="00183EF9">
        <w:t xml:space="preserve"> a sua volta</w:t>
      </w:r>
      <w:r w:rsidR="009B7E0E">
        <w:t>,</w:t>
      </w:r>
      <w:r>
        <w:t xml:space="preserve"> che le </w:t>
      </w:r>
      <w:r w:rsidRPr="00C5663B">
        <w:rPr>
          <w:i/>
          <w:iCs/>
        </w:rPr>
        <w:t>allegazioni</w:t>
      </w:r>
      <w:r>
        <w:t xml:space="preserve"> delle parti</w:t>
      </w:r>
      <w:r w:rsidR="009B7E0E">
        <w:t xml:space="preserve"> in giudizio</w:t>
      </w:r>
      <w:r>
        <w:t xml:space="preserve">, </w:t>
      </w:r>
      <w:r w:rsidR="002C13B6">
        <w:t>dovendosi rapportare all’oggetto dell’accertamento</w:t>
      </w:r>
      <w:r w:rsidR="009B7E0E" w:rsidRPr="009B7E0E">
        <w:t xml:space="preserve"> </w:t>
      </w:r>
      <w:r w:rsidR="009B7E0E">
        <w:t>che sarebbe coperto dal giudicato</w:t>
      </w:r>
      <w:r w:rsidR="002C13B6">
        <w:t xml:space="preserve"> (</w:t>
      </w:r>
      <w:r w:rsidR="005C74E9">
        <w:t xml:space="preserve">quindi, </w:t>
      </w:r>
      <w:r w:rsidR="002C13B6">
        <w:t>all’intera situazione di pretesa sostanziale)</w:t>
      </w:r>
      <w:r w:rsidR="0022345A">
        <w:t>,</w:t>
      </w:r>
      <w:r w:rsidR="00FE7028">
        <w:t xml:space="preserve"> al fine di dimostrarne la fondatezza o l’infondatezza</w:t>
      </w:r>
      <w:r w:rsidR="002C13B6">
        <w:t>,</w:t>
      </w:r>
      <w:r w:rsidR="005D39D5">
        <w:t xml:space="preserve"> </w:t>
      </w:r>
      <w:r w:rsidR="009B7E0E">
        <w:t xml:space="preserve">devono </w:t>
      </w:r>
      <w:r w:rsidR="005D39D5">
        <w:t>po</w:t>
      </w:r>
      <w:r w:rsidR="009B7E0E">
        <w:t>ter</w:t>
      </w:r>
      <w:r w:rsidR="005D39D5">
        <w:t xml:space="preserve"> concernere</w:t>
      </w:r>
      <w:r w:rsidR="009B7E0E">
        <w:t xml:space="preserve">, </w:t>
      </w:r>
      <w:r w:rsidR="009B7E0E" w:rsidRPr="00C5663B">
        <w:rPr>
          <w:i/>
          <w:iCs/>
        </w:rPr>
        <w:t>per il principio costituzionalmente garantito di difesa processuale</w:t>
      </w:r>
      <w:r w:rsidR="009B7E0E">
        <w:t>,</w:t>
      </w:r>
      <w:r w:rsidR="005D39D5">
        <w:t xml:space="preserve"> </w:t>
      </w:r>
      <w:r w:rsidR="009B7E0E">
        <w:t xml:space="preserve">tutti gli </w:t>
      </w:r>
      <w:r w:rsidR="005D39D5">
        <w:t xml:space="preserve">elementi </w:t>
      </w:r>
      <w:r w:rsidR="009B7E0E">
        <w:t>della relativa fattispecie</w:t>
      </w:r>
      <w:r w:rsidR="00E776B0">
        <w:t>; ricomprendendo</w:t>
      </w:r>
      <w:r w:rsidR="009B7E0E">
        <w:t xml:space="preserve">, quindi, </w:t>
      </w:r>
      <w:r w:rsidR="00E776B0">
        <w:t>anche</w:t>
      </w:r>
      <w:r w:rsidR="00E776B0" w:rsidRPr="009B7E0E">
        <w:t xml:space="preserve"> </w:t>
      </w:r>
      <w:r w:rsidR="00E776B0">
        <w:t xml:space="preserve">elementi ulteriori </w:t>
      </w:r>
      <w:r w:rsidR="005D39D5">
        <w:t>rispetto a quelli</w:t>
      </w:r>
      <w:r w:rsidR="002C13B6">
        <w:t xml:space="preserve"> enucleati nella motivazione dell’atto impugnato, a tal fine </w:t>
      </w:r>
      <w:r w:rsidR="001F6743">
        <w:t xml:space="preserve">in sé </w:t>
      </w:r>
      <w:r w:rsidR="002C13B6">
        <w:t>irrilevante</w:t>
      </w:r>
      <w:r w:rsidR="002C13B6">
        <w:rPr>
          <w:rStyle w:val="Rimandonotaapidipagina"/>
        </w:rPr>
        <w:footnoteReference w:id="23"/>
      </w:r>
      <w:r w:rsidR="002C13B6">
        <w:t>.</w:t>
      </w:r>
    </w:p>
    <w:p w14:paraId="58B9ACFC" w14:textId="77777777" w:rsidR="005D39D5" w:rsidRDefault="005D39D5" w:rsidP="00ED34CB">
      <w:pPr>
        <w:spacing w:line="288" w:lineRule="auto"/>
      </w:pPr>
    </w:p>
    <w:p w14:paraId="37C83F95" w14:textId="77777777" w:rsidR="00C5663B" w:rsidRDefault="001D4FBE" w:rsidP="00ED34CB">
      <w:pPr>
        <w:spacing w:line="288" w:lineRule="auto"/>
      </w:pPr>
      <w:r>
        <w:t>2.</w:t>
      </w:r>
      <w:r w:rsidR="000D6790">
        <w:t>2.1</w:t>
      </w:r>
      <w:r>
        <w:t xml:space="preserve"> </w:t>
      </w:r>
      <w:r w:rsidR="005D39D5">
        <w:t>Le</w:t>
      </w:r>
      <w:r w:rsidR="001D38C9">
        <w:t xml:space="preserve"> con</w:t>
      </w:r>
      <w:r w:rsidR="006B1506">
        <w:t>siderazioni</w:t>
      </w:r>
      <w:r w:rsidR="005D39D5">
        <w:t xml:space="preserve"> appena riportate</w:t>
      </w:r>
      <w:r w:rsidR="001D38C9">
        <w:t>, si badi, non derivano da una particolare declinazione o utilizzo delle regole processuali</w:t>
      </w:r>
      <w:r w:rsidR="00DA5E0D">
        <w:t>, tale per cui i relativi effetti possono accogliersi o disattender</w:t>
      </w:r>
      <w:r w:rsidR="007E02E4">
        <w:t>si</w:t>
      </w:r>
      <w:r w:rsidR="00DA5E0D">
        <w:t xml:space="preserve"> a seconda delle regole o principi di cui si ritiene di dover </w:t>
      </w:r>
      <w:r w:rsidR="007E02E4">
        <w:t xml:space="preserve">o poter </w:t>
      </w:r>
      <w:r w:rsidR="00DA5E0D">
        <w:t>usufruire</w:t>
      </w:r>
      <w:r w:rsidR="001D38C9">
        <w:t>.</w:t>
      </w:r>
    </w:p>
    <w:p w14:paraId="795DC208" w14:textId="3025DE27" w:rsidR="001D38C9" w:rsidRPr="001D38C9" w:rsidRDefault="001D38C9" w:rsidP="00ED34CB">
      <w:pPr>
        <w:spacing w:line="288" w:lineRule="auto"/>
      </w:pPr>
      <w:r>
        <w:t>Esse rappresentano</w:t>
      </w:r>
      <w:r w:rsidR="00DA5E0D">
        <w:t>, tutt’al contrario,</w:t>
      </w:r>
      <w:r>
        <w:t xml:space="preserve"> unicamente le conseguenze d</w:t>
      </w:r>
      <w:r w:rsidR="002D4D55">
        <w:t>ell’</w:t>
      </w:r>
      <w:r>
        <w:t xml:space="preserve">aver configurato, sotto il profilo del diritto </w:t>
      </w:r>
      <w:r>
        <w:rPr>
          <w:i/>
          <w:iCs/>
        </w:rPr>
        <w:t>sostanziale</w:t>
      </w:r>
      <w:r>
        <w:t xml:space="preserve">, una situazione giuridica di pretesa che si rapporta con una situazione di </w:t>
      </w:r>
      <w:r>
        <w:lastRenderedPageBreak/>
        <w:t>doverosità del potere, la quale, come tale, possa e venga posta ad oggetto del giudizio. Il resto segue</w:t>
      </w:r>
      <w:r w:rsidR="005D39D5">
        <w:t>,</w:t>
      </w:r>
      <w:r>
        <w:t xml:space="preserve"> semplicemente</w:t>
      </w:r>
      <w:r w:rsidR="005D39D5">
        <w:t>,</w:t>
      </w:r>
      <w:r>
        <w:t xml:space="preserve"> all’applicazione del diritto processuale generale.</w:t>
      </w:r>
    </w:p>
    <w:p w14:paraId="197CF70B" w14:textId="77777777" w:rsidR="00B43C50" w:rsidRDefault="00B43C50" w:rsidP="00ED34CB">
      <w:pPr>
        <w:spacing w:line="288" w:lineRule="auto"/>
      </w:pPr>
    </w:p>
    <w:p w14:paraId="76CECB38" w14:textId="0883FB01" w:rsidR="00D70EE7" w:rsidRDefault="00F869CE" w:rsidP="00ED34CB">
      <w:pPr>
        <w:spacing w:line="288" w:lineRule="auto"/>
      </w:pPr>
      <w:r>
        <w:t xml:space="preserve">3. </w:t>
      </w:r>
      <w:r w:rsidR="00170F1C">
        <w:t xml:space="preserve">La possibilità di configurare una pretesa rispetto ad un obbligo dell’Amministrativa è stata tradizionalmente negata soprattutto </w:t>
      </w:r>
      <w:r w:rsidR="00195ED5">
        <w:t>in ragione</w:t>
      </w:r>
      <w:r w:rsidR="00170F1C">
        <w:t xml:space="preserve"> della circostanza che, nell’esercizio del potere, alla P.A.</w:t>
      </w:r>
      <w:r w:rsidR="00C370D3">
        <w:t xml:space="preserve"> p</w:t>
      </w:r>
      <w:r w:rsidR="00195ED5">
        <w:t>uò</w:t>
      </w:r>
      <w:r w:rsidR="00C370D3">
        <w:t xml:space="preserve"> essere</w:t>
      </w:r>
      <w:r w:rsidR="00170F1C">
        <w:t xml:space="preserve"> attribuita discrezionalità in ordine al suo esercizio, sotto vari profili</w:t>
      </w:r>
      <w:r w:rsidR="00BD7546">
        <w:rPr>
          <w:rStyle w:val="Rimandonotaapidipagina"/>
        </w:rPr>
        <w:footnoteReference w:id="24"/>
      </w:r>
      <w:r w:rsidR="00170F1C">
        <w:t>.</w:t>
      </w:r>
      <w:r w:rsidR="000C2F3B">
        <w:t xml:space="preserve"> L’attribuzione discrezionale rappresenta, infatti, un</w:t>
      </w:r>
      <w:r w:rsidR="00170F1C">
        <w:t xml:space="preserve"> valore sostanziale</w:t>
      </w:r>
      <w:r w:rsidR="000C2F3B">
        <w:t xml:space="preserve"> lasciato alla definizione dell’Amministrazione;</w:t>
      </w:r>
      <w:r w:rsidR="00170F1C">
        <w:t xml:space="preserve"> </w:t>
      </w:r>
      <w:r w:rsidR="000C2F3B">
        <w:t xml:space="preserve">corrispondentemente, </w:t>
      </w:r>
      <w:r w:rsidR="00170F1C">
        <w:t>i</w:t>
      </w:r>
      <w:r w:rsidR="00B2187D">
        <w:t>l potere discrezionale non è</w:t>
      </w:r>
      <w:r w:rsidR="000C2F3B" w:rsidRPr="000C2F3B">
        <w:t xml:space="preserve"> </w:t>
      </w:r>
      <w:r w:rsidR="00B2187D">
        <w:t xml:space="preserve">sostituibile da parte del giudice, </w:t>
      </w:r>
      <w:r w:rsidR="00170F1C">
        <w:t xml:space="preserve">secondo quanto </w:t>
      </w:r>
      <w:r w:rsidR="00B2187D">
        <w:t>riconosciut</w:t>
      </w:r>
      <w:r w:rsidR="00170F1C">
        <w:t>o</w:t>
      </w:r>
      <w:r w:rsidR="00B2187D">
        <w:t xml:space="preserve"> dall’art. 31, co. 3, c.p.a., che non consente</w:t>
      </w:r>
      <w:r w:rsidR="00537D35">
        <w:t xml:space="preserve"> </w:t>
      </w:r>
      <w:r w:rsidR="00B2187D">
        <w:t>al giudice</w:t>
      </w:r>
      <w:r w:rsidR="00537D35">
        <w:t xml:space="preserve"> amministrativo </w:t>
      </w:r>
      <w:r w:rsidR="00B2187D">
        <w:t xml:space="preserve">di </w:t>
      </w:r>
      <w:r w:rsidR="002D1C6F">
        <w:t>pronunciarsi</w:t>
      </w:r>
      <w:r w:rsidR="00A91CD0">
        <w:t xml:space="preserve"> </w:t>
      </w:r>
      <w:r w:rsidR="00B2187D">
        <w:t>su</w:t>
      </w:r>
      <w:r w:rsidR="002D1C6F">
        <w:t>lla fondatezza relativa ai</w:t>
      </w:r>
      <w:r w:rsidR="00B2187D">
        <w:t xml:space="preserve"> profili di discrezionalità non esaurita</w:t>
      </w:r>
      <w:r w:rsidR="002D1C6F" w:rsidRPr="002D1C6F">
        <w:t xml:space="preserve"> </w:t>
      </w:r>
      <w:r w:rsidR="002D1C6F">
        <w:t>dall’Amministrazione</w:t>
      </w:r>
      <w:r w:rsidR="00B2187D">
        <w:t>.</w:t>
      </w:r>
    </w:p>
    <w:p w14:paraId="3B91465C" w14:textId="4DEC97AF" w:rsidR="00195ED5" w:rsidRDefault="00170F1C" w:rsidP="00ED34CB">
      <w:pPr>
        <w:spacing w:line="288" w:lineRule="auto"/>
      </w:pPr>
      <w:r>
        <w:t xml:space="preserve">La presenza di un’attribuzione discrezionale non si pone però, </w:t>
      </w:r>
      <w:r w:rsidR="00674846">
        <w:t xml:space="preserve">a ben vedere, </w:t>
      </w:r>
      <w:r>
        <w:t>in antitesi con la configurabilità di una relazione pretesa-obbligo</w:t>
      </w:r>
      <w:r w:rsidR="00195ED5">
        <w:t>:</w:t>
      </w:r>
      <w:r>
        <w:t xml:space="preserve"> la presenza di discrezionalità amministrativa</w:t>
      </w:r>
      <w:r w:rsidR="00195ED5">
        <w:t>, infatti,</w:t>
      </w:r>
      <w:r>
        <w:t xml:space="preserve"> non nega comunque il profilo della doverosità della relativa azione</w:t>
      </w:r>
      <w:r w:rsidR="00C370D3">
        <w:t>, ma anzi lo presuppone</w:t>
      </w:r>
      <w:r w:rsidR="000D6790">
        <w:t xml:space="preserve">. </w:t>
      </w:r>
      <w:r>
        <w:t>Il risultato</w:t>
      </w:r>
      <w:r w:rsidR="002D1C6F">
        <w:t>,</w:t>
      </w:r>
      <w:r>
        <w:t xml:space="preserve"> </w:t>
      </w:r>
      <w:r w:rsidR="008D7C00">
        <w:t xml:space="preserve">a cui si </w:t>
      </w:r>
      <w:r w:rsidR="002D1C6F">
        <w:t xml:space="preserve">è </w:t>
      </w:r>
      <w:r w:rsidR="00E750A5">
        <w:t xml:space="preserve">precedentemente </w:t>
      </w:r>
      <w:r w:rsidR="008D7C00">
        <w:t>pervenuti in ordine ad una situazione sostanziale avente la consistenza di una pretesa</w:t>
      </w:r>
      <w:r w:rsidR="002D1C6F">
        <w:t>,</w:t>
      </w:r>
      <w:r w:rsidR="008D7C00">
        <w:t xml:space="preserve"> </w:t>
      </w:r>
      <w:r>
        <w:t xml:space="preserve">non </w:t>
      </w:r>
      <w:r w:rsidR="00C370D3">
        <w:t>sarebbe</w:t>
      </w:r>
      <w:r w:rsidR="008D7C00">
        <w:t>, dunque,</w:t>
      </w:r>
      <w:r>
        <w:t xml:space="preserve"> in sé in discussione</w:t>
      </w:r>
      <w:r w:rsidR="000D6790">
        <w:t>: la pretesa andrebbe, in questo senso, a rapportarsi con ciò che è doveroso</w:t>
      </w:r>
      <w:r w:rsidR="008D7C00">
        <w:t>.</w:t>
      </w:r>
    </w:p>
    <w:p w14:paraId="5F84B315" w14:textId="1390F846" w:rsidR="000C2F3B" w:rsidRDefault="008D7C00" w:rsidP="00ED34CB">
      <w:pPr>
        <w:spacing w:line="288" w:lineRule="auto"/>
      </w:pPr>
      <w:r>
        <w:t xml:space="preserve">Il problema </w:t>
      </w:r>
      <w:r w:rsidR="00B868E0">
        <w:t>allora</w:t>
      </w:r>
      <w:r>
        <w:t xml:space="preserve">, in tale scenario, </w:t>
      </w:r>
      <w:r w:rsidR="00B868E0">
        <w:t xml:space="preserve">è semmai </w:t>
      </w:r>
      <w:r>
        <w:t xml:space="preserve">la determinazione del </w:t>
      </w:r>
      <w:r w:rsidRPr="003216C7">
        <w:rPr>
          <w:i/>
          <w:iCs/>
        </w:rPr>
        <w:t>contenuto</w:t>
      </w:r>
      <w:r>
        <w:t xml:space="preserve"> della pretesa del cittadino,</w:t>
      </w:r>
      <w:r w:rsidR="00742BF3">
        <w:t xml:space="preserve"> in</w:t>
      </w:r>
      <w:r>
        <w:t xml:space="preserve"> presenza di discrezionalità </w:t>
      </w:r>
      <w:r w:rsidR="00742BF3">
        <w:t>della P.A.</w:t>
      </w:r>
    </w:p>
    <w:p w14:paraId="01BB6290" w14:textId="77777777" w:rsidR="000C2F3B" w:rsidRDefault="000C2F3B" w:rsidP="00ED34CB">
      <w:pPr>
        <w:spacing w:line="288" w:lineRule="auto"/>
      </w:pPr>
    </w:p>
    <w:p w14:paraId="277BDDA9" w14:textId="177667DC" w:rsidR="00170F1C" w:rsidRDefault="00E85861" w:rsidP="00ED34CB">
      <w:pPr>
        <w:spacing w:line="288" w:lineRule="auto"/>
      </w:pPr>
      <w:r>
        <w:t xml:space="preserve">3.1 </w:t>
      </w:r>
      <w:r w:rsidR="000C2F3B">
        <w:t>I</w:t>
      </w:r>
      <w:r w:rsidR="00170F1C">
        <w:t xml:space="preserve">n </w:t>
      </w:r>
      <w:r w:rsidR="000C2F3B">
        <w:t xml:space="preserve">proposito, </w:t>
      </w:r>
      <w:r w:rsidR="002D1C6F">
        <w:t>quella parte del</w:t>
      </w:r>
      <w:r w:rsidR="00170F1C">
        <w:t>la dottrina</w:t>
      </w:r>
      <w:r w:rsidR="008D7C00">
        <w:t>, che</w:t>
      </w:r>
      <w:r w:rsidR="00170F1C">
        <w:t xml:space="preserve"> già da tempo si è posta </w:t>
      </w:r>
      <w:r w:rsidR="008D7C00">
        <w:t>nel</w:t>
      </w:r>
      <w:r w:rsidR="00170F1C">
        <w:t xml:space="preserve"> senso</w:t>
      </w:r>
      <w:r w:rsidR="008D7C00">
        <w:t xml:space="preserve"> di far corrispondere l’interesse legittimo ad una pretesa</w:t>
      </w:r>
      <w:r w:rsidR="00170F1C">
        <w:t xml:space="preserve">, </w:t>
      </w:r>
      <w:r w:rsidR="008D7C00">
        <w:t>ha prospettato</w:t>
      </w:r>
      <w:r w:rsidR="00170F1C">
        <w:t xml:space="preserve">, sul punto, differenti tesi, che possono essere </w:t>
      </w:r>
      <w:r w:rsidR="00742BF3">
        <w:t>riunite</w:t>
      </w:r>
      <w:r w:rsidR="00836446">
        <w:t>, in via generale,</w:t>
      </w:r>
      <w:r w:rsidR="00170F1C">
        <w:t xml:space="preserve"> in due differenti gruppi.</w:t>
      </w:r>
    </w:p>
    <w:p w14:paraId="74DA8E5A" w14:textId="77777777" w:rsidR="00B2187D" w:rsidRDefault="00B2187D" w:rsidP="00ED34CB">
      <w:pPr>
        <w:spacing w:line="288" w:lineRule="auto"/>
      </w:pPr>
    </w:p>
    <w:p w14:paraId="20199B27" w14:textId="74C3EF3A" w:rsidR="00B43C50" w:rsidRDefault="00721AAA" w:rsidP="00ED34CB">
      <w:pPr>
        <w:spacing w:line="288" w:lineRule="auto"/>
      </w:pPr>
      <w:r>
        <w:t xml:space="preserve">3.1.1 </w:t>
      </w:r>
      <w:r w:rsidR="00B43C50">
        <w:t xml:space="preserve">Secondo una prima </w:t>
      </w:r>
      <w:r w:rsidR="00170F1C">
        <w:t>impostazione</w:t>
      </w:r>
      <w:r w:rsidR="00B43C50">
        <w:t>, la relazione pretesa-obbligo attiene a ciò che è normativamente garantito sotto un profilo sostanzialistico</w:t>
      </w:r>
      <w:r w:rsidR="00B2187D">
        <w:t>. L</w:t>
      </w:r>
      <w:r w:rsidR="00B43C50">
        <w:t xml:space="preserve">a pretesa è, quindi, alla </w:t>
      </w:r>
      <w:r w:rsidR="00B43C50" w:rsidRPr="00674846">
        <w:rPr>
          <w:i/>
          <w:iCs/>
        </w:rPr>
        <w:t>possibilità normativa dell’atto favorevole</w:t>
      </w:r>
      <w:r w:rsidR="00674846">
        <w:t>:</w:t>
      </w:r>
      <w:r w:rsidR="00B43C50">
        <w:t xml:space="preserve"> che corrisponde a certezza, e quindi all’obbligo di adozione dell’atto, nel caso di potere vincolato</w:t>
      </w:r>
      <w:r w:rsidR="00674846">
        <w:t>;</w:t>
      </w:r>
      <w:r w:rsidR="00B43C50">
        <w:t xml:space="preserve"> e alla </w:t>
      </w:r>
      <w:r w:rsidR="00B43C50">
        <w:rPr>
          <w:i/>
        </w:rPr>
        <w:t>chance</w:t>
      </w:r>
      <w:r w:rsidR="00B43C50">
        <w:t xml:space="preserve"> legale ad ottenerlo, nel caso di potere discrezionale</w:t>
      </w:r>
      <w:r w:rsidR="003216C7">
        <w:rPr>
          <w:rStyle w:val="Rimandonotaapidipagina"/>
        </w:rPr>
        <w:footnoteReference w:id="25"/>
      </w:r>
      <w:r w:rsidR="00B43C50">
        <w:t>.</w:t>
      </w:r>
    </w:p>
    <w:p w14:paraId="2C3B49CA" w14:textId="06341C30" w:rsidR="00266950" w:rsidRPr="00F529CB" w:rsidRDefault="00266950" w:rsidP="00ED34CB">
      <w:pPr>
        <w:spacing w:line="288" w:lineRule="auto"/>
      </w:pPr>
      <w:r>
        <w:t xml:space="preserve">L’accertamento giudiziale, corrispondentemente, cade sulla pretesa alla </w:t>
      </w:r>
      <w:r>
        <w:rPr>
          <w:i/>
          <w:iCs/>
        </w:rPr>
        <w:t>chance</w:t>
      </w:r>
      <w:r>
        <w:t xml:space="preserve"> legale, quale normativamente formulata. Ne deriva che risult</w:t>
      </w:r>
      <w:r w:rsidR="00674846">
        <w:t>erebbero</w:t>
      </w:r>
      <w:r>
        <w:t xml:space="preserve"> coperti dall’accertamento tutti gli elementi</w:t>
      </w:r>
      <w:r w:rsidR="00F529CB">
        <w:t xml:space="preserve"> (dedotti o deducibili)</w:t>
      </w:r>
      <w:r>
        <w:t xml:space="preserve"> che ricadono nel fatto costitutivo </w:t>
      </w:r>
      <w:r w:rsidR="00F529CB">
        <w:t xml:space="preserve">della situazione in questione, corrispondenti ai profili vincolati della fattispecie (quelli la cui sussistenza integra la sussistenza in concreto della </w:t>
      </w:r>
      <w:r w:rsidR="00F529CB">
        <w:rPr>
          <w:i/>
          <w:iCs/>
        </w:rPr>
        <w:t>chance</w:t>
      </w:r>
      <w:r w:rsidR="00F529CB">
        <w:t xml:space="preserve">). Non sono invece coperti dall’accertamento i profili discrezionali dell’azione amministrativa, </w:t>
      </w:r>
      <w:r w:rsidR="00F529CB">
        <w:lastRenderedPageBreak/>
        <w:t xml:space="preserve">che riguardano l’attuazione della </w:t>
      </w:r>
      <w:r w:rsidR="00F529CB">
        <w:rPr>
          <w:i/>
          <w:iCs/>
        </w:rPr>
        <w:t>chance</w:t>
      </w:r>
      <w:r w:rsidR="00F529CB">
        <w:t xml:space="preserve"> legale</w:t>
      </w:r>
      <w:r w:rsidR="00674846">
        <w:t>, su cui l’Amministrazione potrebbe quindi sempre tornare.</w:t>
      </w:r>
    </w:p>
    <w:p w14:paraId="0657D67E" w14:textId="77777777" w:rsidR="00D70EE7" w:rsidRDefault="00D70EE7" w:rsidP="00ED34CB">
      <w:pPr>
        <w:spacing w:line="288" w:lineRule="auto"/>
      </w:pPr>
    </w:p>
    <w:p w14:paraId="4D49C8DB" w14:textId="55A795B2" w:rsidR="00B2187D" w:rsidRDefault="00721AAA" w:rsidP="00ED34CB">
      <w:pPr>
        <w:spacing w:line="288" w:lineRule="auto"/>
      </w:pPr>
      <w:r>
        <w:t xml:space="preserve">3.1.2 </w:t>
      </w:r>
      <w:r w:rsidR="008F65F4">
        <w:t>Vi è, poi, un’altra tesi, da più parti sostenuta, che ritiene che la relazione pretesa-obbligo sia all’</w:t>
      </w:r>
      <w:r w:rsidR="008F65F4" w:rsidRPr="002760AD">
        <w:rPr>
          <w:i/>
          <w:iCs/>
        </w:rPr>
        <w:t>utilità finale</w:t>
      </w:r>
      <w:r w:rsidR="00F529CB">
        <w:t xml:space="preserve"> (la produzione dell’effetto favorevole ovvero la non produzione dell’effetto sfavorevole)</w:t>
      </w:r>
      <w:r w:rsidR="008F65F4">
        <w:t xml:space="preserve">, ritenendo che questa possa essere </w:t>
      </w:r>
      <w:r w:rsidR="008F65F4" w:rsidRPr="002760AD">
        <w:rPr>
          <w:i/>
          <w:iCs/>
        </w:rPr>
        <w:t>accertata nei limiti della discrezionalità esaurita</w:t>
      </w:r>
      <w:r w:rsidR="00473D0E">
        <w:rPr>
          <w:rStyle w:val="Rimandonotaapidipagina"/>
        </w:rPr>
        <w:footnoteReference w:id="26"/>
      </w:r>
      <w:r w:rsidR="008F65F4">
        <w:t>.</w:t>
      </w:r>
    </w:p>
    <w:p w14:paraId="3BC14459" w14:textId="630FB16B" w:rsidR="00DE1D66" w:rsidRDefault="008F65F4" w:rsidP="00ED34CB">
      <w:pPr>
        <w:spacing w:line="288" w:lineRule="auto"/>
      </w:pPr>
      <w:r>
        <w:t xml:space="preserve">Non ci </w:t>
      </w:r>
      <w:r w:rsidR="002A7B00">
        <w:t xml:space="preserve">si </w:t>
      </w:r>
      <w:r w:rsidR="001F6EE8">
        <w:t xml:space="preserve">può </w:t>
      </w:r>
      <w:r>
        <w:t>sofferm</w:t>
      </w:r>
      <w:r w:rsidR="002A7B00">
        <w:t>a</w:t>
      </w:r>
      <w:r w:rsidR="001F6EE8">
        <w:t>re</w:t>
      </w:r>
      <w:r w:rsidR="002D1C6F">
        <w:t xml:space="preserve"> approfonditamente</w:t>
      </w:r>
      <w:r w:rsidR="00B66D7B">
        <w:t xml:space="preserve">, in questa sede, sul possibile fondamento di tale tesi, da noi stessi </w:t>
      </w:r>
      <w:r w:rsidR="002D4D55">
        <w:t>accolta</w:t>
      </w:r>
      <w:r w:rsidR="00B66D7B">
        <w:t xml:space="preserve">. Basti qui solo accennare che all’obiezione, ovvia, che una siffatta pretesa non </w:t>
      </w:r>
      <w:r w:rsidR="002760AD">
        <w:t xml:space="preserve">sarebbe attuale, in quanto non </w:t>
      </w:r>
      <w:r w:rsidR="00B66D7B">
        <w:t>sussisterebbe finché la discrezionalità non sia effettivamente spesa</w:t>
      </w:r>
      <w:r w:rsidR="00B2187D">
        <w:rPr>
          <w:rStyle w:val="Rimandonotaapidipagina"/>
        </w:rPr>
        <w:footnoteReference w:id="27"/>
      </w:r>
      <w:r w:rsidR="00B66D7B">
        <w:t xml:space="preserve">, si può a nostro avviso replicare che </w:t>
      </w:r>
      <w:r w:rsidR="0057634A">
        <w:t>essa</w:t>
      </w:r>
      <w:r w:rsidR="00E231C6">
        <w:t xml:space="preserve"> non è dirimente, qualora si </w:t>
      </w:r>
      <w:r w:rsidR="002760AD">
        <w:t>acceda ad una particolare ricostruzione, portata avanti in più occasioni da chi scrive</w:t>
      </w:r>
      <w:r w:rsidR="001E552C">
        <w:t>. Questa</w:t>
      </w:r>
      <w:r w:rsidR="002760AD">
        <w:t xml:space="preserve">, </w:t>
      </w:r>
      <w:r w:rsidR="001E552C">
        <w:t>infatti</w:t>
      </w:r>
      <w:r w:rsidR="002760AD">
        <w:t xml:space="preserve">, consente di configurare una </w:t>
      </w:r>
      <w:r w:rsidR="002760AD" w:rsidRPr="001E552C">
        <w:rPr>
          <w:i/>
          <w:iCs/>
        </w:rPr>
        <w:t>pretesa all’utilità finale</w:t>
      </w:r>
      <w:r w:rsidR="002760AD">
        <w:t xml:space="preserve">, nei confronti del potere amministrativo, </w:t>
      </w:r>
      <w:r w:rsidR="00E231C6">
        <w:t>scind</w:t>
      </w:r>
      <w:r w:rsidR="002760AD">
        <w:t>endo</w:t>
      </w:r>
      <w:r w:rsidR="00E231C6">
        <w:t xml:space="preserve"> il rilievo sostanziale della discrezionalità da</w:t>
      </w:r>
      <w:r w:rsidR="00321938">
        <w:t xml:space="preserve"> quello che la stessa assume </w:t>
      </w:r>
      <w:r w:rsidR="00E231C6">
        <w:t xml:space="preserve">sul piano procedurale, </w:t>
      </w:r>
      <w:r w:rsidR="00836446">
        <w:t xml:space="preserve">in </w:t>
      </w:r>
      <w:r w:rsidR="008638EF">
        <w:t xml:space="preserve">forza </w:t>
      </w:r>
      <w:r w:rsidR="00836446">
        <w:t xml:space="preserve">della specifica </w:t>
      </w:r>
      <w:r w:rsidR="00321938">
        <w:t>caratterizz</w:t>
      </w:r>
      <w:r w:rsidR="00836446">
        <w:t>azione assunta da</w:t>
      </w:r>
      <w:r w:rsidR="00E231C6">
        <w:t>l procedimento amministrativo</w:t>
      </w:r>
      <w:r w:rsidR="001D4FBE">
        <w:rPr>
          <w:rStyle w:val="Rimandonotaapidipagina"/>
        </w:rPr>
        <w:footnoteReference w:id="28"/>
      </w:r>
      <w:r w:rsidR="00E231C6">
        <w:t>.</w:t>
      </w:r>
    </w:p>
    <w:p w14:paraId="0A82785D" w14:textId="25C76376" w:rsidR="001E552C" w:rsidRDefault="001E552C" w:rsidP="00ED34CB">
      <w:pPr>
        <w:spacing w:line="288" w:lineRule="auto"/>
      </w:pPr>
      <w:r>
        <w:t>Tale impostazione si fonda</w:t>
      </w:r>
      <w:r w:rsidR="007D0AB1">
        <w:t>, cioè,</w:t>
      </w:r>
      <w:r>
        <w:t xml:space="preserve"> sul rilievo da riconoscere alla struttura normativa della funzione amministrativa</w:t>
      </w:r>
      <w:r w:rsidR="007D0AB1">
        <w:t>, cioè del procedimento amministrativo. La sua generale regolamentazione configura, infatti, l’</w:t>
      </w:r>
      <w:r w:rsidR="00B66D7B">
        <w:t>esercizio del potere attraverso un modulo procedurale</w:t>
      </w:r>
      <w:r w:rsidR="00742BF3">
        <w:t>,</w:t>
      </w:r>
      <w:r w:rsidR="00B66D7B">
        <w:t xml:space="preserve"> che ricalca un modello processuale di accertamento</w:t>
      </w:r>
      <w:r w:rsidR="00CE56F1">
        <w:rPr>
          <w:rStyle w:val="Rimandonotaapidipagina"/>
        </w:rPr>
        <w:footnoteReference w:id="29"/>
      </w:r>
      <w:r>
        <w:t xml:space="preserve">; proprio la considerazione di una siffatta struttura di esercizio della funzione </w:t>
      </w:r>
      <w:r w:rsidR="00B66D7B">
        <w:lastRenderedPageBreak/>
        <w:t>consentirebb</w:t>
      </w:r>
      <w:r w:rsidR="002D1C6F">
        <w:t>e</w:t>
      </w:r>
      <w:r w:rsidR="00321938">
        <w:t>,</w:t>
      </w:r>
      <w:r w:rsidR="00B66D7B">
        <w:t xml:space="preserve"> </w:t>
      </w:r>
      <w:r w:rsidR="0071724A">
        <w:t xml:space="preserve">a nostro avviso, </w:t>
      </w:r>
      <w:r w:rsidR="00B66D7B">
        <w:t>di ascrivere ad ess</w:t>
      </w:r>
      <w:r>
        <w:t>a</w:t>
      </w:r>
      <w:r w:rsidR="00B66D7B">
        <w:t xml:space="preserve">, </w:t>
      </w:r>
      <w:r w:rsidR="00B66D7B" w:rsidRPr="0071724A">
        <w:rPr>
          <w:i/>
          <w:iCs/>
        </w:rPr>
        <w:t xml:space="preserve">sotto il </w:t>
      </w:r>
      <w:r w:rsidR="0057634A" w:rsidRPr="0071724A">
        <w:rPr>
          <w:i/>
          <w:iCs/>
        </w:rPr>
        <w:t xml:space="preserve">solo </w:t>
      </w:r>
      <w:r w:rsidR="00B66D7B" w:rsidRPr="0071724A">
        <w:rPr>
          <w:i/>
          <w:iCs/>
        </w:rPr>
        <w:t>profilo procedurale</w:t>
      </w:r>
      <w:r w:rsidR="00B66D7B">
        <w:t>, anche la discrezionalità</w:t>
      </w:r>
      <w:r w:rsidR="00D51231">
        <w:t xml:space="preserve"> amministrativa. La discrezionalità</w:t>
      </w:r>
      <w:r w:rsidR="00FE3B97" w:rsidRPr="00FE3B97">
        <w:t xml:space="preserve"> </w:t>
      </w:r>
      <w:r w:rsidR="00FE3B97">
        <w:t>consisterebbe</w:t>
      </w:r>
      <w:r w:rsidR="00D51231">
        <w:t xml:space="preserve">, </w:t>
      </w:r>
      <w:r w:rsidR="007D0AB1">
        <w:t>in altri termini</w:t>
      </w:r>
      <w:r w:rsidR="00D51231">
        <w:t xml:space="preserve">, </w:t>
      </w:r>
      <w:r w:rsidR="00540624">
        <w:rPr>
          <w:i/>
          <w:iCs/>
        </w:rPr>
        <w:t>sul piano di rilevanza sostanziale</w:t>
      </w:r>
      <w:r w:rsidR="00540624">
        <w:t>,</w:t>
      </w:r>
      <w:r w:rsidR="00D51231">
        <w:t xml:space="preserve"> </w:t>
      </w:r>
      <w:r w:rsidR="001C25BE">
        <w:t>nella</w:t>
      </w:r>
      <w:r w:rsidR="00D51231">
        <w:t xml:space="preserve"> definizione di una regola di preferenza per il caso concreto</w:t>
      </w:r>
      <w:r w:rsidR="00540624">
        <w:t>,</w:t>
      </w:r>
      <w:r w:rsidR="00D51231">
        <w:t xml:space="preserve"> </w:t>
      </w:r>
      <w:r w:rsidR="00540624">
        <w:t xml:space="preserve">in sé </w:t>
      </w:r>
      <w:r w:rsidR="00D51231">
        <w:t>non ancora esistente</w:t>
      </w:r>
      <w:r w:rsidR="00FE3B97">
        <w:t>,</w:t>
      </w:r>
      <w:r w:rsidR="00FE3B97" w:rsidRPr="00FE3B97">
        <w:t xml:space="preserve"> </w:t>
      </w:r>
      <w:r w:rsidR="00FE3B97">
        <w:t>come quindi è comunemente concepita</w:t>
      </w:r>
      <w:r w:rsidR="00D51231">
        <w:t xml:space="preserve">; </w:t>
      </w:r>
      <w:r w:rsidR="00540624">
        <w:t>m</w:t>
      </w:r>
      <w:r w:rsidR="001C25BE">
        <w:t xml:space="preserve">a </w:t>
      </w:r>
      <w:r w:rsidR="00540624">
        <w:t xml:space="preserve">andrebbe considerata come afferente ad una regola già operativa, e soggetta ad accertamento quanto alla considerazione del suo contenuto, </w:t>
      </w:r>
      <w:r w:rsidR="00540624">
        <w:rPr>
          <w:i/>
          <w:iCs/>
        </w:rPr>
        <w:t>sul piano di rilevanza procedurale</w:t>
      </w:r>
      <w:r w:rsidR="00540624">
        <w:t xml:space="preserve">. </w:t>
      </w:r>
      <w:r w:rsidR="00D51231">
        <w:t xml:space="preserve">Per tale via, si </w:t>
      </w:r>
      <w:r w:rsidR="00FE3B97">
        <w:t>verrebbe</w:t>
      </w:r>
      <w:r w:rsidR="00B66D7B">
        <w:t xml:space="preserve"> quindi </w:t>
      </w:r>
      <w:r w:rsidR="00D51231">
        <w:t xml:space="preserve">a </w:t>
      </w:r>
      <w:r w:rsidR="00B66D7B" w:rsidRPr="0071724A">
        <w:rPr>
          <w:i/>
          <w:iCs/>
        </w:rPr>
        <w:t>scindere l’operatività della regola discrezionale nel piano sostanziale e nel piano procedurale</w:t>
      </w:r>
      <w:r w:rsidR="001F6EE8">
        <w:t xml:space="preserve">, che può </w:t>
      </w:r>
      <w:r w:rsidR="00742BF3">
        <w:t>riconoscersi</w:t>
      </w:r>
      <w:r w:rsidR="001F6EE8">
        <w:t xml:space="preserve"> nel secondo pur senza ancora esserlo nel primo</w:t>
      </w:r>
      <w:r w:rsidR="00B2187D">
        <w:rPr>
          <w:rStyle w:val="Rimandonotaapidipagina"/>
        </w:rPr>
        <w:footnoteReference w:id="30"/>
      </w:r>
      <w:r w:rsidR="00B66D7B">
        <w:t>.</w:t>
      </w:r>
    </w:p>
    <w:p w14:paraId="18AE9704" w14:textId="66FD5995" w:rsidR="001E552C" w:rsidRDefault="001E552C" w:rsidP="00ED34CB">
      <w:pPr>
        <w:spacing w:line="288" w:lineRule="auto"/>
      </w:pPr>
      <w:r>
        <w:lastRenderedPageBreak/>
        <w:t xml:space="preserve">La conseguenza sarebbe la configurabilità, appunto, di una </w:t>
      </w:r>
      <w:r w:rsidRPr="001E552C">
        <w:rPr>
          <w:i/>
          <w:iCs/>
        </w:rPr>
        <w:t>relazione di pretesa-obbligo all’utilità finale</w:t>
      </w:r>
      <w:r>
        <w:t xml:space="preserve">, </w:t>
      </w:r>
      <w:r w:rsidR="007D0AB1">
        <w:t>nei termini appena descritti derivanti dalla considerazione procedurale della discrezionalità. Essa</w:t>
      </w:r>
      <w:r>
        <w:t xml:space="preserve"> consente di assoggettare ad accertamento tutta la fattispecie del potere, esclusi soltanto i profili di discrezionalità non esaurita.</w:t>
      </w:r>
    </w:p>
    <w:p w14:paraId="1161DF5E" w14:textId="40751391" w:rsidR="008F65F4" w:rsidRDefault="00B2187D" w:rsidP="00ED34CB">
      <w:pPr>
        <w:spacing w:line="288" w:lineRule="auto"/>
      </w:pPr>
      <w:r>
        <w:t>L</w:t>
      </w:r>
      <w:r w:rsidR="00FE3B97">
        <w:t>’adesione a</w:t>
      </w:r>
      <w:r w:rsidR="007D0AB1">
        <w:t xml:space="preserve">lla </w:t>
      </w:r>
      <w:r w:rsidR="00FE3B97">
        <w:t xml:space="preserve">prospettiva </w:t>
      </w:r>
      <w:r w:rsidR="007D0AB1">
        <w:t xml:space="preserve">descritta </w:t>
      </w:r>
      <w:r w:rsidR="00FE3B97">
        <w:t>comporta</w:t>
      </w:r>
      <w:r w:rsidR="001E552C">
        <w:t xml:space="preserve"> infatti</w:t>
      </w:r>
      <w:r w:rsidR="00FE3B97">
        <w:t>, a sua volta, che la</w:t>
      </w:r>
      <w:r>
        <w:t xml:space="preserve"> scelta discrezionale, </w:t>
      </w:r>
      <w:r w:rsidR="00FE3B97">
        <w:t>la quale</w:t>
      </w:r>
      <w:r>
        <w:t xml:space="preserve"> rimane intatta nella sua ascrizione all’Amministrazione, rappresent</w:t>
      </w:r>
      <w:r w:rsidR="00FE3B97">
        <w:t>i</w:t>
      </w:r>
      <w:r>
        <w:t>, sotto il profilo procedurale,</w:t>
      </w:r>
      <w:r w:rsidR="00F04D48" w:rsidRPr="00F04D48">
        <w:t xml:space="preserve"> </w:t>
      </w:r>
      <w:r w:rsidR="00F04D48">
        <w:t>per il giudice amministrativo a cui la scelta non è attribuita,</w:t>
      </w:r>
      <w:r>
        <w:t xml:space="preserve"> solo un limite processuale all’accertamento</w:t>
      </w:r>
      <w:r w:rsidR="00F04D48">
        <w:t xml:space="preserve"> (non invece l’insussistenza della regola di preferenza discrezionale nella regolamentazione normativa della fattispecie, come invece va ravvisato sul piano di rilevanza sostanziale della situazione di potere). Il </w:t>
      </w:r>
      <w:r>
        <w:t xml:space="preserve">limite </w:t>
      </w:r>
      <w:r w:rsidR="00F04D48">
        <w:t>in questione</w:t>
      </w:r>
      <w:r>
        <w:t xml:space="preserve">, data appunto la sua valenza processuale, può </w:t>
      </w:r>
      <w:r w:rsidR="00F529CB">
        <w:t>essere</w:t>
      </w:r>
      <w:r w:rsidR="00F04D48">
        <w:t xml:space="preserve">, </w:t>
      </w:r>
      <w:r w:rsidR="00FE3B97">
        <w:t>peraltro</w:t>
      </w:r>
      <w:r w:rsidR="00F04D48">
        <w:t>,</w:t>
      </w:r>
      <w:r w:rsidR="00F529CB">
        <w:t xml:space="preserve"> </w:t>
      </w:r>
      <w:r w:rsidR="002D1C6F">
        <w:t>anche</w:t>
      </w:r>
      <w:r w:rsidR="00742BF3">
        <w:t xml:space="preserve"> </w:t>
      </w:r>
      <w:r>
        <w:t xml:space="preserve">superato </w:t>
      </w:r>
      <w:r w:rsidR="00742BF3">
        <w:t xml:space="preserve">in giudizio </w:t>
      </w:r>
      <w:r>
        <w:t>attraverso l’esaurimento</w:t>
      </w:r>
      <w:r w:rsidR="00742BF3">
        <w:t xml:space="preserve">, in quella sede, </w:t>
      </w:r>
      <w:r>
        <w:t>della discrezionalità da parte dell</w:t>
      </w:r>
      <w:r w:rsidR="002D1C6F">
        <w:t>a P.A.</w:t>
      </w:r>
      <w:r>
        <w:t xml:space="preserve">, con mezzi appunto </w:t>
      </w:r>
      <w:r w:rsidRPr="00AF03F5">
        <w:rPr>
          <w:i/>
          <w:iCs/>
        </w:rPr>
        <w:t>processuali</w:t>
      </w:r>
      <w:r w:rsidR="007D0AB1">
        <w:t xml:space="preserve"> (</w:t>
      </w:r>
      <w:r w:rsidR="00AF03F5">
        <w:t xml:space="preserve">la presentazione della relativa valutazione, </w:t>
      </w:r>
      <w:r w:rsidR="00AF03F5" w:rsidRPr="00AF03F5">
        <w:t>spontaneamente o su richiesta istruttoria di chiarimenti da parte del giudice</w:t>
      </w:r>
      <w:r w:rsidR="00AF03F5">
        <w:rPr>
          <w:rStyle w:val="Rimandonotaapidipagina"/>
          <w:vertAlign w:val="baseline"/>
        </w:rPr>
        <w:t xml:space="preserve">, </w:t>
      </w:r>
      <w:r w:rsidR="00AF03F5">
        <w:t xml:space="preserve">quale corrispondente all’allegazione di un documento avente rilievo processale di integrazione della </w:t>
      </w:r>
      <w:r w:rsidR="0071724A">
        <w:t xml:space="preserve">corrispondente </w:t>
      </w:r>
      <w:r w:rsidR="00AF03F5">
        <w:t>difesa)</w:t>
      </w:r>
      <w:r>
        <w:rPr>
          <w:rStyle w:val="Rimandonotaapidipagina"/>
        </w:rPr>
        <w:footnoteReference w:id="31"/>
      </w:r>
      <w:r>
        <w:t>.</w:t>
      </w:r>
      <w:r w:rsidR="001E552C">
        <w:t xml:space="preserve"> Ne consegue che </w:t>
      </w:r>
      <w:r w:rsidR="001E552C">
        <w:lastRenderedPageBreak/>
        <w:t>la discrezionalità</w:t>
      </w:r>
      <w:r>
        <w:t>, salvo</w:t>
      </w:r>
      <w:r w:rsidR="00867479">
        <w:t xml:space="preserve"> casi specifici</w:t>
      </w:r>
      <w:r w:rsidR="00867479">
        <w:rPr>
          <w:rStyle w:val="Rimandonotaapidipagina"/>
        </w:rPr>
        <w:footnoteReference w:id="32"/>
      </w:r>
      <w:r w:rsidR="00867479">
        <w:t>, dovrebbe</w:t>
      </w:r>
      <w:r w:rsidR="00F529CB">
        <w:t xml:space="preserve"> trovare il suo </w:t>
      </w:r>
      <w:r w:rsidR="00B66D7B">
        <w:t>esauri</w:t>
      </w:r>
      <w:r w:rsidR="00F529CB">
        <w:t>mento in giudizio,</w:t>
      </w:r>
      <w:r w:rsidR="00B66D7B">
        <w:t xml:space="preserve"> attraverso </w:t>
      </w:r>
      <w:r w:rsidR="00F529CB">
        <w:t>l’utilizzo</w:t>
      </w:r>
      <w:r w:rsidR="007E42EF">
        <w:t xml:space="preserve"> di </w:t>
      </w:r>
      <w:r w:rsidR="00B66D7B">
        <w:t>strumenti processuali</w:t>
      </w:r>
      <w:r w:rsidR="00F529CB">
        <w:t xml:space="preserve"> da parte dell</w:t>
      </w:r>
      <w:r w:rsidR="002D1C6F">
        <w:t>’Amministrazione.</w:t>
      </w:r>
    </w:p>
    <w:p w14:paraId="52ED7698" w14:textId="7EF13ABD" w:rsidR="00F529CB" w:rsidRPr="00F529CB" w:rsidRDefault="00F529CB" w:rsidP="00ED34CB">
      <w:pPr>
        <w:spacing w:line="288" w:lineRule="auto"/>
      </w:pPr>
      <w:r>
        <w:t>L’accertamento giudiziale cad</w:t>
      </w:r>
      <w:r w:rsidR="007E42EF">
        <w:t>rebbe dunque</w:t>
      </w:r>
      <w:r>
        <w:t xml:space="preserve"> sulla pretesa formulata</w:t>
      </w:r>
      <w:r w:rsidR="00392EA3">
        <w:t xml:space="preserve"> nel senso anzidetto</w:t>
      </w:r>
      <w:r>
        <w:t xml:space="preserve">, all’utilità finale (la produzione/non produzione dell’effetto); questa sarà, </w:t>
      </w:r>
      <w:r w:rsidR="00742BF3">
        <w:t>al limite</w:t>
      </w:r>
      <w:r>
        <w:t xml:space="preserve">, accertata in maniera </w:t>
      </w:r>
      <w:r>
        <w:rPr>
          <w:i/>
          <w:iCs/>
        </w:rPr>
        <w:t>parziale</w:t>
      </w:r>
      <w:r>
        <w:t xml:space="preserve">, qualora la discrezionalità non </w:t>
      </w:r>
      <w:r w:rsidR="00742BF3">
        <w:t>trovi</w:t>
      </w:r>
      <w:r>
        <w:t xml:space="preserve"> esauri</w:t>
      </w:r>
      <w:r w:rsidR="00742BF3">
        <w:t>mento in giudizio</w:t>
      </w:r>
      <w:r>
        <w:t>. Risulteranno coperti dall’accertamento tutti gli elementi, vincolati o discrezionali</w:t>
      </w:r>
      <w:r w:rsidR="00742BF3">
        <w:t xml:space="preserve"> (dedotti o deducibili)</w:t>
      </w:r>
      <w:r>
        <w:t>, della fattispecie</w:t>
      </w:r>
      <w:r w:rsidR="00742BF3">
        <w:t>,</w:t>
      </w:r>
      <w:r>
        <w:t xml:space="preserve"> </w:t>
      </w:r>
      <w:r w:rsidR="00742BF3">
        <w:t xml:space="preserve">eccettuati </w:t>
      </w:r>
      <w:r>
        <w:t>solo, eventualmente, quelli attinenti ai profili non esauriti della discrezionalità</w:t>
      </w:r>
      <w:r w:rsidR="008777A0">
        <w:rPr>
          <w:rStyle w:val="Rimandonotaapidipagina"/>
        </w:rPr>
        <w:footnoteReference w:id="33"/>
      </w:r>
      <w:r>
        <w:t>.</w:t>
      </w:r>
    </w:p>
    <w:p w14:paraId="22CDD97E" w14:textId="77777777" w:rsidR="00D70EE7" w:rsidRDefault="00D70EE7" w:rsidP="00ED34CB">
      <w:pPr>
        <w:spacing w:line="288" w:lineRule="auto"/>
      </w:pPr>
    </w:p>
    <w:p w14:paraId="6220B09A" w14:textId="44038F0B" w:rsidR="002760AD" w:rsidRPr="00FA3691" w:rsidRDefault="00721AAA" w:rsidP="00ED34CB">
      <w:pPr>
        <w:spacing w:line="288" w:lineRule="auto"/>
      </w:pPr>
      <w:r>
        <w:t xml:space="preserve">3.2 </w:t>
      </w:r>
      <w:r w:rsidR="00E01944">
        <w:t xml:space="preserve">In ogni caso, </w:t>
      </w:r>
      <w:r w:rsidR="00770D1C">
        <w:t>in disparte le relative differenze</w:t>
      </w:r>
      <w:r w:rsidR="001F6EE8">
        <w:t xml:space="preserve"> tra le due tesi</w:t>
      </w:r>
      <w:r w:rsidR="00770D1C">
        <w:t xml:space="preserve">, </w:t>
      </w:r>
      <w:r w:rsidR="00E01944">
        <w:t>il punto</w:t>
      </w:r>
      <w:r w:rsidR="00A96F52">
        <w:t xml:space="preserve">, </w:t>
      </w:r>
      <w:r w:rsidR="00770D1C">
        <w:t xml:space="preserve">che ora interessa, è che </w:t>
      </w:r>
      <w:r w:rsidR="00A96F52">
        <w:t>in entrambe le impostazioni,</w:t>
      </w:r>
      <w:r w:rsidR="00E01944">
        <w:t xml:space="preserve"> l’intera relazione privato-P.A., nei diversi termini in cui è concepita</w:t>
      </w:r>
      <w:r w:rsidR="00077F17">
        <w:t>, è sostanzializzata nella situazione giuridica, e può essere oggetto di accertamento</w:t>
      </w:r>
      <w:r w:rsidR="00867479">
        <w:t>.</w:t>
      </w:r>
    </w:p>
    <w:p w14:paraId="3784188A" w14:textId="77777777" w:rsidR="00077F17" w:rsidRDefault="00077F17" w:rsidP="00ED34CB">
      <w:pPr>
        <w:spacing w:line="288" w:lineRule="auto"/>
      </w:pPr>
    </w:p>
    <w:p w14:paraId="256B71E8" w14:textId="7CB101B6" w:rsidR="006F7C74" w:rsidRPr="00160FB0" w:rsidRDefault="006F7C74" w:rsidP="006F7C74">
      <w:pPr>
        <w:spacing w:line="288" w:lineRule="auto"/>
      </w:pPr>
      <w:r>
        <w:t>4</w:t>
      </w:r>
      <w:r w:rsidRPr="00E83EE9">
        <w:t xml:space="preserve">. Veniamo ora al profilo di </w:t>
      </w:r>
      <w:r w:rsidR="002C13B6">
        <w:t xml:space="preserve">stretto </w:t>
      </w:r>
      <w:r w:rsidRPr="00E83EE9">
        <w:t>diritto processuale</w:t>
      </w:r>
      <w:r w:rsidR="00BD7546">
        <w:rPr>
          <w:rStyle w:val="Rimandonotaapidipagina"/>
        </w:rPr>
        <w:footnoteReference w:id="34"/>
      </w:r>
      <w:r w:rsidRPr="00E83EE9">
        <w:t>.</w:t>
      </w:r>
      <w:r>
        <w:t xml:space="preserve"> Come anticipato all’inizio, il Codice del processo amministrativo fornisce gli strumenti processuali idonei a far assurgere la situazione di pretesa sostanziale del privato ad oggetto del giudizio. In particolare, l</w:t>
      </w:r>
      <w:r w:rsidRPr="00E83EE9">
        <w:t>’art. 34, lett. c), c.p.a. consente</w:t>
      </w:r>
      <w:r>
        <w:t xml:space="preserve"> di porre ad oggetto del giudizio la situazione di pretesa sostanziale attraverso una condanna ad un </w:t>
      </w:r>
      <w:r>
        <w:rPr>
          <w:i/>
          <w:iCs/>
        </w:rPr>
        <w:t>facere</w:t>
      </w:r>
      <w:r>
        <w:t xml:space="preserve">, disponendo in proposito che il giudice, nei limiti della domanda, possa </w:t>
      </w:r>
      <w:r w:rsidRPr="00160FB0">
        <w:t>condanna</w:t>
      </w:r>
      <w:r>
        <w:t>re la P.A. “</w:t>
      </w:r>
      <w:r w:rsidRPr="00160FB0">
        <w:rPr>
          <w:i/>
          <w:iCs/>
        </w:rPr>
        <w:t>all’adozione delle misure idonee a tutelare la situazione giuridica soggettiva dedotta in giudizio</w:t>
      </w:r>
      <w:r>
        <w:t xml:space="preserve">”. </w:t>
      </w:r>
      <w:r w:rsidR="002D1C6F">
        <w:t xml:space="preserve">In questo </w:t>
      </w:r>
      <w:r w:rsidR="002A2659">
        <w:t>modo</w:t>
      </w:r>
      <w:r w:rsidR="002D1C6F">
        <w:t xml:space="preserve">, rispetto ad una pretesa alla produzione di un effetto (interessi pretensivi) o alla non produzione di un effetto (interessi oppositivi), potrà </w:t>
      </w:r>
      <w:r w:rsidR="002A2659">
        <w:t xml:space="preserve">essere </w:t>
      </w:r>
      <w:r w:rsidR="002D1C6F">
        <w:t xml:space="preserve">esperita un’azione di condanna, rispettivamente ad un </w:t>
      </w:r>
      <w:r w:rsidR="002D1C6F">
        <w:rPr>
          <w:i/>
          <w:iCs/>
        </w:rPr>
        <w:t>facere</w:t>
      </w:r>
      <w:r w:rsidR="002D1C6F">
        <w:t xml:space="preserve"> positivo o negativo. </w:t>
      </w:r>
      <w:r>
        <w:t>L’azione è proposta, nell’ipotesi di adozione di un atto lesivo della propria pretesa sostanziale, contestualmente all’azione di annullamento dell’atto stesso (art. 30, co. 1, e art. 34, lett. c), ult. parte,</w:t>
      </w:r>
      <w:r w:rsidRPr="00160FB0">
        <w:t xml:space="preserve"> </w:t>
      </w:r>
      <w:r>
        <w:t xml:space="preserve">c.p.a.), e conformemente alla non sostituibilità, da parte del giudice, </w:t>
      </w:r>
      <w:r w:rsidR="002204B6">
        <w:t>de</w:t>
      </w:r>
      <w:r>
        <w:t>lla discrezionalità non esaurita (art. 31, co. 3, c.p.a.), secondo quanto già rappresentato.</w:t>
      </w:r>
    </w:p>
    <w:p w14:paraId="25FD9F6F" w14:textId="77777777" w:rsidR="006F7C74" w:rsidRPr="00E83EE9" w:rsidRDefault="006F7C74" w:rsidP="006F7C74">
      <w:pPr>
        <w:spacing w:line="288" w:lineRule="auto"/>
      </w:pPr>
    </w:p>
    <w:p w14:paraId="0DDA2A1D" w14:textId="1733E90A" w:rsidR="006F7C74" w:rsidRDefault="00721AAA" w:rsidP="006F7C74">
      <w:pPr>
        <w:spacing w:line="288" w:lineRule="auto"/>
      </w:pPr>
      <w:r>
        <w:lastRenderedPageBreak/>
        <w:t xml:space="preserve">4.1 </w:t>
      </w:r>
      <w:r w:rsidR="006F7C74" w:rsidRPr="00E83EE9">
        <w:t xml:space="preserve">Il riferimento alla condanna ad un </w:t>
      </w:r>
      <w:r w:rsidR="006F7C74" w:rsidRPr="00E83EE9">
        <w:rPr>
          <w:i/>
        </w:rPr>
        <w:t>facere</w:t>
      </w:r>
      <w:r w:rsidR="006F7C74" w:rsidRPr="00E83EE9">
        <w:t xml:space="preserve"> non deve spaventare. Se la situazione del privato </w:t>
      </w:r>
      <w:r w:rsidR="002760AD">
        <w:t>ha il contenuto di</w:t>
      </w:r>
      <w:r w:rsidR="006F7C74" w:rsidRPr="00E83EE9">
        <w:t xml:space="preserve"> una pretesa, la sua lesione comporterà, in via tendenziale, la condanna a tenere il comportamento doveroso</w:t>
      </w:r>
      <w:r w:rsidR="006F7C74">
        <w:t xml:space="preserve"> rimasto inadempito, secondo l’insegnamento processualistico ricordato all’inizio della nostra </w:t>
      </w:r>
      <w:r w:rsidR="002204B6">
        <w:t>trattazione</w:t>
      </w:r>
      <w:r w:rsidR="006F7C74">
        <w:t>.</w:t>
      </w:r>
    </w:p>
    <w:p w14:paraId="1425CEF4" w14:textId="77777777" w:rsidR="002760AD" w:rsidRDefault="006F7C74" w:rsidP="006F7C74">
      <w:pPr>
        <w:spacing w:line="288" w:lineRule="auto"/>
      </w:pPr>
      <w:r>
        <w:t>La circostanza che il Codice preved</w:t>
      </w:r>
      <w:r w:rsidR="00455E47">
        <w:t>a</w:t>
      </w:r>
      <w:r>
        <w:t xml:space="preserve"> la proposizione dell’azione condanna ad un </w:t>
      </w:r>
      <w:r>
        <w:rPr>
          <w:i/>
        </w:rPr>
        <w:t>facere</w:t>
      </w:r>
      <w:r>
        <w:t xml:space="preserve"> in maniera contestuale a quella di annullamento non rileva in termini contrari a tale impostazione.</w:t>
      </w:r>
    </w:p>
    <w:p w14:paraId="4076AD6E" w14:textId="77777777" w:rsidR="002760AD" w:rsidRDefault="006F7C74" w:rsidP="006F7C74">
      <w:pPr>
        <w:spacing w:line="288" w:lineRule="auto"/>
      </w:pPr>
      <w:r>
        <w:t>La previsione dell’art. 30, co. 1, c.p.a. non significa, infatti, che l’azione di condanna è accessoria a quella di annullamento, la quale, attraverso i relativi motivi, individu</w:t>
      </w:r>
      <w:r w:rsidR="002760AD">
        <w:t>erebbe</w:t>
      </w:r>
      <w:r>
        <w:t xml:space="preserve"> l’oggetto del giudizio.</w:t>
      </w:r>
    </w:p>
    <w:p w14:paraId="058E4446" w14:textId="398BBA4B" w:rsidR="006F7C74" w:rsidRDefault="006F7C74" w:rsidP="006F7C74">
      <w:pPr>
        <w:spacing w:line="288" w:lineRule="auto"/>
      </w:pPr>
      <w:r>
        <w:t xml:space="preserve">Tutt’al contrario, è l’azione di annullamento che va invece considerata quale </w:t>
      </w:r>
      <w:r w:rsidRPr="002760AD">
        <w:rPr>
          <w:i/>
          <w:iCs/>
        </w:rPr>
        <w:t>meramente strumentale</w:t>
      </w:r>
      <w:r>
        <w:t xml:space="preserve"> all’azione di condanna: ove la prima è solo posta quale presupposto di ammissibilità della domanda, al fine di mettere in discussione e superare la realtà precettiva dell’atto, e i motivi di ricorso sono a detto ruolo attinenti (al pari dei motivi di appello nel giudizio civile, che non individuano l’oggetto del giudizio, che rimane la situazione oggetto del giudizio originario); la seconda, cioè l’azione di condanna, individua invece l’oggetto del giudizio, facendolo corrispondere alla situazione giuridica sostanziale di cui si chiede tutela (art. 34, lett. c), c.p.a.).</w:t>
      </w:r>
    </w:p>
    <w:p w14:paraId="3DDDEB93" w14:textId="12A22C33" w:rsidR="006F7C74" w:rsidRDefault="006F7C74" w:rsidP="006F7C74">
      <w:pPr>
        <w:spacing w:line="288" w:lineRule="auto"/>
      </w:pPr>
      <w:r>
        <w:t xml:space="preserve">In questo senso, corrispondentemente, l’art. 31, co. 3, c.p.a., sulla discrezionalità non esaurita, non individua un limite </w:t>
      </w:r>
      <w:r w:rsidR="00BE219C">
        <w:t>all’</w:t>
      </w:r>
      <w:r>
        <w:t>ammissibilità della domanda</w:t>
      </w:r>
      <w:r w:rsidR="00BE219C">
        <w:t xml:space="preserve"> di condanna</w:t>
      </w:r>
      <w:r>
        <w:t>, ma solo pone in termini processuali la realtà sostanziale della situazione, che può essere accertata con il limite della parte della fattispecie corrispondente alla discrezionalità non esaurita, secondo quanto sopra rappresentato.</w:t>
      </w:r>
    </w:p>
    <w:p w14:paraId="088067F3" w14:textId="77777777" w:rsidR="006F7C74" w:rsidRDefault="006F7C74" w:rsidP="00ED34CB">
      <w:pPr>
        <w:spacing w:line="288" w:lineRule="auto"/>
      </w:pPr>
    </w:p>
    <w:p w14:paraId="7103E4CA" w14:textId="77777777" w:rsidR="002760AD" w:rsidRDefault="004B7492" w:rsidP="00ED34CB">
      <w:pPr>
        <w:spacing w:line="288" w:lineRule="auto"/>
      </w:pPr>
      <w:r>
        <w:t>5</w:t>
      </w:r>
      <w:r w:rsidR="003216C7">
        <w:t>.</w:t>
      </w:r>
      <w:r w:rsidR="003D575A">
        <w:t xml:space="preserve"> </w:t>
      </w:r>
      <w:r w:rsidR="00CD6E23">
        <w:t>Nela maniera descritta, è dunque possibile</w:t>
      </w:r>
      <w:r w:rsidR="006F7C74">
        <w:t xml:space="preserve"> porre l’intera relazione privato-P.A., nei diversi termini in cui si è visto essere concepita, ad oggetto del </w:t>
      </w:r>
      <w:r w:rsidR="00FE3B97">
        <w:t>processo amministrativo</w:t>
      </w:r>
      <w:r w:rsidR="006F7C74">
        <w:t>, per come sostanzializzata nella situazione giuridica di pretesa dedotta in giudizio.</w:t>
      </w:r>
    </w:p>
    <w:p w14:paraId="6BED527C" w14:textId="4126FE42" w:rsidR="00CD6E23" w:rsidRDefault="00CD6E23" w:rsidP="00ED34CB">
      <w:pPr>
        <w:spacing w:line="288" w:lineRule="auto"/>
      </w:pPr>
      <w:r>
        <w:t>In quest</w:t>
      </w:r>
      <w:r w:rsidR="002204B6">
        <w:t>o modo</w:t>
      </w:r>
      <w:r>
        <w:t>, a fronte della considerazione, di stampo sostanziale, d</w:t>
      </w:r>
      <w:r w:rsidRPr="00CD6E23">
        <w:t xml:space="preserve">el rapporto P.A.-cittadino, </w:t>
      </w:r>
      <w:r>
        <w:t xml:space="preserve">in cui si racchiude </w:t>
      </w:r>
      <w:r w:rsidRPr="00CD6E23">
        <w:t>l’intera regolamentazione del potere nel caso concreto</w:t>
      </w:r>
      <w:r>
        <w:t>,</w:t>
      </w:r>
      <w:r w:rsidR="002204B6">
        <w:t xml:space="preserve"> </w:t>
      </w:r>
      <w:r>
        <w:t xml:space="preserve">risulta possibile, sotto il profilo processale, qualora </w:t>
      </w:r>
      <w:r w:rsidRPr="00CD6E23">
        <w:t>vi sia una lesione della relativa posizione del privato, portare tale intera regolamentazione nel processo, ponendo</w:t>
      </w:r>
      <w:r w:rsidR="0043446A">
        <w:t xml:space="preserve"> </w:t>
      </w:r>
      <w:r w:rsidRPr="00CD6E23">
        <w:t>ad oggetto del giudizio amministrativo la corrispondente situazione giuridica di pretesa sostanziale</w:t>
      </w:r>
      <w:r w:rsidR="00000BD4">
        <w:rPr>
          <w:rStyle w:val="Rimandonotaapidipagina"/>
        </w:rPr>
        <w:footnoteReference w:id="35"/>
      </w:r>
      <w:r w:rsidR="0043446A">
        <w:t>.</w:t>
      </w:r>
    </w:p>
    <w:p w14:paraId="0BB1AE38" w14:textId="6F9FBDBC" w:rsidR="00CD6E23" w:rsidRDefault="0043446A" w:rsidP="00ED34CB">
      <w:pPr>
        <w:spacing w:line="288" w:lineRule="auto"/>
      </w:pPr>
      <w:r>
        <w:t>Il giudizio di annullamento,</w:t>
      </w:r>
      <w:r w:rsidRPr="0043446A">
        <w:t xml:space="preserve"> </w:t>
      </w:r>
      <w:r>
        <w:t xml:space="preserve">fondato sui motivi di illegittimità dell’atto, negando </w:t>
      </w:r>
      <w:r w:rsidR="00455E47">
        <w:t xml:space="preserve">invece </w:t>
      </w:r>
      <w:r>
        <w:t>la possibilità di assoggettare all’accertamento la relazione sostanziale, nega</w:t>
      </w:r>
      <w:r w:rsidR="00455E47">
        <w:t xml:space="preserve"> </w:t>
      </w:r>
      <w:r>
        <w:t>di fatto, prim’ancora, la stessa rilevanza di</w:t>
      </w:r>
      <w:r w:rsidR="002204B6">
        <w:t xml:space="preserve"> quest’ultima</w:t>
      </w:r>
      <w:r>
        <w:t xml:space="preserve">, </w:t>
      </w:r>
      <w:r w:rsidR="00FE3B97">
        <w:t>secondo quanto si è</w:t>
      </w:r>
      <w:r>
        <w:t xml:space="preserve"> </w:t>
      </w:r>
      <w:r w:rsidR="00E85861">
        <w:t>già spiegato</w:t>
      </w:r>
      <w:r>
        <w:t xml:space="preserve">. Se </w:t>
      </w:r>
      <w:r w:rsidR="002204B6">
        <w:t>il rapporto in questione</w:t>
      </w:r>
      <w:r>
        <w:t xml:space="preserve"> non assume rilevanza</w:t>
      </w:r>
      <w:r w:rsidR="002204B6">
        <w:t xml:space="preserve"> in quanto tale</w:t>
      </w:r>
      <w:r>
        <w:t>, allora non risulta possibile una chiusura del potere</w:t>
      </w:r>
      <w:r w:rsidR="002204B6">
        <w:t xml:space="preserve">: </w:t>
      </w:r>
      <w:r>
        <w:t>non per motivi</w:t>
      </w:r>
      <w:r w:rsidR="002204B6">
        <w:t xml:space="preserve"> di carattere </w:t>
      </w:r>
      <w:r>
        <w:t xml:space="preserve">processuale, </w:t>
      </w:r>
      <w:r w:rsidRPr="00FE3B97">
        <w:rPr>
          <w:i/>
          <w:iCs/>
        </w:rPr>
        <w:t xml:space="preserve">ma perché manca una giuridificazione della relativa relazione nei termini che la rendano idonei </w:t>
      </w:r>
      <w:r w:rsidR="00BA0D72" w:rsidRPr="00FE3B97">
        <w:rPr>
          <w:i/>
          <w:iCs/>
        </w:rPr>
        <w:t>al suo accertamento</w:t>
      </w:r>
      <w:r w:rsidR="00BA0D72">
        <w:t>.</w:t>
      </w:r>
    </w:p>
    <w:p w14:paraId="59652B37" w14:textId="77777777" w:rsidR="00A32951" w:rsidRDefault="00A32951" w:rsidP="00ED34CB">
      <w:pPr>
        <w:spacing w:line="288" w:lineRule="auto"/>
      </w:pPr>
    </w:p>
    <w:p w14:paraId="35101A98" w14:textId="77777777" w:rsidR="00A71180" w:rsidRDefault="00E85861" w:rsidP="00ED34CB">
      <w:pPr>
        <w:spacing w:line="288" w:lineRule="auto"/>
      </w:pPr>
      <w:r>
        <w:t xml:space="preserve">5.1 </w:t>
      </w:r>
      <w:r w:rsidR="00A32951">
        <w:t xml:space="preserve">Tale assunto spiega </w:t>
      </w:r>
      <w:r w:rsidR="004B7492">
        <w:t xml:space="preserve">inoltre </w:t>
      </w:r>
      <w:r w:rsidR="00A32951">
        <w:t xml:space="preserve">perché </w:t>
      </w:r>
      <w:r w:rsidR="007C2F2C">
        <w:t xml:space="preserve">non si possa ricorrere </w:t>
      </w:r>
      <w:r w:rsidR="00A32951">
        <w:t xml:space="preserve">ad operazioni artificiose, quali considerazioni di preclusioni sostanziali, </w:t>
      </w:r>
      <w:r w:rsidR="007C2F2C">
        <w:t>per tentare di ottenere il medesimo risultato</w:t>
      </w:r>
      <w:r w:rsidR="00A32951">
        <w:t>.</w:t>
      </w:r>
    </w:p>
    <w:p w14:paraId="33B56E2F" w14:textId="598205F9" w:rsidR="00A71180" w:rsidRDefault="00FE3B97" w:rsidP="00ED34CB">
      <w:pPr>
        <w:spacing w:line="288" w:lineRule="auto"/>
      </w:pPr>
      <w:r>
        <w:lastRenderedPageBreak/>
        <w:t>Come si è avuto modo di spiegare in altra occasione, infatti, q</w:t>
      </w:r>
      <w:r w:rsidR="00222D7A">
        <w:t>uesto</w:t>
      </w:r>
      <w:r w:rsidR="00A32951">
        <w:t xml:space="preserve"> genere di preclusioni altera la realtà concreta di riferimento (ciò che spetta e ciò che non spetta)</w:t>
      </w:r>
      <w:r w:rsidR="00222D7A">
        <w:t>;</w:t>
      </w:r>
      <w:r w:rsidR="00A32951">
        <w:t xml:space="preserve"> e non considera adeguatamente </w:t>
      </w:r>
      <w:r w:rsidR="00DA2648">
        <w:t>né la direzione della preclusione</w:t>
      </w:r>
      <w:r w:rsidR="0007535B">
        <w:t xml:space="preserve"> (rispetto, ad es., ad una pluralità di effetti)</w:t>
      </w:r>
      <w:r w:rsidR="00DA2648">
        <w:t>, né le esigenze dei controinteressati (che del</w:t>
      </w:r>
      <w:r w:rsidR="005C173F">
        <w:t>l’esercizio</w:t>
      </w:r>
      <w:r w:rsidR="00DA2648">
        <w:t xml:space="preserve"> potere non possono disporre), e neppure la circostanza </w:t>
      </w:r>
      <w:r w:rsidR="00A32951">
        <w:t>che nel procedimento la P.A. è organo decisore,</w:t>
      </w:r>
      <w:r w:rsidR="00222D7A">
        <w:t xml:space="preserve"> </w:t>
      </w:r>
      <w:r w:rsidR="00C445FC">
        <w:t>cosicché</w:t>
      </w:r>
      <w:r w:rsidR="00A32951">
        <w:t xml:space="preserve"> non può motivare </w:t>
      </w:r>
      <w:r w:rsidR="0007535B">
        <w:t xml:space="preserve">la decisione </w:t>
      </w:r>
      <w:r w:rsidR="00A32951">
        <w:t>come se si stesse difendendo</w:t>
      </w:r>
      <w:r w:rsidR="00A32951">
        <w:rPr>
          <w:rStyle w:val="Rimandonotaapidipagina"/>
        </w:rPr>
        <w:footnoteReference w:id="36"/>
      </w:r>
      <w:r w:rsidR="00A32951">
        <w:t>.</w:t>
      </w:r>
    </w:p>
    <w:p w14:paraId="0DFC7375" w14:textId="7C751BB8" w:rsidR="00A32951" w:rsidRDefault="00A32951" w:rsidP="00ED34CB">
      <w:pPr>
        <w:spacing w:line="288" w:lineRule="auto"/>
      </w:pPr>
      <w:r>
        <w:t xml:space="preserve">Non è del resto un caso che, nel momento in cui una preclusione </w:t>
      </w:r>
      <w:r w:rsidR="007C2F2C">
        <w:t>di tal genere</w:t>
      </w:r>
      <w:r>
        <w:t xml:space="preserve"> è stata introdotta, all’art. 10 </w:t>
      </w:r>
      <w:r>
        <w:rPr>
          <w:i/>
          <w:iCs/>
        </w:rPr>
        <w:t>bis</w:t>
      </w:r>
      <w:r>
        <w:t xml:space="preserve">, l. n. 241/1990, in termini </w:t>
      </w:r>
      <w:r w:rsidR="0013680E">
        <w:t>peraltro</w:t>
      </w:r>
      <w:r>
        <w:t xml:space="preserve"> </w:t>
      </w:r>
      <w:r w:rsidR="0013680E">
        <w:t xml:space="preserve">molto parziali, e di fatto </w:t>
      </w:r>
      <w:r>
        <w:t>più limitativi che effettivi</w:t>
      </w:r>
      <w:r w:rsidR="004C4E7E">
        <w:rPr>
          <w:rStyle w:val="Rimandonotaapidipagina"/>
        </w:rPr>
        <w:footnoteReference w:id="37"/>
      </w:r>
      <w:r>
        <w:t xml:space="preserve">, questa </w:t>
      </w:r>
      <w:r w:rsidR="0013680E">
        <w:t>abbia</w:t>
      </w:r>
      <w:r>
        <w:t xml:space="preserve"> ricevuto riscontro negativo</w:t>
      </w:r>
      <w:r w:rsidR="005C173F">
        <w:t xml:space="preserve"> nella </w:t>
      </w:r>
      <w:r>
        <w:t>dottrina e nella giurisprudenza più avvertit</w:t>
      </w:r>
      <w:r w:rsidR="001B119B">
        <w:t>e</w:t>
      </w:r>
      <w:r>
        <w:rPr>
          <w:rStyle w:val="Rimandonotaapidipagina"/>
        </w:rPr>
        <w:footnoteReference w:id="38"/>
      </w:r>
      <w:r>
        <w:t>.</w:t>
      </w:r>
    </w:p>
    <w:p w14:paraId="05D057DE" w14:textId="77777777" w:rsidR="0043446A" w:rsidRDefault="0043446A" w:rsidP="00ED34CB">
      <w:pPr>
        <w:spacing w:line="288" w:lineRule="auto"/>
      </w:pPr>
    </w:p>
    <w:p w14:paraId="03B66C81" w14:textId="77777777" w:rsidR="00FE3B97" w:rsidRDefault="00A32951" w:rsidP="00ED34CB">
      <w:pPr>
        <w:spacing w:line="288" w:lineRule="auto"/>
      </w:pPr>
      <w:r>
        <w:t xml:space="preserve">6. </w:t>
      </w:r>
      <w:r w:rsidR="0043446A">
        <w:t xml:space="preserve">Un esempio, preso a prestito </w:t>
      </w:r>
      <w:r w:rsidR="001E7E86">
        <w:t>da</w:t>
      </w:r>
      <w:r w:rsidR="0043446A">
        <w:t xml:space="preserve"> un noto caso giudiziario</w:t>
      </w:r>
      <w:r w:rsidR="0043446A">
        <w:rPr>
          <w:rStyle w:val="Rimandonotaapidipagina"/>
        </w:rPr>
        <w:footnoteReference w:id="39"/>
      </w:r>
      <w:r w:rsidR="0043446A">
        <w:t>, può far comprendere le conseguenze pratiche di tale assunto.</w:t>
      </w:r>
    </w:p>
    <w:p w14:paraId="018C56D6" w14:textId="316B7D65" w:rsidR="003D575A" w:rsidRDefault="008900A3" w:rsidP="00ED34CB">
      <w:pPr>
        <w:spacing w:line="288" w:lineRule="auto"/>
      </w:pPr>
      <w:r>
        <w:t>Nello specifico, t</w:t>
      </w:r>
      <w:r w:rsidR="0043446A">
        <w:t xml:space="preserve">ali </w:t>
      </w:r>
      <w:r w:rsidR="006F7C74">
        <w:t xml:space="preserve">conseguenze </w:t>
      </w:r>
      <w:r>
        <w:t>risultano</w:t>
      </w:r>
      <w:r w:rsidR="006F7C74">
        <w:t xml:space="preserve"> </w:t>
      </w:r>
      <w:r>
        <w:t xml:space="preserve">particolarmente </w:t>
      </w:r>
      <w:r w:rsidR="006F7C74">
        <w:t>rilevanti laddove si ritenga, come a nostro avviso si deve ritenere, che, delle due prospettive che configurano l’interesse legittimo come situazione di pretesa a fronte di un corrispondente obbligo, si debba aderire all’alternativa che configura, nei termini spiegati, una pretesa in questo senso rivolta all’utilità finale</w:t>
      </w:r>
      <w:r w:rsidR="00703C51">
        <w:t>: q</w:t>
      </w:r>
      <w:r>
        <w:t xml:space="preserve">ui, infatti, la regolamentazione della relazione del potere assume al suo interno anche i profili discrezionali della fattispecie. </w:t>
      </w:r>
      <w:r w:rsidR="0043446A">
        <w:t xml:space="preserve">Ci si rapporterà, pertanto, per </w:t>
      </w:r>
      <w:r>
        <w:t>lo</w:t>
      </w:r>
      <w:r w:rsidR="0043446A">
        <w:t xml:space="preserve"> svolgimento</w:t>
      </w:r>
      <w:r>
        <w:t xml:space="preserve"> dell’esemplificazione</w:t>
      </w:r>
      <w:r w:rsidR="0043446A">
        <w:t xml:space="preserve">, ai termini propri di </w:t>
      </w:r>
      <w:r>
        <w:t xml:space="preserve">tale </w:t>
      </w:r>
      <w:r w:rsidR="0043446A">
        <w:t>impostazione.</w:t>
      </w:r>
    </w:p>
    <w:p w14:paraId="02D00436" w14:textId="77777777" w:rsidR="006F7C74" w:rsidRDefault="006F7C74" w:rsidP="00ED34CB">
      <w:pPr>
        <w:spacing w:line="288" w:lineRule="auto"/>
      </w:pPr>
    </w:p>
    <w:p w14:paraId="3CDACE4F" w14:textId="755D2A47" w:rsidR="00C018A7" w:rsidRDefault="00721AAA" w:rsidP="00C018A7">
      <w:pPr>
        <w:spacing w:line="288" w:lineRule="auto"/>
      </w:pPr>
      <w:r>
        <w:t xml:space="preserve">6.1 </w:t>
      </w:r>
      <w:r w:rsidR="00C018A7">
        <w:t xml:space="preserve">Una candidata aveva fatto domanda per l’abilitazione scientifica nazionale di prima fascia nel proprio settore di appartenenza. </w:t>
      </w:r>
      <w:r w:rsidR="00222D7A" w:rsidRPr="00222D7A">
        <w:t>La Commissione giudica i titoli della candidata accettabili, ma nega l’abilitazione in quanto non ritiene sufficiente la valutazione di ‘accettabile’. Il giudice amministrativo, adito sul punto, è di avviso contrario, e, sulla base di tale motivo, annulla l’atto impugnato. Il Ministero, nel riesercizio del potere, convoca una nuova commissione, la quale nega l’abilitazione in ragione della mancata</w:t>
      </w:r>
      <w:r w:rsidR="0004506C">
        <w:t xml:space="preserve"> </w:t>
      </w:r>
      <w:r w:rsidR="00222D7A" w:rsidRPr="00222D7A">
        <w:t xml:space="preserve">allegazione di una seconda monografia, necessaria secondo </w:t>
      </w:r>
      <w:r w:rsidR="00703C51">
        <w:t xml:space="preserve">i </w:t>
      </w:r>
      <w:r w:rsidR="00222D7A" w:rsidRPr="00222D7A">
        <w:t xml:space="preserve">nuovi criteri stabiliti nel riesercizio dell’azione. Tale monografia, tuttavia, </w:t>
      </w:r>
      <w:r w:rsidR="009D3335">
        <w:t>esisteva</w:t>
      </w:r>
      <w:r w:rsidR="00222D7A" w:rsidRPr="00222D7A">
        <w:t xml:space="preserve"> ed era stata allegata. Il giudice amministrativo, sulla base di tale motivo, annulla il provvedimento. Il Ministero, nel riesercizio del potere, convoca una nuova commissione, che giudica in maniera negativa i titoli della candidata.</w:t>
      </w:r>
      <w:r w:rsidR="00A91CD0">
        <w:t xml:space="preserve"> </w:t>
      </w:r>
      <w:r w:rsidR="00C018A7">
        <w:t>Si succedono una serie di ricorsi, anche in ottemperanza. Il Consiglio di Stato nega sia materia di ottemperanza in quanto l’oggetto del giudizio di cognizione, su cui si appunta la portata precettiva della sentenza, era solo la sufficienza del giudizio di ‘accettabile’ e la sussistenza della seconda monografia.</w:t>
      </w:r>
    </w:p>
    <w:p w14:paraId="31299440" w14:textId="324AC9FD" w:rsidR="00C018A7" w:rsidRDefault="00C018A7" w:rsidP="00C018A7">
      <w:pPr>
        <w:spacing w:line="288" w:lineRule="auto"/>
      </w:pPr>
      <w:r>
        <w:t xml:space="preserve">La soluzione </w:t>
      </w:r>
      <w:r w:rsidR="00703C51">
        <w:t xml:space="preserve">fornita dal giudice amministrativo </w:t>
      </w:r>
      <w:r>
        <w:t>è quella del diritto vivente: l’oggetto del processo amministrativo sono i motivi di ricorso. Se, tuttavia, si fosse individuata una situazione di pretesa ad ottenere l’abilitazione, e si fosse posta questa ad oggetto del giudizio, l’accertamento giudiziale sarebbe stato su tale situazione, e quindi avrebbe coperto tutti i profili (dedotti o deducibili)</w:t>
      </w:r>
      <w:r w:rsidR="0004506C">
        <w:t xml:space="preserve"> relativi a</w:t>
      </w:r>
      <w:r>
        <w:t>gli elementi vincolati della fattispecie, e</w:t>
      </w:r>
      <w:r w:rsidR="0004506C">
        <w:t xml:space="preserve"> a </w:t>
      </w:r>
      <w:r>
        <w:t>quelli attinenti alla discrezionalità già spesa.</w:t>
      </w:r>
    </w:p>
    <w:p w14:paraId="173EA5ED" w14:textId="77777777" w:rsidR="00703C51" w:rsidRDefault="00703C51" w:rsidP="00C018A7">
      <w:pPr>
        <w:spacing w:line="288" w:lineRule="auto"/>
      </w:pPr>
    </w:p>
    <w:p w14:paraId="23293624" w14:textId="718E3217" w:rsidR="00C018A7" w:rsidRDefault="00721AAA" w:rsidP="00C018A7">
      <w:pPr>
        <w:spacing w:line="288" w:lineRule="auto"/>
      </w:pPr>
      <w:r>
        <w:t xml:space="preserve">6.2 </w:t>
      </w:r>
      <w:r w:rsidR="00C018A7">
        <w:t>Scindiamo, per pura logica ipotetica, i due vizi riscontrati, quello della sufficienza della valutazione di accettabile e quello della sussistenza e allegazione della seconda monografia, anche se nel caso di specie appartengono ad una medesima vicenda</w:t>
      </w:r>
      <w:r w:rsidR="001E7E86">
        <w:t xml:space="preserve"> di successione di giudizi di annullamento</w:t>
      </w:r>
      <w:r w:rsidR="00C018A7">
        <w:t>, e facciamo conto che integrino due casi differenti, così da poter rapportare, sempre in via ipotetica, due differenti scenari.</w:t>
      </w:r>
    </w:p>
    <w:p w14:paraId="7F0EC337" w14:textId="411E4884" w:rsidR="00C018A7" w:rsidRDefault="00C018A7" w:rsidP="00C018A7">
      <w:pPr>
        <w:spacing w:line="288" w:lineRule="auto"/>
      </w:pPr>
      <w:r>
        <w:t xml:space="preserve">Il </w:t>
      </w:r>
      <w:r w:rsidRPr="00E83C07">
        <w:rPr>
          <w:i/>
          <w:iCs/>
        </w:rPr>
        <w:t>primo</w:t>
      </w:r>
      <w:r>
        <w:t xml:space="preserve"> fa riferimento all’erroneità della considerazione in termini di insufficienza del giudizio di accettabilità, che quindi risultava in sé bastevole per ottenere l’abilitazione. Poiché la valutazione </w:t>
      </w:r>
      <w:r w:rsidR="00703C51">
        <w:t xml:space="preserve">di accettabilità </w:t>
      </w:r>
      <w:r>
        <w:t xml:space="preserve">era già stata resa dalla Commissione, </w:t>
      </w:r>
      <w:r w:rsidR="00703C51">
        <w:t>e il giudizio di accettabile and</w:t>
      </w:r>
      <w:r w:rsidR="0004506C">
        <w:t>ava</w:t>
      </w:r>
      <w:r w:rsidR="00703C51">
        <w:t xml:space="preserve"> considerato sufficiente, </w:t>
      </w:r>
      <w:r>
        <w:t>n</w:t>
      </w:r>
      <w:r w:rsidR="0004506C">
        <w:t>essun’altra scelta discrezionale</w:t>
      </w:r>
      <w:r>
        <w:t xml:space="preserve"> era da </w:t>
      </w:r>
      <w:r w:rsidR="0004506C">
        <w:t>effettuare da parte del</w:t>
      </w:r>
      <w:r>
        <w:t>l’Amministrazione</w:t>
      </w:r>
      <w:r w:rsidR="00703C51">
        <w:t xml:space="preserve">. </w:t>
      </w:r>
      <w:r w:rsidR="00703C51">
        <w:lastRenderedPageBreak/>
        <w:t>Q</w:t>
      </w:r>
      <w:r>
        <w:t>uest’ultima</w:t>
      </w:r>
      <w:r w:rsidR="00703C51">
        <w:t>, qualora avesse voluto far</w:t>
      </w:r>
      <w:r w:rsidR="00A91CD0">
        <w:t xml:space="preserve"> </w:t>
      </w:r>
      <w:r w:rsidR="00703C51">
        <w:t>valere</w:t>
      </w:r>
      <w:r w:rsidR="0004506C">
        <w:t>, in generale,</w:t>
      </w:r>
      <w:r w:rsidR="00703C51">
        <w:t xml:space="preserve"> profili </w:t>
      </w:r>
      <w:r w:rsidR="0004506C">
        <w:t xml:space="preserve">ed elementi </w:t>
      </w:r>
      <w:r w:rsidR="00703C51">
        <w:t>ulteriori, avrebbe</w:t>
      </w:r>
      <w:r w:rsidR="00100338">
        <w:t xml:space="preserve"> </w:t>
      </w:r>
      <w:r w:rsidR="00703C51">
        <w:t xml:space="preserve">dovuto </w:t>
      </w:r>
      <w:r>
        <w:t>solleva</w:t>
      </w:r>
      <w:r w:rsidR="00703C51">
        <w:t>re</w:t>
      </w:r>
      <w:r>
        <w:t xml:space="preserve"> apposita eccezione in giudizio</w:t>
      </w:r>
      <w:r w:rsidR="00703C51" w:rsidRPr="00703C51">
        <w:t xml:space="preserve"> </w:t>
      </w:r>
      <w:r w:rsidR="00703C51">
        <w:t>in senso corrispondente</w:t>
      </w:r>
      <w:r>
        <w:t xml:space="preserve">. </w:t>
      </w:r>
      <w:r w:rsidR="00FE3B97">
        <w:t>Non avendolo fatto, l</w:t>
      </w:r>
      <w:r>
        <w:t xml:space="preserve">a vicenda </w:t>
      </w:r>
      <w:r w:rsidR="00222D7A">
        <w:t>doveva</w:t>
      </w:r>
      <w:r>
        <w:t xml:space="preserve"> concludersi</w:t>
      </w:r>
      <w:r w:rsidR="00703C51">
        <w:t>, dunque,</w:t>
      </w:r>
      <w:r>
        <w:t xml:space="preserve"> con la condanna al rilascio dell’abilitazione.</w:t>
      </w:r>
    </w:p>
    <w:p w14:paraId="75C58FA5" w14:textId="3791C2ED" w:rsidR="00E83C07" w:rsidRDefault="00C018A7" w:rsidP="00C018A7">
      <w:pPr>
        <w:spacing w:line="288" w:lineRule="auto"/>
      </w:pPr>
      <w:r>
        <w:t xml:space="preserve">Il </w:t>
      </w:r>
      <w:r w:rsidRPr="00E83C07">
        <w:rPr>
          <w:i/>
          <w:iCs/>
        </w:rPr>
        <w:t>secondo</w:t>
      </w:r>
      <w:r>
        <w:t xml:space="preserve"> concerne l’erronea considerazione della mancanza di una monografia al contrario allegata. In questo scenario, </w:t>
      </w:r>
      <w:r w:rsidR="00100338">
        <w:t xml:space="preserve">assunta </w:t>
      </w:r>
      <w:r w:rsidR="00853B87">
        <w:t>l</w:t>
      </w:r>
      <w:r w:rsidR="00100338">
        <w:t xml:space="preserve">a relativa valutazione come non sostituibile da parte del giudice, e quindi discrezionale, </w:t>
      </w:r>
      <w:r>
        <w:t xml:space="preserve">la P.A. </w:t>
      </w:r>
      <w:r w:rsidR="00AF03F5">
        <w:t xml:space="preserve">(salvo proporre eccezioni su profili ulteriori nel corso del giudizio) </w:t>
      </w:r>
      <w:r>
        <w:t>avrebbe solo potuto dire se la seconda monografia era sufficiente</w:t>
      </w:r>
      <w:r w:rsidR="00853B87">
        <w:t xml:space="preserve"> o meno</w:t>
      </w:r>
      <w:r>
        <w:t xml:space="preserve">; </w:t>
      </w:r>
      <w:r w:rsidR="00853B87">
        <w:t>e</w:t>
      </w:r>
      <w:r>
        <w:t xml:space="preserve"> l’esaurimento</w:t>
      </w:r>
      <w:r w:rsidRPr="00E332DF">
        <w:t xml:space="preserve"> </w:t>
      </w:r>
      <w:r>
        <w:t>in giudizio del relativ</w:t>
      </w:r>
      <w:r w:rsidR="00E83EE9">
        <w:t>o profilo</w:t>
      </w:r>
      <w:r w:rsidR="00853B87" w:rsidRPr="00853B87">
        <w:t xml:space="preserve"> </w:t>
      </w:r>
      <w:r w:rsidR="00853B87">
        <w:t>si sarebbe potuto provocare</w:t>
      </w:r>
      <w:r w:rsidR="00E83EE9">
        <w:t xml:space="preserve"> attraverso l’allegazione della</w:t>
      </w:r>
      <w:r>
        <w:t xml:space="preserve"> valutazione</w:t>
      </w:r>
      <w:r w:rsidR="00853B87">
        <w:t xml:space="preserve"> stessa, </w:t>
      </w:r>
      <w:r w:rsidR="00853B87" w:rsidRPr="00853B87">
        <w:t>spontaneamente o su richiesta istruttoria di chiarimenti da parte del giudice</w:t>
      </w:r>
      <w:r>
        <w:t>.</w:t>
      </w:r>
    </w:p>
    <w:p w14:paraId="74640166" w14:textId="7E089C64" w:rsidR="00C018A7" w:rsidRPr="00E83EE9" w:rsidRDefault="00C018A7" w:rsidP="00C018A7">
      <w:pPr>
        <w:spacing w:line="288" w:lineRule="auto"/>
      </w:pPr>
      <w:r>
        <w:t>Il caso in questione si sarebbe</w:t>
      </w:r>
      <w:r w:rsidR="00222D7A" w:rsidRPr="00222D7A">
        <w:t xml:space="preserve"> </w:t>
      </w:r>
      <w:r w:rsidR="00222D7A">
        <w:t>quindi</w:t>
      </w:r>
      <w:r>
        <w:t xml:space="preserve"> dovuto concludere</w:t>
      </w:r>
      <w:r w:rsidR="00E83C07">
        <w:t>, in questa seconda ipotesi,</w:t>
      </w:r>
      <w:r>
        <w:t xml:space="preserve"> con l’accertamento della pretesa ad ottenere l’abilitazione al netto della valutazione positiva sulla seconda monografia</w:t>
      </w:r>
      <w:r w:rsidR="00E83EE9">
        <w:t>.</w:t>
      </w:r>
      <w:r w:rsidR="00E83C07">
        <w:t xml:space="preserve"> </w:t>
      </w:r>
      <w:r w:rsidR="00E83EE9">
        <w:t>In questi termini, s</w:t>
      </w:r>
      <w:r>
        <w:t xml:space="preserve">e l’allegazione di tale valutazione </w:t>
      </w:r>
      <w:r w:rsidR="00EF0F86">
        <w:t>fosse stata</w:t>
      </w:r>
      <w:r>
        <w:t xml:space="preserve"> provocata direttamente in giudizio, l’accertamento sar</w:t>
      </w:r>
      <w:r w:rsidR="00C445FC">
        <w:t>ebbe</w:t>
      </w:r>
      <w:r>
        <w:t xml:space="preserve"> </w:t>
      </w:r>
      <w:r w:rsidR="00EF0F86">
        <w:t xml:space="preserve">stato </w:t>
      </w:r>
      <w:r>
        <w:t>completo, e lo scenario sar</w:t>
      </w:r>
      <w:r w:rsidR="00EF0F86">
        <w:t>ebbe</w:t>
      </w:r>
      <w:r>
        <w:t xml:space="preserve"> identico al precedente</w:t>
      </w:r>
      <w:r w:rsidR="00E83EE9">
        <w:t>. M</w:t>
      </w:r>
      <w:r>
        <w:t xml:space="preserve">a, anche in caso </w:t>
      </w:r>
      <w:r w:rsidR="00E83C07">
        <w:t>di mancata allegazione</w:t>
      </w:r>
      <w:r>
        <w:t xml:space="preserve">, l’accertamento </w:t>
      </w:r>
      <w:r w:rsidR="00E83C07">
        <w:t xml:space="preserve">sarebbe comunque </w:t>
      </w:r>
      <w:r>
        <w:t>cad</w:t>
      </w:r>
      <w:r w:rsidR="00E83C07">
        <w:t>uto</w:t>
      </w:r>
      <w:r>
        <w:t xml:space="preserve"> sull</w:t>
      </w:r>
      <w:r w:rsidR="00E83EE9">
        <w:t xml:space="preserve">a pretesa sostanziale parzialmente accertata; e </w:t>
      </w:r>
      <w:r w:rsidR="00E83C07">
        <w:t xml:space="preserve">avrebbe </w:t>
      </w:r>
      <w:r w:rsidR="00E83EE9">
        <w:t>quindi cop</w:t>
      </w:r>
      <w:r w:rsidR="00E83C07">
        <w:t>erto</w:t>
      </w:r>
      <w:r w:rsidR="00E83EE9">
        <w:t xml:space="preserve"> gli elementi, dedotti o deducibili, riferibili agli elementi vincolati o ai profili di discrezionalità esaurita, lasciando fuori solo la discrezionalità </w:t>
      </w:r>
      <w:r w:rsidR="00E83EE9">
        <w:rPr>
          <w:i/>
          <w:iCs/>
        </w:rPr>
        <w:t>residua</w:t>
      </w:r>
      <w:r w:rsidR="00E83EE9">
        <w:t xml:space="preserve"> (la valutazione della seconda monografia). L’Amministrazione non </w:t>
      </w:r>
      <w:r w:rsidR="00E83C07">
        <w:t xml:space="preserve">avrebbe </w:t>
      </w:r>
      <w:r w:rsidR="00E83EE9">
        <w:t>pot</w:t>
      </w:r>
      <w:r w:rsidR="00E83C07">
        <w:t xml:space="preserve">uto conseguentemente </w:t>
      </w:r>
      <w:r w:rsidR="00E83EE9">
        <w:t>far valere, nel riesercizio dell’azione (</w:t>
      </w:r>
      <w:r w:rsidR="00E83EE9">
        <w:rPr>
          <w:i/>
          <w:iCs/>
        </w:rPr>
        <w:t>rectius</w:t>
      </w:r>
      <w:r w:rsidR="00E83EE9">
        <w:t>, nell’esecuzione della sentenza) profili ulteriori, pur in ipotesi sussistenti</w:t>
      </w:r>
      <w:r w:rsidR="00E83C07">
        <w:t xml:space="preserve">; non avrebbe potuto, quindi, fornire una diversa valutazione dei titoli precedentemente considerati, o modificare i criteri di valutazione, </w:t>
      </w:r>
      <w:r w:rsidR="00E83EE9">
        <w:t>ponendosi, altrimenti, in contrasto</w:t>
      </w:r>
      <w:r w:rsidR="00E83C07">
        <w:t xml:space="preserve"> con il giudicato (che coprirebbe, lo si ripete, l’intera pretesa, salva solo l’eventuale discrezionalità residua).</w:t>
      </w:r>
    </w:p>
    <w:p w14:paraId="56B85AE5" w14:textId="77777777" w:rsidR="00EA023C" w:rsidRDefault="00EA023C" w:rsidP="00ED34CB">
      <w:pPr>
        <w:spacing w:line="288" w:lineRule="auto"/>
      </w:pPr>
    </w:p>
    <w:p w14:paraId="141FB63B" w14:textId="77777777" w:rsidR="00E83C07" w:rsidRDefault="00721AAA" w:rsidP="00ED34CB">
      <w:pPr>
        <w:spacing w:line="288" w:lineRule="auto"/>
      </w:pPr>
      <w:r>
        <w:t xml:space="preserve">6.3 </w:t>
      </w:r>
      <w:r w:rsidR="00793C05">
        <w:t xml:space="preserve">Si noti </w:t>
      </w:r>
      <w:r w:rsidR="003D575A">
        <w:t xml:space="preserve">peraltro </w:t>
      </w:r>
      <w:r w:rsidR="00793C05">
        <w:t xml:space="preserve">che, nel caso </w:t>
      </w:r>
      <w:r w:rsidR="00E83EE9">
        <w:t>giudiziario richiamato</w:t>
      </w:r>
      <w:r w:rsidR="00793C05">
        <w:t>, la vicenda non si era conclusa solo con la negazione dell’ottemperanza. Frust</w:t>
      </w:r>
      <w:r w:rsidR="00643A4A">
        <w:t>r</w:t>
      </w:r>
      <w:r w:rsidR="00793C05">
        <w:t>ato dai limiti angusti dell’oggetto del processo di annullamento, il Cons</w:t>
      </w:r>
      <w:r w:rsidR="003D575A">
        <w:t>iglio</w:t>
      </w:r>
      <w:r w:rsidR="00793C05">
        <w:t xml:space="preserve"> </w:t>
      </w:r>
      <w:r w:rsidR="003D575A">
        <w:t xml:space="preserve">di </w:t>
      </w:r>
      <w:r w:rsidR="00793C05">
        <w:t>St</w:t>
      </w:r>
      <w:r w:rsidR="003D575A">
        <w:t>ato</w:t>
      </w:r>
      <w:r w:rsidR="00793C05">
        <w:t xml:space="preserve"> aveva infatti riconosciuto la possibilità di ipotizzare una preclusione sostanziale,</w:t>
      </w:r>
      <w:r w:rsidR="00744C71">
        <w:t xml:space="preserve"> con l’esaurimento della discrezionalità, in quanto,</w:t>
      </w:r>
      <w:r w:rsidR="00793C05">
        <w:t xml:space="preserve"> a suo d</w:t>
      </w:r>
      <w:r w:rsidR="00744C71">
        <w:t xml:space="preserve">ire, </w:t>
      </w:r>
      <w:r w:rsidR="00793C05">
        <w:t>nel plurimo riesercizio del potere sarebbe stata violata la buona fede</w:t>
      </w:r>
      <w:r w:rsidR="00597D01">
        <w:t xml:space="preserve"> del soggetto privato</w:t>
      </w:r>
      <w:r w:rsidR="00793C05">
        <w:t>.</w:t>
      </w:r>
    </w:p>
    <w:p w14:paraId="23D502DE" w14:textId="4E57A9F3" w:rsidR="00793C05" w:rsidRDefault="00793C05" w:rsidP="00ED34CB">
      <w:pPr>
        <w:spacing w:line="288" w:lineRule="auto"/>
      </w:pPr>
      <w:r>
        <w:t xml:space="preserve">In questo modo, si </w:t>
      </w:r>
      <w:r w:rsidR="00597D01">
        <w:t xml:space="preserve">è </w:t>
      </w:r>
      <w:r>
        <w:t>rilascia</w:t>
      </w:r>
      <w:r w:rsidR="00597D01">
        <w:t>ta</w:t>
      </w:r>
      <w:r>
        <w:t xml:space="preserve"> l’abilitazione senza che la seconda monografi</w:t>
      </w:r>
      <w:r w:rsidR="003D575A">
        <w:t xml:space="preserve">a </w:t>
      </w:r>
      <w:r>
        <w:t>sia stata valutata</w:t>
      </w:r>
      <w:r w:rsidR="00EA023C">
        <w:t>, come sarebbe stato necessario stante i limiti del giudicato di annullamento</w:t>
      </w:r>
      <w:r>
        <w:t xml:space="preserve">. </w:t>
      </w:r>
      <w:r w:rsidR="00EA023C">
        <w:t xml:space="preserve">Se ci raccordiamo al secondo esempio riportato, che di ciò risulta espressione, si ha di fatto </w:t>
      </w:r>
      <w:r w:rsidR="00E83EE9">
        <w:t>il risultato per cui</w:t>
      </w:r>
      <w:r>
        <w:t>, per evitare di dare meno di quanto spetta</w:t>
      </w:r>
      <w:r w:rsidR="00744C71">
        <w:t>,</w:t>
      </w:r>
      <w:r>
        <w:t xml:space="preserve"> si dà di più di quanto </w:t>
      </w:r>
      <w:r w:rsidR="00597D01">
        <w:t xml:space="preserve">– con riferimento all’ipotesi prospettata – sarebbe </w:t>
      </w:r>
      <w:r>
        <w:t>spetta</w:t>
      </w:r>
      <w:r w:rsidR="00597D01">
        <w:t>to.</w:t>
      </w:r>
    </w:p>
    <w:p w14:paraId="3DDBBC2A" w14:textId="77777777" w:rsidR="00793C05" w:rsidRDefault="00793C05" w:rsidP="00ED34CB">
      <w:pPr>
        <w:spacing w:line="288" w:lineRule="auto"/>
      </w:pPr>
    </w:p>
    <w:p w14:paraId="3B1977E2" w14:textId="544FD604" w:rsidR="004820EC" w:rsidRDefault="00721AAA" w:rsidP="00ED34CB">
      <w:pPr>
        <w:spacing w:line="288" w:lineRule="auto"/>
      </w:pPr>
      <w:r>
        <w:t xml:space="preserve">6.4 </w:t>
      </w:r>
      <w:r w:rsidR="00793C05">
        <w:t>Il punto è proprio questo. Racchiudere il potere in una situazione giuridica sostanziale</w:t>
      </w:r>
      <w:r w:rsidR="00552B0A">
        <w:t xml:space="preserve"> che </w:t>
      </w:r>
      <w:r w:rsidR="00744C71">
        <w:t>possa porsi</w:t>
      </w:r>
      <w:r w:rsidR="00552B0A">
        <w:t xml:space="preserve"> in termini di </w:t>
      </w:r>
      <w:r w:rsidR="003216C7">
        <w:t>pretesa-</w:t>
      </w:r>
      <w:r w:rsidR="00552B0A">
        <w:t>obbligo nei confronti del cittadino è ciò che, come detto, consente di soggettivizzare l’intera regolamentazione del potere, siccome inerente ad una specifica vicenda concreta. La conseguente possibilità di porre tale situazione ad oggetto del processo amministrativo, a sua volta, è ciò che consente di realizzare la piena attuazione dell’art. 24 Cost. e dell’art. 7 c.p.a., sulla strumentalità del processo alla situazione sostanziale.</w:t>
      </w:r>
      <w:r w:rsidR="00A32951">
        <w:t xml:space="preserve"> </w:t>
      </w:r>
      <w:r w:rsidR="00BA0D72">
        <w:t>Se non ci si pone in tali termini</w:t>
      </w:r>
      <w:r w:rsidR="00552B0A">
        <w:t xml:space="preserve">, </w:t>
      </w:r>
      <w:r w:rsidR="00BA0D72">
        <w:t xml:space="preserve">il processo non può sopperire ad una mancanza che </w:t>
      </w:r>
      <w:r w:rsidR="004820EC">
        <w:t>risulta</w:t>
      </w:r>
      <w:r w:rsidR="00BA0D72">
        <w:t xml:space="preserve"> propria del diritto sostanziale.</w:t>
      </w:r>
    </w:p>
    <w:p w14:paraId="57D26D31" w14:textId="334D649C" w:rsidR="00C445FC" w:rsidRDefault="00BA0D72" w:rsidP="00ED34CB">
      <w:pPr>
        <w:spacing w:line="288" w:lineRule="auto"/>
      </w:pPr>
      <w:r>
        <w:lastRenderedPageBreak/>
        <w:t xml:space="preserve">Il rischio è allora quello di </w:t>
      </w:r>
      <w:r w:rsidR="00C445FC">
        <w:t>assistere all’utilizzo artificioso di preclusioni sostanziali, che tuttavia, come già avvertito, discostano l’esito dell’azione dalla realtà giuridica sostanziale (ciò che effettivamente spetta).</w:t>
      </w:r>
    </w:p>
    <w:p w14:paraId="28825AD2" w14:textId="77777777" w:rsidR="00C445FC" w:rsidRDefault="00C445FC" w:rsidP="00ED34CB">
      <w:pPr>
        <w:spacing w:line="288" w:lineRule="auto"/>
      </w:pPr>
    </w:p>
    <w:p w14:paraId="64F8C578" w14:textId="7FF88917" w:rsidR="008E1F56" w:rsidRDefault="00A32951" w:rsidP="00ED34CB">
      <w:pPr>
        <w:spacing w:line="288" w:lineRule="auto"/>
      </w:pPr>
      <w:r>
        <w:t>7</w:t>
      </w:r>
      <w:r w:rsidR="003216C7">
        <w:t xml:space="preserve">. </w:t>
      </w:r>
      <w:r w:rsidR="00A166F8">
        <w:t xml:space="preserve">Questo quello che, a nostro avviso, si dovrebbe </w:t>
      </w:r>
      <w:r w:rsidR="002204B6">
        <w:t>riconoscere</w:t>
      </w:r>
      <w:r w:rsidR="00A166F8">
        <w:t xml:space="preserve"> rapportando il dato sostanziale a quello processuale del Codice del processo amministrativo.</w:t>
      </w:r>
    </w:p>
    <w:p w14:paraId="06FE34B2" w14:textId="77777777" w:rsidR="00597D01" w:rsidRDefault="00A166F8" w:rsidP="00ED34CB">
      <w:pPr>
        <w:spacing w:line="288" w:lineRule="auto"/>
      </w:pPr>
      <w:r>
        <w:t xml:space="preserve">Come detto, dopo quindici anni, ciò non è dato riscontrare: la realtà </w:t>
      </w:r>
      <w:r w:rsidR="002204B6">
        <w:t xml:space="preserve">normativa </w:t>
      </w:r>
      <w:r>
        <w:t>è filtrata ancora nel pri</w:t>
      </w:r>
      <w:r w:rsidR="002204B6">
        <w:t>s</w:t>
      </w:r>
      <w:r>
        <w:t xml:space="preserve">ma della precedente elaborazione. Il processo amministrativo è </w:t>
      </w:r>
      <w:r w:rsidR="002204B6">
        <w:t>rimasto</w:t>
      </w:r>
      <w:r>
        <w:t xml:space="preserve"> un processo di annullamento</w:t>
      </w:r>
      <w:r w:rsidR="002204B6">
        <w:t>,</w:t>
      </w:r>
      <w:r>
        <w:t xml:space="preserve"> solo </w:t>
      </w:r>
      <w:r w:rsidRPr="002204B6">
        <w:rPr>
          <w:i/>
          <w:iCs/>
        </w:rPr>
        <w:t>funzionalizzato</w:t>
      </w:r>
      <w:r>
        <w:t xml:space="preserve"> alla tutela dell’interesse del ricorrente</w:t>
      </w:r>
      <w:r w:rsidR="002204B6">
        <w:t xml:space="preserve">; </w:t>
      </w:r>
      <w:r>
        <w:t>secondo quell’immagine</w:t>
      </w:r>
      <w:r w:rsidR="007503B3">
        <w:t xml:space="preserve"> fornita</w:t>
      </w:r>
      <w:r>
        <w:t xml:space="preserve"> da Nigro, ma che il Maestro era costretto a dare in </w:t>
      </w:r>
      <w:r w:rsidR="0010523B">
        <w:t>ragione del</w:t>
      </w:r>
      <w:r>
        <w:t>la realtà positiva di riferimento</w:t>
      </w:r>
      <w:r w:rsidR="0010523B">
        <w:t xml:space="preserve"> dell’epoca</w:t>
      </w:r>
      <w:r>
        <w:t>, di cui Egli stesso auspicava il superamento</w:t>
      </w:r>
      <w:r w:rsidR="008E1F56">
        <w:rPr>
          <w:rStyle w:val="Rimandonotaapidipagina"/>
        </w:rPr>
        <w:footnoteReference w:id="40"/>
      </w:r>
      <w:r>
        <w:t>.</w:t>
      </w:r>
    </w:p>
    <w:p w14:paraId="54792318" w14:textId="2E7D0FB9" w:rsidR="004041D3" w:rsidRDefault="00597D01" w:rsidP="00ED34CB">
      <w:pPr>
        <w:spacing w:line="288" w:lineRule="auto"/>
      </w:pPr>
      <w:r>
        <w:t>Ciò che è mancato, come si è cercato di spiegare, non è stat</w:t>
      </w:r>
      <w:r w:rsidR="00705801">
        <w:t>o</w:t>
      </w:r>
      <w:r>
        <w:t xml:space="preserve"> tanto </w:t>
      </w:r>
      <w:r w:rsidR="00705801">
        <w:t>l’assenza di</w:t>
      </w:r>
      <w:r>
        <w:t xml:space="preserve"> adeguamento, in sé, ai nuovi canoni processuali. Piuttosto, non si è avuta la consapevolezza che il Codice richiedeva, per </w:t>
      </w:r>
      <w:r w:rsidR="00180FA3">
        <w:t xml:space="preserve">tale adeguamento, per </w:t>
      </w:r>
      <w:r>
        <w:t>poter trovare</w:t>
      </w:r>
      <w:r w:rsidR="00180FA3">
        <w:t>, cioè,</w:t>
      </w:r>
      <w:r>
        <w:t xml:space="preserve"> effettiva applicazione, una precisa definizione del dato </w:t>
      </w:r>
      <w:r>
        <w:rPr>
          <w:i/>
          <w:iCs/>
        </w:rPr>
        <w:t>sostanziale</w:t>
      </w:r>
      <w:r>
        <w:t xml:space="preserve"> di riferimento, della situazione da porre ad oggetto del giudizio</w:t>
      </w:r>
      <w:r w:rsidR="00705801">
        <w:t xml:space="preserve"> (l’interesse legittimo)</w:t>
      </w:r>
      <w:r>
        <w:t>.</w:t>
      </w:r>
      <w:r w:rsidR="00EC4985" w:rsidRPr="00EC4985">
        <w:t xml:space="preserve"> </w:t>
      </w:r>
      <w:r w:rsidR="00EC4985">
        <w:t>Nonostante una parte della dottrina si sia mossa in seria direzione in questo senso, la considerazione comune, e in via generale quella della giurisprudenza, è infatti rimasta nel seno delle (apparentemente) rassicuranti categorie tradizionali; perpetuando tuttavia, proprio per tale ragione, le discrasie teoriche, e le incongruenze pratiche, proprie del sistema precedente.</w:t>
      </w:r>
    </w:p>
    <w:p w14:paraId="620D9E4A" w14:textId="39039ABB" w:rsidR="008E1F56" w:rsidRDefault="008E1F56" w:rsidP="00ED34CB">
      <w:pPr>
        <w:spacing w:line="288" w:lineRule="auto"/>
      </w:pPr>
      <w:r>
        <w:t>L’interpretazione del dato nuovo all’insegna della tradizione è</w:t>
      </w:r>
      <w:r w:rsidR="00EA2C5B">
        <w:t>,</w:t>
      </w:r>
      <w:r>
        <w:t xml:space="preserve"> </w:t>
      </w:r>
      <w:r w:rsidR="00EA2C5B">
        <w:t>del resto,</w:t>
      </w:r>
      <w:r>
        <w:t xml:space="preserve"> </w:t>
      </w:r>
      <w:r w:rsidR="004041D3">
        <w:t>profilo consueto nella considerazione socio-culturale, prima ancora che giuridica, di un fenomeno in evoluzione.</w:t>
      </w:r>
      <w:r w:rsidR="009D3335">
        <w:t xml:space="preserve"> </w:t>
      </w:r>
      <w:r w:rsidR="007503B3">
        <w:t>Nell’insistere</w:t>
      </w:r>
      <w:r>
        <w:t xml:space="preserve">, dunque, </w:t>
      </w:r>
      <w:r w:rsidR="007503B3">
        <w:t>sulla</w:t>
      </w:r>
      <w:r w:rsidR="00A166F8">
        <w:t xml:space="preserve"> rappresentazione</w:t>
      </w:r>
      <w:r w:rsidR="007503B3">
        <w:t xml:space="preserve"> effettuata</w:t>
      </w:r>
      <w:r w:rsidR="00A166F8">
        <w:t xml:space="preserve">, ci rende fiduciosi la circostanza </w:t>
      </w:r>
      <w:r>
        <w:t>per cui</w:t>
      </w:r>
      <w:r w:rsidR="00A166F8">
        <w:t xml:space="preserve"> a fronte di un altro, e ben maggiore, intervento, </w:t>
      </w:r>
      <w:r w:rsidR="007503B3">
        <w:t xml:space="preserve">cioè </w:t>
      </w:r>
      <w:r w:rsidR="00A166F8">
        <w:t>l’avvento della Costituzione Repubblicana, l’impostazione generale si mantenne inalterata rispetto alla realtà precedente</w:t>
      </w:r>
      <w:r w:rsidR="007503B3">
        <w:t xml:space="preserve"> per un paio di decenni, </w:t>
      </w:r>
      <w:r w:rsidR="00A166F8">
        <w:t>e solo più tardi</w:t>
      </w:r>
      <w:r w:rsidR="00554B4B">
        <w:t xml:space="preserve"> d</w:t>
      </w:r>
      <w:r w:rsidR="00753E46">
        <w:t>i essa</w:t>
      </w:r>
      <w:r>
        <w:t xml:space="preserve"> </w:t>
      </w:r>
      <w:r w:rsidR="00A166F8">
        <w:t>s</w:t>
      </w:r>
      <w:r>
        <w:t>i</w:t>
      </w:r>
      <w:r w:rsidR="00A166F8">
        <w:t xml:space="preserve"> </w:t>
      </w:r>
      <w:r w:rsidR="007503B3">
        <w:t xml:space="preserve">è sviluppata </w:t>
      </w:r>
      <w:r w:rsidR="00A166F8">
        <w:t>l’effettiva portata.</w:t>
      </w:r>
    </w:p>
    <w:p w14:paraId="78945601" w14:textId="693DAC20" w:rsidR="00A166F8" w:rsidRDefault="00A65191" w:rsidP="00ED34CB">
      <w:pPr>
        <w:spacing w:line="288" w:lineRule="auto"/>
      </w:pPr>
      <w:r>
        <w:t>Si auspica, quindi, che una nuova generazione d</w:t>
      </w:r>
      <w:r w:rsidR="007503B3">
        <w:t>i giuristi possa cogliere appieno</w:t>
      </w:r>
      <w:r>
        <w:t xml:space="preserve"> tale prospettiva</w:t>
      </w:r>
      <w:r w:rsidR="00647BA3">
        <w:rPr>
          <w:rStyle w:val="Rimandonotaapidipagina"/>
        </w:rPr>
        <w:footnoteReference w:id="41"/>
      </w:r>
      <w:r>
        <w:t xml:space="preserve">, di cui, forse, </w:t>
      </w:r>
      <w:r w:rsidR="008E1F56">
        <w:t>il</w:t>
      </w:r>
      <w:r>
        <w:t xml:space="preserve"> convegno</w:t>
      </w:r>
      <w:r w:rsidR="0010523B">
        <w:t xml:space="preserve"> a cui si è preso parte</w:t>
      </w:r>
      <w:r>
        <w:t xml:space="preserve"> potrebbe rappresentare un primo incitamento in tal senso.</w:t>
      </w:r>
    </w:p>
    <w:p w14:paraId="0A3FAFF2" w14:textId="77777777" w:rsidR="000052CA" w:rsidRDefault="000052CA" w:rsidP="00ED34CB">
      <w:pPr>
        <w:spacing w:line="288" w:lineRule="auto"/>
      </w:pPr>
    </w:p>
    <w:p w14:paraId="61A3516C" w14:textId="77777777" w:rsidR="000052CA" w:rsidRDefault="000052CA" w:rsidP="00ED34CB">
      <w:pPr>
        <w:spacing w:line="288" w:lineRule="auto"/>
      </w:pPr>
    </w:p>
    <w:p w14:paraId="6FF39D52" w14:textId="77777777" w:rsidR="000052CA" w:rsidRDefault="000052CA" w:rsidP="00ED34CB">
      <w:pPr>
        <w:spacing w:line="288" w:lineRule="auto"/>
      </w:pPr>
    </w:p>
    <w:p w14:paraId="6E9FB76D" w14:textId="678795A7" w:rsidR="000052CA" w:rsidRDefault="000052CA" w:rsidP="000052CA">
      <w:pPr>
        <w:ind w:right="1133" w:firstLine="567"/>
        <w:rPr>
          <w:i/>
          <w:iCs/>
        </w:rPr>
      </w:pPr>
      <w:r>
        <w:rPr>
          <w:i/>
          <w:iCs/>
        </w:rPr>
        <w:lastRenderedPageBreak/>
        <w:t>Andrea Carbone</w:t>
      </w:r>
      <w:r w:rsidRPr="00EB592C">
        <w:rPr>
          <w:i/>
          <w:iCs/>
        </w:rPr>
        <w:t xml:space="preserve">, </w:t>
      </w:r>
      <w:r>
        <w:rPr>
          <w:i/>
          <w:iCs/>
        </w:rPr>
        <w:t>Professore Associato di Diritto amministrativo e pubblico</w:t>
      </w:r>
    </w:p>
    <w:p w14:paraId="255B211B" w14:textId="77777777" w:rsidR="000052CA" w:rsidRPr="00EB592C" w:rsidRDefault="000052CA" w:rsidP="000052CA">
      <w:pPr>
        <w:ind w:right="1133" w:firstLine="567"/>
        <w:rPr>
          <w:i/>
          <w:iCs/>
        </w:rPr>
      </w:pPr>
    </w:p>
    <w:p w14:paraId="004CCE7B" w14:textId="77777777" w:rsidR="000052CA" w:rsidRPr="00EB592C" w:rsidRDefault="000052CA" w:rsidP="000052CA">
      <w:pPr>
        <w:ind w:right="1133" w:firstLine="567"/>
        <w:rPr>
          <w:i/>
          <w:iCs/>
        </w:rPr>
      </w:pPr>
      <w:r w:rsidRPr="00EB592C">
        <w:rPr>
          <w:i/>
          <w:iCs/>
        </w:rPr>
        <w:t>Le opinioni di cui al presente contributo sono espresse dall’Autore a titolo personale; esse non impegnano l'Ufficio studi della Giustizia amministrativa, né quest'ultima quale Istituzione.</w:t>
      </w:r>
    </w:p>
    <w:p w14:paraId="3257D554" w14:textId="77777777" w:rsidR="000052CA" w:rsidRPr="005E710D" w:rsidRDefault="000052CA" w:rsidP="00ED34CB">
      <w:pPr>
        <w:spacing w:line="288" w:lineRule="auto"/>
      </w:pPr>
    </w:p>
    <w:sectPr w:rsidR="000052CA" w:rsidRPr="005E710D">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DF17" w14:textId="77777777" w:rsidR="001B5B7F" w:rsidRDefault="001B5B7F" w:rsidP="00BE37BE">
      <w:r>
        <w:separator/>
      </w:r>
    </w:p>
  </w:endnote>
  <w:endnote w:type="continuationSeparator" w:id="0">
    <w:p w14:paraId="09204328" w14:textId="77777777" w:rsidR="001B5B7F" w:rsidRDefault="001B5B7F" w:rsidP="00BE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Garamond  (simoncini)">
    <w:altName w:val="Times New Roman"/>
    <w:panose1 w:val="00000000000000000000"/>
    <w:charset w:val="00"/>
    <w:family w:val="roman"/>
    <w:notTrueType/>
    <w:pitch w:val="default"/>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5741782"/>
      <w:docPartObj>
        <w:docPartGallery w:val="Page Numbers (Bottom of Page)"/>
        <w:docPartUnique/>
      </w:docPartObj>
    </w:sdtPr>
    <w:sdtEndPr/>
    <w:sdtContent>
      <w:p w14:paraId="40415CD6" w14:textId="05869353" w:rsidR="005306E5" w:rsidRDefault="005306E5" w:rsidP="005306E5">
        <w:pPr>
          <w:pStyle w:val="Pidipagina"/>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1053" w14:textId="77777777" w:rsidR="001B5B7F" w:rsidRDefault="001B5B7F" w:rsidP="00BE37BE">
      <w:r>
        <w:separator/>
      </w:r>
    </w:p>
  </w:footnote>
  <w:footnote w:type="continuationSeparator" w:id="0">
    <w:p w14:paraId="30C698BE" w14:textId="77777777" w:rsidR="001B5B7F" w:rsidRDefault="001B5B7F" w:rsidP="00BE37BE">
      <w:r>
        <w:continuationSeparator/>
      </w:r>
    </w:p>
  </w:footnote>
  <w:footnote w:id="1">
    <w:p w14:paraId="51F80D5B" w14:textId="49221FFD" w:rsidR="00675DA0" w:rsidRPr="00E4396E" w:rsidRDefault="00675DA0">
      <w:pPr>
        <w:pStyle w:val="Testonotaapidipagina"/>
      </w:pPr>
      <w:r w:rsidRPr="00E4396E">
        <w:rPr>
          <w:rStyle w:val="Rimandonotaapidipagina"/>
        </w:rPr>
        <w:t>*</w:t>
      </w:r>
      <w:r w:rsidRPr="00E4396E">
        <w:t xml:space="preserve"> </w:t>
      </w:r>
      <w:r w:rsidR="002F22EF" w:rsidRPr="00E4396E">
        <w:t>R</w:t>
      </w:r>
      <w:r w:rsidRPr="00E4396E">
        <w:t xml:space="preserve">elazione tenuta al convegno </w:t>
      </w:r>
      <w:r w:rsidR="009669F4" w:rsidRPr="00E4396E">
        <w:t>“</w:t>
      </w:r>
      <w:r w:rsidRPr="00E4396E">
        <w:t>Il processo amministrativo a quindici anni dal Codice</w:t>
      </w:r>
      <w:r w:rsidR="009669F4" w:rsidRPr="00E4396E">
        <w:t>”</w:t>
      </w:r>
      <w:r w:rsidRPr="00E4396E">
        <w:t>, tenutosi presso l’Università LUM il 14-15 novembre 2025.</w:t>
      </w:r>
      <w:r w:rsidR="0033150B" w:rsidRPr="00E4396E">
        <w:t xml:space="preserve"> È in pubblicazione nei relativi Atti.</w:t>
      </w:r>
    </w:p>
  </w:footnote>
  <w:footnote w:id="2">
    <w:p w14:paraId="3D69EB50" w14:textId="3199057F" w:rsidR="005F3419" w:rsidRPr="00E4396E" w:rsidRDefault="005F3419" w:rsidP="001B22E9">
      <w:pPr>
        <w:pStyle w:val="Testonotaapidipagina"/>
      </w:pPr>
      <w:r w:rsidRPr="00E4396E">
        <w:rPr>
          <w:rStyle w:val="Rimandonotaapidipagina"/>
        </w:rPr>
        <w:footnoteRef/>
      </w:r>
      <w:r w:rsidRPr="00E4396E">
        <w:t xml:space="preserve"> </w:t>
      </w:r>
      <w:r w:rsidR="00C03E7A" w:rsidRPr="00E4396E">
        <w:t xml:space="preserve">Si veda in generale </w:t>
      </w:r>
      <w:r w:rsidR="00C03E7A" w:rsidRPr="00E4396E">
        <w:rPr>
          <w:smallCaps/>
        </w:rPr>
        <w:t>M. Fornaciari</w:t>
      </w:r>
      <w:r w:rsidR="00C03E7A" w:rsidRPr="00E4396E">
        <w:t xml:space="preserve">, </w:t>
      </w:r>
      <w:r w:rsidR="00C03E7A" w:rsidRPr="00E4396E">
        <w:rPr>
          <w:i/>
        </w:rPr>
        <w:t>Lineamenti di una teoria generale dell’accertamento giuridico</w:t>
      </w:r>
      <w:r w:rsidR="00C03E7A" w:rsidRPr="00E4396E">
        <w:t xml:space="preserve">, Torino, 2002, p. 210 ss. </w:t>
      </w:r>
      <w:r w:rsidRPr="00E4396E">
        <w:t xml:space="preserve">Sul punto, si rinvia a quanto considerato </w:t>
      </w:r>
      <w:r w:rsidR="00C03E7A" w:rsidRPr="00E4396E">
        <w:t xml:space="preserve">nello specifico </w:t>
      </w:r>
      <w:r w:rsidRPr="00E4396E">
        <w:t xml:space="preserve">in </w:t>
      </w:r>
      <w:r w:rsidRPr="00E4396E">
        <w:rPr>
          <w:smallCaps/>
        </w:rPr>
        <w:t>A. Carbone</w:t>
      </w:r>
      <w:r w:rsidRPr="00E4396E">
        <w:t xml:space="preserve">, </w:t>
      </w:r>
      <w:r w:rsidRPr="00E4396E">
        <w:rPr>
          <w:i/>
          <w:iCs/>
        </w:rPr>
        <w:t>Potere e situazioni soggettive nel diritto amministrativo</w:t>
      </w:r>
      <w:r w:rsidRPr="00E4396E">
        <w:t xml:space="preserve">, I, </w:t>
      </w:r>
      <w:r w:rsidRPr="00E4396E">
        <w:rPr>
          <w:i/>
          <w:iCs/>
        </w:rPr>
        <w:t>Situazioni giuridiche soggettive e modello procedurale di accertamento</w:t>
      </w:r>
      <w:r w:rsidRPr="00E4396E">
        <w:t>, Torino, 2020, rist. 2025, p</w:t>
      </w:r>
      <w:r w:rsidR="006B7AA2" w:rsidRPr="00E4396E">
        <w:t>.</w:t>
      </w:r>
      <w:r w:rsidRPr="00E4396E">
        <w:t xml:space="preserve"> 112 ss.</w:t>
      </w:r>
    </w:p>
  </w:footnote>
  <w:footnote w:id="3">
    <w:p w14:paraId="434723CF" w14:textId="2FAC396B" w:rsidR="00BE37BE" w:rsidRPr="00E4396E" w:rsidRDefault="00BE37BE" w:rsidP="001B22E9">
      <w:pPr>
        <w:pStyle w:val="Testonotaapidipagina"/>
      </w:pPr>
      <w:r w:rsidRPr="00E4396E">
        <w:rPr>
          <w:rStyle w:val="Rimandonotaapidipagina"/>
        </w:rPr>
        <w:footnoteRef/>
      </w:r>
      <w:r w:rsidRPr="00E4396E">
        <w:t xml:space="preserve"> </w:t>
      </w:r>
      <w:r w:rsidR="005F3419" w:rsidRPr="00E4396E">
        <w:t xml:space="preserve">Cfr. ad es. </w:t>
      </w:r>
      <w:r w:rsidR="005F3419" w:rsidRPr="00E4396E">
        <w:rPr>
          <w:smallCaps/>
        </w:rPr>
        <w:t>A. Proto Pisani</w:t>
      </w:r>
      <w:r w:rsidR="005F3419" w:rsidRPr="00E4396E">
        <w:t xml:space="preserve">, </w:t>
      </w:r>
      <w:r w:rsidR="005F3419" w:rsidRPr="00E4396E">
        <w:rPr>
          <w:i/>
        </w:rPr>
        <w:t>Lezioni di diritto processuale civile</w:t>
      </w:r>
      <w:r w:rsidR="005F3419" w:rsidRPr="00E4396E">
        <w:t xml:space="preserve">, Napoli, 2024, pp. 72-73; </w:t>
      </w:r>
      <w:r w:rsidR="005F3419" w:rsidRPr="00E4396E">
        <w:rPr>
          <w:smallCaps/>
        </w:rPr>
        <w:t>A. Chizzini</w:t>
      </w:r>
      <w:r w:rsidR="005F3419" w:rsidRPr="00E4396E">
        <w:t xml:space="preserve">, </w:t>
      </w:r>
      <w:r w:rsidR="00C03E7A" w:rsidRPr="00E4396E">
        <w:rPr>
          <w:i/>
        </w:rPr>
        <w:t>La tutela giurisdizionale dei diritti</w:t>
      </w:r>
      <w:r w:rsidR="00C03E7A" w:rsidRPr="00E4396E">
        <w:t>, Milano, 2018</w:t>
      </w:r>
      <w:r w:rsidR="005F3419" w:rsidRPr="00E4396E">
        <w:t>, p. 64 ss.</w:t>
      </w:r>
    </w:p>
  </w:footnote>
  <w:footnote w:id="4">
    <w:p w14:paraId="0281C466" w14:textId="766CC588" w:rsidR="008E1F56" w:rsidRPr="00E4396E" w:rsidRDefault="008E1F56" w:rsidP="001B22E9">
      <w:pPr>
        <w:pStyle w:val="Testonotaapidipagina"/>
        <w:rPr>
          <w:smallCaps/>
        </w:rPr>
      </w:pPr>
      <w:r w:rsidRPr="00E4396E">
        <w:rPr>
          <w:rStyle w:val="Rimandonotaapidipagina"/>
        </w:rPr>
        <w:footnoteRef/>
      </w:r>
      <w:r w:rsidRPr="00E4396E">
        <w:t xml:space="preserve"> </w:t>
      </w:r>
      <w:r w:rsidR="006F529C" w:rsidRPr="00E4396E">
        <w:t xml:space="preserve">Si veda in particolare </w:t>
      </w:r>
      <w:r w:rsidR="006F529C" w:rsidRPr="00E4396E">
        <w:rPr>
          <w:smallCaps/>
        </w:rPr>
        <w:t>A. Motto</w:t>
      </w:r>
      <w:r w:rsidR="006F529C" w:rsidRPr="00E4396E">
        <w:t xml:space="preserve">, </w:t>
      </w:r>
      <w:r w:rsidR="006F529C" w:rsidRPr="00E4396E">
        <w:rPr>
          <w:i/>
        </w:rPr>
        <w:t>Poteri sostanziali e tutela giurisdizionale</w:t>
      </w:r>
      <w:r w:rsidR="006F529C" w:rsidRPr="00E4396E">
        <w:t xml:space="preserve">, Torino, 2012, p. 385 ss. Sul punto, cfr. quanto da noi rappresentato in </w:t>
      </w:r>
      <w:r w:rsidR="006F529C" w:rsidRPr="00E4396E">
        <w:rPr>
          <w:i/>
          <w:iCs/>
        </w:rPr>
        <w:t>Potere e situazioni soggettive</w:t>
      </w:r>
      <w:r w:rsidR="006F529C" w:rsidRPr="00E4396E">
        <w:t>, I. cit., p. 120 ss.</w:t>
      </w:r>
      <w:r w:rsidR="0070570F" w:rsidRPr="00E4396E">
        <w:t xml:space="preserve">; II-1, </w:t>
      </w:r>
      <w:r w:rsidR="0070570F" w:rsidRPr="00E4396E">
        <w:rPr>
          <w:i/>
          <w:iCs/>
        </w:rPr>
        <w:t>La situazione giuridica a rilievo sostanziale quale oggetto del processo amministrativo</w:t>
      </w:r>
      <w:r w:rsidR="0070570F" w:rsidRPr="00E4396E">
        <w:t>, Torino, 2022, rist. 2025, p. 90 ss.</w:t>
      </w:r>
    </w:p>
  </w:footnote>
  <w:footnote w:id="5">
    <w:p w14:paraId="4E45A6BC" w14:textId="2239FC4B" w:rsidR="008E1F56" w:rsidRPr="00E4396E" w:rsidRDefault="008E1F56" w:rsidP="001B22E9">
      <w:pPr>
        <w:pStyle w:val="Testonotaapidipagina"/>
        <w:rPr>
          <w:i/>
          <w:iCs/>
        </w:rPr>
      </w:pPr>
      <w:r w:rsidRPr="00E4396E">
        <w:rPr>
          <w:rStyle w:val="Rimandonotaapidipagina"/>
        </w:rPr>
        <w:footnoteRef/>
      </w:r>
      <w:r w:rsidRPr="00E4396E">
        <w:t xml:space="preserve"> </w:t>
      </w:r>
      <w:r w:rsidR="006F529C" w:rsidRPr="00E4396E">
        <w:rPr>
          <w:smallCaps/>
        </w:rPr>
        <w:t>A. Motto</w:t>
      </w:r>
      <w:r w:rsidR="006F529C" w:rsidRPr="00E4396E">
        <w:t xml:space="preserve">, </w:t>
      </w:r>
      <w:r w:rsidR="006F529C" w:rsidRPr="00E4396E">
        <w:rPr>
          <w:i/>
          <w:iCs/>
        </w:rPr>
        <w:t>Poteri sostanziali</w:t>
      </w:r>
      <w:r w:rsidR="006F529C" w:rsidRPr="00E4396E">
        <w:t xml:space="preserve">, cit., p. 412 ss.; nonché, da parte nostra, </w:t>
      </w:r>
      <w:r w:rsidR="006F529C" w:rsidRPr="00E4396E">
        <w:rPr>
          <w:i/>
          <w:iCs/>
        </w:rPr>
        <w:t>Potere</w:t>
      </w:r>
      <w:r w:rsidR="006F529C" w:rsidRPr="00E4396E">
        <w:t xml:space="preserve">, I, </w:t>
      </w:r>
      <w:r w:rsidR="006F529C" w:rsidRPr="00E4396E">
        <w:rPr>
          <w:i/>
          <w:iCs/>
        </w:rPr>
        <w:t>loc. ult. cit.</w:t>
      </w:r>
      <w:r w:rsidR="006F529C" w:rsidRPr="00E4396E">
        <w:t xml:space="preserve">, e II-1, </w:t>
      </w:r>
      <w:r w:rsidR="006F529C" w:rsidRPr="00E4396E">
        <w:rPr>
          <w:i/>
          <w:iCs/>
        </w:rPr>
        <w:t>loc. ult. cit.</w:t>
      </w:r>
    </w:p>
  </w:footnote>
  <w:footnote w:id="6">
    <w:p w14:paraId="1A19A763" w14:textId="0183BDEC" w:rsidR="00BE37BE" w:rsidRPr="00E4396E" w:rsidRDefault="00BE37BE" w:rsidP="001B22E9">
      <w:pPr>
        <w:pStyle w:val="Testonotaapidipagina"/>
      </w:pPr>
      <w:r w:rsidRPr="00E4396E">
        <w:rPr>
          <w:rStyle w:val="Rimandonotaapidipagina"/>
        </w:rPr>
        <w:footnoteRef/>
      </w:r>
      <w:r w:rsidRPr="00E4396E">
        <w:t xml:space="preserve"> </w:t>
      </w:r>
      <w:r w:rsidR="009A7D0D" w:rsidRPr="00E4396E">
        <w:t xml:space="preserve">È la rappresentazione dell’interesse legittimo che si ritrova in </w:t>
      </w:r>
      <w:r w:rsidR="005B2555" w:rsidRPr="00E4396E">
        <w:rPr>
          <w:smallCaps/>
        </w:rPr>
        <w:t>F.G. Scoca</w:t>
      </w:r>
      <w:r w:rsidR="005B2555" w:rsidRPr="00E4396E">
        <w:t xml:space="preserve">, </w:t>
      </w:r>
      <w:r w:rsidR="005B2555" w:rsidRPr="00E4396E">
        <w:rPr>
          <w:i/>
        </w:rPr>
        <w:t>Contributo sulla figura dell’interesse legittimo</w:t>
      </w:r>
      <w:r w:rsidR="005B2555" w:rsidRPr="00E4396E">
        <w:t xml:space="preserve">, Milano, 1990, p. 25; </w:t>
      </w:r>
      <w:r w:rsidR="005B2555" w:rsidRPr="00E4396E">
        <w:rPr>
          <w:smallCaps/>
        </w:rPr>
        <w:t>Id.</w:t>
      </w:r>
      <w:r w:rsidR="005B2555" w:rsidRPr="00E4396E">
        <w:t xml:space="preserve">, </w:t>
      </w:r>
      <w:r w:rsidR="005B2555" w:rsidRPr="00E4396E">
        <w:rPr>
          <w:i/>
        </w:rPr>
        <w:t>L’interesse legittimo. Storia e teoria</w:t>
      </w:r>
      <w:r w:rsidR="005B2555" w:rsidRPr="00E4396E">
        <w:rPr>
          <w:iCs/>
        </w:rPr>
        <w:t>, Torino, 2017</w:t>
      </w:r>
      <w:r w:rsidR="005B2555" w:rsidRPr="00E4396E">
        <w:t>, pp. 232 ss., 245 ss. e 453 ss.</w:t>
      </w:r>
      <w:r w:rsidR="009A7D0D" w:rsidRPr="00E4396E">
        <w:t>, che supera la precedente impostazione che poneva, in vario modo, ad oggetto dell’interesse legittimo la legittimità dell’atto; per questa tesi, invece, la legittimità costituisce il limite, non l’oggetto della tutela. Una r</w:t>
      </w:r>
      <w:r w:rsidR="005B2555" w:rsidRPr="00E4396E">
        <w:t>icostruzione</w:t>
      </w:r>
      <w:r w:rsidR="009A7D0D" w:rsidRPr="00E4396E">
        <w:t xml:space="preserve"> analoga, sotto i profili che qui interessano, si ha in </w:t>
      </w:r>
      <w:r w:rsidR="005B2555" w:rsidRPr="00E4396E">
        <w:rPr>
          <w:smallCaps/>
        </w:rPr>
        <w:t>M. Nigro</w:t>
      </w:r>
      <w:r w:rsidR="005B2555" w:rsidRPr="00E4396E">
        <w:t xml:space="preserve">, </w:t>
      </w:r>
      <w:r w:rsidR="005B2555" w:rsidRPr="00E4396E">
        <w:rPr>
          <w:i/>
        </w:rPr>
        <w:t>Giustizia amministrativa</w:t>
      </w:r>
      <w:r w:rsidR="005B2555" w:rsidRPr="00E4396E">
        <w:t>, Bologna, 1994 (prima ediz. 1976), p. 94 ss</w:t>
      </w:r>
      <w:r w:rsidR="009A7D0D" w:rsidRPr="00E4396E">
        <w:t xml:space="preserve">. </w:t>
      </w:r>
      <w:r w:rsidR="005B2555" w:rsidRPr="00E4396E">
        <w:t xml:space="preserve">Per una </w:t>
      </w:r>
      <w:r w:rsidR="000C671A" w:rsidRPr="00E4396E">
        <w:t xml:space="preserve">generale </w:t>
      </w:r>
      <w:r w:rsidR="005B2555" w:rsidRPr="00E4396E">
        <w:t>ricostruzione</w:t>
      </w:r>
      <w:r w:rsidR="000C671A" w:rsidRPr="00E4396E">
        <w:t>,</w:t>
      </w:r>
      <w:r w:rsidR="005B2555" w:rsidRPr="00E4396E">
        <w:t xml:space="preserve"> e una critica di tali impostazioni</w:t>
      </w:r>
      <w:r w:rsidR="009A7D0D" w:rsidRPr="00E4396E">
        <w:t xml:space="preserve">, sia consentito rinviare a quanto da noi </w:t>
      </w:r>
      <w:r w:rsidR="005B2555" w:rsidRPr="00E4396E">
        <w:t xml:space="preserve">rappresentato </w:t>
      </w:r>
      <w:r w:rsidR="009A7D0D" w:rsidRPr="00E4396E">
        <w:t xml:space="preserve">in </w:t>
      </w:r>
      <w:r w:rsidR="009A7D0D" w:rsidRPr="00E4396E">
        <w:rPr>
          <w:i/>
          <w:iCs/>
        </w:rPr>
        <w:t>Potere e situazioni soggettive</w:t>
      </w:r>
      <w:r w:rsidR="009A7D0D" w:rsidRPr="00E4396E">
        <w:t xml:space="preserve">, I, cit., p. </w:t>
      </w:r>
      <w:r w:rsidR="005B2555" w:rsidRPr="00E4396E">
        <w:t>188 ss., ed ivi più approfonditi riferimenti.</w:t>
      </w:r>
    </w:p>
  </w:footnote>
  <w:footnote w:id="7">
    <w:p w14:paraId="0C7C11FF" w14:textId="1ABA581F" w:rsidR="00BE37BE" w:rsidRPr="00E4396E" w:rsidRDefault="00BE37BE" w:rsidP="001B22E9">
      <w:pPr>
        <w:pStyle w:val="Testonotaapidipagina"/>
        <w:rPr>
          <w:i/>
          <w:iCs/>
        </w:rPr>
      </w:pPr>
      <w:r w:rsidRPr="00E4396E">
        <w:rPr>
          <w:rStyle w:val="Rimandonotaapidipagina"/>
        </w:rPr>
        <w:footnoteRef/>
      </w:r>
      <w:r w:rsidRPr="00E4396E">
        <w:t xml:space="preserve"> </w:t>
      </w:r>
      <w:r w:rsidR="0005610D" w:rsidRPr="00E4396E">
        <w:t>Sul punto, si</w:t>
      </w:r>
      <w:r w:rsidR="006B7AA2" w:rsidRPr="00E4396E">
        <w:t>a consentito</w:t>
      </w:r>
      <w:r w:rsidR="0005610D" w:rsidRPr="00E4396E">
        <w:t xml:space="preserve"> rimanda</w:t>
      </w:r>
      <w:r w:rsidR="006B7AA2" w:rsidRPr="00E4396E">
        <w:t>re</w:t>
      </w:r>
      <w:r w:rsidR="0005610D" w:rsidRPr="00E4396E">
        <w:t xml:space="preserve"> a quanto considerato in </w:t>
      </w:r>
      <w:r w:rsidR="0005610D" w:rsidRPr="00E4396E">
        <w:rPr>
          <w:smallCaps/>
        </w:rPr>
        <w:t>A. Carbone</w:t>
      </w:r>
      <w:r w:rsidR="0005610D" w:rsidRPr="00E4396E">
        <w:t xml:space="preserve">, </w:t>
      </w:r>
      <w:r w:rsidR="0005610D" w:rsidRPr="00E4396E">
        <w:rPr>
          <w:i/>
          <w:iCs/>
        </w:rPr>
        <w:t>L’individualità dell’interesse a ricorrere</w:t>
      </w:r>
      <w:r w:rsidR="0005610D" w:rsidRPr="00E4396E">
        <w:t xml:space="preserve">, in </w:t>
      </w:r>
      <w:r w:rsidR="0005610D" w:rsidRPr="00E4396E">
        <w:rPr>
          <w:i/>
          <w:iCs/>
        </w:rPr>
        <w:t>Dir. soc.</w:t>
      </w:r>
      <w:r w:rsidR="0005610D" w:rsidRPr="00E4396E">
        <w:t>, 2025, pp. 467 ss.</w:t>
      </w:r>
      <w:r w:rsidR="00C03E7A" w:rsidRPr="00E4396E">
        <w:t xml:space="preserve">; </w:t>
      </w:r>
      <w:r w:rsidR="006F529C" w:rsidRPr="00E4396E">
        <w:rPr>
          <w:smallCaps/>
        </w:rPr>
        <w:t>Id.</w:t>
      </w:r>
      <w:r w:rsidR="006F529C" w:rsidRPr="00E4396E">
        <w:t xml:space="preserve">, </w:t>
      </w:r>
      <w:r w:rsidR="00C03E7A" w:rsidRPr="00E4396E">
        <w:rPr>
          <w:i/>
          <w:iCs/>
        </w:rPr>
        <w:t>Potere e situazioni soggettive</w:t>
      </w:r>
      <w:r w:rsidR="00C03E7A" w:rsidRPr="00E4396E">
        <w:t xml:space="preserve">, II-1, cit., pp. </w:t>
      </w:r>
      <w:r w:rsidR="0070570F" w:rsidRPr="00E4396E">
        <w:t>37 ss.</w:t>
      </w:r>
      <w:r w:rsidR="006F529C" w:rsidRPr="00E4396E">
        <w:t>; ivi i relativi riferimenti.</w:t>
      </w:r>
      <w:r w:rsidR="002F22EF" w:rsidRPr="00E4396E">
        <w:t xml:space="preserve"> Si veda anche, da ultimo, </w:t>
      </w:r>
      <w:r w:rsidR="002F22EF" w:rsidRPr="00E4396E">
        <w:rPr>
          <w:smallCaps/>
        </w:rPr>
        <w:t>M. Clarich</w:t>
      </w:r>
      <w:r w:rsidR="002F22EF" w:rsidRPr="00E4396E">
        <w:t xml:space="preserve">, </w:t>
      </w:r>
      <w:r w:rsidR="002F22EF" w:rsidRPr="00E4396E">
        <w:rPr>
          <w:i/>
          <w:iCs/>
        </w:rPr>
        <w:t>Legittimazione a ricorrere e interesse a impugnare nel processo amministrativo</w:t>
      </w:r>
      <w:r w:rsidR="002F22EF" w:rsidRPr="00E4396E">
        <w:t>, in corso di pubbl.</w:t>
      </w:r>
      <w:r w:rsidR="00B70172" w:rsidRPr="00E4396E">
        <w:t xml:space="preserve"> su </w:t>
      </w:r>
      <w:r w:rsidR="00B70172" w:rsidRPr="00E4396E">
        <w:rPr>
          <w:i/>
          <w:iCs/>
        </w:rPr>
        <w:t>Dir. pro. amm.</w:t>
      </w:r>
    </w:p>
  </w:footnote>
  <w:footnote w:id="8">
    <w:p w14:paraId="63F2D24C" w14:textId="2878D5FD" w:rsidR="00BE37BE" w:rsidRPr="00E4396E" w:rsidRDefault="00BE37BE" w:rsidP="001B22E9">
      <w:pPr>
        <w:pStyle w:val="Testonotaapidipagina"/>
      </w:pPr>
      <w:r w:rsidRPr="00E4396E">
        <w:rPr>
          <w:rStyle w:val="Rimandonotaapidipagina"/>
        </w:rPr>
        <w:footnoteRef/>
      </w:r>
      <w:r w:rsidRPr="00E4396E">
        <w:t xml:space="preserve"> </w:t>
      </w:r>
      <w:r w:rsidR="005A4068" w:rsidRPr="00E4396E">
        <w:t xml:space="preserve">In disparte le formule evocative utilizzate, questo è ancora l’oggetto del giudizio </w:t>
      </w:r>
      <w:r w:rsidR="00BE16E3" w:rsidRPr="00E4396E">
        <w:t xml:space="preserve">amministrativo </w:t>
      </w:r>
      <w:r w:rsidR="005A4068" w:rsidRPr="00E4396E">
        <w:t xml:space="preserve">secondo la giurisprudenza: cfr. </w:t>
      </w:r>
      <w:r w:rsidRPr="00E4396E">
        <w:t>Cons. St., ad</w:t>
      </w:r>
      <w:r w:rsidR="005A4068" w:rsidRPr="00E4396E">
        <w:t>.</w:t>
      </w:r>
      <w:r w:rsidRPr="00E4396E">
        <w:t xml:space="preserve"> plen., n.</w:t>
      </w:r>
      <w:r w:rsidR="005A4068" w:rsidRPr="00E4396E">
        <w:t xml:space="preserve"> </w:t>
      </w:r>
      <w:r w:rsidRPr="00E4396E">
        <w:t>2</w:t>
      </w:r>
      <w:r w:rsidR="005A4068" w:rsidRPr="00E4396E">
        <w:t xml:space="preserve"> del 15 gennaio </w:t>
      </w:r>
      <w:r w:rsidRPr="00E4396E">
        <w:t>2013</w:t>
      </w:r>
      <w:r w:rsidR="005A4068" w:rsidRPr="00E4396E">
        <w:t xml:space="preserve">. Sul punto, si veda ampiamente </w:t>
      </w:r>
      <w:r w:rsidR="005A4068" w:rsidRPr="00E4396E">
        <w:rPr>
          <w:i/>
          <w:iCs/>
        </w:rPr>
        <w:t>Potere</w:t>
      </w:r>
      <w:r w:rsidR="005A4068" w:rsidRPr="00E4396E">
        <w:t>, I, cit., p. 305 ss.</w:t>
      </w:r>
    </w:p>
  </w:footnote>
  <w:footnote w:id="9">
    <w:p w14:paraId="016FE46F" w14:textId="2956163D" w:rsidR="00030CB2" w:rsidRPr="00E4396E" w:rsidRDefault="00030CB2" w:rsidP="001B22E9">
      <w:pPr>
        <w:pStyle w:val="Testonotaapidipagina"/>
      </w:pPr>
      <w:r w:rsidRPr="00E4396E">
        <w:rPr>
          <w:rStyle w:val="Rimandonotaapidipagina"/>
        </w:rPr>
        <w:footnoteRef/>
      </w:r>
      <w:r w:rsidRPr="00E4396E">
        <w:t xml:space="preserve"> </w:t>
      </w:r>
      <w:r w:rsidR="005A4068" w:rsidRPr="00E4396E">
        <w:rPr>
          <w:smallCaps/>
        </w:rPr>
        <w:t>F.G. Scoca</w:t>
      </w:r>
      <w:r w:rsidR="005A4068" w:rsidRPr="00E4396E">
        <w:t xml:space="preserve">, </w:t>
      </w:r>
      <w:r w:rsidR="005A4068" w:rsidRPr="00E4396E">
        <w:rPr>
          <w:i/>
        </w:rPr>
        <w:t>L’interesse legittimo</w:t>
      </w:r>
      <w:r w:rsidR="005A4068" w:rsidRPr="00E4396E">
        <w:t xml:space="preserve">, cit., pp. 233-234 e p. 453 ss.; </w:t>
      </w:r>
      <w:r w:rsidR="005A4068" w:rsidRPr="00E4396E">
        <w:rPr>
          <w:smallCaps/>
        </w:rPr>
        <w:t xml:space="preserve">Id., </w:t>
      </w:r>
      <w:r w:rsidR="005A4068" w:rsidRPr="00E4396E">
        <w:rPr>
          <w:i/>
        </w:rPr>
        <w:t>Contributo sulla figura</w:t>
      </w:r>
      <w:r w:rsidR="005A4068" w:rsidRPr="00E4396E">
        <w:t xml:space="preserve">, cit., p. 25 ss. e p. 32. Per la relativa critica, di cui di seguito nel testo, cfr. </w:t>
      </w:r>
      <w:r w:rsidR="005A4068" w:rsidRPr="00E4396E">
        <w:rPr>
          <w:i/>
          <w:iCs/>
        </w:rPr>
        <w:t>Potere</w:t>
      </w:r>
      <w:r w:rsidR="005A4068" w:rsidRPr="00E4396E">
        <w:t>, I, cit., p. 204 ss.</w:t>
      </w:r>
    </w:p>
  </w:footnote>
  <w:footnote w:id="10">
    <w:p w14:paraId="5B4FAED1" w14:textId="2E000BE3" w:rsidR="00030CB2" w:rsidRPr="00E4396E" w:rsidRDefault="00030CB2" w:rsidP="001B22E9">
      <w:pPr>
        <w:pStyle w:val="Testonotaapidipagina"/>
      </w:pPr>
      <w:r w:rsidRPr="00E4396E">
        <w:rPr>
          <w:rStyle w:val="Rimandonotaapidipagina"/>
        </w:rPr>
        <w:footnoteRef/>
      </w:r>
      <w:r w:rsidRPr="00E4396E">
        <w:t xml:space="preserve"> </w:t>
      </w:r>
      <w:r w:rsidR="002D7A1B" w:rsidRPr="00E4396E">
        <w:t xml:space="preserve">Si veda, ad es., </w:t>
      </w:r>
      <w:r w:rsidR="002D7A1B" w:rsidRPr="00E4396E">
        <w:rPr>
          <w:smallCaps/>
        </w:rPr>
        <w:t>C. Consolo</w:t>
      </w:r>
      <w:r w:rsidR="002D7A1B" w:rsidRPr="00E4396E">
        <w:t xml:space="preserve">, </w:t>
      </w:r>
      <w:r w:rsidR="002D7A1B" w:rsidRPr="00E4396E">
        <w:rPr>
          <w:i/>
        </w:rPr>
        <w:t>Oggetto del giudicato e principio dispositivo</w:t>
      </w:r>
      <w:r w:rsidR="002D7A1B" w:rsidRPr="00E4396E">
        <w:rPr>
          <w:iCs/>
        </w:rPr>
        <w:t xml:space="preserve">, in </w:t>
      </w:r>
      <w:r w:rsidR="002D7A1B" w:rsidRPr="00E4396E">
        <w:rPr>
          <w:i/>
        </w:rPr>
        <w:t>Riv. trim. dir. proc. civ.</w:t>
      </w:r>
      <w:r w:rsidR="002D7A1B" w:rsidRPr="00E4396E">
        <w:rPr>
          <w:iCs/>
        </w:rPr>
        <w:t xml:space="preserve">, 1991, </w:t>
      </w:r>
      <w:r w:rsidR="002D7A1B" w:rsidRPr="00E4396E">
        <w:t xml:space="preserve">p. 251 ss.; </w:t>
      </w:r>
      <w:r w:rsidR="002D7A1B" w:rsidRPr="00E4396E">
        <w:rPr>
          <w:smallCaps/>
        </w:rPr>
        <w:t>Id.</w:t>
      </w:r>
      <w:r w:rsidR="002D7A1B" w:rsidRPr="00E4396E">
        <w:t xml:space="preserve">, </w:t>
      </w:r>
      <w:r w:rsidR="002D7A1B" w:rsidRPr="00E4396E">
        <w:rPr>
          <w:i/>
        </w:rPr>
        <w:t>Domanda giudiziale</w:t>
      </w:r>
      <w:r w:rsidR="002D7A1B" w:rsidRPr="00E4396E">
        <w:rPr>
          <w:iCs/>
        </w:rPr>
        <w:t xml:space="preserve">, in </w:t>
      </w:r>
      <w:r w:rsidR="002D7A1B" w:rsidRPr="00E4396E">
        <w:rPr>
          <w:i/>
        </w:rPr>
        <w:t>Dig. disc. priv.</w:t>
      </w:r>
      <w:r w:rsidR="002D7A1B" w:rsidRPr="00E4396E">
        <w:rPr>
          <w:iCs/>
        </w:rPr>
        <w:t xml:space="preserve">, </w:t>
      </w:r>
      <w:r w:rsidR="002D7A1B" w:rsidRPr="00E4396E">
        <w:rPr>
          <w:i/>
        </w:rPr>
        <w:t>Sez. civ.</w:t>
      </w:r>
      <w:r w:rsidR="002D7A1B" w:rsidRPr="00E4396E">
        <w:rPr>
          <w:iCs/>
        </w:rPr>
        <w:t>, VII, Torino, 1991,</w:t>
      </w:r>
      <w:r w:rsidR="002D7A1B" w:rsidRPr="00E4396E">
        <w:t xml:space="preserve"> p. 83 ss., spec. n. 193</w:t>
      </w:r>
      <w:r w:rsidR="0094447F" w:rsidRPr="00E4396E">
        <w:t xml:space="preserve">; </w:t>
      </w:r>
      <w:r w:rsidR="0094447F" w:rsidRPr="00E4396E">
        <w:rPr>
          <w:smallCaps/>
        </w:rPr>
        <w:t>M. Fornaciari</w:t>
      </w:r>
      <w:r w:rsidR="0094447F" w:rsidRPr="00E4396E">
        <w:t xml:space="preserve">, </w:t>
      </w:r>
      <w:r w:rsidR="0094447F" w:rsidRPr="00E4396E">
        <w:rPr>
          <w:i/>
        </w:rPr>
        <w:t>Situazioni potestative, tutela costitutiva, giudicato</w:t>
      </w:r>
      <w:r w:rsidR="0094447F" w:rsidRPr="00E4396E">
        <w:t>, Torino, 1999, p. 108 ss.</w:t>
      </w:r>
    </w:p>
  </w:footnote>
  <w:footnote w:id="11">
    <w:p w14:paraId="4181F78B" w14:textId="21D69590" w:rsidR="00030CB2" w:rsidRPr="00E4396E" w:rsidRDefault="00030CB2" w:rsidP="001B22E9">
      <w:pPr>
        <w:pStyle w:val="Testonotaapidipagina"/>
      </w:pPr>
      <w:r w:rsidRPr="00E4396E">
        <w:rPr>
          <w:rStyle w:val="Rimandonotaapidipagina"/>
        </w:rPr>
        <w:footnoteRef/>
      </w:r>
      <w:r w:rsidRPr="00E4396E">
        <w:t xml:space="preserve"> </w:t>
      </w:r>
      <w:r w:rsidR="00DA0D71" w:rsidRPr="00E4396E">
        <w:t xml:space="preserve">Nel senso descritto, in vario modo in relazione alla natura della situazione giuridica, ma essenzialmente come diritto all’invalidazione, </w:t>
      </w:r>
      <w:r w:rsidR="00DA0D71" w:rsidRPr="00E4396E">
        <w:rPr>
          <w:smallCaps/>
        </w:rPr>
        <w:t>M. Nigro</w:t>
      </w:r>
      <w:r w:rsidR="00DA0D71" w:rsidRPr="00E4396E">
        <w:t xml:space="preserve">, </w:t>
      </w:r>
      <w:r w:rsidR="00DA0D71" w:rsidRPr="00E4396E">
        <w:rPr>
          <w:i/>
        </w:rPr>
        <w:t>L’appello nel processo amministrativo</w:t>
      </w:r>
      <w:r w:rsidR="00DA0D71" w:rsidRPr="00E4396E">
        <w:t xml:space="preserve">, Milano, 1960, p. 32 ss.; </w:t>
      </w:r>
      <w:r w:rsidR="00DA0D71" w:rsidRPr="00E4396E">
        <w:rPr>
          <w:rFonts w:eastAsia="Times"/>
          <w:smallCaps/>
          <w:spacing w:val="-2"/>
        </w:rPr>
        <w:t>Id.</w:t>
      </w:r>
      <w:r w:rsidR="00DA0D71" w:rsidRPr="00E4396E">
        <w:rPr>
          <w:rFonts w:eastAsia="Times"/>
          <w:spacing w:val="-2"/>
        </w:rPr>
        <w:t xml:space="preserve">, </w:t>
      </w:r>
      <w:r w:rsidR="00DA0D71" w:rsidRPr="00E4396E">
        <w:rPr>
          <w:i/>
          <w:spacing w:val="-2"/>
        </w:rPr>
        <w:t>Giustizia amministrativa</w:t>
      </w:r>
      <w:r w:rsidR="00DA0D71" w:rsidRPr="00E4396E">
        <w:rPr>
          <w:spacing w:val="-2"/>
        </w:rPr>
        <w:t>, cit., pp. 228-229</w:t>
      </w:r>
      <w:r w:rsidR="00F72D80" w:rsidRPr="00E4396E">
        <w:rPr>
          <w:spacing w:val="-2"/>
        </w:rPr>
        <w:t xml:space="preserve"> (rispetto al quale si ricordino però le specificazioni che l’illustre A. faceva derivare dall’effetto conformativo, </w:t>
      </w:r>
      <w:r w:rsidR="00066B26" w:rsidRPr="00E4396E">
        <w:rPr>
          <w:spacing w:val="-2"/>
        </w:rPr>
        <w:t>riprese</w:t>
      </w:r>
      <w:r w:rsidR="00F72D80" w:rsidRPr="00E4396E">
        <w:rPr>
          <w:spacing w:val="-2"/>
        </w:rPr>
        <w:t xml:space="preserve"> </w:t>
      </w:r>
      <w:r w:rsidR="00F72D80" w:rsidRPr="00E4396E">
        <w:rPr>
          <w:i/>
          <w:iCs/>
          <w:spacing w:val="-2"/>
        </w:rPr>
        <w:t>infra</w:t>
      </w:r>
      <w:r w:rsidR="00F72D80" w:rsidRPr="00E4396E">
        <w:rPr>
          <w:spacing w:val="-2"/>
        </w:rPr>
        <w:t xml:space="preserve"> n. 3</w:t>
      </w:r>
      <w:r w:rsidR="0024709A" w:rsidRPr="00E4396E">
        <w:rPr>
          <w:spacing w:val="-2"/>
        </w:rPr>
        <w:t>9</w:t>
      </w:r>
      <w:r w:rsidR="00F72D80" w:rsidRPr="00E4396E">
        <w:rPr>
          <w:spacing w:val="-2"/>
        </w:rPr>
        <w:t>)</w:t>
      </w:r>
      <w:r w:rsidRPr="00E4396E">
        <w:t xml:space="preserve">; </w:t>
      </w:r>
      <w:r w:rsidR="00DA0D71" w:rsidRPr="00E4396E">
        <w:rPr>
          <w:smallCaps/>
        </w:rPr>
        <w:t>M. Clarich</w:t>
      </w:r>
      <w:r w:rsidR="00DA0D71" w:rsidRPr="00E4396E">
        <w:t xml:space="preserve">, </w:t>
      </w:r>
      <w:r w:rsidR="00DA0D71" w:rsidRPr="00E4396E">
        <w:rPr>
          <w:i/>
        </w:rPr>
        <w:t>Giudicato e potere amministrativo</w:t>
      </w:r>
      <w:r w:rsidR="00DA0D71" w:rsidRPr="00E4396E">
        <w:t xml:space="preserve">, Padova, 1989, p. 133 ss.; </w:t>
      </w:r>
      <w:r w:rsidR="00DA0D71" w:rsidRPr="00E4396E">
        <w:rPr>
          <w:smallCaps/>
        </w:rPr>
        <w:t>C. Cacciavillani</w:t>
      </w:r>
      <w:r w:rsidR="00DA0D71" w:rsidRPr="00E4396E">
        <w:t xml:space="preserve">, </w:t>
      </w:r>
      <w:r w:rsidR="00DA0D71" w:rsidRPr="00E4396E">
        <w:rPr>
          <w:i/>
        </w:rPr>
        <w:t>Giudizio amministrativo e giudicato</w:t>
      </w:r>
      <w:r w:rsidR="00DA0D71" w:rsidRPr="00E4396E">
        <w:t>, Padova, 2005, p. 166 ss.</w:t>
      </w:r>
      <w:r w:rsidR="00F72D80" w:rsidRPr="00E4396E">
        <w:t xml:space="preserve"> Lo stesso era stato già affermato dalla dottrina processualcivilistica, attraverso la figura del diritto potestativo ad accertamento giudiziale: </w:t>
      </w:r>
      <w:r w:rsidR="00F72D80" w:rsidRPr="00E4396E">
        <w:rPr>
          <w:smallCaps/>
        </w:rPr>
        <w:t>E. Garbagnati</w:t>
      </w:r>
      <w:r w:rsidR="00F72D80" w:rsidRPr="00E4396E">
        <w:t xml:space="preserve">, </w:t>
      </w:r>
      <w:r w:rsidR="00F72D80" w:rsidRPr="00E4396E">
        <w:rPr>
          <w:i/>
        </w:rPr>
        <w:t>La giurisdizione amministrativa: concetto e oggetto</w:t>
      </w:r>
      <w:r w:rsidR="00F72D80" w:rsidRPr="00E4396E">
        <w:t xml:space="preserve">, Milano, 1950, p. 58 ss.; </w:t>
      </w:r>
      <w:r w:rsidR="00F72D80" w:rsidRPr="00E4396E">
        <w:rPr>
          <w:smallCaps/>
        </w:rPr>
        <w:t>E. Allorio</w:t>
      </w:r>
      <w:r w:rsidR="00F72D80" w:rsidRPr="00E4396E">
        <w:t xml:space="preserve">, </w:t>
      </w:r>
      <w:r w:rsidR="00F72D80" w:rsidRPr="00E4396E">
        <w:rPr>
          <w:i/>
        </w:rPr>
        <w:t>L’ordinamento giuridico nel prisma dell’accertamento giudiziale</w:t>
      </w:r>
      <w:r w:rsidR="00F72D80" w:rsidRPr="00E4396E">
        <w:t xml:space="preserve">, in </w:t>
      </w:r>
      <w:r w:rsidR="00F72D80" w:rsidRPr="00E4396E">
        <w:rPr>
          <w:i/>
        </w:rPr>
        <w:t>Problemi di diritto</w:t>
      </w:r>
      <w:r w:rsidR="00F72D80" w:rsidRPr="00E4396E">
        <w:t xml:space="preserve">, I, Milano, 1957, pp. 113-114; </w:t>
      </w:r>
      <w:r w:rsidR="00F72D80" w:rsidRPr="00E4396E">
        <w:rPr>
          <w:smallCaps/>
        </w:rPr>
        <w:t>A. Attardi</w:t>
      </w:r>
      <w:r w:rsidR="00F72D80" w:rsidRPr="00E4396E">
        <w:t xml:space="preserve">, </w:t>
      </w:r>
      <w:r w:rsidR="00F72D80" w:rsidRPr="00E4396E">
        <w:rPr>
          <w:i/>
        </w:rPr>
        <w:t>L’interesse ad agire</w:t>
      </w:r>
      <w:r w:rsidR="00F72D80" w:rsidRPr="00E4396E">
        <w:t>, Padova, 1955, p. 259 ss.</w:t>
      </w:r>
    </w:p>
  </w:footnote>
  <w:footnote w:id="12">
    <w:p w14:paraId="3B97F35E" w14:textId="59450391" w:rsidR="001C25BE" w:rsidRPr="00E4396E" w:rsidRDefault="001C25BE">
      <w:pPr>
        <w:pStyle w:val="Testonotaapidipagina"/>
      </w:pPr>
      <w:r w:rsidRPr="00E4396E">
        <w:rPr>
          <w:rStyle w:val="Rimandonotaapidipagina"/>
        </w:rPr>
        <w:footnoteRef/>
      </w:r>
      <w:r w:rsidRPr="00E4396E">
        <w:t xml:space="preserve"> Attualmente, la ricostruzione in questione è consapevolmente affermata da chi reputa che questo sia l’assetto strutturale normativamente previsto dalla disciplina codicistica (al limite concedendo qualcosa in relazione alle azioni ulteriori rispetto a quella di annullamento, comunque concepite in chiave accessoria rispetto a quest’ultima): </w:t>
      </w:r>
      <w:r w:rsidRPr="00E4396E">
        <w:rPr>
          <w:smallCaps/>
        </w:rPr>
        <w:t>R. Villata</w:t>
      </w:r>
      <w:r w:rsidRPr="00E4396E">
        <w:t xml:space="preserve">, </w:t>
      </w:r>
      <w:r w:rsidRPr="00E4396E">
        <w:rPr>
          <w:i/>
        </w:rPr>
        <w:t>L’ordine di esame dei motivi di ricorso nel pensiero di Antonio Romano Tassone</w:t>
      </w:r>
      <w:r w:rsidRPr="00E4396E">
        <w:t xml:space="preserve">, in </w:t>
      </w:r>
      <w:r w:rsidRPr="00E4396E">
        <w:rPr>
          <w:i/>
        </w:rPr>
        <w:t>Dir. proc. amm.</w:t>
      </w:r>
      <w:r w:rsidRPr="00E4396E">
        <w:t xml:space="preserve">, 2024, p. 790; </w:t>
      </w:r>
      <w:r w:rsidRPr="00E4396E">
        <w:rPr>
          <w:smallCaps/>
          <w:spacing w:val="-2"/>
        </w:rPr>
        <w:t>S. Valaguzza</w:t>
      </w:r>
      <w:r w:rsidRPr="00E4396E">
        <w:rPr>
          <w:spacing w:val="-2"/>
        </w:rPr>
        <w:t xml:space="preserve">, </w:t>
      </w:r>
      <w:r w:rsidRPr="00E4396E">
        <w:rPr>
          <w:i/>
          <w:spacing w:val="-2"/>
        </w:rPr>
        <w:t>Il giudicato amministrativo nella teoria del processo</w:t>
      </w:r>
      <w:r w:rsidRPr="00E4396E">
        <w:rPr>
          <w:spacing w:val="-2"/>
        </w:rPr>
        <w:t>, Milano, 2016, pp. 122 ss.</w:t>
      </w:r>
      <w:r w:rsidRPr="00E4396E">
        <w:t xml:space="preserve">; </w:t>
      </w:r>
      <w:r w:rsidRPr="00E4396E">
        <w:rPr>
          <w:smallCaps/>
        </w:rPr>
        <w:t>M. Trimarchi</w:t>
      </w:r>
      <w:r w:rsidRPr="00E4396E">
        <w:t xml:space="preserve">, </w:t>
      </w:r>
      <w:r w:rsidRPr="00E4396E">
        <w:rPr>
          <w:i/>
        </w:rPr>
        <w:t>L’ine</w:t>
      </w:r>
      <w:r w:rsidRPr="00E4396E">
        <w:rPr>
          <w:i/>
        </w:rPr>
        <w:softHyphen/>
        <w:t>sau</w:t>
      </w:r>
      <w:r w:rsidRPr="00E4396E">
        <w:rPr>
          <w:i/>
        </w:rPr>
        <w:softHyphen/>
        <w:t>ri</w:t>
      </w:r>
      <w:r w:rsidRPr="00E4396E">
        <w:rPr>
          <w:i/>
        </w:rPr>
        <w:softHyphen/>
        <w:t>bilità del potere amministrativo. Profili critici</w:t>
      </w:r>
      <w:r w:rsidRPr="00E4396E">
        <w:t xml:space="preserve">, Napoli, 2018, pp. 36-37, n. 97. Ma anche chi, tutt’al contrario, ritiene che l’oggetto del processo amministrativo dovrebbe essere un altro, è costretto ad affermare che l’azione concreta di annullamento sia ciò che trova riscontro (o comunque verrebbe concettualmente a trovare riscontro) nell’attuale considerazione generale, anche a causa di un’intatta centralità della considerazione dell’azione impugnatoria rispetto alle altre azioni che detto oggetto sarebbero in grado di estendere: in questo senso, oltre alla nostra posizione, espressa già in </w:t>
      </w:r>
      <w:r w:rsidRPr="00E4396E">
        <w:rPr>
          <w:i/>
          <w:iCs/>
        </w:rPr>
        <w:t>Potere e situazioni soggettive</w:t>
      </w:r>
      <w:r w:rsidRPr="00E4396E">
        <w:t xml:space="preserve">, I, cit., p. 305 ss., cfr. in particolare </w:t>
      </w:r>
      <w:r w:rsidRPr="00E4396E">
        <w:rPr>
          <w:smallCaps/>
        </w:rPr>
        <w:t>L. Ferrara</w:t>
      </w:r>
      <w:r w:rsidRPr="00E4396E">
        <w:t xml:space="preserve">, </w:t>
      </w:r>
      <w:r w:rsidRPr="00E4396E">
        <w:rPr>
          <w:i/>
        </w:rPr>
        <w:t>Domanda giudiziale e potere amministrativo. L’azione di condanna al facere</w:t>
      </w:r>
      <w:r w:rsidRPr="00E4396E">
        <w:t xml:space="preserve">, in </w:t>
      </w:r>
      <w:r w:rsidRPr="00E4396E">
        <w:rPr>
          <w:i/>
        </w:rPr>
        <w:t>Dir. proc. amm.</w:t>
      </w:r>
      <w:r w:rsidRPr="00E4396E">
        <w:t>, 2013, p. 656.</w:t>
      </w:r>
    </w:p>
  </w:footnote>
  <w:footnote w:id="13">
    <w:p w14:paraId="32DAFC93" w14:textId="73AFA548" w:rsidR="00C83B64" w:rsidRPr="00E4396E" w:rsidRDefault="00C83B64" w:rsidP="001B22E9">
      <w:pPr>
        <w:pStyle w:val="Testonotaapidipagina"/>
      </w:pPr>
      <w:r w:rsidRPr="00E4396E">
        <w:rPr>
          <w:rStyle w:val="Rimandonotaapidipagina"/>
        </w:rPr>
        <w:footnoteRef/>
      </w:r>
      <w:r w:rsidRPr="00E4396E">
        <w:t xml:space="preserve"> </w:t>
      </w:r>
      <w:r w:rsidR="00FC290E" w:rsidRPr="00E4396E">
        <w:t>Per i relativi riferimenti</w:t>
      </w:r>
      <w:r w:rsidR="00DF11C2" w:rsidRPr="00E4396E">
        <w:t xml:space="preserve">, del resto del tutto noti, sia consentito rinviare a </w:t>
      </w:r>
      <w:r w:rsidR="00FC290E" w:rsidRPr="00E4396E">
        <w:rPr>
          <w:i/>
          <w:iCs/>
        </w:rPr>
        <w:t>Potere</w:t>
      </w:r>
      <w:r w:rsidR="00FC290E" w:rsidRPr="00E4396E">
        <w:t xml:space="preserve">, I, </w:t>
      </w:r>
      <w:r w:rsidR="00A91486" w:rsidRPr="00E4396E">
        <w:t xml:space="preserve">cit., </w:t>
      </w:r>
      <w:r w:rsidR="00FC290E" w:rsidRPr="00E4396E">
        <w:t xml:space="preserve">p. </w:t>
      </w:r>
      <w:r w:rsidR="006C1515" w:rsidRPr="00E4396E">
        <w:t>16</w:t>
      </w:r>
      <w:r w:rsidR="00FC290E" w:rsidRPr="00E4396E">
        <w:t xml:space="preserve"> ss.</w:t>
      </w:r>
    </w:p>
  </w:footnote>
  <w:footnote w:id="14">
    <w:p w14:paraId="307E058C" w14:textId="5BE26DE3" w:rsidR="00383A66" w:rsidRPr="00E4396E" w:rsidRDefault="00383A66" w:rsidP="00383A66">
      <w:pPr>
        <w:pStyle w:val="Testonotaapidipagina"/>
      </w:pPr>
      <w:r w:rsidRPr="00E4396E">
        <w:rPr>
          <w:rStyle w:val="Rimandonotaapidipagina"/>
        </w:rPr>
        <w:footnoteRef/>
      </w:r>
      <w:r w:rsidRPr="00E4396E">
        <w:t xml:space="preserve"> In effetti, l’evoluzione della tutela del cittadino dei confronti dell’Amministrazione si è rivolta, spesse volte, direttamente alla problematica concernente i rimedi di carattere processuale, cercando, per tale via, di ricavare l’effettiva consistenza delle garanzie accordate al cittadino. Tale inversione metodologica, che stride con la strumentalità del processo al diritto sostanziale affermata dall’art. 24 Cost., ma che risente della genesi della nostra giustizia amministrativa, non ha peraltro impedito, alla dottrina più avvertita, di collegare direttamente i rimedi processuali ad una specifica concezione della situazione giuridica soggettiva del privato, e al rapporto di essa con il potere amministrativo, da porre ad oggetto del giudizio.</w:t>
      </w:r>
    </w:p>
    <w:p w14:paraId="6DA79968" w14:textId="05D963BD" w:rsidR="00383A66" w:rsidRPr="00E4396E" w:rsidRDefault="00383A66" w:rsidP="00383A66">
      <w:pPr>
        <w:pStyle w:val="Testonotaapidipagina"/>
      </w:pPr>
      <w:r w:rsidRPr="00E4396E">
        <w:t xml:space="preserve">In particolare, la ricostruzione del giudizio amministrativo come ‘giudizio sul rapporto’ si ritrova in </w:t>
      </w:r>
      <w:r w:rsidRPr="00E4396E">
        <w:rPr>
          <w:smallCaps/>
        </w:rPr>
        <w:t>A. Piras,</w:t>
      </w:r>
      <w:r w:rsidRPr="00E4396E">
        <w:t xml:space="preserve"> </w:t>
      </w:r>
      <w:r w:rsidRPr="00E4396E">
        <w:rPr>
          <w:i/>
        </w:rPr>
        <w:t>Interesse legittimo e giudizio amministrativo</w:t>
      </w:r>
      <w:r w:rsidRPr="00E4396E">
        <w:t xml:space="preserve">, I-II, Milano, 1962, e deriva da una particolare concezione che l’A. assume in ordine al potere. Questo, infatti, non costituirebbe una situazione dal cui esercizio consegue la produzione di una situazione effettuale, ma corrisponderebbe ad </w:t>
      </w:r>
      <w:r w:rsidRPr="00E4396E">
        <w:rPr>
          <w:i/>
        </w:rPr>
        <w:t>una modalità optativa di avvalersi di un effetto già prodotto ma non operativo</w:t>
      </w:r>
      <w:r w:rsidRPr="00E4396E">
        <w:t>, nel senso, cioè, che la modificazione della realtà giuridica non deriverebbe dall’eserci</w:t>
      </w:r>
      <w:r w:rsidRPr="00E4396E">
        <w:softHyphen/>
        <w:t>zio del potere sostanziale, ma risulterebbe già avvenuta sul piano sostanziale al verificarsi del fatto normativamente previsto, di cui il titolare può decidere se valersi o meno; com</w:t>
      </w:r>
      <w:r w:rsidR="000C671A" w:rsidRPr="00E4396E">
        <w:t>e</w:t>
      </w:r>
      <w:r w:rsidRPr="00E4396E">
        <w:t xml:space="preserve"> conseguenz</w:t>
      </w:r>
      <w:r w:rsidR="000C671A" w:rsidRPr="00E4396E">
        <w:t>a</w:t>
      </w:r>
      <w:r w:rsidRPr="00E4396E">
        <w:t xml:space="preserve">, è possibile porre ad oggetto del processo costitutivo il rapporto già venuto ad esistenza, decidendo di avvalersi dell’effetto di annullamento già integrato da un atto posto in essere illegittimamente dall’Amministrazione. La tesi in questione, come noto, non ha trovato generale condivisione, non tanto per la concezione del potere che ne era alla base, invero profondamente sottovalutata, ma in ragione delle conseguenze processuali derivanti dalla relativa ricostruzione: la considerazione della tesi di Piras è infatti avvenuta, solitamente, in relazione alla problematica generale dell’accertamento giurisdizionale dell’intero rapporto P.A./cittadino, tralasciando così proprio il declinarsi del potere, e quindi del relativo rapporto, che, nella tesi dell’illustre A., era tuttavia a fondamento dell’accertamento stesso (ciò, va detto, anche in ragione del fatto che nella successiva voce </w:t>
      </w:r>
      <w:r w:rsidRPr="00E4396E">
        <w:rPr>
          <w:smallCaps/>
        </w:rPr>
        <w:t>M.S. Giannini</w:t>
      </w:r>
      <w:r w:rsidRPr="00E4396E">
        <w:t xml:space="preserve">, </w:t>
      </w:r>
      <w:r w:rsidRPr="00E4396E">
        <w:rPr>
          <w:smallCaps/>
        </w:rPr>
        <w:t>A. Piras</w:t>
      </w:r>
      <w:r w:rsidRPr="00E4396E">
        <w:t xml:space="preserve">, </w:t>
      </w:r>
      <w:r w:rsidRPr="00E4396E">
        <w:rPr>
          <w:i/>
        </w:rPr>
        <w:t>Giurisdizione amministrativa e ordinaria nei confronti della pubblica amministrazione</w:t>
      </w:r>
      <w:r w:rsidRPr="00E4396E">
        <w:t xml:space="preserve">, in </w:t>
      </w:r>
      <w:r w:rsidRPr="00E4396E">
        <w:rPr>
          <w:i/>
        </w:rPr>
        <w:t>Enc. dir.</w:t>
      </w:r>
      <w:r w:rsidRPr="00E4396E">
        <w:t xml:space="preserve">, XIX, Milano, 1970, p. 255, sembra considerarsi l’accertamento del rapporto senza tuttavia farsi riferimento alla particolare concezione del potere assunta nel volume monografico). Per approfondimenti, cfr. </w:t>
      </w:r>
      <w:r w:rsidRPr="00E4396E">
        <w:rPr>
          <w:i/>
          <w:iCs/>
        </w:rPr>
        <w:t>Potere</w:t>
      </w:r>
      <w:r w:rsidRPr="00E4396E">
        <w:t>, I, cit., p. 143 ss.</w:t>
      </w:r>
    </w:p>
    <w:p w14:paraId="51B52AE8" w14:textId="15D815BB" w:rsidR="00383A66" w:rsidRPr="00E4396E" w:rsidRDefault="00383A66" w:rsidP="00383A66">
      <w:pPr>
        <w:pStyle w:val="Testonotaapidipagina"/>
      </w:pPr>
      <w:r w:rsidRPr="00E4396E">
        <w:t xml:space="preserve">La correlazione fra una specifica consistenza della situazione giuridica e i rimedi processuali, all’interno invece della comune concezione del potere, è comunque avvenuta da parte di chi, facendo riferimento all’utilizzo di particolari strumenti processuali, ulteriori rispetto all’azione impugnatoria, volti ad accertare il rapporto P.A.-cittadino (azione di adempimento, azione di accertamento autonomo del rapporto), ha declinato la situazione di interesse legittimo in senso conforme al suo essere oggetto di un siffatto giudizio: si veda, in tale prospettiva, </w:t>
      </w:r>
      <w:r w:rsidRPr="00E4396E">
        <w:rPr>
          <w:smallCaps/>
        </w:rPr>
        <w:t>F. La Valle</w:t>
      </w:r>
      <w:r w:rsidRPr="00E4396E">
        <w:t xml:space="preserve">, </w:t>
      </w:r>
      <w:r w:rsidRPr="00E4396E">
        <w:rPr>
          <w:i/>
        </w:rPr>
        <w:t>L’interesse legittimo come profilo di ulteriore rilevanza delle libertà e dei diritti</w:t>
      </w:r>
      <w:r w:rsidRPr="00E4396E">
        <w:t xml:space="preserve">, in </w:t>
      </w:r>
      <w:r w:rsidRPr="00E4396E">
        <w:rPr>
          <w:i/>
        </w:rPr>
        <w:t>Riv. trim. dir. pubbl.</w:t>
      </w:r>
      <w:r w:rsidRPr="00E4396E">
        <w:t xml:space="preserve">, 1969, p. 838 ss., che valorizza in </w:t>
      </w:r>
      <w:r w:rsidR="000C671A" w:rsidRPr="00E4396E">
        <w:t>questo</w:t>
      </w:r>
      <w:r w:rsidRPr="00E4396E">
        <w:t xml:space="preserve"> senso l’azione di adempimento; </w:t>
      </w:r>
      <w:r w:rsidRPr="00E4396E">
        <w:rPr>
          <w:smallCaps/>
        </w:rPr>
        <w:t>G. Greco</w:t>
      </w:r>
      <w:r w:rsidRPr="00E4396E">
        <w:t xml:space="preserve">, </w:t>
      </w:r>
      <w:r w:rsidRPr="00E4396E">
        <w:rPr>
          <w:i/>
        </w:rPr>
        <w:t>L’accertamento autonomo del rapporto</w:t>
      </w:r>
      <w:r w:rsidRPr="00E4396E">
        <w:t xml:space="preserve">, Milano, 1980, p. 151 ss., secondo cui l’interesse legittimo corrisponderebbe ad una pretesa, che avrebbe carattere condizionato quando l’interesse legittimo è correlato alla potestà discrezionale dell’Amministrazione, tale per cui l’accertamento avverrebbe sui soli elementi ‘rigidi’ del rapporto. Successivamente, sarà soprattutto a seguito, sul lato sostanziale, della sent. Cass., sez. un., n. 500 del 22 luglio 1999 – che, nel riconoscere la risarcibilità degli interessi legittimi, partiva da una nozione sostanzialistica degli stessi, la quale, per la determinazione del risarcimento, necessitava di essere precisata nella sua effettiva consistenza – e, sul lato processuale, della l. n. 205 del 21 luglio 2000 – che, ampliando i rimedi processuali anche al di fuori </w:t>
      </w:r>
      <w:r w:rsidR="00FF2890" w:rsidRPr="00E4396E">
        <w:t>del</w:t>
      </w:r>
      <w:r w:rsidRPr="00E4396E">
        <w:t xml:space="preserve">la tradizionale azione di annullamento, anticipò, sotto tale profilo, il più ampio intervento riformatore intervenuto con il Codice – che si </w:t>
      </w:r>
      <w:r w:rsidR="00FF2890" w:rsidRPr="00E4396E">
        <w:t>acquisirà</w:t>
      </w:r>
      <w:r w:rsidRPr="00E4396E">
        <w:t xml:space="preserve"> una più diffusa consapevolezza della necessità di ricostruzione di una situazione giuridica, di carattere sostanzialistico</w:t>
      </w:r>
      <w:r w:rsidR="000C671A" w:rsidRPr="00E4396E">
        <w:t xml:space="preserve"> idonea ad</w:t>
      </w:r>
      <w:r w:rsidRPr="00E4396E">
        <w:t xml:space="preserve"> essere posta ad oggetto del giudizio: cfr. in proposito la dottrina cit. </w:t>
      </w:r>
      <w:r w:rsidRPr="00E4396E">
        <w:rPr>
          <w:i/>
          <w:iCs/>
        </w:rPr>
        <w:t>infra</w:t>
      </w:r>
      <w:r w:rsidRPr="00E4396E">
        <w:t>, n. 2</w:t>
      </w:r>
      <w:r w:rsidR="001C25BE" w:rsidRPr="00E4396E">
        <w:t>1</w:t>
      </w:r>
      <w:r w:rsidRPr="00E4396E">
        <w:t>.</w:t>
      </w:r>
    </w:p>
  </w:footnote>
  <w:footnote w:id="15">
    <w:p w14:paraId="1F9AFBD3" w14:textId="0850D0AB" w:rsidR="00D70EE7" w:rsidRPr="00E4396E" w:rsidRDefault="00D70EE7" w:rsidP="001B22E9">
      <w:pPr>
        <w:pStyle w:val="Testonotaapidipagina"/>
      </w:pPr>
      <w:r w:rsidRPr="00E4396E">
        <w:rPr>
          <w:rStyle w:val="Rimandonotaapidipagina"/>
        </w:rPr>
        <w:footnoteRef/>
      </w:r>
      <w:r w:rsidRPr="00E4396E">
        <w:t xml:space="preserve"> </w:t>
      </w:r>
      <w:r w:rsidR="00BD7546" w:rsidRPr="00E4396E">
        <w:t>In questo senso</w:t>
      </w:r>
      <w:r w:rsidR="00AD5A02" w:rsidRPr="00E4396E">
        <w:t xml:space="preserve">, Corte cost., n. 204 del </w:t>
      </w:r>
      <w:r w:rsidR="002F7CC0" w:rsidRPr="00E4396E">
        <w:t>6</w:t>
      </w:r>
      <w:r w:rsidR="00AD5A02" w:rsidRPr="00E4396E">
        <w:t xml:space="preserve"> luglio 2004</w:t>
      </w:r>
      <w:r w:rsidR="00084E72" w:rsidRPr="00E4396E">
        <w:t>, che aggiunge come l’art. 24 Cost., “garantendo alle situazioni soggettive devolute alla giurisdizione amministrativa piena ed effettiva tutela, implica che il giudice sia munito di adeguati poteri”.</w:t>
      </w:r>
    </w:p>
  </w:footnote>
  <w:footnote w:id="16">
    <w:p w14:paraId="30F4E5CD" w14:textId="5238E8FA" w:rsidR="00030CB2" w:rsidRPr="00E4396E" w:rsidRDefault="00030CB2" w:rsidP="001B22E9">
      <w:pPr>
        <w:pStyle w:val="Testonotaapidipagina"/>
        <w:rPr>
          <w:i/>
          <w:iCs/>
          <w:smallCaps/>
        </w:rPr>
      </w:pPr>
      <w:r w:rsidRPr="00E4396E">
        <w:rPr>
          <w:rStyle w:val="Rimandonotaapidipagina"/>
        </w:rPr>
        <w:footnoteRef/>
      </w:r>
      <w:r w:rsidRPr="00E4396E">
        <w:t xml:space="preserve"> </w:t>
      </w:r>
      <w:r w:rsidR="008B30F4" w:rsidRPr="00E4396E">
        <w:t xml:space="preserve">Sul punto, cfr. quanto da noi già affermato in </w:t>
      </w:r>
      <w:r w:rsidR="008B30F4" w:rsidRPr="00E4396E">
        <w:rPr>
          <w:i/>
          <w:iCs/>
        </w:rPr>
        <w:t>L’azione di adempimento nel processo amministrativo</w:t>
      </w:r>
      <w:r w:rsidR="008B30F4" w:rsidRPr="00E4396E">
        <w:t xml:space="preserve">, Torino, 2012, p. </w:t>
      </w:r>
      <w:r w:rsidR="00B7491A" w:rsidRPr="00E4396E">
        <w:t>71 ss.</w:t>
      </w:r>
      <w:r w:rsidR="008B30F4" w:rsidRPr="00E4396E">
        <w:t xml:space="preserve">; </w:t>
      </w:r>
      <w:r w:rsidR="008B30F4" w:rsidRPr="00E4396E">
        <w:rPr>
          <w:i/>
        </w:rPr>
        <w:t>L’azione di condanna ad un facere. Riflessioni sul processo amministrativo fondato sulla pluralità delle azioni</w:t>
      </w:r>
      <w:r w:rsidR="008B30F4" w:rsidRPr="00E4396E">
        <w:t xml:space="preserve">, in </w:t>
      </w:r>
      <w:r w:rsidR="008B30F4" w:rsidRPr="00E4396E">
        <w:rPr>
          <w:smallCaps/>
        </w:rPr>
        <w:t>A. Carbone</w:t>
      </w:r>
      <w:r w:rsidR="008B30F4" w:rsidRPr="00E4396E">
        <w:t xml:space="preserve">, </w:t>
      </w:r>
      <w:r w:rsidR="008B30F4" w:rsidRPr="00E4396E">
        <w:rPr>
          <w:smallCaps/>
        </w:rPr>
        <w:t>E. Zampetti</w:t>
      </w:r>
      <w:r w:rsidR="008B30F4" w:rsidRPr="00E4396E">
        <w:t xml:space="preserve"> (a cura di), </w:t>
      </w:r>
      <w:r w:rsidR="008B30F4" w:rsidRPr="00E4396E">
        <w:rPr>
          <w:i/>
        </w:rPr>
        <w:t>Concetti tradizionali del diritto amministrativo e loro evoluzione</w:t>
      </w:r>
      <w:r w:rsidR="008B30F4" w:rsidRPr="00E4396E">
        <w:t>, Napoli, 2018, p</w:t>
      </w:r>
      <w:r w:rsidR="00E63A8D" w:rsidRPr="00E4396E">
        <w:t xml:space="preserve">p. 66 ss. e 108 </w:t>
      </w:r>
      <w:r w:rsidR="008B30F4" w:rsidRPr="00E4396E">
        <w:t xml:space="preserve">(anche in </w:t>
      </w:r>
      <w:r w:rsidR="008B30F4" w:rsidRPr="00E4396E">
        <w:rPr>
          <w:i/>
        </w:rPr>
        <w:t>Dir. proc. amm.</w:t>
      </w:r>
      <w:r w:rsidR="008B30F4" w:rsidRPr="00E4396E">
        <w:t>, 2018).</w:t>
      </w:r>
    </w:p>
  </w:footnote>
  <w:footnote w:id="17">
    <w:p w14:paraId="44F42F19" w14:textId="77777777" w:rsidR="008B30F4" w:rsidRPr="00E4396E" w:rsidRDefault="00170F1C" w:rsidP="001B22E9">
      <w:pPr>
        <w:pStyle w:val="Testonotaapidipagina"/>
      </w:pPr>
      <w:r w:rsidRPr="00E4396E">
        <w:rPr>
          <w:rStyle w:val="Rimandonotaapidipagina"/>
        </w:rPr>
        <w:footnoteRef/>
      </w:r>
      <w:r w:rsidRPr="00E4396E">
        <w:t xml:space="preserve"> </w:t>
      </w:r>
      <w:r w:rsidR="00BD7546" w:rsidRPr="00E4396E">
        <w:t xml:space="preserve">Cfr. </w:t>
      </w:r>
      <w:r w:rsidR="00BD7546" w:rsidRPr="00E4396E">
        <w:rPr>
          <w:smallCaps/>
        </w:rPr>
        <w:t>L. Ferrara</w:t>
      </w:r>
      <w:r w:rsidR="00BD7546" w:rsidRPr="00E4396E">
        <w:t xml:space="preserve">, </w:t>
      </w:r>
      <w:r w:rsidR="00BD7546" w:rsidRPr="00E4396E">
        <w:rPr>
          <w:i/>
          <w:iCs/>
        </w:rPr>
        <w:t>Domanda giudiziale</w:t>
      </w:r>
      <w:r w:rsidR="00BD7546" w:rsidRPr="00E4396E">
        <w:t>, cit., p. 634 ss.</w:t>
      </w:r>
    </w:p>
    <w:p w14:paraId="27F1DA20" w14:textId="6719090A" w:rsidR="00170F1C" w:rsidRPr="00E4396E" w:rsidRDefault="008B30F4" w:rsidP="001B22E9">
      <w:pPr>
        <w:pStyle w:val="Testonotaapidipagina"/>
      </w:pPr>
      <w:r w:rsidRPr="00E4396E">
        <w:t xml:space="preserve">Da ultimo, cfr. </w:t>
      </w:r>
      <w:r w:rsidRPr="00E4396E">
        <w:rPr>
          <w:smallCaps/>
        </w:rPr>
        <w:t>M. Clarich</w:t>
      </w:r>
      <w:r w:rsidRPr="00E4396E">
        <w:t xml:space="preserve">, </w:t>
      </w:r>
      <w:r w:rsidRPr="00E4396E">
        <w:rPr>
          <w:i/>
        </w:rPr>
        <w:t>Manuale di giustizia amministrativa</w:t>
      </w:r>
      <w:r w:rsidRPr="00E4396E">
        <w:t xml:space="preserve">, Bologna, 2023, p. 216 ss.; </w:t>
      </w:r>
      <w:r w:rsidRPr="00E4396E">
        <w:rPr>
          <w:smallCaps/>
        </w:rPr>
        <w:t>Id.</w:t>
      </w:r>
      <w:r w:rsidRPr="00E4396E">
        <w:t xml:space="preserve">, </w:t>
      </w:r>
      <w:r w:rsidRPr="00E4396E">
        <w:rPr>
          <w:i/>
          <w:iCs/>
        </w:rPr>
        <w:t>Legittimazione a ricorrere e interesse a impugnare nel processo amministrativo</w:t>
      </w:r>
      <w:r w:rsidRPr="00E4396E">
        <w:t xml:space="preserve">, </w:t>
      </w:r>
      <w:r w:rsidR="002F22EF" w:rsidRPr="00E4396E">
        <w:t>cit.</w:t>
      </w:r>
      <w:r w:rsidRPr="00E4396E">
        <w:t>, che ha mutato l’opinione espressa nel saggio del 1989, in ragione del diverso quadro normativo, sostanziale e processuale, intervenuto</w:t>
      </w:r>
      <w:r w:rsidR="0011225F" w:rsidRPr="00E4396E">
        <w:t xml:space="preserve"> da allora</w:t>
      </w:r>
      <w:r w:rsidRPr="00E4396E">
        <w:t>.</w:t>
      </w:r>
    </w:p>
  </w:footnote>
  <w:footnote w:id="18">
    <w:p w14:paraId="1C16A47D" w14:textId="1C755887" w:rsidR="00F869CE" w:rsidRPr="00E4396E" w:rsidRDefault="00F869CE" w:rsidP="001B22E9">
      <w:pPr>
        <w:pStyle w:val="Testonotaapidipagina"/>
      </w:pPr>
      <w:r w:rsidRPr="00E4396E">
        <w:rPr>
          <w:rStyle w:val="Rimandonotaapidipagina"/>
        </w:rPr>
        <w:footnoteRef/>
      </w:r>
      <w:r w:rsidRPr="00E4396E">
        <w:t xml:space="preserve"> </w:t>
      </w:r>
      <w:r w:rsidR="00BC6922" w:rsidRPr="00E4396E">
        <w:t xml:space="preserve">Si veda, sulla distinzione dei due piani, </w:t>
      </w:r>
      <w:r w:rsidR="00BC6922" w:rsidRPr="00E4396E">
        <w:rPr>
          <w:smallCaps/>
        </w:rPr>
        <w:t>L. Ferrajoli</w:t>
      </w:r>
      <w:r w:rsidR="00BC6922" w:rsidRPr="00E4396E">
        <w:t xml:space="preserve">, </w:t>
      </w:r>
      <w:r w:rsidR="00BC6922" w:rsidRPr="00E4396E">
        <w:rPr>
          <w:i/>
        </w:rPr>
        <w:t>Principia iuris. Teoria del diritto e della democrazia</w:t>
      </w:r>
      <w:r w:rsidR="00BC6922" w:rsidRPr="00E4396E">
        <w:t xml:space="preserve">, I, </w:t>
      </w:r>
      <w:r w:rsidR="00BC6922" w:rsidRPr="00E4396E">
        <w:rPr>
          <w:i/>
        </w:rPr>
        <w:t>Teoria del diritto</w:t>
      </w:r>
      <w:r w:rsidR="00BC6922" w:rsidRPr="00E4396E">
        <w:t xml:space="preserve">, Roma-Bari, 2007, p. 309, per cui è essenziale distinguere tra capacità (negoziale, politica) e corrispondenti situazioni di autonomia: “le capacità sono gli </w:t>
      </w:r>
      <w:r w:rsidR="00BC6922" w:rsidRPr="00E4396E">
        <w:rPr>
          <w:i/>
        </w:rPr>
        <w:t>status</w:t>
      </w:r>
      <w:r w:rsidR="00BC6922" w:rsidRPr="00E4396E">
        <w:t xml:space="preserve"> dei soggetti dotati di determinati requisiti normativi (…). Le situazioni di autonomia sono invece i diritti riconosciuti in forza di tali </w:t>
      </w:r>
      <w:r w:rsidR="00BC6922" w:rsidRPr="00E4396E">
        <w:rPr>
          <w:i/>
        </w:rPr>
        <w:t>status</w:t>
      </w:r>
      <w:r w:rsidR="00BC6922" w:rsidRPr="00E4396E">
        <w:t xml:space="preserve">”; le prime sono oggetto di una regola costitutiva, le seconde di una regola deontica. Cfr. pure </w:t>
      </w:r>
      <w:r w:rsidR="00BC6922" w:rsidRPr="00E4396E">
        <w:rPr>
          <w:smallCaps/>
        </w:rPr>
        <w:t>U. Natoli</w:t>
      </w:r>
      <w:r w:rsidR="00BC6922" w:rsidRPr="00E4396E">
        <w:t xml:space="preserve">, </w:t>
      </w:r>
      <w:r w:rsidR="00BC6922" w:rsidRPr="00E4396E">
        <w:rPr>
          <w:i/>
        </w:rPr>
        <w:t>Il diritto soggettivo</w:t>
      </w:r>
      <w:r w:rsidR="00BC6922" w:rsidRPr="00E4396E">
        <w:t xml:space="preserve">, Milano, 1943, p. 69; </w:t>
      </w:r>
      <w:r w:rsidR="00BC6922" w:rsidRPr="00E4396E">
        <w:rPr>
          <w:smallCaps/>
        </w:rPr>
        <w:t>A. Cerri</w:t>
      </w:r>
      <w:r w:rsidR="00BC6922" w:rsidRPr="00E4396E">
        <w:t xml:space="preserve">, </w:t>
      </w:r>
      <w:r w:rsidR="00BC6922" w:rsidRPr="00E4396E">
        <w:rPr>
          <w:i/>
        </w:rPr>
        <w:t>Poteri e potestà</w:t>
      </w:r>
      <w:r w:rsidR="00BC6922" w:rsidRPr="00E4396E">
        <w:t xml:space="preserve">, in </w:t>
      </w:r>
      <w:r w:rsidR="00BC6922" w:rsidRPr="00E4396E">
        <w:rPr>
          <w:i/>
        </w:rPr>
        <w:t>Enc. giur.</w:t>
      </w:r>
      <w:r w:rsidR="00BC6922" w:rsidRPr="00E4396E">
        <w:t xml:space="preserve">, XXVI, Roma, 1991, p. 2 ss.; </w:t>
      </w:r>
      <w:r w:rsidR="00BC6922" w:rsidRPr="00E4396E">
        <w:rPr>
          <w:smallCaps/>
        </w:rPr>
        <w:t>A. Romano Tassone</w:t>
      </w:r>
      <w:r w:rsidR="00BC6922" w:rsidRPr="00E4396E">
        <w:t xml:space="preserve">, </w:t>
      </w:r>
      <w:r w:rsidR="00BC6922" w:rsidRPr="00E4396E">
        <w:rPr>
          <w:i/>
        </w:rPr>
        <w:t>Note sul concetto di potere giuridico</w:t>
      </w:r>
      <w:r w:rsidR="00BC6922" w:rsidRPr="00E4396E">
        <w:t xml:space="preserve">, in </w:t>
      </w:r>
      <w:r w:rsidR="00BC6922" w:rsidRPr="00E4396E">
        <w:rPr>
          <w:i/>
        </w:rPr>
        <w:t>Ann. Fac. Econ. e comm. Università di Messina</w:t>
      </w:r>
      <w:r w:rsidR="00BC6922" w:rsidRPr="00E4396E">
        <w:t xml:space="preserve">, 1981, p. 415; </w:t>
      </w:r>
      <w:r w:rsidR="00BC6922" w:rsidRPr="00E4396E">
        <w:rPr>
          <w:smallCaps/>
        </w:rPr>
        <w:t>M. Trimarchi</w:t>
      </w:r>
      <w:r w:rsidR="00BC6922" w:rsidRPr="00E4396E">
        <w:t xml:space="preserve">, </w:t>
      </w:r>
      <w:r w:rsidR="00BC6922" w:rsidRPr="00E4396E">
        <w:rPr>
          <w:i/>
        </w:rPr>
        <w:t>L’inesauribilità del potere amministrativo</w:t>
      </w:r>
      <w:r w:rsidR="0077487E" w:rsidRPr="00E4396E">
        <w:t xml:space="preserve">, cit., </w:t>
      </w:r>
      <w:r w:rsidR="00BC6922" w:rsidRPr="00E4396E">
        <w:t xml:space="preserve">p. 149 ss. La differenziazione tra potere come capacità e potere come situazione giuridica è presente anche, seppur a fini del tutto diversi rispetto alla ricostruzione da noi riferita, con riferimento alla Sua </w:t>
      </w:r>
      <w:r w:rsidR="003368C5" w:rsidRPr="00E4396E">
        <w:t>impostazione</w:t>
      </w:r>
      <w:r w:rsidR="00BC6922" w:rsidRPr="00E4396E">
        <w:t xml:space="preserve">, in </w:t>
      </w:r>
      <w:r w:rsidR="00BC6922" w:rsidRPr="00E4396E">
        <w:rPr>
          <w:smallCaps/>
        </w:rPr>
        <w:t>A. Piras</w:t>
      </w:r>
      <w:r w:rsidR="00BC6922" w:rsidRPr="00E4396E">
        <w:t xml:space="preserve">, </w:t>
      </w:r>
      <w:r w:rsidR="00BC6922" w:rsidRPr="00E4396E">
        <w:rPr>
          <w:i/>
        </w:rPr>
        <w:t>Interesse legittimo e giudizio amministrativo</w:t>
      </w:r>
      <w:r w:rsidR="00BC6922" w:rsidRPr="00E4396E">
        <w:t>, I, Milano, 1962, p. 55 ss., ed ivi nn. 61-62; II, cit., p. 175 ss., ed ivi nn. 167-168, pp. 184-185.</w:t>
      </w:r>
    </w:p>
  </w:footnote>
  <w:footnote w:id="19">
    <w:p w14:paraId="2BEE6529" w14:textId="0B3FE43B" w:rsidR="00475541" w:rsidRPr="00E4396E" w:rsidRDefault="00030CB2" w:rsidP="001B22E9">
      <w:pPr>
        <w:pStyle w:val="Testonotaapidipagina"/>
      </w:pPr>
      <w:r w:rsidRPr="00E4396E">
        <w:rPr>
          <w:rStyle w:val="Rimandonotaapidipagina"/>
        </w:rPr>
        <w:footnoteRef/>
      </w:r>
      <w:r w:rsidRPr="00E4396E">
        <w:t xml:space="preserve"> </w:t>
      </w:r>
      <w:r w:rsidR="00D57FC5" w:rsidRPr="00E4396E">
        <w:t xml:space="preserve">Più nello specifico, si può partire </w:t>
      </w:r>
      <w:r w:rsidR="00657AE6" w:rsidRPr="00E4396E">
        <w:t xml:space="preserve">dalla scomposizione tecnica dei piani delle differenti relazioni che possono porsi nell’ambito della realtà giuridica, effettuata da parte di </w:t>
      </w:r>
      <w:r w:rsidR="00657AE6" w:rsidRPr="00E4396E">
        <w:rPr>
          <w:smallCaps/>
        </w:rPr>
        <w:t>W.N. Hohfeld</w:t>
      </w:r>
      <w:r w:rsidR="00657AE6" w:rsidRPr="00E4396E">
        <w:t xml:space="preserve">, </w:t>
      </w:r>
      <w:r w:rsidR="00657AE6" w:rsidRPr="00E4396E">
        <w:rPr>
          <w:i/>
        </w:rPr>
        <w:t>Concetti giuridici fondamentali</w:t>
      </w:r>
      <w:r w:rsidR="00657AE6" w:rsidRPr="00E4396E">
        <w:t>, Torino, 1969 (op. orig. articoli del 1913 e 1917), p. 3 ss., il quale, attraverso la distinzione del piano dei concetti deontici e quello dei concetti anankastici, ha potuto superare la monoliticità dogmatica propria altrimenti del concetto di diritto soggettivo. Seguendo tale prospettiva, e corretta qualche discrasia della stessa distinzione hohfeldiana, è stato possibile dunque sostenere che la situazione giuridica individua una figura di qualificazione deontica rispetto ad un comportamento che è causa di un effetto giuridico</w:t>
      </w:r>
      <w:r w:rsidR="003368C5" w:rsidRPr="00E4396E">
        <w:t>: si veda, in questo senso,</w:t>
      </w:r>
      <w:r w:rsidR="00D57FC5" w:rsidRPr="00E4396E">
        <w:t xml:space="preserve"> </w:t>
      </w:r>
      <w:r w:rsidR="00D57FC5" w:rsidRPr="00E4396E">
        <w:rPr>
          <w:smallCaps/>
        </w:rPr>
        <w:t>L. Ferrajoli</w:t>
      </w:r>
      <w:r w:rsidR="00D57FC5" w:rsidRPr="00E4396E">
        <w:t xml:space="preserve">, </w:t>
      </w:r>
      <w:r w:rsidR="00D57FC5" w:rsidRPr="00E4396E">
        <w:rPr>
          <w:i/>
        </w:rPr>
        <w:t>Principia iuris</w:t>
      </w:r>
      <w:r w:rsidR="00D57FC5" w:rsidRPr="00E4396E">
        <w:t xml:space="preserve">, I, cit., pp. 143 ss. e 300 ss., secondo cui le situazioni giuridiche corrispondono a modalità deontiche (obbligo, divieto o facoltà) che si collegano, sul piano contenutistico, ad un determinato comportamento che fa capo al soggetto; a queste si contrappongono le situazioni di aspettativa (positiva, negativa o mancanza di aspettativa). Rispetto a tale impostazione, </w:t>
      </w:r>
      <w:r w:rsidR="00657AE6" w:rsidRPr="00E4396E">
        <w:t xml:space="preserve">a sua volta </w:t>
      </w:r>
      <w:r w:rsidR="00D57FC5" w:rsidRPr="00E4396E">
        <w:t xml:space="preserve">va individuato più specificamente il concetto di </w:t>
      </w:r>
      <w:r w:rsidR="00D57FC5" w:rsidRPr="00E4396E">
        <w:rPr>
          <w:i/>
        </w:rPr>
        <w:t>pretesa</w:t>
      </w:r>
      <w:r w:rsidR="00D57FC5" w:rsidRPr="00E4396E">
        <w:t xml:space="preserve"> quale figura di qualificazione deontica che fronteggia un obbligo, il quale a sua volta può essere positivo o negativo. Per tale via, si può pervenire alla distinzione fra il piano della qualificazione deontica, che presenta una facoltà o un obbligo (positivo o negativo) in capo ad un soggetto, a fronte del quale si può configurare una non pretesa o una pretesa (a sua volta, positiva o negativa) in capo ad altri soggetti; e il piano contenutistico del comportamento collegato alla stessa figura deontica, che consiste in un atto materiale o in un atto precettivo. In </w:t>
      </w:r>
      <w:r w:rsidR="00657AE6" w:rsidRPr="00E4396E">
        <w:t xml:space="preserve">questo </w:t>
      </w:r>
      <w:r w:rsidR="00D57FC5" w:rsidRPr="00E4396E">
        <w:t xml:space="preserve">quadro, il potere è la modalità deontica di un atto precettivo, a fronte del quale può configurarsi una corrispondente pretesa in capo ad un altro soggetto: cfr. subito di seguito nel testo, nonché ampiamente </w:t>
      </w:r>
      <w:r w:rsidR="00D57FC5" w:rsidRPr="00E4396E">
        <w:rPr>
          <w:i/>
        </w:rPr>
        <w:t>Potere e situazioni soggettive</w:t>
      </w:r>
      <w:r w:rsidR="00D57FC5" w:rsidRPr="00E4396E">
        <w:t>, I, cit., pp. 57 ss., 66 ss. e 175 ss.</w:t>
      </w:r>
    </w:p>
  </w:footnote>
  <w:footnote w:id="20">
    <w:p w14:paraId="57BA27DD" w14:textId="3132C597" w:rsidR="00030CB2" w:rsidRPr="00E4396E" w:rsidRDefault="00030CB2" w:rsidP="001B22E9">
      <w:pPr>
        <w:pStyle w:val="Testonotaapidipagina"/>
      </w:pPr>
      <w:r w:rsidRPr="00E4396E">
        <w:rPr>
          <w:rStyle w:val="Rimandonotaapidipagina"/>
        </w:rPr>
        <w:footnoteRef/>
      </w:r>
      <w:r w:rsidRPr="00E4396E">
        <w:t xml:space="preserve"> </w:t>
      </w:r>
      <w:r w:rsidR="00475541" w:rsidRPr="00E4396E">
        <w:t xml:space="preserve">Si veda la nota precedente; nonché, ampiamente, </w:t>
      </w:r>
      <w:r w:rsidR="00475541" w:rsidRPr="00E4396E">
        <w:rPr>
          <w:i/>
          <w:iCs/>
        </w:rPr>
        <w:t>Potere e situazioni soggettive</w:t>
      </w:r>
      <w:r w:rsidR="00475541" w:rsidRPr="00E4396E">
        <w:t xml:space="preserve">, I, cit., p. 178 ss., ed ivi i relativi riferimenti. </w:t>
      </w:r>
    </w:p>
  </w:footnote>
  <w:footnote w:id="21">
    <w:p w14:paraId="0EBCE9DC" w14:textId="4208364A" w:rsidR="003216C7" w:rsidRPr="00E4396E" w:rsidRDefault="003216C7" w:rsidP="001B22E9">
      <w:pPr>
        <w:pStyle w:val="Testonotaapidipagina"/>
      </w:pPr>
      <w:r w:rsidRPr="00E4396E">
        <w:rPr>
          <w:rStyle w:val="Rimandonotaapidipagina"/>
        </w:rPr>
        <w:footnoteRef/>
      </w:r>
      <w:r w:rsidRPr="00E4396E">
        <w:t xml:space="preserve"> </w:t>
      </w:r>
      <w:r w:rsidR="002F7CC0" w:rsidRPr="00E4396E">
        <w:t>Nelle medesime logiche</w:t>
      </w:r>
      <w:r w:rsidR="008A6C48" w:rsidRPr="00E4396E">
        <w:t xml:space="preserve">, per cui il potere come situazione giuridica è ciò che consente di racchiuderne l’espressione </w:t>
      </w:r>
      <w:r w:rsidR="003368C5" w:rsidRPr="00E4396E">
        <w:t>d</w:t>
      </w:r>
      <w:r w:rsidR="008A6C48" w:rsidRPr="00E4396E">
        <w:t>el rapporto P.A.-cittadino,</w:t>
      </w:r>
      <w:r w:rsidR="002F7CC0" w:rsidRPr="00E4396E">
        <w:t xml:space="preserve"> pare muoversi ora </w:t>
      </w:r>
      <w:r w:rsidRPr="00E4396E">
        <w:t>anche</w:t>
      </w:r>
      <w:r w:rsidR="002F7CC0" w:rsidRPr="00E4396E">
        <w:t xml:space="preserve"> </w:t>
      </w:r>
      <w:r w:rsidRPr="00E4396E">
        <w:t>Corte cost., n. 88</w:t>
      </w:r>
      <w:r w:rsidR="002F7CC0" w:rsidRPr="00E4396E">
        <w:t xml:space="preserve"> del 26 luglio </w:t>
      </w:r>
      <w:r w:rsidRPr="00E4396E">
        <w:t>2025</w:t>
      </w:r>
      <w:r w:rsidR="008A6C48" w:rsidRPr="00E4396E">
        <w:t>, sui poteri di secondo grado, i quali, in questo modo, sarebbero configurabili come situazioni autonome, e non come espressione del riesercizio del potere originario.</w:t>
      </w:r>
    </w:p>
  </w:footnote>
  <w:footnote w:id="22">
    <w:p w14:paraId="702528F8" w14:textId="210BDE5E" w:rsidR="001D2740" w:rsidRPr="00E4396E" w:rsidRDefault="00434908">
      <w:pPr>
        <w:pStyle w:val="Testonotaapidipagina"/>
        <w:rPr>
          <w:rFonts w:eastAsia="Times"/>
        </w:rPr>
      </w:pPr>
      <w:r w:rsidRPr="00E4396E">
        <w:rPr>
          <w:rStyle w:val="Rimandonotaapidipagina"/>
        </w:rPr>
        <w:footnoteRef/>
      </w:r>
      <w:r w:rsidRPr="00E4396E">
        <w:t xml:space="preserve"> </w:t>
      </w:r>
      <w:r w:rsidR="00FF2890" w:rsidRPr="00E4396E">
        <w:t>In questo senso, va ricordato come</w:t>
      </w:r>
      <w:r w:rsidR="00DF11C2" w:rsidRPr="00E4396E">
        <w:t xml:space="preserve"> l</w:t>
      </w:r>
      <w:r w:rsidR="001D2740" w:rsidRPr="00E4396E">
        <w:t xml:space="preserve">a dottrina, soprattutto in ragione delle modifiche intervenute nell’assetto sostanziale e processuale del diritto amministrativo fra gli anni </w:t>
      </w:r>
      <w:r w:rsidR="006D3C3E" w:rsidRPr="00E4396E">
        <w:t>‘</w:t>
      </w:r>
      <w:r w:rsidR="001D2740" w:rsidRPr="00E4396E">
        <w:t xml:space="preserve">90 del secolo scorso e i primi anni 2000, </w:t>
      </w:r>
      <w:r w:rsidR="00FF2890" w:rsidRPr="00E4396E">
        <w:t>abbia</w:t>
      </w:r>
      <w:r w:rsidR="0080594B" w:rsidRPr="00E4396E">
        <w:t xml:space="preserve"> </w:t>
      </w:r>
      <w:r w:rsidR="00FF2890" w:rsidRPr="00E4396E">
        <w:t xml:space="preserve">in effetti </w:t>
      </w:r>
      <w:r w:rsidR="0080594B" w:rsidRPr="00E4396E">
        <w:t xml:space="preserve">iniziato a considerare che l’interesse legittimo, o altra situazione ad esso parallela, dovesse configurarsi in termini di </w:t>
      </w:r>
      <w:r w:rsidR="0080594B" w:rsidRPr="00E4396E">
        <w:rPr>
          <w:i/>
          <w:iCs/>
        </w:rPr>
        <w:t>pretesa</w:t>
      </w:r>
      <w:r w:rsidR="0080594B" w:rsidRPr="00E4396E">
        <w:t>, in vario modo declinata</w:t>
      </w:r>
      <w:r w:rsidR="00812AAA" w:rsidRPr="00E4396E">
        <w:t>, tale per cui potesse essere posta ad oggetto del giudizio</w:t>
      </w:r>
      <w:r w:rsidR="0080594B" w:rsidRPr="00E4396E">
        <w:t>.</w:t>
      </w:r>
      <w:r w:rsidR="001D2740" w:rsidRPr="00E4396E">
        <w:t xml:space="preserve"> In </w:t>
      </w:r>
      <w:r w:rsidR="00812AAA" w:rsidRPr="00E4396E">
        <w:t>particolare</w:t>
      </w:r>
      <w:r w:rsidR="001D2740" w:rsidRPr="00E4396E">
        <w:t xml:space="preserve">, come </w:t>
      </w:r>
      <w:r w:rsidRPr="00E4396E">
        <w:t>pretesa riferi</w:t>
      </w:r>
      <w:r w:rsidR="0080594B" w:rsidRPr="00E4396E">
        <w:t>bile, invero in termini variegati,</w:t>
      </w:r>
      <w:r w:rsidRPr="00E4396E">
        <w:t xml:space="preserve"> all’utilità sostanziale</w:t>
      </w:r>
      <w:r w:rsidR="00812AAA" w:rsidRPr="00E4396E">
        <w:t xml:space="preserve"> ricercata dal privato,</w:t>
      </w:r>
      <w:r w:rsidRPr="00E4396E">
        <w:t xml:space="preserve"> </w:t>
      </w:r>
      <w:r w:rsidRPr="00E4396E">
        <w:rPr>
          <w:smallCaps/>
        </w:rPr>
        <w:t>G. Falcon</w:t>
      </w:r>
      <w:r w:rsidRPr="00E4396E">
        <w:t xml:space="preserve">, </w:t>
      </w:r>
      <w:r w:rsidRPr="00E4396E">
        <w:rPr>
          <w:i/>
        </w:rPr>
        <w:t>Il giudice amministrativo tra giurisdizione di legittimità e giurisdizione di spettanza</w:t>
      </w:r>
      <w:r w:rsidRPr="00E4396E">
        <w:t xml:space="preserve">, in </w:t>
      </w:r>
      <w:r w:rsidRPr="00E4396E">
        <w:rPr>
          <w:i/>
        </w:rPr>
        <w:t>Dir. proc. amm.</w:t>
      </w:r>
      <w:r w:rsidRPr="00E4396E">
        <w:t xml:space="preserve">, 2001, p. 287 ss., spec. p. 315 ss.; </w:t>
      </w:r>
      <w:r w:rsidRPr="00E4396E">
        <w:rPr>
          <w:smallCaps/>
        </w:rPr>
        <w:t>D. Vaiano</w:t>
      </w:r>
      <w:r w:rsidRPr="00E4396E">
        <w:t xml:space="preserve">, </w:t>
      </w:r>
      <w:r w:rsidRPr="00E4396E">
        <w:rPr>
          <w:i/>
        </w:rPr>
        <w:t>Pretesa di provvedimento e processo amministrativo</w:t>
      </w:r>
      <w:r w:rsidRPr="00E4396E">
        <w:t xml:space="preserve">, Milano, 2002, p. 246; </w:t>
      </w:r>
      <w:r w:rsidRPr="00E4396E">
        <w:rPr>
          <w:smallCaps/>
        </w:rPr>
        <w:t>A. Police</w:t>
      </w:r>
      <w:r w:rsidRPr="00E4396E">
        <w:t xml:space="preserve">, </w:t>
      </w:r>
      <w:r w:rsidRPr="00E4396E">
        <w:rPr>
          <w:i/>
        </w:rPr>
        <w:t>Il ricorso di piena giurisdizione davanti al giudice amministrativo</w:t>
      </w:r>
      <w:r w:rsidRPr="00E4396E">
        <w:t xml:space="preserve">, II, Milano, 2001, pp. 448 ss. e 473 ss.; </w:t>
      </w:r>
      <w:r w:rsidRPr="00E4396E">
        <w:rPr>
          <w:smallCaps/>
        </w:rPr>
        <w:t>Id.</w:t>
      </w:r>
      <w:r w:rsidRPr="00E4396E">
        <w:t xml:space="preserve">, </w:t>
      </w:r>
      <w:r w:rsidRPr="00E4396E">
        <w:rPr>
          <w:i/>
        </w:rPr>
        <w:t>Pluralità delle pretese, unicità dell’azione e oggetto del processo amministrativo</w:t>
      </w:r>
      <w:r w:rsidRPr="00E4396E">
        <w:t xml:space="preserve">, in </w:t>
      </w:r>
      <w:r w:rsidRPr="00E4396E">
        <w:rPr>
          <w:smallCaps/>
        </w:rPr>
        <w:t>A. Zito</w:t>
      </w:r>
      <w:r w:rsidRPr="00E4396E">
        <w:t xml:space="preserve">, </w:t>
      </w:r>
      <w:r w:rsidRPr="00E4396E">
        <w:rPr>
          <w:smallCaps/>
        </w:rPr>
        <w:t>D. De Carolis</w:t>
      </w:r>
      <w:r w:rsidRPr="00E4396E">
        <w:t xml:space="preserve"> (a cura di), </w:t>
      </w:r>
      <w:r w:rsidRPr="00E4396E">
        <w:rPr>
          <w:i/>
        </w:rPr>
        <w:t>Giudice amministrativo e tutele in forma specifica</w:t>
      </w:r>
      <w:r w:rsidRPr="00E4396E">
        <w:t>, Milano, 2003, p. 11 ss.;</w:t>
      </w:r>
      <w:r w:rsidR="001D2740" w:rsidRPr="00E4396E">
        <w:t xml:space="preserve"> nella medesima prospettiva</w:t>
      </w:r>
      <w:r w:rsidRPr="00E4396E">
        <w:t xml:space="preserve"> anche l</w:t>
      </w:r>
      <w:r w:rsidR="001D2740" w:rsidRPr="00E4396E">
        <w:t>’</w:t>
      </w:r>
      <w:r w:rsidRPr="00E4396E">
        <w:t>evoluzione</w:t>
      </w:r>
      <w:r w:rsidR="001D2740" w:rsidRPr="00E4396E">
        <w:t xml:space="preserve">, rispetto alla sua impostazione originaria (di cui </w:t>
      </w:r>
      <w:r w:rsidR="001D2740" w:rsidRPr="00E4396E">
        <w:rPr>
          <w:i/>
          <w:iCs/>
        </w:rPr>
        <w:t>supra</w:t>
      </w:r>
      <w:r w:rsidR="001D2740" w:rsidRPr="00E4396E">
        <w:t xml:space="preserve">, </w:t>
      </w:r>
      <w:r w:rsidR="003A1BD6" w:rsidRPr="00E4396E">
        <w:t>n. 1</w:t>
      </w:r>
      <w:r w:rsidR="001C25BE" w:rsidRPr="00E4396E">
        <w:t>3</w:t>
      </w:r>
      <w:r w:rsidR="001D2740" w:rsidRPr="00E4396E">
        <w:t>)</w:t>
      </w:r>
      <w:r w:rsidR="00E776B0" w:rsidRPr="00E4396E">
        <w:t>,</w:t>
      </w:r>
      <w:r w:rsidRPr="00E4396E">
        <w:t xml:space="preserve"> del pensiero di </w:t>
      </w:r>
      <w:r w:rsidRPr="00E4396E">
        <w:rPr>
          <w:smallCaps/>
        </w:rPr>
        <w:t>G. Greco</w:t>
      </w:r>
      <w:r w:rsidRPr="00E4396E">
        <w:t xml:space="preserve">, </w:t>
      </w:r>
      <w:r w:rsidRPr="00E4396E">
        <w:rPr>
          <w:i/>
        </w:rPr>
        <w:t>Dal dilemma diritto-soggettivo-interesse legittimo, alla differenziazione interesse strumentale-interesse finale</w:t>
      </w:r>
      <w:r w:rsidRPr="00E4396E">
        <w:t xml:space="preserve">, in </w:t>
      </w:r>
      <w:r w:rsidRPr="00E4396E">
        <w:rPr>
          <w:i/>
        </w:rPr>
        <w:t>Dir. amm.</w:t>
      </w:r>
      <w:r w:rsidRPr="00E4396E">
        <w:t xml:space="preserve">, 2014, p. 483 ss.; </w:t>
      </w:r>
      <w:r w:rsidRPr="00E4396E">
        <w:rPr>
          <w:smallCaps/>
        </w:rPr>
        <w:t>Id.</w:t>
      </w:r>
      <w:r w:rsidRPr="00E4396E">
        <w:t xml:space="preserve">, </w:t>
      </w:r>
      <w:r w:rsidRPr="00E4396E">
        <w:rPr>
          <w:i/>
        </w:rPr>
        <w:t>Il rapporto amministrativo e le vicende della posizione del cittadino</w:t>
      </w:r>
      <w:r w:rsidRPr="00E4396E">
        <w:t xml:space="preserve">, </w:t>
      </w:r>
      <w:r w:rsidRPr="00E4396E">
        <w:rPr>
          <w:i/>
        </w:rPr>
        <w:t>ivi</w:t>
      </w:r>
      <w:r w:rsidRPr="00E4396E">
        <w:t xml:space="preserve">, p. 585 ss.; </w:t>
      </w:r>
      <w:r w:rsidRPr="00E4396E">
        <w:rPr>
          <w:smallCaps/>
        </w:rPr>
        <w:t>Id.</w:t>
      </w:r>
      <w:r w:rsidRPr="00E4396E">
        <w:t xml:space="preserve">, </w:t>
      </w:r>
      <w:r w:rsidRPr="00E4396E">
        <w:rPr>
          <w:i/>
        </w:rPr>
        <w:t>Giudizio sull’atto, giudizio sul rapporto: un aggiornamento sul tema</w:t>
      </w:r>
      <w:r w:rsidRPr="00E4396E">
        <w:t xml:space="preserve">, in </w:t>
      </w:r>
      <w:r w:rsidRPr="00E4396E">
        <w:rPr>
          <w:smallCaps/>
        </w:rPr>
        <w:t>F. Francario</w:t>
      </w:r>
      <w:r w:rsidRPr="00E4396E">
        <w:t xml:space="preserve">, </w:t>
      </w:r>
      <w:r w:rsidRPr="00E4396E">
        <w:rPr>
          <w:smallCaps/>
        </w:rPr>
        <w:t>M.A. Sandulli</w:t>
      </w:r>
      <w:r w:rsidRPr="00E4396E">
        <w:t xml:space="preserve"> (a cura di), </w:t>
      </w:r>
      <w:r w:rsidRPr="00E4396E">
        <w:rPr>
          <w:i/>
        </w:rPr>
        <w:t>Profili oggettivi e soggetti della giurisdizione amministrativa. In ricordo di Leopoldo Mazzarolli</w:t>
      </w:r>
      <w:r w:rsidRPr="00E4396E">
        <w:t xml:space="preserve">, Napoli, 2017, p. 27 ss., su cui cfr. </w:t>
      </w:r>
      <w:r w:rsidRPr="00E4396E">
        <w:rPr>
          <w:i/>
          <w:iCs/>
        </w:rPr>
        <w:t>infra</w:t>
      </w:r>
      <w:r w:rsidRPr="00E4396E">
        <w:t>; come pretesa</w:t>
      </w:r>
      <w:r w:rsidR="00812AAA" w:rsidRPr="00E4396E">
        <w:t>, invece,</w:t>
      </w:r>
      <w:r w:rsidRPr="00E4396E">
        <w:t xml:space="preserve"> all’utilità strumentale (la </w:t>
      </w:r>
      <w:r w:rsidRPr="00E4396E">
        <w:rPr>
          <w:i/>
          <w:iCs/>
        </w:rPr>
        <w:t>chance</w:t>
      </w:r>
      <w:r w:rsidRPr="00E4396E">
        <w:t xml:space="preserve"> legale dell’utilità sostanziale)</w:t>
      </w:r>
      <w:r w:rsidR="0080594B" w:rsidRPr="00E4396E">
        <w:t>,</w:t>
      </w:r>
      <w:r w:rsidRPr="00E4396E">
        <w:t xml:space="preserve"> </w:t>
      </w:r>
      <w:r w:rsidRPr="00E4396E">
        <w:rPr>
          <w:smallCaps/>
        </w:rPr>
        <w:t>L. Ferrara</w:t>
      </w:r>
      <w:r w:rsidRPr="00E4396E">
        <w:t xml:space="preserve">, </w:t>
      </w:r>
      <w:r w:rsidRPr="00E4396E">
        <w:rPr>
          <w:i/>
        </w:rPr>
        <w:t>Domanda giudiziale e potere amministrativo</w:t>
      </w:r>
      <w:r w:rsidRPr="00E4396E">
        <w:rPr>
          <w:iCs/>
        </w:rPr>
        <w:t>, cit.,</w:t>
      </w:r>
      <w:r w:rsidRPr="00E4396E">
        <w:t xml:space="preserve"> p. 617 ss.; </w:t>
      </w:r>
      <w:r w:rsidRPr="00E4396E">
        <w:rPr>
          <w:smallCaps/>
        </w:rPr>
        <w:t>Id.</w:t>
      </w:r>
      <w:r w:rsidRPr="00E4396E">
        <w:t xml:space="preserve">, </w:t>
      </w:r>
      <w:r w:rsidRPr="00E4396E">
        <w:rPr>
          <w:i/>
        </w:rPr>
        <w:t>L’interesse legittimo alla riprova della responsabilità patrimoniale</w:t>
      </w:r>
      <w:r w:rsidRPr="00E4396E">
        <w:t xml:space="preserve">, in </w:t>
      </w:r>
      <w:r w:rsidRPr="00E4396E">
        <w:rPr>
          <w:i/>
        </w:rPr>
        <w:t>Dir. pubbl.</w:t>
      </w:r>
      <w:r w:rsidRPr="00E4396E">
        <w:t xml:space="preserve">, 2010, p. 643 ss.; </w:t>
      </w:r>
      <w:r w:rsidRPr="00E4396E">
        <w:rPr>
          <w:smallCaps/>
        </w:rPr>
        <w:t>Id.</w:t>
      </w:r>
      <w:r w:rsidRPr="00E4396E">
        <w:t xml:space="preserve">, </w:t>
      </w:r>
      <w:r w:rsidRPr="00E4396E">
        <w:rPr>
          <w:rFonts w:eastAsia="Times"/>
          <w:i/>
        </w:rPr>
        <w:t>Dal giudizio di ottemperanza al processo di esecuzione. La dissoluzione del concetto di interesse legittimo nel nuovo assetto della giurisdizione amministrativa</w:t>
      </w:r>
      <w:r w:rsidRPr="00E4396E">
        <w:rPr>
          <w:rFonts w:eastAsia="Times"/>
        </w:rPr>
        <w:t xml:space="preserve">, Milano, 2003, di cui pure si veda </w:t>
      </w:r>
      <w:r w:rsidRPr="00E4396E">
        <w:rPr>
          <w:rFonts w:eastAsia="Times"/>
          <w:i/>
          <w:iCs/>
        </w:rPr>
        <w:t>infra</w:t>
      </w:r>
      <w:r w:rsidR="001D2740" w:rsidRPr="00E4396E">
        <w:rPr>
          <w:rFonts w:eastAsia="Times"/>
        </w:rPr>
        <w:t>.</w:t>
      </w:r>
    </w:p>
    <w:p w14:paraId="326A5E05" w14:textId="1A84ED31" w:rsidR="00434908" w:rsidRPr="00E4396E" w:rsidRDefault="001D2740">
      <w:pPr>
        <w:pStyle w:val="Testonotaapidipagina"/>
      </w:pPr>
      <w:r w:rsidRPr="00E4396E">
        <w:rPr>
          <w:rFonts w:eastAsia="Times"/>
        </w:rPr>
        <w:t>A</w:t>
      </w:r>
      <w:r w:rsidR="00434908" w:rsidRPr="00E4396E">
        <w:rPr>
          <w:rFonts w:eastAsia="Times"/>
        </w:rPr>
        <w:t>l di fuori della considerazione</w:t>
      </w:r>
      <w:r w:rsidRPr="00E4396E">
        <w:rPr>
          <w:rFonts w:eastAsia="Times"/>
        </w:rPr>
        <w:t xml:space="preserve"> di una situazione di pretesa</w:t>
      </w:r>
      <w:r w:rsidR="006D3C3E" w:rsidRPr="00E4396E">
        <w:rPr>
          <w:rFonts w:eastAsia="Times"/>
        </w:rPr>
        <w:t>,</w:t>
      </w:r>
      <w:r w:rsidRPr="00E4396E">
        <w:rPr>
          <w:rFonts w:eastAsia="Times"/>
        </w:rPr>
        <w:t xml:space="preserve"> si colloca invece quella dottrina che ha ritenuto di poter porre ad oggetto del giudizio l’interesse legittimo ricostruito come situazione di rilevanza, in sé coincidente, nella sostanza, con un’aspettativa:</w:t>
      </w:r>
      <w:r w:rsidRPr="00E4396E">
        <w:rPr>
          <w:rFonts w:eastAsia="Times"/>
          <w:smallCaps/>
        </w:rPr>
        <w:t xml:space="preserve"> </w:t>
      </w:r>
      <w:r w:rsidR="006D3C3E" w:rsidRPr="00E4396E">
        <w:rPr>
          <w:rFonts w:eastAsia="Times"/>
          <w:smallCaps/>
        </w:rPr>
        <w:t>A. Romano Tassone</w:t>
      </w:r>
      <w:r w:rsidR="006D3C3E" w:rsidRPr="00E4396E">
        <w:rPr>
          <w:rFonts w:eastAsia="Times"/>
        </w:rPr>
        <w:t xml:space="preserve">, </w:t>
      </w:r>
      <w:r w:rsidR="006D3C3E" w:rsidRPr="00E4396E">
        <w:rPr>
          <w:rFonts w:eastAsia="Times"/>
          <w:i/>
        </w:rPr>
        <w:t>Giudice amministrativo e interesse legittimo</w:t>
      </w:r>
      <w:r w:rsidR="006D3C3E" w:rsidRPr="00E4396E">
        <w:rPr>
          <w:rFonts w:eastAsia="Times"/>
        </w:rPr>
        <w:t xml:space="preserve">, in </w:t>
      </w:r>
      <w:r w:rsidR="006D3C3E" w:rsidRPr="00E4396E">
        <w:rPr>
          <w:rFonts w:eastAsia="Times"/>
          <w:i/>
        </w:rPr>
        <w:t>Dir. amm.</w:t>
      </w:r>
      <w:r w:rsidR="006D3C3E" w:rsidRPr="00E4396E">
        <w:rPr>
          <w:rFonts w:eastAsia="Times"/>
        </w:rPr>
        <w:t xml:space="preserve">, 2006, p. 273 ss. </w:t>
      </w:r>
      <w:r w:rsidRPr="00E4396E">
        <w:rPr>
          <w:rFonts w:eastAsia="Times"/>
        </w:rPr>
        <w:t xml:space="preserve">Per una critica a tale impostazione, che di fatto </w:t>
      </w:r>
      <w:r w:rsidR="00D14B7E" w:rsidRPr="00E4396E">
        <w:rPr>
          <w:rFonts w:eastAsia="Times"/>
        </w:rPr>
        <w:t>finisce o per negare la rilevanza stessa dell’interesse legittimo rispetto alla situazione effettuale in formazione</w:t>
      </w:r>
      <w:r w:rsidR="00A069BD" w:rsidRPr="00E4396E">
        <w:rPr>
          <w:rFonts w:eastAsia="Times"/>
        </w:rPr>
        <w:t xml:space="preserve"> a cui si correla </w:t>
      </w:r>
      <w:r w:rsidR="00D14B7E" w:rsidRPr="00E4396E">
        <w:rPr>
          <w:rFonts w:eastAsia="Times"/>
        </w:rPr>
        <w:t xml:space="preserve">l’aspettativa (il diritto soggettivo costituito, modificato o estinto dalla produzione dell’effetto), ovvero per </w:t>
      </w:r>
      <w:r w:rsidR="00F95695" w:rsidRPr="00E4396E">
        <w:rPr>
          <w:rFonts w:eastAsia="Times"/>
        </w:rPr>
        <w:t>ricadere in</w:t>
      </w:r>
      <w:r w:rsidR="00D14B7E" w:rsidRPr="00E4396E">
        <w:rPr>
          <w:rFonts w:eastAsia="Times"/>
        </w:rPr>
        <w:t xml:space="preserve"> una concezione dell’interesse legittimo come pretesa alla </w:t>
      </w:r>
      <w:r w:rsidR="00D14B7E" w:rsidRPr="00E4396E">
        <w:rPr>
          <w:rFonts w:eastAsia="Times"/>
          <w:i/>
          <w:iCs/>
        </w:rPr>
        <w:t>chance legale</w:t>
      </w:r>
      <w:r w:rsidR="00D14B7E" w:rsidRPr="00E4396E">
        <w:rPr>
          <w:rFonts w:eastAsia="Times"/>
        </w:rPr>
        <w:t xml:space="preserve">, quale situazione, rispetto all’aspettativa, già effettuale, si rimanda a </w:t>
      </w:r>
      <w:r w:rsidR="00F95695" w:rsidRPr="00E4396E">
        <w:rPr>
          <w:rFonts w:eastAsia="Times"/>
          <w:i/>
          <w:iCs/>
        </w:rPr>
        <w:t>Potere</w:t>
      </w:r>
      <w:r w:rsidR="00F95695" w:rsidRPr="00E4396E">
        <w:rPr>
          <w:rFonts w:eastAsia="Times"/>
        </w:rPr>
        <w:t xml:space="preserve">, I, cit., p. 298 ss.; II, </w:t>
      </w:r>
      <w:r w:rsidR="00F95695" w:rsidRPr="00E4396E">
        <w:rPr>
          <w:rFonts w:eastAsia="Times"/>
          <w:i/>
          <w:iCs/>
        </w:rPr>
        <w:t>Considerazioni conclusive</w:t>
      </w:r>
      <w:r w:rsidR="00F95695" w:rsidRPr="00E4396E">
        <w:rPr>
          <w:rFonts w:eastAsia="Times"/>
        </w:rPr>
        <w:t xml:space="preserve">, Torino, 2025, p. 507, n. 6; nonché a </w:t>
      </w:r>
      <w:r w:rsidR="00F95695" w:rsidRPr="00E4396E">
        <w:rPr>
          <w:rFonts w:eastAsia="Times"/>
          <w:i/>
          <w:iCs/>
        </w:rPr>
        <w:t xml:space="preserve">Potere e situazioni giuridiche </w:t>
      </w:r>
      <w:r w:rsidR="00F95695" w:rsidRPr="00E4396E">
        <w:rPr>
          <w:i/>
          <w:iCs/>
        </w:rPr>
        <w:t>soggettive nel diritto amministrativo</w:t>
      </w:r>
      <w:r w:rsidR="00F95695" w:rsidRPr="00E4396E">
        <w:t xml:space="preserve">, in </w:t>
      </w:r>
      <w:r w:rsidR="00F95695" w:rsidRPr="00E4396E">
        <w:rPr>
          <w:smallCaps/>
        </w:rPr>
        <w:t>A. Carbone</w:t>
      </w:r>
      <w:r w:rsidR="00F95695" w:rsidRPr="00E4396E">
        <w:t xml:space="preserve"> (a cura di), </w:t>
      </w:r>
      <w:r w:rsidR="00F95695" w:rsidRPr="00E4396E">
        <w:rPr>
          <w:i/>
          <w:iCs/>
        </w:rPr>
        <w:t>Potere e diritto amministrativo</w:t>
      </w:r>
      <w:r w:rsidR="00F95695" w:rsidRPr="00E4396E">
        <w:t>, Pisa, 2026</w:t>
      </w:r>
      <w:r w:rsidR="00F95695" w:rsidRPr="00E4396E">
        <w:rPr>
          <w:rFonts w:eastAsia="Times"/>
        </w:rPr>
        <w:t>, p. 41 ss., n. 44</w:t>
      </w:r>
      <w:r w:rsidR="00DD7A62" w:rsidRPr="00E4396E">
        <w:rPr>
          <w:rFonts w:eastAsia="Times"/>
        </w:rPr>
        <w:t xml:space="preserve"> </w:t>
      </w:r>
      <w:r w:rsidR="00DD7A62" w:rsidRPr="00E4396E">
        <w:t xml:space="preserve">(anche in </w:t>
      </w:r>
      <w:r w:rsidR="00DD7A62" w:rsidRPr="00E4396E">
        <w:rPr>
          <w:i/>
          <w:iCs/>
        </w:rPr>
        <w:t>Pers. amm.</w:t>
      </w:r>
      <w:r w:rsidR="00DD7A62" w:rsidRPr="00E4396E">
        <w:t>, 2025, 2)</w:t>
      </w:r>
      <w:r w:rsidR="00F95695" w:rsidRPr="00E4396E">
        <w:rPr>
          <w:rFonts w:eastAsia="Times"/>
        </w:rPr>
        <w:t>.</w:t>
      </w:r>
    </w:p>
  </w:footnote>
  <w:footnote w:id="23">
    <w:p w14:paraId="13A96C2D" w14:textId="79FEB015" w:rsidR="00952579" w:rsidRPr="00E4396E" w:rsidRDefault="002C13B6" w:rsidP="002C13B6">
      <w:pPr>
        <w:pStyle w:val="Testonotaapidipagina"/>
      </w:pPr>
      <w:r w:rsidRPr="00E4396E">
        <w:rPr>
          <w:rStyle w:val="Rimandonotaapidipagina"/>
        </w:rPr>
        <w:footnoteRef/>
      </w:r>
      <w:r w:rsidRPr="00E4396E">
        <w:t xml:space="preserve"> Si veda in proposito</w:t>
      </w:r>
      <w:r w:rsidR="00E776B0" w:rsidRPr="00E4396E">
        <w:t>, ampiamente,</w:t>
      </w:r>
      <w:r w:rsidRPr="00E4396E">
        <w:t xml:space="preserve"> </w:t>
      </w:r>
      <w:r w:rsidRPr="00E4396E">
        <w:rPr>
          <w:i/>
          <w:iCs/>
        </w:rPr>
        <w:t>Potere e situazioni soggettive</w:t>
      </w:r>
      <w:r w:rsidRPr="00E4396E">
        <w:t>, II-1</w:t>
      </w:r>
      <w:r w:rsidR="006F7C0F" w:rsidRPr="00E4396E">
        <w:t xml:space="preserve">, cit., </w:t>
      </w:r>
      <w:r w:rsidRPr="00E4396E">
        <w:t>p. 208 ss.</w:t>
      </w:r>
    </w:p>
    <w:p w14:paraId="21AF39D8" w14:textId="2701A00E" w:rsidR="002C13B6" w:rsidRPr="00E4396E" w:rsidRDefault="009377D3" w:rsidP="002C13B6">
      <w:pPr>
        <w:pStyle w:val="Testonotaapidipagina"/>
      </w:pPr>
      <w:r w:rsidRPr="00E4396E">
        <w:t>N</w:t>
      </w:r>
      <w:r w:rsidR="002C13B6" w:rsidRPr="00E4396E">
        <w:t xml:space="preserve">el medesimo senso, </w:t>
      </w:r>
      <w:r w:rsidR="001F6743" w:rsidRPr="00E4396E">
        <w:t xml:space="preserve">cfr. </w:t>
      </w:r>
      <w:r w:rsidRPr="00E4396E">
        <w:t>in particolare</w:t>
      </w:r>
      <w:r w:rsidRPr="00E4396E">
        <w:rPr>
          <w:smallCaps/>
        </w:rPr>
        <w:t xml:space="preserve"> </w:t>
      </w:r>
      <w:r w:rsidR="002C13B6" w:rsidRPr="00E4396E">
        <w:rPr>
          <w:smallCaps/>
        </w:rPr>
        <w:t>S. Menchini</w:t>
      </w:r>
      <w:r w:rsidR="002C13B6" w:rsidRPr="00E4396E">
        <w:t xml:space="preserve">, </w:t>
      </w:r>
      <w:r w:rsidR="002C13B6" w:rsidRPr="00E4396E">
        <w:rPr>
          <w:i/>
        </w:rPr>
        <w:t>Potere sostanziale e sistema delle tutele</w:t>
      </w:r>
      <w:r w:rsidR="002C13B6" w:rsidRPr="00E4396E">
        <w:t xml:space="preserve">, in </w:t>
      </w:r>
      <w:r w:rsidR="002C13B6" w:rsidRPr="00E4396E">
        <w:rPr>
          <w:i/>
        </w:rPr>
        <w:t>Dir. proc. amm.</w:t>
      </w:r>
      <w:r w:rsidR="002C13B6" w:rsidRPr="00E4396E">
        <w:t xml:space="preserve">, 2020, p. 850 ss. (e in </w:t>
      </w:r>
      <w:r w:rsidR="002C13B6" w:rsidRPr="00E4396E">
        <w:rPr>
          <w:smallCaps/>
        </w:rPr>
        <w:t>C. Cudia</w:t>
      </w:r>
      <w:r w:rsidR="002C13B6" w:rsidRPr="00E4396E">
        <w:t xml:space="preserve"> (a cura di), </w:t>
      </w:r>
      <w:r w:rsidR="002C13B6" w:rsidRPr="00E4396E">
        <w:rPr>
          <w:i/>
        </w:rPr>
        <w:t>L’oggetto del giudizio amministrativo visto dal basso. Gli istituti processuali in evoluzione</w:t>
      </w:r>
      <w:r w:rsidR="002C13B6" w:rsidRPr="00E4396E">
        <w:t>, Torino, 2020, pp. 253 ss.), il quale</w:t>
      </w:r>
      <w:r w:rsidR="00952579" w:rsidRPr="00E4396E">
        <w:t>, nel ritenere che si</w:t>
      </w:r>
      <w:r w:rsidRPr="00E4396E">
        <w:t>a</w:t>
      </w:r>
      <w:r w:rsidR="00952579" w:rsidRPr="00E4396E">
        <w:t xml:space="preserve"> attualmente possibile porre ad oggetto del giudizio amministrativo l’intero rapporto sostanziale, considera che la cognizione del giudice dovrebbe risultare corrispondentemente estesa a tutti i fatti e a tutte le questioni che, in considerazione della fattispecie sostanziale, assumono rilievo ai fini della sua disciplina giuridica; con la conseguenza che l’Amministrazione potrebbe allegare nel corso del processo circostanze e fatti in precedenza non valorizzati, e rispetto ai quali incorrerebbe altrimenti nella preclusione del giudicato. Allo stesso modo, </w:t>
      </w:r>
      <w:r w:rsidR="00E85861" w:rsidRPr="00E4396E">
        <w:t xml:space="preserve">pure </w:t>
      </w:r>
      <w:r w:rsidR="00952579" w:rsidRPr="00E4396E">
        <w:rPr>
          <w:smallCaps/>
        </w:rPr>
        <w:t>M. Trimarchi</w:t>
      </w:r>
      <w:r w:rsidR="00952579" w:rsidRPr="00E4396E">
        <w:t xml:space="preserve">, </w:t>
      </w:r>
      <w:r w:rsidR="00952579" w:rsidRPr="00E4396E">
        <w:rPr>
          <w:i/>
          <w:iCs/>
        </w:rPr>
        <w:t>L’inesauribilità</w:t>
      </w:r>
      <w:r w:rsidR="00952579" w:rsidRPr="00E4396E">
        <w:t>, cit.,</w:t>
      </w:r>
      <w:r w:rsidR="00E776B0" w:rsidRPr="00E4396E">
        <w:t xml:space="preserve"> </w:t>
      </w:r>
      <w:r w:rsidR="00952579" w:rsidRPr="00E4396E">
        <w:t>p. 252 ss.</w:t>
      </w:r>
    </w:p>
  </w:footnote>
  <w:footnote w:id="24">
    <w:p w14:paraId="337BBA28" w14:textId="1C9449EB" w:rsidR="00BD7546" w:rsidRPr="00E4396E" w:rsidRDefault="00BD7546" w:rsidP="001B22E9">
      <w:pPr>
        <w:pStyle w:val="Testonotaapidipagina"/>
      </w:pPr>
      <w:r w:rsidRPr="00E4396E">
        <w:rPr>
          <w:rStyle w:val="Rimandonotaapidipagina"/>
        </w:rPr>
        <w:footnoteRef/>
      </w:r>
      <w:r w:rsidRPr="00E4396E">
        <w:t xml:space="preserve"> Sulle considerazioni che seguono si veda, ampiamente, </w:t>
      </w:r>
      <w:r w:rsidRPr="00E4396E">
        <w:rPr>
          <w:i/>
          <w:iCs/>
        </w:rPr>
        <w:t>Potere e situazioni soggettive</w:t>
      </w:r>
      <w:r w:rsidRPr="00E4396E">
        <w:t>, I, cit., p.</w:t>
      </w:r>
      <w:r w:rsidR="00473D0E" w:rsidRPr="00E4396E">
        <w:t xml:space="preserve"> 183 ss.</w:t>
      </w:r>
      <w:r w:rsidR="003D2914" w:rsidRPr="00E4396E">
        <w:t xml:space="preserve">; nonché </w:t>
      </w:r>
      <w:r w:rsidR="0036259D" w:rsidRPr="00E4396E">
        <w:t>i</w:t>
      </w:r>
      <w:r w:rsidR="003D2914" w:rsidRPr="00E4396E">
        <w:t xml:space="preserve">l saggio </w:t>
      </w:r>
      <w:r w:rsidR="003D2914" w:rsidRPr="00E4396E">
        <w:rPr>
          <w:i/>
          <w:iCs/>
        </w:rPr>
        <w:t>Potere e situazioni giuridiche soggettive nel diritto amministrativo</w:t>
      </w:r>
      <w:r w:rsidR="003D2914" w:rsidRPr="00E4396E">
        <w:t xml:space="preserve">, </w:t>
      </w:r>
      <w:r w:rsidR="00F95695" w:rsidRPr="00E4396E">
        <w:t>cit.</w:t>
      </w:r>
      <w:r w:rsidR="003D2914" w:rsidRPr="00E4396E">
        <w:t>, p. 20 ss.</w:t>
      </w:r>
      <w:r w:rsidR="00195ED5" w:rsidRPr="00E4396E">
        <w:t>; ivi i relativi riferimenti.</w:t>
      </w:r>
    </w:p>
  </w:footnote>
  <w:footnote w:id="25">
    <w:p w14:paraId="23CF8022" w14:textId="24858693" w:rsidR="003216C7" w:rsidRPr="00E4396E" w:rsidRDefault="003216C7" w:rsidP="001B22E9">
      <w:pPr>
        <w:pStyle w:val="Testonotaapidipagina"/>
      </w:pPr>
      <w:r w:rsidRPr="00E4396E">
        <w:rPr>
          <w:rStyle w:val="Rimandonotaapidipagina"/>
        </w:rPr>
        <w:footnoteRef/>
      </w:r>
      <w:r w:rsidRPr="00E4396E">
        <w:t xml:space="preserve"> </w:t>
      </w:r>
      <w:r w:rsidR="00D57FC5" w:rsidRPr="00E4396E">
        <w:t xml:space="preserve">È questa la tesi portata avanti dalla Scuola fiorentina, e in particolare da </w:t>
      </w:r>
      <w:r w:rsidR="00D57FC5" w:rsidRPr="00E4396E">
        <w:rPr>
          <w:smallCaps/>
        </w:rPr>
        <w:t>L. Ferrara</w:t>
      </w:r>
      <w:r w:rsidR="00D57FC5" w:rsidRPr="00E4396E">
        <w:t xml:space="preserve">, </w:t>
      </w:r>
      <w:r w:rsidR="00D57FC5" w:rsidRPr="00E4396E">
        <w:rPr>
          <w:i/>
        </w:rPr>
        <w:t>Domanda giudiziale e potere amministrativo</w:t>
      </w:r>
      <w:r w:rsidR="00D57FC5" w:rsidRPr="00E4396E">
        <w:rPr>
          <w:iCs/>
        </w:rPr>
        <w:t>, cit.,</w:t>
      </w:r>
      <w:r w:rsidR="00D57FC5" w:rsidRPr="00E4396E">
        <w:t xml:space="preserve"> p. 617 ss.; </w:t>
      </w:r>
      <w:r w:rsidR="00D57FC5" w:rsidRPr="00E4396E">
        <w:rPr>
          <w:smallCaps/>
        </w:rPr>
        <w:t>Id.</w:t>
      </w:r>
      <w:r w:rsidR="00D57FC5" w:rsidRPr="00E4396E">
        <w:t xml:space="preserve">, </w:t>
      </w:r>
      <w:r w:rsidR="00D57FC5" w:rsidRPr="00E4396E">
        <w:rPr>
          <w:i/>
        </w:rPr>
        <w:t>L’interesse legittimo alla riprova della responsabilità patrimoniale</w:t>
      </w:r>
      <w:r w:rsidR="00D57FC5" w:rsidRPr="00E4396E">
        <w:t xml:space="preserve">, </w:t>
      </w:r>
      <w:r w:rsidR="003C1B53" w:rsidRPr="00E4396E">
        <w:t>cit</w:t>
      </w:r>
      <w:r w:rsidR="005E1898" w:rsidRPr="00E4396E">
        <w:t>. p</w:t>
      </w:r>
      <w:r w:rsidR="00D57FC5" w:rsidRPr="00E4396E">
        <w:t xml:space="preserve">. 643 ss.; </w:t>
      </w:r>
      <w:r w:rsidR="00D57FC5" w:rsidRPr="00E4396E">
        <w:rPr>
          <w:smallCaps/>
        </w:rPr>
        <w:t>Id.</w:t>
      </w:r>
      <w:r w:rsidR="00D57FC5" w:rsidRPr="00E4396E">
        <w:t xml:space="preserve">, </w:t>
      </w:r>
      <w:r w:rsidR="00D57FC5" w:rsidRPr="00E4396E">
        <w:rPr>
          <w:rFonts w:eastAsia="Times"/>
          <w:i/>
        </w:rPr>
        <w:t>Dal giudizio di ottemperanza al processo di esecuzion</w:t>
      </w:r>
      <w:r w:rsidR="003C1B53" w:rsidRPr="00E4396E">
        <w:rPr>
          <w:rFonts w:eastAsia="Times"/>
          <w:i/>
        </w:rPr>
        <w:t>e</w:t>
      </w:r>
      <w:r w:rsidR="00D57FC5" w:rsidRPr="00E4396E">
        <w:rPr>
          <w:rFonts w:eastAsia="Times"/>
        </w:rPr>
        <w:t xml:space="preserve">, </w:t>
      </w:r>
      <w:r w:rsidR="003C1B53" w:rsidRPr="00E4396E">
        <w:rPr>
          <w:rFonts w:eastAsia="Times"/>
        </w:rPr>
        <w:t xml:space="preserve">cit., </w:t>
      </w:r>
      <w:r w:rsidR="00D57FC5" w:rsidRPr="00E4396E">
        <w:rPr>
          <w:rFonts w:eastAsia="Times"/>
        </w:rPr>
        <w:t xml:space="preserve">secondo cui l’interesse legittimo sarebbe riconducibile ad un diritto di credito, in rapporto al corrispondente obbligo della P.A. a ciò che è normativamente regolato, più nello specifico alla </w:t>
      </w:r>
      <w:r w:rsidR="00D57FC5" w:rsidRPr="00E4396E">
        <w:rPr>
          <w:rFonts w:eastAsia="Times"/>
          <w:i/>
        </w:rPr>
        <w:t>possibilità normativa del risultato favorevole</w:t>
      </w:r>
      <w:r w:rsidR="00D57FC5" w:rsidRPr="00E4396E">
        <w:rPr>
          <w:rFonts w:eastAsia="Times"/>
        </w:rPr>
        <w:t xml:space="preserve">, corrispondente a certezza dell’utilità finale nel caso di poteri vincolati, e alla </w:t>
      </w:r>
      <w:r w:rsidR="00D57FC5" w:rsidRPr="00E4396E">
        <w:rPr>
          <w:rFonts w:eastAsia="Times"/>
          <w:i/>
        </w:rPr>
        <w:t>chance</w:t>
      </w:r>
      <w:r w:rsidR="00D57FC5" w:rsidRPr="00E4396E">
        <w:rPr>
          <w:rFonts w:eastAsia="Times"/>
        </w:rPr>
        <w:t xml:space="preserve"> legale di ottenerla nel caso di poteri discrezionali. Il fondamento assiologico della tesi si esplica così nel senso che, definendo, l’impostazione descritta, una mancanza di funzionalizzazione del potere all’interesse pubblico, che è ridotto a ciò che è normativizzato nella regola, sarebbe possibile la piena espressione di un rapporto cittadino-PA. di stampo partitario, che si assume caratterizzare il nostro attuale assetto ordinamentale: cfr. anche </w:t>
      </w:r>
      <w:r w:rsidR="00D57FC5" w:rsidRPr="00E4396E">
        <w:rPr>
          <w:rFonts w:eastAsia="Times"/>
          <w:smallCaps/>
        </w:rPr>
        <w:t>C. Cudia</w:t>
      </w:r>
      <w:r w:rsidR="00D57FC5" w:rsidRPr="00E4396E">
        <w:rPr>
          <w:rFonts w:eastAsia="Times"/>
        </w:rPr>
        <w:t xml:space="preserve">, </w:t>
      </w:r>
      <w:r w:rsidR="00D57FC5" w:rsidRPr="00E4396E">
        <w:rPr>
          <w:rFonts w:eastAsia="Times"/>
          <w:i/>
        </w:rPr>
        <w:t>Funzione amministrativa e soggettività della tutela. Dall’eccesso di potere alle regole del rapporto</w:t>
      </w:r>
      <w:r w:rsidR="00D57FC5" w:rsidRPr="00E4396E">
        <w:rPr>
          <w:rFonts w:eastAsia="Times"/>
        </w:rPr>
        <w:t xml:space="preserve">, Milano, 2008, p. 176 ss. Sul punto, cfr. quanto da noi considerato in </w:t>
      </w:r>
      <w:r w:rsidR="00D57FC5" w:rsidRPr="00E4396E">
        <w:rPr>
          <w:rFonts w:eastAsia="Times"/>
          <w:i/>
        </w:rPr>
        <w:t>Potere</w:t>
      </w:r>
      <w:r w:rsidR="00D57FC5" w:rsidRPr="00E4396E">
        <w:rPr>
          <w:rFonts w:eastAsia="Times"/>
        </w:rPr>
        <w:t>, I, cit., p. 227 ss.</w:t>
      </w:r>
    </w:p>
  </w:footnote>
  <w:footnote w:id="26">
    <w:p w14:paraId="1FEE51D2" w14:textId="7B386C8E" w:rsidR="00473D0E" w:rsidRPr="00E4396E" w:rsidRDefault="00473D0E" w:rsidP="001B22E9">
      <w:pPr>
        <w:pStyle w:val="Testonotaapidipagina"/>
      </w:pPr>
      <w:r w:rsidRPr="00E4396E">
        <w:rPr>
          <w:rStyle w:val="Rimandonotaapidipagina"/>
        </w:rPr>
        <w:footnoteRef/>
      </w:r>
      <w:r w:rsidRPr="00E4396E">
        <w:t xml:space="preserve"> </w:t>
      </w:r>
      <w:r w:rsidR="00417CCF" w:rsidRPr="00E4396E">
        <w:t xml:space="preserve">La considerazione dell’interesse legittimo quale </w:t>
      </w:r>
      <w:r w:rsidR="00417CCF" w:rsidRPr="00E4396E">
        <w:rPr>
          <w:i/>
        </w:rPr>
        <w:t>pretesa all’utilità finale</w:t>
      </w:r>
      <w:r w:rsidR="00417CCF" w:rsidRPr="00E4396E">
        <w:t xml:space="preserve"> è stata proposta più volte in dottrina, ed è propria, in particolare, della tesi di </w:t>
      </w:r>
      <w:r w:rsidR="00417CCF" w:rsidRPr="00E4396E">
        <w:rPr>
          <w:smallCaps/>
        </w:rPr>
        <w:t>G. Greco</w:t>
      </w:r>
      <w:r w:rsidR="00417CCF" w:rsidRPr="00E4396E">
        <w:t xml:space="preserve">, </w:t>
      </w:r>
      <w:r w:rsidR="00417CCF" w:rsidRPr="00E4396E">
        <w:rPr>
          <w:i/>
        </w:rPr>
        <w:t>Dal dilemma diritto-soggettivo-interesse legittimo, alla differenziazione interesse strumentale-interesse finale</w:t>
      </w:r>
      <w:r w:rsidR="00417CCF" w:rsidRPr="00E4396E">
        <w:t xml:space="preserve">, </w:t>
      </w:r>
      <w:r w:rsidR="00D14B7E" w:rsidRPr="00E4396E">
        <w:t>cit.</w:t>
      </w:r>
      <w:r w:rsidR="00417CCF" w:rsidRPr="00E4396E">
        <w:t xml:space="preserve">, p. 483 ss.; </w:t>
      </w:r>
      <w:r w:rsidR="00AE3AE5" w:rsidRPr="00E4396E">
        <w:rPr>
          <w:smallCaps/>
        </w:rPr>
        <w:t>I</w:t>
      </w:r>
      <w:r w:rsidR="00D14B7E" w:rsidRPr="00E4396E">
        <w:rPr>
          <w:smallCaps/>
        </w:rPr>
        <w:t>d.</w:t>
      </w:r>
      <w:r w:rsidR="00D14B7E" w:rsidRPr="00E4396E">
        <w:t xml:space="preserve">, </w:t>
      </w:r>
      <w:r w:rsidR="00D14B7E" w:rsidRPr="00E4396E">
        <w:rPr>
          <w:i/>
        </w:rPr>
        <w:t>Il rapporto amministrativo e le vicende della posizione del cittadino</w:t>
      </w:r>
      <w:r w:rsidR="00D14B7E" w:rsidRPr="00E4396E">
        <w:t>,</w:t>
      </w:r>
      <w:r w:rsidR="00AE3AE5" w:rsidRPr="00E4396E">
        <w:t xml:space="preserve"> cit.</w:t>
      </w:r>
      <w:r w:rsidR="00D14B7E" w:rsidRPr="00E4396E">
        <w:t xml:space="preserve">, p. 585 ss.; </w:t>
      </w:r>
      <w:r w:rsidR="00417CCF" w:rsidRPr="00E4396E">
        <w:rPr>
          <w:smallCaps/>
        </w:rPr>
        <w:t>Id.</w:t>
      </w:r>
      <w:r w:rsidR="00417CCF" w:rsidRPr="00E4396E">
        <w:t xml:space="preserve">, </w:t>
      </w:r>
      <w:r w:rsidR="00417CCF" w:rsidRPr="00E4396E">
        <w:rPr>
          <w:i/>
        </w:rPr>
        <w:t>Giudizio sull’atto, giudizio sul rapporto un aggiornamento sul tema</w:t>
      </w:r>
      <w:r w:rsidR="00417CCF" w:rsidRPr="00E4396E">
        <w:t xml:space="preserve">, </w:t>
      </w:r>
      <w:r w:rsidR="00AE3AE5" w:rsidRPr="00E4396E">
        <w:t>cit.</w:t>
      </w:r>
      <w:r w:rsidR="00417CCF" w:rsidRPr="00E4396E">
        <w:t xml:space="preserve">, p. 27 ss., spec. p. 63 ss. In particolare, tale A. (modificando, sul punto, l’originaria impostazione sostenuta ne </w:t>
      </w:r>
      <w:r w:rsidR="00417CCF" w:rsidRPr="00E4396E">
        <w:rPr>
          <w:i/>
        </w:rPr>
        <w:t>L’accertamento autonomo del rapporto</w:t>
      </w:r>
      <w:r w:rsidR="00417CCF" w:rsidRPr="00E4396E">
        <w:t xml:space="preserve">, </w:t>
      </w:r>
      <w:r w:rsidR="00D14B7E" w:rsidRPr="00E4396E">
        <w:t xml:space="preserve">cit., ove, come già ricordato, </w:t>
      </w:r>
      <w:r w:rsidR="00417CCF" w:rsidRPr="00E4396E">
        <w:t>si faceva riferimento ai soli elementi ‘rigidi’ del rapporto) ha considerato, per superare il problema del</w:t>
      </w:r>
      <w:r w:rsidR="008638EF" w:rsidRPr="00E4396E">
        <w:t>la relazione</w:t>
      </w:r>
      <w:r w:rsidR="00417CCF" w:rsidRPr="00E4396E">
        <w:t xml:space="preserve"> tra pretesa e discrezionalità dell’azione amministrativa, un rapporto tra P.A. e cittadino che si porrebbe in chiave ‘</w:t>
      </w:r>
      <w:r w:rsidR="00417CCF" w:rsidRPr="00E4396E">
        <w:rPr>
          <w:i/>
        </w:rPr>
        <w:t>dinamica</w:t>
      </w:r>
      <w:r w:rsidR="00417CCF" w:rsidRPr="00E4396E">
        <w:t>’. In questa prospettiva, l’eventuale discrezionalità, che caratterizza il potere amministrativo nel caso di specie, andrebbe necessariamente esaurita (quantomeno) nel processo; di conseguenza, l’interesse legittimo andrebbe qualificato in ogni caso come pretesa all’utilità finale.</w:t>
      </w:r>
    </w:p>
    <w:p w14:paraId="0A0918EC" w14:textId="21B3EF60" w:rsidR="008638EF" w:rsidRPr="00E4396E" w:rsidRDefault="008638EF" w:rsidP="001B22E9">
      <w:pPr>
        <w:pStyle w:val="Testonotaapidipagina"/>
      </w:pPr>
      <w:r w:rsidRPr="00E4396E">
        <w:t>Così rappresentata, tuttavia, la tesi in esame si espone all’obiezione</w:t>
      </w:r>
      <w:r w:rsidR="00BD3BC1" w:rsidRPr="00E4396E">
        <w:t>, quantomeno,</w:t>
      </w:r>
      <w:r w:rsidRPr="00E4396E">
        <w:t xml:space="preserve"> dell’inattualità della pretesa sin tanto</w:t>
      </w:r>
      <w:r w:rsidR="00BD3BC1" w:rsidRPr="00E4396E">
        <w:t xml:space="preserve"> che la discrezionalità non sia esaurita: cfr. subito di seguito, nel testo e alla nota successiva.</w:t>
      </w:r>
      <w:r w:rsidRPr="00E4396E">
        <w:t xml:space="preserve"> </w:t>
      </w:r>
    </w:p>
  </w:footnote>
  <w:footnote w:id="27">
    <w:p w14:paraId="22F0131D" w14:textId="63BBA376" w:rsidR="00B2187D" w:rsidRPr="00E4396E" w:rsidRDefault="00B2187D" w:rsidP="001B22E9">
      <w:pPr>
        <w:pStyle w:val="Testonotaapidipagina"/>
      </w:pPr>
      <w:r w:rsidRPr="00E4396E">
        <w:rPr>
          <w:rStyle w:val="Rimandonotaapidipagina"/>
        </w:rPr>
        <w:footnoteRef/>
      </w:r>
      <w:r w:rsidRPr="00E4396E">
        <w:t xml:space="preserve"> </w:t>
      </w:r>
      <w:r w:rsidR="00473D0E" w:rsidRPr="00E4396E">
        <w:t xml:space="preserve">La critica </w:t>
      </w:r>
      <w:r w:rsidR="00417CCF" w:rsidRPr="00E4396E">
        <w:t>sollevata da</w:t>
      </w:r>
      <w:r w:rsidR="00473D0E" w:rsidRPr="00E4396E">
        <w:t xml:space="preserve"> </w:t>
      </w:r>
      <w:r w:rsidR="00473D0E" w:rsidRPr="00E4396E">
        <w:rPr>
          <w:smallCaps/>
        </w:rPr>
        <w:t>L. Ferrara</w:t>
      </w:r>
      <w:r w:rsidR="00473D0E" w:rsidRPr="00E4396E">
        <w:t xml:space="preserve">, </w:t>
      </w:r>
      <w:r w:rsidR="00473D0E" w:rsidRPr="00E4396E">
        <w:rPr>
          <w:i/>
        </w:rPr>
        <w:t>Domanda giudiziale</w:t>
      </w:r>
      <w:r w:rsidR="00473D0E" w:rsidRPr="00E4396E">
        <w:t>, cit., pp. 639-640,</w:t>
      </w:r>
      <w:r w:rsidR="004C4E7E" w:rsidRPr="00E4396E">
        <w:t xml:space="preserve"> per </w:t>
      </w:r>
      <w:r w:rsidR="00473D0E" w:rsidRPr="00E4396E">
        <w:t>cui, se l’oggetto della pretesa del privato è l’utilità finale, essa non sarebbe esistente, in caso di potere discrezionale, fin quando</w:t>
      </w:r>
      <w:r w:rsidR="00417CCF" w:rsidRPr="00E4396E">
        <w:t>, appunto,</w:t>
      </w:r>
      <w:r w:rsidR="00473D0E" w:rsidRPr="00E4396E">
        <w:t xml:space="preserve"> la scelta discrezionale non è compiuta. La situazione in questione non sarebbe</w:t>
      </w:r>
      <w:r w:rsidR="00BD3BC1" w:rsidRPr="00E4396E">
        <w:t>, cioè,</w:t>
      </w:r>
      <w:r w:rsidR="00473D0E" w:rsidRPr="00E4396E">
        <w:t xml:space="preserve"> (ancora) attuale; e la pretesa nei confronti dell’Amministrazione potrebbe concernere quindi, in sé, solo la </w:t>
      </w:r>
      <w:r w:rsidR="00473D0E" w:rsidRPr="00E4396E">
        <w:rPr>
          <w:i/>
        </w:rPr>
        <w:t>possibilità</w:t>
      </w:r>
      <w:r w:rsidR="00473D0E" w:rsidRPr="00E4396E">
        <w:t xml:space="preserve"> di ottenere il bene finale (la </w:t>
      </w:r>
      <w:r w:rsidR="00473D0E" w:rsidRPr="00E4396E">
        <w:rPr>
          <w:i/>
        </w:rPr>
        <w:t>chance</w:t>
      </w:r>
      <w:r w:rsidR="00473D0E" w:rsidRPr="00E4396E">
        <w:t xml:space="preserve"> legale, come visto, propria della visione di tale A.: cfr. subito sopra, nel testo e in nota).</w:t>
      </w:r>
    </w:p>
  </w:footnote>
  <w:footnote w:id="28">
    <w:p w14:paraId="0319A172" w14:textId="2A1C2B5A" w:rsidR="001D4FBE" w:rsidRPr="00E4396E" w:rsidRDefault="001D4FBE">
      <w:pPr>
        <w:pStyle w:val="Testonotaapidipagina"/>
      </w:pPr>
      <w:r w:rsidRPr="00E4396E">
        <w:rPr>
          <w:rStyle w:val="Rimandonotaapidipagina"/>
        </w:rPr>
        <w:footnoteRef/>
      </w:r>
      <w:r w:rsidRPr="00E4396E">
        <w:t xml:space="preserve"> Quanto segue, nel testo e in nota, rappresenta l’impostazione dell’A., </w:t>
      </w:r>
      <w:r w:rsidR="000F7551" w:rsidRPr="00E4396E">
        <w:t>esposta</w:t>
      </w:r>
      <w:r w:rsidRPr="00E4396E">
        <w:t xml:space="preserve"> in </w:t>
      </w:r>
      <w:r w:rsidRPr="00E4396E">
        <w:rPr>
          <w:i/>
          <w:iCs/>
        </w:rPr>
        <w:t>Potere</w:t>
      </w:r>
      <w:r w:rsidRPr="00E4396E">
        <w:t xml:space="preserve">, I-II, cit. </w:t>
      </w:r>
    </w:p>
  </w:footnote>
  <w:footnote w:id="29">
    <w:p w14:paraId="6DBCCE2C" w14:textId="171F395D" w:rsidR="00CE56F1" w:rsidRPr="00E4396E" w:rsidRDefault="00CE56F1" w:rsidP="001B22E9">
      <w:pPr>
        <w:pStyle w:val="para"/>
        <w:spacing w:line="240" w:lineRule="auto"/>
        <w:rPr>
          <w:rFonts w:ascii="Times New Roman" w:eastAsia="Garamond  (simoncini)" w:hAnsi="Times New Roman" w:cs="Times New Roman"/>
          <w:sz w:val="20"/>
          <w:szCs w:val="20"/>
        </w:rPr>
      </w:pPr>
      <w:r w:rsidRPr="00E4396E">
        <w:rPr>
          <w:rStyle w:val="Rimandonotaapidipagina"/>
          <w:rFonts w:ascii="Times New Roman" w:hAnsi="Times New Roman" w:cs="Times New Roman"/>
          <w:sz w:val="20"/>
          <w:szCs w:val="20"/>
        </w:rPr>
        <w:footnoteRef/>
      </w:r>
      <w:r w:rsidRPr="00E4396E">
        <w:rPr>
          <w:rFonts w:ascii="Times New Roman" w:hAnsi="Times New Roman" w:cs="Times New Roman"/>
          <w:sz w:val="20"/>
          <w:szCs w:val="20"/>
        </w:rPr>
        <w:t xml:space="preserve"> </w:t>
      </w:r>
      <w:r w:rsidRPr="00E4396E">
        <w:rPr>
          <w:rFonts w:ascii="Times New Roman" w:eastAsia="Garamond  (simoncini)" w:hAnsi="Times New Roman" w:cs="Times New Roman"/>
          <w:sz w:val="20"/>
          <w:szCs w:val="20"/>
        </w:rPr>
        <w:t xml:space="preserve">Si veda in proposito </w:t>
      </w:r>
      <w:r w:rsidRPr="00E4396E">
        <w:rPr>
          <w:rFonts w:ascii="Times New Roman" w:eastAsia="Garamond" w:hAnsi="Times New Roman" w:cs="Times New Roman"/>
          <w:i/>
          <w:sz w:val="20"/>
          <w:szCs w:val="20"/>
        </w:rPr>
        <w:t>Potere</w:t>
      </w:r>
      <w:r w:rsidRPr="00E4396E">
        <w:rPr>
          <w:rFonts w:ascii="Times New Roman" w:eastAsia="Garamond  (simoncini)" w:hAnsi="Times New Roman" w:cs="Times New Roman"/>
          <w:sz w:val="20"/>
          <w:szCs w:val="20"/>
        </w:rPr>
        <w:t>, I, cit., pp. 395 ss. e 450 ss.</w:t>
      </w:r>
      <w:r w:rsidR="00777193" w:rsidRPr="00E4396E">
        <w:rPr>
          <w:rFonts w:ascii="Times New Roman" w:eastAsia="Garamond  (simoncini)" w:hAnsi="Times New Roman" w:cs="Times New Roman"/>
          <w:sz w:val="20"/>
          <w:szCs w:val="20"/>
        </w:rPr>
        <w:t xml:space="preserve">; </w:t>
      </w:r>
      <w:r w:rsidR="0044415A" w:rsidRPr="00E4396E">
        <w:rPr>
          <w:rFonts w:ascii="Times New Roman" w:eastAsia="Garamond  (simoncini)" w:hAnsi="Times New Roman" w:cs="Times New Roman"/>
          <w:sz w:val="20"/>
          <w:szCs w:val="20"/>
        </w:rPr>
        <w:t xml:space="preserve">nonché il saggio </w:t>
      </w:r>
      <w:r w:rsidR="00777193" w:rsidRPr="00E4396E">
        <w:rPr>
          <w:rFonts w:ascii="Times New Roman" w:eastAsia="Garamond  (simoncini)" w:hAnsi="Times New Roman" w:cs="Times New Roman"/>
          <w:i/>
          <w:iCs/>
          <w:sz w:val="20"/>
          <w:szCs w:val="20"/>
        </w:rPr>
        <w:t>Potere e situazioni giuridiche soggettive</w:t>
      </w:r>
      <w:r w:rsidR="00777193" w:rsidRPr="00E4396E">
        <w:rPr>
          <w:rFonts w:ascii="Times New Roman" w:eastAsia="Garamond  (simoncini)" w:hAnsi="Times New Roman" w:cs="Times New Roman"/>
          <w:sz w:val="20"/>
          <w:szCs w:val="20"/>
        </w:rPr>
        <w:t>, cit., p.</w:t>
      </w:r>
      <w:r w:rsidR="00124DBA" w:rsidRPr="00E4396E">
        <w:rPr>
          <w:rFonts w:ascii="Times New Roman" w:eastAsia="Garamond  (simoncini)" w:hAnsi="Times New Roman" w:cs="Times New Roman"/>
          <w:sz w:val="20"/>
          <w:szCs w:val="20"/>
        </w:rPr>
        <w:t xml:space="preserve"> 30 ss.</w:t>
      </w:r>
    </w:p>
    <w:p w14:paraId="5A4FBC48" w14:textId="399F8E3A" w:rsidR="00CE56F1" w:rsidRPr="00E4396E" w:rsidRDefault="00CE56F1" w:rsidP="001B22E9">
      <w:pPr>
        <w:pStyle w:val="Testonotaapidipagina"/>
      </w:pPr>
      <w:r w:rsidRPr="00E4396E">
        <w:rPr>
          <w:rFonts w:eastAsia="Garamond  (simoncini)"/>
        </w:rPr>
        <w:t>In particolare, viene previst</w:t>
      </w:r>
      <w:r w:rsidR="00777193" w:rsidRPr="00E4396E">
        <w:rPr>
          <w:rFonts w:eastAsia="Garamond  (simoncini)"/>
        </w:rPr>
        <w:t>o</w:t>
      </w:r>
      <w:r w:rsidRPr="00E4396E">
        <w:rPr>
          <w:rFonts w:eastAsia="Garamond  (simoncini)"/>
        </w:rPr>
        <w:t xml:space="preserve">, dalla l. n. 241/1990, un modulo di esercizio del potere che si svolge specificamente nelle forme di un </w:t>
      </w:r>
      <w:r w:rsidRPr="00E4396E">
        <w:rPr>
          <w:rFonts w:eastAsia="Garamond  (simoncini)"/>
          <w:i/>
        </w:rPr>
        <w:t>processo</w:t>
      </w:r>
      <w:r w:rsidRPr="00E4396E">
        <w:rPr>
          <w:rFonts w:eastAsia="Garamond  (simoncini)"/>
        </w:rPr>
        <w:t xml:space="preserve">, inteso quale procedura che, nel contraddittorio tra le parti, è rivolta alla definizione di una decisione attraverso la previa verificazione della sussistenza degli elementi riferibili alla situazione di giuridica potere (alla situazione giuridica oggetto del processo in questione), al fine di determinare la sussistenza o meno della situazione stessa, oggetto della decisione (e quindi, corrispondentemente, la doverosità della produzione, o, al contrario, se l’esito è in senso negativo, della non produzione, dell’effetto). È prevista, infatti, una procedura all’interno della quale assume rilievo l’accertamento e la valutazione dei fatti rilevanti, che si ricava dalla disciplina sugli adempimenti istruttori, regolamentata dagli artt. 6 ss. Tale attività si esplica nel contraddittorio delle parti, siccome disciplinato dagli artt. 7, 9, 10 e 10 </w:t>
      </w:r>
      <w:r w:rsidRPr="00E4396E">
        <w:rPr>
          <w:rFonts w:eastAsia="Garamond  (simoncini)"/>
          <w:i/>
        </w:rPr>
        <w:t>bis</w:t>
      </w:r>
      <w:r w:rsidRPr="00E4396E">
        <w:rPr>
          <w:rFonts w:eastAsia="Garamond  (simoncini)"/>
        </w:rPr>
        <w:t xml:space="preserve"> (sulla comunicazione di avvio del procedimento, sull’intervento nel procedimento, sulla presentazione di memorie e documenti e accesso agli atti del provvedimento, e sulla comunicazione dei motivi ostati dell’istanza, ecc.). Essa viene, inoltre, inquadrata all’interno di un modello processuale corrispondente, che consente di rapportarla alla relativa decisione. A questo proposito, rileva, in particolare, la possibilità di individuare un momento formalizzato di proposizione della proposta decisoria (di avvio del procedimento attraverso la proposizione o auto-proposizione della domanda, per i poteri su istanza di parti o </w:t>
      </w:r>
      <w:r w:rsidR="005D2B73" w:rsidRPr="00E4396E">
        <w:rPr>
          <w:rFonts w:eastAsia="Garamond  (simoncini)"/>
        </w:rPr>
        <w:t>o</w:t>
      </w:r>
      <w:r w:rsidRPr="00E4396E">
        <w:rPr>
          <w:rFonts w:eastAsia="Garamond  (simoncini)"/>
        </w:rPr>
        <w:t>fficiosi); rispetto ad essa, si pone infatti la necessità di verificazione della proposta formulata, in cui la relativa attività si esplica</w:t>
      </w:r>
      <w:r w:rsidRPr="00E4396E">
        <w:rPr>
          <w:rFonts w:eastAsia="Garamond  (simoncini)"/>
        </w:rPr>
        <w:fldChar w:fldCharType="begin"/>
      </w:r>
      <w:r w:rsidRPr="00E4396E">
        <w:rPr>
          <w:rFonts w:eastAsia="Garamond  (simoncini)"/>
        </w:rPr>
        <w:instrText>[#noteRef:nota:an:#]</w:instrText>
      </w:r>
      <w:r w:rsidRPr="00E4396E">
        <w:rPr>
          <w:rFonts w:eastAsia="Garamond  (simoncini)"/>
        </w:rPr>
        <w:fldChar w:fldCharType="end"/>
      </w:r>
      <w:r w:rsidRPr="00E4396E">
        <w:rPr>
          <w:rFonts w:eastAsia="Garamond  (simoncini)"/>
        </w:rPr>
        <w:t>. Inoltre, l’atto che esprime la decisione, ponendo in essere la relativa situazione effettuale, rapporta la decisione stessa alle risultanze dell’attività svolta: ciò avviene attraverso la previsione della necessità di motivazione in relazione a tali profili, secondo quanto appunto si riscontra nella norma di cui all’art. 3, l. n. 241/1990</w:t>
      </w:r>
      <w:r w:rsidRPr="00E4396E">
        <w:rPr>
          <w:rFonts w:eastAsia="Garamond  (simoncini)"/>
        </w:rPr>
        <w:fldChar w:fldCharType="begin"/>
      </w:r>
      <w:r w:rsidRPr="00E4396E">
        <w:rPr>
          <w:rFonts w:eastAsia="Garamond  (simoncini)"/>
        </w:rPr>
        <w:instrText>[#noteRef:nota:an:#]</w:instrText>
      </w:r>
      <w:r w:rsidRPr="00E4396E">
        <w:rPr>
          <w:rFonts w:eastAsia="Garamond  (simoncini)"/>
        </w:rPr>
        <w:fldChar w:fldCharType="end"/>
      </w:r>
      <w:r w:rsidRPr="00E4396E">
        <w:rPr>
          <w:rFonts w:eastAsia="Garamond  (simoncini)"/>
        </w:rPr>
        <w:t>. In presenza di detti caratteri, l’attività viene quindi unitariamente considerata quale ascritta ad una verificazione in relazione ad una proposta di decisione che trova la sua esplicazione nell’ambito di un corrispondente processo (cfr. la nota successiva).</w:t>
      </w:r>
    </w:p>
  </w:footnote>
  <w:footnote w:id="30">
    <w:p w14:paraId="15B3EA51" w14:textId="202CAFF2" w:rsidR="00855B55" w:rsidRPr="00E4396E" w:rsidRDefault="00B2187D" w:rsidP="001B22E9">
      <w:pPr>
        <w:pStyle w:val="para"/>
        <w:spacing w:line="240" w:lineRule="auto"/>
        <w:rPr>
          <w:rFonts w:ascii="Times New Roman" w:eastAsia="Garamond  (simoncini)" w:hAnsi="Times New Roman" w:cs="Times New Roman"/>
          <w:sz w:val="20"/>
          <w:szCs w:val="20"/>
        </w:rPr>
      </w:pPr>
      <w:r w:rsidRPr="00E4396E">
        <w:rPr>
          <w:rStyle w:val="Rimandonotaapidipagina"/>
          <w:rFonts w:ascii="Times New Roman" w:hAnsi="Times New Roman" w:cs="Times New Roman"/>
          <w:sz w:val="20"/>
          <w:szCs w:val="20"/>
        </w:rPr>
        <w:footnoteRef/>
      </w:r>
      <w:r w:rsidRPr="00E4396E">
        <w:rPr>
          <w:rFonts w:ascii="Times New Roman" w:hAnsi="Times New Roman" w:cs="Times New Roman"/>
          <w:sz w:val="20"/>
          <w:szCs w:val="20"/>
        </w:rPr>
        <w:t xml:space="preserve"> </w:t>
      </w:r>
      <w:r w:rsidR="00855B55" w:rsidRPr="00E4396E">
        <w:rPr>
          <w:rFonts w:ascii="Times New Roman" w:eastAsia="Garamond  (simoncini)" w:hAnsi="Times New Roman" w:cs="Times New Roman"/>
          <w:sz w:val="20"/>
          <w:szCs w:val="20"/>
        </w:rPr>
        <w:t xml:space="preserve">Cfr. sempre </w:t>
      </w:r>
      <w:r w:rsidR="003E4293" w:rsidRPr="00E4396E">
        <w:rPr>
          <w:rFonts w:ascii="Times New Roman" w:eastAsia="Garamond  (simoncini)" w:hAnsi="Times New Roman" w:cs="Times New Roman"/>
          <w:i/>
          <w:iCs/>
          <w:sz w:val="20"/>
          <w:szCs w:val="20"/>
        </w:rPr>
        <w:t>Potere</w:t>
      </w:r>
      <w:r w:rsidR="003E4293" w:rsidRPr="00E4396E">
        <w:rPr>
          <w:rFonts w:ascii="Times New Roman" w:eastAsia="Garamond  (simoncini)" w:hAnsi="Times New Roman" w:cs="Times New Roman"/>
          <w:sz w:val="20"/>
          <w:szCs w:val="20"/>
        </w:rPr>
        <w:t>, I</w:t>
      </w:r>
      <w:r w:rsidR="00285404" w:rsidRPr="00E4396E">
        <w:rPr>
          <w:rFonts w:ascii="Times New Roman" w:eastAsia="Garamond  (simoncini)" w:hAnsi="Times New Roman" w:cs="Times New Roman"/>
          <w:sz w:val="20"/>
          <w:szCs w:val="20"/>
        </w:rPr>
        <w:t xml:space="preserve">, cit., </w:t>
      </w:r>
      <w:r w:rsidR="00855B55" w:rsidRPr="00E4396E">
        <w:rPr>
          <w:rFonts w:ascii="Times New Roman" w:eastAsia="Garamond  (simoncini)" w:hAnsi="Times New Roman" w:cs="Times New Roman"/>
          <w:sz w:val="20"/>
          <w:szCs w:val="20"/>
        </w:rPr>
        <w:t>ivi</w:t>
      </w:r>
      <w:r w:rsidR="00777193" w:rsidRPr="00E4396E">
        <w:rPr>
          <w:rFonts w:ascii="Times New Roman" w:eastAsia="Garamond  (simoncini)" w:hAnsi="Times New Roman" w:cs="Times New Roman"/>
          <w:sz w:val="20"/>
          <w:szCs w:val="20"/>
        </w:rPr>
        <w:t xml:space="preserve">; </w:t>
      </w:r>
      <w:r w:rsidR="00777193" w:rsidRPr="00E4396E">
        <w:rPr>
          <w:rFonts w:ascii="Times New Roman" w:eastAsia="Garamond  (simoncini)" w:hAnsi="Times New Roman" w:cs="Times New Roman"/>
          <w:i/>
          <w:iCs/>
          <w:sz w:val="20"/>
          <w:szCs w:val="20"/>
        </w:rPr>
        <w:t>Potere e situazioni giuridiche soggettive</w:t>
      </w:r>
      <w:r w:rsidR="00777193" w:rsidRPr="00E4396E">
        <w:rPr>
          <w:rFonts w:ascii="Times New Roman" w:eastAsia="Garamond  (simoncini)" w:hAnsi="Times New Roman" w:cs="Times New Roman"/>
          <w:sz w:val="20"/>
          <w:szCs w:val="20"/>
        </w:rPr>
        <w:t>, cit., ivi.</w:t>
      </w:r>
    </w:p>
    <w:p w14:paraId="3230D47B" w14:textId="77777777" w:rsidR="00855B55" w:rsidRPr="00E4396E" w:rsidRDefault="00855B55" w:rsidP="001B22E9">
      <w:pPr>
        <w:pStyle w:val="para"/>
        <w:spacing w:line="240" w:lineRule="auto"/>
        <w:rPr>
          <w:rFonts w:ascii="Times New Roman" w:eastAsia="Garamond  (simoncini)" w:hAnsi="Times New Roman" w:cs="Times New Roman"/>
          <w:sz w:val="20"/>
          <w:szCs w:val="20"/>
        </w:rPr>
      </w:pPr>
      <w:r w:rsidRPr="00E4396E">
        <w:rPr>
          <w:rFonts w:ascii="Times New Roman" w:eastAsia="Garamond  (simoncini)" w:hAnsi="Times New Roman" w:cs="Times New Roman"/>
          <w:sz w:val="20"/>
          <w:szCs w:val="20"/>
        </w:rPr>
        <w:t xml:space="preserve">Si è spiegato in quella sede, infatti, come la rappresentazione del modello procedurale dell’esercizio del potere amministrativo quale modello processuale di accertamento, in ragione della disciplina normativa propria della l. n. 241/1990 (cfr. la nota precedente), non assume un carattere meramente descrittivo, ma deve considerarsi rappresentare un’esplicita scelta di valore, effettuata dall’ordinamento, nella definizione del modo di partecipazione alla determinazione del valore proprio di tutte le ipotesi in cui la situazione di potere da esercitare non presenti, in sé, carattere vincolato. Nello specifico, nel momento in cui il valore riferito, da parte dell’ordinamento, è alla rilevanza normativa di una procedura fondata, come visto, sull’accertamento (scelta di valore procedurale), la stessa attribuzione di una partecipazione alla determinazione del valore da attuare, attraverso il conferimento di un potere discrezionale (scelta di valore sostanziale, che corrisponde alla necessità di creazione di una regola di preferenza discrezionale per il caso concreto, demandata alla P.A.), deve essere considerata necessariamente insieme alla prima, andando a costituire, entrambe, due piani di rilevanza del medesimo rapporto. Il risultato, a cui per tale via si perviene, è quello per cui, nei termini specificati, il modello procedimentale viene a caratterizzare, </w:t>
      </w:r>
      <w:r w:rsidRPr="00E4396E">
        <w:rPr>
          <w:rFonts w:ascii="Times New Roman" w:eastAsia="Garamond  (simoncini)" w:hAnsi="Times New Roman" w:cs="Times New Roman"/>
          <w:i/>
          <w:sz w:val="20"/>
          <w:szCs w:val="20"/>
        </w:rPr>
        <w:t>sul piano procedurale</w:t>
      </w:r>
      <w:r w:rsidRPr="00E4396E">
        <w:rPr>
          <w:rFonts w:ascii="Times New Roman" w:eastAsia="Garamond  (simoncini)" w:hAnsi="Times New Roman" w:cs="Times New Roman"/>
          <w:sz w:val="20"/>
          <w:szCs w:val="20"/>
        </w:rPr>
        <w:t>, anche la scelta discrezionale che in esso trova riscontro, nel senso, cioè, che devono ascriversi al modello di accertamento anche attività che, sotto un profilo materiale, da esso in sé esulerebbero. Il procedimento, in questi termini, non assume quindi comunque carattere determinativo, anche in presenza di una scelta discrezionale, ma rimane ancorato alla propria struttura normativa di accertamento, in ragione della scelta di valore ad essa sottesa.</w:t>
      </w:r>
    </w:p>
    <w:p w14:paraId="280879B7" w14:textId="5BB4899A" w:rsidR="00567C50" w:rsidRPr="00E4396E" w:rsidRDefault="00855B55" w:rsidP="001B22E9">
      <w:pPr>
        <w:pStyle w:val="para"/>
        <w:spacing w:line="240" w:lineRule="auto"/>
        <w:rPr>
          <w:rFonts w:ascii="Times New Roman" w:hAnsi="Times New Roman" w:cs="Times New Roman"/>
          <w:sz w:val="20"/>
          <w:szCs w:val="20"/>
        </w:rPr>
      </w:pPr>
      <w:r w:rsidRPr="00E4396E">
        <w:rPr>
          <w:rFonts w:ascii="Times New Roman" w:eastAsia="Garamond  (simoncini)" w:hAnsi="Times New Roman" w:cs="Times New Roman"/>
          <w:sz w:val="20"/>
          <w:szCs w:val="20"/>
        </w:rPr>
        <w:t xml:space="preserve">Sotto il profilo della considerazione della discrezionalità amministrativa e delle situazioni giuridiche, ciò comporta che, </w:t>
      </w:r>
      <w:r w:rsidRPr="00E4396E">
        <w:rPr>
          <w:rFonts w:ascii="Times New Roman" w:eastAsia="Garamond  (simoncini)" w:hAnsi="Times New Roman" w:cs="Times New Roman"/>
          <w:i/>
          <w:sz w:val="20"/>
          <w:szCs w:val="20"/>
        </w:rPr>
        <w:t>sul solo piano procedurale</w:t>
      </w:r>
      <w:r w:rsidRPr="00E4396E">
        <w:rPr>
          <w:rFonts w:ascii="Times New Roman" w:eastAsia="Garamond  (simoncini)" w:hAnsi="Times New Roman" w:cs="Times New Roman"/>
          <w:sz w:val="20"/>
          <w:szCs w:val="20"/>
        </w:rPr>
        <w:t xml:space="preserve">, la scelta discrezionale partecipa già della struttura della fattispecie della situazione di potere, ancorché risulti non ancora definita. </w:t>
      </w:r>
      <w:r w:rsidR="00567C50" w:rsidRPr="00E4396E">
        <w:rPr>
          <w:rFonts w:ascii="Times New Roman" w:eastAsia="Garamond  (simoncini)" w:hAnsi="Times New Roman" w:cs="Times New Roman"/>
          <w:sz w:val="20"/>
          <w:szCs w:val="20"/>
        </w:rPr>
        <w:t xml:space="preserve">In questo modo, infatti, la relativa attività valutativa in ordine all’esercizio del potere, che si dispiega all’interno del procedimento, viene a rientrare nella considerazione normativa propria di un’attività di accertamento, quale espressione del modello strutturale della relativa funzione. La conseguenza, a cui si perviene accedendosi a tale ricostruzione, è </w:t>
      </w:r>
      <w:r w:rsidR="005E1322" w:rsidRPr="00E4396E">
        <w:rPr>
          <w:rFonts w:ascii="Times New Roman" w:eastAsia="Garamond  (simoncini)" w:hAnsi="Times New Roman" w:cs="Times New Roman"/>
          <w:sz w:val="20"/>
          <w:szCs w:val="20"/>
        </w:rPr>
        <w:t>così</w:t>
      </w:r>
      <w:r w:rsidR="00567C50" w:rsidRPr="00E4396E">
        <w:rPr>
          <w:rFonts w:ascii="Times New Roman" w:eastAsia="Garamond  (simoncini)" w:hAnsi="Times New Roman" w:cs="Times New Roman"/>
          <w:sz w:val="20"/>
          <w:szCs w:val="20"/>
        </w:rPr>
        <w:t xml:space="preserve"> la seguente</w:t>
      </w:r>
      <w:r w:rsidR="005E1322" w:rsidRPr="00E4396E">
        <w:rPr>
          <w:rFonts w:ascii="Times New Roman" w:eastAsia="Garamond  (simoncini)" w:hAnsi="Times New Roman" w:cs="Times New Roman"/>
          <w:sz w:val="20"/>
          <w:szCs w:val="20"/>
        </w:rPr>
        <w:t>: d</w:t>
      </w:r>
      <w:r w:rsidR="00567C50" w:rsidRPr="00E4396E">
        <w:rPr>
          <w:rFonts w:ascii="Times New Roman" w:eastAsia="Garamond  (simoncini)" w:hAnsi="Times New Roman" w:cs="Times New Roman"/>
          <w:sz w:val="20"/>
          <w:szCs w:val="20"/>
        </w:rPr>
        <w:t xml:space="preserve">a un lato, </w:t>
      </w:r>
      <w:r w:rsidR="00567C50" w:rsidRPr="00E4396E">
        <w:rPr>
          <w:rFonts w:ascii="Times New Roman" w:eastAsia="Garamond  (simoncini)" w:hAnsi="Times New Roman" w:cs="Times New Roman"/>
          <w:i/>
          <w:sz w:val="20"/>
          <w:szCs w:val="20"/>
        </w:rPr>
        <w:t>su un piano sostanziale</w:t>
      </w:r>
      <w:r w:rsidR="00567C50" w:rsidRPr="00E4396E">
        <w:rPr>
          <w:rFonts w:ascii="Times New Roman" w:eastAsia="Garamond  (simoncini)" w:hAnsi="Times New Roman" w:cs="Times New Roman"/>
          <w:sz w:val="20"/>
          <w:szCs w:val="20"/>
        </w:rPr>
        <w:t>, la scelta discrezionale dell’Amministrazione comporta la definizione di una norma di preferenza del caso concreto precedentemente non esistente</w:t>
      </w:r>
      <w:r w:rsidR="005E1322" w:rsidRPr="00E4396E">
        <w:rPr>
          <w:rFonts w:ascii="Times New Roman" w:eastAsia="Garamond  (simoncini)" w:hAnsi="Times New Roman" w:cs="Times New Roman"/>
          <w:sz w:val="20"/>
          <w:szCs w:val="20"/>
        </w:rPr>
        <w:t>; d</w:t>
      </w:r>
      <w:r w:rsidR="00567C50" w:rsidRPr="00E4396E">
        <w:rPr>
          <w:rFonts w:ascii="Times New Roman" w:eastAsia="Garamond  (simoncini)" w:hAnsi="Times New Roman" w:cs="Times New Roman"/>
          <w:sz w:val="20"/>
          <w:szCs w:val="20"/>
        </w:rPr>
        <w:t xml:space="preserve">all’altro, </w:t>
      </w:r>
      <w:r w:rsidR="00567C50" w:rsidRPr="00E4396E">
        <w:rPr>
          <w:rFonts w:ascii="Times New Roman" w:eastAsia="Garamond  (simoncini)" w:hAnsi="Times New Roman" w:cs="Times New Roman"/>
          <w:i/>
          <w:sz w:val="20"/>
          <w:szCs w:val="20"/>
        </w:rPr>
        <w:t>sul piano procedurale</w:t>
      </w:r>
      <w:r w:rsidR="00567C50" w:rsidRPr="00E4396E">
        <w:rPr>
          <w:rFonts w:ascii="Times New Roman" w:eastAsia="Garamond  (simoncini)" w:hAnsi="Times New Roman" w:cs="Times New Roman"/>
          <w:sz w:val="20"/>
          <w:szCs w:val="20"/>
        </w:rPr>
        <w:t xml:space="preserve">, la regola in questione si deve invece considerare già normativamente esistente nel suo profilo di rilevanza, risultando in questo modo idonea, come tale, a porsi come referente dell’accertamento (e a consentire così, per tale via, la convivenza tra discrezionalità e accertamento). In tale prospettiva, </w:t>
      </w:r>
      <w:r w:rsidR="00567C50" w:rsidRPr="00E4396E">
        <w:rPr>
          <w:rFonts w:ascii="Times New Roman" w:eastAsia="Garamond  (simoncini)" w:hAnsi="Times New Roman" w:cs="Times New Roman"/>
          <w:i/>
          <w:sz w:val="20"/>
          <w:szCs w:val="20"/>
        </w:rPr>
        <w:t>vengono dunque a delinearsi due piani di rilevanza, sostanziale e procedurale</w:t>
      </w:r>
      <w:r w:rsidR="00567C50" w:rsidRPr="00E4396E">
        <w:rPr>
          <w:rFonts w:ascii="Times New Roman" w:eastAsia="Garamond  (simoncini)" w:hAnsi="Times New Roman" w:cs="Times New Roman"/>
          <w:sz w:val="20"/>
          <w:szCs w:val="20"/>
        </w:rPr>
        <w:t xml:space="preserve">, afferenti a due dimensioni della medesima situazione giuridica. Rispetto ad essi, </w:t>
      </w:r>
      <w:r w:rsidR="00567C50" w:rsidRPr="00E4396E">
        <w:rPr>
          <w:rFonts w:ascii="Times New Roman" w:eastAsia="Garamond  (simoncini)" w:hAnsi="Times New Roman" w:cs="Times New Roman"/>
          <w:i/>
          <w:sz w:val="20"/>
          <w:szCs w:val="20"/>
        </w:rPr>
        <w:t>si viene a scindere l’operatività della regola di preferenza discrezionale</w:t>
      </w:r>
      <w:r w:rsidR="00567C50" w:rsidRPr="00E4396E">
        <w:rPr>
          <w:rFonts w:ascii="Times New Roman" w:eastAsia="Garamond  (simoncini)" w:hAnsi="Times New Roman" w:cs="Times New Roman"/>
          <w:sz w:val="20"/>
          <w:szCs w:val="20"/>
        </w:rPr>
        <w:t>, che risulta distinta</w:t>
      </w:r>
      <w:r w:rsidR="00567C50" w:rsidRPr="00E4396E">
        <w:rPr>
          <w:rFonts w:ascii="Times New Roman" w:eastAsia="Garamond  (simoncini)" w:hAnsi="Times New Roman" w:cs="Times New Roman"/>
          <w:i/>
          <w:sz w:val="20"/>
          <w:szCs w:val="20"/>
        </w:rPr>
        <w:t xml:space="preserve"> sul piano sostanziale</w:t>
      </w:r>
      <w:r w:rsidR="00567C50" w:rsidRPr="00E4396E">
        <w:rPr>
          <w:rFonts w:ascii="Times New Roman" w:eastAsia="Garamond  (simoncini)" w:hAnsi="Times New Roman" w:cs="Times New Roman"/>
          <w:sz w:val="20"/>
          <w:szCs w:val="20"/>
        </w:rPr>
        <w:t xml:space="preserve"> e </w:t>
      </w:r>
      <w:r w:rsidR="00567C50" w:rsidRPr="00E4396E">
        <w:rPr>
          <w:rFonts w:ascii="Times New Roman" w:eastAsia="Garamond  (simoncini)" w:hAnsi="Times New Roman" w:cs="Times New Roman"/>
          <w:i/>
          <w:sz w:val="20"/>
          <w:szCs w:val="20"/>
        </w:rPr>
        <w:t>su quello procedurale</w:t>
      </w:r>
      <w:r w:rsidR="00567C50" w:rsidRPr="00E4396E">
        <w:rPr>
          <w:rFonts w:ascii="Times New Roman" w:eastAsia="Garamond  (simoncini)" w:hAnsi="Times New Roman" w:cs="Times New Roman"/>
          <w:iCs/>
          <w:sz w:val="20"/>
          <w:szCs w:val="20"/>
        </w:rPr>
        <w:t>, sussistendo comunque nel secondo, anche senza esserlo nel primo</w:t>
      </w:r>
      <w:r w:rsidR="00567C50" w:rsidRPr="00E4396E">
        <w:rPr>
          <w:rFonts w:ascii="Times New Roman" w:eastAsia="Garamond  (simoncini)" w:hAnsi="Times New Roman" w:cs="Times New Roman"/>
          <w:sz w:val="20"/>
          <w:szCs w:val="20"/>
        </w:rPr>
        <w:t>. L</w:t>
      </w:r>
      <w:r w:rsidRPr="00E4396E">
        <w:rPr>
          <w:rFonts w:ascii="Times New Roman" w:eastAsia="Garamond  (simoncini)" w:hAnsi="Times New Roman" w:cs="Times New Roman"/>
          <w:sz w:val="20"/>
          <w:szCs w:val="20"/>
        </w:rPr>
        <w:t xml:space="preserve">a regola di preferenza discrezionale, che eventualmente connota il potere amministrativo, deve, </w:t>
      </w:r>
      <w:r w:rsidR="00567C50" w:rsidRPr="00E4396E">
        <w:rPr>
          <w:rFonts w:ascii="Times New Roman" w:eastAsia="Garamond  (simoncini)" w:hAnsi="Times New Roman" w:cs="Times New Roman"/>
          <w:sz w:val="20"/>
          <w:szCs w:val="20"/>
        </w:rPr>
        <w:t>cioè</w:t>
      </w:r>
      <w:r w:rsidRPr="00E4396E">
        <w:rPr>
          <w:rFonts w:ascii="Times New Roman" w:eastAsia="Garamond  (simoncini)" w:hAnsi="Times New Roman" w:cs="Times New Roman"/>
          <w:sz w:val="20"/>
          <w:szCs w:val="20"/>
        </w:rPr>
        <w:t xml:space="preserve">, </w:t>
      </w:r>
      <w:r w:rsidRPr="00E4396E">
        <w:rPr>
          <w:rFonts w:ascii="Times New Roman" w:eastAsia="Garamond  (simoncini)" w:hAnsi="Times New Roman" w:cs="Times New Roman"/>
          <w:i/>
          <w:sz w:val="20"/>
          <w:szCs w:val="20"/>
        </w:rPr>
        <w:t>considerarsi già operativa sul piano procedurale, ancorché non lo sia sul piano sostanziale</w:t>
      </w:r>
      <w:r w:rsidR="00567C50" w:rsidRPr="00E4396E">
        <w:rPr>
          <w:rFonts w:ascii="Times New Roman" w:eastAsia="Garamond  (simoncini)" w:hAnsi="Times New Roman" w:cs="Times New Roman"/>
          <w:sz w:val="20"/>
          <w:szCs w:val="20"/>
        </w:rPr>
        <w:t xml:space="preserve">. </w:t>
      </w:r>
      <w:r w:rsidR="00567C50" w:rsidRPr="00E4396E">
        <w:rPr>
          <w:rFonts w:ascii="Times New Roman" w:hAnsi="Times New Roman" w:cs="Times New Roman"/>
          <w:sz w:val="20"/>
          <w:szCs w:val="20"/>
        </w:rPr>
        <w:t>L’indefi</w:t>
      </w:r>
      <w:r w:rsidR="00567C50" w:rsidRPr="00E4396E">
        <w:rPr>
          <w:rFonts w:ascii="Times New Roman" w:hAnsi="Times New Roman" w:cs="Times New Roman"/>
          <w:sz w:val="20"/>
          <w:szCs w:val="20"/>
        </w:rPr>
        <w:softHyphen/>
        <w:t xml:space="preserve">nizione contenutistica, relativa al contenuto della regola, passa così, </w:t>
      </w:r>
      <w:r w:rsidR="00567C50" w:rsidRPr="00E4396E">
        <w:rPr>
          <w:rFonts w:ascii="Times New Roman" w:hAnsi="Times New Roman" w:cs="Times New Roman"/>
          <w:i/>
          <w:sz w:val="20"/>
          <w:szCs w:val="20"/>
        </w:rPr>
        <w:t>sul solo piano della rilevanza procedurale</w:t>
      </w:r>
      <w:r w:rsidR="00567C50" w:rsidRPr="00E4396E">
        <w:rPr>
          <w:rFonts w:ascii="Times New Roman" w:hAnsi="Times New Roman" w:cs="Times New Roman"/>
          <w:sz w:val="20"/>
          <w:szCs w:val="20"/>
        </w:rPr>
        <w:t>, dal profilo di definizione della regola stessa a quello di verificazione rispetto ad una regola assunta come già definita.</w:t>
      </w:r>
    </w:p>
    <w:p w14:paraId="086B6AED" w14:textId="77323DA1" w:rsidR="00425AC1" w:rsidRPr="00E4396E" w:rsidRDefault="00425AC1" w:rsidP="001B22E9">
      <w:pPr>
        <w:pStyle w:val="para"/>
        <w:spacing w:line="240" w:lineRule="auto"/>
        <w:rPr>
          <w:rFonts w:ascii="Times New Roman" w:hAnsi="Times New Roman" w:cs="Times New Roman"/>
          <w:sz w:val="20"/>
          <w:szCs w:val="20"/>
        </w:rPr>
      </w:pPr>
      <w:r w:rsidRPr="00E4396E">
        <w:rPr>
          <w:rFonts w:ascii="Times New Roman" w:hAnsi="Times New Roman" w:cs="Times New Roman"/>
          <w:sz w:val="20"/>
          <w:szCs w:val="20"/>
        </w:rPr>
        <w:t xml:space="preserve">Il meccanismo tecnico, attraverso cui si perviene al risultato indicato, è </w:t>
      </w:r>
      <w:r w:rsidR="000B7462" w:rsidRPr="00E4396E">
        <w:rPr>
          <w:rFonts w:ascii="Times New Roman" w:hAnsi="Times New Roman" w:cs="Times New Roman"/>
          <w:sz w:val="20"/>
          <w:szCs w:val="20"/>
        </w:rPr>
        <w:t xml:space="preserve">quello, </w:t>
      </w:r>
      <w:r w:rsidRPr="00E4396E">
        <w:rPr>
          <w:rFonts w:ascii="Times New Roman" w:hAnsi="Times New Roman" w:cs="Times New Roman"/>
          <w:sz w:val="20"/>
          <w:szCs w:val="20"/>
        </w:rPr>
        <w:t xml:space="preserve">del tutto conosciuto dall’ordinamento, che si ritrova in ordine alla c.d. eccezione in senso stretto (cioè non rilevabile d’ufficio dal giudice). Rispetto ad essa, infatti, vi è un fatto già operativo in sé nella realtà sostanziale (si pensi, ad es., all’usucapione di un bene al decorso di un determinato termine), il quale, tuttavia, non lo è anche sul piano di rilevanza processuale; nell’ambito di quest’ultimo, infatti, per la relativa operatività, il fatto deve essere oggetto dell’esercizio di un potere, appunto processuale (quello di eccezione). Il </w:t>
      </w:r>
      <w:r w:rsidR="000B7462" w:rsidRPr="00E4396E">
        <w:rPr>
          <w:rFonts w:ascii="Times New Roman" w:hAnsi="Times New Roman" w:cs="Times New Roman"/>
          <w:sz w:val="20"/>
          <w:szCs w:val="20"/>
        </w:rPr>
        <w:t xml:space="preserve">medesimo </w:t>
      </w:r>
      <w:r w:rsidRPr="00E4396E">
        <w:rPr>
          <w:rFonts w:ascii="Times New Roman" w:hAnsi="Times New Roman" w:cs="Times New Roman"/>
          <w:sz w:val="20"/>
          <w:szCs w:val="20"/>
        </w:rPr>
        <w:t xml:space="preserve">meccanismo </w:t>
      </w:r>
      <w:r w:rsidR="000B7462" w:rsidRPr="00E4396E">
        <w:rPr>
          <w:rFonts w:ascii="Times New Roman" w:hAnsi="Times New Roman" w:cs="Times New Roman"/>
          <w:sz w:val="20"/>
          <w:szCs w:val="20"/>
        </w:rPr>
        <w:t>si avrebbe</w:t>
      </w:r>
      <w:r w:rsidRPr="00E4396E">
        <w:rPr>
          <w:rFonts w:ascii="Times New Roman" w:hAnsi="Times New Roman" w:cs="Times New Roman"/>
          <w:sz w:val="20"/>
          <w:szCs w:val="20"/>
        </w:rPr>
        <w:t>, dunque, (in termini invertiti rispetto ai relativi piani di rilevanza, sostanziale e processuale) per descrivere l’operatività della regola discrezionale</w:t>
      </w:r>
      <w:r w:rsidR="000B7462" w:rsidRPr="00E4396E">
        <w:rPr>
          <w:rFonts w:ascii="Times New Roman" w:hAnsi="Times New Roman" w:cs="Times New Roman"/>
          <w:sz w:val="20"/>
          <w:szCs w:val="20"/>
        </w:rPr>
        <w:t xml:space="preserve"> propria del potere amministrativo</w:t>
      </w:r>
      <w:r w:rsidRPr="00E4396E">
        <w:rPr>
          <w:rFonts w:ascii="Times New Roman" w:hAnsi="Times New Roman" w:cs="Times New Roman"/>
          <w:sz w:val="20"/>
          <w:szCs w:val="20"/>
        </w:rPr>
        <w:t>.</w:t>
      </w:r>
    </w:p>
    <w:p w14:paraId="02937278" w14:textId="01EA646A" w:rsidR="00B2187D" w:rsidRPr="00E4396E" w:rsidRDefault="00567C50" w:rsidP="001B22E9">
      <w:pPr>
        <w:pStyle w:val="para"/>
        <w:spacing w:line="240" w:lineRule="auto"/>
        <w:rPr>
          <w:rFonts w:ascii="Times New Roman" w:eastAsia="Garamond  (simoncini)" w:hAnsi="Times New Roman" w:cs="Times New Roman"/>
          <w:sz w:val="20"/>
          <w:szCs w:val="20"/>
        </w:rPr>
      </w:pPr>
      <w:r w:rsidRPr="00E4396E">
        <w:rPr>
          <w:rFonts w:ascii="Times New Roman" w:eastAsia="Garamond  (simoncini)" w:hAnsi="Times New Roman" w:cs="Times New Roman"/>
          <w:sz w:val="20"/>
          <w:szCs w:val="20"/>
        </w:rPr>
        <w:t>Nella prospettiva descritta, risulta così possibile – senza che per questo venga intaccato il rilievo sostanziale della scelta discrezionale, la cui definizione rimane demandata all’Amministrazione</w:t>
      </w:r>
      <w:r w:rsidRPr="00E4396E">
        <w:rPr>
          <w:rFonts w:ascii="Times New Roman" w:eastAsia="Garamond  (simoncini)" w:hAnsi="Times New Roman" w:cs="Times New Roman"/>
          <w:iCs/>
          <w:sz w:val="20"/>
          <w:szCs w:val="20"/>
        </w:rPr>
        <w:t xml:space="preserve"> – </w:t>
      </w:r>
      <w:r w:rsidRPr="00E4396E">
        <w:rPr>
          <w:rFonts w:ascii="Times New Roman" w:eastAsia="Garamond  (simoncini)" w:hAnsi="Times New Roman" w:cs="Times New Roman"/>
          <w:sz w:val="20"/>
          <w:szCs w:val="20"/>
        </w:rPr>
        <w:t xml:space="preserve">configurare la situazione giuridica di potere, in ogni caso, quale </w:t>
      </w:r>
      <w:r w:rsidRPr="00E4396E">
        <w:rPr>
          <w:rFonts w:ascii="Times New Roman" w:eastAsia="Garamond  (simoncini)" w:hAnsi="Times New Roman" w:cs="Times New Roman"/>
          <w:i/>
          <w:sz w:val="20"/>
          <w:szCs w:val="20"/>
        </w:rPr>
        <w:t>obbligo di adozione di un atto precettivo</w:t>
      </w:r>
      <w:r w:rsidRPr="00E4396E">
        <w:rPr>
          <w:rFonts w:ascii="Times New Roman" w:eastAsia="Garamond  (simoncini)" w:hAnsi="Times New Roman" w:cs="Times New Roman"/>
          <w:sz w:val="20"/>
          <w:szCs w:val="20"/>
        </w:rPr>
        <w:t xml:space="preserve">, sussistente se sussistono gli elementi, vincolati e discrezionali, della relativa fattispecie; o come </w:t>
      </w:r>
      <w:r w:rsidRPr="00E4396E">
        <w:rPr>
          <w:rFonts w:ascii="Times New Roman" w:eastAsia="Garamond  (simoncini)" w:hAnsi="Times New Roman" w:cs="Times New Roman"/>
          <w:i/>
          <w:sz w:val="20"/>
          <w:szCs w:val="20"/>
        </w:rPr>
        <w:t>obbligo di non adozione dell’atto</w:t>
      </w:r>
      <w:r w:rsidRPr="00E4396E">
        <w:rPr>
          <w:rFonts w:ascii="Times New Roman" w:eastAsia="Garamond  (simoncini)" w:hAnsi="Times New Roman" w:cs="Times New Roman"/>
          <w:sz w:val="20"/>
          <w:szCs w:val="20"/>
        </w:rPr>
        <w:t xml:space="preserve">, in caso di loro insussistenza. </w:t>
      </w:r>
      <w:r w:rsidR="005E1322" w:rsidRPr="00E4396E">
        <w:rPr>
          <w:rFonts w:ascii="Times New Roman" w:eastAsia="Garamond  (simoncini)" w:hAnsi="Times New Roman" w:cs="Times New Roman"/>
          <w:sz w:val="20"/>
          <w:szCs w:val="20"/>
        </w:rPr>
        <w:t>Del pari, l</w:t>
      </w:r>
      <w:r w:rsidRPr="00E4396E">
        <w:rPr>
          <w:rFonts w:ascii="Times New Roman" w:eastAsia="Garamond  (simoncini)" w:hAnsi="Times New Roman" w:cs="Times New Roman"/>
          <w:sz w:val="20"/>
          <w:szCs w:val="20"/>
        </w:rPr>
        <w:t xml:space="preserve">a situazione a rilievo sostanziale del privato, in ragione del </w:t>
      </w:r>
      <w:r w:rsidR="005E1322" w:rsidRPr="00E4396E">
        <w:rPr>
          <w:rFonts w:ascii="Times New Roman" w:eastAsia="Garamond  (simoncini)" w:hAnsi="Times New Roman" w:cs="Times New Roman"/>
          <w:sz w:val="20"/>
          <w:szCs w:val="20"/>
        </w:rPr>
        <w:t>suo</w:t>
      </w:r>
      <w:r w:rsidRPr="00E4396E">
        <w:rPr>
          <w:rFonts w:ascii="Times New Roman" w:eastAsia="Garamond  (simoncini)" w:hAnsi="Times New Roman" w:cs="Times New Roman"/>
          <w:sz w:val="20"/>
          <w:szCs w:val="20"/>
        </w:rPr>
        <w:t xml:space="preserve"> carattere procedurale, che vede la regola discrezionale già operativa, può a sua volta configurarsi quale </w:t>
      </w:r>
      <w:r w:rsidRPr="00E4396E">
        <w:rPr>
          <w:rFonts w:ascii="Times New Roman" w:eastAsia="Garamond  (simoncini)" w:hAnsi="Times New Roman" w:cs="Times New Roman"/>
          <w:i/>
          <w:sz w:val="20"/>
          <w:szCs w:val="20"/>
        </w:rPr>
        <w:t>pretesa rivolta all’utilità finale</w:t>
      </w:r>
      <w:r w:rsidRPr="00E4396E">
        <w:rPr>
          <w:rFonts w:ascii="Times New Roman" w:eastAsia="Garamond  (simoncini)" w:hAnsi="Times New Roman" w:cs="Times New Roman"/>
          <w:iCs/>
          <w:sz w:val="20"/>
          <w:szCs w:val="20"/>
        </w:rPr>
        <w:t xml:space="preserve"> (alla produzione o alla non produzione del</w:t>
      </w:r>
      <w:r w:rsidRPr="00E4396E">
        <w:rPr>
          <w:rFonts w:ascii="Times New Roman" w:eastAsia="Garamond  (simoncini)" w:hAnsi="Times New Roman" w:cs="Times New Roman"/>
          <w:iCs/>
          <w:sz w:val="20"/>
          <w:szCs w:val="20"/>
        </w:rPr>
        <w:softHyphen/>
        <w:t>l’effetto)</w:t>
      </w:r>
      <w:r w:rsidRPr="00E4396E">
        <w:rPr>
          <w:rFonts w:ascii="Times New Roman" w:eastAsia="Garamond  (simoncini)" w:hAnsi="Times New Roman" w:cs="Times New Roman"/>
          <w:sz w:val="20"/>
          <w:szCs w:val="20"/>
        </w:rPr>
        <w:t>.</w:t>
      </w:r>
      <w:r w:rsidR="00855B55" w:rsidRPr="00E4396E">
        <w:rPr>
          <w:rFonts w:ascii="Times New Roman" w:hAnsi="Times New Roman" w:cs="Times New Roman"/>
          <w:sz w:val="20"/>
          <w:szCs w:val="20"/>
        </w:rPr>
        <w:fldChar w:fldCharType="begin"/>
      </w:r>
      <w:r w:rsidR="00855B55" w:rsidRPr="00E4396E">
        <w:rPr>
          <w:rFonts w:ascii="Times New Roman" w:hAnsi="Times New Roman" w:cs="Times New Roman"/>
          <w:sz w:val="20"/>
          <w:szCs w:val="20"/>
        </w:rPr>
        <w:instrText>&lt;/para&gt;&lt;/nota&gt;</w:instrText>
      </w:r>
      <w:r w:rsidR="00855B55" w:rsidRPr="00E4396E">
        <w:rPr>
          <w:rFonts w:ascii="Times New Roman" w:hAnsi="Times New Roman" w:cs="Times New Roman"/>
          <w:sz w:val="20"/>
          <w:szCs w:val="20"/>
        </w:rPr>
        <w:fldChar w:fldCharType="end"/>
      </w:r>
    </w:p>
  </w:footnote>
  <w:footnote w:id="31">
    <w:p w14:paraId="75EC1BBA" w14:textId="3DBA8C8B" w:rsidR="008777A0" w:rsidRPr="00E4396E" w:rsidRDefault="00B2187D" w:rsidP="001B22E9">
      <w:pPr>
        <w:rPr>
          <w:sz w:val="20"/>
          <w:szCs w:val="20"/>
        </w:rPr>
      </w:pPr>
      <w:r w:rsidRPr="00E4396E">
        <w:rPr>
          <w:rStyle w:val="Rimandonotaapidipagina"/>
          <w:sz w:val="20"/>
          <w:szCs w:val="20"/>
        </w:rPr>
        <w:footnoteRef/>
      </w:r>
      <w:r w:rsidRPr="00E4396E">
        <w:rPr>
          <w:sz w:val="20"/>
          <w:szCs w:val="20"/>
        </w:rPr>
        <w:t xml:space="preserve"> </w:t>
      </w:r>
      <w:r w:rsidR="008777A0" w:rsidRPr="00E4396E">
        <w:rPr>
          <w:sz w:val="20"/>
          <w:szCs w:val="20"/>
        </w:rPr>
        <w:t>Il profilo procedurale comporta, cioè, l’</w:t>
      </w:r>
      <w:r w:rsidR="008777A0" w:rsidRPr="00E4396E">
        <w:rPr>
          <w:i/>
          <w:sz w:val="20"/>
          <w:szCs w:val="20"/>
        </w:rPr>
        <w:t>esauribilità della discrezionalità in giudizio</w:t>
      </w:r>
      <w:r w:rsidR="008777A0" w:rsidRPr="00E4396E">
        <w:rPr>
          <w:sz w:val="20"/>
          <w:szCs w:val="20"/>
        </w:rPr>
        <w:t xml:space="preserve"> da parte dell’Amministrazione, nei modi e nei termini, corrispondentemente </w:t>
      </w:r>
      <w:r w:rsidR="008777A0" w:rsidRPr="00E4396E">
        <w:rPr>
          <w:i/>
          <w:sz w:val="20"/>
          <w:szCs w:val="20"/>
        </w:rPr>
        <w:t>processuali</w:t>
      </w:r>
      <w:r w:rsidR="008777A0" w:rsidRPr="00E4396E">
        <w:rPr>
          <w:sz w:val="20"/>
          <w:szCs w:val="20"/>
        </w:rPr>
        <w:t>, che la normativa codicistica mette a disposizione.</w:t>
      </w:r>
      <w:r w:rsidR="00D945FD" w:rsidRPr="00E4396E">
        <w:rPr>
          <w:sz w:val="20"/>
          <w:szCs w:val="20"/>
        </w:rPr>
        <w:t xml:space="preserve"> </w:t>
      </w:r>
      <w:r w:rsidR="008777A0" w:rsidRPr="00E4396E">
        <w:rPr>
          <w:sz w:val="20"/>
          <w:szCs w:val="20"/>
        </w:rPr>
        <w:t>Se, infatti, la consistenza della discrezionalità, e della situazione di pretesa ad essa correlata, si pone nel senso procedurale descritto, non è dato ravvisare alcuna obiezione in senso contrario.</w:t>
      </w:r>
    </w:p>
    <w:p w14:paraId="7DF09D9C" w14:textId="2B1B4477" w:rsidR="008777A0" w:rsidRPr="00E4396E" w:rsidRDefault="008777A0" w:rsidP="001B22E9">
      <w:pPr>
        <w:rPr>
          <w:sz w:val="20"/>
          <w:szCs w:val="20"/>
        </w:rPr>
      </w:pPr>
      <w:r w:rsidRPr="00E4396E">
        <w:rPr>
          <w:sz w:val="20"/>
          <w:szCs w:val="20"/>
        </w:rPr>
        <w:t>In primo luogo, non potrebbero essere sollevati rilievi sotto il profilo sostanziale, in ordine all’effettiva attualità di una situazione siffatta (</w:t>
      </w:r>
      <w:r w:rsidR="00B060AD" w:rsidRPr="00E4396E">
        <w:rPr>
          <w:sz w:val="20"/>
          <w:szCs w:val="20"/>
        </w:rPr>
        <w:t xml:space="preserve">dell’esistenza, cioè, </w:t>
      </w:r>
      <w:r w:rsidRPr="00E4396E">
        <w:rPr>
          <w:sz w:val="20"/>
          <w:szCs w:val="20"/>
        </w:rPr>
        <w:t xml:space="preserve">di una pretesa all’utilità finale: cfr. </w:t>
      </w:r>
      <w:r w:rsidRPr="00E4396E">
        <w:rPr>
          <w:i/>
          <w:iCs/>
          <w:sz w:val="20"/>
          <w:szCs w:val="20"/>
        </w:rPr>
        <w:t>supra</w:t>
      </w:r>
      <w:r w:rsidRPr="00E4396E">
        <w:rPr>
          <w:sz w:val="20"/>
          <w:szCs w:val="20"/>
        </w:rPr>
        <w:t>, n. 2</w:t>
      </w:r>
      <w:r w:rsidR="001C25BE" w:rsidRPr="00E4396E">
        <w:rPr>
          <w:sz w:val="20"/>
          <w:szCs w:val="20"/>
        </w:rPr>
        <w:t>6</w:t>
      </w:r>
      <w:r w:rsidRPr="00E4396E">
        <w:rPr>
          <w:sz w:val="20"/>
          <w:szCs w:val="20"/>
        </w:rPr>
        <w:t>): appunto perché la regola di preferenza discrezionale si considera normativamente già effettuale sul piano procedurale, si determina, come si è avuto modo di spiegare, l’attualità della corrispondente situazione giuridica soggettiva, oggetto del giudizio.</w:t>
      </w:r>
    </w:p>
    <w:p w14:paraId="12DB715F" w14:textId="1F0596ED" w:rsidR="008777A0" w:rsidRPr="00E4396E" w:rsidRDefault="008777A0" w:rsidP="001B22E9">
      <w:pPr>
        <w:rPr>
          <w:sz w:val="20"/>
          <w:szCs w:val="20"/>
        </w:rPr>
      </w:pPr>
      <w:r w:rsidRPr="00E4396E">
        <w:rPr>
          <w:sz w:val="20"/>
          <w:szCs w:val="20"/>
        </w:rPr>
        <w:t xml:space="preserve">Allo stesso modo, non potrebbero esprimersi obiezioni sotto il profilo di un presunto esercizio del potere in giudizio. Queste andrebbero, infatti, comunque escluse, giacché, rispetto alla situazione giuridica (già effettuale) di pretesa sostanziale, oggetto dell’accertamento giudiziale, si sarebbe al cospetto del mero svolgimento di </w:t>
      </w:r>
      <w:r w:rsidRPr="00E4396E">
        <w:rPr>
          <w:i/>
          <w:sz w:val="20"/>
          <w:szCs w:val="20"/>
        </w:rPr>
        <w:t>difese processuali</w:t>
      </w:r>
      <w:r w:rsidRPr="00E4396E">
        <w:rPr>
          <w:sz w:val="20"/>
          <w:szCs w:val="20"/>
        </w:rPr>
        <w:t>, le quali devono poter essere effettuate in ragione del diritto, costituzionalmente garantito, di difesa in giudizio. Non verrebbe invece in conto, in tale prospettiva, il riesercizio del potere sostanziale</w:t>
      </w:r>
      <w:r w:rsidR="00A90753" w:rsidRPr="00E4396E">
        <w:rPr>
          <w:sz w:val="20"/>
          <w:szCs w:val="20"/>
        </w:rPr>
        <w:t xml:space="preserve"> (</w:t>
      </w:r>
      <w:r w:rsidRPr="00E4396E">
        <w:rPr>
          <w:sz w:val="20"/>
          <w:szCs w:val="20"/>
        </w:rPr>
        <w:t>che, anzi, non si ritiene proprio poter rilevare se funzionalizzato alla difesa processuale della decisione amministrativa adottata, pena la sovrapposizione di due differenti funzioni che su detta decisione possono intervenire</w:t>
      </w:r>
      <w:r w:rsidR="00A90753" w:rsidRPr="00E4396E">
        <w:rPr>
          <w:sz w:val="20"/>
          <w:szCs w:val="20"/>
        </w:rPr>
        <w:t xml:space="preserve">, </w:t>
      </w:r>
      <w:r w:rsidRPr="00E4396E">
        <w:rPr>
          <w:sz w:val="20"/>
          <w:szCs w:val="20"/>
        </w:rPr>
        <w:t>quella di secondo grado amministrativa e quella giurisdizionale).</w:t>
      </w:r>
    </w:p>
    <w:p w14:paraId="59F5A860" w14:textId="77777777" w:rsidR="00D945FD" w:rsidRPr="00E4396E" w:rsidRDefault="008777A0" w:rsidP="001B22E9">
      <w:pPr>
        <w:pStyle w:val="Testonotaapidipagina"/>
      </w:pPr>
      <w:r w:rsidRPr="00E4396E">
        <w:t>Rispetto all’esercizio del potere, si aggiunge, neppure potrebbero farsi valere riserve in ordine ad</w:t>
      </w:r>
      <w:r w:rsidRPr="00E4396E">
        <w:rPr>
          <w:i/>
        </w:rPr>
        <w:t xml:space="preserve"> una eventuale lesione della dimensione sostanziale della discrezionalità amministrativa</w:t>
      </w:r>
      <w:r w:rsidRPr="00E4396E">
        <w:t>, a causa del suo esaurimento in via processuale. Ferma la consistenza procedurale della discrezionalità, che ne consente l’esaurimento in giudizio, il mantenimento della sua rilevanza sostanziale verrebbe, infatti, comunque assicurato nel momento in cui si ritiene, come a nostro avviso si deve ritenere, che la scelta discrezionale debba essere, in ogni caso, non meramente indicata in memoria dalla difesa erariale, ma contenuta in un documento proveniente dall’Amministrazione a detta scelta deputata; il quale documento, però, proprio in ragione del carattere procedurale in cui la struttura della funzione si colloca, assumerebbe appunto carattere procedurale, di integrazione dell’allegazione processuale, con relativo deposito in giudizio, e corrispondenti difese processuali nel contraddittorio con le altre parti</w:t>
      </w:r>
      <w:r w:rsidR="00D945FD" w:rsidRPr="00E4396E">
        <w:t>.</w:t>
      </w:r>
    </w:p>
    <w:p w14:paraId="2D926EE2" w14:textId="6EFEE241" w:rsidR="00B2187D" w:rsidRPr="00E4396E" w:rsidRDefault="00D945FD" w:rsidP="001B22E9">
      <w:pPr>
        <w:pStyle w:val="Testonotaapidipagina"/>
      </w:pPr>
      <w:r w:rsidRPr="00E4396E">
        <w:t>Più nello specifico, il c.d. esaurimento della discrezionalità in giudizio dovrebbe avvenire</w:t>
      </w:r>
      <w:r w:rsidR="007E42EF" w:rsidRPr="00E4396E">
        <w:t xml:space="preserve"> </w:t>
      </w:r>
      <w:r w:rsidRPr="00E4396E">
        <w:t>attraverso l’integrazione di un’</w:t>
      </w:r>
      <w:r w:rsidRPr="00E4396E">
        <w:rPr>
          <w:i/>
        </w:rPr>
        <w:t>allegazione</w:t>
      </w:r>
      <w:r w:rsidRPr="00E4396E">
        <w:t xml:space="preserve">, da parte dell’Amministrazione, avente ad oggetto la definizione della regola di preferenza discrezionale, spontaneamente o su richiesta istruttoria di </w:t>
      </w:r>
      <w:r w:rsidRPr="00E4396E">
        <w:rPr>
          <w:i/>
        </w:rPr>
        <w:t>chiarimenti</w:t>
      </w:r>
      <w:r w:rsidRPr="00E4396E">
        <w:t xml:space="preserve"> da parte del giudice, rispetto alla quale si può porre il sindacato giudiziale. L’allegazione in questione è espressione di un potere processuale, la cui fattispecie è però strutturata nel senso che la definizione del valore provenga, come detto nel testo, dal soggetto a cui l’ordi</w:t>
      </w:r>
      <w:r w:rsidRPr="00E4396E">
        <w:softHyphen/>
        <w:t>namento conferisce il relativo margine di valutazione nella determinazione del criterio di preferenza discrezionale, espletandosi nel rispetto delle particolari modalità sostanziali che risultino a ciò strumentali. Il documento, in ragione del suo valore processuale,</w:t>
      </w:r>
      <w:r w:rsidRPr="00E4396E">
        <w:rPr>
          <w:i/>
        </w:rPr>
        <w:t xml:space="preserve"> non </w:t>
      </w:r>
      <w:r w:rsidR="00016F50" w:rsidRPr="00E4396E">
        <w:rPr>
          <w:i/>
        </w:rPr>
        <w:t>avrebbe</w:t>
      </w:r>
      <w:r w:rsidRPr="00E4396E">
        <w:rPr>
          <w:i/>
        </w:rPr>
        <w:t xml:space="preserve"> necessità di essere impugnato</w:t>
      </w:r>
      <w:r w:rsidRPr="00E4396E">
        <w:t>; d</w:t>
      </w:r>
      <w:r w:rsidR="00016F50" w:rsidRPr="00E4396E">
        <w:t>ovrebbe</w:t>
      </w:r>
      <w:r w:rsidRPr="00E4396E">
        <w:t xml:space="preserve"> essere invece </w:t>
      </w:r>
      <w:r w:rsidRPr="00E4396E">
        <w:rPr>
          <w:i/>
        </w:rPr>
        <w:t>depositato</w:t>
      </w:r>
      <w:r w:rsidRPr="00E4396E">
        <w:t xml:space="preserve"> in giudizio dalla P.A., e potrà essere contestato dalle altre parti con memoria (con evidenti vantaggi, anche sul versante pratico, rispetto all’impugnazione dell’atto). In tale contesto, l’esplicazione del contraddittorio v</w:t>
      </w:r>
      <w:r w:rsidR="00016F50" w:rsidRPr="00E4396E">
        <w:t>errebbe</w:t>
      </w:r>
      <w:r w:rsidRPr="00E4396E">
        <w:t xml:space="preserve"> così peraltro ad usufruire delle forme (più pregnanti) del processo giurisdizionale, le quali possono ascrivere direttamente, integran</w:t>
      </w:r>
      <w:r w:rsidRPr="00E4396E">
        <w:softHyphen/>
        <w:t>dole a sé, quelle procedimentali.</w:t>
      </w:r>
    </w:p>
    <w:p w14:paraId="6CD5FD05" w14:textId="31AA7A2B" w:rsidR="00D945FD" w:rsidRPr="00E4396E" w:rsidRDefault="009F79DF" w:rsidP="001B22E9">
      <w:pPr>
        <w:pStyle w:val="Testonotaapidipagina"/>
      </w:pPr>
      <w:r w:rsidRPr="00E4396E">
        <w:rPr>
          <w:spacing w:val="2"/>
        </w:rPr>
        <w:t>Sul punto, cfr</w:t>
      </w:r>
      <w:r w:rsidR="00FA2249" w:rsidRPr="00E4396E">
        <w:rPr>
          <w:spacing w:val="2"/>
        </w:rPr>
        <w:t>., per un compiuto approfondimento delle questioni considerate,</w:t>
      </w:r>
      <w:r w:rsidRPr="00E4396E">
        <w:rPr>
          <w:spacing w:val="2"/>
        </w:rPr>
        <w:t xml:space="preserve"> </w:t>
      </w:r>
      <w:r w:rsidRPr="00E4396E">
        <w:rPr>
          <w:i/>
          <w:spacing w:val="2"/>
        </w:rPr>
        <w:t>Potere</w:t>
      </w:r>
      <w:r w:rsidRPr="00E4396E">
        <w:rPr>
          <w:spacing w:val="2"/>
        </w:rPr>
        <w:t xml:space="preserve">, II-1, cit., p. 209 ss., nel testo e in nota, spec. n. 326, e </w:t>
      </w:r>
      <w:r w:rsidRPr="00E4396E">
        <w:rPr>
          <w:lang w:val="pt-BR"/>
        </w:rPr>
        <w:t>p. 212 ss., spec. p</w:t>
      </w:r>
      <w:r w:rsidRPr="00E4396E">
        <w:t>. 219 ss., nel testo e alla n. 334</w:t>
      </w:r>
      <w:r w:rsidR="00040FA1" w:rsidRPr="00E4396E">
        <w:t xml:space="preserve">; </w:t>
      </w:r>
      <w:r w:rsidR="0044415A" w:rsidRPr="00E4396E">
        <w:t xml:space="preserve">nonché il saggio </w:t>
      </w:r>
      <w:r w:rsidR="00040FA1" w:rsidRPr="00E4396E">
        <w:rPr>
          <w:i/>
          <w:iCs/>
        </w:rPr>
        <w:t>Potere e situazioni giuridiche soggettive</w:t>
      </w:r>
      <w:r w:rsidR="00040FA1" w:rsidRPr="00E4396E">
        <w:t>, cit., p. 52 ss., spec. p. 56 ss.</w:t>
      </w:r>
      <w:r w:rsidR="00A90753" w:rsidRPr="00E4396E">
        <w:t xml:space="preserve"> Sul rapporto con i poteri di secondo grado, </w:t>
      </w:r>
      <w:r w:rsidR="004C4A72" w:rsidRPr="00E4396E">
        <w:t xml:space="preserve">si veda </w:t>
      </w:r>
      <w:r w:rsidR="004C4A72" w:rsidRPr="00E4396E">
        <w:rPr>
          <w:i/>
          <w:iCs/>
        </w:rPr>
        <w:t>Considerazioni generali sui poteri amministrativi di secondo grado</w:t>
      </w:r>
      <w:r w:rsidR="004C4A72" w:rsidRPr="00E4396E">
        <w:t xml:space="preserve">, in </w:t>
      </w:r>
      <w:r w:rsidR="004C4A72" w:rsidRPr="00E4396E">
        <w:rPr>
          <w:i/>
          <w:iCs/>
        </w:rPr>
        <w:t>Federalismi</w:t>
      </w:r>
      <w:r w:rsidR="004C4A72" w:rsidRPr="00E4396E">
        <w:t xml:space="preserve">, 2025, 19, p. 37 ss.; </w:t>
      </w:r>
      <w:r w:rsidR="004C4A72" w:rsidRPr="00E4396E">
        <w:rPr>
          <w:i/>
          <w:iCs/>
        </w:rPr>
        <w:t>Potere e situazioni soggettive nel diritto amministrativo</w:t>
      </w:r>
      <w:r w:rsidR="004C4A72" w:rsidRPr="00E4396E">
        <w:t xml:space="preserve">, II-2, </w:t>
      </w:r>
      <w:r w:rsidR="004C4A72" w:rsidRPr="00E4396E">
        <w:rPr>
          <w:i/>
          <w:iCs/>
        </w:rPr>
        <w:t>Le situazioni (prettamente) procedurali</w:t>
      </w:r>
      <w:r w:rsidR="004C4A72" w:rsidRPr="00E4396E">
        <w:t>, Torino, 2023, rist. 2025, p. 467 ss.</w:t>
      </w:r>
    </w:p>
  </w:footnote>
  <w:footnote w:id="32">
    <w:p w14:paraId="39DEC7FB" w14:textId="14CB88DA" w:rsidR="00867479" w:rsidRPr="00E4396E" w:rsidRDefault="00867479" w:rsidP="001B22E9">
      <w:pPr>
        <w:pStyle w:val="Testonotaapidipagina"/>
      </w:pPr>
      <w:r w:rsidRPr="00E4396E">
        <w:rPr>
          <w:rStyle w:val="Rimandonotaapidipagina"/>
        </w:rPr>
        <w:footnoteRef/>
      </w:r>
      <w:r w:rsidRPr="00E4396E">
        <w:t xml:space="preserve"> </w:t>
      </w:r>
      <w:r w:rsidR="008777A0" w:rsidRPr="00E4396E">
        <w:t>Ciò, a nostro avviso, potrebbe avvenire, essenzialmente, soltanto nell’ipotesi in cui il giudice scelga di non provocare in via istruttoria l’esaurimento della discrezionalità</w:t>
      </w:r>
      <w:r w:rsidR="007E42EF" w:rsidRPr="00E4396E">
        <w:t xml:space="preserve"> perché lo</w:t>
      </w:r>
      <w:r w:rsidR="008777A0" w:rsidRPr="00E4396E">
        <w:t xml:space="preserve"> reput</w:t>
      </w:r>
      <w:r w:rsidR="007E42EF" w:rsidRPr="00E4396E">
        <w:t>a</w:t>
      </w:r>
      <w:r w:rsidR="008777A0" w:rsidRPr="00E4396E">
        <w:t xml:space="preserve"> eccessivamente gravoso; ovvero in ragione della limitazione in questo senso, da parte dello stesso ricorrente, della domanda esperita (senza che intervenga, da parte delle altre parti, un’estensione dell’oggetto del giudizio all’intera pretesa sostanziale). Sul punto, cfr. </w:t>
      </w:r>
      <w:r w:rsidR="008777A0" w:rsidRPr="00E4396E">
        <w:rPr>
          <w:i/>
        </w:rPr>
        <w:t>Potere</w:t>
      </w:r>
      <w:r w:rsidR="008777A0" w:rsidRPr="00E4396E">
        <w:t>, II-1, cit., pp. 196 ss. e 224 ss.</w:t>
      </w:r>
    </w:p>
  </w:footnote>
  <w:footnote w:id="33">
    <w:p w14:paraId="35481381" w14:textId="548E2510" w:rsidR="008777A0" w:rsidRPr="00E4396E" w:rsidRDefault="008777A0" w:rsidP="001B22E9">
      <w:pPr>
        <w:pStyle w:val="Testonotaapidipagina"/>
      </w:pPr>
      <w:r w:rsidRPr="00E4396E">
        <w:rPr>
          <w:rStyle w:val="Rimandonotaapidipagina"/>
        </w:rPr>
        <w:footnoteRef/>
      </w:r>
      <w:r w:rsidRPr="00E4396E">
        <w:t xml:space="preserve"> L’accertamento parziale non </w:t>
      </w:r>
      <w:r w:rsidR="001B22E9" w:rsidRPr="00E4396E">
        <w:t>andrebbe</w:t>
      </w:r>
      <w:r w:rsidRPr="00E4396E">
        <w:t xml:space="preserve"> infatti comunque riferito a singoli fatti o questioni, ma, al pari di quanto si deve ritenere avvenire nel diritto processuale generale, alla situazione giuridica, rimodulata nei termini della relativa considerazione parziale, così da coprire il dedotto e il deducibile rispetto ad essa (profili vincolati e profili afferenti alla discrezionalità esaurita, dedotti o deducibili); ciò che viene escluso </w:t>
      </w:r>
      <w:r w:rsidR="001B22E9" w:rsidRPr="00E4396E">
        <w:t>sarebbe</w:t>
      </w:r>
      <w:r w:rsidRPr="00E4396E">
        <w:t xml:space="preserve"> soltanto la discrezionalità residua. L’accertamento </w:t>
      </w:r>
      <w:r w:rsidR="001B22E9" w:rsidRPr="00E4396E">
        <w:t>avrebbe</w:t>
      </w:r>
      <w:r w:rsidRPr="00E4396E">
        <w:t xml:space="preserve"> dunque ad oggetto, come detto nel testo, la sussistenza della pretesa alla produzione dell’effetto/non produzione dell’ef</w:t>
      </w:r>
      <w:r w:rsidRPr="00E4396E">
        <w:softHyphen/>
        <w:t>fetto, al netto della eventuale discrezionalità non esaurita (quindi, la sussistenza della situazione di pretesa, nei limiti in cui essa risulti confermata</w:t>
      </w:r>
      <w:r w:rsidRPr="00E4396E" w:rsidDel="00674FE2">
        <w:t xml:space="preserve"> </w:t>
      </w:r>
      <w:r w:rsidRPr="00E4396E">
        <w:t>dall’accer</w:t>
      </w:r>
      <w:r w:rsidRPr="00E4396E">
        <w:softHyphen/>
        <w:t xml:space="preserve">tamento sulla ulteriore parte della fattispecie con contestuale </w:t>
      </w:r>
      <w:r w:rsidR="004B3297" w:rsidRPr="00E4396E">
        <w:t>‘</w:t>
      </w:r>
      <w:r w:rsidRPr="00E4396E">
        <w:t>staticizzazione</w:t>
      </w:r>
      <w:r w:rsidR="004B3297" w:rsidRPr="00E4396E">
        <w:t>’</w:t>
      </w:r>
      <w:r w:rsidRPr="00E4396E">
        <w:t xml:space="preserve"> del suo elemento ‘elastico’, riferito alla scelta discrezionale residua). Sul punto, cfr. </w:t>
      </w:r>
      <w:r w:rsidRPr="00E4396E">
        <w:rPr>
          <w:i/>
        </w:rPr>
        <w:t>Potere</w:t>
      </w:r>
      <w:r w:rsidRPr="00E4396E">
        <w:t>, II-1, cit., pp. 138 ss. e 234 ss.</w:t>
      </w:r>
    </w:p>
  </w:footnote>
  <w:footnote w:id="34">
    <w:p w14:paraId="00479C04" w14:textId="422DD1D1" w:rsidR="00BD7546" w:rsidRPr="00E4396E" w:rsidRDefault="00BD7546" w:rsidP="001B22E9">
      <w:pPr>
        <w:pStyle w:val="Testonotaapidipagina"/>
      </w:pPr>
      <w:r w:rsidRPr="00E4396E">
        <w:rPr>
          <w:rStyle w:val="Rimandonotaapidipagina"/>
        </w:rPr>
        <w:footnoteRef/>
      </w:r>
      <w:r w:rsidRPr="00E4396E">
        <w:t xml:space="preserve"> Sui profili che seguono cfr., ampiamente, </w:t>
      </w:r>
      <w:r w:rsidRPr="00E4396E">
        <w:rPr>
          <w:i/>
          <w:iCs/>
        </w:rPr>
        <w:t>Potere e situazioni soggettive</w:t>
      </w:r>
      <w:r w:rsidRPr="00E4396E">
        <w:t xml:space="preserve">, </w:t>
      </w:r>
      <w:r w:rsidR="00287EAA" w:rsidRPr="00E4396E">
        <w:t>II-1, cit., pp. 78 ss. e 83 ss.;</w:t>
      </w:r>
      <w:r w:rsidR="004C4E7E" w:rsidRPr="00E4396E">
        <w:t xml:space="preserve"> </w:t>
      </w:r>
      <w:r w:rsidR="0044415A" w:rsidRPr="00E4396E">
        <w:t xml:space="preserve">nonché il saggio </w:t>
      </w:r>
      <w:r w:rsidR="00287EAA" w:rsidRPr="00E4396E">
        <w:rPr>
          <w:i/>
          <w:iCs/>
        </w:rPr>
        <w:t>Potere e situazioni giuridiche soggettive</w:t>
      </w:r>
      <w:r w:rsidR="00287EAA" w:rsidRPr="00E4396E">
        <w:t>, cit., p. 48 ss.</w:t>
      </w:r>
    </w:p>
  </w:footnote>
  <w:footnote w:id="35">
    <w:p w14:paraId="0FF4F6A2" w14:textId="0A1D0AE7" w:rsidR="00000BD4" w:rsidRPr="00E4396E" w:rsidRDefault="00000BD4" w:rsidP="00000BD4">
      <w:pPr>
        <w:rPr>
          <w:sz w:val="20"/>
          <w:szCs w:val="20"/>
        </w:rPr>
      </w:pPr>
      <w:r w:rsidRPr="00E4396E">
        <w:rPr>
          <w:rStyle w:val="Rimandonotaapidipagina"/>
          <w:sz w:val="20"/>
          <w:szCs w:val="20"/>
        </w:rPr>
        <w:footnoteRef/>
      </w:r>
      <w:r w:rsidRPr="00E4396E">
        <w:rPr>
          <w:sz w:val="20"/>
          <w:szCs w:val="20"/>
        </w:rPr>
        <w:t xml:space="preserve"> Allo stesso modo, se l’inadempimento persiste dopo la sentenza, sarà possibile ottenerne l’esecuzione coattiva adendo il giudice dell’ottemperanza, a prescindere dai motivi in base ai quali un nuovo atto lesivo sia stato adottato. Oggetto di accertamento giudiziale, e quindi del giudicato, è stata, infatti, interamente la situazione di pretesa sostanziale, non i singoli motivi di ricorso. L’inadempimento successivo si appunta, allora, comunque sulla violazione della portata precettiva della sentenza, a prescindere dai motivi su cui esso si fonda, non rappresentando, questi ultimi, nella ricostruzione qui portata avanti, l’oggetto del giudizio amministrativo.</w:t>
      </w:r>
      <w:r w:rsidR="0024709A" w:rsidRPr="00E4396E">
        <w:rPr>
          <w:sz w:val="20"/>
          <w:szCs w:val="20"/>
        </w:rPr>
        <w:t xml:space="preserve"> Sul punto, cfr. ancora </w:t>
      </w:r>
      <w:r w:rsidR="0024709A" w:rsidRPr="00E4396E">
        <w:rPr>
          <w:i/>
          <w:iCs/>
          <w:sz w:val="20"/>
          <w:szCs w:val="20"/>
        </w:rPr>
        <w:t>Poter</w:t>
      </w:r>
      <w:r w:rsidR="0024709A" w:rsidRPr="00E4396E">
        <w:rPr>
          <w:sz w:val="20"/>
          <w:szCs w:val="20"/>
        </w:rPr>
        <w:t>, II-1, cit., p. 243 ss.; ivi i relativi riferimenti.</w:t>
      </w:r>
    </w:p>
  </w:footnote>
  <w:footnote w:id="36">
    <w:p w14:paraId="23709505" w14:textId="61055567" w:rsidR="00EE4BCB" w:rsidRPr="00E4396E" w:rsidRDefault="00A32951" w:rsidP="001B22E9">
      <w:pPr>
        <w:pStyle w:val="Testonotaapidipagina"/>
        <w:rPr>
          <w:spacing w:val="2"/>
        </w:rPr>
      </w:pPr>
      <w:r w:rsidRPr="00E4396E">
        <w:rPr>
          <w:rStyle w:val="Rimandonotaapidipagina"/>
        </w:rPr>
        <w:footnoteRef/>
      </w:r>
      <w:r w:rsidRPr="00E4396E">
        <w:t xml:space="preserve"> </w:t>
      </w:r>
      <w:r w:rsidR="004C4E7E" w:rsidRPr="00E4396E">
        <w:rPr>
          <w:spacing w:val="2"/>
        </w:rPr>
        <w:t xml:space="preserve">Una </w:t>
      </w:r>
      <w:r w:rsidR="004C4E7E" w:rsidRPr="00E4396E">
        <w:rPr>
          <w:iCs/>
          <w:spacing w:val="2"/>
        </w:rPr>
        <w:t>preclusione sostanziale</w:t>
      </w:r>
      <w:r w:rsidR="004C4E7E" w:rsidRPr="00E4396E">
        <w:rPr>
          <w:spacing w:val="2"/>
        </w:rPr>
        <w:t xml:space="preserve">, </w:t>
      </w:r>
      <w:r w:rsidR="00FE3B97" w:rsidRPr="00E4396E">
        <w:rPr>
          <w:spacing w:val="2"/>
        </w:rPr>
        <w:t>in altri termini</w:t>
      </w:r>
      <w:r w:rsidR="004C4E7E" w:rsidRPr="00E4396E">
        <w:rPr>
          <w:spacing w:val="2"/>
        </w:rPr>
        <w:t>, finisce inevitabilmente per presentare problematiche in ordine alla parità delle parti (di tutte le parti, inclusi i controinteressati) rispetto alla preclusione stessa</w:t>
      </w:r>
      <w:r w:rsidR="00EE4BCB" w:rsidRPr="00E4396E">
        <w:rPr>
          <w:spacing w:val="2"/>
        </w:rPr>
        <w:t>;</w:t>
      </w:r>
      <w:r w:rsidR="004C4E7E" w:rsidRPr="00E4396E">
        <w:rPr>
          <w:spacing w:val="2"/>
        </w:rPr>
        <w:t xml:space="preserve"> all’individuazione dell’effettiva direzione della conseguenza preclusiva (a tutto voler concedere, la preclusione è pensata in relazione alla mera negazione di produzione di un singolo effetto; nel momento in cui vi è la possibilità di produrre una pluralità di effetti, soprattutto per l’ipotesi in cui debba intervenire una scelta discrezionale, la questione si complica)</w:t>
      </w:r>
      <w:r w:rsidR="00EE4BCB" w:rsidRPr="00E4396E">
        <w:rPr>
          <w:spacing w:val="2"/>
        </w:rPr>
        <w:t>; nonché al rapporto tra motivi in contrasto logico fra loro</w:t>
      </w:r>
      <w:r w:rsidR="001D7E7B" w:rsidRPr="00E4396E">
        <w:rPr>
          <w:spacing w:val="2"/>
        </w:rPr>
        <w:t>, rispetto all’organo decidente nel procedimento, che motiva sulla decisione</w:t>
      </w:r>
      <w:r w:rsidR="00EE4BCB" w:rsidRPr="00E4396E">
        <w:rPr>
          <w:spacing w:val="2"/>
        </w:rPr>
        <w:t xml:space="preserve"> (nell’ipotesi in cui, ad es., la P.A. ponga a fondamento della decisione il motivo x, che presuppone l’insussistenza del motivo y, la preclusione su quest’ultimo sarebbe logicamente incoerente con la circostanza che quel motivo non poteva essere considerato sussistente dall’Amministrazione se non contraddicendo il motivo contrario)</w:t>
      </w:r>
      <w:r w:rsidR="004C4E7E" w:rsidRPr="00E4396E">
        <w:rPr>
          <w:spacing w:val="2"/>
        </w:rPr>
        <w:t>. Si finisce c</w:t>
      </w:r>
      <w:r w:rsidR="00EE4BCB" w:rsidRPr="00E4396E">
        <w:rPr>
          <w:spacing w:val="2"/>
        </w:rPr>
        <w:t>osì</w:t>
      </w:r>
      <w:r w:rsidR="004C4E7E" w:rsidRPr="00E4396E">
        <w:rPr>
          <w:spacing w:val="2"/>
        </w:rPr>
        <w:t xml:space="preserve">, nella sostanza, per adottare una logica (quantomeno latamente) </w:t>
      </w:r>
      <w:r w:rsidR="004C4E7E" w:rsidRPr="00E4396E">
        <w:rPr>
          <w:i/>
          <w:iCs/>
          <w:spacing w:val="2"/>
        </w:rPr>
        <w:t>sanzionatoria</w:t>
      </w:r>
      <w:r w:rsidR="004C4E7E" w:rsidRPr="00E4396E">
        <w:rPr>
          <w:spacing w:val="2"/>
        </w:rPr>
        <w:t xml:space="preserve"> nei confronti della P.A. nell’esercizio del potere, rispetto alla quale la parte interessata può trarre vantaggio: ne deriva così una </w:t>
      </w:r>
      <w:r w:rsidR="004C4E7E" w:rsidRPr="00E4396E">
        <w:rPr>
          <w:i/>
          <w:spacing w:val="2"/>
        </w:rPr>
        <w:t>supervalutazione</w:t>
      </w:r>
      <w:r w:rsidR="004C4E7E" w:rsidRPr="00E4396E">
        <w:rPr>
          <w:spacing w:val="2"/>
        </w:rPr>
        <w:t xml:space="preserve"> delle ragioni del privato ricorrente, che, nell’ambito di tale rappresentazione, potrebbe vedersi riconosciuto più di quanto gli spetta; e una conseguente svalutazione della dialettica giudiziale in ordine alla rappresentazione della controversia, e così delle ragioni di tutte le parti, con particolare rilievo, come detto, dei controinteressati, che dell’esercizio del potere non possono disporre.</w:t>
      </w:r>
    </w:p>
    <w:p w14:paraId="45A59624" w14:textId="5950C361" w:rsidR="00A32951" w:rsidRPr="00E4396E" w:rsidRDefault="004C4E7E" w:rsidP="001B22E9">
      <w:pPr>
        <w:pStyle w:val="Testonotaapidipagina"/>
      </w:pPr>
      <w:r w:rsidRPr="00E4396E">
        <w:t>Sul punto, si rimanda a quanto da noi ampiamente considerato in</w:t>
      </w:r>
      <w:r w:rsidRPr="00E4396E">
        <w:rPr>
          <w:spacing w:val="2"/>
        </w:rPr>
        <w:t xml:space="preserve"> </w:t>
      </w:r>
      <w:r w:rsidRPr="00E4396E">
        <w:rPr>
          <w:i/>
          <w:spacing w:val="2"/>
        </w:rPr>
        <w:t>Potere</w:t>
      </w:r>
      <w:r w:rsidRPr="00E4396E">
        <w:rPr>
          <w:spacing w:val="2"/>
        </w:rPr>
        <w:t xml:space="preserve">, II-1, cit., p. 7 ss.; </w:t>
      </w:r>
      <w:r w:rsidR="004B3297" w:rsidRPr="00E4396E">
        <w:rPr>
          <w:spacing w:val="2"/>
        </w:rPr>
        <w:t xml:space="preserve">nonché in </w:t>
      </w:r>
      <w:r w:rsidRPr="00E4396E">
        <w:rPr>
          <w:i/>
          <w:spacing w:val="2"/>
        </w:rPr>
        <w:t>Considerazioni su preavviso di rigetto e preclusioni</w:t>
      </w:r>
      <w:r w:rsidRPr="00E4396E">
        <w:rPr>
          <w:spacing w:val="2"/>
        </w:rPr>
        <w:t xml:space="preserve">, in </w:t>
      </w:r>
      <w:r w:rsidRPr="00E4396E">
        <w:rPr>
          <w:i/>
          <w:spacing w:val="2"/>
        </w:rPr>
        <w:t>Dir. e proc. amm.</w:t>
      </w:r>
      <w:r w:rsidRPr="00E4396E">
        <w:rPr>
          <w:spacing w:val="2"/>
        </w:rPr>
        <w:t>, 2024, p. 533 ss.</w:t>
      </w:r>
    </w:p>
  </w:footnote>
  <w:footnote w:id="37">
    <w:p w14:paraId="6445C245" w14:textId="105C07FF" w:rsidR="004C4E7E" w:rsidRPr="00E4396E" w:rsidRDefault="004C4E7E" w:rsidP="001B22E9">
      <w:pPr>
        <w:pStyle w:val="Testonotaapidipagina"/>
      </w:pPr>
      <w:r w:rsidRPr="00E4396E">
        <w:rPr>
          <w:rStyle w:val="Rimandonotaapidipagina"/>
        </w:rPr>
        <w:footnoteRef/>
      </w:r>
      <w:r w:rsidRPr="00E4396E">
        <w:t xml:space="preserve"> La modifica intervenuta sull’art. 10 </w:t>
      </w:r>
      <w:r w:rsidRPr="00E4396E">
        <w:rPr>
          <w:i/>
        </w:rPr>
        <w:t>bis</w:t>
      </w:r>
      <w:r w:rsidRPr="00E4396E">
        <w:t>, l. n. 241/1990, ad opera della l. 11 settembre 2020, n. 120</w:t>
      </w:r>
      <w:r w:rsidR="004B3297" w:rsidRPr="00E4396E">
        <w:t xml:space="preserve">, </w:t>
      </w:r>
      <w:r w:rsidRPr="00E4396E">
        <w:t>ha previsto che, in caso di annullamento in giudizio del provvedimento adottato a seguito della dialettica procedimentale preavviso di rigetto-osservazioni dell’istante-risposta dell’Amministrazione in motivazione, la P.A., nell’esercitare nuovamente il suo potere, “</w:t>
      </w:r>
      <w:r w:rsidRPr="00E4396E">
        <w:rPr>
          <w:i/>
        </w:rPr>
        <w:t>non possa addurre per la prima volta motivi ostativi già emergenti dall’istruttoria del provvedimento annullato</w:t>
      </w:r>
      <w:r w:rsidRPr="00E4396E">
        <w:t xml:space="preserve">”. La previsione in esame ha così introdotto </w:t>
      </w:r>
      <w:r w:rsidR="004B3297" w:rsidRPr="00E4396E">
        <w:t xml:space="preserve">sì </w:t>
      </w:r>
      <w:r w:rsidRPr="00E4396E">
        <w:t xml:space="preserve">una preclusione sostanziale, ma questa, oltre ad operare nel riesercizio del potere a seguito dell’annullamento giurisdizionale dell’atto (senza dunque toccare non solo lo svolgimento del giudizio di condanna ad un </w:t>
      </w:r>
      <w:r w:rsidRPr="00E4396E">
        <w:rPr>
          <w:i/>
        </w:rPr>
        <w:t>facere</w:t>
      </w:r>
      <w:r w:rsidRPr="00E4396E">
        <w:t xml:space="preserve">, inclusa l’allegazione di elementi in giudizio e la portata precettiva della relativa sentenza, ma neppure l’esercizio dei poteri di secondo grado), viene riferita ai soli casi in cui possa esservi in astratto (i procedimenti ad istanza di parte), e si sia effettivamente svolta in concreto, la dialettica procedimentale indicata, e – soprattutto – lasciando fuori dalla conseguenza preclusiva qualsiasi elemento che non possa considerarsi, secondo l’espressione della norma, </w:t>
      </w:r>
      <w:r w:rsidRPr="00E4396E">
        <w:rPr>
          <w:i/>
        </w:rPr>
        <w:t>emergente</w:t>
      </w:r>
      <w:r w:rsidRPr="00E4396E">
        <w:t xml:space="preserve"> dall’istruttoria già compiuta. Si esclude così, per tale via, che possano ricevere positivo riscontro tutte le tesi in cui viene ipotizzata una preclusione di carattere sostanziale più o meno generale, che si verifichi </w:t>
      </w:r>
      <w:r w:rsidRPr="00E4396E">
        <w:rPr>
          <w:i/>
        </w:rPr>
        <w:t>one shot</w:t>
      </w:r>
      <w:r w:rsidRPr="00E4396E">
        <w:t xml:space="preserve">, qualsiasi ne sia il fondamento: se infatti una preclusione, riferibile ad un solo atto di esercizio del potere, è espressamente disciplinata, e limitata, nei termini di cui all’art. 10 </w:t>
      </w:r>
      <w:r w:rsidRPr="00E4396E">
        <w:rPr>
          <w:i/>
        </w:rPr>
        <w:t>bis</w:t>
      </w:r>
      <w:r w:rsidRPr="00E4396E">
        <w:t xml:space="preserve">, l. n. 241/1990, non può ammettersi che un’analoga preclusione, avente portata più pregnante e generalizzata, trovi riscontro nel nostro ordinamento; opinando in quest’ultimo senso, il dettato del nuovo periodo dell’art. 10 </w:t>
      </w:r>
      <w:r w:rsidRPr="00E4396E">
        <w:rPr>
          <w:i/>
        </w:rPr>
        <w:t>bis</w:t>
      </w:r>
      <w:r w:rsidRPr="00E4396E">
        <w:t xml:space="preserve"> risulterebbe sprovvisto di qualsiasi valore precettivo. Di talché, l’art. 10 </w:t>
      </w:r>
      <w:r w:rsidRPr="00E4396E">
        <w:rPr>
          <w:i/>
        </w:rPr>
        <w:t>bis</w:t>
      </w:r>
      <w:r w:rsidRPr="00E4396E">
        <w:t>, nella sua rinnovata formulazione, più che costituire il fondamento su cui basare una generale connotazione preclusiva del riesercizio del potere, finisce allora in realtà per sancire, attraverso una preclusione limitata, il principio generale opposto; nel senso che, cioè, il riesercizio del potere, a seguito dell’annullamento dell’atto, non sarà mai precluso dal mero fatto di essere già stato esercitato, se non negli specifici termini e limiti previsti dalla norma (n</w:t>
      </w:r>
      <w:r w:rsidRPr="00E4396E">
        <w:rPr>
          <w:rFonts w:eastAsia="Garamond  (simoncini)"/>
        </w:rPr>
        <w:t xml:space="preserve">el medesimo senso, cfr. </w:t>
      </w:r>
      <w:r w:rsidRPr="00E4396E">
        <w:rPr>
          <w:rFonts w:eastAsia="Garamond  (simoncini)"/>
          <w:smallCaps/>
        </w:rPr>
        <w:t>V. Cerulli Irelli</w:t>
      </w:r>
      <w:r w:rsidRPr="00E4396E">
        <w:rPr>
          <w:rFonts w:eastAsia="Garamond  (simoncini)"/>
        </w:rPr>
        <w:t xml:space="preserve">, </w:t>
      </w:r>
      <w:r w:rsidRPr="00E4396E">
        <w:rPr>
          <w:rFonts w:eastAsia="Garamond"/>
          <w:i/>
        </w:rPr>
        <w:t>Verso nuovi assetti del potere amministrativo e della tutela delle situazioni protette?</w:t>
      </w:r>
      <w:r w:rsidRPr="00E4396E">
        <w:rPr>
          <w:rFonts w:eastAsia="Garamond  (simoncini)"/>
        </w:rPr>
        <w:t xml:space="preserve">, in </w:t>
      </w:r>
      <w:r w:rsidRPr="00E4396E">
        <w:rPr>
          <w:rFonts w:eastAsia="Garamond"/>
          <w:i/>
        </w:rPr>
        <w:t>Pers. Amm.</w:t>
      </w:r>
      <w:r w:rsidRPr="00E4396E">
        <w:rPr>
          <w:rFonts w:eastAsia="Garamond  (simoncini)"/>
        </w:rPr>
        <w:t>, 2/2021, p. 525). Cfr. ancora</w:t>
      </w:r>
      <w:r w:rsidR="00B33647" w:rsidRPr="00E4396E">
        <w:rPr>
          <w:rFonts w:eastAsia="Garamond  (simoncini)"/>
        </w:rPr>
        <w:t xml:space="preserve"> </w:t>
      </w:r>
      <w:r w:rsidR="00B33647" w:rsidRPr="00E4396E">
        <w:rPr>
          <w:i/>
          <w:spacing w:val="2"/>
        </w:rPr>
        <w:t>Potere</w:t>
      </w:r>
      <w:r w:rsidR="00B33647" w:rsidRPr="00E4396E">
        <w:rPr>
          <w:spacing w:val="2"/>
        </w:rPr>
        <w:t xml:space="preserve">, II-1, </w:t>
      </w:r>
      <w:r w:rsidR="00B33647" w:rsidRPr="00E4396E">
        <w:rPr>
          <w:i/>
          <w:iCs/>
          <w:spacing w:val="2"/>
        </w:rPr>
        <w:t>loc. ult. cit.</w:t>
      </w:r>
      <w:r w:rsidR="00B33647" w:rsidRPr="00E4396E">
        <w:rPr>
          <w:spacing w:val="2"/>
        </w:rPr>
        <w:t xml:space="preserve">; </w:t>
      </w:r>
      <w:r w:rsidR="00B33647" w:rsidRPr="00E4396E">
        <w:rPr>
          <w:i/>
          <w:spacing w:val="2"/>
        </w:rPr>
        <w:t>Considerazioni su preavviso di rigetto e preclusioni</w:t>
      </w:r>
      <w:r w:rsidR="00B33647" w:rsidRPr="00E4396E">
        <w:rPr>
          <w:spacing w:val="2"/>
        </w:rPr>
        <w:t xml:space="preserve">, </w:t>
      </w:r>
      <w:r w:rsidR="00B33647" w:rsidRPr="00E4396E">
        <w:rPr>
          <w:i/>
          <w:iCs/>
          <w:spacing w:val="2"/>
        </w:rPr>
        <w:t>loc. ult. cit.</w:t>
      </w:r>
    </w:p>
  </w:footnote>
  <w:footnote w:id="38">
    <w:p w14:paraId="7C7DB2E0" w14:textId="065AB5C1" w:rsidR="00A32951" w:rsidRPr="00E4396E" w:rsidRDefault="00A32951" w:rsidP="001B22E9">
      <w:pPr>
        <w:pStyle w:val="Testonotaapidipagina"/>
        <w:rPr>
          <w:iCs/>
        </w:rPr>
      </w:pPr>
      <w:r w:rsidRPr="00E4396E">
        <w:rPr>
          <w:rStyle w:val="Rimandonotaapidipagina"/>
        </w:rPr>
        <w:footnoteRef/>
      </w:r>
      <w:r w:rsidRPr="00E4396E">
        <w:t xml:space="preserve"> </w:t>
      </w:r>
      <w:r w:rsidR="00FB42D2" w:rsidRPr="00E4396E">
        <w:t>È stato, infatti, in questo senso condivisibilmente sostenuto che se, all’esito dell’accertamento giudiziale, ciò che emerge è la necessità di rivedere una determinata posizione, perché la scelta precedente si è rivelata errata, la statuizione della sentenza non potrebbe che prevalere sulla preclusione, che con essa altrimenti entrerebbe in contraddizione. La logica dell’accertamento giudiziale, in altri termini, deve prevalere sulle esigenze della preclusione sostanziale, perché la prima, a differenza delle seconde, non deriva da un meccanismo automatico di vincolo scollegato dall’accertamento del bene della vita controverso, ma rapporta il vincolo del riesercizio del potere appunto a tale accertamento sulla pretesa del privato, assicurando la corrispondenza della situazione di fatto al diritto. In giurisprudenza, l’</w:t>
      </w:r>
      <w:r w:rsidR="007F74CA" w:rsidRPr="00E4396E">
        <w:t>impostazione descritta è stata sostenuta</w:t>
      </w:r>
      <w:r w:rsidR="00FB42D2" w:rsidRPr="00E4396E">
        <w:t xml:space="preserve"> in particolare</w:t>
      </w:r>
      <w:r w:rsidR="007F74CA" w:rsidRPr="00E4396E">
        <w:t xml:space="preserve"> nella sent. Cons. St., Sez. VI, n. 3480 del 4 maggio 2022 (di conferma, sul punto, di TAR Lazio, Sez. II, n. 12931 del 14 dicembre 2021)</w:t>
      </w:r>
      <w:r w:rsidR="00DA2648" w:rsidRPr="00E4396E">
        <w:t>; i</w:t>
      </w:r>
      <w:r w:rsidR="00FB42D2" w:rsidRPr="00E4396E">
        <w:t xml:space="preserve">n dottrina, nel medesimo senso, </w:t>
      </w:r>
      <w:r w:rsidR="007F74CA" w:rsidRPr="00E4396E">
        <w:rPr>
          <w:smallCaps/>
        </w:rPr>
        <w:t>F. Trimarchi Banfi</w:t>
      </w:r>
      <w:r w:rsidR="007F74CA" w:rsidRPr="00E4396E">
        <w:t xml:space="preserve">, </w:t>
      </w:r>
      <w:r w:rsidR="007F74CA" w:rsidRPr="00E4396E">
        <w:rPr>
          <w:i/>
        </w:rPr>
        <w:t>La funzione amministrativa dopo la riforma del preavviso di diniego</w:t>
      </w:r>
      <w:r w:rsidR="007F74CA" w:rsidRPr="00E4396E">
        <w:t xml:space="preserve">, in </w:t>
      </w:r>
      <w:r w:rsidR="007F74CA" w:rsidRPr="00E4396E">
        <w:rPr>
          <w:i/>
        </w:rPr>
        <w:t>Dir. proc. amm.</w:t>
      </w:r>
      <w:r w:rsidR="007F74CA" w:rsidRPr="00E4396E">
        <w:t>, 2023, 809 ss.</w:t>
      </w:r>
    </w:p>
  </w:footnote>
  <w:footnote w:id="39">
    <w:p w14:paraId="73E5E10E" w14:textId="49EE97CD" w:rsidR="0043446A" w:rsidRPr="00E4396E" w:rsidRDefault="0043446A" w:rsidP="001B22E9">
      <w:pPr>
        <w:pStyle w:val="Testonotaapidipagina"/>
      </w:pPr>
      <w:r w:rsidRPr="00E4396E">
        <w:rPr>
          <w:rStyle w:val="Rimandonotaapidipagina"/>
        </w:rPr>
        <w:footnoteRef/>
      </w:r>
      <w:r w:rsidRPr="00E4396E">
        <w:t xml:space="preserve"> </w:t>
      </w:r>
      <w:r w:rsidR="00B33647" w:rsidRPr="00E4396E">
        <w:t>Ci si riferisce a Cons. St., sez. VI, n. 1321 del 25 febbraio 2019, per l</w:t>
      </w:r>
      <w:r w:rsidR="002335E7" w:rsidRPr="00E4396E">
        <w:t>’</w:t>
      </w:r>
      <w:r w:rsidR="00B33647" w:rsidRPr="00E4396E">
        <w:t xml:space="preserve">analisi </w:t>
      </w:r>
      <w:r w:rsidR="002335E7" w:rsidRPr="00E4396E">
        <w:t xml:space="preserve">dei cui profili </w:t>
      </w:r>
      <w:r w:rsidR="00B33647" w:rsidRPr="00E4396E">
        <w:t xml:space="preserve">si rinvia, più compiutamente, a </w:t>
      </w:r>
      <w:r w:rsidR="00B33647" w:rsidRPr="00E4396E">
        <w:rPr>
          <w:i/>
          <w:iCs/>
        </w:rPr>
        <w:t>Potere e situazioni soggettive</w:t>
      </w:r>
      <w:r w:rsidR="00B33647" w:rsidRPr="00E4396E">
        <w:t>, I, cit., p. 378 ss.</w:t>
      </w:r>
    </w:p>
  </w:footnote>
  <w:footnote w:id="40">
    <w:p w14:paraId="56425518" w14:textId="25C0492A" w:rsidR="008E1F56" w:rsidRPr="00E4396E" w:rsidRDefault="008E1F56" w:rsidP="001B22E9">
      <w:pPr>
        <w:pStyle w:val="Testonotaapidipagina"/>
      </w:pPr>
      <w:r w:rsidRPr="00E4396E">
        <w:rPr>
          <w:rStyle w:val="Rimandonotaapidipagina"/>
        </w:rPr>
        <w:footnoteRef/>
      </w:r>
      <w:r w:rsidRPr="00E4396E">
        <w:t xml:space="preserve"> </w:t>
      </w:r>
      <w:r w:rsidR="001D2A07" w:rsidRPr="00E4396E">
        <w:t xml:space="preserve">L’illustre Autore, infatti, pur reputando che l’oggetto del giudizio amministrativo non potesse che essere rappresentato dal diritto all’invalidazione dell’atto (cfr. </w:t>
      </w:r>
      <w:r w:rsidR="001D2A07" w:rsidRPr="00E4396E">
        <w:rPr>
          <w:i/>
          <w:iCs/>
        </w:rPr>
        <w:t>supra</w:t>
      </w:r>
      <w:r w:rsidR="001D2A07" w:rsidRPr="00E4396E">
        <w:t>, n. 10), n</w:t>
      </w:r>
      <w:r w:rsidR="0093453A" w:rsidRPr="00E4396E">
        <w:t>eppure</w:t>
      </w:r>
      <w:r w:rsidR="001D2A07" w:rsidRPr="00E4396E">
        <w:t xml:space="preserve"> poteva fare a meno</w:t>
      </w:r>
      <w:r w:rsidR="001D2A07" w:rsidRPr="00E4396E">
        <w:rPr>
          <w:rFonts w:eastAsia="Times"/>
        </w:rPr>
        <w:t xml:space="preserve"> di considerare detto oggetto in relazione all’emersione dell’interesse sostanziale del ricorrente</w:t>
      </w:r>
      <w:r w:rsidR="0093453A" w:rsidRPr="00E4396E">
        <w:rPr>
          <w:rFonts w:eastAsia="Times"/>
        </w:rPr>
        <w:t>,</w:t>
      </w:r>
      <w:r w:rsidR="001D2A07" w:rsidRPr="00E4396E">
        <w:rPr>
          <w:rFonts w:eastAsia="Times"/>
        </w:rPr>
        <w:t xml:space="preserve"> attraverso la valorizzazione, da Egli in particolare effettuata, del momento ordinatorio del giudizio di annullamento (effetto conformativo); che, pur se “troppo poco perché si </w:t>
      </w:r>
      <w:proofErr w:type="spellStart"/>
      <w:r w:rsidR="001D2A07" w:rsidRPr="00E4396E">
        <w:rPr>
          <w:rFonts w:eastAsia="Times"/>
        </w:rPr>
        <w:t>parl</w:t>
      </w:r>
      <w:proofErr w:type="spellEnd"/>
      <w:r w:rsidR="001D2A07" w:rsidRPr="00E4396E">
        <w:rPr>
          <w:rFonts w:eastAsia="Times"/>
        </w:rPr>
        <w:t>[asse] di processo di condanna”, era “abbastanza perché i lineamenti tipici del processo costitutivo ne [uscissero] alterati in alcuni profili” (</w:t>
      </w:r>
      <w:r w:rsidR="001D2A07" w:rsidRPr="00E4396E">
        <w:rPr>
          <w:rFonts w:eastAsia="Times"/>
          <w:i/>
        </w:rPr>
        <w:t>L’appello</w:t>
      </w:r>
      <w:r w:rsidR="003A792A" w:rsidRPr="00E4396E">
        <w:rPr>
          <w:rFonts w:eastAsia="Times"/>
          <w:i/>
        </w:rPr>
        <w:t xml:space="preserve"> nel processo amministrativo</w:t>
      </w:r>
      <w:r w:rsidR="001D2A07" w:rsidRPr="00E4396E">
        <w:rPr>
          <w:rFonts w:eastAsia="Times"/>
        </w:rPr>
        <w:t xml:space="preserve">, cit., p. 26; ancora più netto, sul contenuto condannatorio della sentenza, in </w:t>
      </w:r>
      <w:r w:rsidR="001D2A07" w:rsidRPr="00E4396E">
        <w:rPr>
          <w:rFonts w:eastAsia="Times"/>
          <w:smallCaps/>
        </w:rPr>
        <w:t>Id.</w:t>
      </w:r>
      <w:r w:rsidR="001D2A07" w:rsidRPr="00E4396E">
        <w:rPr>
          <w:rFonts w:eastAsia="Times"/>
        </w:rPr>
        <w:t xml:space="preserve">, </w:t>
      </w:r>
      <w:r w:rsidR="001D2A07" w:rsidRPr="00E4396E">
        <w:rPr>
          <w:rFonts w:eastAsia="Times"/>
          <w:i/>
        </w:rPr>
        <w:t>Giustizia amministrativa</w:t>
      </w:r>
      <w:r w:rsidR="001D2A07" w:rsidRPr="00E4396E">
        <w:rPr>
          <w:rFonts w:eastAsia="Times"/>
        </w:rPr>
        <w:t>, cit., p. 303). È, questa, a nostro avviso, la migliore dimostrazione della tensione tra processo di annullamento e processo di condanna, ove la “alterazione” a cui Ni</w:t>
      </w:r>
      <w:r w:rsidR="001D2A07" w:rsidRPr="00E4396E">
        <w:rPr>
          <w:rFonts w:eastAsia="Times"/>
        </w:rPr>
        <w:softHyphen/>
        <w:t>gro fa riferimento risponde, nella sostanza, all’esigenza di non discostarsi dalla declinazione della situazione giuridica oggetto del giudizio nel senso del diritto all’invalidazione dell’atto, determinata dalla struttura normativa del giudizio amministrativo</w:t>
      </w:r>
      <w:r w:rsidR="007206AB" w:rsidRPr="00E4396E">
        <w:rPr>
          <w:rFonts w:eastAsia="Times"/>
        </w:rPr>
        <w:t xml:space="preserve"> di </w:t>
      </w:r>
      <w:r w:rsidR="001D2A07" w:rsidRPr="00E4396E">
        <w:rPr>
          <w:rFonts w:eastAsia="Times"/>
        </w:rPr>
        <w:t>quell’epoca, senza per questo, però, disconoscere le ragioni dell’interesse sostanziale del privato in seno al giudizio</w:t>
      </w:r>
      <w:r w:rsidR="007206AB" w:rsidRPr="00E4396E">
        <w:rPr>
          <w:rFonts w:eastAsia="Times"/>
        </w:rPr>
        <w:t xml:space="preserve"> stesso</w:t>
      </w:r>
      <w:r w:rsidR="001D2A07" w:rsidRPr="00E4396E">
        <w:rPr>
          <w:rFonts w:eastAsia="Times"/>
        </w:rPr>
        <w:t>.</w:t>
      </w:r>
    </w:p>
  </w:footnote>
  <w:footnote w:id="41">
    <w:p w14:paraId="7E012F53" w14:textId="09B0D18C" w:rsidR="00647BA3" w:rsidRPr="0094447F" w:rsidRDefault="00647BA3" w:rsidP="00647BA3">
      <w:pPr>
        <w:pStyle w:val="Testonotaapidipagina"/>
      </w:pPr>
      <w:r w:rsidRPr="00E4396E">
        <w:rPr>
          <w:rStyle w:val="Rimandonotaapidipagina"/>
        </w:rPr>
        <w:footnoteRef/>
      </w:r>
      <w:r w:rsidRPr="00E4396E">
        <w:t xml:space="preserve"> Possa, cioè, guardare al Codice con “occhi nuovi”, secondo l’auspicio di </w:t>
      </w:r>
      <w:r w:rsidRPr="00E4396E">
        <w:rPr>
          <w:smallCaps/>
        </w:rPr>
        <w:t>A. Romano Tassone</w:t>
      </w:r>
      <w:r w:rsidRPr="00E4396E">
        <w:t xml:space="preserve">, </w:t>
      </w:r>
      <w:r w:rsidRPr="00E4396E">
        <w:rPr>
          <w:i/>
        </w:rPr>
        <w:t>A proposito del Libro II del progetto di Codice del processo amministrativo</w:t>
      </w:r>
      <w:r w:rsidRPr="00E4396E">
        <w:t xml:space="preserve">, in </w:t>
      </w:r>
      <w:r w:rsidRPr="00E4396E">
        <w:rPr>
          <w:i/>
        </w:rPr>
        <w:t>Dir. e proc. amm.</w:t>
      </w:r>
      <w:r w:rsidRPr="00E4396E">
        <w:t>, 2010, p. 1131 ss., cit. p. 1147, il quale reputava possibile, in tal modo, superare l’apparente preminenza del modello del giudizio di impugnazione, che potrebbe ritenersi ancora segnare il dato legislativo, e adottare una lettura della disciplina codicistica relativamente aperta, pienamente consentita dal relativo referente normativo, che permetta di rapportare, finalmente in maniera diretta, il dato sostanziale a quello processuale.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90AC14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4A530EF9"/>
    <w:multiLevelType w:val="hybridMultilevel"/>
    <w:tmpl w:val="8062C7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46842478">
    <w:abstractNumId w:val="1"/>
  </w:num>
  <w:num w:numId="2" w16cid:durableId="8541985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4CB"/>
    <w:rsid w:val="00000BD4"/>
    <w:rsid w:val="000052CA"/>
    <w:rsid w:val="00016F50"/>
    <w:rsid w:val="00030CB2"/>
    <w:rsid w:val="00040FA1"/>
    <w:rsid w:val="0004506C"/>
    <w:rsid w:val="00051E7D"/>
    <w:rsid w:val="00055C73"/>
    <w:rsid w:val="0005610D"/>
    <w:rsid w:val="00056724"/>
    <w:rsid w:val="00066B26"/>
    <w:rsid w:val="0007535B"/>
    <w:rsid w:val="00077F17"/>
    <w:rsid w:val="00084E72"/>
    <w:rsid w:val="000A78A9"/>
    <w:rsid w:val="000B7462"/>
    <w:rsid w:val="000C00B8"/>
    <w:rsid w:val="000C0DCB"/>
    <w:rsid w:val="000C2F3B"/>
    <w:rsid w:val="000C671A"/>
    <w:rsid w:val="000D4C58"/>
    <w:rsid w:val="000D6790"/>
    <w:rsid w:val="000F7551"/>
    <w:rsid w:val="00100338"/>
    <w:rsid w:val="00102399"/>
    <w:rsid w:val="0010523B"/>
    <w:rsid w:val="001106F0"/>
    <w:rsid w:val="0011106B"/>
    <w:rsid w:val="001110FA"/>
    <w:rsid w:val="0011225F"/>
    <w:rsid w:val="00124DBA"/>
    <w:rsid w:val="0013680E"/>
    <w:rsid w:val="00160FB0"/>
    <w:rsid w:val="00170F1C"/>
    <w:rsid w:val="00180FA3"/>
    <w:rsid w:val="00183EF9"/>
    <w:rsid w:val="0019321C"/>
    <w:rsid w:val="001959F2"/>
    <w:rsid w:val="00195ED5"/>
    <w:rsid w:val="001B119B"/>
    <w:rsid w:val="001B22E9"/>
    <w:rsid w:val="001B5B7F"/>
    <w:rsid w:val="001B64D1"/>
    <w:rsid w:val="001C25BE"/>
    <w:rsid w:val="001D2740"/>
    <w:rsid w:val="001D2A07"/>
    <w:rsid w:val="001D38C9"/>
    <w:rsid w:val="001D4FBE"/>
    <w:rsid w:val="001D7E7B"/>
    <w:rsid w:val="001E552C"/>
    <w:rsid w:val="001E58A1"/>
    <w:rsid w:val="001E7E86"/>
    <w:rsid w:val="001F1610"/>
    <w:rsid w:val="001F6743"/>
    <w:rsid w:val="001F6EE8"/>
    <w:rsid w:val="00200862"/>
    <w:rsid w:val="00213A76"/>
    <w:rsid w:val="002204B6"/>
    <w:rsid w:val="00222D7A"/>
    <w:rsid w:val="0022345A"/>
    <w:rsid w:val="0022508B"/>
    <w:rsid w:val="00231B86"/>
    <w:rsid w:val="002335E7"/>
    <w:rsid w:val="00241B9F"/>
    <w:rsid w:val="0024709A"/>
    <w:rsid w:val="00252C2B"/>
    <w:rsid w:val="00266950"/>
    <w:rsid w:val="00271FEF"/>
    <w:rsid w:val="002760AD"/>
    <w:rsid w:val="00285404"/>
    <w:rsid w:val="00287EAA"/>
    <w:rsid w:val="00292A41"/>
    <w:rsid w:val="002A2659"/>
    <w:rsid w:val="002A7B00"/>
    <w:rsid w:val="002B1CC9"/>
    <w:rsid w:val="002C13B6"/>
    <w:rsid w:val="002D1C6F"/>
    <w:rsid w:val="002D4D55"/>
    <w:rsid w:val="002D7A1B"/>
    <w:rsid w:val="002E6AD9"/>
    <w:rsid w:val="002F22EF"/>
    <w:rsid w:val="002F7CC0"/>
    <w:rsid w:val="003216C7"/>
    <w:rsid w:val="00321938"/>
    <w:rsid w:val="0033150B"/>
    <w:rsid w:val="003368C5"/>
    <w:rsid w:val="0035096A"/>
    <w:rsid w:val="003577DA"/>
    <w:rsid w:val="0036259D"/>
    <w:rsid w:val="003730E1"/>
    <w:rsid w:val="003759FD"/>
    <w:rsid w:val="00383A66"/>
    <w:rsid w:val="00392EA3"/>
    <w:rsid w:val="003A1BD6"/>
    <w:rsid w:val="003A6A83"/>
    <w:rsid w:val="003A792A"/>
    <w:rsid w:val="003C0F40"/>
    <w:rsid w:val="003C1B53"/>
    <w:rsid w:val="003D2914"/>
    <w:rsid w:val="003D575A"/>
    <w:rsid w:val="003E02B8"/>
    <w:rsid w:val="003E4293"/>
    <w:rsid w:val="003F60AB"/>
    <w:rsid w:val="004041D3"/>
    <w:rsid w:val="00417CCF"/>
    <w:rsid w:val="00425AC1"/>
    <w:rsid w:val="0043446A"/>
    <w:rsid w:val="00434908"/>
    <w:rsid w:val="004374BA"/>
    <w:rsid w:val="0044415A"/>
    <w:rsid w:val="00451500"/>
    <w:rsid w:val="00455E47"/>
    <w:rsid w:val="00473D0E"/>
    <w:rsid w:val="00475541"/>
    <w:rsid w:val="00480B7D"/>
    <w:rsid w:val="004820EC"/>
    <w:rsid w:val="004A5596"/>
    <w:rsid w:val="004B1D1D"/>
    <w:rsid w:val="004B3297"/>
    <w:rsid w:val="004B7492"/>
    <w:rsid w:val="004C4A72"/>
    <w:rsid w:val="004C4E7E"/>
    <w:rsid w:val="00504BB2"/>
    <w:rsid w:val="005263F0"/>
    <w:rsid w:val="005306E5"/>
    <w:rsid w:val="00537D35"/>
    <w:rsid w:val="00540624"/>
    <w:rsid w:val="00545227"/>
    <w:rsid w:val="0054707E"/>
    <w:rsid w:val="00552B0A"/>
    <w:rsid w:val="00554B4B"/>
    <w:rsid w:val="00567C50"/>
    <w:rsid w:val="0057634A"/>
    <w:rsid w:val="0059663A"/>
    <w:rsid w:val="00597D01"/>
    <w:rsid w:val="005A4068"/>
    <w:rsid w:val="005B2555"/>
    <w:rsid w:val="005C173F"/>
    <w:rsid w:val="005C53EA"/>
    <w:rsid w:val="005C72BC"/>
    <w:rsid w:val="005C74E9"/>
    <w:rsid w:val="005D2B73"/>
    <w:rsid w:val="005D39D5"/>
    <w:rsid w:val="005E1322"/>
    <w:rsid w:val="005E1898"/>
    <w:rsid w:val="005E2E51"/>
    <w:rsid w:val="005E710D"/>
    <w:rsid w:val="005F3419"/>
    <w:rsid w:val="0062124E"/>
    <w:rsid w:val="00627D7F"/>
    <w:rsid w:val="00643A4A"/>
    <w:rsid w:val="00647BA3"/>
    <w:rsid w:val="00655BF5"/>
    <w:rsid w:val="00657AE6"/>
    <w:rsid w:val="00674846"/>
    <w:rsid w:val="00675DA0"/>
    <w:rsid w:val="006852D8"/>
    <w:rsid w:val="006921C3"/>
    <w:rsid w:val="006B1506"/>
    <w:rsid w:val="006B7AA2"/>
    <w:rsid w:val="006C1515"/>
    <w:rsid w:val="006C46B6"/>
    <w:rsid w:val="006D3C3E"/>
    <w:rsid w:val="006E4D9C"/>
    <w:rsid w:val="006F529C"/>
    <w:rsid w:val="006F7C0F"/>
    <w:rsid w:val="006F7C74"/>
    <w:rsid w:val="00703C51"/>
    <w:rsid w:val="0070570F"/>
    <w:rsid w:val="00705801"/>
    <w:rsid w:val="00716875"/>
    <w:rsid w:val="0071724A"/>
    <w:rsid w:val="007206AB"/>
    <w:rsid w:val="00721AAA"/>
    <w:rsid w:val="00742BF3"/>
    <w:rsid w:val="00744083"/>
    <w:rsid w:val="00744C71"/>
    <w:rsid w:val="00745506"/>
    <w:rsid w:val="00746A74"/>
    <w:rsid w:val="007503B3"/>
    <w:rsid w:val="00753E46"/>
    <w:rsid w:val="00763206"/>
    <w:rsid w:val="00770D1C"/>
    <w:rsid w:val="0077487E"/>
    <w:rsid w:val="00777193"/>
    <w:rsid w:val="00791C3F"/>
    <w:rsid w:val="00793C05"/>
    <w:rsid w:val="007A4463"/>
    <w:rsid w:val="007C2F2C"/>
    <w:rsid w:val="007D0AB1"/>
    <w:rsid w:val="007E02E4"/>
    <w:rsid w:val="007E42EF"/>
    <w:rsid w:val="007F74CA"/>
    <w:rsid w:val="008005B2"/>
    <w:rsid w:val="0080594B"/>
    <w:rsid w:val="00812AAA"/>
    <w:rsid w:val="00817DB8"/>
    <w:rsid w:val="008228B6"/>
    <w:rsid w:val="00825DFB"/>
    <w:rsid w:val="00831313"/>
    <w:rsid w:val="00833BD7"/>
    <w:rsid w:val="00836446"/>
    <w:rsid w:val="00853B87"/>
    <w:rsid w:val="00855B55"/>
    <w:rsid w:val="008638EF"/>
    <w:rsid w:val="00867479"/>
    <w:rsid w:val="0087151A"/>
    <w:rsid w:val="008777A0"/>
    <w:rsid w:val="008900A3"/>
    <w:rsid w:val="00896F7F"/>
    <w:rsid w:val="008A6C48"/>
    <w:rsid w:val="008B30F4"/>
    <w:rsid w:val="008B736F"/>
    <w:rsid w:val="008C1D74"/>
    <w:rsid w:val="008D7320"/>
    <w:rsid w:val="008D7C00"/>
    <w:rsid w:val="008E1F56"/>
    <w:rsid w:val="008F65F4"/>
    <w:rsid w:val="00904BB7"/>
    <w:rsid w:val="00906669"/>
    <w:rsid w:val="00923D43"/>
    <w:rsid w:val="0093453A"/>
    <w:rsid w:val="009377D3"/>
    <w:rsid w:val="0094447F"/>
    <w:rsid w:val="00952579"/>
    <w:rsid w:val="00957726"/>
    <w:rsid w:val="009669F4"/>
    <w:rsid w:val="00973122"/>
    <w:rsid w:val="009A7D0D"/>
    <w:rsid w:val="009B3CD3"/>
    <w:rsid w:val="009B4C91"/>
    <w:rsid w:val="009B7E0E"/>
    <w:rsid w:val="009D3335"/>
    <w:rsid w:val="009D6052"/>
    <w:rsid w:val="009F55FA"/>
    <w:rsid w:val="009F79DF"/>
    <w:rsid w:val="00A02459"/>
    <w:rsid w:val="00A069BD"/>
    <w:rsid w:val="00A06B7B"/>
    <w:rsid w:val="00A166F8"/>
    <w:rsid w:val="00A32951"/>
    <w:rsid w:val="00A44A95"/>
    <w:rsid w:val="00A65191"/>
    <w:rsid w:val="00A71172"/>
    <w:rsid w:val="00A71180"/>
    <w:rsid w:val="00A84457"/>
    <w:rsid w:val="00A86EB7"/>
    <w:rsid w:val="00A90753"/>
    <w:rsid w:val="00A91486"/>
    <w:rsid w:val="00A91CD0"/>
    <w:rsid w:val="00A95016"/>
    <w:rsid w:val="00A96F52"/>
    <w:rsid w:val="00AD5A02"/>
    <w:rsid w:val="00AE3AE5"/>
    <w:rsid w:val="00AF03F5"/>
    <w:rsid w:val="00B060AD"/>
    <w:rsid w:val="00B2187D"/>
    <w:rsid w:val="00B3224E"/>
    <w:rsid w:val="00B33647"/>
    <w:rsid w:val="00B34F48"/>
    <w:rsid w:val="00B43C50"/>
    <w:rsid w:val="00B4673E"/>
    <w:rsid w:val="00B46A93"/>
    <w:rsid w:val="00B66D7B"/>
    <w:rsid w:val="00B70172"/>
    <w:rsid w:val="00B7491A"/>
    <w:rsid w:val="00B868E0"/>
    <w:rsid w:val="00B90104"/>
    <w:rsid w:val="00B96FC9"/>
    <w:rsid w:val="00BA0D72"/>
    <w:rsid w:val="00BA4CD8"/>
    <w:rsid w:val="00BA735B"/>
    <w:rsid w:val="00BB1194"/>
    <w:rsid w:val="00BC6922"/>
    <w:rsid w:val="00BD3BC1"/>
    <w:rsid w:val="00BD7546"/>
    <w:rsid w:val="00BE16E3"/>
    <w:rsid w:val="00BE219C"/>
    <w:rsid w:val="00BE37BE"/>
    <w:rsid w:val="00C010A6"/>
    <w:rsid w:val="00C018A7"/>
    <w:rsid w:val="00C03E7A"/>
    <w:rsid w:val="00C211B7"/>
    <w:rsid w:val="00C30920"/>
    <w:rsid w:val="00C370D3"/>
    <w:rsid w:val="00C445FC"/>
    <w:rsid w:val="00C53538"/>
    <w:rsid w:val="00C539AC"/>
    <w:rsid w:val="00C5663B"/>
    <w:rsid w:val="00C57A82"/>
    <w:rsid w:val="00C83B64"/>
    <w:rsid w:val="00CB31B7"/>
    <w:rsid w:val="00CD6E23"/>
    <w:rsid w:val="00CE56F1"/>
    <w:rsid w:val="00CF088D"/>
    <w:rsid w:val="00D14B7E"/>
    <w:rsid w:val="00D44C63"/>
    <w:rsid w:val="00D51231"/>
    <w:rsid w:val="00D57FC5"/>
    <w:rsid w:val="00D70EE7"/>
    <w:rsid w:val="00D71756"/>
    <w:rsid w:val="00D86E87"/>
    <w:rsid w:val="00D945FD"/>
    <w:rsid w:val="00DA0D71"/>
    <w:rsid w:val="00DA2648"/>
    <w:rsid w:val="00DA5E0D"/>
    <w:rsid w:val="00DB6915"/>
    <w:rsid w:val="00DD7A62"/>
    <w:rsid w:val="00DE1D66"/>
    <w:rsid w:val="00DF11C2"/>
    <w:rsid w:val="00DF19A2"/>
    <w:rsid w:val="00DF67BE"/>
    <w:rsid w:val="00E01944"/>
    <w:rsid w:val="00E149BD"/>
    <w:rsid w:val="00E168B5"/>
    <w:rsid w:val="00E231C6"/>
    <w:rsid w:val="00E332DF"/>
    <w:rsid w:val="00E41061"/>
    <w:rsid w:val="00E4396E"/>
    <w:rsid w:val="00E5340E"/>
    <w:rsid w:val="00E53F80"/>
    <w:rsid w:val="00E6180D"/>
    <w:rsid w:val="00E6195A"/>
    <w:rsid w:val="00E63A8D"/>
    <w:rsid w:val="00E713A3"/>
    <w:rsid w:val="00E750A5"/>
    <w:rsid w:val="00E776B0"/>
    <w:rsid w:val="00E83C07"/>
    <w:rsid w:val="00E83EE9"/>
    <w:rsid w:val="00E85861"/>
    <w:rsid w:val="00E86EBB"/>
    <w:rsid w:val="00E924E7"/>
    <w:rsid w:val="00E94B9C"/>
    <w:rsid w:val="00E9567D"/>
    <w:rsid w:val="00EA023C"/>
    <w:rsid w:val="00EA2C5B"/>
    <w:rsid w:val="00EC3569"/>
    <w:rsid w:val="00EC4985"/>
    <w:rsid w:val="00ED34CB"/>
    <w:rsid w:val="00EE1068"/>
    <w:rsid w:val="00EE2869"/>
    <w:rsid w:val="00EE4BCB"/>
    <w:rsid w:val="00EF0F86"/>
    <w:rsid w:val="00EF5F10"/>
    <w:rsid w:val="00F04D48"/>
    <w:rsid w:val="00F458C4"/>
    <w:rsid w:val="00F51DBF"/>
    <w:rsid w:val="00F529CB"/>
    <w:rsid w:val="00F72D80"/>
    <w:rsid w:val="00F7724E"/>
    <w:rsid w:val="00F869CE"/>
    <w:rsid w:val="00F92D2C"/>
    <w:rsid w:val="00F934E5"/>
    <w:rsid w:val="00F95695"/>
    <w:rsid w:val="00FA2249"/>
    <w:rsid w:val="00FA3691"/>
    <w:rsid w:val="00FB286A"/>
    <w:rsid w:val="00FB42D2"/>
    <w:rsid w:val="00FB7819"/>
    <w:rsid w:val="00FC28FC"/>
    <w:rsid w:val="00FC290E"/>
    <w:rsid w:val="00FC58AE"/>
    <w:rsid w:val="00FD2D86"/>
    <w:rsid w:val="00FE3B97"/>
    <w:rsid w:val="00FE7028"/>
    <w:rsid w:val="00FF28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E0EAA"/>
  <w15:chartTrackingRefBased/>
  <w15:docId w15:val="{39B74CA9-BF5A-4BFD-8B72-730CDAA98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E37BE"/>
    <w:pPr>
      <w:ind w:left="720"/>
      <w:contextualSpacing/>
    </w:pPr>
  </w:style>
  <w:style w:type="paragraph" w:styleId="Testonotaapidipagina">
    <w:name w:val="footnote text"/>
    <w:basedOn w:val="Normale"/>
    <w:link w:val="TestonotaapidipaginaCarattere"/>
    <w:uiPriority w:val="99"/>
    <w:unhideWhenUsed/>
    <w:qFormat/>
    <w:rsid w:val="00BE37BE"/>
    <w:rPr>
      <w:sz w:val="20"/>
      <w:szCs w:val="20"/>
    </w:rPr>
  </w:style>
  <w:style w:type="character" w:customStyle="1" w:styleId="TestonotaapidipaginaCarattere">
    <w:name w:val="Testo nota a piè di pagina Carattere"/>
    <w:basedOn w:val="Carpredefinitoparagrafo"/>
    <w:link w:val="Testonotaapidipagina"/>
    <w:uiPriority w:val="99"/>
    <w:qFormat/>
    <w:rsid w:val="00BE37BE"/>
    <w:rPr>
      <w:sz w:val="20"/>
      <w:szCs w:val="20"/>
    </w:rPr>
  </w:style>
  <w:style w:type="character" w:styleId="Rimandonotaapidipagina">
    <w:name w:val="footnote reference"/>
    <w:aliases w:val="16 Point,Superscript 6 Point,ftref,FNRefe,sobrescrito,Footnote Refernece,Footnote Reference in text,Footnote Reference Superscript,Appel note de bas de p.,FZ,Footnote Reference2,Footnote number,Referencia nota al pie,FR,f"/>
    <w:basedOn w:val="Carpredefinitoparagrafo"/>
    <w:link w:val="4GCharCharCharChar"/>
    <w:uiPriority w:val="99"/>
    <w:unhideWhenUsed/>
    <w:qFormat/>
    <w:rsid w:val="00BE37BE"/>
    <w:rPr>
      <w:vertAlign w:val="superscript"/>
    </w:rPr>
  </w:style>
  <w:style w:type="paragraph" w:styleId="Intestazione">
    <w:name w:val="header"/>
    <w:basedOn w:val="Normale"/>
    <w:link w:val="IntestazioneCarattere"/>
    <w:uiPriority w:val="99"/>
    <w:unhideWhenUsed/>
    <w:rsid w:val="005306E5"/>
    <w:pPr>
      <w:tabs>
        <w:tab w:val="center" w:pos="4819"/>
        <w:tab w:val="right" w:pos="9638"/>
      </w:tabs>
    </w:pPr>
  </w:style>
  <w:style w:type="character" w:customStyle="1" w:styleId="IntestazioneCarattere">
    <w:name w:val="Intestazione Carattere"/>
    <w:basedOn w:val="Carpredefinitoparagrafo"/>
    <w:link w:val="Intestazione"/>
    <w:uiPriority w:val="99"/>
    <w:rsid w:val="005306E5"/>
  </w:style>
  <w:style w:type="paragraph" w:styleId="Pidipagina">
    <w:name w:val="footer"/>
    <w:basedOn w:val="Normale"/>
    <w:link w:val="PidipaginaCarattere"/>
    <w:uiPriority w:val="99"/>
    <w:unhideWhenUsed/>
    <w:rsid w:val="005306E5"/>
    <w:pPr>
      <w:tabs>
        <w:tab w:val="center" w:pos="4819"/>
        <w:tab w:val="right" w:pos="9638"/>
      </w:tabs>
    </w:pPr>
  </w:style>
  <w:style w:type="character" w:customStyle="1" w:styleId="PidipaginaCarattere">
    <w:name w:val="Piè di pagina Carattere"/>
    <w:basedOn w:val="Carpredefinitoparagrafo"/>
    <w:link w:val="Pidipagina"/>
    <w:uiPriority w:val="99"/>
    <w:rsid w:val="005306E5"/>
  </w:style>
  <w:style w:type="paragraph" w:styleId="Puntoelenco">
    <w:name w:val="List Bullet"/>
    <w:basedOn w:val="Normale"/>
    <w:uiPriority w:val="99"/>
    <w:unhideWhenUsed/>
    <w:rsid w:val="003D2914"/>
    <w:pPr>
      <w:numPr>
        <w:numId w:val="2"/>
      </w:numPr>
      <w:contextualSpacing/>
    </w:pPr>
  </w:style>
  <w:style w:type="character" w:customStyle="1" w:styleId="generated">
    <w:name w:val="generated"/>
    <w:rsid w:val="00CE56F1"/>
    <w:rPr>
      <w:shd w:val="diagStripe" w:color="C6D9F1" w:fill="auto"/>
    </w:rPr>
  </w:style>
  <w:style w:type="paragraph" w:customStyle="1" w:styleId="para">
    <w:name w:val="para"/>
    <w:rsid w:val="00CE56F1"/>
    <w:pPr>
      <w:spacing w:line="259" w:lineRule="auto"/>
    </w:pPr>
    <w:rPr>
      <w:rFonts w:asciiTheme="minorHAnsi" w:eastAsiaTheme="minorEastAsia" w:hAnsiTheme="minorHAnsi" w:cstheme="minorBidi"/>
      <w:sz w:val="22"/>
      <w:szCs w:val="22"/>
      <w:lang w:eastAsia="it-IT"/>
    </w:rPr>
  </w:style>
  <w:style w:type="paragraph" w:customStyle="1" w:styleId="4GCharCharCharChar">
    <w:name w:val="4_G Char Char Char Char"/>
    <w:aliases w:val="Footnotes refss Char Char Char Char,ftref Char Char Char Char,BVI fnr Char Char Char Char,BVI fnr Car Car Char Char Char Char,BVI fnr Car Char Char Char Char,BVI fnr Car Car Car Car Char Char1 Char Char"/>
    <w:basedOn w:val="Normale"/>
    <w:link w:val="Rimandonotaapidipagina"/>
    <w:uiPriority w:val="99"/>
    <w:semiHidden/>
    <w:rsid w:val="008777A0"/>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8B8BC-1B1C-44E2-AD2B-77A1D9531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4867</Words>
  <Characters>27746</Characters>
  <Application>Microsoft Office Word</Application>
  <DocSecurity>0</DocSecurity>
  <Lines>231</Lines>
  <Paragraphs>65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COZZOLI Pamela</cp:lastModifiedBy>
  <cp:revision>4</cp:revision>
  <dcterms:created xsi:type="dcterms:W3CDTF">2026-06-22T07:05:00Z</dcterms:created>
  <dcterms:modified xsi:type="dcterms:W3CDTF">2026-06-30T07:15:00Z</dcterms:modified>
</cp:coreProperties>
</file>