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380B" w14:textId="78A81DCA" w:rsidR="004F55DE" w:rsidRPr="00B55CD5" w:rsidRDefault="004F55DE" w:rsidP="004F55DE">
      <w:pPr>
        <w:tabs>
          <w:tab w:val="left" w:pos="1845"/>
          <w:tab w:val="center" w:pos="4819"/>
        </w:tabs>
        <w:jc w:val="center"/>
        <w:rPr>
          <w:rFonts w:ascii="Garamond" w:hAnsi="Garamond"/>
          <w:b/>
          <w:bCs/>
          <w:color w:val="000000" w:themeColor="text1"/>
        </w:rPr>
      </w:pPr>
      <w:r w:rsidRPr="00B55CD5">
        <w:rPr>
          <w:rFonts w:ascii="Garamond" w:hAnsi="Garamond"/>
          <w:b/>
          <w:bCs/>
          <w:color w:val="000000" w:themeColor="text1"/>
        </w:rPr>
        <w:t>Claudio Guccione</w:t>
      </w:r>
    </w:p>
    <w:p w14:paraId="3BE6B811" w14:textId="0B576D78" w:rsidR="004F55DE" w:rsidRDefault="004F55DE" w:rsidP="004F55DE">
      <w:pPr>
        <w:tabs>
          <w:tab w:val="left" w:pos="1845"/>
          <w:tab w:val="center" w:pos="4819"/>
        </w:tabs>
        <w:jc w:val="center"/>
        <w:rPr>
          <w:rFonts w:ascii="Garamond" w:hAnsi="Garamond"/>
          <w:color w:val="000000" w:themeColor="text1"/>
        </w:rPr>
      </w:pPr>
      <w:r w:rsidRPr="00B55CD5">
        <w:rPr>
          <w:rFonts w:ascii="Garamond" w:hAnsi="Garamond"/>
          <w:b/>
          <w:bCs/>
          <w:color w:val="000000" w:themeColor="text1"/>
        </w:rPr>
        <w:t xml:space="preserve">Il </w:t>
      </w:r>
      <w:r w:rsidR="00FC25CA">
        <w:rPr>
          <w:rFonts w:ascii="Garamond" w:hAnsi="Garamond"/>
          <w:b/>
          <w:bCs/>
          <w:color w:val="000000" w:themeColor="text1"/>
        </w:rPr>
        <w:t>collegio consultivo tecnico</w:t>
      </w:r>
      <w:r w:rsidRPr="00B55CD5">
        <w:rPr>
          <w:rFonts w:ascii="Garamond" w:hAnsi="Garamond"/>
          <w:b/>
          <w:bCs/>
          <w:color w:val="000000" w:themeColor="text1"/>
        </w:rPr>
        <w:t xml:space="preserve"> “</w:t>
      </w:r>
      <w:r w:rsidRPr="00B55CD5">
        <w:rPr>
          <w:rFonts w:ascii="Garamond" w:hAnsi="Garamond"/>
          <w:b/>
          <w:bCs/>
          <w:i/>
          <w:iCs/>
          <w:color w:val="000000" w:themeColor="text1"/>
        </w:rPr>
        <w:t xml:space="preserve">ante </w:t>
      </w:r>
      <w:proofErr w:type="spellStart"/>
      <w:r w:rsidRPr="00B55CD5">
        <w:rPr>
          <w:rFonts w:ascii="Garamond" w:hAnsi="Garamond"/>
          <w:b/>
          <w:bCs/>
          <w:i/>
          <w:iCs/>
          <w:color w:val="000000" w:themeColor="text1"/>
        </w:rPr>
        <w:t>operam</w:t>
      </w:r>
      <w:proofErr w:type="spellEnd"/>
      <w:r w:rsidRPr="00B55CD5">
        <w:rPr>
          <w:rFonts w:ascii="Garamond" w:hAnsi="Garamond"/>
          <w:b/>
          <w:bCs/>
          <w:color w:val="000000" w:themeColor="text1"/>
        </w:rPr>
        <w:t>”: prime scalpellate a un istituto ancora grezzo</w:t>
      </w:r>
    </w:p>
    <w:sdt>
      <w:sdtPr>
        <w:rPr>
          <w:rFonts w:asciiTheme="minorHAnsi" w:eastAsiaTheme="minorHAnsi" w:hAnsiTheme="minorHAnsi" w:cstheme="minorBidi"/>
          <w:color w:val="auto"/>
          <w:kern w:val="2"/>
          <w:sz w:val="24"/>
          <w:szCs w:val="24"/>
          <w:lang w:eastAsia="en-US"/>
          <w14:ligatures w14:val="standardContextual"/>
        </w:rPr>
        <w:id w:val="1526441734"/>
        <w:docPartObj>
          <w:docPartGallery w:val="Table of Contents"/>
          <w:docPartUnique/>
        </w:docPartObj>
      </w:sdtPr>
      <w:sdtEndPr>
        <w:rPr>
          <w:b/>
          <w:bCs/>
        </w:rPr>
      </w:sdtEndPr>
      <w:sdtContent>
        <w:p w14:paraId="0D434FCF" w14:textId="13C49399" w:rsidR="004F55DE" w:rsidRPr="004F55DE" w:rsidRDefault="004F55DE" w:rsidP="004F55DE">
          <w:pPr>
            <w:pStyle w:val="Titolosommario"/>
            <w:spacing w:line="360" w:lineRule="auto"/>
            <w:rPr>
              <w:rFonts w:ascii="Garamond" w:hAnsi="Garamond"/>
              <w:b/>
              <w:bCs/>
              <w:color w:val="auto"/>
              <w:sz w:val="24"/>
              <w:szCs w:val="24"/>
            </w:rPr>
          </w:pPr>
          <w:r w:rsidRPr="004F55DE">
            <w:rPr>
              <w:rFonts w:ascii="Garamond" w:hAnsi="Garamond"/>
              <w:b/>
              <w:bCs/>
              <w:color w:val="auto"/>
              <w:sz w:val="24"/>
              <w:szCs w:val="24"/>
            </w:rPr>
            <w:t>Indice</w:t>
          </w:r>
        </w:p>
        <w:p w14:paraId="609BD500" w14:textId="316D91DB" w:rsidR="004F55DE" w:rsidRPr="004F55DE" w:rsidRDefault="004F55DE" w:rsidP="004F55DE">
          <w:pPr>
            <w:pStyle w:val="Sommario1"/>
            <w:tabs>
              <w:tab w:val="right" w:leader="dot" w:pos="9628"/>
            </w:tabs>
            <w:spacing w:line="276" w:lineRule="auto"/>
            <w:rPr>
              <w:rFonts w:ascii="Garamond" w:eastAsiaTheme="minorEastAsia" w:hAnsi="Garamond"/>
              <w:noProof/>
              <w:lang w:eastAsia="it-IT"/>
            </w:rPr>
          </w:pPr>
          <w:r w:rsidRPr="004F55DE">
            <w:rPr>
              <w:rFonts w:ascii="Garamond" w:hAnsi="Garamond"/>
            </w:rPr>
            <w:fldChar w:fldCharType="begin"/>
          </w:r>
          <w:r w:rsidRPr="004F55DE">
            <w:rPr>
              <w:rFonts w:ascii="Garamond" w:hAnsi="Garamond"/>
            </w:rPr>
            <w:instrText xml:space="preserve"> TOC \o "1-3" \h \z \u </w:instrText>
          </w:r>
          <w:r w:rsidRPr="004F55DE">
            <w:rPr>
              <w:rFonts w:ascii="Garamond" w:hAnsi="Garamond"/>
            </w:rPr>
            <w:fldChar w:fldCharType="separate"/>
          </w:r>
          <w:hyperlink w:anchor="_Toc232678823" w:history="1">
            <w:r w:rsidRPr="004F55DE">
              <w:rPr>
                <w:rStyle w:val="Collegamentoipertestuale"/>
                <w:rFonts w:ascii="Garamond" w:hAnsi="Garamond"/>
                <w:noProof/>
              </w:rPr>
              <w:t xml:space="preserve">1. </w:t>
            </w:r>
            <w:r w:rsidR="00443579">
              <w:rPr>
                <w:rStyle w:val="Collegamentoipertestuale"/>
                <w:rFonts w:ascii="Garamond" w:hAnsi="Garamond"/>
                <w:noProof/>
              </w:rPr>
              <w:t>Introduzione</w:t>
            </w:r>
            <w:r w:rsidRPr="004F55DE">
              <w:rPr>
                <w:rFonts w:ascii="Garamond" w:hAnsi="Garamond"/>
                <w:noProof/>
                <w:webHidden/>
              </w:rPr>
              <w:tab/>
            </w:r>
            <w:r w:rsidRPr="004F55DE">
              <w:rPr>
                <w:rFonts w:ascii="Garamond" w:hAnsi="Garamond"/>
                <w:noProof/>
                <w:webHidden/>
              </w:rPr>
              <w:fldChar w:fldCharType="begin"/>
            </w:r>
            <w:r w:rsidRPr="004F55DE">
              <w:rPr>
                <w:rFonts w:ascii="Garamond" w:hAnsi="Garamond"/>
                <w:noProof/>
                <w:webHidden/>
              </w:rPr>
              <w:instrText xml:space="preserve"> PAGEREF _Toc232678823 \h </w:instrText>
            </w:r>
            <w:r w:rsidRPr="004F55DE">
              <w:rPr>
                <w:rFonts w:ascii="Garamond" w:hAnsi="Garamond"/>
                <w:noProof/>
                <w:webHidden/>
              </w:rPr>
            </w:r>
            <w:r w:rsidRPr="004F55DE">
              <w:rPr>
                <w:rFonts w:ascii="Garamond" w:hAnsi="Garamond"/>
                <w:noProof/>
                <w:webHidden/>
              </w:rPr>
              <w:fldChar w:fldCharType="separate"/>
            </w:r>
            <w:r w:rsidRPr="004F55DE">
              <w:rPr>
                <w:rFonts w:ascii="Garamond" w:hAnsi="Garamond"/>
                <w:noProof/>
                <w:webHidden/>
              </w:rPr>
              <w:t>1</w:t>
            </w:r>
            <w:r w:rsidRPr="004F55DE">
              <w:rPr>
                <w:rFonts w:ascii="Garamond" w:hAnsi="Garamond"/>
                <w:noProof/>
                <w:webHidden/>
              </w:rPr>
              <w:fldChar w:fldCharType="end"/>
            </w:r>
          </w:hyperlink>
        </w:p>
        <w:p w14:paraId="554748ED" w14:textId="79BCE108" w:rsidR="004F55DE" w:rsidRPr="004F55DE" w:rsidRDefault="004F55DE" w:rsidP="004F55DE">
          <w:pPr>
            <w:pStyle w:val="Sommario1"/>
            <w:tabs>
              <w:tab w:val="right" w:leader="dot" w:pos="9628"/>
            </w:tabs>
            <w:spacing w:line="276" w:lineRule="auto"/>
            <w:rPr>
              <w:rFonts w:ascii="Garamond" w:eastAsiaTheme="minorEastAsia" w:hAnsi="Garamond"/>
              <w:noProof/>
              <w:lang w:eastAsia="it-IT"/>
            </w:rPr>
          </w:pPr>
          <w:hyperlink w:anchor="_Toc232678824" w:history="1">
            <w:r w:rsidRPr="004F55DE">
              <w:rPr>
                <w:rStyle w:val="Collegamentoipertestuale"/>
                <w:rFonts w:ascii="Garamond" w:hAnsi="Garamond"/>
                <w:noProof/>
              </w:rPr>
              <w:t>2. Natura giuridica, ambito di operatività, valenza delle determinazioni</w:t>
            </w:r>
            <w:r w:rsidRPr="004F55DE">
              <w:rPr>
                <w:rFonts w:ascii="Garamond" w:hAnsi="Garamond"/>
                <w:noProof/>
                <w:webHidden/>
              </w:rPr>
              <w:tab/>
            </w:r>
            <w:r w:rsidRPr="004F55DE">
              <w:rPr>
                <w:rFonts w:ascii="Garamond" w:hAnsi="Garamond"/>
                <w:noProof/>
                <w:webHidden/>
              </w:rPr>
              <w:fldChar w:fldCharType="begin"/>
            </w:r>
            <w:r w:rsidRPr="004F55DE">
              <w:rPr>
                <w:rFonts w:ascii="Garamond" w:hAnsi="Garamond"/>
                <w:noProof/>
                <w:webHidden/>
              </w:rPr>
              <w:instrText xml:space="preserve"> PAGEREF _Toc232678824 \h </w:instrText>
            </w:r>
            <w:r w:rsidRPr="004F55DE">
              <w:rPr>
                <w:rFonts w:ascii="Garamond" w:hAnsi="Garamond"/>
                <w:noProof/>
                <w:webHidden/>
              </w:rPr>
            </w:r>
            <w:r w:rsidRPr="004F55DE">
              <w:rPr>
                <w:rFonts w:ascii="Garamond" w:hAnsi="Garamond"/>
                <w:noProof/>
                <w:webHidden/>
              </w:rPr>
              <w:fldChar w:fldCharType="separate"/>
            </w:r>
            <w:r w:rsidRPr="004F55DE">
              <w:rPr>
                <w:rFonts w:ascii="Garamond" w:hAnsi="Garamond"/>
                <w:noProof/>
                <w:webHidden/>
              </w:rPr>
              <w:t>1</w:t>
            </w:r>
            <w:r w:rsidRPr="004F55DE">
              <w:rPr>
                <w:rFonts w:ascii="Garamond" w:hAnsi="Garamond"/>
                <w:noProof/>
                <w:webHidden/>
              </w:rPr>
              <w:fldChar w:fldCharType="end"/>
            </w:r>
          </w:hyperlink>
        </w:p>
        <w:p w14:paraId="2AC58377" w14:textId="6EAB9125" w:rsidR="004F55DE" w:rsidRPr="004F55DE" w:rsidRDefault="004F55DE" w:rsidP="004F55DE">
          <w:pPr>
            <w:pStyle w:val="Sommario1"/>
            <w:tabs>
              <w:tab w:val="right" w:leader="dot" w:pos="9628"/>
            </w:tabs>
            <w:spacing w:line="276" w:lineRule="auto"/>
            <w:rPr>
              <w:rFonts w:ascii="Garamond" w:eastAsiaTheme="minorEastAsia" w:hAnsi="Garamond"/>
              <w:noProof/>
              <w:lang w:eastAsia="it-IT"/>
            </w:rPr>
          </w:pPr>
          <w:hyperlink w:anchor="_Toc232678825" w:history="1">
            <w:r w:rsidRPr="004F55DE">
              <w:rPr>
                <w:rStyle w:val="Collegamentoipertestuale"/>
                <w:rFonts w:ascii="Garamond" w:hAnsi="Garamond"/>
                <w:noProof/>
              </w:rPr>
              <w:t>3. La composizione del Collegio ed i compensi</w:t>
            </w:r>
            <w:r w:rsidRPr="004F55DE">
              <w:rPr>
                <w:rFonts w:ascii="Garamond" w:hAnsi="Garamond"/>
                <w:noProof/>
                <w:webHidden/>
              </w:rPr>
              <w:tab/>
            </w:r>
            <w:r w:rsidRPr="004F55DE">
              <w:rPr>
                <w:rFonts w:ascii="Garamond" w:hAnsi="Garamond"/>
                <w:noProof/>
                <w:webHidden/>
              </w:rPr>
              <w:fldChar w:fldCharType="begin"/>
            </w:r>
            <w:r w:rsidRPr="004F55DE">
              <w:rPr>
                <w:rFonts w:ascii="Garamond" w:hAnsi="Garamond"/>
                <w:noProof/>
                <w:webHidden/>
              </w:rPr>
              <w:instrText xml:space="preserve"> PAGEREF _Toc232678825 \h </w:instrText>
            </w:r>
            <w:r w:rsidRPr="004F55DE">
              <w:rPr>
                <w:rFonts w:ascii="Garamond" w:hAnsi="Garamond"/>
                <w:noProof/>
                <w:webHidden/>
              </w:rPr>
            </w:r>
            <w:r w:rsidRPr="004F55DE">
              <w:rPr>
                <w:rFonts w:ascii="Garamond" w:hAnsi="Garamond"/>
                <w:noProof/>
                <w:webHidden/>
              </w:rPr>
              <w:fldChar w:fldCharType="separate"/>
            </w:r>
            <w:r w:rsidRPr="004F55DE">
              <w:rPr>
                <w:rFonts w:ascii="Garamond" w:hAnsi="Garamond"/>
                <w:noProof/>
                <w:webHidden/>
              </w:rPr>
              <w:t>3</w:t>
            </w:r>
            <w:r w:rsidRPr="004F55DE">
              <w:rPr>
                <w:rFonts w:ascii="Garamond" w:hAnsi="Garamond"/>
                <w:noProof/>
                <w:webHidden/>
              </w:rPr>
              <w:fldChar w:fldCharType="end"/>
            </w:r>
          </w:hyperlink>
        </w:p>
        <w:p w14:paraId="76513E20" w14:textId="6C186836" w:rsidR="004F55DE" w:rsidRPr="004F55DE" w:rsidRDefault="004F55DE" w:rsidP="004F55DE">
          <w:pPr>
            <w:pStyle w:val="Sommario1"/>
            <w:tabs>
              <w:tab w:val="right" w:leader="dot" w:pos="9628"/>
            </w:tabs>
            <w:spacing w:line="276" w:lineRule="auto"/>
            <w:rPr>
              <w:rFonts w:ascii="Garamond" w:eastAsiaTheme="minorEastAsia" w:hAnsi="Garamond"/>
              <w:noProof/>
              <w:lang w:eastAsia="it-IT"/>
            </w:rPr>
          </w:pPr>
          <w:hyperlink w:anchor="_Toc232678826" w:history="1">
            <w:r w:rsidRPr="004F55DE">
              <w:rPr>
                <w:rStyle w:val="Collegamentoipertestuale"/>
                <w:rFonts w:ascii="Garamond" w:hAnsi="Garamond"/>
                <w:noProof/>
              </w:rPr>
              <w:t xml:space="preserve">4. Rapporto tra CCT </w:t>
            </w:r>
            <w:r w:rsidRPr="004F55DE">
              <w:rPr>
                <w:rStyle w:val="Collegamentoipertestuale"/>
                <w:rFonts w:ascii="Garamond" w:hAnsi="Garamond"/>
                <w:i/>
                <w:iCs/>
                <w:noProof/>
              </w:rPr>
              <w:t>ante operam</w:t>
            </w:r>
            <w:r w:rsidRPr="004F55DE">
              <w:rPr>
                <w:rStyle w:val="Collegamentoipertestuale"/>
                <w:rFonts w:ascii="Garamond" w:hAnsi="Garamond"/>
                <w:noProof/>
              </w:rPr>
              <w:t xml:space="preserve"> e pareri di precontenzioso ANAC</w:t>
            </w:r>
            <w:r w:rsidRPr="004F55DE">
              <w:rPr>
                <w:rFonts w:ascii="Garamond" w:hAnsi="Garamond"/>
                <w:noProof/>
                <w:webHidden/>
              </w:rPr>
              <w:tab/>
            </w:r>
            <w:r w:rsidRPr="004F55DE">
              <w:rPr>
                <w:rFonts w:ascii="Garamond" w:hAnsi="Garamond"/>
                <w:noProof/>
                <w:webHidden/>
              </w:rPr>
              <w:fldChar w:fldCharType="begin"/>
            </w:r>
            <w:r w:rsidRPr="004F55DE">
              <w:rPr>
                <w:rFonts w:ascii="Garamond" w:hAnsi="Garamond"/>
                <w:noProof/>
                <w:webHidden/>
              </w:rPr>
              <w:instrText xml:space="preserve"> PAGEREF _Toc232678826 \h </w:instrText>
            </w:r>
            <w:r w:rsidRPr="004F55DE">
              <w:rPr>
                <w:rFonts w:ascii="Garamond" w:hAnsi="Garamond"/>
                <w:noProof/>
                <w:webHidden/>
              </w:rPr>
            </w:r>
            <w:r w:rsidRPr="004F55DE">
              <w:rPr>
                <w:rFonts w:ascii="Garamond" w:hAnsi="Garamond"/>
                <w:noProof/>
                <w:webHidden/>
              </w:rPr>
              <w:fldChar w:fldCharType="separate"/>
            </w:r>
            <w:r w:rsidRPr="004F55DE">
              <w:rPr>
                <w:rFonts w:ascii="Garamond" w:hAnsi="Garamond"/>
                <w:noProof/>
                <w:webHidden/>
              </w:rPr>
              <w:t>4</w:t>
            </w:r>
            <w:r w:rsidRPr="004F55DE">
              <w:rPr>
                <w:rFonts w:ascii="Garamond" w:hAnsi="Garamond"/>
                <w:noProof/>
                <w:webHidden/>
              </w:rPr>
              <w:fldChar w:fldCharType="end"/>
            </w:r>
          </w:hyperlink>
        </w:p>
        <w:p w14:paraId="25C93FEC" w14:textId="0BAD9598" w:rsidR="004F55DE" w:rsidRPr="004F55DE" w:rsidRDefault="004F55DE" w:rsidP="004F55DE">
          <w:pPr>
            <w:pStyle w:val="Sommario1"/>
            <w:tabs>
              <w:tab w:val="right" w:leader="dot" w:pos="9628"/>
            </w:tabs>
            <w:spacing w:line="276" w:lineRule="auto"/>
            <w:rPr>
              <w:rFonts w:ascii="Garamond" w:eastAsiaTheme="minorEastAsia" w:hAnsi="Garamond"/>
              <w:noProof/>
              <w:lang w:eastAsia="it-IT"/>
            </w:rPr>
          </w:pPr>
          <w:hyperlink w:anchor="_Toc232678827" w:history="1">
            <w:r w:rsidRPr="004F55DE">
              <w:rPr>
                <w:rStyle w:val="Collegamentoipertestuale"/>
                <w:rFonts w:ascii="Garamond" w:hAnsi="Garamond"/>
                <w:noProof/>
              </w:rPr>
              <w:t>5. La tutela giurisdizionale</w:t>
            </w:r>
            <w:r w:rsidRPr="004F55DE">
              <w:rPr>
                <w:rFonts w:ascii="Garamond" w:hAnsi="Garamond"/>
                <w:noProof/>
                <w:webHidden/>
              </w:rPr>
              <w:tab/>
            </w:r>
            <w:r w:rsidRPr="004F55DE">
              <w:rPr>
                <w:rFonts w:ascii="Garamond" w:hAnsi="Garamond"/>
                <w:noProof/>
                <w:webHidden/>
              </w:rPr>
              <w:fldChar w:fldCharType="begin"/>
            </w:r>
            <w:r w:rsidRPr="004F55DE">
              <w:rPr>
                <w:rFonts w:ascii="Garamond" w:hAnsi="Garamond"/>
                <w:noProof/>
                <w:webHidden/>
              </w:rPr>
              <w:instrText xml:space="preserve"> PAGEREF _Toc232678827 \h </w:instrText>
            </w:r>
            <w:r w:rsidRPr="004F55DE">
              <w:rPr>
                <w:rFonts w:ascii="Garamond" w:hAnsi="Garamond"/>
                <w:noProof/>
                <w:webHidden/>
              </w:rPr>
            </w:r>
            <w:r w:rsidRPr="004F55DE">
              <w:rPr>
                <w:rFonts w:ascii="Garamond" w:hAnsi="Garamond"/>
                <w:noProof/>
                <w:webHidden/>
              </w:rPr>
              <w:fldChar w:fldCharType="separate"/>
            </w:r>
            <w:r w:rsidRPr="004F55DE">
              <w:rPr>
                <w:rFonts w:ascii="Garamond" w:hAnsi="Garamond"/>
                <w:noProof/>
                <w:webHidden/>
              </w:rPr>
              <w:t>5</w:t>
            </w:r>
            <w:r w:rsidRPr="004F55DE">
              <w:rPr>
                <w:rFonts w:ascii="Garamond" w:hAnsi="Garamond"/>
                <w:noProof/>
                <w:webHidden/>
              </w:rPr>
              <w:fldChar w:fldCharType="end"/>
            </w:r>
          </w:hyperlink>
        </w:p>
        <w:p w14:paraId="34A60299" w14:textId="384F4EE3" w:rsidR="004F55DE" w:rsidRPr="004F55DE" w:rsidRDefault="004F55DE" w:rsidP="004F55DE">
          <w:pPr>
            <w:pStyle w:val="Sommario1"/>
            <w:tabs>
              <w:tab w:val="right" w:leader="dot" w:pos="9628"/>
            </w:tabs>
            <w:spacing w:line="276" w:lineRule="auto"/>
            <w:rPr>
              <w:rFonts w:ascii="Garamond" w:eastAsiaTheme="minorEastAsia" w:hAnsi="Garamond"/>
              <w:noProof/>
              <w:lang w:eastAsia="it-IT"/>
            </w:rPr>
          </w:pPr>
          <w:hyperlink w:anchor="_Toc232678828" w:history="1">
            <w:r w:rsidRPr="004F55DE">
              <w:rPr>
                <w:rStyle w:val="Collegamentoipertestuale"/>
                <w:rFonts w:ascii="Garamond" w:hAnsi="Garamond"/>
                <w:noProof/>
              </w:rPr>
              <w:t xml:space="preserve">6. Raffronto tra CCT </w:t>
            </w:r>
            <w:r w:rsidRPr="004F55DE">
              <w:rPr>
                <w:rStyle w:val="Collegamentoipertestuale"/>
                <w:rFonts w:ascii="Garamond" w:hAnsi="Garamond"/>
                <w:i/>
                <w:iCs/>
                <w:noProof/>
              </w:rPr>
              <w:t>ante operam</w:t>
            </w:r>
            <w:r w:rsidRPr="004F55DE">
              <w:rPr>
                <w:rStyle w:val="Collegamentoipertestuale"/>
                <w:rFonts w:ascii="Garamond" w:hAnsi="Garamond"/>
                <w:noProof/>
              </w:rPr>
              <w:t xml:space="preserve"> e struttura di supporto al RUP</w:t>
            </w:r>
            <w:r w:rsidRPr="004F55DE">
              <w:rPr>
                <w:rFonts w:ascii="Garamond" w:hAnsi="Garamond"/>
                <w:noProof/>
                <w:webHidden/>
              </w:rPr>
              <w:tab/>
            </w:r>
            <w:r w:rsidRPr="004F55DE">
              <w:rPr>
                <w:rFonts w:ascii="Garamond" w:hAnsi="Garamond"/>
                <w:noProof/>
                <w:webHidden/>
              </w:rPr>
              <w:fldChar w:fldCharType="begin"/>
            </w:r>
            <w:r w:rsidRPr="004F55DE">
              <w:rPr>
                <w:rFonts w:ascii="Garamond" w:hAnsi="Garamond"/>
                <w:noProof/>
                <w:webHidden/>
              </w:rPr>
              <w:instrText xml:space="preserve"> PAGEREF _Toc232678828 \h </w:instrText>
            </w:r>
            <w:r w:rsidRPr="004F55DE">
              <w:rPr>
                <w:rFonts w:ascii="Garamond" w:hAnsi="Garamond"/>
                <w:noProof/>
                <w:webHidden/>
              </w:rPr>
            </w:r>
            <w:r w:rsidRPr="004F55DE">
              <w:rPr>
                <w:rFonts w:ascii="Garamond" w:hAnsi="Garamond"/>
                <w:noProof/>
                <w:webHidden/>
              </w:rPr>
              <w:fldChar w:fldCharType="separate"/>
            </w:r>
            <w:r w:rsidRPr="004F55DE">
              <w:rPr>
                <w:rFonts w:ascii="Garamond" w:hAnsi="Garamond"/>
                <w:noProof/>
                <w:webHidden/>
              </w:rPr>
              <w:t>5</w:t>
            </w:r>
            <w:r w:rsidRPr="004F55DE">
              <w:rPr>
                <w:rFonts w:ascii="Garamond" w:hAnsi="Garamond"/>
                <w:noProof/>
                <w:webHidden/>
              </w:rPr>
              <w:fldChar w:fldCharType="end"/>
            </w:r>
          </w:hyperlink>
        </w:p>
        <w:p w14:paraId="0CA4600F" w14:textId="18AF931B" w:rsidR="004F55DE" w:rsidRDefault="004F55DE" w:rsidP="004F55DE">
          <w:pPr>
            <w:spacing w:line="360" w:lineRule="auto"/>
          </w:pPr>
          <w:r w:rsidRPr="004F55DE">
            <w:rPr>
              <w:rFonts w:ascii="Garamond" w:hAnsi="Garamond"/>
            </w:rPr>
            <w:fldChar w:fldCharType="end"/>
          </w:r>
        </w:p>
      </w:sdtContent>
    </w:sdt>
    <w:p w14:paraId="01E94C46" w14:textId="6475DA4F" w:rsidR="004F55DE" w:rsidRPr="004F55DE" w:rsidRDefault="004F55DE" w:rsidP="004F55DE">
      <w:pPr>
        <w:pStyle w:val="Titolo1"/>
        <w:rPr>
          <w:rFonts w:ascii="Garamond" w:hAnsi="Garamond"/>
          <w:b/>
          <w:bCs/>
          <w:color w:val="auto"/>
          <w:sz w:val="24"/>
          <w:szCs w:val="24"/>
        </w:rPr>
      </w:pPr>
      <w:bookmarkStart w:id="0" w:name="_Toc232678688"/>
      <w:bookmarkStart w:id="1" w:name="_Toc232678823"/>
      <w:r w:rsidRPr="004F55DE">
        <w:rPr>
          <w:rFonts w:ascii="Garamond" w:hAnsi="Garamond"/>
          <w:b/>
          <w:bCs/>
          <w:color w:val="auto"/>
          <w:sz w:val="24"/>
          <w:szCs w:val="24"/>
        </w:rPr>
        <w:t xml:space="preserve">1. </w:t>
      </w:r>
      <w:r w:rsidR="00443579">
        <w:rPr>
          <w:rFonts w:ascii="Garamond" w:hAnsi="Garamond"/>
          <w:b/>
          <w:bCs/>
          <w:color w:val="auto"/>
          <w:sz w:val="24"/>
          <w:szCs w:val="24"/>
        </w:rPr>
        <w:t>Introduzione</w:t>
      </w:r>
      <w:bookmarkEnd w:id="0"/>
      <w:bookmarkEnd w:id="1"/>
    </w:p>
    <w:p w14:paraId="596F2D5E" w14:textId="57A57794" w:rsidR="00E774DC" w:rsidRPr="001842C6" w:rsidRDefault="00890BDD" w:rsidP="00E774DC">
      <w:pPr>
        <w:spacing w:after="0"/>
        <w:jc w:val="both"/>
        <w:rPr>
          <w:rFonts w:ascii="Garamond" w:hAnsi="Garamond"/>
        </w:rPr>
      </w:pPr>
      <w:r>
        <w:rPr>
          <w:rFonts w:ascii="Garamond" w:hAnsi="Garamond"/>
        </w:rPr>
        <w:t>N</w:t>
      </w:r>
      <w:r w:rsidR="00E774DC" w:rsidRPr="001842C6">
        <w:rPr>
          <w:rFonts w:ascii="Garamond" w:hAnsi="Garamond"/>
        </w:rPr>
        <w:t>el ciclo di vita dei contratti pubblici</w:t>
      </w:r>
      <w:r>
        <w:rPr>
          <w:rFonts w:ascii="Garamond" w:hAnsi="Garamond"/>
        </w:rPr>
        <w:t>, l</w:t>
      </w:r>
      <w:r w:rsidRPr="001842C6">
        <w:rPr>
          <w:rFonts w:ascii="Garamond" w:hAnsi="Garamond"/>
        </w:rPr>
        <w:t>a fase che precede l’esecuzione d</w:t>
      </w:r>
      <w:r w:rsidR="00C3383F">
        <w:rPr>
          <w:rFonts w:ascii="Garamond" w:hAnsi="Garamond"/>
        </w:rPr>
        <w:t>el</w:t>
      </w:r>
      <w:r w:rsidRPr="001842C6">
        <w:rPr>
          <w:rFonts w:ascii="Garamond" w:hAnsi="Garamond"/>
        </w:rPr>
        <w:t xml:space="preserve"> contratto </w:t>
      </w:r>
      <w:r w:rsidR="00DF4735">
        <w:rPr>
          <w:rFonts w:ascii="Garamond" w:hAnsi="Garamond"/>
        </w:rPr>
        <w:t xml:space="preserve">è </w:t>
      </w:r>
      <w:r w:rsidRPr="001842C6">
        <w:rPr>
          <w:rFonts w:ascii="Garamond" w:hAnsi="Garamond"/>
        </w:rPr>
        <w:t xml:space="preserve">indubbiamente </w:t>
      </w:r>
      <w:r w:rsidR="00DF4735" w:rsidRPr="00C62E9A">
        <w:rPr>
          <w:rFonts w:ascii="Garamond" w:hAnsi="Garamond"/>
        </w:rPr>
        <w:t>tra le più delicate</w:t>
      </w:r>
      <w:r w:rsidRPr="000A7A87">
        <w:rPr>
          <w:rFonts w:ascii="Garamond" w:hAnsi="Garamond"/>
        </w:rPr>
        <w:t xml:space="preserve">. </w:t>
      </w:r>
      <w:r w:rsidR="00C3383F">
        <w:rPr>
          <w:rFonts w:ascii="Garamond" w:hAnsi="Garamond"/>
        </w:rPr>
        <w:t>Infatti, l</w:t>
      </w:r>
      <w:r w:rsidR="00E774DC" w:rsidRPr="001842C6">
        <w:rPr>
          <w:rFonts w:ascii="Garamond" w:hAnsi="Garamond"/>
        </w:rPr>
        <w:t xml:space="preserve">a predisposizione dei bandi, la definizione dei criteri di aggiudicazione e la gestione </w:t>
      </w:r>
      <w:r w:rsidR="00DF4735">
        <w:rPr>
          <w:rFonts w:ascii="Garamond" w:hAnsi="Garamond"/>
        </w:rPr>
        <w:t xml:space="preserve">del procedimento </w:t>
      </w:r>
      <w:r w:rsidR="00E774DC" w:rsidRPr="001842C6">
        <w:rPr>
          <w:rFonts w:ascii="Garamond" w:hAnsi="Garamond"/>
        </w:rPr>
        <w:t xml:space="preserve">di gara richiedono </w:t>
      </w:r>
      <w:r w:rsidR="00DF4735">
        <w:rPr>
          <w:rFonts w:ascii="Garamond" w:hAnsi="Garamond"/>
        </w:rPr>
        <w:t xml:space="preserve">un elevato grado </w:t>
      </w:r>
      <w:r w:rsidR="000A7A87">
        <w:rPr>
          <w:rFonts w:ascii="Garamond" w:hAnsi="Garamond"/>
        </w:rPr>
        <w:t xml:space="preserve">di </w:t>
      </w:r>
      <w:r w:rsidR="00DF4735">
        <w:rPr>
          <w:rFonts w:ascii="Garamond" w:hAnsi="Garamond"/>
        </w:rPr>
        <w:t>specializzazione</w:t>
      </w:r>
      <w:r w:rsidR="00E774DC" w:rsidRPr="001842C6">
        <w:rPr>
          <w:rFonts w:ascii="Garamond" w:hAnsi="Garamond"/>
        </w:rPr>
        <w:t xml:space="preserve">. Per gestire in modo ottimale tale fase, il Codice dei contratti pubblici </w:t>
      </w:r>
      <w:r w:rsidR="00691856">
        <w:rPr>
          <w:rFonts w:ascii="Garamond" w:hAnsi="Garamond"/>
        </w:rPr>
        <w:t>disciplina, a beneficio</w:t>
      </w:r>
      <w:r w:rsidR="00E774DC" w:rsidRPr="001842C6">
        <w:rPr>
          <w:rFonts w:ascii="Garamond" w:hAnsi="Garamond"/>
        </w:rPr>
        <w:t xml:space="preserve"> delle stazioni appaltanti e degli enti concedenti</w:t>
      </w:r>
      <w:r w:rsidR="00691856">
        <w:rPr>
          <w:rFonts w:ascii="Garamond" w:hAnsi="Garamond"/>
        </w:rPr>
        <w:t>,</w:t>
      </w:r>
      <w:r w:rsidR="00E774DC" w:rsidRPr="001842C6">
        <w:rPr>
          <w:rFonts w:ascii="Garamond" w:hAnsi="Garamond"/>
        </w:rPr>
        <w:t xml:space="preserve"> </w:t>
      </w:r>
      <w:r w:rsidR="00691856">
        <w:rPr>
          <w:rFonts w:ascii="Garamond" w:hAnsi="Garamond"/>
        </w:rPr>
        <w:t>validi strumenti di supporto consulenziale</w:t>
      </w:r>
      <w:r w:rsidR="00E774DC" w:rsidRPr="001842C6">
        <w:rPr>
          <w:rFonts w:ascii="Garamond" w:hAnsi="Garamond"/>
        </w:rPr>
        <w:t xml:space="preserve">. </w:t>
      </w:r>
    </w:p>
    <w:p w14:paraId="57515188" w14:textId="177178F7" w:rsidR="00E774DC" w:rsidRPr="001842C6" w:rsidRDefault="00691856" w:rsidP="00E774DC">
      <w:pPr>
        <w:spacing w:after="0"/>
        <w:jc w:val="both"/>
        <w:rPr>
          <w:rFonts w:ascii="Garamond" w:hAnsi="Garamond"/>
        </w:rPr>
      </w:pPr>
      <w:r>
        <w:rPr>
          <w:rFonts w:ascii="Garamond" w:hAnsi="Garamond"/>
        </w:rPr>
        <w:t xml:space="preserve">Nel presente scritto verrà analizzato </w:t>
      </w:r>
      <w:r w:rsidR="00E774DC" w:rsidRPr="001842C6">
        <w:rPr>
          <w:rFonts w:ascii="Garamond" w:hAnsi="Garamond"/>
        </w:rPr>
        <w:t xml:space="preserve">l’istituto del Collegio Consultivo Tecnico (CCT) </w:t>
      </w:r>
      <w:r w:rsidR="00792097">
        <w:rPr>
          <w:rFonts w:ascii="Garamond" w:hAnsi="Garamond"/>
        </w:rPr>
        <w:t>co</w:t>
      </w:r>
      <w:r w:rsidR="00E774DC" w:rsidRPr="001842C6">
        <w:rPr>
          <w:rFonts w:ascii="Garamond" w:hAnsi="Garamond"/>
        </w:rPr>
        <w:t xml:space="preserve">stituito in via facoltativa nella fase antecedente all’affidamento, </w:t>
      </w:r>
      <w:r w:rsidR="00DF4735">
        <w:rPr>
          <w:rFonts w:ascii="Garamond" w:hAnsi="Garamond"/>
        </w:rPr>
        <w:t xml:space="preserve">il </w:t>
      </w:r>
      <w:r w:rsidR="00E774DC" w:rsidRPr="001842C6">
        <w:rPr>
          <w:rFonts w:ascii="Garamond" w:hAnsi="Garamond"/>
        </w:rPr>
        <w:t xml:space="preserve">cosiddetto </w:t>
      </w:r>
      <w:r>
        <w:rPr>
          <w:rFonts w:ascii="Garamond" w:hAnsi="Garamond"/>
        </w:rPr>
        <w:t xml:space="preserve">CCT </w:t>
      </w:r>
      <w:r w:rsidR="00E774DC" w:rsidRPr="001842C6">
        <w:rPr>
          <w:rFonts w:ascii="Garamond" w:hAnsi="Garamond"/>
          <w:i/>
          <w:iCs/>
        </w:rPr>
        <w:t xml:space="preserve">ante </w:t>
      </w:r>
      <w:proofErr w:type="spellStart"/>
      <w:r w:rsidR="00E774DC" w:rsidRPr="001842C6">
        <w:rPr>
          <w:rFonts w:ascii="Garamond" w:hAnsi="Garamond"/>
          <w:i/>
          <w:iCs/>
        </w:rPr>
        <w:t>operam</w:t>
      </w:r>
      <w:proofErr w:type="spellEnd"/>
      <w:r>
        <w:rPr>
          <w:rFonts w:ascii="Garamond" w:hAnsi="Garamond"/>
        </w:rPr>
        <w:t xml:space="preserve">, </w:t>
      </w:r>
      <w:r w:rsidR="00E774DC" w:rsidRPr="001842C6">
        <w:rPr>
          <w:rFonts w:ascii="Garamond" w:hAnsi="Garamond"/>
        </w:rPr>
        <w:t xml:space="preserve">introdotto </w:t>
      </w:r>
      <w:r w:rsidR="00DF4735">
        <w:rPr>
          <w:rFonts w:ascii="Garamond" w:hAnsi="Garamond"/>
        </w:rPr>
        <w:t>nel nostro ordinamento mediante l’</w:t>
      </w:r>
      <w:r w:rsidR="00E774DC" w:rsidRPr="001842C6">
        <w:rPr>
          <w:rFonts w:ascii="Garamond" w:hAnsi="Garamond"/>
        </w:rPr>
        <w:t xml:space="preserve">art. 6, comma 5 del </w:t>
      </w:r>
      <w:r w:rsidR="00EE18EE">
        <w:rPr>
          <w:rFonts w:ascii="Garamond" w:hAnsi="Garamond"/>
        </w:rPr>
        <w:t>d</w:t>
      </w:r>
      <w:r w:rsidR="00DF4735">
        <w:rPr>
          <w:rFonts w:ascii="Garamond" w:hAnsi="Garamond"/>
        </w:rPr>
        <w:t xml:space="preserve">ecreto </w:t>
      </w:r>
      <w:r w:rsidR="00EE18EE">
        <w:rPr>
          <w:rFonts w:ascii="Garamond" w:hAnsi="Garamond"/>
        </w:rPr>
        <w:t>l</w:t>
      </w:r>
      <w:r w:rsidR="00DF4735">
        <w:rPr>
          <w:rFonts w:ascii="Garamond" w:hAnsi="Garamond"/>
        </w:rPr>
        <w:t xml:space="preserve">egge 16.07.2020, </w:t>
      </w:r>
      <w:r w:rsidR="00E774DC" w:rsidRPr="001842C6">
        <w:rPr>
          <w:rFonts w:ascii="Garamond" w:hAnsi="Garamond"/>
        </w:rPr>
        <w:t>n. 76</w:t>
      </w:r>
      <w:r w:rsidR="00DF4735">
        <w:rPr>
          <w:rFonts w:ascii="Garamond" w:hAnsi="Garamond"/>
        </w:rPr>
        <w:t xml:space="preserve"> (cd</w:t>
      </w:r>
      <w:r w:rsidR="008965CC">
        <w:rPr>
          <w:rFonts w:ascii="Garamond" w:hAnsi="Garamond"/>
        </w:rPr>
        <w:t>.</w:t>
      </w:r>
      <w:r w:rsidR="00DF4735">
        <w:rPr>
          <w:rFonts w:ascii="Garamond" w:hAnsi="Garamond"/>
        </w:rPr>
        <w:t xml:space="preserve"> Decreto Semplificazioni</w:t>
      </w:r>
      <w:r w:rsidR="00E774DC" w:rsidRPr="001842C6">
        <w:rPr>
          <w:rFonts w:ascii="Garamond" w:hAnsi="Garamond"/>
        </w:rPr>
        <w:t>)</w:t>
      </w:r>
      <w:r w:rsidR="00EE18EE">
        <w:rPr>
          <w:rStyle w:val="Rimandonotaapidipagina"/>
          <w:rFonts w:ascii="Garamond" w:hAnsi="Garamond"/>
        </w:rPr>
        <w:footnoteReference w:id="1"/>
      </w:r>
      <w:r>
        <w:rPr>
          <w:rFonts w:ascii="Garamond" w:hAnsi="Garamond"/>
        </w:rPr>
        <w:t>.</w:t>
      </w:r>
    </w:p>
    <w:p w14:paraId="65B1B834" w14:textId="1E47221C" w:rsidR="00E774DC" w:rsidRPr="004F55DE" w:rsidRDefault="004F55DE" w:rsidP="007C047B">
      <w:pPr>
        <w:pStyle w:val="Titolo1"/>
        <w:spacing w:after="0"/>
        <w:jc w:val="both"/>
        <w:rPr>
          <w:rFonts w:ascii="Garamond" w:hAnsi="Garamond"/>
          <w:b/>
          <w:bCs/>
          <w:sz w:val="24"/>
          <w:szCs w:val="24"/>
        </w:rPr>
      </w:pPr>
      <w:bookmarkStart w:id="2" w:name="_Toc232678689"/>
      <w:bookmarkStart w:id="3" w:name="_Toc232678824"/>
      <w:r w:rsidRPr="004F55DE">
        <w:rPr>
          <w:rFonts w:ascii="Garamond" w:hAnsi="Garamond"/>
          <w:b/>
          <w:bCs/>
          <w:color w:val="auto"/>
          <w:sz w:val="24"/>
          <w:szCs w:val="24"/>
        </w:rPr>
        <w:t xml:space="preserve">2. </w:t>
      </w:r>
      <w:r w:rsidR="008807D3" w:rsidRPr="004F55DE">
        <w:rPr>
          <w:rFonts w:ascii="Garamond" w:hAnsi="Garamond"/>
          <w:b/>
          <w:bCs/>
          <w:color w:val="auto"/>
          <w:sz w:val="24"/>
          <w:szCs w:val="24"/>
        </w:rPr>
        <w:t>N</w:t>
      </w:r>
      <w:r w:rsidR="00EC07F8" w:rsidRPr="004F55DE">
        <w:rPr>
          <w:rFonts w:ascii="Garamond" w:hAnsi="Garamond"/>
          <w:b/>
          <w:bCs/>
          <w:color w:val="auto"/>
          <w:sz w:val="24"/>
          <w:szCs w:val="24"/>
        </w:rPr>
        <w:t>atura giuridica</w:t>
      </w:r>
      <w:r w:rsidR="00993337" w:rsidRPr="004F55DE">
        <w:rPr>
          <w:rFonts w:ascii="Garamond" w:hAnsi="Garamond"/>
          <w:b/>
          <w:bCs/>
          <w:color w:val="auto"/>
          <w:sz w:val="24"/>
          <w:szCs w:val="24"/>
        </w:rPr>
        <w:t>,</w:t>
      </w:r>
      <w:r w:rsidR="00EC07F8" w:rsidRPr="004F55DE">
        <w:rPr>
          <w:rFonts w:ascii="Garamond" w:hAnsi="Garamond"/>
          <w:b/>
          <w:bCs/>
          <w:color w:val="auto"/>
          <w:sz w:val="24"/>
          <w:szCs w:val="24"/>
        </w:rPr>
        <w:t xml:space="preserve"> </w:t>
      </w:r>
      <w:r w:rsidR="00E774DC" w:rsidRPr="004F55DE">
        <w:rPr>
          <w:rFonts w:ascii="Garamond" w:hAnsi="Garamond"/>
          <w:b/>
          <w:bCs/>
          <w:color w:val="auto"/>
          <w:sz w:val="24"/>
          <w:szCs w:val="24"/>
        </w:rPr>
        <w:t>ambito di operativit</w:t>
      </w:r>
      <w:r w:rsidR="00993337" w:rsidRPr="004F55DE">
        <w:rPr>
          <w:rFonts w:ascii="Garamond" w:hAnsi="Garamond"/>
          <w:b/>
          <w:bCs/>
          <w:color w:val="auto"/>
          <w:sz w:val="24"/>
          <w:szCs w:val="24"/>
        </w:rPr>
        <w:t>à, valenza delle determinazioni</w:t>
      </w:r>
      <w:bookmarkEnd w:id="2"/>
      <w:bookmarkEnd w:id="3"/>
      <w:r w:rsidR="00E774DC" w:rsidRPr="004F55DE">
        <w:rPr>
          <w:rFonts w:ascii="Garamond" w:hAnsi="Garamond"/>
          <w:b/>
          <w:bCs/>
          <w:color w:val="auto"/>
          <w:sz w:val="24"/>
          <w:szCs w:val="24"/>
        </w:rPr>
        <w:t xml:space="preserve"> </w:t>
      </w:r>
    </w:p>
    <w:p w14:paraId="6DF48F02" w14:textId="77777777" w:rsidR="00E774DC" w:rsidRPr="001842C6" w:rsidRDefault="00E774DC" w:rsidP="007C047B">
      <w:pPr>
        <w:spacing w:after="0"/>
        <w:jc w:val="both"/>
        <w:rPr>
          <w:rFonts w:ascii="Garamond" w:hAnsi="Garamond"/>
          <w:b/>
          <w:bCs/>
        </w:rPr>
      </w:pPr>
    </w:p>
    <w:p w14:paraId="5A1F440C" w14:textId="384CE546" w:rsidR="00E774DC" w:rsidRDefault="00E774DC" w:rsidP="007C047B">
      <w:pPr>
        <w:spacing w:after="0"/>
        <w:jc w:val="both"/>
        <w:rPr>
          <w:rFonts w:ascii="Garamond" w:hAnsi="Garamond"/>
        </w:rPr>
      </w:pPr>
      <w:r w:rsidRPr="001842C6">
        <w:rPr>
          <w:rFonts w:ascii="Garamond" w:hAnsi="Garamond"/>
        </w:rPr>
        <w:t xml:space="preserve">Ai sensi dell’articolo 218, comma 1 del Codice (riproduttivo dell’art. 6, comma 5, primo periodo del </w:t>
      </w:r>
      <w:proofErr w:type="spellStart"/>
      <w:r w:rsidRPr="001842C6">
        <w:rPr>
          <w:rFonts w:ascii="Garamond" w:hAnsi="Garamond"/>
        </w:rPr>
        <w:t>d.l.</w:t>
      </w:r>
      <w:proofErr w:type="spellEnd"/>
      <w:r w:rsidRPr="001842C6">
        <w:rPr>
          <w:rFonts w:ascii="Garamond" w:hAnsi="Garamond"/>
        </w:rPr>
        <w:t xml:space="preserve"> n. 76/2020), le stazioni appaltanti e gli enti concedenti possono costituire, secondo le modalità dell’allegato V.2, un CCT per risolvere problemi tecnici o giuridici di ogni natura suscettibili di insorgere nella fase antecedente alla esecuzione del contratto. In tal caso, il CCT opera nella fase di predisposizione degli atti di gara</w:t>
      </w:r>
      <w:r w:rsidR="00691856">
        <w:rPr>
          <w:rFonts w:ascii="Garamond" w:hAnsi="Garamond"/>
        </w:rPr>
        <w:t xml:space="preserve"> </w:t>
      </w:r>
      <w:r w:rsidR="00A76107">
        <w:rPr>
          <w:rFonts w:ascii="Garamond" w:hAnsi="Garamond"/>
        </w:rPr>
        <w:t>nonché</w:t>
      </w:r>
      <w:r w:rsidRPr="001842C6">
        <w:rPr>
          <w:rFonts w:ascii="Garamond" w:hAnsi="Garamond"/>
        </w:rPr>
        <w:t xml:space="preserve"> durante la gara</w:t>
      </w:r>
      <w:r w:rsidR="00A76107">
        <w:rPr>
          <w:rStyle w:val="Rimandonotaapidipagina"/>
          <w:rFonts w:ascii="Garamond" w:hAnsi="Garamond"/>
        </w:rPr>
        <w:footnoteReference w:id="2"/>
      </w:r>
      <w:r w:rsidR="00691856">
        <w:rPr>
          <w:rFonts w:ascii="Garamond" w:hAnsi="Garamond"/>
        </w:rPr>
        <w:t>.</w:t>
      </w:r>
      <w:r w:rsidRPr="001842C6">
        <w:rPr>
          <w:rFonts w:ascii="Garamond" w:hAnsi="Garamond"/>
        </w:rPr>
        <w:t xml:space="preserve"> </w:t>
      </w:r>
    </w:p>
    <w:p w14:paraId="4C31E489" w14:textId="74B1423D" w:rsidR="00367461" w:rsidRDefault="00EC07F8" w:rsidP="00E774DC">
      <w:pPr>
        <w:spacing w:after="0"/>
        <w:jc w:val="both"/>
        <w:rPr>
          <w:rFonts w:ascii="Garamond" w:hAnsi="Garamond"/>
        </w:rPr>
      </w:pPr>
      <w:r w:rsidRPr="00EC07F8">
        <w:rPr>
          <w:rFonts w:ascii="Garamond" w:hAnsi="Garamond"/>
        </w:rPr>
        <w:t xml:space="preserve">Per tale ragione, </w:t>
      </w:r>
      <w:r w:rsidR="00DF4316">
        <w:rPr>
          <w:rFonts w:ascii="Garamond" w:hAnsi="Garamond"/>
        </w:rPr>
        <w:t>i</w:t>
      </w:r>
      <w:r w:rsidR="00DF4316" w:rsidRPr="00DF4316">
        <w:rPr>
          <w:rFonts w:ascii="Garamond" w:hAnsi="Garamond"/>
        </w:rPr>
        <w:t xml:space="preserve">l CCT </w:t>
      </w:r>
      <w:r w:rsidR="00DF4316" w:rsidRPr="00DF4316">
        <w:rPr>
          <w:rFonts w:ascii="Garamond" w:hAnsi="Garamond"/>
          <w:i/>
          <w:iCs/>
        </w:rPr>
        <w:t xml:space="preserve">ante </w:t>
      </w:r>
      <w:proofErr w:type="spellStart"/>
      <w:r w:rsidR="00DF4316" w:rsidRPr="00DF4316">
        <w:rPr>
          <w:rFonts w:ascii="Garamond" w:hAnsi="Garamond"/>
          <w:i/>
          <w:iCs/>
        </w:rPr>
        <w:t>operam</w:t>
      </w:r>
      <w:proofErr w:type="spellEnd"/>
      <w:r w:rsidR="00367461">
        <w:rPr>
          <w:rFonts w:ascii="Garamond" w:hAnsi="Garamond"/>
        </w:rPr>
        <w:t xml:space="preserve"> </w:t>
      </w:r>
      <w:r w:rsidR="00DF4316" w:rsidRPr="00DF4316">
        <w:rPr>
          <w:rFonts w:ascii="Garamond" w:hAnsi="Garamond"/>
        </w:rPr>
        <w:t xml:space="preserve">si configura come un </w:t>
      </w:r>
      <w:r w:rsidR="00DF4316">
        <w:rPr>
          <w:rFonts w:ascii="Garamond" w:hAnsi="Garamond"/>
        </w:rPr>
        <w:t>“</w:t>
      </w:r>
      <w:r w:rsidR="00DF4316" w:rsidRPr="00696E45">
        <w:rPr>
          <w:rFonts w:ascii="Garamond" w:hAnsi="Garamond"/>
          <w:i/>
          <w:iCs/>
        </w:rPr>
        <w:t>organo consultivo indipendente della P.A</w:t>
      </w:r>
      <w:r w:rsidR="00DF4316">
        <w:rPr>
          <w:rFonts w:ascii="Garamond" w:hAnsi="Garamond"/>
        </w:rPr>
        <w:t>.”</w:t>
      </w:r>
      <w:r w:rsidR="00DF4316">
        <w:rPr>
          <w:rStyle w:val="Rimandonotaapidipagina"/>
          <w:rFonts w:ascii="Garamond" w:hAnsi="Garamond"/>
        </w:rPr>
        <w:footnoteReference w:id="3"/>
      </w:r>
      <w:r w:rsidR="00DF4316">
        <w:rPr>
          <w:rFonts w:ascii="Garamond" w:hAnsi="Garamond"/>
        </w:rPr>
        <w:t xml:space="preserve">, </w:t>
      </w:r>
      <w:r w:rsidR="00367461" w:rsidRPr="00367461">
        <w:rPr>
          <w:rFonts w:ascii="Garamond" w:hAnsi="Garamond"/>
        </w:rPr>
        <w:t xml:space="preserve">differenziandosi dal CCT costituito nella fase esecutiva, </w:t>
      </w:r>
      <w:r w:rsidR="00367461">
        <w:rPr>
          <w:rFonts w:ascii="Garamond" w:hAnsi="Garamond"/>
        </w:rPr>
        <w:t xml:space="preserve">comunemente </w:t>
      </w:r>
      <w:r w:rsidR="00367461" w:rsidRPr="00367461">
        <w:rPr>
          <w:rFonts w:ascii="Garamond" w:hAnsi="Garamond"/>
        </w:rPr>
        <w:t xml:space="preserve">qualificato come </w:t>
      </w:r>
      <w:r w:rsidR="00367461">
        <w:rPr>
          <w:rFonts w:ascii="Garamond" w:hAnsi="Garamond"/>
        </w:rPr>
        <w:t>“</w:t>
      </w:r>
      <w:r w:rsidR="00367461" w:rsidRPr="00367461">
        <w:rPr>
          <w:rFonts w:ascii="Garamond" w:hAnsi="Garamond"/>
        </w:rPr>
        <w:t>organo mist</w:t>
      </w:r>
      <w:r w:rsidR="00367461">
        <w:rPr>
          <w:rFonts w:ascii="Garamond" w:hAnsi="Garamond"/>
        </w:rPr>
        <w:t>o” con</w:t>
      </w:r>
      <w:r w:rsidR="00367461" w:rsidRPr="00367461">
        <w:rPr>
          <w:rFonts w:ascii="Garamond" w:hAnsi="Garamond"/>
        </w:rPr>
        <w:t xml:space="preserve"> funzioni di consulenza, supporto tecnico-giuridico e, ove necessario, di risoluzione stragiudiziale </w:t>
      </w:r>
      <w:r w:rsidR="00367461" w:rsidRPr="00367461">
        <w:rPr>
          <w:rFonts w:ascii="Garamond" w:hAnsi="Garamond"/>
        </w:rPr>
        <w:lastRenderedPageBreak/>
        <w:t>delle controversie insorte tra le parti di un rapporto contrattuale già perfezionato</w:t>
      </w:r>
      <w:r w:rsidR="007E579E">
        <w:rPr>
          <w:rStyle w:val="Rimandonotaapidipagina"/>
          <w:rFonts w:ascii="Garamond" w:hAnsi="Garamond"/>
        </w:rPr>
        <w:footnoteReference w:id="4"/>
      </w:r>
      <w:r w:rsidR="00573EC6">
        <w:rPr>
          <w:rFonts w:ascii="Garamond" w:hAnsi="Garamond"/>
        </w:rPr>
        <w:t>: certamente entrambi i Collegi sono protesi al perseguimento del principio del risultato, di</w:t>
      </w:r>
      <w:r w:rsidR="00147AFE">
        <w:rPr>
          <w:rFonts w:ascii="Garamond" w:hAnsi="Garamond"/>
        </w:rPr>
        <w:t xml:space="preserve"> cui all’</w:t>
      </w:r>
      <w:r w:rsidR="00573EC6">
        <w:rPr>
          <w:rFonts w:ascii="Garamond" w:hAnsi="Garamond"/>
        </w:rPr>
        <w:t>art.</w:t>
      </w:r>
      <w:r w:rsidR="00B34FA4">
        <w:rPr>
          <w:rFonts w:ascii="Garamond" w:hAnsi="Garamond"/>
        </w:rPr>
        <w:t xml:space="preserve"> </w:t>
      </w:r>
      <w:r w:rsidR="00573EC6">
        <w:rPr>
          <w:rFonts w:ascii="Garamond" w:hAnsi="Garamond"/>
        </w:rPr>
        <w:t>1 del Codice</w:t>
      </w:r>
      <w:r w:rsidR="00147AFE">
        <w:rPr>
          <w:rFonts w:ascii="Garamond" w:hAnsi="Garamond"/>
        </w:rPr>
        <w:t>,</w:t>
      </w:r>
      <w:r w:rsidR="00573EC6">
        <w:rPr>
          <w:rFonts w:ascii="Garamond" w:hAnsi="Garamond"/>
        </w:rPr>
        <w:t xml:space="preserve"> </w:t>
      </w:r>
      <w:r w:rsidR="00147AFE">
        <w:rPr>
          <w:rFonts w:ascii="Garamond" w:hAnsi="Garamond"/>
        </w:rPr>
        <w:t xml:space="preserve">difatti </w:t>
      </w:r>
      <w:r w:rsidR="00573EC6">
        <w:rPr>
          <w:rFonts w:ascii="Garamond" w:hAnsi="Garamond"/>
        </w:rPr>
        <w:t xml:space="preserve">riferito sia all’affidamento del contratto che alla sua esecuzione </w:t>
      </w:r>
      <w:r w:rsidR="00573EC6" w:rsidRPr="007C047B">
        <w:rPr>
          <w:rFonts w:ascii="Garamond" w:hAnsi="Garamond"/>
          <w:i/>
          <w:iCs/>
        </w:rPr>
        <w:t>“con la massima tempestività e il migliore rapporto possibile tra qualità e prezzo, nel rispetto dei principi di legalità, trasparenza e concorrenza”</w:t>
      </w:r>
      <w:r w:rsidR="00147AFE" w:rsidRPr="007C047B">
        <w:rPr>
          <w:rFonts w:ascii="Garamond" w:hAnsi="Garamond"/>
          <w:i/>
          <w:iCs/>
        </w:rPr>
        <w:t>.</w:t>
      </w:r>
    </w:p>
    <w:p w14:paraId="7C82782B" w14:textId="4F471D03" w:rsidR="00E774DC" w:rsidRPr="001842C6" w:rsidRDefault="00367461" w:rsidP="00E774DC">
      <w:pPr>
        <w:spacing w:after="0"/>
        <w:jc w:val="both"/>
        <w:rPr>
          <w:rFonts w:ascii="Garamond" w:hAnsi="Garamond"/>
        </w:rPr>
      </w:pPr>
      <w:r w:rsidRPr="00367461">
        <w:rPr>
          <w:rFonts w:ascii="Garamond" w:hAnsi="Garamond"/>
        </w:rPr>
        <w:t>Il</w:t>
      </w:r>
      <w:r w:rsidR="00E774DC" w:rsidRPr="001842C6">
        <w:rPr>
          <w:rFonts w:ascii="Garamond" w:hAnsi="Garamond"/>
        </w:rPr>
        <w:t xml:space="preserve"> legislatore ha esplicitamente incluso tra le </w:t>
      </w:r>
      <w:r w:rsidR="00E774DC" w:rsidRPr="008807D3">
        <w:rPr>
          <w:rFonts w:ascii="Garamond" w:hAnsi="Garamond"/>
        </w:rPr>
        <w:t>materie</w:t>
      </w:r>
      <w:r w:rsidR="00E774DC" w:rsidRPr="008C2A8E">
        <w:rPr>
          <w:rFonts w:ascii="Garamond" w:hAnsi="Garamond"/>
        </w:rPr>
        <w:t xml:space="preserve"> </w:t>
      </w:r>
      <w:r w:rsidR="00E774DC" w:rsidRPr="008807D3">
        <w:rPr>
          <w:rFonts w:ascii="Garamond" w:hAnsi="Garamond"/>
        </w:rPr>
        <w:t>di competenza</w:t>
      </w:r>
      <w:r w:rsidR="00E774DC" w:rsidRPr="001842C6">
        <w:rPr>
          <w:rFonts w:ascii="Garamond" w:hAnsi="Garamond"/>
        </w:rPr>
        <w:t xml:space="preserve"> del CCT </w:t>
      </w:r>
      <w:r w:rsidR="00E774DC" w:rsidRPr="001842C6">
        <w:rPr>
          <w:rFonts w:ascii="Garamond" w:hAnsi="Garamond"/>
          <w:i/>
          <w:iCs/>
        </w:rPr>
        <w:t xml:space="preserve">ante </w:t>
      </w:r>
      <w:proofErr w:type="spellStart"/>
      <w:r w:rsidR="00E774DC" w:rsidRPr="001842C6">
        <w:rPr>
          <w:rFonts w:ascii="Garamond" w:hAnsi="Garamond"/>
          <w:i/>
          <w:iCs/>
        </w:rPr>
        <w:t>operam</w:t>
      </w:r>
      <w:proofErr w:type="spellEnd"/>
      <w:r w:rsidR="00E774DC" w:rsidRPr="001842C6">
        <w:rPr>
          <w:rFonts w:ascii="Garamond" w:hAnsi="Garamond"/>
        </w:rPr>
        <w:t xml:space="preserve"> la determinazione delle caratteristiche delle opere e delle clausole del bando, nonché la verifica del possesso dei requisiti di partecipazione e dei criteri di selezione e aggiudicazione. L’attribuzione della verifica dei criteri di selezione e di aggiudicazione al CCT </w:t>
      </w:r>
      <w:r w:rsidR="00E774DC" w:rsidRPr="001842C6">
        <w:rPr>
          <w:rFonts w:ascii="Garamond" w:hAnsi="Garamond"/>
          <w:i/>
          <w:iCs/>
        </w:rPr>
        <w:t xml:space="preserve">ante </w:t>
      </w:r>
      <w:proofErr w:type="spellStart"/>
      <w:r w:rsidR="00E774DC" w:rsidRPr="001842C6">
        <w:rPr>
          <w:rFonts w:ascii="Garamond" w:hAnsi="Garamond"/>
          <w:i/>
          <w:iCs/>
        </w:rPr>
        <w:t>operam</w:t>
      </w:r>
      <w:proofErr w:type="spellEnd"/>
      <w:r w:rsidR="00E774DC" w:rsidRPr="001842C6">
        <w:rPr>
          <w:rFonts w:ascii="Garamond" w:hAnsi="Garamond"/>
        </w:rPr>
        <w:t xml:space="preserve"> può apparire </w:t>
      </w:r>
      <w:r w:rsidR="00E774DC" w:rsidRPr="001842C6">
        <w:rPr>
          <w:rFonts w:ascii="Garamond" w:hAnsi="Garamond"/>
          <w:i/>
          <w:iCs/>
        </w:rPr>
        <w:t xml:space="preserve">prima </w:t>
      </w:r>
      <w:proofErr w:type="spellStart"/>
      <w:r w:rsidR="00E774DC" w:rsidRPr="001842C6">
        <w:rPr>
          <w:rFonts w:ascii="Garamond" w:hAnsi="Garamond"/>
          <w:i/>
          <w:iCs/>
        </w:rPr>
        <w:t>facie</w:t>
      </w:r>
      <w:proofErr w:type="spellEnd"/>
      <w:r w:rsidR="00E774DC" w:rsidRPr="001842C6">
        <w:rPr>
          <w:rFonts w:ascii="Garamond" w:hAnsi="Garamond"/>
        </w:rPr>
        <w:t xml:space="preserve"> problematica, data la potenziale sovrapponibilità di competenze con quelle della Commissione giudicatrice (di cui all’art. 93 </w:t>
      </w:r>
      <w:r w:rsidR="002E6A1D">
        <w:rPr>
          <w:rFonts w:ascii="Garamond" w:hAnsi="Garamond"/>
        </w:rPr>
        <w:t xml:space="preserve">del </w:t>
      </w:r>
      <w:r w:rsidR="00E774DC" w:rsidRPr="001842C6">
        <w:rPr>
          <w:rFonts w:ascii="Garamond" w:hAnsi="Garamond"/>
        </w:rPr>
        <w:t>d.lgs. n. 36/2023).</w:t>
      </w:r>
    </w:p>
    <w:p w14:paraId="3448F478" w14:textId="4D887ABB" w:rsidR="00E774DC" w:rsidRPr="001842C6" w:rsidRDefault="00E774DC" w:rsidP="00E774DC">
      <w:pPr>
        <w:spacing w:after="0"/>
        <w:jc w:val="both"/>
        <w:rPr>
          <w:rFonts w:ascii="Garamond" w:hAnsi="Garamond"/>
        </w:rPr>
      </w:pPr>
      <w:r w:rsidRPr="001842C6">
        <w:rPr>
          <w:rFonts w:ascii="Garamond" w:hAnsi="Garamond"/>
        </w:rPr>
        <w:t>A tal proposito, si ritiene tuttavia di poter chiarire che</w:t>
      </w:r>
      <w:r w:rsidR="001235EF" w:rsidRPr="001842C6">
        <w:rPr>
          <w:rFonts w:ascii="Garamond" w:hAnsi="Garamond"/>
        </w:rPr>
        <w:t xml:space="preserve"> tale attività sia evidentemente limitata ad assistere il RUP nelle funzioni che sono di sua specifica competenza: conseguentemente</w:t>
      </w:r>
      <w:r w:rsidRPr="001842C6">
        <w:rPr>
          <w:rFonts w:ascii="Garamond" w:hAnsi="Garamond"/>
        </w:rPr>
        <w:t xml:space="preserve">, allorquando la commissione di gara </w:t>
      </w:r>
      <w:r w:rsidR="001235EF" w:rsidRPr="001842C6">
        <w:rPr>
          <w:rFonts w:ascii="Garamond" w:hAnsi="Garamond"/>
        </w:rPr>
        <w:t>trasmetta alla stazione appaltante la proposta di aggiudicazione</w:t>
      </w:r>
      <w:r w:rsidRPr="001842C6">
        <w:rPr>
          <w:rFonts w:ascii="Garamond" w:hAnsi="Garamond"/>
        </w:rPr>
        <w:t xml:space="preserve">, </w:t>
      </w:r>
      <w:r w:rsidR="001235EF" w:rsidRPr="001842C6">
        <w:rPr>
          <w:rFonts w:ascii="Garamond" w:hAnsi="Garamond"/>
        </w:rPr>
        <w:t>il RUP potrà essere supportato nella sua attività istruttoria ai fini dell’aggiudicazione da</w:t>
      </w:r>
      <w:r w:rsidRPr="001842C6">
        <w:rPr>
          <w:rFonts w:ascii="Garamond" w:hAnsi="Garamond"/>
        </w:rPr>
        <w:t xml:space="preserve">lla struttura di supporto al RUP </w:t>
      </w:r>
      <w:r w:rsidRPr="007A3615">
        <w:rPr>
          <w:rFonts w:ascii="Garamond" w:hAnsi="Garamond"/>
          <w:i/>
          <w:iCs/>
        </w:rPr>
        <w:t>ex</w:t>
      </w:r>
      <w:r w:rsidRPr="001842C6">
        <w:rPr>
          <w:rFonts w:ascii="Garamond" w:hAnsi="Garamond"/>
        </w:rPr>
        <w:t xml:space="preserve"> art.</w:t>
      </w:r>
      <w:r w:rsidR="00B34FA4">
        <w:rPr>
          <w:rFonts w:ascii="Garamond" w:hAnsi="Garamond"/>
        </w:rPr>
        <w:t xml:space="preserve"> </w:t>
      </w:r>
      <w:r w:rsidRPr="001842C6">
        <w:rPr>
          <w:rFonts w:ascii="Garamond" w:hAnsi="Garamond"/>
        </w:rPr>
        <w:t>15, c. 6</w:t>
      </w:r>
      <w:r w:rsidR="00B34FA4">
        <w:rPr>
          <w:rFonts w:ascii="Garamond" w:hAnsi="Garamond"/>
        </w:rPr>
        <w:t>,</w:t>
      </w:r>
      <w:r w:rsidRPr="001842C6">
        <w:rPr>
          <w:rFonts w:ascii="Garamond" w:hAnsi="Garamond"/>
        </w:rPr>
        <w:t xml:space="preserve"> del Codice o</w:t>
      </w:r>
      <w:r w:rsidR="001235EF" w:rsidRPr="001842C6">
        <w:rPr>
          <w:rFonts w:ascii="Garamond" w:hAnsi="Garamond"/>
        </w:rPr>
        <w:t>, per l’appunto, dal</w:t>
      </w:r>
      <w:r w:rsidRPr="001842C6">
        <w:rPr>
          <w:rFonts w:ascii="Garamond" w:hAnsi="Garamond"/>
        </w:rPr>
        <w:t xml:space="preserve"> CCT </w:t>
      </w:r>
      <w:r w:rsidRPr="001842C6">
        <w:rPr>
          <w:rFonts w:ascii="Garamond" w:hAnsi="Garamond"/>
          <w:i/>
          <w:iCs/>
        </w:rPr>
        <w:t xml:space="preserve">ante </w:t>
      </w:r>
      <w:proofErr w:type="spellStart"/>
      <w:r w:rsidRPr="001842C6">
        <w:rPr>
          <w:rFonts w:ascii="Garamond" w:hAnsi="Garamond"/>
          <w:i/>
          <w:iCs/>
        </w:rPr>
        <w:t>operam</w:t>
      </w:r>
      <w:proofErr w:type="spellEnd"/>
      <w:r w:rsidR="001235EF" w:rsidRPr="001842C6">
        <w:rPr>
          <w:rFonts w:ascii="Garamond" w:hAnsi="Garamond"/>
        </w:rPr>
        <w:t>, sia con riguardo alla verifica del possesso dei requisiti che in relazione all’approvazione dell’operato della commissione di gara</w:t>
      </w:r>
      <w:r w:rsidRPr="001842C6">
        <w:rPr>
          <w:rFonts w:ascii="Garamond" w:hAnsi="Garamond"/>
        </w:rPr>
        <w:t>.</w:t>
      </w:r>
    </w:p>
    <w:p w14:paraId="1AD40F81" w14:textId="17ED2BB7" w:rsidR="004C5CE0" w:rsidRPr="001842C6" w:rsidRDefault="00E774DC" w:rsidP="00E774DC">
      <w:pPr>
        <w:spacing w:after="0"/>
        <w:jc w:val="both"/>
        <w:rPr>
          <w:rFonts w:ascii="Garamond" w:hAnsi="Garamond"/>
        </w:rPr>
      </w:pPr>
      <w:r w:rsidRPr="001842C6">
        <w:rPr>
          <w:rFonts w:ascii="Garamond" w:hAnsi="Garamond"/>
        </w:rPr>
        <w:t xml:space="preserve">In qualunque caso, </w:t>
      </w:r>
      <w:r w:rsidR="00691856">
        <w:rPr>
          <w:rFonts w:ascii="Garamond" w:hAnsi="Garamond"/>
        </w:rPr>
        <w:t xml:space="preserve">naturalmente, </w:t>
      </w:r>
      <w:r w:rsidRPr="001842C6">
        <w:rPr>
          <w:rFonts w:ascii="Garamond" w:hAnsi="Garamond"/>
        </w:rPr>
        <w:t xml:space="preserve">l’attività delegata non può consistere in attività decisionale, ma in attività meramente istruttoria e di approfondimento prodromica alla fase decisionale, di esclusiva spettanza della Commissione giudicatrice. </w:t>
      </w:r>
    </w:p>
    <w:p w14:paraId="7F26D59A" w14:textId="34B8AF2F" w:rsidR="00620F3F" w:rsidRPr="001842C6" w:rsidRDefault="004C5CE0" w:rsidP="00620F3F">
      <w:pPr>
        <w:spacing w:after="0"/>
        <w:jc w:val="both"/>
        <w:rPr>
          <w:rFonts w:ascii="Garamond" w:hAnsi="Garamond"/>
        </w:rPr>
      </w:pPr>
      <w:r>
        <w:rPr>
          <w:rFonts w:ascii="Garamond" w:hAnsi="Garamond"/>
        </w:rPr>
        <w:t xml:space="preserve">Prima di addentrarci nella disciplina di dettaglio, appare opportuno mettere in luce talune fattispecie contrattuali in cui risultano maggiormente evidenti le ragioni di opportunità in ordine all’istituzione di un CCT </w:t>
      </w:r>
      <w:r w:rsidRPr="008807D3">
        <w:rPr>
          <w:rFonts w:ascii="Garamond" w:hAnsi="Garamond"/>
          <w:i/>
          <w:iCs/>
        </w:rPr>
        <w:t xml:space="preserve">ante </w:t>
      </w:r>
      <w:proofErr w:type="spellStart"/>
      <w:r w:rsidRPr="008807D3">
        <w:rPr>
          <w:rFonts w:ascii="Garamond" w:hAnsi="Garamond"/>
          <w:i/>
          <w:iCs/>
        </w:rPr>
        <w:t>operam</w:t>
      </w:r>
      <w:proofErr w:type="spellEnd"/>
      <w:r>
        <w:rPr>
          <w:rFonts w:ascii="Garamond" w:hAnsi="Garamond"/>
        </w:rPr>
        <w:t xml:space="preserve">. </w:t>
      </w:r>
      <w:r w:rsidR="008807D3">
        <w:rPr>
          <w:rFonts w:ascii="Garamond" w:hAnsi="Garamond"/>
        </w:rPr>
        <w:t>All’art</w:t>
      </w:r>
      <w:r w:rsidR="00B34FA4">
        <w:rPr>
          <w:rFonts w:ascii="Garamond" w:hAnsi="Garamond"/>
        </w:rPr>
        <w:t>.</w:t>
      </w:r>
      <w:r w:rsidR="00620F3F" w:rsidRPr="001842C6">
        <w:rPr>
          <w:rFonts w:ascii="Garamond" w:hAnsi="Garamond"/>
        </w:rPr>
        <w:t xml:space="preserve"> 1.3.2.</w:t>
      </w:r>
      <w:r w:rsidR="008807D3">
        <w:rPr>
          <w:rFonts w:ascii="Garamond" w:hAnsi="Garamond"/>
        </w:rPr>
        <w:t xml:space="preserve"> delle </w:t>
      </w:r>
      <w:r w:rsidR="008807D3" w:rsidRPr="008807D3">
        <w:rPr>
          <w:rFonts w:ascii="Garamond" w:hAnsi="Garamond"/>
        </w:rPr>
        <w:t>Linee Guida di cui al Decreto MIMS 17.01.2022, n. 12</w:t>
      </w:r>
      <w:r w:rsidR="008807D3">
        <w:rPr>
          <w:rFonts w:ascii="Garamond" w:hAnsi="Garamond"/>
        </w:rPr>
        <w:t xml:space="preserve"> – certamente utili a livello interpretativo</w:t>
      </w:r>
      <w:r w:rsidR="009E2E16">
        <w:rPr>
          <w:rFonts w:ascii="Garamond" w:hAnsi="Garamond"/>
        </w:rPr>
        <w:t>,</w:t>
      </w:r>
      <w:r w:rsidR="008807D3">
        <w:rPr>
          <w:rFonts w:ascii="Garamond" w:hAnsi="Garamond"/>
        </w:rPr>
        <w:t xml:space="preserve"> </w:t>
      </w:r>
      <w:r w:rsidR="008807D3" w:rsidRPr="001842C6">
        <w:rPr>
          <w:rFonts w:ascii="Garamond" w:hAnsi="Garamond"/>
        </w:rPr>
        <w:t>sebbene a seguito dell’entrata in vigore del Correttivo (d.lgs. n. 209/2024) le stesse non trovino più applicazione generalizzata e siano cogenti solamente con riferimento alla determinazione dei compensi (</w:t>
      </w:r>
      <w:r w:rsidR="008807D3" w:rsidRPr="001842C6">
        <w:rPr>
          <w:rFonts w:ascii="Garamond" w:hAnsi="Garamond"/>
          <w:i/>
          <w:iCs/>
        </w:rPr>
        <w:t xml:space="preserve">cfr. </w:t>
      </w:r>
      <w:r w:rsidR="008807D3" w:rsidRPr="001842C6">
        <w:rPr>
          <w:rFonts w:ascii="Garamond" w:hAnsi="Garamond"/>
        </w:rPr>
        <w:t xml:space="preserve">art. 1, comma 6, ultimo periodo </w:t>
      </w:r>
      <w:proofErr w:type="spellStart"/>
      <w:r w:rsidR="008807D3" w:rsidRPr="001842C6">
        <w:rPr>
          <w:rFonts w:ascii="Garamond" w:hAnsi="Garamond"/>
        </w:rPr>
        <w:t>all</w:t>
      </w:r>
      <w:proofErr w:type="spellEnd"/>
      <w:r w:rsidR="008807D3" w:rsidRPr="001842C6">
        <w:rPr>
          <w:rFonts w:ascii="Garamond" w:hAnsi="Garamond"/>
        </w:rPr>
        <w:t>. V.2)</w:t>
      </w:r>
      <w:r w:rsidR="008807D3">
        <w:rPr>
          <w:rFonts w:ascii="Garamond" w:hAnsi="Garamond"/>
        </w:rPr>
        <w:t xml:space="preserve"> </w:t>
      </w:r>
      <w:r w:rsidR="001C38B0">
        <w:rPr>
          <w:rFonts w:ascii="Garamond" w:hAnsi="Garamond"/>
        </w:rPr>
        <w:t>–</w:t>
      </w:r>
      <w:r w:rsidR="008807D3">
        <w:rPr>
          <w:rFonts w:ascii="Garamond" w:hAnsi="Garamond"/>
        </w:rPr>
        <w:t xml:space="preserve"> </w:t>
      </w:r>
      <w:r w:rsidR="00620F3F" w:rsidRPr="001842C6">
        <w:rPr>
          <w:rFonts w:ascii="Garamond" w:hAnsi="Garamond"/>
        </w:rPr>
        <w:t>si raccomanda la costituzione del CCT in questione</w:t>
      </w:r>
      <w:r w:rsidR="00620F3F" w:rsidRPr="001842C6">
        <w:rPr>
          <w:rFonts w:ascii="Garamond" w:hAnsi="Garamond"/>
          <w:i/>
          <w:iCs/>
        </w:rPr>
        <w:t xml:space="preserve"> </w:t>
      </w:r>
      <w:r w:rsidR="00620F3F" w:rsidRPr="001842C6">
        <w:rPr>
          <w:rFonts w:ascii="Garamond" w:hAnsi="Garamond"/>
        </w:rPr>
        <w:t xml:space="preserve">per le opere finanziate con le risorse del PNRR e del PNC. Se si guarda alla </w:t>
      </w:r>
      <w:r w:rsidR="00620F3F" w:rsidRPr="001842C6">
        <w:rPr>
          <w:rFonts w:ascii="Garamond" w:hAnsi="Garamond"/>
          <w:i/>
          <w:iCs/>
        </w:rPr>
        <w:t xml:space="preserve">ratio </w:t>
      </w:r>
      <w:r w:rsidR="00620F3F" w:rsidRPr="001842C6">
        <w:rPr>
          <w:rFonts w:ascii="Garamond" w:hAnsi="Garamond"/>
        </w:rPr>
        <w:t>della suddetta raccomandazione</w:t>
      </w:r>
      <w:r w:rsidR="001C38B0">
        <w:rPr>
          <w:rFonts w:ascii="Garamond" w:hAnsi="Garamond"/>
        </w:rPr>
        <w:t xml:space="preserve">, </w:t>
      </w:r>
      <w:r w:rsidR="00620F3F" w:rsidRPr="001842C6">
        <w:rPr>
          <w:rFonts w:ascii="Garamond" w:hAnsi="Garamond"/>
        </w:rPr>
        <w:t xml:space="preserve">sembra sostenibile che il CCT </w:t>
      </w:r>
      <w:r w:rsidR="00620F3F" w:rsidRPr="001842C6">
        <w:rPr>
          <w:rFonts w:ascii="Garamond" w:hAnsi="Garamond"/>
          <w:i/>
          <w:iCs/>
        </w:rPr>
        <w:t xml:space="preserve">ante </w:t>
      </w:r>
      <w:proofErr w:type="spellStart"/>
      <w:r w:rsidR="00620F3F" w:rsidRPr="001842C6">
        <w:rPr>
          <w:rFonts w:ascii="Garamond" w:hAnsi="Garamond"/>
          <w:i/>
          <w:iCs/>
        </w:rPr>
        <w:t>operam</w:t>
      </w:r>
      <w:proofErr w:type="spellEnd"/>
      <w:r w:rsidR="00620F3F" w:rsidRPr="001842C6">
        <w:rPr>
          <w:rFonts w:ascii="Garamond" w:hAnsi="Garamond"/>
          <w:i/>
          <w:iCs/>
        </w:rPr>
        <w:t xml:space="preserve"> </w:t>
      </w:r>
      <w:r w:rsidR="00620F3F" w:rsidRPr="001842C6">
        <w:rPr>
          <w:rFonts w:ascii="Garamond" w:hAnsi="Garamond"/>
        </w:rPr>
        <w:t>sia implicitamente raccomanda</w:t>
      </w:r>
      <w:r w:rsidR="001C38B0">
        <w:rPr>
          <w:rFonts w:ascii="Garamond" w:hAnsi="Garamond"/>
        </w:rPr>
        <w:t>bile</w:t>
      </w:r>
      <w:r w:rsidR="00620F3F" w:rsidRPr="001842C6">
        <w:rPr>
          <w:rFonts w:ascii="Garamond" w:hAnsi="Garamond"/>
        </w:rPr>
        <w:t xml:space="preserve"> con riferimento a tutte le opere la cui realizzazione sia prevista in norme speciali acceleratorie, e, cioè, quelle che prevedono </w:t>
      </w:r>
      <w:r w:rsidR="00620F3F" w:rsidRPr="001842C6">
        <w:rPr>
          <w:rFonts w:ascii="Garamond" w:hAnsi="Garamond"/>
          <w:i/>
          <w:iCs/>
        </w:rPr>
        <w:t xml:space="preserve">milestones </w:t>
      </w:r>
      <w:r w:rsidR="00620F3F" w:rsidRPr="001842C6">
        <w:rPr>
          <w:rFonts w:ascii="Garamond" w:hAnsi="Garamond"/>
        </w:rPr>
        <w:t>da rispettare per non perdere finanziamenti (es. d</w:t>
      </w:r>
      <w:r w:rsidR="00493B29">
        <w:rPr>
          <w:rFonts w:ascii="Garamond" w:hAnsi="Garamond"/>
        </w:rPr>
        <w:t>ecreto legge 11.03.2020, n</w:t>
      </w:r>
      <w:r w:rsidR="00B34FA4">
        <w:rPr>
          <w:rFonts w:ascii="Garamond" w:hAnsi="Garamond"/>
        </w:rPr>
        <w:t>.</w:t>
      </w:r>
      <w:r w:rsidR="00620F3F" w:rsidRPr="001842C6">
        <w:rPr>
          <w:rFonts w:ascii="Garamond" w:hAnsi="Garamond"/>
        </w:rPr>
        <w:t xml:space="preserve"> 16 e </w:t>
      </w:r>
      <w:proofErr w:type="spellStart"/>
      <w:r w:rsidR="00620F3F" w:rsidRPr="001842C6">
        <w:rPr>
          <w:rFonts w:ascii="Garamond" w:hAnsi="Garamond"/>
        </w:rPr>
        <w:t>ss.mm.ii</w:t>
      </w:r>
      <w:proofErr w:type="spellEnd"/>
      <w:r w:rsidR="00620F3F" w:rsidRPr="001842C6">
        <w:rPr>
          <w:rFonts w:ascii="Garamond" w:hAnsi="Garamond"/>
        </w:rPr>
        <w:t>. sulle Olimpiadi Milano-Cortina).</w:t>
      </w:r>
      <w:r w:rsidR="00493B29">
        <w:rPr>
          <w:rFonts w:ascii="Garamond" w:hAnsi="Garamond"/>
        </w:rPr>
        <w:t xml:space="preserve"> </w:t>
      </w:r>
      <w:r w:rsidR="001C38B0">
        <w:rPr>
          <w:rFonts w:ascii="Garamond" w:hAnsi="Garamond"/>
        </w:rPr>
        <w:t>Inoltre, q</w:t>
      </w:r>
      <w:r w:rsidR="00620F3F">
        <w:rPr>
          <w:rFonts w:ascii="Garamond" w:hAnsi="Garamond"/>
        </w:rPr>
        <w:t xml:space="preserve">uesta raccomandazione suscita una riflessione più ampia in ordine alle fattispecie nelle quali sarebbe opportuno costituire un Collegio </w:t>
      </w:r>
      <w:r w:rsidR="00620F3F" w:rsidRPr="00EE6F1F">
        <w:rPr>
          <w:rFonts w:ascii="Garamond" w:hAnsi="Garamond"/>
          <w:i/>
          <w:iCs/>
        </w:rPr>
        <w:t xml:space="preserve">ante </w:t>
      </w:r>
      <w:proofErr w:type="spellStart"/>
      <w:r w:rsidR="00620F3F" w:rsidRPr="00EE6F1F">
        <w:rPr>
          <w:rFonts w:ascii="Garamond" w:hAnsi="Garamond"/>
          <w:i/>
          <w:iCs/>
        </w:rPr>
        <w:t>operam</w:t>
      </w:r>
      <w:proofErr w:type="spellEnd"/>
      <w:r w:rsidR="00620F3F">
        <w:rPr>
          <w:rFonts w:ascii="Garamond" w:hAnsi="Garamond"/>
        </w:rPr>
        <w:t xml:space="preserve">: si pensi in particolare ai contratti di partenariato pubblico privato che, oltre al </w:t>
      </w:r>
      <w:r w:rsidR="00620F3F" w:rsidRPr="00EE6F1F">
        <w:rPr>
          <w:rFonts w:ascii="Garamond" w:hAnsi="Garamond"/>
          <w:i/>
          <w:iCs/>
        </w:rPr>
        <w:t>know-how</w:t>
      </w:r>
      <w:r w:rsidR="00620F3F">
        <w:rPr>
          <w:rFonts w:ascii="Garamond" w:hAnsi="Garamond"/>
        </w:rPr>
        <w:t xml:space="preserve"> giuridico ed ai profili tecnici peculiari, richiedono una precipua competenza economico-finanziaria. Ed ancora, anche l’appalto integrato è una fattispecie complessa che potrebbe suggerire l’apporto professionale del CCT </w:t>
      </w:r>
      <w:r w:rsidR="00620F3F" w:rsidRPr="00EE6F1F">
        <w:rPr>
          <w:rFonts w:ascii="Garamond" w:hAnsi="Garamond"/>
          <w:i/>
          <w:iCs/>
        </w:rPr>
        <w:t xml:space="preserve">ante </w:t>
      </w:r>
      <w:proofErr w:type="spellStart"/>
      <w:r w:rsidR="00620F3F" w:rsidRPr="00EE6F1F">
        <w:rPr>
          <w:rFonts w:ascii="Garamond" w:hAnsi="Garamond"/>
          <w:i/>
          <w:iCs/>
        </w:rPr>
        <w:t>operam</w:t>
      </w:r>
      <w:proofErr w:type="spellEnd"/>
      <w:r w:rsidR="00620F3F">
        <w:rPr>
          <w:rFonts w:ascii="Garamond" w:hAnsi="Garamond"/>
        </w:rPr>
        <w:t>. In buona sostanza, se la complessità di talune fattispecie si traduce in un maggior rischio di errori da parte delle stazioni appaltanti, l’esigenza di disporre del CCT in fase di impostazione della gara dovrebbe essere particolarmente avvertita anche al precipuo fine di giovarsi della valenza esimente dal danno erariale derivante dal rispetto dei pareri del Collegio.</w:t>
      </w:r>
    </w:p>
    <w:p w14:paraId="3A097E7F" w14:textId="66DB5193" w:rsidR="009D4CC8" w:rsidRPr="009D4CC8" w:rsidRDefault="00E310BF" w:rsidP="009D4CC8">
      <w:pPr>
        <w:spacing w:after="0"/>
        <w:jc w:val="both"/>
        <w:rPr>
          <w:rFonts w:ascii="Garamond" w:hAnsi="Garamond"/>
        </w:rPr>
      </w:pPr>
      <w:r>
        <w:rPr>
          <w:rFonts w:ascii="Garamond" w:hAnsi="Garamond"/>
        </w:rPr>
        <w:t>Pe</w:t>
      </w:r>
      <w:r w:rsidR="00C65F1F">
        <w:rPr>
          <w:rFonts w:ascii="Garamond" w:hAnsi="Garamond"/>
        </w:rPr>
        <w:t>r</w:t>
      </w:r>
      <w:r>
        <w:rPr>
          <w:rFonts w:ascii="Garamond" w:hAnsi="Garamond"/>
        </w:rPr>
        <w:t xml:space="preserve"> quanto concerne </w:t>
      </w:r>
      <w:r w:rsidR="009D4CC8" w:rsidRPr="009D4CC8">
        <w:rPr>
          <w:rFonts w:ascii="Garamond" w:hAnsi="Garamond"/>
        </w:rPr>
        <w:t xml:space="preserve">le funzioni da attribuire al CCT </w:t>
      </w:r>
      <w:r w:rsidR="009D4CC8" w:rsidRPr="009D4CC8">
        <w:rPr>
          <w:rFonts w:ascii="Garamond" w:hAnsi="Garamond"/>
          <w:i/>
          <w:iCs/>
        </w:rPr>
        <w:t xml:space="preserve">ante </w:t>
      </w:r>
      <w:proofErr w:type="spellStart"/>
      <w:r w:rsidR="009D4CC8" w:rsidRPr="009D4CC8">
        <w:rPr>
          <w:rFonts w:ascii="Garamond" w:hAnsi="Garamond"/>
          <w:i/>
          <w:iCs/>
        </w:rPr>
        <w:t>operam</w:t>
      </w:r>
      <w:proofErr w:type="spellEnd"/>
      <w:r>
        <w:rPr>
          <w:rFonts w:ascii="Garamond" w:hAnsi="Garamond"/>
        </w:rPr>
        <w:t xml:space="preserve">, si è dell’avviso che </w:t>
      </w:r>
      <w:r w:rsidR="00F5095E">
        <w:rPr>
          <w:rFonts w:ascii="Garamond" w:hAnsi="Garamond"/>
        </w:rPr>
        <w:t xml:space="preserve">la loro predeterminazione </w:t>
      </w:r>
      <w:r w:rsidR="00BF3581">
        <w:rPr>
          <w:rFonts w:ascii="Garamond" w:hAnsi="Garamond"/>
        </w:rPr>
        <w:t xml:space="preserve">non </w:t>
      </w:r>
      <w:r w:rsidR="009D4CC8" w:rsidRPr="009D4CC8">
        <w:rPr>
          <w:rFonts w:ascii="Garamond" w:hAnsi="Garamond"/>
        </w:rPr>
        <w:t>costituisc</w:t>
      </w:r>
      <w:r>
        <w:rPr>
          <w:rFonts w:ascii="Garamond" w:hAnsi="Garamond"/>
        </w:rPr>
        <w:t>a</w:t>
      </w:r>
      <w:r w:rsidR="009D4CC8" w:rsidRPr="009D4CC8">
        <w:rPr>
          <w:rFonts w:ascii="Garamond" w:hAnsi="Garamond"/>
        </w:rPr>
        <w:t xml:space="preserve"> un obbligo, </w:t>
      </w:r>
      <w:r w:rsidR="00E91164">
        <w:rPr>
          <w:rFonts w:ascii="Garamond" w:hAnsi="Garamond"/>
        </w:rPr>
        <w:t>quanto piuttosto</w:t>
      </w:r>
      <w:r w:rsidR="009D4CC8" w:rsidRPr="009D4CC8">
        <w:rPr>
          <w:rFonts w:ascii="Garamond" w:hAnsi="Garamond"/>
        </w:rPr>
        <w:t xml:space="preserve"> una mera facoltà</w:t>
      </w:r>
      <w:r w:rsidR="00BF3581">
        <w:rPr>
          <w:rFonts w:ascii="Garamond" w:hAnsi="Garamond"/>
        </w:rPr>
        <w:t>. In tal senso d</w:t>
      </w:r>
      <w:r w:rsidR="00BF3581" w:rsidRPr="00BF3581">
        <w:rPr>
          <w:rFonts w:ascii="Garamond" w:hAnsi="Garamond"/>
        </w:rPr>
        <w:t xml:space="preserve">epongono </w:t>
      </w:r>
      <w:r w:rsidR="00BF3581" w:rsidRPr="00BF3581">
        <w:rPr>
          <w:rFonts w:ascii="Garamond" w:hAnsi="Garamond"/>
        </w:rPr>
        <w:lastRenderedPageBreak/>
        <w:t>sia la formulazione letterale dell’art. 218 del Codice</w:t>
      </w:r>
      <w:r w:rsidR="00665DDC">
        <w:rPr>
          <w:rFonts w:ascii="Garamond" w:hAnsi="Garamond"/>
        </w:rPr>
        <w:t xml:space="preserve">, </w:t>
      </w:r>
      <w:r w:rsidR="00BF3581" w:rsidRPr="00BF3581">
        <w:rPr>
          <w:rFonts w:ascii="Garamond" w:hAnsi="Garamond"/>
        </w:rPr>
        <w:t>sia il complessivo sistema delineato dagli artt. 215, 216, 217 e 218, dai quali emerge come compiti e attribuzioni del Collegio trovino il proprio fondamento direttamente nella legge</w:t>
      </w:r>
      <w:r w:rsidR="004C4C5A">
        <w:rPr>
          <w:rFonts w:ascii="Garamond" w:hAnsi="Garamond"/>
        </w:rPr>
        <w:t>.</w:t>
      </w:r>
    </w:p>
    <w:p w14:paraId="36E003CC" w14:textId="69E63A87" w:rsidR="004C5CE0" w:rsidRDefault="005D6619" w:rsidP="00E774DC">
      <w:pPr>
        <w:spacing w:after="0"/>
        <w:jc w:val="both"/>
        <w:rPr>
          <w:rFonts w:ascii="Garamond" w:hAnsi="Garamond"/>
        </w:rPr>
      </w:pPr>
      <w:r w:rsidRPr="005D6619">
        <w:rPr>
          <w:rFonts w:ascii="Garamond" w:hAnsi="Garamond"/>
        </w:rPr>
        <w:t xml:space="preserve">Né sembra possibile desumere una diversa conclusione dalla disciplina dettata per il CCT facoltativo nei contratti di importo inferiore alle soglie europee, rispetto al quale il legislatore dispone che </w:t>
      </w:r>
      <w:r>
        <w:rPr>
          <w:rFonts w:ascii="Garamond" w:hAnsi="Garamond"/>
        </w:rPr>
        <w:t>“</w:t>
      </w:r>
      <w:r w:rsidRPr="00071F2A">
        <w:rPr>
          <w:rFonts w:ascii="Garamond" w:hAnsi="Garamond"/>
          <w:i/>
          <w:iCs/>
        </w:rPr>
        <w:t>le parti sono tenute a precisare quali compiti intendono attribuire al CCT tra quelli previsti dagli articoli 215, 216, 217 e 218 del codice</w:t>
      </w:r>
      <w:r>
        <w:rPr>
          <w:rFonts w:ascii="Garamond" w:hAnsi="Garamond"/>
        </w:rPr>
        <w:t>”</w:t>
      </w:r>
      <w:r w:rsidRPr="005D6619">
        <w:rPr>
          <w:rFonts w:ascii="Garamond" w:hAnsi="Garamond"/>
        </w:rPr>
        <w:t xml:space="preserve"> (art. 3, comma 4, All. V.2).</w:t>
      </w:r>
      <w:r>
        <w:rPr>
          <w:rFonts w:ascii="Garamond" w:hAnsi="Garamond"/>
        </w:rPr>
        <w:t xml:space="preserve"> </w:t>
      </w:r>
      <w:r w:rsidRPr="005D6619">
        <w:rPr>
          <w:rFonts w:ascii="Garamond" w:hAnsi="Garamond"/>
        </w:rPr>
        <w:t>Una simile previsione risponde, infatti, a una logica propria del Collegio costituito nell’ambito di un rapporto contrattuale già perfezionato. Ben diversa</w:t>
      </w:r>
      <w:r w:rsidR="009D4CC8">
        <w:rPr>
          <w:rFonts w:ascii="Garamond" w:hAnsi="Garamond"/>
        </w:rPr>
        <w:t>, invece,</w:t>
      </w:r>
      <w:r w:rsidRPr="005D6619">
        <w:rPr>
          <w:rFonts w:ascii="Garamond" w:hAnsi="Garamond"/>
        </w:rPr>
        <w:t xml:space="preserve"> è la situazione del CCT </w:t>
      </w:r>
      <w:r w:rsidRPr="005D6619">
        <w:rPr>
          <w:rFonts w:ascii="Garamond" w:hAnsi="Garamond"/>
          <w:i/>
          <w:iCs/>
        </w:rPr>
        <w:t xml:space="preserve">ante </w:t>
      </w:r>
      <w:proofErr w:type="spellStart"/>
      <w:r w:rsidRPr="005D6619">
        <w:rPr>
          <w:rFonts w:ascii="Garamond" w:hAnsi="Garamond"/>
          <w:i/>
          <w:iCs/>
        </w:rPr>
        <w:t>operam</w:t>
      </w:r>
      <w:proofErr w:type="spellEnd"/>
      <w:r w:rsidRPr="005D6619">
        <w:rPr>
          <w:rFonts w:ascii="Garamond" w:hAnsi="Garamond"/>
        </w:rPr>
        <w:t xml:space="preserve">, che interviene in una fase </w:t>
      </w:r>
      <w:r w:rsidR="00F5095E">
        <w:rPr>
          <w:rFonts w:ascii="Garamond" w:hAnsi="Garamond"/>
        </w:rPr>
        <w:t>nella quale in cui</w:t>
      </w:r>
      <w:r w:rsidRPr="005D6619">
        <w:rPr>
          <w:rFonts w:ascii="Garamond" w:hAnsi="Garamond"/>
        </w:rPr>
        <w:t xml:space="preserve"> il contraente privato non è stato ancora individuato e</w:t>
      </w:r>
      <w:r w:rsidR="00F5095E">
        <w:rPr>
          <w:rFonts w:ascii="Garamond" w:hAnsi="Garamond"/>
        </w:rPr>
        <w:t>d in cui</w:t>
      </w:r>
      <w:r w:rsidRPr="005D6619">
        <w:rPr>
          <w:rFonts w:ascii="Garamond" w:hAnsi="Garamond"/>
        </w:rPr>
        <w:t>, pertanto, difetta uno dei presupposti soggettivi</w:t>
      </w:r>
      <w:r w:rsidR="00E310BF">
        <w:rPr>
          <w:rFonts w:ascii="Garamond" w:hAnsi="Garamond"/>
        </w:rPr>
        <w:t xml:space="preserve">, per l’appunto l’assenza delle parti, </w:t>
      </w:r>
      <w:r w:rsidRPr="005D6619">
        <w:rPr>
          <w:rFonts w:ascii="Garamond" w:hAnsi="Garamond"/>
        </w:rPr>
        <w:t>cui la norma appena richiamata collega l’obbligo di precisazione dei compiti del Collegio.</w:t>
      </w:r>
    </w:p>
    <w:p w14:paraId="3E4BA442" w14:textId="5A32DE73" w:rsidR="00A84402" w:rsidRDefault="00A84402" w:rsidP="00A84402">
      <w:pPr>
        <w:spacing w:after="0"/>
        <w:jc w:val="both"/>
        <w:rPr>
          <w:rFonts w:ascii="Garamond" w:hAnsi="Garamond"/>
        </w:rPr>
      </w:pPr>
      <w:r>
        <w:rPr>
          <w:rFonts w:ascii="Garamond" w:hAnsi="Garamond"/>
        </w:rPr>
        <w:t xml:space="preserve">Quanto poi alla valenza delle determinazioni del Collegio, si evidenzia che </w:t>
      </w:r>
      <w:r w:rsidR="00811D17">
        <w:rPr>
          <w:rFonts w:ascii="Garamond" w:hAnsi="Garamond"/>
        </w:rPr>
        <w:t>al</w:t>
      </w:r>
      <w:r w:rsidRPr="001842C6">
        <w:rPr>
          <w:rFonts w:ascii="Garamond" w:hAnsi="Garamond"/>
        </w:rPr>
        <w:t>l’art. 5.3.1</w:t>
      </w:r>
      <w:r>
        <w:rPr>
          <w:rFonts w:ascii="Garamond" w:hAnsi="Garamond"/>
        </w:rPr>
        <w:t xml:space="preserve"> delle </w:t>
      </w:r>
      <w:r w:rsidR="00811D17">
        <w:rPr>
          <w:rFonts w:ascii="Garamond" w:hAnsi="Garamond"/>
        </w:rPr>
        <w:t xml:space="preserve">citate </w:t>
      </w:r>
      <w:r>
        <w:rPr>
          <w:rFonts w:ascii="Garamond" w:hAnsi="Garamond"/>
        </w:rPr>
        <w:t>Linee</w:t>
      </w:r>
      <w:r w:rsidR="00811D17">
        <w:rPr>
          <w:rFonts w:ascii="Garamond" w:hAnsi="Garamond"/>
        </w:rPr>
        <w:t xml:space="preserve"> </w:t>
      </w:r>
      <w:r>
        <w:rPr>
          <w:rFonts w:ascii="Garamond" w:hAnsi="Garamond"/>
        </w:rPr>
        <w:t>Guida</w:t>
      </w:r>
      <w:r w:rsidRPr="001842C6">
        <w:rPr>
          <w:rFonts w:ascii="Garamond" w:hAnsi="Garamond"/>
          <w:i/>
          <w:iCs/>
        </w:rPr>
        <w:t xml:space="preserve"> </w:t>
      </w:r>
      <w:r w:rsidR="00811D17">
        <w:rPr>
          <w:rFonts w:ascii="Garamond" w:hAnsi="Garamond"/>
        </w:rPr>
        <w:t>vengono</w:t>
      </w:r>
      <w:r>
        <w:rPr>
          <w:rFonts w:ascii="Garamond" w:hAnsi="Garamond"/>
        </w:rPr>
        <w:t xml:space="preserve"> </w:t>
      </w:r>
      <w:r w:rsidRPr="001842C6">
        <w:rPr>
          <w:rFonts w:ascii="Garamond" w:hAnsi="Garamond"/>
        </w:rPr>
        <w:t>qualifica</w:t>
      </w:r>
      <w:r w:rsidR="00811D17">
        <w:rPr>
          <w:rFonts w:ascii="Garamond" w:hAnsi="Garamond"/>
        </w:rPr>
        <w:t>te</w:t>
      </w:r>
      <w:r w:rsidRPr="001842C6">
        <w:rPr>
          <w:rFonts w:ascii="Garamond" w:hAnsi="Garamond"/>
        </w:rPr>
        <w:t xml:space="preserve"> come “non vincolanti” per il RUP, specificando, al contempo, che – da un lato – l’inosservanza delle determinazioni del CCT viene valutata ai fini della responsabilità del soggetto agente per danno erariale e – dall’altro –</w:t>
      </w:r>
      <w:r>
        <w:rPr>
          <w:rFonts w:ascii="Garamond" w:hAnsi="Garamond"/>
        </w:rPr>
        <w:t xml:space="preserve"> </w:t>
      </w:r>
      <w:r w:rsidRPr="001842C6">
        <w:rPr>
          <w:rFonts w:ascii="Garamond" w:hAnsi="Garamond"/>
        </w:rPr>
        <w:t>l’osservanza delle determinazioni del CCT è causa di esclusione della responsabilità del soggetto agente per danno erariale, salvo il dolo.</w:t>
      </w:r>
    </w:p>
    <w:p w14:paraId="41B65C38" w14:textId="2C258028" w:rsidR="00A84402" w:rsidRDefault="00493B29" w:rsidP="00E774DC">
      <w:pPr>
        <w:spacing w:after="0"/>
        <w:jc w:val="both"/>
        <w:rPr>
          <w:rFonts w:ascii="Garamond" w:hAnsi="Garamond"/>
        </w:rPr>
      </w:pPr>
      <w:r>
        <w:rPr>
          <w:rFonts w:ascii="Garamond" w:hAnsi="Garamond"/>
        </w:rPr>
        <w:t xml:space="preserve">Infine, essendo, come si è detto, il CCT </w:t>
      </w:r>
      <w:r w:rsidRPr="00C0729B">
        <w:rPr>
          <w:rFonts w:ascii="Garamond" w:hAnsi="Garamond"/>
          <w:i/>
          <w:iCs/>
        </w:rPr>
        <w:t xml:space="preserve">ante </w:t>
      </w:r>
      <w:proofErr w:type="spellStart"/>
      <w:r w:rsidRPr="00C0729B">
        <w:rPr>
          <w:rFonts w:ascii="Garamond" w:hAnsi="Garamond"/>
          <w:i/>
          <w:iCs/>
        </w:rPr>
        <w:t>operam</w:t>
      </w:r>
      <w:proofErr w:type="spellEnd"/>
      <w:r>
        <w:rPr>
          <w:rFonts w:ascii="Garamond" w:hAnsi="Garamond"/>
        </w:rPr>
        <w:t xml:space="preserve"> ascrivibile nell’alveo degli istituti volti al persegu</w:t>
      </w:r>
      <w:r w:rsidR="00FE168B">
        <w:rPr>
          <w:rFonts w:ascii="Garamond" w:hAnsi="Garamond"/>
        </w:rPr>
        <w:t>i</w:t>
      </w:r>
      <w:r>
        <w:rPr>
          <w:rFonts w:ascii="Garamond" w:hAnsi="Garamond"/>
        </w:rPr>
        <w:t>ment</w:t>
      </w:r>
      <w:r w:rsidR="00FE168B">
        <w:rPr>
          <w:rFonts w:ascii="Garamond" w:hAnsi="Garamond"/>
        </w:rPr>
        <w:t>o</w:t>
      </w:r>
      <w:r>
        <w:rPr>
          <w:rFonts w:ascii="Garamond" w:hAnsi="Garamond"/>
        </w:rPr>
        <w:t xml:space="preserve"> del principio del risultato</w:t>
      </w:r>
      <w:r w:rsidR="00FE168B">
        <w:rPr>
          <w:rFonts w:ascii="Garamond" w:hAnsi="Garamond"/>
        </w:rPr>
        <w:t>, si ritiene che la previsione dell’art. 4, comma 3</w:t>
      </w:r>
      <w:r w:rsidR="00C32F40">
        <w:rPr>
          <w:rFonts w:ascii="Garamond" w:hAnsi="Garamond"/>
        </w:rPr>
        <w:t>,</w:t>
      </w:r>
      <w:r w:rsidR="00FE168B">
        <w:rPr>
          <w:rFonts w:ascii="Garamond" w:hAnsi="Garamond"/>
        </w:rPr>
        <w:t xml:space="preserve"> dell’allegato V.2</w:t>
      </w:r>
      <w:r w:rsidR="00440ABB">
        <w:rPr>
          <w:rFonts w:ascii="Garamond" w:hAnsi="Garamond"/>
        </w:rPr>
        <w:t xml:space="preserve"> -</w:t>
      </w:r>
      <w:r w:rsidR="00FE168B">
        <w:rPr>
          <w:rFonts w:ascii="Garamond" w:hAnsi="Garamond"/>
        </w:rPr>
        <w:t xml:space="preserve"> secondo cui il Collegio è comunque tenuto a svolgere riunioni periodiche per monitorare l’andamento dei </w:t>
      </w:r>
      <w:r w:rsidR="0020284F">
        <w:rPr>
          <w:rFonts w:ascii="Garamond" w:hAnsi="Garamond"/>
        </w:rPr>
        <w:t>lavori e a formulare, ove ritenuto opportuno, osservazioni alle parti</w:t>
      </w:r>
      <w:r w:rsidR="00440ABB">
        <w:rPr>
          <w:rFonts w:ascii="Garamond" w:hAnsi="Garamond"/>
        </w:rPr>
        <w:t xml:space="preserve"> – sia  riferibile anche al Collegio </w:t>
      </w:r>
      <w:r w:rsidR="00440ABB" w:rsidRPr="00C0729B">
        <w:rPr>
          <w:rFonts w:ascii="Garamond" w:hAnsi="Garamond"/>
          <w:i/>
          <w:iCs/>
        </w:rPr>
        <w:t xml:space="preserve">ante </w:t>
      </w:r>
      <w:proofErr w:type="spellStart"/>
      <w:r w:rsidR="00440ABB" w:rsidRPr="00C0729B">
        <w:rPr>
          <w:rFonts w:ascii="Garamond" w:hAnsi="Garamond"/>
          <w:i/>
          <w:iCs/>
        </w:rPr>
        <w:t>operam</w:t>
      </w:r>
      <w:proofErr w:type="spellEnd"/>
      <w:r w:rsidR="00F50E96">
        <w:rPr>
          <w:rFonts w:ascii="Garamond" w:hAnsi="Garamond"/>
          <w:i/>
          <w:iCs/>
        </w:rPr>
        <w:t xml:space="preserve">, </w:t>
      </w:r>
      <w:r w:rsidR="00F50E96" w:rsidRPr="007C047B">
        <w:rPr>
          <w:rFonts w:ascii="Garamond" w:hAnsi="Garamond"/>
        </w:rPr>
        <w:t>tenendo però conto delle seguenti considerazioni</w:t>
      </w:r>
      <w:r w:rsidR="0020284F">
        <w:rPr>
          <w:rFonts w:ascii="Garamond" w:hAnsi="Garamond"/>
        </w:rPr>
        <w:t>: in sostanza</w:t>
      </w:r>
      <w:r w:rsidR="00440ABB">
        <w:rPr>
          <w:rFonts w:ascii="Garamond" w:hAnsi="Garamond"/>
        </w:rPr>
        <w:t xml:space="preserve">, </w:t>
      </w:r>
      <w:r w:rsidR="00F50E96">
        <w:rPr>
          <w:rFonts w:ascii="Garamond" w:hAnsi="Garamond"/>
        </w:rPr>
        <w:t>se, da una parte, non vi è certezza sulla sussistenza di un obbligo per il Collegio</w:t>
      </w:r>
      <w:r w:rsidR="0020284F">
        <w:rPr>
          <w:rFonts w:ascii="Garamond" w:hAnsi="Garamond"/>
        </w:rPr>
        <w:t xml:space="preserve"> di svolgere riunioni periodiche</w:t>
      </w:r>
      <w:r w:rsidR="00F50E96">
        <w:rPr>
          <w:rFonts w:ascii="Garamond" w:hAnsi="Garamond"/>
        </w:rPr>
        <w:t xml:space="preserve"> per monitorare l’andamento </w:t>
      </w:r>
      <w:r w:rsidR="006F7206">
        <w:rPr>
          <w:rFonts w:ascii="Garamond" w:hAnsi="Garamond"/>
        </w:rPr>
        <w:t>d</w:t>
      </w:r>
      <w:r w:rsidR="00F50E96">
        <w:rPr>
          <w:rFonts w:ascii="Garamond" w:hAnsi="Garamond"/>
        </w:rPr>
        <w:t>el procedimento di gara</w:t>
      </w:r>
      <w:r w:rsidR="0020284F">
        <w:rPr>
          <w:rFonts w:ascii="Garamond" w:hAnsi="Garamond"/>
        </w:rPr>
        <w:t xml:space="preserve">, </w:t>
      </w:r>
      <w:r w:rsidR="00F50E96">
        <w:rPr>
          <w:rFonts w:ascii="Garamond" w:hAnsi="Garamond"/>
        </w:rPr>
        <w:t xml:space="preserve">dall’altra </w:t>
      </w:r>
      <w:r w:rsidR="0020284F">
        <w:rPr>
          <w:rFonts w:ascii="Garamond" w:hAnsi="Garamond"/>
        </w:rPr>
        <w:t xml:space="preserve">sembra senz’altro </w:t>
      </w:r>
      <w:r w:rsidR="00440ABB">
        <w:rPr>
          <w:rFonts w:ascii="Garamond" w:hAnsi="Garamond"/>
        </w:rPr>
        <w:t>da riconoscersi la facoltà di formulare osservazioni alla stazione appaltante, esercitando dunque un ruolo attivo</w:t>
      </w:r>
      <w:r w:rsidR="00F92BD7">
        <w:rPr>
          <w:rFonts w:ascii="Garamond" w:hAnsi="Garamond"/>
        </w:rPr>
        <w:t>,</w:t>
      </w:r>
      <w:r w:rsidR="00440ABB">
        <w:rPr>
          <w:rFonts w:ascii="Garamond" w:hAnsi="Garamond"/>
        </w:rPr>
        <w:t xml:space="preserve"> che </w:t>
      </w:r>
      <w:r w:rsidR="00F92BD7">
        <w:rPr>
          <w:rFonts w:ascii="Garamond" w:hAnsi="Garamond"/>
        </w:rPr>
        <w:t>va ad</w:t>
      </w:r>
      <w:r w:rsidR="00440ABB">
        <w:rPr>
          <w:rFonts w:ascii="Garamond" w:hAnsi="Garamond"/>
        </w:rPr>
        <w:t xml:space="preserve"> addiziona</w:t>
      </w:r>
      <w:r w:rsidR="00F92BD7">
        <w:rPr>
          <w:rFonts w:ascii="Garamond" w:hAnsi="Garamond"/>
        </w:rPr>
        <w:t>rsi</w:t>
      </w:r>
      <w:r w:rsidR="00440ABB">
        <w:rPr>
          <w:rFonts w:ascii="Garamond" w:hAnsi="Garamond"/>
        </w:rPr>
        <w:t xml:space="preserve"> a</w:t>
      </w:r>
      <w:r w:rsidR="00F92BD7">
        <w:rPr>
          <w:rFonts w:ascii="Garamond" w:hAnsi="Garamond"/>
        </w:rPr>
        <w:t xml:space="preserve">l più ortodosso compito di </w:t>
      </w:r>
      <w:r w:rsidR="00F50E96">
        <w:rPr>
          <w:rFonts w:ascii="Garamond" w:hAnsi="Garamond"/>
        </w:rPr>
        <w:t xml:space="preserve">fornire risposte </w:t>
      </w:r>
      <w:r w:rsidR="00F92BD7">
        <w:rPr>
          <w:rFonts w:ascii="Garamond" w:hAnsi="Garamond"/>
        </w:rPr>
        <w:t xml:space="preserve"> alle richieste di chiarimento della stazione appaltante.</w:t>
      </w:r>
    </w:p>
    <w:p w14:paraId="6B67C995" w14:textId="4E945B43" w:rsidR="00620F3F" w:rsidRPr="004F55DE" w:rsidRDefault="004F55DE" w:rsidP="004F55DE">
      <w:pPr>
        <w:pStyle w:val="Titolo1"/>
        <w:jc w:val="both"/>
        <w:rPr>
          <w:rFonts w:ascii="Garamond" w:hAnsi="Garamond"/>
          <w:b/>
          <w:bCs/>
          <w:color w:val="auto"/>
          <w:sz w:val="24"/>
          <w:szCs w:val="24"/>
        </w:rPr>
      </w:pPr>
      <w:bookmarkStart w:id="4" w:name="_Toc232678690"/>
      <w:bookmarkStart w:id="5" w:name="_Toc232678825"/>
      <w:r w:rsidRPr="004F55DE">
        <w:rPr>
          <w:rFonts w:ascii="Garamond" w:hAnsi="Garamond"/>
          <w:b/>
          <w:bCs/>
          <w:color w:val="auto"/>
          <w:sz w:val="24"/>
          <w:szCs w:val="24"/>
        </w:rPr>
        <w:t xml:space="preserve">3. </w:t>
      </w:r>
      <w:r w:rsidR="00620F3F" w:rsidRPr="004F55DE">
        <w:rPr>
          <w:rFonts w:ascii="Garamond" w:hAnsi="Garamond"/>
          <w:b/>
          <w:bCs/>
          <w:color w:val="auto"/>
          <w:sz w:val="24"/>
          <w:szCs w:val="24"/>
        </w:rPr>
        <w:t>La composizione del Collegio ed i compensi</w:t>
      </w:r>
      <w:bookmarkEnd w:id="4"/>
      <w:bookmarkEnd w:id="5"/>
    </w:p>
    <w:p w14:paraId="20162F4A" w14:textId="77777777" w:rsidR="008807D3" w:rsidRPr="008807D3" w:rsidRDefault="008807D3" w:rsidP="00E774DC">
      <w:pPr>
        <w:spacing w:after="0"/>
        <w:jc w:val="both"/>
        <w:rPr>
          <w:rFonts w:ascii="Garamond" w:hAnsi="Garamond"/>
          <w:b/>
          <w:bCs/>
        </w:rPr>
      </w:pPr>
    </w:p>
    <w:p w14:paraId="093C5292" w14:textId="4BAE655D" w:rsidR="001F4C28" w:rsidRDefault="00E774DC" w:rsidP="00E774DC">
      <w:pPr>
        <w:spacing w:after="0"/>
        <w:jc w:val="both"/>
        <w:rPr>
          <w:rFonts w:ascii="Garamond" w:hAnsi="Garamond"/>
        </w:rPr>
      </w:pPr>
      <w:r w:rsidRPr="001842C6">
        <w:rPr>
          <w:rFonts w:ascii="Garamond" w:hAnsi="Garamond"/>
        </w:rPr>
        <w:t xml:space="preserve">Per quanto concerne la </w:t>
      </w:r>
      <w:r w:rsidRPr="008807D3">
        <w:rPr>
          <w:rFonts w:ascii="Garamond" w:hAnsi="Garamond"/>
        </w:rPr>
        <w:t>composizione</w:t>
      </w:r>
      <w:r w:rsidRPr="001842C6">
        <w:rPr>
          <w:rFonts w:ascii="Garamond" w:hAnsi="Garamond"/>
        </w:rPr>
        <w:t xml:space="preserve"> del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rPr>
        <w:t xml:space="preserve">, ai sensi dell’art. 7, comma 1 </w:t>
      </w:r>
      <w:proofErr w:type="spellStart"/>
      <w:r w:rsidRPr="001842C6">
        <w:rPr>
          <w:rFonts w:ascii="Garamond" w:hAnsi="Garamond"/>
        </w:rPr>
        <w:t>all</w:t>
      </w:r>
      <w:proofErr w:type="spellEnd"/>
      <w:r w:rsidRPr="001842C6">
        <w:rPr>
          <w:rFonts w:ascii="Garamond" w:hAnsi="Garamond"/>
        </w:rPr>
        <w:t xml:space="preserve">. V.2, detto Collegio è composto da tre membri: due scelti dalla stazione appaltante e il terzo nominato dal MIT o dalle Regioni/Province autonome/Città Metropolitane a seconda della rilevanza nazionale o locale delle opere da realizzare. </w:t>
      </w:r>
      <w:r w:rsidR="003305FA" w:rsidRPr="003305FA">
        <w:rPr>
          <w:rFonts w:ascii="Garamond" w:hAnsi="Garamond"/>
        </w:rPr>
        <w:t xml:space="preserve">Tale disciplina si differenzia sensibilmente da quella prevista per il CCT costituito in fase esecutiva. In quest’ultimo caso, infatti, in ossequio al principio di parità tra le parti del rapporto contrattuale, </w:t>
      </w:r>
      <w:r w:rsidR="00C01DF1">
        <w:rPr>
          <w:rFonts w:ascii="Garamond" w:hAnsi="Garamond"/>
        </w:rPr>
        <w:t>l’art. 1, comma 2, dell’</w:t>
      </w:r>
      <w:r w:rsidR="007418FF">
        <w:rPr>
          <w:rFonts w:ascii="Garamond" w:hAnsi="Garamond"/>
        </w:rPr>
        <w:t>A</w:t>
      </w:r>
      <w:r w:rsidR="00C01DF1">
        <w:rPr>
          <w:rFonts w:ascii="Garamond" w:hAnsi="Garamond"/>
        </w:rPr>
        <w:t>ll. V.2 attribuisce</w:t>
      </w:r>
      <w:r w:rsidR="007418FF">
        <w:rPr>
          <w:rFonts w:ascii="Garamond" w:hAnsi="Garamond"/>
        </w:rPr>
        <w:t xml:space="preserve"> a</w:t>
      </w:r>
      <w:r w:rsidR="00C01DF1">
        <w:rPr>
          <w:rFonts w:ascii="Garamond" w:hAnsi="Garamond"/>
        </w:rPr>
        <w:t xml:space="preserve"> ciascun </w:t>
      </w:r>
      <w:r w:rsidR="00C01DF1" w:rsidRPr="003305FA">
        <w:rPr>
          <w:rFonts w:ascii="Garamond" w:hAnsi="Garamond"/>
        </w:rPr>
        <w:t xml:space="preserve">contraente </w:t>
      </w:r>
      <w:r w:rsidR="00C01DF1">
        <w:rPr>
          <w:rFonts w:ascii="Garamond" w:hAnsi="Garamond"/>
        </w:rPr>
        <w:t>la</w:t>
      </w:r>
      <w:r w:rsidR="00C01DF1" w:rsidRPr="003305FA">
        <w:rPr>
          <w:rFonts w:ascii="Garamond" w:hAnsi="Garamond"/>
        </w:rPr>
        <w:t xml:space="preserve"> possibilità </w:t>
      </w:r>
      <w:r w:rsidR="00C01DF1">
        <w:rPr>
          <w:rFonts w:ascii="Garamond" w:hAnsi="Garamond"/>
        </w:rPr>
        <w:t xml:space="preserve">di </w:t>
      </w:r>
      <w:r w:rsidR="003305FA" w:rsidRPr="003305FA">
        <w:rPr>
          <w:rFonts w:ascii="Garamond" w:hAnsi="Garamond"/>
        </w:rPr>
        <w:t xml:space="preserve">designare alcuni dei suoi componenti. Diversamente, nell’ipotesi di costituzione del CCT </w:t>
      </w:r>
      <w:r w:rsidR="003305FA" w:rsidRPr="003305FA">
        <w:rPr>
          <w:rFonts w:ascii="Garamond" w:hAnsi="Garamond"/>
          <w:i/>
          <w:iCs/>
        </w:rPr>
        <w:t xml:space="preserve">ante </w:t>
      </w:r>
      <w:proofErr w:type="spellStart"/>
      <w:r w:rsidR="003305FA" w:rsidRPr="003305FA">
        <w:rPr>
          <w:rFonts w:ascii="Garamond" w:hAnsi="Garamond"/>
          <w:i/>
          <w:iCs/>
        </w:rPr>
        <w:t>operam</w:t>
      </w:r>
      <w:proofErr w:type="spellEnd"/>
      <w:r w:rsidR="003305FA" w:rsidRPr="003305FA">
        <w:rPr>
          <w:rFonts w:ascii="Garamond" w:hAnsi="Garamond"/>
        </w:rPr>
        <w:t xml:space="preserve"> tale meccanismo non può trovare applicazione, poiché la procedura di affidamento </w:t>
      </w:r>
      <w:r w:rsidR="00F5095E">
        <w:rPr>
          <w:rFonts w:ascii="Garamond" w:hAnsi="Garamond"/>
        </w:rPr>
        <w:t>(</w:t>
      </w:r>
      <w:r w:rsidR="00E310BF">
        <w:rPr>
          <w:rFonts w:ascii="Garamond" w:hAnsi="Garamond"/>
        </w:rPr>
        <w:t xml:space="preserve">del contratto di appalto o di un contratto ascrivibile nel </w:t>
      </w:r>
      <w:proofErr w:type="spellStart"/>
      <w:r w:rsidR="00E310BF" w:rsidRPr="00071F2A">
        <w:rPr>
          <w:rFonts w:ascii="Garamond" w:hAnsi="Garamond"/>
          <w:i/>
          <w:iCs/>
        </w:rPr>
        <w:t>genus</w:t>
      </w:r>
      <w:proofErr w:type="spellEnd"/>
      <w:r w:rsidR="00E310BF">
        <w:rPr>
          <w:rFonts w:ascii="Garamond" w:hAnsi="Garamond"/>
        </w:rPr>
        <w:t xml:space="preserve"> dei contratti di partenariato pubblico-privato</w:t>
      </w:r>
      <w:r w:rsidR="00D85EA9">
        <w:rPr>
          <w:rStyle w:val="Rimandonotaapidipagina"/>
          <w:rFonts w:ascii="Garamond" w:hAnsi="Garamond"/>
        </w:rPr>
        <w:footnoteReference w:id="5"/>
      </w:r>
      <w:r w:rsidR="00F5095E" w:rsidRPr="002B7226">
        <w:rPr>
          <w:rFonts w:ascii="Garamond" w:hAnsi="Garamond"/>
        </w:rPr>
        <w:t>)</w:t>
      </w:r>
      <w:r w:rsidR="00E310BF">
        <w:rPr>
          <w:rFonts w:ascii="Garamond" w:hAnsi="Garamond"/>
        </w:rPr>
        <w:t xml:space="preserve">, </w:t>
      </w:r>
      <w:r w:rsidR="003305FA" w:rsidRPr="003305FA">
        <w:rPr>
          <w:rFonts w:ascii="Garamond" w:hAnsi="Garamond"/>
        </w:rPr>
        <w:t>è ancora in corso e non risulta ancora individuato il soggetto privato che, una volta aggiudicatario, assumerà la veste di contraente ed esecutore della commessa. Proprio l’assenza di una controparte contrattuale determinata giustifica l’attribuzione del potere di nomina esclusivamente alla stazione appaltante e all’amministrazione competente</w:t>
      </w:r>
      <w:r w:rsidR="003305FA">
        <w:rPr>
          <w:rFonts w:ascii="Garamond" w:hAnsi="Garamond"/>
        </w:rPr>
        <w:t>.</w:t>
      </w:r>
    </w:p>
    <w:p w14:paraId="6CDFA6DC" w14:textId="32ABB808" w:rsidR="00A84402" w:rsidRPr="001842C6" w:rsidRDefault="00E774DC" w:rsidP="00E774DC">
      <w:pPr>
        <w:spacing w:after="0"/>
        <w:jc w:val="both"/>
        <w:rPr>
          <w:rFonts w:ascii="Garamond" w:hAnsi="Garamond"/>
        </w:rPr>
      </w:pPr>
      <w:r w:rsidRPr="001842C6">
        <w:rPr>
          <w:rFonts w:ascii="Garamond" w:hAnsi="Garamond"/>
        </w:rPr>
        <w:lastRenderedPageBreak/>
        <w:t>L’art. 7 dell’allegato V.2 chiarisce</w:t>
      </w:r>
      <w:r w:rsidR="003305FA">
        <w:rPr>
          <w:rFonts w:ascii="Garamond" w:hAnsi="Garamond"/>
        </w:rPr>
        <w:t>, poi,</w:t>
      </w:r>
      <w:r w:rsidRPr="001842C6">
        <w:rPr>
          <w:rFonts w:ascii="Garamond" w:hAnsi="Garamond"/>
        </w:rPr>
        <w:t xml:space="preserve"> che non vi è incompatibilità tra le funzioni di componente del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rPr>
        <w:t xml:space="preserve"> e quelle di componente del CCT in fase esecutiva. Su tale aspetto, giova altresì richiamare </w:t>
      </w:r>
      <w:r w:rsidR="008807D3">
        <w:rPr>
          <w:rFonts w:ascii="Garamond" w:hAnsi="Garamond"/>
        </w:rPr>
        <w:t>le citate Linee Guida che</w:t>
      </w:r>
      <w:r w:rsidRPr="001842C6">
        <w:rPr>
          <w:rFonts w:ascii="Garamond" w:hAnsi="Garamond"/>
        </w:rPr>
        <w:t xml:space="preserve"> con riguardo ai rapporti di continuità tra CCT nella fase di affidamento e CCT nella fase esecutiva</w:t>
      </w:r>
      <w:r w:rsidR="008807D3">
        <w:rPr>
          <w:rFonts w:ascii="Garamond" w:hAnsi="Garamond"/>
        </w:rPr>
        <w:t xml:space="preserve"> all’art.</w:t>
      </w:r>
      <w:r w:rsidRPr="001842C6">
        <w:rPr>
          <w:rFonts w:ascii="Garamond" w:hAnsi="Garamond"/>
        </w:rPr>
        <w:t xml:space="preserve">  1.4.1 delle Linee Guida specific</w:t>
      </w:r>
      <w:r w:rsidR="009E2E16">
        <w:rPr>
          <w:rFonts w:ascii="Garamond" w:hAnsi="Garamond"/>
        </w:rPr>
        <w:t>ano</w:t>
      </w:r>
      <w:r w:rsidRPr="001842C6">
        <w:rPr>
          <w:rFonts w:ascii="Garamond" w:hAnsi="Garamond"/>
        </w:rPr>
        <w:t xml:space="preserve"> come – a seguito della conclusione del contratto – sia necessario trovare un accordo con l’appaltatore, che dovrà comunicare se intende sostituire, in tutto o in parte, i componenti scelti dalla stazione appaltante per il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i/>
          <w:iCs/>
        </w:rPr>
        <w:t xml:space="preserve"> </w:t>
      </w:r>
      <w:r w:rsidR="00B03E4F">
        <w:rPr>
          <w:rStyle w:val="Rimandonotaapidipagina"/>
          <w:rFonts w:ascii="Garamond" w:hAnsi="Garamond"/>
        </w:rPr>
        <w:footnoteReference w:id="6"/>
      </w:r>
      <w:r w:rsidR="00A84402">
        <w:rPr>
          <w:rFonts w:ascii="Garamond" w:hAnsi="Garamond"/>
        </w:rPr>
        <w:t>In</w:t>
      </w:r>
      <w:r w:rsidRPr="001842C6">
        <w:rPr>
          <w:rFonts w:ascii="Garamond" w:hAnsi="Garamond"/>
        </w:rPr>
        <w:t xml:space="preserve"> ordine ai </w:t>
      </w:r>
      <w:r w:rsidRPr="008807D3">
        <w:rPr>
          <w:rFonts w:ascii="Garamond" w:hAnsi="Garamond"/>
        </w:rPr>
        <w:t>compensi</w:t>
      </w:r>
      <w:r w:rsidRPr="001842C6">
        <w:rPr>
          <w:rFonts w:ascii="Garamond" w:hAnsi="Garamond"/>
        </w:rPr>
        <w:t xml:space="preserve">, l’art. 7 dell’allegato V.2 rinvia all’art. 1, comma 5 del medesimo allegato, opera, tuttavia, una riduzione del 20% degli stessi. Alla luce di questo rinvio emerge che anche per il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i/>
          <w:iCs/>
        </w:rPr>
        <w:t xml:space="preserve"> </w:t>
      </w:r>
      <w:r w:rsidRPr="001842C6">
        <w:rPr>
          <w:rFonts w:ascii="Garamond" w:hAnsi="Garamond"/>
        </w:rPr>
        <w:t>i compensi sono suddivisi in una parte fissa ed in una variabile, quest’ultima legata ai pareri (non vincolanti per il RUP) espressi nelle funzioni di assistenza e consulenza assegnate al CCT in questione</w:t>
      </w:r>
      <w:r w:rsidR="009E3A5D">
        <w:rPr>
          <w:rStyle w:val="Rimandonotaapidipagina"/>
          <w:rFonts w:ascii="Garamond" w:hAnsi="Garamond"/>
        </w:rPr>
        <w:footnoteReference w:id="7"/>
      </w:r>
      <w:r w:rsidRPr="001842C6">
        <w:rPr>
          <w:rFonts w:ascii="Garamond" w:hAnsi="Garamond"/>
          <w:i/>
          <w:iCs/>
        </w:rPr>
        <w:t>.</w:t>
      </w:r>
    </w:p>
    <w:p w14:paraId="6F336089" w14:textId="77777777" w:rsidR="004F55DE" w:rsidRDefault="00E774DC" w:rsidP="004F55DE">
      <w:pPr>
        <w:spacing w:after="0"/>
        <w:jc w:val="both"/>
        <w:rPr>
          <w:rFonts w:ascii="Garamond" w:hAnsi="Garamond"/>
        </w:rPr>
      </w:pPr>
      <w:r w:rsidRPr="00C62E9A">
        <w:rPr>
          <w:rFonts w:ascii="Garamond" w:hAnsi="Garamond"/>
        </w:rPr>
        <w:t>Gli ulteriori commi dell’art. 7 dell’allegato V.2 (</w:t>
      </w:r>
      <w:r w:rsidRPr="00C62E9A">
        <w:rPr>
          <w:rFonts w:ascii="Garamond" w:hAnsi="Garamond"/>
          <w:i/>
          <w:iCs/>
        </w:rPr>
        <w:t xml:space="preserve">i.e., </w:t>
      </w:r>
      <w:r w:rsidRPr="00C62E9A">
        <w:rPr>
          <w:rFonts w:ascii="Garamond" w:hAnsi="Garamond"/>
        </w:rPr>
        <w:t>il comma 2 ed il comma 3) appaiono, invece, “fuori contesto”, in quanto non si riferiscono alla costituzione facoltativa del CCT di cui all’art.</w:t>
      </w:r>
      <w:r w:rsidR="00EE18EE">
        <w:rPr>
          <w:rFonts w:ascii="Garamond" w:hAnsi="Garamond"/>
        </w:rPr>
        <w:t xml:space="preserve"> </w:t>
      </w:r>
      <w:r w:rsidRPr="00C62E9A">
        <w:rPr>
          <w:rFonts w:ascii="Garamond" w:hAnsi="Garamond"/>
        </w:rPr>
        <w:t xml:space="preserve">218 del Codice, ma a quella obbligatoria, in sostanza al CCT in fase esecutiva. Detti commi prescrivono, l’obbligatorietà della costituzione del CCT con riferimento </w:t>
      </w:r>
      <w:r w:rsidRPr="00C62E9A">
        <w:rPr>
          <w:rFonts w:ascii="Garamond" w:hAnsi="Garamond"/>
          <w:i/>
          <w:iCs/>
        </w:rPr>
        <w:t xml:space="preserve">(i) </w:t>
      </w:r>
      <w:r w:rsidRPr="00C62E9A">
        <w:rPr>
          <w:rFonts w:ascii="Garamond" w:hAnsi="Garamond"/>
        </w:rPr>
        <w:t xml:space="preserve">ai contratti misti, qualora la componente dei lavori superi la soglia europea; </w:t>
      </w:r>
      <w:r w:rsidRPr="00C62E9A">
        <w:rPr>
          <w:rFonts w:ascii="Garamond" w:hAnsi="Garamond"/>
          <w:i/>
          <w:iCs/>
        </w:rPr>
        <w:t xml:space="preserve">(ii) </w:t>
      </w:r>
      <w:r w:rsidRPr="00C62E9A">
        <w:rPr>
          <w:rFonts w:ascii="Garamond" w:hAnsi="Garamond"/>
        </w:rPr>
        <w:t xml:space="preserve">ai contratti stipulati mediante accordi quadro, in cui l’importo da prendere a riferimento è quello dei singoli contratti attuativi; nonché, </w:t>
      </w:r>
      <w:r w:rsidRPr="00C62E9A">
        <w:rPr>
          <w:rFonts w:ascii="Garamond" w:hAnsi="Garamond"/>
          <w:i/>
          <w:iCs/>
        </w:rPr>
        <w:t>(iii)</w:t>
      </w:r>
      <w:r w:rsidRPr="00C62E9A">
        <w:rPr>
          <w:rFonts w:ascii="Garamond" w:hAnsi="Garamond"/>
        </w:rPr>
        <w:t xml:space="preserve"> negli appalti suddivisi in lotti, ai lotti di importo pari o superiore alle soglie di rilevanza europea.</w:t>
      </w:r>
      <w:r w:rsidRPr="001842C6">
        <w:rPr>
          <w:rFonts w:ascii="Garamond" w:hAnsi="Garamond"/>
        </w:rPr>
        <w:t xml:space="preserve"> </w:t>
      </w:r>
    </w:p>
    <w:p w14:paraId="516E5B9B" w14:textId="76D89E07" w:rsidR="00B8414A" w:rsidRDefault="00B8414A" w:rsidP="004F55DE">
      <w:pPr>
        <w:spacing w:after="0"/>
        <w:jc w:val="both"/>
        <w:rPr>
          <w:rFonts w:ascii="Garamond" w:hAnsi="Garamond"/>
        </w:rPr>
      </w:pPr>
      <w:r w:rsidRPr="00B8414A">
        <w:rPr>
          <w:rFonts w:ascii="Garamond" w:hAnsi="Garamond"/>
        </w:rPr>
        <w:t>Infine, con riguardo al riparto di giurisdizione sulle controversie concernenti la nomina e la designazione dei componenti del CCT, è stato osservato</w:t>
      </w:r>
      <w:r w:rsidR="0061534E">
        <w:rPr>
          <w:rStyle w:val="Rimandonotaapidipagina"/>
          <w:rFonts w:ascii="Garamond" w:hAnsi="Garamond"/>
        </w:rPr>
        <w:footnoteReference w:id="8"/>
      </w:r>
      <w:r w:rsidRPr="00B8414A">
        <w:rPr>
          <w:rFonts w:ascii="Garamond" w:hAnsi="Garamond"/>
        </w:rPr>
        <w:t xml:space="preserve"> come esso si atteggi diversamente in ragione della peculiare configurazione giuridica assunta dal Collegio nelle diverse fasi della vicenda contrattuale</w:t>
      </w:r>
      <w:r>
        <w:rPr>
          <w:rFonts w:ascii="Garamond" w:hAnsi="Garamond"/>
        </w:rPr>
        <w:t xml:space="preserve">. </w:t>
      </w:r>
      <w:r w:rsidR="0061534E">
        <w:rPr>
          <w:rFonts w:ascii="Garamond" w:hAnsi="Garamond"/>
        </w:rPr>
        <w:t xml:space="preserve">Sicché, </w:t>
      </w:r>
      <w:r w:rsidRPr="00B8414A">
        <w:rPr>
          <w:rFonts w:ascii="Garamond" w:hAnsi="Garamond"/>
        </w:rPr>
        <w:t xml:space="preserve">mentre </w:t>
      </w:r>
      <w:r>
        <w:rPr>
          <w:rFonts w:ascii="Garamond" w:hAnsi="Garamond"/>
        </w:rPr>
        <w:t>le controversie relative al</w:t>
      </w:r>
      <w:r w:rsidRPr="00B8414A">
        <w:rPr>
          <w:rFonts w:ascii="Garamond" w:hAnsi="Garamond"/>
        </w:rPr>
        <w:t xml:space="preserve">la nomina e la designazione dei componenti del CCT </w:t>
      </w:r>
      <w:r w:rsidRPr="00C0729B">
        <w:rPr>
          <w:rFonts w:ascii="Garamond" w:hAnsi="Garamond"/>
          <w:i/>
          <w:iCs/>
        </w:rPr>
        <w:t xml:space="preserve">ante </w:t>
      </w:r>
      <w:proofErr w:type="spellStart"/>
      <w:r w:rsidR="00A049C2">
        <w:rPr>
          <w:rFonts w:ascii="Garamond" w:hAnsi="Garamond"/>
          <w:i/>
          <w:iCs/>
        </w:rPr>
        <w:t>operam</w:t>
      </w:r>
      <w:proofErr w:type="spellEnd"/>
      <w:r w:rsidR="00A049C2">
        <w:rPr>
          <w:rFonts w:ascii="Garamond" w:hAnsi="Garamond"/>
        </w:rPr>
        <w:t xml:space="preserve"> </w:t>
      </w:r>
      <w:r w:rsidR="00A049C2" w:rsidRPr="0061534E">
        <w:rPr>
          <w:rFonts w:ascii="Garamond" w:hAnsi="Garamond"/>
        </w:rPr>
        <w:t>si</w:t>
      </w:r>
      <w:r w:rsidR="0061534E" w:rsidRPr="0061534E">
        <w:rPr>
          <w:rFonts w:ascii="Garamond" w:hAnsi="Garamond"/>
        </w:rPr>
        <w:t xml:space="preserve"> collocano ancora nella vicenda pubblicistica della gara e, dunque, nella sfera della giurisdizione amministrativa</w:t>
      </w:r>
      <w:r w:rsidR="0061534E">
        <w:rPr>
          <w:rFonts w:ascii="Garamond" w:hAnsi="Garamond"/>
        </w:rPr>
        <w:t xml:space="preserve">, </w:t>
      </w:r>
      <w:r w:rsidR="0061534E" w:rsidRPr="00B8414A">
        <w:rPr>
          <w:rFonts w:ascii="Garamond" w:hAnsi="Garamond"/>
        </w:rPr>
        <w:t>quelle</w:t>
      </w:r>
      <w:r w:rsidR="0061534E">
        <w:rPr>
          <w:rFonts w:ascii="Garamond" w:hAnsi="Garamond"/>
        </w:rPr>
        <w:t xml:space="preserve"> concernenti la nomina e la designazione dei componenti del CCT esecutivo tendono a ricadere nell’orbita</w:t>
      </w:r>
      <w:r w:rsidRPr="00B8414A">
        <w:rPr>
          <w:rFonts w:ascii="Garamond" w:hAnsi="Garamond"/>
        </w:rPr>
        <w:t xml:space="preserve"> del giudice ordinario, in quanto </w:t>
      </w:r>
      <w:r w:rsidR="0061534E">
        <w:rPr>
          <w:rFonts w:ascii="Garamond" w:hAnsi="Garamond"/>
        </w:rPr>
        <w:t>attinenti</w:t>
      </w:r>
      <w:r w:rsidRPr="00B8414A">
        <w:rPr>
          <w:rFonts w:ascii="Garamond" w:hAnsi="Garamond"/>
        </w:rPr>
        <w:t xml:space="preserve"> a profili del rapporto contrattuale ormai perfezionato e in corso di esecuzione tra le parti</w:t>
      </w:r>
      <w:r w:rsidR="0061534E">
        <w:rPr>
          <w:rFonts w:ascii="Garamond" w:hAnsi="Garamond"/>
        </w:rPr>
        <w:t>.</w:t>
      </w:r>
    </w:p>
    <w:p w14:paraId="0C7AFAE1" w14:textId="19D36FEF" w:rsidR="00993337" w:rsidRPr="004F55DE" w:rsidRDefault="004F55DE" w:rsidP="004F55DE">
      <w:pPr>
        <w:pStyle w:val="Titolo1"/>
        <w:jc w:val="both"/>
        <w:rPr>
          <w:rFonts w:ascii="Garamond" w:hAnsi="Garamond"/>
          <w:b/>
          <w:bCs/>
          <w:color w:val="auto"/>
          <w:sz w:val="24"/>
          <w:szCs w:val="24"/>
        </w:rPr>
      </w:pPr>
      <w:bookmarkStart w:id="6" w:name="_Toc232678691"/>
      <w:bookmarkStart w:id="7" w:name="_Toc232678826"/>
      <w:r w:rsidRPr="004F55DE">
        <w:rPr>
          <w:rFonts w:ascii="Garamond" w:hAnsi="Garamond"/>
          <w:b/>
          <w:bCs/>
          <w:color w:val="auto"/>
          <w:sz w:val="24"/>
          <w:szCs w:val="24"/>
        </w:rPr>
        <w:t xml:space="preserve">4. </w:t>
      </w:r>
      <w:r w:rsidR="00993337" w:rsidRPr="004F55DE">
        <w:rPr>
          <w:rFonts w:ascii="Garamond" w:hAnsi="Garamond"/>
          <w:b/>
          <w:bCs/>
          <w:color w:val="auto"/>
          <w:sz w:val="24"/>
          <w:szCs w:val="24"/>
        </w:rPr>
        <w:t xml:space="preserve">Rapporto tra CCT </w:t>
      </w:r>
      <w:r w:rsidR="00993337" w:rsidRPr="004F55DE">
        <w:rPr>
          <w:rFonts w:ascii="Garamond" w:hAnsi="Garamond"/>
          <w:b/>
          <w:bCs/>
          <w:i/>
          <w:iCs/>
          <w:color w:val="auto"/>
          <w:sz w:val="24"/>
          <w:szCs w:val="24"/>
        </w:rPr>
        <w:t xml:space="preserve">ante </w:t>
      </w:r>
      <w:proofErr w:type="spellStart"/>
      <w:r w:rsidR="00993337" w:rsidRPr="004F55DE">
        <w:rPr>
          <w:rFonts w:ascii="Garamond" w:hAnsi="Garamond"/>
          <w:b/>
          <w:bCs/>
          <w:i/>
          <w:iCs/>
          <w:color w:val="auto"/>
          <w:sz w:val="24"/>
          <w:szCs w:val="24"/>
        </w:rPr>
        <w:t>operam</w:t>
      </w:r>
      <w:proofErr w:type="spellEnd"/>
      <w:r w:rsidR="00993337" w:rsidRPr="004F55DE">
        <w:rPr>
          <w:rFonts w:ascii="Garamond" w:hAnsi="Garamond"/>
          <w:b/>
          <w:bCs/>
          <w:color w:val="auto"/>
          <w:sz w:val="24"/>
          <w:szCs w:val="24"/>
        </w:rPr>
        <w:t xml:space="preserve"> e pareri di precontenzioso ANAC</w:t>
      </w:r>
      <w:bookmarkEnd w:id="6"/>
      <w:bookmarkEnd w:id="7"/>
    </w:p>
    <w:p w14:paraId="75C2BCA3" w14:textId="1DB4F939" w:rsidR="00E774DC" w:rsidRDefault="00E774DC" w:rsidP="00C0729B">
      <w:pPr>
        <w:spacing w:before="240" w:after="0"/>
        <w:jc w:val="both"/>
        <w:rPr>
          <w:rFonts w:ascii="Garamond" w:hAnsi="Garamond"/>
        </w:rPr>
      </w:pPr>
      <w:r w:rsidRPr="001842C6">
        <w:rPr>
          <w:rFonts w:ascii="Garamond" w:hAnsi="Garamond"/>
        </w:rPr>
        <w:t xml:space="preserve">Infine, l’art. 6.1.6 delle Linee Guida specifica che l’acquisizione da parte del RUP, durante lo svolgimento della gara, del parere del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rPr>
        <w:t xml:space="preserve"> non pregiudica il ricorso della stazione appaltante o delle altre parti al parere di precontenzioso ANAC</w:t>
      </w:r>
      <w:r w:rsidR="00CA155D" w:rsidRPr="00CA155D">
        <w:rPr>
          <w:rFonts w:ascii="Garamond" w:hAnsi="Garamond"/>
          <w:vertAlign w:val="superscript"/>
        </w:rPr>
        <w:footnoteReference w:id="9"/>
      </w:r>
      <w:r w:rsidRPr="001842C6">
        <w:rPr>
          <w:rFonts w:ascii="Garamond" w:hAnsi="Garamond"/>
        </w:rPr>
        <w:t xml:space="preserve"> ai sensi dell’art.</w:t>
      </w:r>
      <w:r w:rsidR="007A3615">
        <w:rPr>
          <w:rFonts w:ascii="Garamond" w:hAnsi="Garamond"/>
        </w:rPr>
        <w:t xml:space="preserve"> </w:t>
      </w:r>
      <w:r w:rsidR="00384B41">
        <w:rPr>
          <w:rFonts w:ascii="Garamond" w:hAnsi="Garamond"/>
        </w:rPr>
        <w:t>220</w:t>
      </w:r>
      <w:r w:rsidR="00384B41" w:rsidRPr="001842C6">
        <w:rPr>
          <w:rFonts w:ascii="Garamond" w:hAnsi="Garamond"/>
        </w:rPr>
        <w:t xml:space="preserve"> </w:t>
      </w:r>
      <w:r w:rsidRPr="001842C6">
        <w:rPr>
          <w:rFonts w:ascii="Garamond" w:hAnsi="Garamond"/>
        </w:rPr>
        <w:t>del Codice.</w:t>
      </w:r>
    </w:p>
    <w:p w14:paraId="2604921B" w14:textId="5866D816" w:rsidR="00D81925" w:rsidRDefault="00D81925" w:rsidP="00E774DC">
      <w:pPr>
        <w:spacing w:after="0"/>
        <w:jc w:val="both"/>
        <w:rPr>
          <w:rFonts w:ascii="Garamond" w:hAnsi="Garamond"/>
        </w:rPr>
      </w:pPr>
      <w:r w:rsidRPr="00D81925">
        <w:rPr>
          <w:rFonts w:ascii="Garamond" w:hAnsi="Garamond"/>
        </w:rPr>
        <w:lastRenderedPageBreak/>
        <w:t xml:space="preserve">Difatti, tale rimedio – il quale presenta caratteri peculiari, solo in parte assimilabili a quelli dei ricorsi amministrativi (in particolare dei ricorsi gerarchici impropri), dei giudizi arbitrali e dei procedimenti di autotutela – sembra assolvere a una funzione analoga a quella del CCT </w:t>
      </w:r>
      <w:r w:rsidRPr="00D81925">
        <w:rPr>
          <w:rFonts w:ascii="Garamond" w:hAnsi="Garamond"/>
          <w:i/>
          <w:iCs/>
        </w:rPr>
        <w:t xml:space="preserve">ante </w:t>
      </w:r>
      <w:proofErr w:type="spellStart"/>
      <w:r w:rsidRPr="00D81925">
        <w:rPr>
          <w:rFonts w:ascii="Garamond" w:hAnsi="Garamond"/>
          <w:i/>
          <w:iCs/>
        </w:rPr>
        <w:t>operam</w:t>
      </w:r>
      <w:proofErr w:type="spellEnd"/>
      <w:r w:rsidRPr="00D81925">
        <w:rPr>
          <w:rFonts w:ascii="Garamond" w:hAnsi="Garamond"/>
        </w:rPr>
        <w:t xml:space="preserve"> sotto un duplice profilo</w:t>
      </w:r>
      <w:r>
        <w:rPr>
          <w:rFonts w:ascii="Garamond" w:hAnsi="Garamond"/>
        </w:rPr>
        <w:t>: d</w:t>
      </w:r>
      <w:r w:rsidRPr="00D81925">
        <w:rPr>
          <w:rFonts w:ascii="Garamond" w:hAnsi="Garamond"/>
        </w:rPr>
        <w:t xml:space="preserve">a un lato, esso interviene con riferimento a </w:t>
      </w:r>
      <w:r>
        <w:rPr>
          <w:rFonts w:ascii="Garamond" w:hAnsi="Garamond"/>
        </w:rPr>
        <w:t>“</w:t>
      </w:r>
      <w:r w:rsidRPr="00071F2A">
        <w:rPr>
          <w:rFonts w:ascii="Garamond" w:hAnsi="Garamond"/>
          <w:i/>
          <w:iCs/>
          <w:u w:val="single"/>
        </w:rPr>
        <w:t>questioni insorte nell’ambito della procedura di gara</w:t>
      </w:r>
      <w:r>
        <w:rPr>
          <w:rFonts w:ascii="Garamond" w:hAnsi="Garamond"/>
        </w:rPr>
        <w:t>”</w:t>
      </w:r>
      <w:r w:rsidR="000D0C8F">
        <w:rPr>
          <w:rFonts w:ascii="Garamond" w:hAnsi="Garamond"/>
        </w:rPr>
        <w:t>; d</w:t>
      </w:r>
      <w:r w:rsidRPr="00D81925">
        <w:rPr>
          <w:rFonts w:ascii="Garamond" w:hAnsi="Garamond"/>
        </w:rPr>
        <w:t xml:space="preserve">all’altro, la determinazione resa </w:t>
      </w:r>
      <w:r w:rsidR="00515FDF">
        <w:rPr>
          <w:rFonts w:ascii="Garamond" w:hAnsi="Garamond"/>
        </w:rPr>
        <w:t xml:space="preserve">dall’ANAC </w:t>
      </w:r>
      <w:r w:rsidRPr="00D81925">
        <w:rPr>
          <w:rFonts w:ascii="Garamond" w:hAnsi="Garamond"/>
        </w:rPr>
        <w:t>non assume carattere vincolante per la stazione appaltante, la quale, tuttavia, ove intenda discostarsene, è tenuta a darne adeguata motivazione.</w:t>
      </w:r>
    </w:p>
    <w:p w14:paraId="12625EEA" w14:textId="6EF4DD35" w:rsidR="0089619A" w:rsidRDefault="0089619A" w:rsidP="0089619A">
      <w:pPr>
        <w:spacing w:after="0"/>
        <w:jc w:val="both"/>
        <w:rPr>
          <w:rFonts w:ascii="Garamond" w:hAnsi="Garamond"/>
        </w:rPr>
      </w:pPr>
      <w:r w:rsidRPr="00071F2A">
        <w:rPr>
          <w:rFonts w:ascii="Garamond" w:hAnsi="Garamond"/>
        </w:rPr>
        <w:t xml:space="preserve">Ciò tuttavia, non è sufficiente ad interpretare </w:t>
      </w:r>
      <w:r w:rsidRPr="00EF4EE8">
        <w:rPr>
          <w:rFonts w:ascii="Garamond" w:hAnsi="Garamond"/>
        </w:rPr>
        <w:t xml:space="preserve">l’art. 6.1.6 delle Linee Guida nel senso di postulare una piena fungibilità tra il parere di precontenzioso ANAC e il CCT </w:t>
      </w:r>
      <w:r w:rsidRPr="00EF4EE8">
        <w:rPr>
          <w:rFonts w:ascii="Garamond" w:hAnsi="Garamond"/>
          <w:i/>
          <w:iCs/>
        </w:rPr>
        <w:t xml:space="preserve">ante </w:t>
      </w:r>
      <w:proofErr w:type="spellStart"/>
      <w:r w:rsidRPr="00EF4EE8">
        <w:rPr>
          <w:rFonts w:ascii="Garamond" w:hAnsi="Garamond"/>
          <w:i/>
          <w:iCs/>
        </w:rPr>
        <w:t>opera</w:t>
      </w:r>
      <w:r>
        <w:rPr>
          <w:rFonts w:ascii="Garamond" w:hAnsi="Garamond"/>
          <w:i/>
          <w:iCs/>
        </w:rPr>
        <w:t>m</w:t>
      </w:r>
      <w:proofErr w:type="spellEnd"/>
      <w:r>
        <w:rPr>
          <w:rFonts w:ascii="Garamond" w:hAnsi="Garamond"/>
          <w:i/>
          <w:iCs/>
        </w:rPr>
        <w:t>.</w:t>
      </w:r>
      <w:r w:rsidRPr="00EF4EE8">
        <w:rPr>
          <w:rFonts w:ascii="Garamond" w:hAnsi="Garamond"/>
        </w:rPr>
        <w:t xml:space="preserve"> </w:t>
      </w:r>
    </w:p>
    <w:p w14:paraId="6D886D7E" w14:textId="07BAB320" w:rsidR="0089619A" w:rsidRDefault="0089619A" w:rsidP="000D0C8F">
      <w:pPr>
        <w:spacing w:after="0"/>
        <w:jc w:val="both"/>
        <w:rPr>
          <w:rFonts w:ascii="Garamond" w:hAnsi="Garamond"/>
        </w:rPr>
      </w:pPr>
      <w:r w:rsidRPr="00071F2A">
        <w:rPr>
          <w:rFonts w:ascii="Garamond" w:hAnsi="Garamond"/>
        </w:rPr>
        <w:t xml:space="preserve">Ed invero, </w:t>
      </w:r>
      <w:r w:rsidRPr="0089619A">
        <w:rPr>
          <w:rFonts w:ascii="Garamond" w:hAnsi="Garamond"/>
        </w:rPr>
        <w:t>benché</w:t>
      </w:r>
      <w:r w:rsidR="000D0C8F" w:rsidRPr="000D0C8F">
        <w:rPr>
          <w:rFonts w:ascii="Garamond" w:hAnsi="Garamond"/>
        </w:rPr>
        <w:t xml:space="preserve"> la locuzione utilizzata dall’art. 220, comma 1, del Codice – che fa riferimento alle </w:t>
      </w:r>
      <w:r w:rsidR="000D0C8F">
        <w:rPr>
          <w:rFonts w:ascii="Garamond" w:hAnsi="Garamond"/>
        </w:rPr>
        <w:t>“</w:t>
      </w:r>
      <w:r w:rsidR="000D0C8F" w:rsidRPr="00071F2A">
        <w:rPr>
          <w:rFonts w:ascii="Garamond" w:hAnsi="Garamond"/>
          <w:i/>
          <w:iCs/>
        </w:rPr>
        <w:t>questioni insorte durante lo svolgimento della procedura di gara</w:t>
      </w:r>
      <w:r w:rsidR="000D0C8F">
        <w:rPr>
          <w:rFonts w:ascii="Garamond" w:hAnsi="Garamond"/>
          <w:i/>
          <w:iCs/>
        </w:rPr>
        <w:t>”</w:t>
      </w:r>
      <w:r w:rsidR="000D0C8F" w:rsidRPr="000D0C8F">
        <w:rPr>
          <w:rFonts w:ascii="Garamond" w:hAnsi="Garamond"/>
        </w:rPr>
        <w:t xml:space="preserve"> – sembrerebbe evocare una nozione ampia, idonea a ricomprendere non soltanto vere e proprie controversie tra soggetti determinati, ma anche divergenze interpretative o applicative concernenti il corretto svolgimento del procedimento di affidamento</w:t>
      </w:r>
      <w:r w:rsidR="00F877DA">
        <w:rPr>
          <w:rFonts w:ascii="Garamond" w:hAnsi="Garamond"/>
        </w:rPr>
        <w:t>,</w:t>
      </w:r>
      <w:r>
        <w:rPr>
          <w:rFonts w:ascii="Garamond" w:hAnsi="Garamond"/>
        </w:rPr>
        <w:t xml:space="preserve"> </w:t>
      </w:r>
      <w:r w:rsidR="00F877DA">
        <w:rPr>
          <w:rFonts w:ascii="Garamond" w:hAnsi="Garamond"/>
        </w:rPr>
        <w:t>t</w:t>
      </w:r>
      <w:r w:rsidRPr="0089619A">
        <w:rPr>
          <w:rFonts w:ascii="Garamond" w:hAnsi="Garamond"/>
        </w:rPr>
        <w:t>ale ricostruzione trova un significativo limite nella disciplina regolamentare adottata dall’ANAC.</w:t>
      </w:r>
      <w:r w:rsidR="000D0C8F" w:rsidRPr="000D0C8F">
        <w:rPr>
          <w:rFonts w:ascii="Garamond" w:hAnsi="Garamond"/>
        </w:rPr>
        <w:t xml:space="preserve"> L’art. 7 del Regolamento sul precontenzioso</w:t>
      </w:r>
      <w:r w:rsidR="00210F2C">
        <w:rPr>
          <w:rFonts w:ascii="Garamond" w:hAnsi="Garamond"/>
        </w:rPr>
        <w:t>, difatti,</w:t>
      </w:r>
      <w:r w:rsidR="000D0C8F" w:rsidRPr="000D0C8F">
        <w:rPr>
          <w:rFonts w:ascii="Garamond" w:hAnsi="Garamond"/>
        </w:rPr>
        <w:t xml:space="preserve"> esclude l’ammissibilità delle istanze dal contenuto generico e richiede l’esistenza di una specifica questione controversa insorta tra le parti interessate. </w:t>
      </w:r>
    </w:p>
    <w:p w14:paraId="3722E971" w14:textId="2D40AD49" w:rsidR="00620F3F" w:rsidRPr="004F55DE" w:rsidRDefault="000D0C8F" w:rsidP="004F55DE">
      <w:pPr>
        <w:spacing w:after="0"/>
        <w:jc w:val="both"/>
        <w:rPr>
          <w:rFonts w:ascii="Garamond" w:hAnsi="Garamond"/>
        </w:rPr>
      </w:pPr>
      <w:r w:rsidRPr="000D0C8F">
        <w:rPr>
          <w:rFonts w:ascii="Garamond" w:hAnsi="Garamond"/>
        </w:rPr>
        <w:t xml:space="preserve">Ne consegue che </w:t>
      </w:r>
      <w:r w:rsidR="0089619A" w:rsidRPr="0089619A">
        <w:rPr>
          <w:rFonts w:ascii="Garamond" w:hAnsi="Garamond"/>
        </w:rPr>
        <w:t>i due istituti</w:t>
      </w:r>
      <w:r w:rsidR="0089619A">
        <w:rPr>
          <w:rFonts w:ascii="Garamond" w:hAnsi="Garamond"/>
        </w:rPr>
        <w:t xml:space="preserve">, pur </w:t>
      </w:r>
      <w:r w:rsidR="00210F2C">
        <w:rPr>
          <w:rFonts w:ascii="Garamond" w:hAnsi="Garamond"/>
        </w:rPr>
        <w:t>essendo accomunati dalla</w:t>
      </w:r>
      <w:r w:rsidR="0089619A" w:rsidRPr="0089619A">
        <w:rPr>
          <w:rFonts w:ascii="Garamond" w:hAnsi="Garamond"/>
        </w:rPr>
        <w:t xml:space="preserve"> finalità di prevenzione del contenzioso e di supporto al corretto svolgimento della procedura di affidamento, risultano destinati ad operare secondo logiche almeno in parte differenti</w:t>
      </w:r>
      <w:r w:rsidR="00F877DA">
        <w:rPr>
          <w:rFonts w:ascii="Garamond" w:hAnsi="Garamond"/>
        </w:rPr>
        <w:t xml:space="preserve">, </w:t>
      </w:r>
      <w:r w:rsidR="00F5095E">
        <w:rPr>
          <w:rFonts w:ascii="Garamond" w:hAnsi="Garamond"/>
        </w:rPr>
        <w:t>in ragione</w:t>
      </w:r>
      <w:r w:rsidR="00F877DA">
        <w:rPr>
          <w:rFonts w:ascii="Garamond" w:hAnsi="Garamond"/>
        </w:rPr>
        <w:t xml:space="preserve"> </w:t>
      </w:r>
      <w:r w:rsidR="00F5095E">
        <w:rPr>
          <w:rFonts w:ascii="Garamond" w:hAnsi="Garamond"/>
        </w:rPr>
        <w:t>dell’assenza delle</w:t>
      </w:r>
      <w:r w:rsidR="00F877DA">
        <w:rPr>
          <w:rFonts w:ascii="Garamond" w:hAnsi="Garamond"/>
        </w:rPr>
        <w:t xml:space="preserve"> parti nel CCT </w:t>
      </w:r>
      <w:r w:rsidR="00F877DA" w:rsidRPr="008807D3">
        <w:rPr>
          <w:rFonts w:ascii="Garamond" w:hAnsi="Garamond"/>
          <w:i/>
          <w:iCs/>
        </w:rPr>
        <w:t xml:space="preserve">ante </w:t>
      </w:r>
      <w:proofErr w:type="spellStart"/>
      <w:r w:rsidR="00F877DA" w:rsidRPr="008807D3">
        <w:rPr>
          <w:rFonts w:ascii="Garamond" w:hAnsi="Garamond"/>
          <w:i/>
          <w:iCs/>
        </w:rPr>
        <w:t>operam</w:t>
      </w:r>
      <w:proofErr w:type="spellEnd"/>
      <w:r w:rsidR="00F877DA">
        <w:rPr>
          <w:rFonts w:ascii="Garamond" w:hAnsi="Garamond"/>
        </w:rPr>
        <w:t>.</w:t>
      </w:r>
    </w:p>
    <w:p w14:paraId="42C73D4D" w14:textId="583DDEBC" w:rsidR="00993337" w:rsidRPr="004F55DE" w:rsidRDefault="004F55DE" w:rsidP="004F55DE">
      <w:pPr>
        <w:pStyle w:val="Titolo1"/>
        <w:jc w:val="both"/>
        <w:rPr>
          <w:rFonts w:ascii="Garamond" w:hAnsi="Garamond"/>
          <w:b/>
          <w:bCs/>
          <w:color w:val="auto"/>
          <w:sz w:val="24"/>
          <w:szCs w:val="24"/>
        </w:rPr>
      </w:pPr>
      <w:bookmarkStart w:id="8" w:name="_Toc232678692"/>
      <w:bookmarkStart w:id="9" w:name="_Toc232678827"/>
      <w:r w:rsidRPr="004F55DE">
        <w:rPr>
          <w:rFonts w:ascii="Garamond" w:hAnsi="Garamond"/>
          <w:b/>
          <w:bCs/>
          <w:color w:val="auto"/>
          <w:sz w:val="24"/>
          <w:szCs w:val="24"/>
        </w:rPr>
        <w:t xml:space="preserve">5. </w:t>
      </w:r>
      <w:r w:rsidR="00993337" w:rsidRPr="004F55DE">
        <w:rPr>
          <w:rFonts w:ascii="Garamond" w:hAnsi="Garamond"/>
          <w:b/>
          <w:bCs/>
          <w:color w:val="auto"/>
          <w:sz w:val="24"/>
          <w:szCs w:val="24"/>
        </w:rPr>
        <w:t>La tutela giurisdizionale</w:t>
      </w:r>
      <w:bookmarkEnd w:id="8"/>
      <w:bookmarkEnd w:id="9"/>
    </w:p>
    <w:p w14:paraId="4CCAC5A0" w14:textId="77777777" w:rsidR="008807D3" w:rsidRPr="008807D3" w:rsidRDefault="008807D3" w:rsidP="00E652E8">
      <w:pPr>
        <w:spacing w:after="0"/>
        <w:jc w:val="both"/>
        <w:rPr>
          <w:rFonts w:ascii="Garamond" w:hAnsi="Garamond"/>
          <w:b/>
          <w:bCs/>
        </w:rPr>
      </w:pPr>
    </w:p>
    <w:p w14:paraId="5AA8B834" w14:textId="5D181A50" w:rsidR="00E652E8" w:rsidRPr="00E652E8" w:rsidRDefault="00993337" w:rsidP="00E652E8">
      <w:pPr>
        <w:spacing w:after="0"/>
        <w:jc w:val="both"/>
        <w:rPr>
          <w:rFonts w:ascii="Garamond" w:hAnsi="Garamond"/>
        </w:rPr>
      </w:pPr>
      <w:r>
        <w:rPr>
          <w:rFonts w:ascii="Garamond" w:hAnsi="Garamond"/>
        </w:rPr>
        <w:t xml:space="preserve"> P</w:t>
      </w:r>
      <w:r w:rsidR="00E652E8" w:rsidRPr="00E652E8">
        <w:rPr>
          <w:rFonts w:ascii="Garamond" w:hAnsi="Garamond"/>
        </w:rPr>
        <w:t xml:space="preserve">er quanto concerne la </w:t>
      </w:r>
      <w:r w:rsidR="00E652E8" w:rsidRPr="008807D3">
        <w:rPr>
          <w:rFonts w:ascii="Garamond" w:hAnsi="Garamond"/>
        </w:rPr>
        <w:t>tutela giurisdizionale</w:t>
      </w:r>
      <w:r w:rsidR="00E652E8" w:rsidRPr="00E652E8">
        <w:rPr>
          <w:rFonts w:ascii="Garamond" w:hAnsi="Garamond"/>
        </w:rPr>
        <w:t xml:space="preserve">, deve ritenersi che la funzione di supporto e assistenza attribuita al CCT </w:t>
      </w:r>
      <w:r w:rsidR="00E652E8" w:rsidRPr="00E652E8">
        <w:rPr>
          <w:rFonts w:ascii="Garamond" w:hAnsi="Garamond"/>
          <w:i/>
          <w:iCs/>
        </w:rPr>
        <w:t xml:space="preserve">ante </w:t>
      </w:r>
      <w:proofErr w:type="spellStart"/>
      <w:r w:rsidR="00E652E8" w:rsidRPr="00E652E8">
        <w:rPr>
          <w:rFonts w:ascii="Garamond" w:hAnsi="Garamond"/>
          <w:i/>
          <w:iCs/>
        </w:rPr>
        <w:t>operam</w:t>
      </w:r>
      <w:proofErr w:type="spellEnd"/>
      <w:r w:rsidR="00E652E8" w:rsidRPr="00E652E8">
        <w:rPr>
          <w:rFonts w:ascii="Garamond" w:hAnsi="Garamond"/>
        </w:rPr>
        <w:t>, unitamente alla natura non vincolante delle relative determinazioni, induca a qualificare queste ultime come atti aventi natura meramente endoprocedimentale. In quanto tali, esse non appaiono idonee a incidere in via immediata e diretta sulla sfera giuridica soggettiva degli operatori economici partecipanti alla procedura di affidamento.</w:t>
      </w:r>
    </w:p>
    <w:p w14:paraId="0CD46F9F" w14:textId="00C3A570" w:rsidR="00E652E8" w:rsidRPr="00E652E8" w:rsidRDefault="00E652E8" w:rsidP="00E652E8">
      <w:pPr>
        <w:spacing w:after="0"/>
        <w:jc w:val="both"/>
        <w:rPr>
          <w:rFonts w:ascii="Garamond" w:hAnsi="Garamond"/>
        </w:rPr>
      </w:pPr>
      <w:r w:rsidRPr="00E652E8">
        <w:rPr>
          <w:rFonts w:ascii="Garamond" w:hAnsi="Garamond"/>
        </w:rPr>
        <w:t xml:space="preserve">Ne </w:t>
      </w:r>
      <w:r w:rsidR="00C65F1F">
        <w:rPr>
          <w:rFonts w:ascii="Garamond" w:hAnsi="Garamond"/>
        </w:rPr>
        <w:t>deriva</w:t>
      </w:r>
      <w:r w:rsidRPr="00E652E8">
        <w:rPr>
          <w:rFonts w:ascii="Garamond" w:hAnsi="Garamond"/>
        </w:rPr>
        <w:t xml:space="preserve"> che le determinazioni e i pareri resi dal CCT </w:t>
      </w:r>
      <w:r w:rsidRPr="00E652E8">
        <w:rPr>
          <w:rFonts w:ascii="Garamond" w:hAnsi="Garamond"/>
          <w:i/>
          <w:iCs/>
        </w:rPr>
        <w:t xml:space="preserve">ante </w:t>
      </w:r>
      <w:proofErr w:type="spellStart"/>
      <w:r w:rsidRPr="00E652E8">
        <w:rPr>
          <w:rFonts w:ascii="Garamond" w:hAnsi="Garamond"/>
          <w:i/>
          <w:iCs/>
        </w:rPr>
        <w:t>operam</w:t>
      </w:r>
      <w:proofErr w:type="spellEnd"/>
      <w:r w:rsidRPr="00E652E8">
        <w:rPr>
          <w:rFonts w:ascii="Garamond" w:hAnsi="Garamond"/>
        </w:rPr>
        <w:t xml:space="preserve"> – analogamente ai pareri e alle determinazioni rese dal CCT operante nella fase esecutiva che non assumano valore di lodo contrattuale ai sensi dell’art. 215, comma 3, del Codice – non </w:t>
      </w:r>
      <w:r>
        <w:rPr>
          <w:rFonts w:ascii="Garamond" w:hAnsi="Garamond"/>
        </w:rPr>
        <w:t>sono</w:t>
      </w:r>
      <w:r w:rsidRPr="00E652E8">
        <w:rPr>
          <w:rFonts w:ascii="Garamond" w:hAnsi="Garamond"/>
        </w:rPr>
        <w:t xml:space="preserve"> autonomamente impugnabili, difettando il requisito della lesività immediata e attuale. L’eventuale tutela giurisdizionale dovrà pertanto essere esperita avverso il provvedimento adottato dalla stazione appaltante che abbia recepito o fatto proprie le valutazioni del Collegio</w:t>
      </w:r>
      <w:r>
        <w:rPr>
          <w:rFonts w:ascii="Garamond" w:hAnsi="Garamond"/>
        </w:rPr>
        <w:t xml:space="preserve"> (</w:t>
      </w:r>
      <w:r w:rsidRPr="00071F2A">
        <w:rPr>
          <w:rFonts w:ascii="Garamond" w:hAnsi="Garamond"/>
          <w:i/>
          <w:iCs/>
        </w:rPr>
        <w:t>i.e</w:t>
      </w:r>
      <w:r>
        <w:rPr>
          <w:rFonts w:ascii="Garamond" w:hAnsi="Garamond"/>
        </w:rPr>
        <w:t xml:space="preserve">., </w:t>
      </w:r>
      <w:r w:rsidRPr="00E652E8">
        <w:rPr>
          <w:rFonts w:ascii="Garamond" w:hAnsi="Garamond"/>
        </w:rPr>
        <w:t>il bando contenente clausole immediatamente escludenti, il provvedimento di esclusione ovvero quello di aggiudicazione</w:t>
      </w:r>
      <w:r>
        <w:rPr>
          <w:rFonts w:ascii="Garamond" w:hAnsi="Garamond"/>
        </w:rPr>
        <w:t xml:space="preserve">), il quale, a tal fine, </w:t>
      </w:r>
      <w:r w:rsidRPr="00E652E8">
        <w:rPr>
          <w:rFonts w:ascii="Garamond" w:hAnsi="Garamond"/>
        </w:rPr>
        <w:t>assume</w:t>
      </w:r>
      <w:r>
        <w:rPr>
          <w:rFonts w:ascii="Garamond" w:hAnsi="Garamond"/>
        </w:rPr>
        <w:t>rà</w:t>
      </w:r>
      <w:r w:rsidRPr="00E652E8">
        <w:rPr>
          <w:rFonts w:ascii="Garamond" w:hAnsi="Garamond"/>
        </w:rPr>
        <w:t xml:space="preserve"> la veste di atto presupposto</w:t>
      </w:r>
      <w:r>
        <w:rPr>
          <w:rFonts w:ascii="Garamond" w:hAnsi="Garamond"/>
        </w:rPr>
        <w:t>.</w:t>
      </w:r>
    </w:p>
    <w:p w14:paraId="09504698" w14:textId="77777777" w:rsidR="00717DA0" w:rsidRPr="00717DA0" w:rsidRDefault="00717DA0" w:rsidP="00717DA0">
      <w:pPr>
        <w:spacing w:after="0"/>
        <w:jc w:val="both"/>
        <w:rPr>
          <w:rFonts w:ascii="Garamond" w:hAnsi="Garamond"/>
        </w:rPr>
      </w:pPr>
      <w:r w:rsidRPr="00717DA0">
        <w:rPr>
          <w:rFonts w:ascii="Garamond" w:hAnsi="Garamond"/>
        </w:rPr>
        <w:t xml:space="preserve">Quanto al riparto di giurisdizione, non sembrano sussistere particolari incertezze. Le controversie aventi ad oggetto gli atti adottati dalla stazione appaltante sulla base delle determinazioni del CCT </w:t>
      </w:r>
      <w:r w:rsidRPr="00717DA0">
        <w:rPr>
          <w:rFonts w:ascii="Garamond" w:hAnsi="Garamond"/>
          <w:i/>
          <w:iCs/>
        </w:rPr>
        <w:t xml:space="preserve">ante </w:t>
      </w:r>
      <w:proofErr w:type="spellStart"/>
      <w:r w:rsidRPr="00717DA0">
        <w:rPr>
          <w:rFonts w:ascii="Garamond" w:hAnsi="Garamond"/>
          <w:i/>
          <w:iCs/>
        </w:rPr>
        <w:t>operam</w:t>
      </w:r>
      <w:proofErr w:type="spellEnd"/>
      <w:r w:rsidRPr="00717DA0">
        <w:rPr>
          <w:rFonts w:ascii="Garamond" w:hAnsi="Garamond"/>
        </w:rPr>
        <w:t xml:space="preserve"> si collocano infatti nell’ambito della procedura di evidenza pubblica preordinata alla scelta del contraente e risultano, pertanto, devolute alla giurisdizione esclusiva del giudice amministrativo.</w:t>
      </w:r>
    </w:p>
    <w:p w14:paraId="1930D53F" w14:textId="37BC7CCF" w:rsidR="009E3A5D" w:rsidRPr="004F55DE" w:rsidRDefault="00717DA0" w:rsidP="00E774DC">
      <w:pPr>
        <w:spacing w:after="0"/>
        <w:jc w:val="both"/>
        <w:rPr>
          <w:rFonts w:ascii="Garamond" w:hAnsi="Garamond"/>
        </w:rPr>
      </w:pPr>
      <w:r w:rsidRPr="00717DA0">
        <w:rPr>
          <w:rFonts w:ascii="Garamond" w:hAnsi="Garamond"/>
        </w:rPr>
        <w:t xml:space="preserve">Tale conclusione discende dalla peculiare collocazione funzionale del </w:t>
      </w:r>
      <w:r>
        <w:rPr>
          <w:rFonts w:ascii="Garamond" w:hAnsi="Garamond"/>
        </w:rPr>
        <w:t xml:space="preserve">CCT </w:t>
      </w:r>
      <w:r w:rsidRPr="00071F2A">
        <w:rPr>
          <w:rFonts w:ascii="Garamond" w:hAnsi="Garamond"/>
          <w:i/>
          <w:iCs/>
        </w:rPr>
        <w:t xml:space="preserve">ante </w:t>
      </w:r>
      <w:proofErr w:type="spellStart"/>
      <w:r w:rsidRPr="00071F2A">
        <w:rPr>
          <w:rFonts w:ascii="Garamond" w:hAnsi="Garamond"/>
          <w:i/>
          <w:iCs/>
        </w:rPr>
        <w:t>operam</w:t>
      </w:r>
      <w:proofErr w:type="spellEnd"/>
      <w:r w:rsidRPr="00717DA0">
        <w:rPr>
          <w:rFonts w:ascii="Garamond" w:hAnsi="Garamond"/>
        </w:rPr>
        <w:t xml:space="preserve">, chiamato ad operare nella fase di affidamento e, dunque, nell’ambito dell’esercizio di poteri autoritativi della pubblica amministrazione. Essa si differenzia nettamente dalla soluzione accolta con riferimento al CCT costituito nella fase esecutiva, rispetto al quale il riparto di giurisdizione in ordine agli atti adottati sulla base di pareri </w:t>
      </w:r>
      <w:r w:rsidRPr="00717DA0">
        <w:rPr>
          <w:rFonts w:ascii="Garamond" w:hAnsi="Garamond"/>
        </w:rPr>
        <w:lastRenderedPageBreak/>
        <w:t xml:space="preserve">o determinazioni privi del valore di lodo contrattuale continua ad essere regolato dal criterio della </w:t>
      </w:r>
      <w:r w:rsidRPr="00717DA0">
        <w:rPr>
          <w:rFonts w:ascii="Garamond" w:hAnsi="Garamond"/>
          <w:i/>
          <w:iCs/>
        </w:rPr>
        <w:t xml:space="preserve">causa </w:t>
      </w:r>
      <w:proofErr w:type="spellStart"/>
      <w:r w:rsidRPr="00717DA0">
        <w:rPr>
          <w:rFonts w:ascii="Garamond" w:hAnsi="Garamond"/>
          <w:i/>
          <w:iCs/>
        </w:rPr>
        <w:t>petendi</w:t>
      </w:r>
      <w:proofErr w:type="spellEnd"/>
      <w:r>
        <w:rPr>
          <w:rFonts w:ascii="Garamond" w:hAnsi="Garamond"/>
        </w:rPr>
        <w:t>.</w:t>
      </w:r>
    </w:p>
    <w:p w14:paraId="054187DD" w14:textId="4C405956" w:rsidR="00E774DC" w:rsidRPr="004F55DE" w:rsidRDefault="004F55DE" w:rsidP="004F55DE">
      <w:pPr>
        <w:pStyle w:val="Titolo1"/>
        <w:jc w:val="both"/>
        <w:rPr>
          <w:rFonts w:ascii="Garamond" w:hAnsi="Garamond"/>
          <w:b/>
          <w:bCs/>
          <w:color w:val="auto"/>
          <w:sz w:val="24"/>
          <w:szCs w:val="24"/>
        </w:rPr>
      </w:pPr>
      <w:bookmarkStart w:id="10" w:name="_Toc232678693"/>
      <w:bookmarkStart w:id="11" w:name="_Toc232678828"/>
      <w:r w:rsidRPr="004F55DE">
        <w:rPr>
          <w:rFonts w:ascii="Garamond" w:hAnsi="Garamond"/>
          <w:b/>
          <w:bCs/>
          <w:color w:val="auto"/>
          <w:sz w:val="24"/>
          <w:szCs w:val="24"/>
        </w:rPr>
        <w:t xml:space="preserve">6. </w:t>
      </w:r>
      <w:r w:rsidR="00993337" w:rsidRPr="004F55DE">
        <w:rPr>
          <w:rFonts w:ascii="Garamond" w:hAnsi="Garamond"/>
          <w:b/>
          <w:bCs/>
          <w:color w:val="auto"/>
          <w:sz w:val="24"/>
          <w:szCs w:val="24"/>
        </w:rPr>
        <w:t xml:space="preserve">Raffronto tra CCT </w:t>
      </w:r>
      <w:r w:rsidR="00993337" w:rsidRPr="004F55DE">
        <w:rPr>
          <w:rFonts w:ascii="Garamond" w:hAnsi="Garamond"/>
          <w:b/>
          <w:bCs/>
          <w:i/>
          <w:iCs/>
          <w:color w:val="auto"/>
          <w:sz w:val="24"/>
          <w:szCs w:val="24"/>
        </w:rPr>
        <w:t xml:space="preserve">ante </w:t>
      </w:r>
      <w:proofErr w:type="spellStart"/>
      <w:r w:rsidR="00993337" w:rsidRPr="004F55DE">
        <w:rPr>
          <w:rFonts w:ascii="Garamond" w:hAnsi="Garamond"/>
          <w:b/>
          <w:bCs/>
          <w:i/>
          <w:iCs/>
          <w:color w:val="auto"/>
          <w:sz w:val="24"/>
          <w:szCs w:val="24"/>
        </w:rPr>
        <w:t>operam</w:t>
      </w:r>
      <w:proofErr w:type="spellEnd"/>
      <w:r w:rsidR="00993337" w:rsidRPr="004F55DE">
        <w:rPr>
          <w:rFonts w:ascii="Garamond" w:hAnsi="Garamond"/>
          <w:b/>
          <w:bCs/>
          <w:color w:val="auto"/>
          <w:sz w:val="24"/>
          <w:szCs w:val="24"/>
        </w:rPr>
        <w:t xml:space="preserve"> e</w:t>
      </w:r>
      <w:r w:rsidR="00E774DC" w:rsidRPr="004F55DE">
        <w:rPr>
          <w:rFonts w:ascii="Garamond" w:hAnsi="Garamond"/>
          <w:b/>
          <w:bCs/>
          <w:color w:val="auto"/>
          <w:sz w:val="24"/>
          <w:szCs w:val="24"/>
        </w:rPr>
        <w:t xml:space="preserve"> struttura di supporto al RUP</w:t>
      </w:r>
      <w:bookmarkEnd w:id="10"/>
      <w:bookmarkEnd w:id="11"/>
      <w:r w:rsidR="00E774DC" w:rsidRPr="004F55DE">
        <w:rPr>
          <w:rFonts w:ascii="Garamond" w:hAnsi="Garamond"/>
          <w:b/>
          <w:bCs/>
          <w:color w:val="auto"/>
          <w:sz w:val="24"/>
          <w:szCs w:val="24"/>
        </w:rPr>
        <w:t xml:space="preserve"> </w:t>
      </w:r>
    </w:p>
    <w:p w14:paraId="3E05D232" w14:textId="77777777" w:rsidR="00E774DC" w:rsidRPr="001842C6" w:rsidRDefault="00E774DC" w:rsidP="00E774DC">
      <w:pPr>
        <w:spacing w:after="0"/>
        <w:jc w:val="both"/>
        <w:rPr>
          <w:rFonts w:ascii="Garamond" w:hAnsi="Garamond"/>
        </w:rPr>
      </w:pPr>
    </w:p>
    <w:p w14:paraId="005DA8C0" w14:textId="6C7660A4" w:rsidR="00E774DC" w:rsidRPr="001842C6" w:rsidRDefault="00E774DC" w:rsidP="00E774DC">
      <w:pPr>
        <w:spacing w:after="0"/>
        <w:jc w:val="both"/>
        <w:rPr>
          <w:rFonts w:ascii="Garamond" w:hAnsi="Garamond"/>
        </w:rPr>
      </w:pPr>
      <w:r w:rsidRPr="001842C6">
        <w:rPr>
          <w:rFonts w:ascii="Garamond" w:hAnsi="Garamond"/>
        </w:rPr>
        <w:t xml:space="preserve">Mentre il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rPr>
        <w:t>, come si è detto, è stato previsto per la prima volta nel 2020, le origini della struttura di supporto al RUP risalgono all’art.</w:t>
      </w:r>
      <w:r w:rsidR="00215468">
        <w:rPr>
          <w:rFonts w:ascii="Garamond" w:hAnsi="Garamond"/>
        </w:rPr>
        <w:t xml:space="preserve"> </w:t>
      </w:r>
      <w:r w:rsidRPr="001842C6">
        <w:rPr>
          <w:rFonts w:ascii="Garamond" w:hAnsi="Garamond"/>
        </w:rPr>
        <w:t>8, comma 5 del D.P.R. n.</w:t>
      </w:r>
      <w:r w:rsidR="00EE18EE">
        <w:rPr>
          <w:rFonts w:ascii="Garamond" w:hAnsi="Garamond"/>
        </w:rPr>
        <w:t xml:space="preserve"> </w:t>
      </w:r>
      <w:r w:rsidRPr="001842C6">
        <w:rPr>
          <w:rFonts w:ascii="Garamond" w:hAnsi="Garamond"/>
        </w:rPr>
        <w:t xml:space="preserve">554/99. </w:t>
      </w:r>
    </w:p>
    <w:p w14:paraId="241F8666" w14:textId="2AB458B5" w:rsidR="00E774DC" w:rsidRPr="001842C6" w:rsidRDefault="00E774DC" w:rsidP="00E774DC">
      <w:pPr>
        <w:spacing w:after="0"/>
        <w:jc w:val="both"/>
        <w:rPr>
          <w:rFonts w:ascii="Garamond" w:hAnsi="Garamond"/>
        </w:rPr>
      </w:pPr>
      <w:r w:rsidRPr="001842C6">
        <w:rPr>
          <w:rFonts w:ascii="Garamond" w:hAnsi="Garamond"/>
        </w:rPr>
        <w:t>L’odierna disciplina</w:t>
      </w:r>
      <w:r w:rsidR="00993337">
        <w:rPr>
          <w:rFonts w:ascii="Garamond" w:hAnsi="Garamond"/>
        </w:rPr>
        <w:t xml:space="preserve"> relativa alla struttura di supporto al RUP</w:t>
      </w:r>
      <w:r w:rsidRPr="001842C6">
        <w:rPr>
          <w:rFonts w:ascii="Garamond" w:hAnsi="Garamond"/>
        </w:rPr>
        <w:t>, di cui all’art. 15, comma 6 del Codice</w:t>
      </w:r>
      <w:r w:rsidR="00E1666E">
        <w:rPr>
          <w:rStyle w:val="Rimandonotaapidipagina"/>
          <w:rFonts w:ascii="Garamond" w:hAnsi="Garamond"/>
        </w:rPr>
        <w:footnoteReference w:id="10"/>
      </w:r>
      <w:r w:rsidRPr="001842C6">
        <w:rPr>
          <w:rFonts w:ascii="Garamond" w:hAnsi="Garamond"/>
        </w:rPr>
        <w:t>, si completa con l’art. 3 dell’allegato I.2</w:t>
      </w:r>
      <w:r w:rsidR="00E1666E">
        <w:rPr>
          <w:rFonts w:ascii="Garamond" w:hAnsi="Garamond"/>
        </w:rPr>
        <w:t>.</w:t>
      </w:r>
      <w:r w:rsidRPr="001842C6">
        <w:rPr>
          <w:rFonts w:ascii="Garamond" w:hAnsi="Garamond"/>
        </w:rPr>
        <w:t xml:space="preserve"> </w:t>
      </w:r>
    </w:p>
    <w:p w14:paraId="6873B6D1" w14:textId="291E5F21" w:rsidR="00E774DC" w:rsidRPr="001842C6" w:rsidRDefault="00E774DC" w:rsidP="00E774DC">
      <w:pPr>
        <w:spacing w:after="0"/>
        <w:jc w:val="both"/>
        <w:rPr>
          <w:rFonts w:ascii="Garamond" w:hAnsi="Garamond"/>
        </w:rPr>
      </w:pPr>
      <w:r w:rsidRPr="001842C6">
        <w:rPr>
          <w:rFonts w:ascii="Garamond" w:hAnsi="Garamond"/>
        </w:rPr>
        <w:t xml:space="preserve">A differenza del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rPr>
        <w:t>, la possibilità di ricorrere a professionisti esterni per supportare il RUP è subordinata alla sussistenza di rigidi presupposti legittimanti</w:t>
      </w:r>
      <w:r w:rsidR="00215468">
        <w:rPr>
          <w:rStyle w:val="Rimandonotaapidipagina"/>
          <w:rFonts w:ascii="Garamond" w:hAnsi="Garamond"/>
        </w:rPr>
        <w:footnoteReference w:id="11"/>
      </w:r>
      <w:r w:rsidRPr="001842C6">
        <w:rPr>
          <w:rFonts w:ascii="Garamond" w:hAnsi="Garamond"/>
        </w:rPr>
        <w:t>.</w:t>
      </w:r>
    </w:p>
    <w:p w14:paraId="3A396E41" w14:textId="63BBD69E" w:rsidR="00E774DC" w:rsidRPr="001842C6" w:rsidRDefault="00E774DC" w:rsidP="00E774DC">
      <w:pPr>
        <w:spacing w:after="0"/>
        <w:jc w:val="both"/>
        <w:rPr>
          <w:rFonts w:ascii="Garamond" w:hAnsi="Garamond"/>
        </w:rPr>
      </w:pPr>
      <w:r w:rsidRPr="001842C6">
        <w:rPr>
          <w:rFonts w:ascii="Garamond" w:hAnsi="Garamond"/>
        </w:rPr>
        <w:t xml:space="preserve">Difatti, l’affidamento all’esterno è consentito solo </w:t>
      </w:r>
      <w:r w:rsidRPr="001842C6">
        <w:rPr>
          <w:rFonts w:ascii="Garamond" w:hAnsi="Garamond"/>
          <w:i/>
          <w:iCs/>
        </w:rPr>
        <w:t>(i)</w:t>
      </w:r>
      <w:r w:rsidRPr="001842C6">
        <w:rPr>
          <w:rFonts w:ascii="Garamond" w:hAnsi="Garamond"/>
        </w:rPr>
        <w:t xml:space="preserve"> laddove necessario alla migliore realizzazione dell’intervento pubblico e </w:t>
      </w:r>
      <w:r w:rsidRPr="001842C6">
        <w:rPr>
          <w:rFonts w:ascii="Garamond" w:hAnsi="Garamond"/>
          <w:i/>
          <w:iCs/>
        </w:rPr>
        <w:t>(ii)</w:t>
      </w:r>
      <w:r w:rsidRPr="001842C6">
        <w:rPr>
          <w:rFonts w:ascii="Garamond" w:hAnsi="Garamond"/>
        </w:rPr>
        <w:t xml:space="preserve"> in caso di appalti di particolare complessità che richiedano valutazioni e competenze altamente specialistiche. La giurisprudenza contabile</w:t>
      </w:r>
      <w:r w:rsidR="00B1238C">
        <w:rPr>
          <w:rStyle w:val="Rimandonotaapidipagina"/>
          <w:rFonts w:ascii="Garamond" w:hAnsi="Garamond"/>
        </w:rPr>
        <w:footnoteReference w:id="12"/>
      </w:r>
      <w:r w:rsidRPr="001842C6">
        <w:rPr>
          <w:rFonts w:ascii="Garamond" w:hAnsi="Garamond"/>
        </w:rPr>
        <w:t xml:space="preserve"> ha adottato un approccio rigoroso nella verifica della sussistenza delle richiamate condizioni, esigendo, da parte della stazione appaltante, la dimostrazione dell’effettiva “indispensabilità” del supporto esterno per la migliore realizzazione dell'intervento pubblico.</w:t>
      </w:r>
    </w:p>
    <w:p w14:paraId="484796E5" w14:textId="35B24F74" w:rsidR="00E774DC" w:rsidRPr="001842C6" w:rsidRDefault="00E774DC" w:rsidP="00E774DC">
      <w:pPr>
        <w:spacing w:after="0"/>
        <w:jc w:val="both"/>
        <w:rPr>
          <w:rFonts w:ascii="Garamond" w:hAnsi="Garamond"/>
        </w:rPr>
      </w:pPr>
      <w:r w:rsidRPr="001842C6">
        <w:rPr>
          <w:rFonts w:ascii="Garamond" w:hAnsi="Garamond"/>
        </w:rPr>
        <w:t>Ancora, laddove l’incarico di supporto al RUP, consentito per somme non superiori all’1 per cento dell’importo a base di gara, dovesse avere un valore superiore alla soglia per l’affidamento diretto (</w:t>
      </w:r>
      <w:r w:rsidRPr="001842C6">
        <w:rPr>
          <w:rFonts w:ascii="Garamond" w:hAnsi="Garamond"/>
          <w:i/>
          <w:iCs/>
        </w:rPr>
        <w:t xml:space="preserve">i.e., </w:t>
      </w:r>
      <w:r w:rsidRPr="001842C6">
        <w:rPr>
          <w:rFonts w:ascii="Garamond" w:hAnsi="Garamond"/>
        </w:rPr>
        <w:t>€ 140.000, in base all’art.</w:t>
      </w:r>
      <w:r w:rsidR="007A3615">
        <w:rPr>
          <w:rFonts w:ascii="Garamond" w:hAnsi="Garamond"/>
        </w:rPr>
        <w:t xml:space="preserve"> </w:t>
      </w:r>
      <w:r w:rsidRPr="001842C6">
        <w:rPr>
          <w:rFonts w:ascii="Garamond" w:hAnsi="Garamond"/>
        </w:rPr>
        <w:t>50, comma 1, lett. b) del Codice), la stazione appaltante, in ragione della qualificazione giuridica di tale supporto come appalto di servizi</w:t>
      </w:r>
      <w:r w:rsidR="00B1238C">
        <w:rPr>
          <w:rStyle w:val="Rimandonotaapidipagina"/>
          <w:rFonts w:ascii="Garamond" w:hAnsi="Garamond"/>
        </w:rPr>
        <w:footnoteReference w:id="13"/>
      </w:r>
      <w:r w:rsidRPr="001842C6">
        <w:rPr>
          <w:rFonts w:ascii="Garamond" w:hAnsi="Garamond"/>
        </w:rPr>
        <w:t xml:space="preserve"> sarebbe tenuta ad affidarlo conformemente alle procedure di cui all’art. 50 del Codice , con evidente aggravio dal punto di vista procedimentale e conseguente allungamento della durata della procedura. </w:t>
      </w:r>
    </w:p>
    <w:p w14:paraId="7CF1515D" w14:textId="6F1A7E25" w:rsidR="00E774DC" w:rsidRPr="001842C6" w:rsidRDefault="009E2E16" w:rsidP="00E774DC">
      <w:pPr>
        <w:spacing w:after="0"/>
        <w:jc w:val="both"/>
        <w:rPr>
          <w:rFonts w:ascii="Garamond" w:hAnsi="Garamond"/>
        </w:rPr>
      </w:pPr>
      <w:r>
        <w:rPr>
          <w:rFonts w:ascii="Garamond" w:hAnsi="Garamond"/>
        </w:rPr>
        <w:t>I</w:t>
      </w:r>
      <w:r w:rsidR="00993337">
        <w:rPr>
          <w:rFonts w:ascii="Garamond" w:hAnsi="Garamond"/>
        </w:rPr>
        <w:t xml:space="preserve">n chiave comparativa, per quanto concerne </w:t>
      </w:r>
      <w:r w:rsidR="00E774DC" w:rsidRPr="001842C6">
        <w:rPr>
          <w:rFonts w:ascii="Garamond" w:hAnsi="Garamond"/>
        </w:rPr>
        <w:t xml:space="preserve">le </w:t>
      </w:r>
      <w:r w:rsidR="00E774DC" w:rsidRPr="008807D3">
        <w:rPr>
          <w:rFonts w:ascii="Garamond" w:hAnsi="Garamond"/>
        </w:rPr>
        <w:t>funzioni,</w:t>
      </w:r>
      <w:r w:rsidR="00E774DC" w:rsidRPr="001842C6">
        <w:rPr>
          <w:rFonts w:ascii="Garamond" w:hAnsi="Garamond"/>
        </w:rPr>
        <w:t xml:space="preserve"> queste sono pressoché omogenee</w:t>
      </w:r>
      <w:r w:rsidR="008807D3">
        <w:rPr>
          <w:rFonts w:ascii="Garamond" w:hAnsi="Garamond"/>
        </w:rPr>
        <w:t>: s</w:t>
      </w:r>
      <w:r w:rsidR="00E774DC" w:rsidRPr="001842C6">
        <w:rPr>
          <w:rFonts w:ascii="Garamond" w:hAnsi="Garamond"/>
        </w:rPr>
        <w:t xml:space="preserve">ia che la stazione appaltante decida di costituire un CCT </w:t>
      </w:r>
      <w:r w:rsidR="00E774DC" w:rsidRPr="001842C6">
        <w:rPr>
          <w:rFonts w:ascii="Garamond" w:hAnsi="Garamond"/>
          <w:i/>
          <w:iCs/>
        </w:rPr>
        <w:t xml:space="preserve">ante </w:t>
      </w:r>
      <w:proofErr w:type="spellStart"/>
      <w:r w:rsidR="00E774DC" w:rsidRPr="001842C6">
        <w:rPr>
          <w:rFonts w:ascii="Garamond" w:hAnsi="Garamond"/>
          <w:i/>
          <w:iCs/>
        </w:rPr>
        <w:t>operam</w:t>
      </w:r>
      <w:proofErr w:type="spellEnd"/>
      <w:r w:rsidR="00E774DC" w:rsidRPr="001842C6">
        <w:rPr>
          <w:rFonts w:ascii="Garamond" w:hAnsi="Garamond"/>
          <w:i/>
          <w:iCs/>
        </w:rPr>
        <w:t xml:space="preserve"> </w:t>
      </w:r>
      <w:r w:rsidR="00E774DC" w:rsidRPr="001842C6">
        <w:rPr>
          <w:rFonts w:ascii="Garamond" w:hAnsi="Garamond"/>
        </w:rPr>
        <w:t>sia che affidi all’esterno l’attività di supporto, il RUP è semplicemente supportato (e non sostituito) dai soggetti esterni cui esso si rivolge nello svolgimento dei compiti ad esso assegnati.</w:t>
      </w:r>
    </w:p>
    <w:p w14:paraId="50CB6647" w14:textId="0383476F" w:rsidR="00E774DC" w:rsidRPr="001842C6" w:rsidRDefault="00E774DC" w:rsidP="00E774DC">
      <w:pPr>
        <w:spacing w:after="0"/>
        <w:jc w:val="both"/>
        <w:rPr>
          <w:rFonts w:ascii="Garamond" w:hAnsi="Garamond"/>
        </w:rPr>
      </w:pPr>
      <w:r w:rsidRPr="001842C6">
        <w:rPr>
          <w:rFonts w:ascii="Garamond" w:hAnsi="Garamond"/>
        </w:rPr>
        <w:t xml:space="preserve">Quanto alle </w:t>
      </w:r>
      <w:r w:rsidRPr="008807D3">
        <w:rPr>
          <w:rFonts w:ascii="Garamond" w:hAnsi="Garamond"/>
        </w:rPr>
        <w:t>condizioni legittimanti</w:t>
      </w:r>
      <w:r w:rsidRPr="001842C6">
        <w:rPr>
          <w:rFonts w:ascii="Garamond" w:hAnsi="Garamond"/>
        </w:rPr>
        <w:t xml:space="preserve">, l’art. 218 del Codice non ne prevede alcuna. Al contrario, l’inserimento di soggetti esterni nella struttura di supporto al RUP è ammesso solamente a fronte della sussistenza di presupposti precisi. Come si è detto, deve trattarsi di affidamenti di particolare complessità che richiedano competenze altamente specialistiche, rispetto ai quali l’affidamento all’esterno dell’incarico deve rappresentare, come sottolineato dalla Corte dei Conti, un elemento indispensabile per la migliore realizzazione dell’intervento pubblico. Dunque, se per il supporto (esterno) al RUP vige un regime di c.d. “residualità”, per il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i/>
          <w:iCs/>
        </w:rPr>
        <w:t xml:space="preserve"> </w:t>
      </w:r>
      <w:r w:rsidRPr="001842C6">
        <w:rPr>
          <w:rFonts w:ascii="Garamond" w:hAnsi="Garamond"/>
        </w:rPr>
        <w:t xml:space="preserve">la scelta della stazione appaltante appare connotata da un’ampia discrezionalità, dal che sembra emergere un </w:t>
      </w:r>
      <w:r w:rsidRPr="001842C6">
        <w:rPr>
          <w:rFonts w:ascii="Garamond" w:hAnsi="Garamond"/>
          <w:i/>
          <w:iCs/>
        </w:rPr>
        <w:t>favor</w:t>
      </w:r>
      <w:r w:rsidRPr="001842C6">
        <w:rPr>
          <w:rFonts w:ascii="Garamond" w:hAnsi="Garamond"/>
        </w:rPr>
        <w:t xml:space="preserve"> del legislatore per quest’ultimo. </w:t>
      </w:r>
    </w:p>
    <w:p w14:paraId="261F979F" w14:textId="77777777" w:rsidR="00E774DC" w:rsidRPr="001842C6" w:rsidRDefault="00E774DC" w:rsidP="00E774DC">
      <w:pPr>
        <w:spacing w:after="0"/>
        <w:jc w:val="both"/>
        <w:rPr>
          <w:rFonts w:ascii="Garamond" w:hAnsi="Garamond"/>
        </w:rPr>
      </w:pPr>
      <w:r w:rsidRPr="001842C6">
        <w:rPr>
          <w:rFonts w:ascii="Garamond" w:hAnsi="Garamond"/>
        </w:rPr>
        <w:lastRenderedPageBreak/>
        <w:t>Mentre per l’</w:t>
      </w:r>
      <w:r w:rsidRPr="008807D3">
        <w:rPr>
          <w:rFonts w:ascii="Garamond" w:hAnsi="Garamond"/>
        </w:rPr>
        <w:t>affidamento</w:t>
      </w:r>
      <w:r w:rsidRPr="001842C6">
        <w:rPr>
          <w:rFonts w:ascii="Garamond" w:hAnsi="Garamond"/>
        </w:rPr>
        <w:t xml:space="preserve"> di incarichi di supporto al RUP occorre seguire le procedure disciplinate dal Codice, con conseguente (potenziale) aggravio del procedimento amministrativo a seconda degli importi, la nomina del CCT avviene in maniera più rapida e fluida.</w:t>
      </w:r>
    </w:p>
    <w:p w14:paraId="250882D5" w14:textId="77777777" w:rsidR="00E774DC" w:rsidRPr="001842C6" w:rsidRDefault="00E774DC" w:rsidP="00E774DC">
      <w:pPr>
        <w:spacing w:after="0"/>
        <w:jc w:val="both"/>
        <w:rPr>
          <w:rFonts w:ascii="Garamond" w:hAnsi="Garamond"/>
        </w:rPr>
      </w:pPr>
      <w:r w:rsidRPr="001842C6">
        <w:rPr>
          <w:rFonts w:ascii="Garamond" w:hAnsi="Garamond"/>
        </w:rPr>
        <w:t xml:space="preserve">Per ciò che concerne, invece, </w:t>
      </w:r>
      <w:r w:rsidRPr="004B14DC">
        <w:rPr>
          <w:rFonts w:ascii="Garamond" w:hAnsi="Garamond"/>
        </w:rPr>
        <w:t xml:space="preserve">i </w:t>
      </w:r>
      <w:r w:rsidRPr="008807D3">
        <w:rPr>
          <w:rFonts w:ascii="Garamond" w:hAnsi="Garamond"/>
        </w:rPr>
        <w:t>compensi</w:t>
      </w:r>
      <w:r w:rsidRPr="001842C6">
        <w:rPr>
          <w:rFonts w:ascii="Garamond" w:hAnsi="Garamond"/>
        </w:rPr>
        <w:t xml:space="preserve"> – sebbene questi siano ridotti (del 20%) rispetto a quelli garantiti ai componenti dei CCT obbligatori – in linea generale la costituzione del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i/>
          <w:iCs/>
        </w:rPr>
        <w:t xml:space="preserve"> </w:t>
      </w:r>
      <w:r w:rsidRPr="001842C6">
        <w:rPr>
          <w:rFonts w:ascii="Garamond" w:hAnsi="Garamond"/>
        </w:rPr>
        <w:t>si presenta più dispendiosa rispetto all’esternalizzazione dell’incarico di supporto al RUP.</w:t>
      </w:r>
    </w:p>
    <w:p w14:paraId="528FF793" w14:textId="1CECD26E" w:rsidR="00E774DC" w:rsidRPr="001842C6" w:rsidRDefault="00E774DC" w:rsidP="00E774DC">
      <w:pPr>
        <w:spacing w:after="0"/>
        <w:jc w:val="both"/>
        <w:rPr>
          <w:rFonts w:ascii="Garamond" w:hAnsi="Garamond"/>
        </w:rPr>
      </w:pPr>
      <w:r w:rsidRPr="001842C6">
        <w:rPr>
          <w:rFonts w:ascii="Garamond" w:hAnsi="Garamond"/>
        </w:rPr>
        <w:t xml:space="preserve">Inoltre, </w:t>
      </w:r>
      <w:r w:rsidR="004B14DC">
        <w:rPr>
          <w:rFonts w:ascii="Garamond" w:hAnsi="Garamond"/>
        </w:rPr>
        <w:t>in ordine alla</w:t>
      </w:r>
      <w:r w:rsidRPr="001842C6">
        <w:rPr>
          <w:rFonts w:ascii="Garamond" w:hAnsi="Garamond"/>
        </w:rPr>
        <w:t xml:space="preserve"> </w:t>
      </w:r>
      <w:r w:rsidRPr="008807D3">
        <w:rPr>
          <w:rFonts w:ascii="Garamond" w:hAnsi="Garamond"/>
        </w:rPr>
        <w:t>responsabilità erariale</w:t>
      </w:r>
      <w:r w:rsidR="009A59F8">
        <w:rPr>
          <w:rFonts w:ascii="Garamond" w:hAnsi="Garamond"/>
          <w:b/>
          <w:bCs/>
        </w:rPr>
        <w:t xml:space="preserve"> </w:t>
      </w:r>
      <w:r w:rsidR="009A59F8" w:rsidRPr="009A59F8">
        <w:rPr>
          <w:rFonts w:ascii="Garamond" w:hAnsi="Garamond"/>
        </w:rPr>
        <w:t>del RUP</w:t>
      </w:r>
      <w:r w:rsidR="00EE18EE">
        <w:rPr>
          <w:rStyle w:val="Rimandonotaapidipagina"/>
          <w:rFonts w:ascii="Garamond" w:hAnsi="Garamond"/>
        </w:rPr>
        <w:footnoteReference w:id="14"/>
      </w:r>
      <w:r w:rsidRPr="001842C6">
        <w:rPr>
          <w:rFonts w:ascii="Garamond" w:hAnsi="Garamond"/>
        </w:rPr>
        <w:t>, solo</w:t>
      </w:r>
      <w:r w:rsidR="00EE2054" w:rsidRPr="001842C6">
        <w:rPr>
          <w:rFonts w:ascii="Garamond" w:hAnsi="Garamond"/>
        </w:rPr>
        <w:t xml:space="preserve"> i pareri del CCT </w:t>
      </w:r>
      <w:r w:rsidR="00EE2054" w:rsidRPr="001842C6">
        <w:rPr>
          <w:rFonts w:ascii="Garamond" w:hAnsi="Garamond"/>
          <w:i/>
          <w:iCs/>
        </w:rPr>
        <w:t xml:space="preserve">ante </w:t>
      </w:r>
      <w:proofErr w:type="spellStart"/>
      <w:r w:rsidR="00EE2054" w:rsidRPr="001842C6">
        <w:rPr>
          <w:rFonts w:ascii="Garamond" w:hAnsi="Garamond"/>
          <w:i/>
          <w:iCs/>
        </w:rPr>
        <w:t>operam</w:t>
      </w:r>
      <w:proofErr w:type="spellEnd"/>
      <w:r w:rsidR="00EE2054" w:rsidRPr="001842C6">
        <w:rPr>
          <w:rFonts w:ascii="Garamond" w:hAnsi="Garamond"/>
        </w:rPr>
        <w:t xml:space="preserve"> hanno un effetto esimente </w:t>
      </w:r>
      <w:r w:rsidRPr="001842C6">
        <w:rPr>
          <w:rFonts w:ascii="Garamond" w:hAnsi="Garamond"/>
        </w:rPr>
        <w:t>(salva l’ipotesi di dolo)</w:t>
      </w:r>
      <w:r w:rsidR="00EE2054" w:rsidRPr="001842C6">
        <w:rPr>
          <w:rFonts w:ascii="Garamond" w:hAnsi="Garamond"/>
        </w:rPr>
        <w:t xml:space="preserve">, mentre </w:t>
      </w:r>
      <w:r w:rsidRPr="001842C6">
        <w:rPr>
          <w:rFonts w:ascii="Garamond" w:hAnsi="Garamond"/>
        </w:rPr>
        <w:t>i pareri della struttura di supporto al RUP</w:t>
      </w:r>
      <w:r w:rsidR="00EE2054" w:rsidRPr="001842C6">
        <w:rPr>
          <w:rFonts w:ascii="Garamond" w:hAnsi="Garamond"/>
        </w:rPr>
        <w:t xml:space="preserve"> non hanno alcuna valenza </w:t>
      </w:r>
      <w:r w:rsidR="00261EBB" w:rsidRPr="001842C6">
        <w:rPr>
          <w:rFonts w:ascii="Garamond" w:hAnsi="Garamond"/>
        </w:rPr>
        <w:t>a tal proposito</w:t>
      </w:r>
      <w:r w:rsidRPr="001842C6">
        <w:rPr>
          <w:rFonts w:ascii="Garamond" w:hAnsi="Garamond"/>
        </w:rPr>
        <w:t xml:space="preserve">. </w:t>
      </w:r>
      <w:r w:rsidR="00EE2054" w:rsidRPr="001842C6">
        <w:rPr>
          <w:rFonts w:ascii="Garamond" w:hAnsi="Garamond"/>
        </w:rPr>
        <w:t xml:space="preserve">Peraltro, sotto tale profilo, la struttura di supporto al RUP </w:t>
      </w:r>
      <w:r w:rsidR="00261EBB" w:rsidRPr="001842C6">
        <w:rPr>
          <w:rFonts w:ascii="Garamond" w:hAnsi="Garamond"/>
        </w:rPr>
        <w:t>comporta</w:t>
      </w:r>
      <w:r w:rsidR="00EE2054" w:rsidRPr="001842C6">
        <w:rPr>
          <w:rFonts w:ascii="Garamond" w:hAnsi="Garamond"/>
        </w:rPr>
        <w:t xml:space="preserve"> un rischio autonomo: difatti, l’affidamento di tale incarico all’esterno in assenza delle illustrate condizioni legittimanti può </w:t>
      </w:r>
      <w:r w:rsidR="00261EBB" w:rsidRPr="001842C6">
        <w:rPr>
          <w:rFonts w:ascii="Garamond" w:hAnsi="Garamond"/>
        </w:rPr>
        <w:t>generare</w:t>
      </w:r>
      <w:r w:rsidR="00EE2054" w:rsidRPr="001842C6">
        <w:rPr>
          <w:rFonts w:ascii="Garamond" w:hAnsi="Garamond"/>
        </w:rPr>
        <w:t xml:space="preserve"> </w:t>
      </w:r>
      <w:r w:rsidR="00EE2054" w:rsidRPr="008807D3">
        <w:rPr>
          <w:rFonts w:ascii="Garamond" w:hAnsi="Garamond"/>
          <w:i/>
          <w:iCs/>
        </w:rPr>
        <w:t>ex sé</w:t>
      </w:r>
      <w:r w:rsidR="00EE2054" w:rsidRPr="001842C6">
        <w:rPr>
          <w:rFonts w:ascii="Garamond" w:hAnsi="Garamond"/>
        </w:rPr>
        <w:t xml:space="preserve"> un profilo di danno erariale a carico del RUP. </w:t>
      </w:r>
    </w:p>
    <w:p w14:paraId="67B02C41" w14:textId="149EF594" w:rsidR="003D673B" w:rsidRDefault="00EE2054" w:rsidP="00C62E9A">
      <w:pPr>
        <w:jc w:val="both"/>
      </w:pPr>
      <w:r w:rsidRPr="001842C6">
        <w:rPr>
          <w:rFonts w:ascii="Garamond" w:hAnsi="Garamond"/>
        </w:rPr>
        <w:t xml:space="preserve">In </w:t>
      </w:r>
      <w:r w:rsidR="00443579">
        <w:rPr>
          <w:rFonts w:ascii="Garamond" w:hAnsi="Garamond"/>
        </w:rPr>
        <w:t>buona sostanza</w:t>
      </w:r>
      <w:r w:rsidRPr="001842C6">
        <w:rPr>
          <w:rFonts w:ascii="Garamond" w:hAnsi="Garamond"/>
        </w:rPr>
        <w:t xml:space="preserve">, le due soluzioni, pur funzionalmente assimilabili, rispondono a logiche di utilizzo differenti. Il CCT </w:t>
      </w:r>
      <w:r w:rsidRPr="001842C6">
        <w:rPr>
          <w:rFonts w:ascii="Garamond" w:hAnsi="Garamond"/>
          <w:i/>
          <w:iCs/>
        </w:rPr>
        <w:t xml:space="preserve">ante </w:t>
      </w:r>
      <w:proofErr w:type="spellStart"/>
      <w:r w:rsidRPr="001842C6">
        <w:rPr>
          <w:rFonts w:ascii="Garamond" w:hAnsi="Garamond"/>
          <w:i/>
          <w:iCs/>
        </w:rPr>
        <w:t>operam</w:t>
      </w:r>
      <w:proofErr w:type="spellEnd"/>
      <w:r w:rsidRPr="001842C6">
        <w:rPr>
          <w:rFonts w:ascii="Garamond" w:hAnsi="Garamond"/>
        </w:rPr>
        <w:t xml:space="preserve"> si presta ai casi in cui la stazione appaltante</w:t>
      </w:r>
      <w:r w:rsidR="006F7206">
        <w:rPr>
          <w:rFonts w:ascii="Garamond" w:hAnsi="Garamond"/>
        </w:rPr>
        <w:t xml:space="preserve">, bisognosa di competenze </w:t>
      </w:r>
      <w:r w:rsidR="00C32F40">
        <w:rPr>
          <w:rFonts w:ascii="Garamond" w:hAnsi="Garamond"/>
        </w:rPr>
        <w:t>multidisciplinari</w:t>
      </w:r>
      <w:r w:rsidR="006F7206">
        <w:rPr>
          <w:rFonts w:ascii="Garamond" w:hAnsi="Garamond"/>
        </w:rPr>
        <w:t>,</w:t>
      </w:r>
      <w:r w:rsidRPr="001842C6">
        <w:rPr>
          <w:rFonts w:ascii="Garamond" w:hAnsi="Garamond"/>
        </w:rPr>
        <w:t xml:space="preserve"> privilegi la rapidità e la flessibilità della nomina e intenda avvalersi dell’effetto di esonero da responsabilità erariale </w:t>
      </w:r>
      <w:r w:rsidR="00261EBB" w:rsidRPr="001842C6">
        <w:rPr>
          <w:rFonts w:ascii="Garamond" w:hAnsi="Garamond"/>
        </w:rPr>
        <w:t>derivante</w:t>
      </w:r>
      <w:r w:rsidRPr="001842C6">
        <w:rPr>
          <w:rFonts w:ascii="Garamond" w:hAnsi="Garamond"/>
        </w:rPr>
        <w:t xml:space="preserve"> </w:t>
      </w:r>
      <w:r w:rsidR="00261EBB" w:rsidRPr="001842C6">
        <w:rPr>
          <w:rFonts w:ascii="Garamond" w:hAnsi="Garamond"/>
        </w:rPr>
        <w:t>d</w:t>
      </w:r>
      <w:r w:rsidRPr="001842C6">
        <w:rPr>
          <w:rFonts w:ascii="Garamond" w:hAnsi="Garamond"/>
        </w:rPr>
        <w:t>all’osservanza delle sue determinazioni</w:t>
      </w:r>
      <w:r w:rsidR="00577B21">
        <w:rPr>
          <w:rFonts w:ascii="Garamond" w:hAnsi="Garamond"/>
        </w:rPr>
        <w:t xml:space="preserve">, </w:t>
      </w:r>
      <w:r w:rsidR="00261EBB" w:rsidRPr="001842C6">
        <w:rPr>
          <w:rFonts w:ascii="Garamond" w:hAnsi="Garamond"/>
        </w:rPr>
        <w:t>implicando</w:t>
      </w:r>
      <w:r w:rsidRPr="001842C6">
        <w:rPr>
          <w:rFonts w:ascii="Garamond" w:hAnsi="Garamond"/>
        </w:rPr>
        <w:t xml:space="preserve"> però un costo tendenzialmente superiore. La struttura di supporto al RUP, </w:t>
      </w:r>
      <w:r w:rsidR="00261EBB" w:rsidRPr="001842C6">
        <w:rPr>
          <w:rFonts w:ascii="Garamond" w:hAnsi="Garamond"/>
        </w:rPr>
        <w:t>invece</w:t>
      </w:r>
      <w:r w:rsidRPr="001842C6">
        <w:rPr>
          <w:rFonts w:ascii="Garamond" w:hAnsi="Garamond"/>
        </w:rPr>
        <w:t xml:space="preserve">, resta </w:t>
      </w:r>
      <w:r w:rsidR="004B14DC">
        <w:rPr>
          <w:rFonts w:ascii="Garamond" w:hAnsi="Garamond"/>
        </w:rPr>
        <w:t>un’opzione adatta al</w:t>
      </w:r>
      <w:r w:rsidR="00261EBB" w:rsidRPr="001842C6">
        <w:rPr>
          <w:rFonts w:ascii="Garamond" w:hAnsi="Garamond"/>
        </w:rPr>
        <w:t xml:space="preserve"> caso in cui</w:t>
      </w:r>
      <w:r w:rsidRPr="001842C6">
        <w:rPr>
          <w:rFonts w:ascii="Garamond" w:hAnsi="Garamond"/>
        </w:rPr>
        <w:t xml:space="preserve"> </w:t>
      </w:r>
      <w:r w:rsidR="006F7206">
        <w:rPr>
          <w:rFonts w:ascii="Garamond" w:hAnsi="Garamond"/>
        </w:rPr>
        <w:t>parimenti emerga</w:t>
      </w:r>
      <w:r w:rsidRPr="001842C6">
        <w:rPr>
          <w:rFonts w:ascii="Garamond" w:hAnsi="Garamond"/>
        </w:rPr>
        <w:t xml:space="preserve"> una specifica esigenza di </w:t>
      </w:r>
      <w:r w:rsidR="007C047B" w:rsidRPr="001842C6">
        <w:rPr>
          <w:rFonts w:ascii="Garamond" w:hAnsi="Garamond"/>
        </w:rPr>
        <w:t>competenze specialistiche</w:t>
      </w:r>
      <w:r w:rsidR="006F7206">
        <w:rPr>
          <w:rFonts w:ascii="Garamond" w:hAnsi="Garamond"/>
        </w:rPr>
        <w:t xml:space="preserve"> ma</w:t>
      </w:r>
      <w:r w:rsidRPr="001842C6">
        <w:rPr>
          <w:rFonts w:ascii="Garamond" w:hAnsi="Garamond"/>
        </w:rPr>
        <w:t xml:space="preserve"> in un’ottica di contenimento della spesa</w:t>
      </w:r>
      <w:r w:rsidR="006F7206">
        <w:rPr>
          <w:rFonts w:ascii="Garamond" w:hAnsi="Garamond"/>
        </w:rPr>
        <w:t>;</w:t>
      </w:r>
      <w:r w:rsidRPr="001842C6">
        <w:rPr>
          <w:rFonts w:ascii="Garamond" w:hAnsi="Garamond"/>
        </w:rPr>
        <w:t xml:space="preserve"> fermo restando</w:t>
      </w:r>
      <w:r w:rsidR="00261EBB" w:rsidRPr="001842C6">
        <w:rPr>
          <w:rFonts w:ascii="Garamond" w:hAnsi="Garamond"/>
        </w:rPr>
        <w:t>, come si è detto,</w:t>
      </w:r>
      <w:r w:rsidRPr="001842C6">
        <w:rPr>
          <w:rFonts w:ascii="Garamond" w:hAnsi="Garamond"/>
        </w:rPr>
        <w:t xml:space="preserve"> che il ricorso ad essa in difetto delle condizioni legittimanti espone al rischio di danno erariale. </w:t>
      </w:r>
      <w:r w:rsidR="008C66D7">
        <w:t xml:space="preserve"> </w:t>
      </w:r>
    </w:p>
    <w:p w14:paraId="14BD7D86" w14:textId="313FD97A" w:rsidR="00E42A78" w:rsidRPr="007C047B" w:rsidRDefault="00443579" w:rsidP="007C047B">
      <w:pPr>
        <w:spacing w:after="0"/>
        <w:jc w:val="both"/>
        <w:rPr>
          <w:rFonts w:ascii="Garamond" w:hAnsi="Garamond"/>
        </w:rPr>
      </w:pPr>
      <w:r w:rsidRPr="007C047B">
        <w:rPr>
          <w:rFonts w:ascii="Garamond" w:hAnsi="Garamond"/>
        </w:rPr>
        <w:t xml:space="preserve">In definitiva, il CCT </w:t>
      </w:r>
      <w:r w:rsidRPr="003526EF">
        <w:rPr>
          <w:rFonts w:ascii="Garamond" w:hAnsi="Garamond"/>
          <w:i/>
          <w:iCs/>
        </w:rPr>
        <w:t xml:space="preserve">ante </w:t>
      </w:r>
      <w:proofErr w:type="spellStart"/>
      <w:r w:rsidRPr="003526EF">
        <w:rPr>
          <w:rFonts w:ascii="Garamond" w:hAnsi="Garamond"/>
          <w:i/>
          <w:iCs/>
        </w:rPr>
        <w:t>operam</w:t>
      </w:r>
      <w:proofErr w:type="spellEnd"/>
      <w:r w:rsidRPr="007C047B">
        <w:rPr>
          <w:rFonts w:ascii="Garamond" w:hAnsi="Garamond"/>
        </w:rPr>
        <w:t xml:space="preserve"> è </w:t>
      </w:r>
      <w:r w:rsidR="00C32F40">
        <w:rPr>
          <w:rFonts w:ascii="Garamond" w:hAnsi="Garamond"/>
        </w:rPr>
        <w:t xml:space="preserve">un </w:t>
      </w:r>
      <w:r w:rsidRPr="007C047B">
        <w:rPr>
          <w:rFonts w:ascii="Garamond" w:hAnsi="Garamond"/>
        </w:rPr>
        <w:t xml:space="preserve">istituto dalle grandi potenzialità, soprattutto per impostare </w:t>
      </w:r>
      <w:r w:rsidR="003526EF">
        <w:rPr>
          <w:rFonts w:ascii="Garamond" w:hAnsi="Garamond"/>
        </w:rPr>
        <w:t xml:space="preserve">la disciplina </w:t>
      </w:r>
      <w:r w:rsidRPr="007C047B">
        <w:rPr>
          <w:rFonts w:ascii="Garamond" w:hAnsi="Garamond"/>
        </w:rPr>
        <w:t xml:space="preserve"> di gara </w:t>
      </w:r>
      <w:r w:rsidR="003526EF">
        <w:rPr>
          <w:rFonts w:ascii="Garamond" w:hAnsi="Garamond"/>
        </w:rPr>
        <w:t>e gestirne il procedimento con riguardo</w:t>
      </w:r>
      <w:r w:rsidRPr="007C047B">
        <w:rPr>
          <w:rFonts w:ascii="Garamond" w:hAnsi="Garamond"/>
        </w:rPr>
        <w:t xml:space="preserve"> a fattispecie contrattuali complesse, come i contratti di PPP, gli appalti integrati e, comunque, in tutti i casi in cui, anche per la rilevanza degli importi, le stazioni appaltanti, da una parte hanno bisogno di competenze specialistiche, dall’altra, proprio in ragione della detta complessità, </w:t>
      </w:r>
      <w:r w:rsidR="00E42A78" w:rsidRPr="007C047B">
        <w:rPr>
          <w:rFonts w:ascii="Garamond" w:hAnsi="Garamond"/>
        </w:rPr>
        <w:t>comprensibilmente anelano all</w:t>
      </w:r>
      <w:r w:rsidR="00C32F40">
        <w:rPr>
          <w:rFonts w:ascii="Garamond" w:hAnsi="Garamond"/>
        </w:rPr>
        <w:t>’</w:t>
      </w:r>
      <w:r w:rsidR="00E42A78" w:rsidRPr="007C047B">
        <w:rPr>
          <w:rFonts w:ascii="Garamond" w:hAnsi="Garamond"/>
        </w:rPr>
        <w:t xml:space="preserve">esimente dalla responsabilità per danno erariale, per l’appunto </w:t>
      </w:r>
      <w:r w:rsidR="000E32C6" w:rsidRPr="007C047B">
        <w:rPr>
          <w:rFonts w:ascii="Garamond" w:hAnsi="Garamond"/>
        </w:rPr>
        <w:t xml:space="preserve">ottenibile </w:t>
      </w:r>
      <w:r w:rsidR="00E42A78" w:rsidRPr="007C047B">
        <w:rPr>
          <w:rFonts w:ascii="Garamond" w:hAnsi="Garamond"/>
        </w:rPr>
        <w:t>conformandosi alle pronunce del Collegio.</w:t>
      </w:r>
    </w:p>
    <w:p w14:paraId="249CC634" w14:textId="47189059" w:rsidR="00E42A78" w:rsidRDefault="0067330C" w:rsidP="007C047B">
      <w:pPr>
        <w:spacing w:after="0"/>
        <w:jc w:val="both"/>
        <w:rPr>
          <w:rFonts w:ascii="Garamond" w:hAnsi="Garamond"/>
        </w:rPr>
      </w:pPr>
      <w:r w:rsidRPr="007C047B">
        <w:rPr>
          <w:rFonts w:ascii="Garamond" w:hAnsi="Garamond"/>
        </w:rPr>
        <w:t>Tuttavia, se si osserva l’attuale disciplina, si constata che mentre</w:t>
      </w:r>
      <w:r w:rsidR="00E42A78" w:rsidRPr="007C047B">
        <w:rPr>
          <w:rFonts w:ascii="Garamond" w:hAnsi="Garamond"/>
        </w:rPr>
        <w:t xml:space="preserve"> il CCT in fase esecutiva è regolato </w:t>
      </w:r>
      <w:r w:rsidRPr="007C047B">
        <w:rPr>
          <w:rFonts w:ascii="Garamond" w:hAnsi="Garamond"/>
        </w:rPr>
        <w:t>da ben</w:t>
      </w:r>
      <w:r w:rsidR="00E42A78" w:rsidRPr="007C047B">
        <w:rPr>
          <w:rFonts w:ascii="Garamond" w:hAnsi="Garamond"/>
        </w:rPr>
        <w:t xml:space="preserve"> </w:t>
      </w:r>
      <w:r w:rsidR="000E32C6" w:rsidRPr="007C047B">
        <w:rPr>
          <w:rFonts w:ascii="Garamond" w:hAnsi="Garamond"/>
        </w:rPr>
        <w:t>undici</w:t>
      </w:r>
      <w:r w:rsidR="00E42A78" w:rsidRPr="007C047B">
        <w:rPr>
          <w:rFonts w:ascii="Garamond" w:hAnsi="Garamond"/>
        </w:rPr>
        <w:t xml:space="preserve"> articoli</w:t>
      </w:r>
      <w:r w:rsidR="000E32C6" w:rsidRPr="007C047B">
        <w:rPr>
          <w:rFonts w:ascii="Garamond" w:hAnsi="Garamond"/>
        </w:rPr>
        <w:t xml:space="preserve">, quattro </w:t>
      </w:r>
      <w:r w:rsidR="003526EF">
        <w:rPr>
          <w:rFonts w:ascii="Garamond" w:hAnsi="Garamond"/>
        </w:rPr>
        <w:t>presenti nel</w:t>
      </w:r>
      <w:r w:rsidR="000E32C6" w:rsidRPr="007C047B">
        <w:rPr>
          <w:rFonts w:ascii="Garamond" w:hAnsi="Garamond"/>
        </w:rPr>
        <w:t xml:space="preserve"> Codice e </w:t>
      </w:r>
      <w:r w:rsidR="00E42A78" w:rsidRPr="007C047B">
        <w:rPr>
          <w:rFonts w:ascii="Garamond" w:hAnsi="Garamond"/>
        </w:rPr>
        <w:t xml:space="preserve">sette </w:t>
      </w:r>
      <w:r w:rsidRPr="007C047B">
        <w:rPr>
          <w:rFonts w:ascii="Garamond" w:hAnsi="Garamond"/>
        </w:rPr>
        <w:t>inseriti nell</w:t>
      </w:r>
      <w:r w:rsidR="00E42A78" w:rsidRPr="007C047B">
        <w:rPr>
          <w:rFonts w:ascii="Garamond" w:hAnsi="Garamond"/>
        </w:rPr>
        <w:t>’</w:t>
      </w:r>
      <w:r w:rsidR="00C32F40">
        <w:rPr>
          <w:rFonts w:ascii="Garamond" w:hAnsi="Garamond"/>
        </w:rPr>
        <w:t>a</w:t>
      </w:r>
      <w:r w:rsidR="00E42A78" w:rsidRPr="007C047B">
        <w:rPr>
          <w:rFonts w:ascii="Garamond" w:hAnsi="Garamond"/>
        </w:rPr>
        <w:t>llegato V.2</w:t>
      </w:r>
      <w:r w:rsidRPr="007C047B">
        <w:rPr>
          <w:rFonts w:ascii="Garamond" w:hAnsi="Garamond"/>
        </w:rPr>
        <w:t>,</w:t>
      </w:r>
      <w:r w:rsidR="00E42A78" w:rsidRPr="007C047B">
        <w:rPr>
          <w:rFonts w:ascii="Garamond" w:hAnsi="Garamond"/>
        </w:rPr>
        <w:t xml:space="preserve"> </w:t>
      </w:r>
      <w:r w:rsidR="000E32C6" w:rsidRPr="007C047B">
        <w:rPr>
          <w:rFonts w:ascii="Garamond" w:hAnsi="Garamond"/>
        </w:rPr>
        <w:t>due sol</w:t>
      </w:r>
      <w:r w:rsidRPr="007C047B">
        <w:rPr>
          <w:rFonts w:ascii="Garamond" w:hAnsi="Garamond"/>
        </w:rPr>
        <w:t xml:space="preserve">e sono le </w:t>
      </w:r>
      <w:r w:rsidR="007C047B" w:rsidRPr="007C047B">
        <w:rPr>
          <w:rFonts w:ascii="Garamond" w:hAnsi="Garamond"/>
        </w:rPr>
        <w:t>disposizioni</w:t>
      </w:r>
      <w:r w:rsidRPr="007C047B">
        <w:rPr>
          <w:rFonts w:ascii="Garamond" w:hAnsi="Garamond"/>
        </w:rPr>
        <w:t xml:space="preserve"> </w:t>
      </w:r>
      <w:r w:rsidR="000E32C6" w:rsidRPr="007C047B">
        <w:rPr>
          <w:rFonts w:ascii="Garamond" w:hAnsi="Garamond"/>
        </w:rPr>
        <w:t>dedicat</w:t>
      </w:r>
      <w:r w:rsidRPr="007C047B">
        <w:rPr>
          <w:rFonts w:ascii="Garamond" w:hAnsi="Garamond"/>
        </w:rPr>
        <w:t>e</w:t>
      </w:r>
      <w:r w:rsidR="000E32C6" w:rsidRPr="007C047B">
        <w:rPr>
          <w:rFonts w:ascii="Garamond" w:hAnsi="Garamond"/>
        </w:rPr>
        <w:t xml:space="preserve"> </w:t>
      </w:r>
      <w:r w:rsidR="00E42A78" w:rsidRPr="007C047B">
        <w:rPr>
          <w:rFonts w:ascii="Garamond" w:hAnsi="Garamond"/>
        </w:rPr>
        <w:t xml:space="preserve">al Collegio </w:t>
      </w:r>
      <w:r w:rsidR="00E42A78" w:rsidRPr="007C047B">
        <w:rPr>
          <w:rFonts w:ascii="Garamond" w:hAnsi="Garamond"/>
          <w:i/>
          <w:iCs/>
        </w:rPr>
        <w:t xml:space="preserve">ante </w:t>
      </w:r>
      <w:proofErr w:type="spellStart"/>
      <w:r w:rsidR="00E42A78" w:rsidRPr="007C047B">
        <w:rPr>
          <w:rFonts w:ascii="Garamond" w:hAnsi="Garamond"/>
          <w:i/>
          <w:iCs/>
        </w:rPr>
        <w:t>operam</w:t>
      </w:r>
      <w:proofErr w:type="spellEnd"/>
      <w:r w:rsidR="000E32C6" w:rsidRPr="007C047B">
        <w:rPr>
          <w:rFonts w:ascii="Garamond" w:hAnsi="Garamond"/>
        </w:rPr>
        <w:t>, un</w:t>
      </w:r>
      <w:r w:rsidRPr="007C047B">
        <w:rPr>
          <w:rFonts w:ascii="Garamond" w:hAnsi="Garamond"/>
        </w:rPr>
        <w:t>a</w:t>
      </w:r>
      <w:r w:rsidR="000E32C6" w:rsidRPr="007C047B">
        <w:rPr>
          <w:rFonts w:ascii="Garamond" w:hAnsi="Garamond"/>
        </w:rPr>
        <w:t xml:space="preserve"> nel Codice e l’altr</w:t>
      </w:r>
      <w:r w:rsidRPr="007C047B">
        <w:rPr>
          <w:rFonts w:ascii="Garamond" w:hAnsi="Garamond"/>
        </w:rPr>
        <w:t>a</w:t>
      </w:r>
      <w:r w:rsidR="000E32C6" w:rsidRPr="007C047B">
        <w:rPr>
          <w:rFonts w:ascii="Garamond" w:hAnsi="Garamond"/>
        </w:rPr>
        <w:t xml:space="preserve"> nell’</w:t>
      </w:r>
      <w:r w:rsidR="00C32F40">
        <w:rPr>
          <w:rFonts w:ascii="Garamond" w:hAnsi="Garamond"/>
        </w:rPr>
        <w:t>a</w:t>
      </w:r>
      <w:r w:rsidR="000E32C6" w:rsidRPr="007C047B">
        <w:rPr>
          <w:rFonts w:ascii="Garamond" w:hAnsi="Garamond"/>
        </w:rPr>
        <w:t>llegato.</w:t>
      </w:r>
      <w:r w:rsidRPr="007C047B">
        <w:rPr>
          <w:rFonts w:ascii="Garamond" w:hAnsi="Garamond"/>
        </w:rPr>
        <w:t xml:space="preserve"> L’attuale, scarna disciplina necessita dunque di essere implementata per consentire ad un istituto </w:t>
      </w:r>
      <w:r w:rsidR="003526EF">
        <w:rPr>
          <w:rFonts w:ascii="Garamond" w:hAnsi="Garamond"/>
        </w:rPr>
        <w:t xml:space="preserve">dal “marmo” </w:t>
      </w:r>
      <w:r w:rsidRPr="007C047B">
        <w:rPr>
          <w:rFonts w:ascii="Garamond" w:hAnsi="Garamond"/>
        </w:rPr>
        <w:t xml:space="preserve">ancora grezzo </w:t>
      </w:r>
      <w:r w:rsidR="00CB3E40" w:rsidRPr="007C047B">
        <w:rPr>
          <w:rFonts w:ascii="Garamond" w:hAnsi="Garamond"/>
        </w:rPr>
        <w:t xml:space="preserve">di </w:t>
      </w:r>
      <w:r w:rsidR="003526EF">
        <w:rPr>
          <w:rFonts w:ascii="Garamond" w:hAnsi="Garamond"/>
        </w:rPr>
        <w:t>essere adeguatamente scalpellato</w:t>
      </w:r>
      <w:r w:rsidR="00792097">
        <w:rPr>
          <w:rFonts w:ascii="Garamond" w:hAnsi="Garamond"/>
        </w:rPr>
        <w:t>,</w:t>
      </w:r>
      <w:r w:rsidR="003526EF">
        <w:rPr>
          <w:rFonts w:ascii="Garamond" w:hAnsi="Garamond"/>
        </w:rPr>
        <w:t xml:space="preserve"> </w:t>
      </w:r>
      <w:r w:rsidR="00CB3E40" w:rsidRPr="007C047B">
        <w:rPr>
          <w:rFonts w:ascii="Garamond" w:hAnsi="Garamond"/>
        </w:rPr>
        <w:t>spiega</w:t>
      </w:r>
      <w:r w:rsidR="003526EF">
        <w:rPr>
          <w:rFonts w:ascii="Garamond" w:hAnsi="Garamond"/>
        </w:rPr>
        <w:t>ndo in tal modo</w:t>
      </w:r>
      <w:r w:rsidR="00CB3E40" w:rsidRPr="007C047B">
        <w:rPr>
          <w:rFonts w:ascii="Garamond" w:hAnsi="Garamond"/>
        </w:rPr>
        <w:t xml:space="preserve"> le ali verso la stella polare del principio del risultato.</w:t>
      </w:r>
    </w:p>
    <w:p w14:paraId="03BE52EF" w14:textId="77777777" w:rsidR="008D4D01" w:rsidRDefault="008D4D01" w:rsidP="007C047B">
      <w:pPr>
        <w:spacing w:after="0"/>
        <w:jc w:val="both"/>
        <w:rPr>
          <w:rFonts w:ascii="Garamond" w:hAnsi="Garamond"/>
        </w:rPr>
      </w:pPr>
    </w:p>
    <w:p w14:paraId="2F092333" w14:textId="77777777" w:rsidR="008D4D01" w:rsidRDefault="008D4D01" w:rsidP="007C047B">
      <w:pPr>
        <w:spacing w:after="0"/>
        <w:jc w:val="both"/>
        <w:rPr>
          <w:rFonts w:ascii="Garamond" w:hAnsi="Garamond"/>
        </w:rPr>
      </w:pPr>
    </w:p>
    <w:p w14:paraId="10D4B0E2" w14:textId="77777777" w:rsidR="008D4D01" w:rsidRDefault="008D4D01" w:rsidP="007C047B">
      <w:pPr>
        <w:spacing w:after="0"/>
        <w:jc w:val="both"/>
        <w:rPr>
          <w:rFonts w:ascii="Garamond" w:hAnsi="Garamond"/>
        </w:rPr>
      </w:pPr>
    </w:p>
    <w:p w14:paraId="20D58EA3" w14:textId="77777777" w:rsidR="008D4D01" w:rsidRDefault="008D4D01" w:rsidP="007C047B">
      <w:pPr>
        <w:spacing w:after="0"/>
        <w:jc w:val="both"/>
        <w:rPr>
          <w:rFonts w:ascii="Garamond" w:hAnsi="Garamond"/>
        </w:rPr>
      </w:pPr>
    </w:p>
    <w:p w14:paraId="6255E2E3" w14:textId="77777777" w:rsidR="008D4D01" w:rsidRDefault="008D4D01" w:rsidP="007C047B">
      <w:pPr>
        <w:spacing w:after="0"/>
        <w:jc w:val="both"/>
        <w:rPr>
          <w:rFonts w:ascii="Garamond" w:hAnsi="Garamond"/>
        </w:rPr>
      </w:pPr>
    </w:p>
    <w:p w14:paraId="571CF987" w14:textId="77777777" w:rsidR="008D4D01" w:rsidRDefault="008D4D01" w:rsidP="007C047B">
      <w:pPr>
        <w:spacing w:after="0"/>
        <w:jc w:val="both"/>
        <w:rPr>
          <w:rFonts w:ascii="Garamond" w:hAnsi="Garamond"/>
        </w:rPr>
      </w:pPr>
    </w:p>
    <w:p w14:paraId="7FC7A1C1" w14:textId="5C4D03CF" w:rsidR="008D4D01" w:rsidRPr="008D4D01" w:rsidRDefault="008D4D01" w:rsidP="008D4D01">
      <w:pPr>
        <w:ind w:right="-1" w:firstLine="567"/>
        <w:jc w:val="both"/>
        <w:rPr>
          <w:rFonts w:ascii="Garamond" w:hAnsi="Garamond"/>
          <w:i/>
          <w:iCs/>
        </w:rPr>
      </w:pPr>
      <w:r w:rsidRPr="008D4D01">
        <w:rPr>
          <w:rFonts w:ascii="Garamond" w:hAnsi="Garamond"/>
          <w:i/>
          <w:iCs/>
        </w:rPr>
        <w:t xml:space="preserve">Claudio </w:t>
      </w:r>
      <w:r w:rsidRPr="008D4D01">
        <w:rPr>
          <w:rFonts w:ascii="Garamond" w:hAnsi="Garamond"/>
          <w:i/>
          <w:iCs/>
        </w:rPr>
        <w:t>Guccione, Avvocato del Libero Foro</w:t>
      </w:r>
    </w:p>
    <w:p w14:paraId="28957275" w14:textId="77777777" w:rsidR="008D4D01" w:rsidRPr="008D4D01" w:rsidRDefault="008D4D01" w:rsidP="008D4D01">
      <w:pPr>
        <w:ind w:right="-1" w:firstLine="567"/>
        <w:jc w:val="both"/>
        <w:rPr>
          <w:rFonts w:ascii="Garamond" w:hAnsi="Garamond"/>
          <w:i/>
          <w:iCs/>
        </w:rPr>
      </w:pPr>
      <w:r w:rsidRPr="008D4D01">
        <w:rPr>
          <w:rFonts w:ascii="Garamond" w:hAnsi="Garamond"/>
          <w:i/>
          <w:iCs/>
        </w:rPr>
        <w:t>Le opinioni di cui al presente contributo sono espresse dall’Autore a titolo personale; esse non impegnano l'Ufficio studi della Giustizia amministrativa, né quest'ultima quale Istituzione.</w:t>
      </w:r>
    </w:p>
    <w:sectPr w:rsidR="008D4D01" w:rsidRPr="008D4D0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A62E" w14:textId="77777777" w:rsidR="00BF644A" w:rsidRDefault="00BF644A" w:rsidP="00DF4316">
      <w:pPr>
        <w:spacing w:after="0" w:line="240" w:lineRule="auto"/>
      </w:pPr>
      <w:r>
        <w:separator/>
      </w:r>
    </w:p>
  </w:endnote>
  <w:endnote w:type="continuationSeparator" w:id="0">
    <w:p w14:paraId="4EE50C74" w14:textId="77777777" w:rsidR="00BF644A" w:rsidRDefault="00BF644A" w:rsidP="00DF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180725"/>
      <w:docPartObj>
        <w:docPartGallery w:val="Page Numbers (Bottom of Page)"/>
        <w:docPartUnique/>
      </w:docPartObj>
    </w:sdtPr>
    <w:sdtEndPr/>
    <w:sdtContent>
      <w:p w14:paraId="4A7AB430" w14:textId="46797CC5" w:rsidR="00DF4735" w:rsidRDefault="00DF4735">
        <w:pPr>
          <w:pStyle w:val="Pidipagina"/>
          <w:jc w:val="center"/>
        </w:pPr>
        <w:r>
          <w:fldChar w:fldCharType="begin"/>
        </w:r>
        <w:r>
          <w:instrText>PAGE   \* MERGEFORMAT</w:instrText>
        </w:r>
        <w:r>
          <w:fldChar w:fldCharType="separate"/>
        </w:r>
        <w:r>
          <w:t>2</w:t>
        </w:r>
        <w:r>
          <w:fldChar w:fldCharType="end"/>
        </w:r>
      </w:p>
    </w:sdtContent>
  </w:sdt>
  <w:p w14:paraId="1754B1E3" w14:textId="77777777" w:rsidR="00DF4735" w:rsidRDefault="00DF47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4394" w14:textId="77777777" w:rsidR="00BF644A" w:rsidRDefault="00BF644A" w:rsidP="00DF4316">
      <w:pPr>
        <w:spacing w:after="0" w:line="240" w:lineRule="auto"/>
      </w:pPr>
      <w:r>
        <w:separator/>
      </w:r>
    </w:p>
  </w:footnote>
  <w:footnote w:type="continuationSeparator" w:id="0">
    <w:p w14:paraId="2F3761B0" w14:textId="77777777" w:rsidR="00BF644A" w:rsidRDefault="00BF644A" w:rsidP="00DF4316">
      <w:pPr>
        <w:spacing w:after="0" w:line="240" w:lineRule="auto"/>
      </w:pPr>
      <w:r>
        <w:continuationSeparator/>
      </w:r>
    </w:p>
  </w:footnote>
  <w:footnote w:id="1">
    <w:p w14:paraId="0577FFD8" w14:textId="41E13F7A" w:rsidR="00EE18EE" w:rsidRPr="00C62E9A" w:rsidRDefault="00EE18EE">
      <w:pPr>
        <w:pStyle w:val="Testonotaapidipagina"/>
        <w:rPr>
          <w:rFonts w:ascii="Garamond" w:hAnsi="Garamond"/>
        </w:rPr>
      </w:pPr>
      <w:r>
        <w:rPr>
          <w:rStyle w:val="Rimandonotaapidipagina"/>
        </w:rPr>
        <w:footnoteRef/>
      </w:r>
      <w:r>
        <w:t xml:space="preserve"> </w:t>
      </w:r>
      <w:r w:rsidRPr="00C62E9A">
        <w:rPr>
          <w:rFonts w:ascii="Garamond" w:hAnsi="Garamond"/>
        </w:rPr>
        <w:t>Consentito con modificazioni nella legge 11.09.2020, n. 120.</w:t>
      </w:r>
    </w:p>
  </w:footnote>
  <w:footnote w:id="2">
    <w:p w14:paraId="743F5D7E" w14:textId="0493648F" w:rsidR="00A76107" w:rsidRDefault="00A76107">
      <w:pPr>
        <w:pStyle w:val="Testonotaapidipagina"/>
        <w:jc w:val="both"/>
        <w:rPr>
          <w:rFonts w:ascii="Garamond" w:hAnsi="Garamond"/>
        </w:rPr>
      </w:pPr>
      <w:r w:rsidRPr="00C0729B">
        <w:rPr>
          <w:rStyle w:val="Rimandonotaapidipagina"/>
          <w:rFonts w:ascii="Garamond" w:hAnsi="Garamond"/>
        </w:rPr>
        <w:footnoteRef/>
      </w:r>
      <w:r w:rsidRPr="00C0729B">
        <w:rPr>
          <w:rFonts w:ascii="Garamond" w:hAnsi="Garamond"/>
        </w:rPr>
        <w:t xml:space="preserve"> Sul CCT </w:t>
      </w:r>
      <w:r w:rsidRPr="00C0729B">
        <w:rPr>
          <w:rFonts w:ascii="Garamond" w:hAnsi="Garamond"/>
          <w:i/>
          <w:iCs/>
        </w:rPr>
        <w:t xml:space="preserve">ante </w:t>
      </w:r>
      <w:proofErr w:type="spellStart"/>
      <w:r w:rsidRPr="00C0729B">
        <w:rPr>
          <w:rFonts w:ascii="Garamond" w:hAnsi="Garamond"/>
          <w:i/>
          <w:iCs/>
        </w:rPr>
        <w:t>operam</w:t>
      </w:r>
      <w:proofErr w:type="spellEnd"/>
      <w:r w:rsidRPr="00C0729B">
        <w:rPr>
          <w:rFonts w:ascii="Garamond" w:hAnsi="Garamond"/>
        </w:rPr>
        <w:t> e sulla sua collocazione nella fase pubblicistica dell’affidamento, v. OTRANTO</w:t>
      </w:r>
      <w:r w:rsidRPr="00A76107">
        <w:rPr>
          <w:rFonts w:ascii="Garamond" w:hAnsi="Garamond"/>
        </w:rPr>
        <w:t xml:space="preserve"> </w:t>
      </w:r>
      <w:r w:rsidRPr="001C5627">
        <w:rPr>
          <w:rFonts w:ascii="Garamond" w:hAnsi="Garamond"/>
        </w:rPr>
        <w:t>P.</w:t>
      </w:r>
      <w:r w:rsidRPr="00C0729B">
        <w:rPr>
          <w:rFonts w:ascii="Garamond" w:hAnsi="Garamond"/>
        </w:rPr>
        <w:t>, </w:t>
      </w:r>
      <w:r>
        <w:rPr>
          <w:rFonts w:ascii="Garamond" w:hAnsi="Garamond"/>
        </w:rPr>
        <w:t>“</w:t>
      </w:r>
      <w:r w:rsidRPr="00C0729B">
        <w:rPr>
          <w:rFonts w:ascii="Garamond" w:hAnsi="Garamond"/>
          <w:i/>
          <w:iCs/>
        </w:rPr>
        <w:t>La nomina, decadenza, dimissioni e revoca dei componenti</w:t>
      </w:r>
      <w:r w:rsidR="007E579E">
        <w:rPr>
          <w:rFonts w:ascii="Garamond" w:hAnsi="Garamond"/>
          <w:i/>
          <w:iCs/>
        </w:rPr>
        <w:t>”</w:t>
      </w:r>
      <w:r w:rsidR="007E579E" w:rsidRPr="007E579E">
        <w:rPr>
          <w:rFonts w:ascii="Garamond" w:hAnsi="Garamond"/>
        </w:rPr>
        <w:t>, in</w:t>
      </w:r>
      <w:r w:rsidR="007E579E">
        <w:rPr>
          <w:rFonts w:ascii="Garamond" w:hAnsi="Garamond"/>
        </w:rPr>
        <w:t xml:space="preserve"> “</w:t>
      </w:r>
      <w:r w:rsidR="007E579E" w:rsidRPr="007E579E">
        <w:rPr>
          <w:rFonts w:ascii="Garamond" w:hAnsi="Garamond"/>
          <w:i/>
          <w:iCs/>
        </w:rPr>
        <w:t>Manuale dei Collegi Consultivi Tecnici</w:t>
      </w:r>
      <w:r w:rsidR="007E579E">
        <w:rPr>
          <w:rFonts w:ascii="Garamond" w:hAnsi="Garamond"/>
          <w:i/>
          <w:iCs/>
        </w:rPr>
        <w:t>”</w:t>
      </w:r>
      <w:r w:rsidR="007E579E" w:rsidRPr="007E579E">
        <w:rPr>
          <w:rFonts w:ascii="Garamond" w:hAnsi="Garamond"/>
        </w:rPr>
        <w:t>, 2025.</w:t>
      </w:r>
      <w:r w:rsidRPr="00C0729B">
        <w:rPr>
          <w:rFonts w:ascii="Garamond" w:hAnsi="Garamond"/>
        </w:rPr>
        <w:t>p. 78 ss.; LAGROTTA</w:t>
      </w:r>
      <w:r w:rsidRPr="00A76107">
        <w:rPr>
          <w:rFonts w:ascii="Garamond" w:hAnsi="Garamond"/>
        </w:rPr>
        <w:t xml:space="preserve"> </w:t>
      </w:r>
      <w:r w:rsidRPr="00B33C70">
        <w:rPr>
          <w:rFonts w:ascii="Garamond" w:hAnsi="Garamond"/>
        </w:rPr>
        <w:t>I.</w:t>
      </w:r>
      <w:r w:rsidRPr="00C0729B">
        <w:rPr>
          <w:rFonts w:ascii="Garamond" w:hAnsi="Garamond"/>
        </w:rPr>
        <w:t>, </w:t>
      </w:r>
      <w:r>
        <w:rPr>
          <w:rFonts w:ascii="Garamond" w:hAnsi="Garamond"/>
        </w:rPr>
        <w:t>“</w:t>
      </w:r>
      <w:r w:rsidRPr="00C0729B">
        <w:rPr>
          <w:rFonts w:ascii="Garamond" w:hAnsi="Garamond"/>
          <w:i/>
          <w:iCs/>
        </w:rPr>
        <w:t>La costituzione e l’insediamento del collegio</w:t>
      </w:r>
      <w:r w:rsidRPr="00C0729B">
        <w:rPr>
          <w:rFonts w:ascii="Garamond" w:hAnsi="Garamond"/>
        </w:rPr>
        <w:t>, in </w:t>
      </w:r>
      <w:r w:rsidRPr="00C0729B">
        <w:rPr>
          <w:rFonts w:ascii="Garamond" w:hAnsi="Garamond"/>
          <w:i/>
          <w:iCs/>
        </w:rPr>
        <w:t>Manuale dei Collegi Consultivi Tecnici</w:t>
      </w:r>
      <w:r>
        <w:rPr>
          <w:rFonts w:ascii="Garamond" w:hAnsi="Garamond"/>
          <w:i/>
          <w:iCs/>
        </w:rPr>
        <w:t>”</w:t>
      </w:r>
      <w:r w:rsidRPr="00C0729B">
        <w:rPr>
          <w:rFonts w:ascii="Garamond" w:hAnsi="Garamond"/>
          <w:i/>
          <w:iCs/>
        </w:rPr>
        <w:t>,</w:t>
      </w:r>
      <w:r w:rsidRPr="00C0729B">
        <w:rPr>
          <w:rFonts w:ascii="Garamond" w:hAnsi="Garamond"/>
        </w:rPr>
        <w:t> cit., p. 115 ss.</w:t>
      </w:r>
    </w:p>
    <w:p w14:paraId="6502DD58" w14:textId="34A8C6C9" w:rsidR="00F92BD7" w:rsidRPr="00C0729B" w:rsidRDefault="00F92BD7" w:rsidP="00C0729B">
      <w:pPr>
        <w:pStyle w:val="Testonotaapidipagina"/>
        <w:jc w:val="both"/>
        <w:rPr>
          <w:rFonts w:ascii="Garamond" w:hAnsi="Garamond"/>
        </w:rPr>
      </w:pPr>
      <w:r>
        <w:rPr>
          <w:rFonts w:ascii="Garamond" w:hAnsi="Garamond"/>
        </w:rPr>
        <w:t xml:space="preserve">Quanto alla collocazione sistematica della disciplina del CCT </w:t>
      </w:r>
      <w:r w:rsidRPr="00C0729B">
        <w:rPr>
          <w:rFonts w:ascii="Garamond" w:hAnsi="Garamond"/>
          <w:i/>
          <w:iCs/>
        </w:rPr>
        <w:t xml:space="preserve">ante </w:t>
      </w:r>
      <w:proofErr w:type="spellStart"/>
      <w:r w:rsidRPr="00C0729B">
        <w:rPr>
          <w:rFonts w:ascii="Garamond" w:hAnsi="Garamond"/>
          <w:i/>
          <w:iCs/>
        </w:rPr>
        <w:t>operam</w:t>
      </w:r>
      <w:proofErr w:type="spellEnd"/>
      <w:r>
        <w:rPr>
          <w:rFonts w:ascii="Garamond" w:hAnsi="Garamond"/>
        </w:rPr>
        <w:t xml:space="preserve"> è stato osservato che, pur collocandosi nel titolo </w:t>
      </w:r>
      <w:r w:rsidR="00C0729B">
        <w:rPr>
          <w:rFonts w:ascii="Garamond" w:hAnsi="Garamond"/>
        </w:rPr>
        <w:t>II (</w:t>
      </w:r>
      <w:r>
        <w:rPr>
          <w:rFonts w:ascii="Garamond" w:hAnsi="Garamond"/>
        </w:rPr>
        <w:t xml:space="preserve">“I rimedi alternativi alla tutela giurisdizionale”) della parte I del Codice, </w:t>
      </w:r>
      <w:r w:rsidR="00147AFE">
        <w:rPr>
          <w:rFonts w:ascii="Garamond" w:hAnsi="Garamond"/>
        </w:rPr>
        <w:t xml:space="preserve">a ben vedere </w:t>
      </w:r>
      <w:r>
        <w:rPr>
          <w:rFonts w:ascii="Garamond" w:hAnsi="Garamond"/>
        </w:rPr>
        <w:t xml:space="preserve">non </w:t>
      </w:r>
      <w:r w:rsidR="00147AFE">
        <w:rPr>
          <w:rFonts w:ascii="Garamond" w:hAnsi="Garamond"/>
        </w:rPr>
        <w:t xml:space="preserve">è accomunabile </w:t>
      </w:r>
      <w:r w:rsidR="00F50E96">
        <w:rPr>
          <w:rFonts w:ascii="Garamond" w:hAnsi="Garamond"/>
        </w:rPr>
        <w:t xml:space="preserve">a </w:t>
      </w:r>
      <w:proofErr w:type="spellStart"/>
      <w:r w:rsidR="00F50E96">
        <w:rPr>
          <w:rFonts w:ascii="Garamond" w:hAnsi="Garamond"/>
        </w:rPr>
        <w:t>a</w:t>
      </w:r>
      <w:proofErr w:type="spellEnd"/>
      <w:r w:rsidR="00F50E96">
        <w:rPr>
          <w:rFonts w:ascii="Garamond" w:hAnsi="Garamond"/>
        </w:rPr>
        <w:t xml:space="preserve"> </w:t>
      </w:r>
      <w:r w:rsidR="008B02C3">
        <w:rPr>
          <w:rFonts w:ascii="Garamond" w:hAnsi="Garamond"/>
        </w:rPr>
        <w:t>tali rimedi</w:t>
      </w:r>
      <w:r w:rsidR="00F50E96">
        <w:rPr>
          <w:rFonts w:ascii="Garamond" w:hAnsi="Garamond"/>
        </w:rPr>
        <w:t xml:space="preserve"> </w:t>
      </w:r>
      <w:proofErr w:type="gramStart"/>
      <w:r w:rsidR="00F50E96">
        <w:rPr>
          <w:rFonts w:ascii="Garamond" w:hAnsi="Garamond"/>
        </w:rPr>
        <w:t>(</w:t>
      </w:r>
      <w:r w:rsidR="008B02C3">
        <w:rPr>
          <w:rFonts w:ascii="Garamond" w:hAnsi="Garamond"/>
        </w:rPr>
        <w:t xml:space="preserve"> </w:t>
      </w:r>
      <w:r>
        <w:rPr>
          <w:rFonts w:ascii="Garamond" w:hAnsi="Garamond"/>
        </w:rPr>
        <w:t>l’accordo</w:t>
      </w:r>
      <w:proofErr w:type="gramEnd"/>
      <w:r>
        <w:rPr>
          <w:rFonts w:ascii="Garamond" w:hAnsi="Garamond"/>
        </w:rPr>
        <w:t xml:space="preserve"> bonario, l’arbitrato ed il CCT in fase di esecuzione</w:t>
      </w:r>
      <w:r w:rsidR="00F50E96">
        <w:rPr>
          <w:rFonts w:ascii="Garamond" w:hAnsi="Garamond"/>
        </w:rPr>
        <w:t>)</w:t>
      </w:r>
      <w:r w:rsidR="008B02C3">
        <w:rPr>
          <w:rFonts w:ascii="Garamond" w:hAnsi="Garamond"/>
        </w:rPr>
        <w:t>.</w:t>
      </w:r>
      <w:r w:rsidR="00990B49">
        <w:rPr>
          <w:rFonts w:ascii="Garamond" w:hAnsi="Garamond"/>
        </w:rPr>
        <w:t xml:space="preserve"> Così Chiaia B. -Comba B, La costituzione facoltativa del CCT: il Collegio </w:t>
      </w:r>
      <w:r w:rsidR="00990B49" w:rsidRPr="00C0729B">
        <w:rPr>
          <w:rFonts w:ascii="Garamond" w:hAnsi="Garamond"/>
          <w:i/>
          <w:iCs/>
        </w:rPr>
        <w:t xml:space="preserve">ante </w:t>
      </w:r>
      <w:proofErr w:type="spellStart"/>
      <w:r w:rsidR="00990B49" w:rsidRPr="00C0729B">
        <w:rPr>
          <w:rFonts w:ascii="Garamond" w:hAnsi="Garamond"/>
          <w:i/>
          <w:iCs/>
        </w:rPr>
        <w:t>operam</w:t>
      </w:r>
      <w:proofErr w:type="spellEnd"/>
      <w:r w:rsidR="00990B49">
        <w:rPr>
          <w:rFonts w:ascii="Garamond" w:hAnsi="Garamond"/>
          <w:i/>
          <w:iCs/>
        </w:rPr>
        <w:t xml:space="preserve">, </w:t>
      </w:r>
      <w:r w:rsidR="00990B49" w:rsidRPr="00C0729B">
        <w:rPr>
          <w:rFonts w:ascii="Garamond" w:hAnsi="Garamond"/>
        </w:rPr>
        <w:t>in</w:t>
      </w:r>
      <w:r w:rsidR="00990B49">
        <w:rPr>
          <w:rFonts w:ascii="Garamond" w:hAnsi="Garamond"/>
          <w:i/>
          <w:iCs/>
        </w:rPr>
        <w:t xml:space="preserve"> I Collegi Consultivi Tecnici- Aspetti di sistema e profili operativi, a cura di Contessa </w:t>
      </w:r>
      <w:r w:rsidR="00C0729B">
        <w:rPr>
          <w:rFonts w:ascii="Garamond" w:hAnsi="Garamond"/>
          <w:i/>
          <w:iCs/>
        </w:rPr>
        <w:t>C.,</w:t>
      </w:r>
      <w:r w:rsidR="00990B49">
        <w:rPr>
          <w:rFonts w:ascii="Garamond" w:hAnsi="Garamond"/>
          <w:i/>
          <w:iCs/>
        </w:rPr>
        <w:t xml:space="preserve"> Del Vecchio </w:t>
      </w:r>
      <w:r w:rsidR="00C0729B">
        <w:rPr>
          <w:rFonts w:ascii="Garamond" w:hAnsi="Garamond"/>
          <w:i/>
          <w:iCs/>
        </w:rPr>
        <w:t>P,</w:t>
      </w:r>
      <w:r w:rsidR="00990B49">
        <w:rPr>
          <w:rFonts w:ascii="Garamond" w:hAnsi="Garamond"/>
          <w:i/>
          <w:iCs/>
        </w:rPr>
        <w:t xml:space="preserve"> Lubrano B.</w:t>
      </w:r>
    </w:p>
  </w:footnote>
  <w:footnote w:id="3">
    <w:p w14:paraId="189C3F20" w14:textId="77777777" w:rsidR="00DF4316" w:rsidRPr="00696E45" w:rsidRDefault="00DF4316" w:rsidP="00DF4316">
      <w:pPr>
        <w:pStyle w:val="Testonotaapidipagina"/>
        <w:jc w:val="both"/>
        <w:rPr>
          <w:rFonts w:ascii="Garamond" w:hAnsi="Garamond"/>
        </w:rPr>
      </w:pPr>
      <w:r>
        <w:rPr>
          <w:rStyle w:val="Rimandonotaapidipagina"/>
        </w:rPr>
        <w:footnoteRef/>
      </w:r>
      <w:r>
        <w:t xml:space="preserve"> </w:t>
      </w:r>
      <w:r>
        <w:rPr>
          <w:rFonts w:ascii="Garamond" w:hAnsi="Garamond"/>
        </w:rPr>
        <w:t>DURANTE N., “</w:t>
      </w:r>
      <w:r w:rsidRPr="00696E45">
        <w:rPr>
          <w:rFonts w:ascii="Garamond" w:hAnsi="Garamond"/>
          <w:i/>
          <w:iCs/>
        </w:rPr>
        <w:t>La risoluzione extragiudiziale delle controversie: il CCT</w:t>
      </w:r>
      <w:r>
        <w:rPr>
          <w:rFonts w:ascii="Garamond" w:hAnsi="Garamond"/>
        </w:rPr>
        <w:t xml:space="preserve">”, in </w:t>
      </w:r>
      <w:hyperlink r:id="rId1" w:history="1">
        <w:r w:rsidRPr="00B840E7">
          <w:rPr>
            <w:rStyle w:val="Collegamentoipertestuale"/>
            <w:rFonts w:ascii="Garamond" w:hAnsi="Garamond"/>
          </w:rPr>
          <w:t>https://www.giustizia-amministrativa.it/en/-/158189-176</w:t>
        </w:r>
      </w:hyperlink>
      <w:r>
        <w:rPr>
          <w:rFonts w:ascii="Garamond" w:hAnsi="Garamond"/>
        </w:rPr>
        <w:t>, 2025</w:t>
      </w:r>
    </w:p>
  </w:footnote>
  <w:footnote w:id="4">
    <w:p w14:paraId="732E5E9B" w14:textId="735645F9" w:rsidR="007E579E" w:rsidRPr="007E579E" w:rsidRDefault="007E579E" w:rsidP="007E579E">
      <w:pPr>
        <w:pStyle w:val="Testonotaapidipagina"/>
        <w:jc w:val="both"/>
        <w:rPr>
          <w:rFonts w:ascii="Garamond" w:hAnsi="Garamond"/>
        </w:rPr>
      </w:pPr>
      <w:r w:rsidRPr="00C0729B">
        <w:rPr>
          <w:rStyle w:val="Rimandonotaapidipagina"/>
          <w:rFonts w:ascii="Garamond" w:hAnsi="Garamond"/>
        </w:rPr>
        <w:footnoteRef/>
      </w:r>
      <w:r w:rsidRPr="00C0729B">
        <w:rPr>
          <w:rFonts w:ascii="Garamond" w:hAnsi="Garamond"/>
        </w:rPr>
        <w:t xml:space="preserve"> La differenza tra CCT esecutivo e CCT </w:t>
      </w:r>
      <w:r w:rsidRPr="00C0729B">
        <w:rPr>
          <w:rFonts w:ascii="Garamond" w:hAnsi="Garamond"/>
          <w:i/>
          <w:iCs/>
        </w:rPr>
        <w:t xml:space="preserve">ante </w:t>
      </w:r>
      <w:proofErr w:type="spellStart"/>
      <w:r w:rsidRPr="00C0729B">
        <w:rPr>
          <w:rFonts w:ascii="Garamond" w:hAnsi="Garamond"/>
          <w:i/>
          <w:iCs/>
        </w:rPr>
        <w:t>operam</w:t>
      </w:r>
      <w:proofErr w:type="spellEnd"/>
      <w:r w:rsidRPr="00C0729B">
        <w:rPr>
          <w:rFonts w:ascii="Garamond" w:hAnsi="Garamond"/>
        </w:rPr>
        <w:t xml:space="preserve"> non è, allora, soltanto cronologica. Nel primo caso, il collegio si inserisce nella vita di un rapporto contrattuale </w:t>
      </w:r>
      <w:proofErr w:type="spellStart"/>
      <w:r w:rsidRPr="00C0729B">
        <w:rPr>
          <w:rFonts w:ascii="Garamond" w:hAnsi="Garamond"/>
        </w:rPr>
        <w:t>gia</w:t>
      </w:r>
      <w:proofErr w:type="spellEnd"/>
      <w:r w:rsidRPr="00C0729B">
        <w:rPr>
          <w:rFonts w:ascii="Garamond" w:hAnsi="Garamond"/>
        </w:rPr>
        <w:t>̀ perfezionato; nel secondo, esso viene costituito per intervenire nella fase genetica o preparatoria dell’affidamento</w:t>
      </w:r>
      <w:r>
        <w:rPr>
          <w:rFonts w:ascii="Garamond" w:hAnsi="Garamond"/>
        </w:rPr>
        <w:t xml:space="preserve">. Sul punto v. LAGROTTA I., </w:t>
      </w:r>
      <w:r w:rsidRPr="00C0729B">
        <w:rPr>
          <w:rFonts w:ascii="Garamond" w:hAnsi="Garamond"/>
          <w:i/>
          <w:iCs/>
        </w:rPr>
        <w:t>Costituzione del Collegio consultivo tecnico e riparto di giurisdizione</w:t>
      </w:r>
      <w:r>
        <w:rPr>
          <w:rFonts w:ascii="Garamond" w:hAnsi="Garamond"/>
          <w:i/>
          <w:iCs/>
        </w:rPr>
        <w:t xml:space="preserve">, </w:t>
      </w:r>
      <w:r>
        <w:rPr>
          <w:rFonts w:ascii="Garamond" w:hAnsi="Garamond"/>
        </w:rPr>
        <w:t xml:space="preserve">in </w:t>
      </w:r>
      <w:hyperlink r:id="rId2" w:anchor="_ftnref7" w:history="1">
        <w:r w:rsidRPr="0094539E">
          <w:rPr>
            <w:rStyle w:val="Collegamentoipertestuale"/>
            <w:rFonts w:ascii="Garamond" w:hAnsi="Garamond"/>
          </w:rPr>
          <w:t>https://www.judicium.it/costituzione-del-collegio-consultivo-tecnico-e-riparto-di-giurisdizione/#_ftnref7</w:t>
        </w:r>
      </w:hyperlink>
      <w:r>
        <w:rPr>
          <w:rFonts w:ascii="Garamond" w:hAnsi="Garamond"/>
        </w:rPr>
        <w:t xml:space="preserve"> </w:t>
      </w:r>
    </w:p>
    <w:p w14:paraId="1AAE6B80" w14:textId="54F047A2" w:rsidR="007E579E" w:rsidRPr="00C0729B" w:rsidRDefault="007E579E" w:rsidP="00C0729B">
      <w:pPr>
        <w:pStyle w:val="Testonotaapidipagina"/>
        <w:jc w:val="both"/>
        <w:rPr>
          <w:rFonts w:ascii="Garamond" w:hAnsi="Garamond"/>
        </w:rPr>
      </w:pPr>
    </w:p>
  </w:footnote>
  <w:footnote w:id="5">
    <w:p w14:paraId="7C737B12" w14:textId="234352E9" w:rsidR="00D85EA9" w:rsidRPr="008807D3" w:rsidRDefault="00D85EA9" w:rsidP="008807D3">
      <w:pPr>
        <w:pStyle w:val="Testonotaapidipagina"/>
        <w:jc w:val="both"/>
        <w:rPr>
          <w:rFonts w:ascii="Garamond" w:hAnsi="Garamond"/>
        </w:rPr>
      </w:pPr>
      <w:r w:rsidRPr="008807D3">
        <w:rPr>
          <w:rStyle w:val="Rimandonotaapidipagina"/>
          <w:rFonts w:ascii="Garamond" w:hAnsi="Garamond"/>
        </w:rPr>
        <w:footnoteRef/>
      </w:r>
      <w:r w:rsidRPr="008807D3">
        <w:rPr>
          <w:rFonts w:ascii="Garamond" w:hAnsi="Garamond"/>
        </w:rPr>
        <w:t xml:space="preserve"> Per un approfondimento in materia di CCT nell’ambito de</w:t>
      </w:r>
      <w:r w:rsidR="008C2A8E">
        <w:rPr>
          <w:rFonts w:ascii="Garamond" w:hAnsi="Garamond"/>
        </w:rPr>
        <w:t xml:space="preserve">i </w:t>
      </w:r>
      <w:r w:rsidR="009E3A5D">
        <w:rPr>
          <w:rFonts w:ascii="Garamond" w:hAnsi="Garamond"/>
        </w:rPr>
        <w:t>contratti di</w:t>
      </w:r>
      <w:r>
        <w:rPr>
          <w:rFonts w:ascii="Garamond" w:hAnsi="Garamond"/>
        </w:rPr>
        <w:t xml:space="preserve"> partenariato pubblico-privato</w:t>
      </w:r>
      <w:r w:rsidRPr="008807D3">
        <w:rPr>
          <w:rFonts w:ascii="Garamond" w:hAnsi="Garamond"/>
        </w:rPr>
        <w:t xml:space="preserve">, si veda </w:t>
      </w:r>
      <w:r w:rsidR="00CC5940">
        <w:rPr>
          <w:rFonts w:ascii="Garamond" w:hAnsi="Garamond"/>
        </w:rPr>
        <w:t xml:space="preserve">FERRANTE M. - </w:t>
      </w:r>
      <w:r w:rsidRPr="008807D3">
        <w:rPr>
          <w:rFonts w:ascii="Garamond" w:hAnsi="Garamond"/>
        </w:rPr>
        <w:t xml:space="preserve">GUCCIONE </w:t>
      </w:r>
      <w:r w:rsidR="009E3A5D" w:rsidRPr="008807D3">
        <w:rPr>
          <w:rFonts w:ascii="Garamond" w:hAnsi="Garamond"/>
        </w:rPr>
        <w:t>C.</w:t>
      </w:r>
      <w:r w:rsidR="009E3A5D">
        <w:rPr>
          <w:rFonts w:ascii="Garamond" w:hAnsi="Garamond"/>
        </w:rPr>
        <w:t>,</w:t>
      </w:r>
      <w:r w:rsidRPr="008807D3">
        <w:rPr>
          <w:rFonts w:ascii="Garamond" w:hAnsi="Garamond"/>
        </w:rPr>
        <w:t xml:space="preserve"> </w:t>
      </w:r>
      <w:r w:rsidR="00C114C9">
        <w:rPr>
          <w:rFonts w:ascii="Garamond" w:hAnsi="Garamond"/>
        </w:rPr>
        <w:t>“</w:t>
      </w:r>
      <w:proofErr w:type="spellStart"/>
      <w:r w:rsidRPr="008807D3">
        <w:rPr>
          <w:rFonts w:ascii="Garamond" w:hAnsi="Garamond"/>
          <w:i/>
          <w:iCs/>
        </w:rPr>
        <w:t>Ppp</w:t>
      </w:r>
      <w:proofErr w:type="spellEnd"/>
      <w:r w:rsidRPr="008807D3">
        <w:rPr>
          <w:rFonts w:ascii="Garamond" w:hAnsi="Garamond"/>
          <w:i/>
          <w:iCs/>
        </w:rPr>
        <w:t xml:space="preserve"> e Collegio consultivo tecnico, nodo durata e compensi: serve una disciplina ad hoc</w:t>
      </w:r>
      <w:r w:rsidR="00C114C9">
        <w:rPr>
          <w:rFonts w:ascii="Garamond" w:hAnsi="Garamond"/>
        </w:rPr>
        <w:t>”,</w:t>
      </w:r>
      <w:r w:rsidRPr="008807D3">
        <w:rPr>
          <w:rFonts w:ascii="Garamond" w:hAnsi="Garamond"/>
        </w:rPr>
        <w:t xml:space="preserve"> in</w:t>
      </w:r>
      <w:r w:rsidRPr="008807D3">
        <w:rPr>
          <w:rFonts w:ascii="Garamond" w:hAnsi="Garamond"/>
          <w:b/>
          <w:bCs/>
        </w:rPr>
        <w:t xml:space="preserve"> </w:t>
      </w:r>
      <w:hyperlink r:id="rId3" w:history="1">
        <w:r w:rsidRPr="008807D3">
          <w:rPr>
            <w:rStyle w:val="Collegamentoipertestuale"/>
            <w:rFonts w:ascii="Garamond" w:hAnsi="Garamond"/>
          </w:rPr>
          <w:t>https://ntplusfisco.ilsole24ore.com/</w:t>
        </w:r>
      </w:hyperlink>
      <w:r w:rsidRPr="008807D3">
        <w:rPr>
          <w:rFonts w:ascii="Garamond" w:hAnsi="Garamond"/>
        </w:rPr>
        <w:t xml:space="preserve"> </w:t>
      </w:r>
    </w:p>
  </w:footnote>
  <w:footnote w:id="6">
    <w:p w14:paraId="29F26725" w14:textId="68D06B1E" w:rsidR="00B03E4F" w:rsidRPr="00562B1B" w:rsidRDefault="00B03E4F" w:rsidP="00B03E4F">
      <w:pPr>
        <w:pStyle w:val="Testonotaapidipagina"/>
        <w:jc w:val="both"/>
        <w:rPr>
          <w:rFonts w:ascii="Garamond" w:hAnsi="Garamond"/>
        </w:rPr>
      </w:pPr>
      <w:r w:rsidRPr="00562B1B">
        <w:rPr>
          <w:rStyle w:val="Rimandonotaapidipagina"/>
          <w:rFonts w:ascii="Garamond" w:hAnsi="Garamond"/>
        </w:rPr>
        <w:footnoteRef/>
      </w:r>
      <w:r w:rsidRPr="00562B1B">
        <w:rPr>
          <w:rFonts w:ascii="Garamond" w:hAnsi="Garamond"/>
        </w:rPr>
        <w:t xml:space="preserve"> </w:t>
      </w:r>
      <w:r w:rsidRPr="00B03E4F">
        <w:rPr>
          <w:rFonts w:ascii="Garamond" w:hAnsi="Garamond"/>
        </w:rPr>
        <w:t>Tuttavia, la possibilità di procedere a tali sostituzioni è stata oggetto di rilievi critici</w:t>
      </w:r>
      <w:r w:rsidR="00EE18EE">
        <w:rPr>
          <w:rFonts w:ascii="Garamond" w:hAnsi="Garamond"/>
        </w:rPr>
        <w:t>.</w:t>
      </w:r>
      <w:r w:rsidRPr="00B03E4F">
        <w:rPr>
          <w:rFonts w:ascii="Garamond" w:hAnsi="Garamond"/>
        </w:rPr>
        <w:t xml:space="preserve"> È stato infatti osservato che la sostituzione di uno soltanto dei componenti “</w:t>
      </w:r>
      <w:r w:rsidRPr="00B03E4F">
        <w:rPr>
          <w:rFonts w:ascii="Garamond" w:hAnsi="Garamond"/>
          <w:i/>
          <w:iCs/>
        </w:rPr>
        <w:t>designati dalla stazione appaltante</w:t>
      </w:r>
      <w:r w:rsidRPr="00B03E4F">
        <w:rPr>
          <w:rFonts w:ascii="Garamond" w:hAnsi="Garamond"/>
        </w:rPr>
        <w:t>” con un componente di nomina privata potrebbe compromettere la possibilità di individuare il Presidente del CCT mediante accordo tra le part</w:t>
      </w:r>
      <w:r>
        <w:rPr>
          <w:rFonts w:ascii="Garamond" w:hAnsi="Garamond"/>
        </w:rPr>
        <w:t xml:space="preserve">i. Sul punto cfr.: </w:t>
      </w:r>
      <w:r w:rsidRPr="00E1666E">
        <w:rPr>
          <w:rFonts w:ascii="Garamond" w:hAnsi="Garamond"/>
        </w:rPr>
        <w:t xml:space="preserve">MALTONI A., </w:t>
      </w:r>
      <w:r>
        <w:rPr>
          <w:rFonts w:ascii="Garamond" w:hAnsi="Garamond"/>
        </w:rPr>
        <w:t>“</w:t>
      </w:r>
      <w:r w:rsidRPr="00E1666E">
        <w:rPr>
          <w:rFonts w:ascii="Garamond" w:hAnsi="Garamond"/>
          <w:i/>
          <w:iCs/>
        </w:rPr>
        <w:t>I rimedi alternativi alla tutela giurisdizionale (artt. 210-219)</w:t>
      </w:r>
      <w:r>
        <w:rPr>
          <w:rFonts w:ascii="Garamond" w:hAnsi="Garamond"/>
          <w:i/>
          <w:iCs/>
        </w:rPr>
        <w:t>”</w:t>
      </w:r>
      <w:r w:rsidRPr="00E1666E">
        <w:rPr>
          <w:rFonts w:ascii="Garamond" w:hAnsi="Garamond"/>
        </w:rPr>
        <w:t xml:space="preserve">, in CLARICH M. (a cura di), </w:t>
      </w:r>
      <w:r>
        <w:rPr>
          <w:rFonts w:ascii="Garamond" w:hAnsi="Garamond"/>
        </w:rPr>
        <w:t>“</w:t>
      </w:r>
      <w:r w:rsidRPr="00E1666E">
        <w:rPr>
          <w:rFonts w:ascii="Garamond" w:hAnsi="Garamond"/>
          <w:i/>
          <w:iCs/>
        </w:rPr>
        <w:t>Commentario al codice dei contratti pubblici</w:t>
      </w:r>
      <w:r>
        <w:rPr>
          <w:rFonts w:ascii="Garamond" w:hAnsi="Garamond"/>
          <w:i/>
          <w:iCs/>
        </w:rPr>
        <w:t>”</w:t>
      </w:r>
      <w:r w:rsidRPr="00E1666E">
        <w:rPr>
          <w:rFonts w:ascii="Garamond" w:hAnsi="Garamond"/>
        </w:rPr>
        <w:t>, Torino, 2025, p. 1864</w:t>
      </w:r>
      <w:r>
        <w:rPr>
          <w:rFonts w:ascii="Garamond" w:hAnsi="Garamond"/>
        </w:rPr>
        <w:t xml:space="preserve">; </w:t>
      </w:r>
      <w:r w:rsidRPr="00B03E4F">
        <w:rPr>
          <w:rFonts w:ascii="Garamond" w:hAnsi="Garamond"/>
        </w:rPr>
        <w:t>LOMBARDINI I., “</w:t>
      </w:r>
      <w:r w:rsidRPr="00B03E4F">
        <w:rPr>
          <w:rFonts w:ascii="Garamond" w:hAnsi="Garamond"/>
          <w:i/>
          <w:iCs/>
        </w:rPr>
        <w:t>Riflessioni sul nuovo Collegio Consultivo Tecnico negli appalti pubblici</w:t>
      </w:r>
      <w:r w:rsidRPr="00B03E4F">
        <w:rPr>
          <w:rFonts w:ascii="Garamond" w:hAnsi="Garamond"/>
        </w:rPr>
        <w:t xml:space="preserve"> </w:t>
      </w:r>
      <w:r w:rsidRPr="00B03E4F">
        <w:rPr>
          <w:rFonts w:ascii="Garamond" w:hAnsi="Garamond"/>
          <w:i/>
          <w:iCs/>
        </w:rPr>
        <w:t xml:space="preserve">(art. 6 del </w:t>
      </w:r>
      <w:proofErr w:type="spellStart"/>
      <w:r w:rsidRPr="00B03E4F">
        <w:rPr>
          <w:rFonts w:ascii="Garamond" w:hAnsi="Garamond"/>
          <w:i/>
          <w:iCs/>
        </w:rPr>
        <w:t>d.l.</w:t>
      </w:r>
      <w:proofErr w:type="spellEnd"/>
      <w:r w:rsidRPr="00B03E4F">
        <w:rPr>
          <w:rFonts w:ascii="Garamond" w:hAnsi="Garamond"/>
          <w:i/>
          <w:iCs/>
        </w:rPr>
        <w:t xml:space="preserve"> 16 luglio 2020, n. 76, cd. “Decreto Semplificazioni” convertito con modifiche in l. 11 settembre 2020, n. 120)</w:t>
      </w:r>
      <w:r w:rsidRPr="00B03E4F">
        <w:rPr>
          <w:rFonts w:ascii="Garamond" w:hAnsi="Garamond"/>
        </w:rPr>
        <w:t xml:space="preserve"> in </w:t>
      </w:r>
      <w:r w:rsidRPr="00B03E4F">
        <w:rPr>
          <w:rFonts w:ascii="Garamond" w:hAnsi="Garamond"/>
          <w:i/>
          <w:iCs/>
        </w:rPr>
        <w:t xml:space="preserve">Riv. </w:t>
      </w:r>
      <w:proofErr w:type="spellStart"/>
      <w:r w:rsidRPr="00B03E4F">
        <w:rPr>
          <w:rFonts w:ascii="Garamond" w:hAnsi="Garamond"/>
          <w:i/>
          <w:iCs/>
        </w:rPr>
        <w:t>arb</w:t>
      </w:r>
      <w:proofErr w:type="spellEnd"/>
      <w:r w:rsidRPr="00B03E4F">
        <w:rPr>
          <w:rFonts w:ascii="Garamond" w:hAnsi="Garamond"/>
        </w:rPr>
        <w:t>., 2020, 861</w:t>
      </w:r>
      <w:r w:rsidR="009E3A5D">
        <w:rPr>
          <w:rFonts w:ascii="Garamond" w:hAnsi="Garamond"/>
        </w:rPr>
        <w:t>.</w:t>
      </w:r>
    </w:p>
  </w:footnote>
  <w:footnote w:id="7">
    <w:p w14:paraId="7463ECAC" w14:textId="1EC6FE8A" w:rsidR="009E3A5D" w:rsidRPr="00C62E9A" w:rsidRDefault="009E3A5D" w:rsidP="00C62E9A">
      <w:pPr>
        <w:pStyle w:val="Testonotaapidipagina"/>
        <w:jc w:val="both"/>
        <w:rPr>
          <w:i/>
          <w:iCs/>
        </w:rPr>
      </w:pPr>
      <w:r w:rsidRPr="00C62E9A">
        <w:rPr>
          <w:rStyle w:val="Rimandonotaapidipagina"/>
          <w:rFonts w:ascii="Garamond" w:hAnsi="Garamond"/>
        </w:rPr>
        <w:footnoteRef/>
      </w:r>
      <w:r w:rsidRPr="00C62E9A">
        <w:rPr>
          <w:rFonts w:ascii="Garamond" w:hAnsi="Garamond"/>
        </w:rPr>
        <w:t xml:space="preserve"> Con riguardo alla disciplina dei compensi si ricorda che l’art.</w:t>
      </w:r>
      <w:r w:rsidR="00B34FA4">
        <w:rPr>
          <w:rFonts w:ascii="Garamond" w:hAnsi="Garamond"/>
        </w:rPr>
        <w:t xml:space="preserve"> </w:t>
      </w:r>
      <w:r w:rsidRPr="00C62E9A">
        <w:rPr>
          <w:rFonts w:ascii="Garamond" w:hAnsi="Garamond"/>
        </w:rPr>
        <w:t>1, comma 6 dell’allegato V.2 prevede quanto segue</w:t>
      </w:r>
      <w:r>
        <w:rPr>
          <w:rFonts w:ascii="Garamond" w:hAnsi="Garamond"/>
        </w:rPr>
        <w:t>: “</w:t>
      </w:r>
      <w:r w:rsidRPr="00C62E9A">
        <w:rPr>
          <w:rFonts w:ascii="Garamond" w:hAnsi="Garamond"/>
          <w:i/>
          <w:iCs/>
        </w:rPr>
        <w:t>Con apposite linee guida adottate con decreto del Ministero delle infrastrutture e dei trasporti, previo parere conforme del Consiglio superiore dei lavori pubblici, sono definiti i parametri per la determinazione dei compensi e delle spese non aventi valore remunerativo che devono essere rapportati al valore del contratto e alla complessità dell'opera, nonché all'esito e alla durata dell'impegno richiesto e al numero e alla qualità delle determinazioni assunte, prevedendone l'erogazione secondo un principio di gradualità. Le medesime linee guida definiscono anche i parametri per la determinazione del compenso della segreteria tecnico amministrativa. Nelle more dell'adozione del decreto di cui al primo periodo, continuano ad applicarsi, per la parte relativa alla determinazione dei compensi, le linee guida approvate con decreto del Ministro e delle infrastrutture e delle mobilità sostenibili 17 gennaio 2022, pubblicato nella Gazzetta Ufficiale n. 55 del 7 marzo 2022</w:t>
      </w:r>
      <w:r>
        <w:rPr>
          <w:rFonts w:ascii="Garamond" w:hAnsi="Garamond"/>
          <w:i/>
          <w:iCs/>
        </w:rPr>
        <w:t xml:space="preserve">”. </w:t>
      </w:r>
    </w:p>
  </w:footnote>
  <w:footnote w:id="8">
    <w:p w14:paraId="2344A205" w14:textId="38D7EAF8" w:rsidR="0061534E" w:rsidRPr="00C0729B" w:rsidRDefault="0061534E" w:rsidP="00C0729B">
      <w:pPr>
        <w:pStyle w:val="Testonotaapidipagina"/>
        <w:jc w:val="both"/>
        <w:rPr>
          <w:rFonts w:ascii="Garamond" w:hAnsi="Garamond"/>
        </w:rPr>
      </w:pPr>
      <w:r w:rsidRPr="00C0729B">
        <w:rPr>
          <w:rStyle w:val="Rimandonotaapidipagina"/>
          <w:rFonts w:ascii="Garamond" w:hAnsi="Garamond"/>
        </w:rPr>
        <w:footnoteRef/>
      </w:r>
      <w:r w:rsidRPr="00C0729B">
        <w:rPr>
          <w:rFonts w:ascii="Garamond" w:hAnsi="Garamond"/>
        </w:rPr>
        <w:t xml:space="preserve"> v. LAGROTTA I., </w:t>
      </w:r>
      <w:r w:rsidRPr="00C0729B">
        <w:rPr>
          <w:rFonts w:ascii="Garamond" w:hAnsi="Garamond"/>
          <w:i/>
          <w:iCs/>
        </w:rPr>
        <w:t xml:space="preserve">Costituzione del Collegio consultivo tecnico e riparto di giurisdizione, </w:t>
      </w:r>
      <w:r w:rsidRPr="00C0729B">
        <w:rPr>
          <w:rFonts w:ascii="Garamond" w:hAnsi="Garamond"/>
        </w:rPr>
        <w:t>cit.</w:t>
      </w:r>
      <w:r w:rsidRPr="00C0729B">
        <w:rPr>
          <w:rFonts w:ascii="Garamond" w:hAnsi="Garamond"/>
          <w:i/>
          <w:iCs/>
        </w:rPr>
        <w:t xml:space="preserve"> </w:t>
      </w:r>
    </w:p>
  </w:footnote>
  <w:footnote w:id="9">
    <w:p w14:paraId="42C9AE9D" w14:textId="628CEBA6" w:rsidR="00CA155D" w:rsidRPr="00646FA3" w:rsidRDefault="00CA155D" w:rsidP="00CA155D">
      <w:pPr>
        <w:pStyle w:val="Testonotaapidipagina"/>
        <w:jc w:val="both"/>
        <w:rPr>
          <w:rFonts w:ascii="Garamond" w:hAnsi="Garamond"/>
        </w:rPr>
      </w:pPr>
      <w:r w:rsidRPr="00646FA3">
        <w:rPr>
          <w:rStyle w:val="Rimandonotaapidipagina"/>
          <w:rFonts w:ascii="Garamond" w:hAnsi="Garamond"/>
        </w:rPr>
        <w:footnoteRef/>
      </w:r>
      <w:r w:rsidRPr="00646FA3">
        <w:rPr>
          <w:rFonts w:ascii="Garamond" w:hAnsi="Garamond"/>
        </w:rPr>
        <w:t xml:space="preserve"> Per una più compiuta disamina della disciplina sul parere di </w:t>
      </w:r>
      <w:r w:rsidRPr="00CA155D">
        <w:rPr>
          <w:rFonts w:ascii="Garamond" w:hAnsi="Garamond"/>
        </w:rPr>
        <w:t>precontenzioso</w:t>
      </w:r>
      <w:r w:rsidRPr="00646FA3">
        <w:rPr>
          <w:rFonts w:ascii="Garamond" w:hAnsi="Garamond"/>
        </w:rPr>
        <w:t xml:space="preserve"> ANAC, si veda</w:t>
      </w:r>
      <w:r>
        <w:rPr>
          <w:rFonts w:ascii="Garamond" w:hAnsi="Garamond"/>
        </w:rPr>
        <w:t>no:</w:t>
      </w:r>
      <w:r w:rsidRPr="00646FA3">
        <w:rPr>
          <w:rFonts w:ascii="Garamond" w:hAnsi="Garamond"/>
        </w:rPr>
        <w:t xml:space="preserve"> SIMONETTI H., </w:t>
      </w:r>
      <w:r w:rsidR="00C114C9">
        <w:rPr>
          <w:rFonts w:ascii="Garamond" w:hAnsi="Garamond"/>
        </w:rPr>
        <w:t>“</w:t>
      </w:r>
      <w:r w:rsidRPr="00646FA3">
        <w:rPr>
          <w:rFonts w:ascii="Garamond" w:hAnsi="Garamond"/>
          <w:i/>
          <w:iCs/>
        </w:rPr>
        <w:t>Il contenzioso e rimedi alternativi, profili penali, tributari e responsabilità contabile</w:t>
      </w:r>
      <w:r w:rsidR="00C114C9">
        <w:rPr>
          <w:rFonts w:ascii="Garamond" w:hAnsi="Garamond"/>
          <w:i/>
          <w:iCs/>
        </w:rPr>
        <w:t>”</w:t>
      </w:r>
      <w:r w:rsidRPr="00646FA3">
        <w:rPr>
          <w:rFonts w:ascii="Garamond" w:hAnsi="Garamond"/>
        </w:rPr>
        <w:t xml:space="preserve">, in </w:t>
      </w:r>
      <w:r w:rsidR="00C114C9">
        <w:rPr>
          <w:rFonts w:ascii="Garamond" w:hAnsi="Garamond"/>
        </w:rPr>
        <w:t>“</w:t>
      </w:r>
      <w:r w:rsidRPr="00646FA3">
        <w:rPr>
          <w:rFonts w:ascii="Garamond" w:hAnsi="Garamond"/>
          <w:i/>
          <w:iCs/>
        </w:rPr>
        <w:t>Commentario al codice dei contratti pubblici</w:t>
      </w:r>
      <w:r w:rsidR="00C114C9">
        <w:rPr>
          <w:rFonts w:ascii="Garamond" w:hAnsi="Garamond"/>
          <w:i/>
          <w:iCs/>
        </w:rPr>
        <w:t xml:space="preserve">” </w:t>
      </w:r>
      <w:r w:rsidR="00C114C9" w:rsidRPr="008807D3">
        <w:rPr>
          <w:rFonts w:ascii="Garamond" w:hAnsi="Garamond"/>
        </w:rPr>
        <w:t>op.</w:t>
      </w:r>
      <w:r w:rsidR="006501D4">
        <w:rPr>
          <w:rFonts w:ascii="Garamond" w:hAnsi="Garamond"/>
        </w:rPr>
        <w:t xml:space="preserve"> cit.,</w:t>
      </w:r>
      <w:r w:rsidRPr="00646FA3">
        <w:rPr>
          <w:rFonts w:ascii="Garamond" w:hAnsi="Garamond"/>
        </w:rPr>
        <w:t xml:space="preserve"> 1778 e ss.</w:t>
      </w:r>
      <w:r>
        <w:rPr>
          <w:rFonts w:ascii="Garamond" w:hAnsi="Garamond"/>
        </w:rPr>
        <w:t xml:space="preserve">; RAMAJOLI M., </w:t>
      </w:r>
      <w:r w:rsidR="00C114C9">
        <w:rPr>
          <w:rFonts w:ascii="Garamond" w:hAnsi="Garamond"/>
        </w:rPr>
        <w:t>“</w:t>
      </w:r>
      <w:r w:rsidRPr="008807D3">
        <w:rPr>
          <w:rFonts w:ascii="Garamond" w:hAnsi="Garamond"/>
          <w:i/>
          <w:iCs/>
        </w:rPr>
        <w:t>Il precontenzioso nei contratti pubblici tra logica preventiva e tutela oggettiva</w:t>
      </w:r>
      <w:r w:rsidR="00C114C9">
        <w:rPr>
          <w:rFonts w:ascii="Garamond" w:hAnsi="Garamond"/>
          <w:i/>
          <w:iCs/>
        </w:rPr>
        <w:t>”</w:t>
      </w:r>
      <w:r>
        <w:rPr>
          <w:rFonts w:ascii="Garamond" w:hAnsi="Garamond"/>
        </w:rPr>
        <w:t xml:space="preserve">, in </w:t>
      </w:r>
      <w:r w:rsidR="00C114C9">
        <w:rPr>
          <w:rFonts w:ascii="Garamond" w:hAnsi="Garamond"/>
        </w:rPr>
        <w:t>“</w:t>
      </w:r>
      <w:r w:rsidRPr="008807D3">
        <w:rPr>
          <w:rFonts w:ascii="Garamond" w:hAnsi="Garamond"/>
          <w:i/>
          <w:iCs/>
        </w:rPr>
        <w:t>Diritto Processuale Amministrativo</w:t>
      </w:r>
      <w:r w:rsidR="00C114C9">
        <w:rPr>
          <w:rFonts w:ascii="Garamond" w:hAnsi="Garamond"/>
          <w:i/>
          <w:iCs/>
        </w:rPr>
        <w:t>”</w:t>
      </w:r>
      <w:r w:rsidRPr="00CA155D">
        <w:rPr>
          <w:rFonts w:ascii="Garamond" w:hAnsi="Garamond"/>
        </w:rPr>
        <w:t>,</w:t>
      </w:r>
      <w:r w:rsidR="007F390E">
        <w:rPr>
          <w:rFonts w:ascii="Garamond" w:hAnsi="Garamond"/>
        </w:rPr>
        <w:t xml:space="preserve"> II</w:t>
      </w:r>
      <w:r w:rsidRPr="00CA155D">
        <w:rPr>
          <w:rFonts w:ascii="Garamond" w:hAnsi="Garamond"/>
        </w:rPr>
        <w:t>, 2018</w:t>
      </w:r>
      <w:r>
        <w:rPr>
          <w:rFonts w:ascii="Garamond" w:hAnsi="Garamond"/>
        </w:rPr>
        <w:t>; MACCHIA</w:t>
      </w:r>
      <w:r w:rsidR="00215468">
        <w:rPr>
          <w:rFonts w:ascii="Garamond" w:hAnsi="Garamond"/>
        </w:rPr>
        <w:t xml:space="preserve"> M.</w:t>
      </w:r>
      <w:r w:rsidR="005104A4">
        <w:rPr>
          <w:rFonts w:ascii="Garamond" w:hAnsi="Garamond"/>
        </w:rPr>
        <w:t xml:space="preserve">, </w:t>
      </w:r>
      <w:r w:rsidR="00C114C9">
        <w:rPr>
          <w:rFonts w:ascii="Garamond" w:hAnsi="Garamond"/>
        </w:rPr>
        <w:t>“</w:t>
      </w:r>
      <w:r w:rsidRPr="008807D3">
        <w:rPr>
          <w:rFonts w:ascii="Garamond" w:hAnsi="Garamond"/>
          <w:i/>
          <w:iCs/>
        </w:rPr>
        <w:t>La funzione precontenziosa dell’Anac</w:t>
      </w:r>
      <w:r w:rsidR="00C114C9">
        <w:rPr>
          <w:rFonts w:ascii="Garamond" w:hAnsi="Garamond"/>
          <w:i/>
          <w:iCs/>
        </w:rPr>
        <w:t>”</w:t>
      </w:r>
      <w:r>
        <w:rPr>
          <w:rFonts w:ascii="Garamond" w:hAnsi="Garamond"/>
        </w:rPr>
        <w:t xml:space="preserve">, in </w:t>
      </w:r>
      <w:r w:rsidR="00C114C9">
        <w:rPr>
          <w:rFonts w:ascii="Garamond" w:hAnsi="Garamond"/>
        </w:rPr>
        <w:t>“</w:t>
      </w:r>
      <w:r w:rsidRPr="00CA155D">
        <w:rPr>
          <w:rFonts w:ascii="Garamond" w:hAnsi="Garamond"/>
          <w:i/>
          <w:iCs/>
        </w:rPr>
        <w:t>Diritto Processuale Amministrativo</w:t>
      </w:r>
      <w:r w:rsidR="00C114C9">
        <w:rPr>
          <w:rFonts w:ascii="Garamond" w:hAnsi="Garamond"/>
          <w:i/>
          <w:iCs/>
        </w:rPr>
        <w:t>”</w:t>
      </w:r>
      <w:r>
        <w:rPr>
          <w:rFonts w:ascii="Garamond" w:hAnsi="Garamond"/>
          <w:i/>
          <w:iCs/>
        </w:rPr>
        <w:t xml:space="preserve">, </w:t>
      </w:r>
      <w:r w:rsidRPr="008807D3">
        <w:rPr>
          <w:rFonts w:ascii="Garamond" w:hAnsi="Garamond"/>
        </w:rPr>
        <w:t>2020, I, 187 e ss.</w:t>
      </w:r>
    </w:p>
  </w:footnote>
  <w:footnote w:id="10">
    <w:p w14:paraId="724BEE95" w14:textId="14666F17" w:rsidR="00E1666E" w:rsidRPr="00AB0491" w:rsidRDefault="00E1666E" w:rsidP="00E1666E">
      <w:pPr>
        <w:pStyle w:val="Testonotaapidipagina"/>
        <w:jc w:val="both"/>
        <w:rPr>
          <w:rFonts w:ascii="Garamond" w:hAnsi="Garamond"/>
        </w:rPr>
      </w:pPr>
      <w:r w:rsidRPr="00AB0491">
        <w:rPr>
          <w:rStyle w:val="Rimandonotaapidipagina"/>
          <w:rFonts w:ascii="Garamond" w:hAnsi="Garamond"/>
        </w:rPr>
        <w:footnoteRef/>
      </w:r>
      <w:r w:rsidRPr="00AB0491">
        <w:rPr>
          <w:rFonts w:ascii="Garamond" w:hAnsi="Garamond"/>
        </w:rPr>
        <w:t xml:space="preserve"> </w:t>
      </w:r>
      <w:r w:rsidR="00407C5E">
        <w:rPr>
          <w:rFonts w:ascii="Garamond" w:hAnsi="Garamond"/>
        </w:rPr>
        <w:t>Sulla struttura di supporto al RUP, v., in generale: MACCHIA M., “</w:t>
      </w:r>
      <w:r w:rsidR="00407C5E" w:rsidRPr="00C0729B">
        <w:rPr>
          <w:rFonts w:ascii="Garamond" w:hAnsi="Garamond"/>
          <w:i/>
          <w:iCs/>
        </w:rPr>
        <w:t>Il procedimento e il responsabile (artt. 15,16,17,18)</w:t>
      </w:r>
      <w:r w:rsidR="00407C5E">
        <w:rPr>
          <w:rFonts w:ascii="Garamond" w:hAnsi="Garamond"/>
        </w:rPr>
        <w:t xml:space="preserve">” in </w:t>
      </w:r>
      <w:r w:rsidR="00407C5E" w:rsidRPr="00E1666E">
        <w:rPr>
          <w:rFonts w:ascii="Garamond" w:hAnsi="Garamond"/>
        </w:rPr>
        <w:t xml:space="preserve">CLARICH M. (a cura di), </w:t>
      </w:r>
      <w:r w:rsidR="00407C5E">
        <w:rPr>
          <w:rFonts w:ascii="Garamond" w:hAnsi="Garamond"/>
        </w:rPr>
        <w:t>“</w:t>
      </w:r>
      <w:r w:rsidR="00407C5E" w:rsidRPr="00E1666E">
        <w:rPr>
          <w:rFonts w:ascii="Garamond" w:hAnsi="Garamond"/>
          <w:i/>
          <w:iCs/>
        </w:rPr>
        <w:t>Commentario al codice dei contratti pubblici</w:t>
      </w:r>
      <w:r w:rsidR="00407C5E">
        <w:rPr>
          <w:rFonts w:ascii="Garamond" w:hAnsi="Garamond"/>
          <w:i/>
          <w:iCs/>
        </w:rPr>
        <w:t>”</w:t>
      </w:r>
      <w:r w:rsidR="00407C5E" w:rsidRPr="00E1666E">
        <w:rPr>
          <w:rFonts w:ascii="Garamond" w:hAnsi="Garamond"/>
        </w:rPr>
        <w:t xml:space="preserve">, </w:t>
      </w:r>
      <w:r w:rsidR="00407C5E">
        <w:rPr>
          <w:rFonts w:ascii="Garamond" w:hAnsi="Garamond"/>
        </w:rPr>
        <w:t xml:space="preserve">op. cit., 532 e </w:t>
      </w:r>
      <w:proofErr w:type="spellStart"/>
      <w:r w:rsidR="00407C5E">
        <w:rPr>
          <w:rFonts w:ascii="Garamond" w:hAnsi="Garamond"/>
        </w:rPr>
        <w:t>ss</w:t>
      </w:r>
      <w:proofErr w:type="spellEnd"/>
      <w:r w:rsidR="00407C5E">
        <w:rPr>
          <w:rFonts w:ascii="Garamond" w:hAnsi="Garamond"/>
        </w:rPr>
        <w:t xml:space="preserve">; </w:t>
      </w:r>
      <w:r w:rsidR="00A76107" w:rsidRPr="00E1666E">
        <w:rPr>
          <w:rFonts w:ascii="Garamond" w:hAnsi="Garamond"/>
        </w:rPr>
        <w:t xml:space="preserve">ANGELUCCI D., in CARBONE L. – CARINGELLA F. – GIUSTINIANI M. (a cura di), </w:t>
      </w:r>
      <w:r w:rsidR="00A76107">
        <w:rPr>
          <w:rFonts w:ascii="Garamond" w:hAnsi="Garamond"/>
        </w:rPr>
        <w:t>“</w:t>
      </w:r>
      <w:r w:rsidR="00A76107" w:rsidRPr="00E1666E">
        <w:rPr>
          <w:rFonts w:ascii="Garamond" w:hAnsi="Garamond"/>
          <w:i/>
          <w:iCs/>
        </w:rPr>
        <w:t>Codice dei contratti pubblici commentato</w:t>
      </w:r>
      <w:r w:rsidR="00A76107">
        <w:rPr>
          <w:rFonts w:ascii="Garamond" w:hAnsi="Garamond"/>
          <w:i/>
          <w:iCs/>
        </w:rPr>
        <w:t>”</w:t>
      </w:r>
      <w:r w:rsidR="00A76107" w:rsidRPr="00E1666E">
        <w:rPr>
          <w:rFonts w:ascii="Garamond" w:hAnsi="Garamond"/>
        </w:rPr>
        <w:t>, Napoli, 2026, p. 126</w:t>
      </w:r>
      <w:r w:rsidR="00A76107">
        <w:rPr>
          <w:rFonts w:ascii="Garamond" w:hAnsi="Garamond"/>
        </w:rPr>
        <w:t xml:space="preserve">. </w:t>
      </w:r>
      <w:r w:rsidRPr="00E1666E">
        <w:rPr>
          <w:rFonts w:ascii="Garamond" w:hAnsi="Garamond"/>
        </w:rPr>
        <w:t xml:space="preserve">Occorre, tuttavia, tenere distinta la fattispecie dell’affidamento dell’incarico di assistenza e supporto al RUP, prevista dall’art. 15, comma 6, del d.lgs. n. 36/2023, dalla diversa ipotesi dell’affidamento esterno di attività di supporto al RUP disciplinata dall’art. 2, comma 3, </w:t>
      </w:r>
      <w:r w:rsidR="00C32F40" w:rsidRPr="00E1666E">
        <w:rPr>
          <w:rFonts w:ascii="Garamond" w:hAnsi="Garamond"/>
        </w:rPr>
        <w:t>dell’</w:t>
      </w:r>
      <w:r w:rsidR="00C32F40">
        <w:rPr>
          <w:rFonts w:ascii="Garamond" w:hAnsi="Garamond"/>
        </w:rPr>
        <w:t>a</w:t>
      </w:r>
      <w:r w:rsidR="00C32F40" w:rsidRPr="00E1666E">
        <w:rPr>
          <w:rFonts w:ascii="Garamond" w:hAnsi="Garamond"/>
        </w:rPr>
        <w:t xml:space="preserve">llegato </w:t>
      </w:r>
      <w:r w:rsidRPr="00E1666E">
        <w:rPr>
          <w:rFonts w:ascii="Garamond" w:hAnsi="Garamond"/>
        </w:rPr>
        <w:t xml:space="preserve">I.2 al medesimo decreto. Quest’ultima, infatti, è configurabile esclusivamente qualora il RUP sia privo dei requisiti prescritti e l’amministrazione non disponga, al proprio interno, di dipendenti in possesso delle necessarie competenze professionali. </w:t>
      </w:r>
    </w:p>
  </w:footnote>
  <w:footnote w:id="11">
    <w:p w14:paraId="0D342E29" w14:textId="5EFF56A4" w:rsidR="00215468" w:rsidRPr="008807D3" w:rsidRDefault="00215468">
      <w:pPr>
        <w:pStyle w:val="Testonotaapidipagina"/>
        <w:rPr>
          <w:rFonts w:ascii="Garamond" w:hAnsi="Garamond"/>
        </w:rPr>
      </w:pPr>
      <w:r w:rsidRPr="008807D3">
        <w:rPr>
          <w:rStyle w:val="Rimandonotaapidipagina"/>
          <w:rFonts w:ascii="Garamond" w:hAnsi="Garamond"/>
        </w:rPr>
        <w:footnoteRef/>
      </w:r>
      <w:r w:rsidRPr="008807D3">
        <w:rPr>
          <w:rFonts w:ascii="Garamond" w:hAnsi="Garamond"/>
        </w:rPr>
        <w:t xml:space="preserve"> </w:t>
      </w:r>
      <w:r w:rsidR="00E170AC">
        <w:rPr>
          <w:rFonts w:ascii="Garamond" w:hAnsi="Garamond"/>
        </w:rPr>
        <w:t>C</w:t>
      </w:r>
      <w:r w:rsidRPr="008807D3">
        <w:rPr>
          <w:rFonts w:ascii="Garamond" w:hAnsi="Garamond"/>
        </w:rPr>
        <w:t>fr. sul punto</w:t>
      </w:r>
      <w:r w:rsidR="00E170AC" w:rsidRPr="008807D3">
        <w:rPr>
          <w:rFonts w:ascii="Garamond" w:hAnsi="Garamond"/>
        </w:rPr>
        <w:t>, parere MIT n. 2956/2025</w:t>
      </w:r>
      <w:r w:rsidR="00E170AC">
        <w:rPr>
          <w:rFonts w:ascii="Garamond" w:hAnsi="Garamond"/>
        </w:rPr>
        <w:t>.</w:t>
      </w:r>
    </w:p>
  </w:footnote>
  <w:footnote w:id="12">
    <w:p w14:paraId="45FFF8E4" w14:textId="0177E908" w:rsidR="00B1238C" w:rsidRPr="008807D3" w:rsidRDefault="00B1238C" w:rsidP="008807D3">
      <w:pPr>
        <w:pStyle w:val="Testonotaapidipagina"/>
        <w:jc w:val="both"/>
        <w:rPr>
          <w:rFonts w:ascii="Garamond" w:hAnsi="Garamond"/>
        </w:rPr>
      </w:pPr>
      <w:r w:rsidRPr="008807D3">
        <w:rPr>
          <w:rStyle w:val="Rimandonotaapidipagina"/>
          <w:rFonts w:ascii="Garamond" w:hAnsi="Garamond"/>
        </w:rPr>
        <w:footnoteRef/>
      </w:r>
      <w:r w:rsidRPr="008807D3">
        <w:rPr>
          <w:rFonts w:ascii="Garamond" w:hAnsi="Garamond"/>
        </w:rPr>
        <w:t xml:space="preserve"> </w:t>
      </w:r>
      <w:r>
        <w:rPr>
          <w:rFonts w:ascii="Garamond" w:hAnsi="Garamond"/>
        </w:rPr>
        <w:t xml:space="preserve">Cfr. </w:t>
      </w:r>
      <w:r w:rsidRPr="008807D3">
        <w:rPr>
          <w:rFonts w:ascii="Garamond" w:hAnsi="Garamond"/>
        </w:rPr>
        <w:t>Corte dei Conti, Sez. Regionale di controllo per l’Abruzzo, 21 febbraio 2024, n.  41</w:t>
      </w:r>
      <w:r w:rsidR="00E170AC">
        <w:rPr>
          <w:rFonts w:ascii="Garamond" w:hAnsi="Garamond"/>
        </w:rPr>
        <w:t>.</w:t>
      </w:r>
    </w:p>
  </w:footnote>
  <w:footnote w:id="13">
    <w:p w14:paraId="016CFA26" w14:textId="5AFE332D" w:rsidR="00B1238C" w:rsidRPr="008807D3" w:rsidRDefault="00B1238C" w:rsidP="008807D3">
      <w:pPr>
        <w:pStyle w:val="Testonotaapidipagina"/>
        <w:jc w:val="both"/>
        <w:rPr>
          <w:rFonts w:ascii="Garamond" w:hAnsi="Garamond"/>
        </w:rPr>
      </w:pPr>
      <w:r w:rsidRPr="008807D3">
        <w:rPr>
          <w:rStyle w:val="Rimandonotaapidipagina"/>
          <w:rFonts w:ascii="Garamond" w:hAnsi="Garamond"/>
        </w:rPr>
        <w:footnoteRef/>
      </w:r>
      <w:r>
        <w:rPr>
          <w:rFonts w:ascii="Garamond" w:hAnsi="Garamond"/>
        </w:rPr>
        <w:t xml:space="preserve"> In senso conforme v.</w:t>
      </w:r>
      <w:r w:rsidR="00E170AC">
        <w:rPr>
          <w:rFonts w:ascii="Garamond" w:hAnsi="Garamond"/>
        </w:rPr>
        <w:t xml:space="preserve"> </w:t>
      </w:r>
      <w:r w:rsidRPr="008807D3">
        <w:rPr>
          <w:rFonts w:ascii="Garamond" w:hAnsi="Garamond"/>
        </w:rPr>
        <w:t>parere ANAC n.11/2023</w:t>
      </w:r>
      <w:r>
        <w:rPr>
          <w:rFonts w:ascii="Garamond" w:hAnsi="Garamond"/>
        </w:rPr>
        <w:t xml:space="preserve"> e</w:t>
      </w:r>
      <w:r w:rsidRPr="008807D3">
        <w:rPr>
          <w:rFonts w:ascii="Garamond" w:hAnsi="Garamond"/>
        </w:rPr>
        <w:t xml:space="preserve"> parere MIT n.814/2021</w:t>
      </w:r>
      <w:r>
        <w:rPr>
          <w:rFonts w:ascii="Garamond" w:hAnsi="Garamond"/>
        </w:rPr>
        <w:t>. I</w:t>
      </w:r>
      <w:r w:rsidRPr="008807D3">
        <w:rPr>
          <w:rFonts w:ascii="Garamond" w:hAnsi="Garamond"/>
        </w:rPr>
        <w:t>n giurisprudenza</w:t>
      </w:r>
      <w:r>
        <w:rPr>
          <w:rFonts w:ascii="Garamond" w:hAnsi="Garamond"/>
        </w:rPr>
        <w:t xml:space="preserve">, </w:t>
      </w:r>
      <w:r w:rsidRPr="008807D3">
        <w:rPr>
          <w:rFonts w:ascii="Garamond" w:hAnsi="Garamond"/>
          <w:i/>
          <w:iCs/>
        </w:rPr>
        <w:t xml:space="preserve">ex </w:t>
      </w:r>
      <w:proofErr w:type="spellStart"/>
      <w:r w:rsidRPr="008807D3">
        <w:rPr>
          <w:rFonts w:ascii="Garamond" w:hAnsi="Garamond"/>
          <w:i/>
          <w:iCs/>
        </w:rPr>
        <w:t>multis</w:t>
      </w:r>
      <w:proofErr w:type="spellEnd"/>
      <w:r w:rsidRPr="008807D3">
        <w:rPr>
          <w:rFonts w:ascii="Garamond" w:hAnsi="Garamond"/>
        </w:rPr>
        <w:t>, Tar Bari</w:t>
      </w:r>
      <w:r>
        <w:rPr>
          <w:rFonts w:ascii="Garamond" w:hAnsi="Garamond"/>
        </w:rPr>
        <w:t>, sez. I, 13 febbraio 2020,</w:t>
      </w:r>
      <w:r w:rsidRPr="008807D3">
        <w:rPr>
          <w:rFonts w:ascii="Garamond" w:hAnsi="Garamond"/>
        </w:rPr>
        <w:t xml:space="preserve"> n.237</w:t>
      </w:r>
      <w:r>
        <w:rPr>
          <w:rFonts w:ascii="Garamond" w:hAnsi="Garamond"/>
        </w:rPr>
        <w:t>.</w:t>
      </w:r>
    </w:p>
  </w:footnote>
  <w:footnote w:id="14">
    <w:p w14:paraId="44519815" w14:textId="105C2685" w:rsidR="00EE18EE" w:rsidRPr="00C62E9A" w:rsidRDefault="00EE18EE" w:rsidP="00C62E9A">
      <w:pPr>
        <w:pStyle w:val="Testonotaapidipagina"/>
        <w:jc w:val="both"/>
        <w:rPr>
          <w:rFonts w:ascii="Garamond" w:hAnsi="Garamond"/>
        </w:rPr>
      </w:pPr>
      <w:r w:rsidRPr="00C62E9A">
        <w:rPr>
          <w:rStyle w:val="Rimandonotaapidipagina"/>
          <w:rFonts w:ascii="Garamond" w:hAnsi="Garamond"/>
        </w:rPr>
        <w:footnoteRef/>
      </w:r>
      <w:r w:rsidRPr="00C62E9A">
        <w:rPr>
          <w:rFonts w:ascii="Garamond" w:hAnsi="Garamond"/>
        </w:rPr>
        <w:t xml:space="preserve"> Sul tema della responsabilità erariale del RUP rispetto all’inadempimento alle pronunce del CCT si veda </w:t>
      </w:r>
      <w:r w:rsidR="001F608D" w:rsidRPr="001F608D">
        <w:rPr>
          <w:rFonts w:ascii="Garamond" w:hAnsi="Garamond"/>
        </w:rPr>
        <w:t xml:space="preserve">GRASSO </w:t>
      </w:r>
      <w:r w:rsidRPr="00C62E9A">
        <w:rPr>
          <w:rFonts w:ascii="Garamond" w:hAnsi="Garamond"/>
        </w:rPr>
        <w:t>P.</w:t>
      </w:r>
      <w:r w:rsidR="001F608D">
        <w:rPr>
          <w:rFonts w:ascii="Garamond" w:hAnsi="Garamond"/>
        </w:rPr>
        <w:t>,</w:t>
      </w:r>
      <w:r w:rsidRPr="00C62E9A">
        <w:rPr>
          <w:rFonts w:ascii="Garamond" w:hAnsi="Garamond"/>
        </w:rPr>
        <w:t xml:space="preserve"> “</w:t>
      </w:r>
      <w:r w:rsidRPr="00C62E9A">
        <w:rPr>
          <w:rFonts w:ascii="Garamond" w:hAnsi="Garamond"/>
          <w:i/>
          <w:iCs/>
        </w:rPr>
        <w:t>La responsabilità erariale da inadempimento dei pareri e delle determinazioni del CCT. L’esimente alla responsabilità erariale</w:t>
      </w:r>
      <w:r w:rsidRPr="00C62E9A">
        <w:rPr>
          <w:rFonts w:ascii="Garamond" w:hAnsi="Garamond"/>
        </w:rPr>
        <w:t xml:space="preserve">”, in </w:t>
      </w:r>
      <w:r w:rsidR="001F608D">
        <w:rPr>
          <w:rFonts w:ascii="Garamond" w:hAnsi="Garamond"/>
        </w:rPr>
        <w:t>“</w:t>
      </w:r>
      <w:r w:rsidRPr="00C62E9A">
        <w:rPr>
          <w:rFonts w:ascii="Garamond" w:hAnsi="Garamond"/>
          <w:i/>
          <w:iCs/>
        </w:rPr>
        <w:t>Manuale dei Collegi Consultivi Tecnici</w:t>
      </w:r>
      <w:r w:rsidR="001F608D">
        <w:rPr>
          <w:rFonts w:ascii="Garamond" w:hAnsi="Garamond"/>
          <w:i/>
          <w:iCs/>
        </w:rPr>
        <w:t>”</w:t>
      </w:r>
      <w:r w:rsidRPr="00C62E9A">
        <w:rPr>
          <w:rFonts w:ascii="Garamond" w:hAnsi="Garamond"/>
        </w:rPr>
        <w:t>, Cacucci Editore,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DC"/>
    <w:rsid w:val="0002402D"/>
    <w:rsid w:val="000453DC"/>
    <w:rsid w:val="00051FDA"/>
    <w:rsid w:val="00071F2A"/>
    <w:rsid w:val="000A7A87"/>
    <w:rsid w:val="000D0C8F"/>
    <w:rsid w:val="000E32C6"/>
    <w:rsid w:val="001029D2"/>
    <w:rsid w:val="00117CE9"/>
    <w:rsid w:val="00121FD0"/>
    <w:rsid w:val="001235EF"/>
    <w:rsid w:val="00125C85"/>
    <w:rsid w:val="0013400B"/>
    <w:rsid w:val="0013409A"/>
    <w:rsid w:val="00147AFE"/>
    <w:rsid w:val="001732A2"/>
    <w:rsid w:val="001842C6"/>
    <w:rsid w:val="00195EF7"/>
    <w:rsid w:val="001C38B0"/>
    <w:rsid w:val="001E6D5B"/>
    <w:rsid w:val="001F00C3"/>
    <w:rsid w:val="001F4C28"/>
    <w:rsid w:val="001F608D"/>
    <w:rsid w:val="001F7B9F"/>
    <w:rsid w:val="0020284F"/>
    <w:rsid w:val="00210F2C"/>
    <w:rsid w:val="00215468"/>
    <w:rsid w:val="0023191F"/>
    <w:rsid w:val="002342CD"/>
    <w:rsid w:val="0025695D"/>
    <w:rsid w:val="002616A7"/>
    <w:rsid w:val="00261EBB"/>
    <w:rsid w:val="002706BA"/>
    <w:rsid w:val="00272C9D"/>
    <w:rsid w:val="00284B02"/>
    <w:rsid w:val="002B7226"/>
    <w:rsid w:val="002C6EAF"/>
    <w:rsid w:val="002D3C6F"/>
    <w:rsid w:val="002D7B1D"/>
    <w:rsid w:val="002E6A1D"/>
    <w:rsid w:val="002E78EA"/>
    <w:rsid w:val="002F0158"/>
    <w:rsid w:val="003031E8"/>
    <w:rsid w:val="00306F38"/>
    <w:rsid w:val="003305FA"/>
    <w:rsid w:val="00332C95"/>
    <w:rsid w:val="003526EF"/>
    <w:rsid w:val="00357C39"/>
    <w:rsid w:val="00367461"/>
    <w:rsid w:val="00367C2C"/>
    <w:rsid w:val="00374E5B"/>
    <w:rsid w:val="00383C35"/>
    <w:rsid w:val="00384A62"/>
    <w:rsid w:val="00384B41"/>
    <w:rsid w:val="00391141"/>
    <w:rsid w:val="00393F8A"/>
    <w:rsid w:val="003A289F"/>
    <w:rsid w:val="003A429D"/>
    <w:rsid w:val="003C11B5"/>
    <w:rsid w:val="003C550F"/>
    <w:rsid w:val="003D1119"/>
    <w:rsid w:val="003D1702"/>
    <w:rsid w:val="003D673B"/>
    <w:rsid w:val="003F7929"/>
    <w:rsid w:val="00407C5E"/>
    <w:rsid w:val="00412C07"/>
    <w:rsid w:val="004308F6"/>
    <w:rsid w:val="004334CC"/>
    <w:rsid w:val="00440ABB"/>
    <w:rsid w:val="00443579"/>
    <w:rsid w:val="004515DF"/>
    <w:rsid w:val="00460F8E"/>
    <w:rsid w:val="004727B9"/>
    <w:rsid w:val="00493B29"/>
    <w:rsid w:val="00497CC7"/>
    <w:rsid w:val="004B14DC"/>
    <w:rsid w:val="004C4C5A"/>
    <w:rsid w:val="004C5CE0"/>
    <w:rsid w:val="004D26B6"/>
    <w:rsid w:val="004E14AE"/>
    <w:rsid w:val="004E2AEA"/>
    <w:rsid w:val="004E7069"/>
    <w:rsid w:val="004F55DE"/>
    <w:rsid w:val="005031E0"/>
    <w:rsid w:val="00506851"/>
    <w:rsid w:val="005104A4"/>
    <w:rsid w:val="00515FDF"/>
    <w:rsid w:val="00525B11"/>
    <w:rsid w:val="00537059"/>
    <w:rsid w:val="00573EC6"/>
    <w:rsid w:val="00577B21"/>
    <w:rsid w:val="00594FE9"/>
    <w:rsid w:val="005D6619"/>
    <w:rsid w:val="005E4AC8"/>
    <w:rsid w:val="005F399F"/>
    <w:rsid w:val="0061534E"/>
    <w:rsid w:val="00620F3F"/>
    <w:rsid w:val="00640F18"/>
    <w:rsid w:val="006501D4"/>
    <w:rsid w:val="00655630"/>
    <w:rsid w:val="00661F57"/>
    <w:rsid w:val="00665DDC"/>
    <w:rsid w:val="0067330C"/>
    <w:rsid w:val="00675F12"/>
    <w:rsid w:val="00691856"/>
    <w:rsid w:val="00694428"/>
    <w:rsid w:val="006C1387"/>
    <w:rsid w:val="006F7206"/>
    <w:rsid w:val="00706C57"/>
    <w:rsid w:val="00717DA0"/>
    <w:rsid w:val="00740755"/>
    <w:rsid w:val="007418FF"/>
    <w:rsid w:val="00746E7D"/>
    <w:rsid w:val="007570AE"/>
    <w:rsid w:val="007855E6"/>
    <w:rsid w:val="00786171"/>
    <w:rsid w:val="00792097"/>
    <w:rsid w:val="00792667"/>
    <w:rsid w:val="00797A84"/>
    <w:rsid w:val="007A3615"/>
    <w:rsid w:val="007C047B"/>
    <w:rsid w:val="007E50FA"/>
    <w:rsid w:val="007E579E"/>
    <w:rsid w:val="007F390E"/>
    <w:rsid w:val="00811D17"/>
    <w:rsid w:val="00817875"/>
    <w:rsid w:val="00836E09"/>
    <w:rsid w:val="008807D3"/>
    <w:rsid w:val="00886A76"/>
    <w:rsid w:val="00890BDD"/>
    <w:rsid w:val="0089619A"/>
    <w:rsid w:val="008965CC"/>
    <w:rsid w:val="008A0244"/>
    <w:rsid w:val="008B02C3"/>
    <w:rsid w:val="008C2A8E"/>
    <w:rsid w:val="008C66D7"/>
    <w:rsid w:val="008D4D01"/>
    <w:rsid w:val="008F58A4"/>
    <w:rsid w:val="009065FD"/>
    <w:rsid w:val="00990B49"/>
    <w:rsid w:val="00993337"/>
    <w:rsid w:val="009A59F8"/>
    <w:rsid w:val="009C052F"/>
    <w:rsid w:val="009C77DF"/>
    <w:rsid w:val="009D4CC8"/>
    <w:rsid w:val="009E2E16"/>
    <w:rsid w:val="009E3A5D"/>
    <w:rsid w:val="009E6F94"/>
    <w:rsid w:val="00A022E8"/>
    <w:rsid w:val="00A049C2"/>
    <w:rsid w:val="00A45DB5"/>
    <w:rsid w:val="00A72803"/>
    <w:rsid w:val="00A76107"/>
    <w:rsid w:val="00A84402"/>
    <w:rsid w:val="00AD1452"/>
    <w:rsid w:val="00AD7D10"/>
    <w:rsid w:val="00AE5CF9"/>
    <w:rsid w:val="00AE6FEC"/>
    <w:rsid w:val="00B03E4F"/>
    <w:rsid w:val="00B1238C"/>
    <w:rsid w:val="00B13575"/>
    <w:rsid w:val="00B226BD"/>
    <w:rsid w:val="00B34FA4"/>
    <w:rsid w:val="00B57E0A"/>
    <w:rsid w:val="00B70A37"/>
    <w:rsid w:val="00B71B7D"/>
    <w:rsid w:val="00B73A2B"/>
    <w:rsid w:val="00B8414A"/>
    <w:rsid w:val="00B941ED"/>
    <w:rsid w:val="00BB7307"/>
    <w:rsid w:val="00BF3581"/>
    <w:rsid w:val="00BF644A"/>
    <w:rsid w:val="00C01DF1"/>
    <w:rsid w:val="00C0729B"/>
    <w:rsid w:val="00C0796A"/>
    <w:rsid w:val="00C114C9"/>
    <w:rsid w:val="00C32F40"/>
    <w:rsid w:val="00C3383F"/>
    <w:rsid w:val="00C36D3B"/>
    <w:rsid w:val="00C60B09"/>
    <w:rsid w:val="00C62E9A"/>
    <w:rsid w:val="00C65F1F"/>
    <w:rsid w:val="00C80878"/>
    <w:rsid w:val="00C93161"/>
    <w:rsid w:val="00CA155D"/>
    <w:rsid w:val="00CB34BB"/>
    <w:rsid w:val="00CB3E40"/>
    <w:rsid w:val="00CC5940"/>
    <w:rsid w:val="00CF0E7C"/>
    <w:rsid w:val="00D06D6B"/>
    <w:rsid w:val="00D16C28"/>
    <w:rsid w:val="00D340B6"/>
    <w:rsid w:val="00D70651"/>
    <w:rsid w:val="00D81925"/>
    <w:rsid w:val="00D85EA9"/>
    <w:rsid w:val="00D92EF0"/>
    <w:rsid w:val="00DA3CFD"/>
    <w:rsid w:val="00DB092A"/>
    <w:rsid w:val="00DB4155"/>
    <w:rsid w:val="00DC172A"/>
    <w:rsid w:val="00DF4316"/>
    <w:rsid w:val="00DF4735"/>
    <w:rsid w:val="00E15DA1"/>
    <w:rsid w:val="00E1666E"/>
    <w:rsid w:val="00E170AC"/>
    <w:rsid w:val="00E310BF"/>
    <w:rsid w:val="00E42A78"/>
    <w:rsid w:val="00E652E8"/>
    <w:rsid w:val="00E70CDF"/>
    <w:rsid w:val="00E73A56"/>
    <w:rsid w:val="00E76F67"/>
    <w:rsid w:val="00E774DC"/>
    <w:rsid w:val="00E91164"/>
    <w:rsid w:val="00EA1D6F"/>
    <w:rsid w:val="00EB6BC0"/>
    <w:rsid w:val="00EC07F8"/>
    <w:rsid w:val="00EE18EE"/>
    <w:rsid w:val="00EE2054"/>
    <w:rsid w:val="00EF4EE8"/>
    <w:rsid w:val="00F1304B"/>
    <w:rsid w:val="00F315BC"/>
    <w:rsid w:val="00F45076"/>
    <w:rsid w:val="00F5095E"/>
    <w:rsid w:val="00F50E96"/>
    <w:rsid w:val="00F526F9"/>
    <w:rsid w:val="00F73398"/>
    <w:rsid w:val="00F877DA"/>
    <w:rsid w:val="00F92BD7"/>
    <w:rsid w:val="00FC25CA"/>
    <w:rsid w:val="00FE168B"/>
    <w:rsid w:val="00FF0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28FF"/>
  <w15:chartTrackingRefBased/>
  <w15:docId w15:val="{AB0A2062-9679-4D68-B4B4-4B2E15F0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4DC"/>
    <w:pPr>
      <w:spacing w:line="278" w:lineRule="auto"/>
    </w:pPr>
    <w:rPr>
      <w:sz w:val="24"/>
      <w:szCs w:val="24"/>
    </w:rPr>
  </w:style>
  <w:style w:type="paragraph" w:styleId="Titolo1">
    <w:name w:val="heading 1"/>
    <w:basedOn w:val="Normale"/>
    <w:next w:val="Normale"/>
    <w:link w:val="Titolo1Carattere"/>
    <w:uiPriority w:val="9"/>
    <w:qFormat/>
    <w:rsid w:val="00E774D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774D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774DC"/>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774DC"/>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Titolo5">
    <w:name w:val="heading 5"/>
    <w:basedOn w:val="Normale"/>
    <w:next w:val="Normale"/>
    <w:link w:val="Titolo5Carattere"/>
    <w:uiPriority w:val="9"/>
    <w:semiHidden/>
    <w:unhideWhenUsed/>
    <w:qFormat/>
    <w:rsid w:val="00E774DC"/>
    <w:pPr>
      <w:keepNext/>
      <w:keepLines/>
      <w:spacing w:before="80" w:after="40" w:line="259" w:lineRule="auto"/>
      <w:outlineLvl w:val="4"/>
    </w:pPr>
    <w:rPr>
      <w:rFonts w:eastAsiaTheme="majorEastAsia" w:cstheme="majorBidi"/>
      <w:color w:val="2F5496" w:themeColor="accent1" w:themeShade="BF"/>
      <w:sz w:val="22"/>
      <w:szCs w:val="22"/>
    </w:rPr>
  </w:style>
  <w:style w:type="paragraph" w:styleId="Titolo6">
    <w:name w:val="heading 6"/>
    <w:basedOn w:val="Normale"/>
    <w:next w:val="Normale"/>
    <w:link w:val="Titolo6Carattere"/>
    <w:uiPriority w:val="9"/>
    <w:semiHidden/>
    <w:unhideWhenUsed/>
    <w:qFormat/>
    <w:rsid w:val="00E774DC"/>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E774DC"/>
    <w:pPr>
      <w:keepNext/>
      <w:keepLines/>
      <w:spacing w:before="40" w:after="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E774DC"/>
    <w:pPr>
      <w:keepNext/>
      <w:keepLines/>
      <w:spacing w:after="0"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E774DC"/>
    <w:pPr>
      <w:keepNext/>
      <w:keepLines/>
      <w:spacing w:after="0"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74D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774D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774D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774D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774D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774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74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74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74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7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74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74DC"/>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74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74DC"/>
    <w:pPr>
      <w:spacing w:before="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E774DC"/>
    <w:rPr>
      <w:i/>
      <w:iCs/>
      <w:color w:val="404040" w:themeColor="text1" w:themeTint="BF"/>
    </w:rPr>
  </w:style>
  <w:style w:type="paragraph" w:styleId="Paragrafoelenco">
    <w:name w:val="List Paragraph"/>
    <w:basedOn w:val="Normale"/>
    <w:uiPriority w:val="34"/>
    <w:qFormat/>
    <w:rsid w:val="00E774DC"/>
    <w:pPr>
      <w:spacing w:line="259" w:lineRule="auto"/>
      <w:ind w:left="720"/>
      <w:contextualSpacing/>
    </w:pPr>
    <w:rPr>
      <w:sz w:val="22"/>
      <w:szCs w:val="22"/>
    </w:rPr>
  </w:style>
  <w:style w:type="character" w:styleId="Enfasiintensa">
    <w:name w:val="Intense Emphasis"/>
    <w:basedOn w:val="Carpredefinitoparagrafo"/>
    <w:uiPriority w:val="21"/>
    <w:qFormat/>
    <w:rsid w:val="00E774DC"/>
    <w:rPr>
      <w:i/>
      <w:iCs/>
      <w:color w:val="2F5496" w:themeColor="accent1" w:themeShade="BF"/>
    </w:rPr>
  </w:style>
  <w:style w:type="paragraph" w:styleId="Citazioneintensa">
    <w:name w:val="Intense Quote"/>
    <w:basedOn w:val="Normale"/>
    <w:next w:val="Normale"/>
    <w:link w:val="CitazioneintensaCarattere"/>
    <w:uiPriority w:val="30"/>
    <w:qFormat/>
    <w:rsid w:val="00E774D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CitazioneintensaCarattere">
    <w:name w:val="Citazione intensa Carattere"/>
    <w:basedOn w:val="Carpredefinitoparagrafo"/>
    <w:link w:val="Citazioneintensa"/>
    <w:uiPriority w:val="30"/>
    <w:rsid w:val="00E774DC"/>
    <w:rPr>
      <w:i/>
      <w:iCs/>
      <w:color w:val="2F5496" w:themeColor="accent1" w:themeShade="BF"/>
    </w:rPr>
  </w:style>
  <w:style w:type="character" w:styleId="Riferimentointenso">
    <w:name w:val="Intense Reference"/>
    <w:basedOn w:val="Carpredefinitoparagrafo"/>
    <w:uiPriority w:val="32"/>
    <w:qFormat/>
    <w:rsid w:val="00E774DC"/>
    <w:rPr>
      <w:b/>
      <w:bCs/>
      <w:smallCaps/>
      <w:color w:val="2F5496" w:themeColor="accent1" w:themeShade="BF"/>
      <w:spacing w:val="5"/>
    </w:rPr>
  </w:style>
  <w:style w:type="paragraph" w:styleId="Revisione">
    <w:name w:val="Revision"/>
    <w:hidden/>
    <w:uiPriority w:val="99"/>
    <w:semiHidden/>
    <w:rsid w:val="00E774DC"/>
    <w:pPr>
      <w:spacing w:after="0" w:line="240" w:lineRule="auto"/>
    </w:pPr>
    <w:rPr>
      <w:sz w:val="24"/>
      <w:szCs w:val="24"/>
    </w:rPr>
  </w:style>
  <w:style w:type="character" w:styleId="Rimandocommento">
    <w:name w:val="annotation reference"/>
    <w:basedOn w:val="Carpredefinitoparagrafo"/>
    <w:uiPriority w:val="99"/>
    <w:semiHidden/>
    <w:unhideWhenUsed/>
    <w:rsid w:val="009E6F94"/>
    <w:rPr>
      <w:sz w:val="16"/>
      <w:szCs w:val="16"/>
    </w:rPr>
  </w:style>
  <w:style w:type="paragraph" w:styleId="Testocommento">
    <w:name w:val="annotation text"/>
    <w:basedOn w:val="Normale"/>
    <w:link w:val="TestocommentoCarattere"/>
    <w:uiPriority w:val="99"/>
    <w:semiHidden/>
    <w:unhideWhenUsed/>
    <w:rsid w:val="009E6F9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6F94"/>
    <w:rPr>
      <w:sz w:val="20"/>
      <w:szCs w:val="20"/>
    </w:rPr>
  </w:style>
  <w:style w:type="paragraph" w:styleId="Soggettocommento">
    <w:name w:val="annotation subject"/>
    <w:basedOn w:val="Testocommento"/>
    <w:next w:val="Testocommento"/>
    <w:link w:val="SoggettocommentoCarattere"/>
    <w:uiPriority w:val="99"/>
    <w:semiHidden/>
    <w:unhideWhenUsed/>
    <w:rsid w:val="009E6F94"/>
    <w:rPr>
      <w:b/>
      <w:bCs/>
    </w:rPr>
  </w:style>
  <w:style w:type="character" w:customStyle="1" w:styleId="SoggettocommentoCarattere">
    <w:name w:val="Soggetto commento Carattere"/>
    <w:basedOn w:val="TestocommentoCarattere"/>
    <w:link w:val="Soggettocommento"/>
    <w:uiPriority w:val="99"/>
    <w:semiHidden/>
    <w:rsid w:val="009E6F94"/>
    <w:rPr>
      <w:b/>
      <w:bCs/>
      <w:sz w:val="20"/>
      <w:szCs w:val="20"/>
    </w:rPr>
  </w:style>
  <w:style w:type="paragraph" w:styleId="Testonotaapidipagina">
    <w:name w:val="footnote text"/>
    <w:basedOn w:val="Normale"/>
    <w:link w:val="TestonotaapidipaginaCarattere"/>
    <w:uiPriority w:val="99"/>
    <w:semiHidden/>
    <w:unhideWhenUsed/>
    <w:rsid w:val="00DF431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F4316"/>
    <w:rPr>
      <w:sz w:val="20"/>
      <w:szCs w:val="20"/>
    </w:rPr>
  </w:style>
  <w:style w:type="character" w:styleId="Rimandonotaapidipagina">
    <w:name w:val="footnote reference"/>
    <w:basedOn w:val="Carpredefinitoparagrafo"/>
    <w:uiPriority w:val="99"/>
    <w:semiHidden/>
    <w:unhideWhenUsed/>
    <w:rsid w:val="00DF4316"/>
    <w:rPr>
      <w:vertAlign w:val="superscript"/>
    </w:rPr>
  </w:style>
  <w:style w:type="character" w:styleId="Collegamentoipertestuale">
    <w:name w:val="Hyperlink"/>
    <w:basedOn w:val="Carpredefinitoparagrafo"/>
    <w:uiPriority w:val="99"/>
    <w:unhideWhenUsed/>
    <w:rsid w:val="00DF4316"/>
    <w:rPr>
      <w:color w:val="0563C1" w:themeColor="hyperlink"/>
      <w:u w:val="single"/>
    </w:rPr>
  </w:style>
  <w:style w:type="character" w:styleId="Menzionenonrisolta">
    <w:name w:val="Unresolved Mention"/>
    <w:basedOn w:val="Carpredefinitoparagrafo"/>
    <w:uiPriority w:val="99"/>
    <w:semiHidden/>
    <w:unhideWhenUsed/>
    <w:rsid w:val="00DF4316"/>
    <w:rPr>
      <w:color w:val="605E5C"/>
      <w:shd w:val="clear" w:color="auto" w:fill="E1DFDD"/>
    </w:rPr>
  </w:style>
  <w:style w:type="character" w:styleId="Collegamentovisitato">
    <w:name w:val="FollowedHyperlink"/>
    <w:basedOn w:val="Carpredefinitoparagrafo"/>
    <w:uiPriority w:val="99"/>
    <w:semiHidden/>
    <w:unhideWhenUsed/>
    <w:rsid w:val="00D85EA9"/>
    <w:rPr>
      <w:color w:val="954F72" w:themeColor="followedHyperlink"/>
      <w:u w:val="single"/>
    </w:rPr>
  </w:style>
  <w:style w:type="paragraph" w:styleId="Intestazione">
    <w:name w:val="header"/>
    <w:basedOn w:val="Normale"/>
    <w:link w:val="IntestazioneCarattere"/>
    <w:uiPriority w:val="99"/>
    <w:unhideWhenUsed/>
    <w:rsid w:val="00DF47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4735"/>
    <w:rPr>
      <w:sz w:val="24"/>
      <w:szCs w:val="24"/>
    </w:rPr>
  </w:style>
  <w:style w:type="paragraph" w:styleId="Pidipagina">
    <w:name w:val="footer"/>
    <w:basedOn w:val="Normale"/>
    <w:link w:val="PidipaginaCarattere"/>
    <w:uiPriority w:val="99"/>
    <w:unhideWhenUsed/>
    <w:rsid w:val="00DF47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4735"/>
    <w:rPr>
      <w:sz w:val="24"/>
      <w:szCs w:val="24"/>
    </w:rPr>
  </w:style>
  <w:style w:type="paragraph" w:styleId="Titolosommario">
    <w:name w:val="TOC Heading"/>
    <w:basedOn w:val="Titolo1"/>
    <w:next w:val="Normale"/>
    <w:uiPriority w:val="39"/>
    <w:unhideWhenUsed/>
    <w:qFormat/>
    <w:rsid w:val="004F55DE"/>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4F55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tplusfisco.ilsole24ore.com/" TargetMode="External"/><Relationship Id="rId2" Type="http://schemas.openxmlformats.org/officeDocument/2006/relationships/hyperlink" Target="https://www.judicium.it/costituzione-del-collegio-consultivo-tecnico-e-riparto-di-giurisdizione/" TargetMode="External"/><Relationship Id="rId1" Type="http://schemas.openxmlformats.org/officeDocument/2006/relationships/hyperlink" Target="https://www.giustizia-amministrativa.it/en/-/158189-17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5C3C-E26D-4957-8605-77D8F1E2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3493</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Ferrante</dc:creator>
  <cp:keywords/>
  <dc:description/>
  <cp:lastModifiedBy>COZZOLI Pamela</cp:lastModifiedBy>
  <cp:revision>3</cp:revision>
  <dcterms:created xsi:type="dcterms:W3CDTF">2026-06-18T16:19:00Z</dcterms:created>
  <dcterms:modified xsi:type="dcterms:W3CDTF">2026-06-22T06:38:00Z</dcterms:modified>
</cp:coreProperties>
</file>