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DA0C2" w14:textId="77777777" w:rsidR="007C5B78" w:rsidRPr="000500B7" w:rsidRDefault="007C5B78" w:rsidP="000500B7">
      <w:pPr>
        <w:spacing w:after="0" w:line="360" w:lineRule="auto"/>
        <w:jc w:val="center"/>
        <w:rPr>
          <w:rFonts w:ascii="Garamond" w:hAnsi="Garamond"/>
          <w:sz w:val="28"/>
          <w:szCs w:val="28"/>
        </w:rPr>
      </w:pPr>
    </w:p>
    <w:p w14:paraId="557CFDB4" w14:textId="77777777" w:rsidR="00F96B7C" w:rsidRPr="00094203" w:rsidRDefault="00405C82" w:rsidP="000500B7">
      <w:pPr>
        <w:spacing w:after="0" w:line="360" w:lineRule="auto"/>
        <w:jc w:val="center"/>
        <w:rPr>
          <w:rFonts w:ascii="Garamond" w:hAnsi="Garamond"/>
          <w:b/>
          <w:i/>
          <w:sz w:val="28"/>
          <w:szCs w:val="28"/>
        </w:rPr>
      </w:pPr>
      <w:r w:rsidRPr="00094203">
        <w:rPr>
          <w:rFonts w:ascii="Garamond" w:hAnsi="Garamond"/>
          <w:b/>
          <w:i/>
          <w:sz w:val="28"/>
          <w:szCs w:val="28"/>
        </w:rPr>
        <w:t>D</w:t>
      </w:r>
      <w:r w:rsidR="00A60E87" w:rsidRPr="00094203">
        <w:rPr>
          <w:rFonts w:ascii="Garamond" w:hAnsi="Garamond"/>
          <w:b/>
          <w:i/>
          <w:sz w:val="28"/>
          <w:szCs w:val="28"/>
        </w:rPr>
        <w:t>isarmonie</w:t>
      </w:r>
      <w:r w:rsidR="007E1FE5" w:rsidRPr="00094203">
        <w:rPr>
          <w:rFonts w:ascii="Garamond" w:hAnsi="Garamond"/>
          <w:b/>
          <w:i/>
          <w:sz w:val="28"/>
          <w:szCs w:val="28"/>
        </w:rPr>
        <w:t xml:space="preserve"> e lacune </w:t>
      </w:r>
      <w:r w:rsidR="00A60E87" w:rsidRPr="00094203">
        <w:rPr>
          <w:rFonts w:ascii="Garamond" w:hAnsi="Garamond"/>
          <w:b/>
          <w:i/>
          <w:sz w:val="28"/>
          <w:szCs w:val="28"/>
        </w:rPr>
        <w:t>normative</w:t>
      </w:r>
      <w:r w:rsidR="007E1FE5" w:rsidRPr="00094203">
        <w:rPr>
          <w:rFonts w:ascii="Garamond" w:hAnsi="Garamond"/>
          <w:b/>
          <w:i/>
          <w:sz w:val="28"/>
          <w:szCs w:val="28"/>
        </w:rPr>
        <w:t xml:space="preserve"> in tema di eseguibilità delle pronunzie condannatorie del giudice civile nei confronti della pubblica amministrazione</w:t>
      </w:r>
      <w:r w:rsidR="00527CA9">
        <w:rPr>
          <w:rStyle w:val="Rimandonotaapidipagina"/>
          <w:rFonts w:ascii="Garamond" w:hAnsi="Garamond"/>
          <w:b/>
          <w:i/>
          <w:sz w:val="28"/>
          <w:szCs w:val="28"/>
        </w:rPr>
        <w:footnoteReference w:id="1"/>
      </w:r>
    </w:p>
    <w:p w14:paraId="371DCA51" w14:textId="77777777" w:rsidR="00C83EB3" w:rsidRPr="000500B7" w:rsidRDefault="00C83EB3" w:rsidP="000500B7">
      <w:pPr>
        <w:spacing w:after="0" w:line="360" w:lineRule="auto"/>
        <w:jc w:val="right"/>
        <w:rPr>
          <w:rFonts w:ascii="Garamond" w:hAnsi="Garamond"/>
          <w:sz w:val="28"/>
          <w:szCs w:val="28"/>
        </w:rPr>
      </w:pPr>
    </w:p>
    <w:p w14:paraId="0CE75CCC" w14:textId="77777777" w:rsidR="00C83EB3" w:rsidRDefault="00C83EB3" w:rsidP="000500B7">
      <w:pPr>
        <w:spacing w:after="0" w:line="360" w:lineRule="auto"/>
        <w:jc w:val="right"/>
        <w:rPr>
          <w:rFonts w:ascii="Garamond" w:hAnsi="Garamond"/>
          <w:sz w:val="28"/>
          <w:szCs w:val="28"/>
        </w:rPr>
      </w:pPr>
    </w:p>
    <w:p w14:paraId="22DFA9A5" w14:textId="77777777" w:rsidR="00A87B3A" w:rsidRPr="000500B7" w:rsidRDefault="00A87B3A" w:rsidP="000500B7">
      <w:pPr>
        <w:spacing w:after="0" w:line="360" w:lineRule="auto"/>
        <w:jc w:val="right"/>
        <w:rPr>
          <w:rFonts w:ascii="Garamond" w:hAnsi="Garamond"/>
          <w:sz w:val="28"/>
          <w:szCs w:val="28"/>
        </w:rPr>
      </w:pPr>
    </w:p>
    <w:p w14:paraId="797BE6DF" w14:textId="77777777" w:rsidR="00C83EB3" w:rsidRPr="00BE7D79" w:rsidRDefault="001D6681" w:rsidP="000500B7">
      <w:pPr>
        <w:spacing w:after="0" w:line="360" w:lineRule="auto"/>
        <w:jc w:val="both"/>
        <w:rPr>
          <w:rFonts w:ascii="Garamond" w:hAnsi="Garamond"/>
          <w:sz w:val="28"/>
          <w:szCs w:val="28"/>
        </w:rPr>
      </w:pPr>
      <w:r w:rsidRPr="00506D6A">
        <w:rPr>
          <w:rFonts w:ascii="Garamond" w:hAnsi="Garamond"/>
          <w:smallCaps/>
          <w:sz w:val="28"/>
          <w:szCs w:val="28"/>
        </w:rPr>
        <w:t>S</w:t>
      </w:r>
      <w:r w:rsidR="00506D6A">
        <w:rPr>
          <w:rFonts w:ascii="Garamond" w:hAnsi="Garamond"/>
          <w:smallCaps/>
          <w:sz w:val="28"/>
          <w:szCs w:val="28"/>
        </w:rPr>
        <w:t>ommario</w:t>
      </w:r>
      <w:r>
        <w:rPr>
          <w:rFonts w:ascii="Garamond" w:hAnsi="Garamond"/>
          <w:sz w:val="28"/>
          <w:szCs w:val="28"/>
        </w:rPr>
        <w:t>: 1.</w:t>
      </w:r>
      <w:r w:rsidR="00C83EB3" w:rsidRPr="000500B7">
        <w:rPr>
          <w:rFonts w:ascii="Garamond" w:hAnsi="Garamond"/>
          <w:sz w:val="28"/>
          <w:szCs w:val="28"/>
        </w:rPr>
        <w:t xml:space="preserve"> Premessa</w:t>
      </w:r>
      <w:r w:rsidR="0053553F">
        <w:rPr>
          <w:rFonts w:ascii="Garamond" w:hAnsi="Garamond"/>
          <w:sz w:val="28"/>
          <w:szCs w:val="28"/>
        </w:rPr>
        <w:t xml:space="preserve"> -</w:t>
      </w:r>
      <w:r w:rsidR="00C83EB3" w:rsidRPr="000500B7">
        <w:rPr>
          <w:rFonts w:ascii="Garamond" w:hAnsi="Garamond"/>
          <w:sz w:val="28"/>
          <w:szCs w:val="28"/>
        </w:rPr>
        <w:t xml:space="preserve">  2. </w:t>
      </w:r>
      <w:r w:rsidR="00BE7D79" w:rsidRPr="00BE7D79">
        <w:rPr>
          <w:rFonts w:ascii="Garamond" w:hAnsi="Garamond"/>
          <w:sz w:val="28"/>
          <w:szCs w:val="28"/>
        </w:rPr>
        <w:t>Giudizio di ottemperanza ed esecuzione delle sentenze civili di condanna della pubblica amministrazione al pagamento di una somma di denaro</w:t>
      </w:r>
    </w:p>
    <w:p w14:paraId="2154E13D" w14:textId="77777777" w:rsidR="008844DB" w:rsidRPr="000500B7" w:rsidRDefault="008844DB" w:rsidP="000500B7">
      <w:pPr>
        <w:spacing w:after="0" w:line="360" w:lineRule="auto"/>
        <w:jc w:val="both"/>
        <w:rPr>
          <w:rFonts w:ascii="Garamond" w:hAnsi="Garamond"/>
          <w:sz w:val="28"/>
          <w:szCs w:val="28"/>
        </w:rPr>
      </w:pPr>
    </w:p>
    <w:p w14:paraId="5051AE1C" w14:textId="77777777" w:rsidR="008844DB" w:rsidRPr="000500B7" w:rsidRDefault="008844DB" w:rsidP="000500B7">
      <w:pPr>
        <w:spacing w:after="0" w:line="360" w:lineRule="auto"/>
        <w:jc w:val="both"/>
        <w:rPr>
          <w:rFonts w:ascii="Garamond" w:hAnsi="Garamond"/>
          <w:sz w:val="28"/>
          <w:szCs w:val="28"/>
        </w:rPr>
      </w:pPr>
    </w:p>
    <w:p w14:paraId="689156EA" w14:textId="77777777" w:rsidR="008844DB" w:rsidRPr="000500B7" w:rsidRDefault="008844DB" w:rsidP="000500B7">
      <w:pPr>
        <w:spacing w:after="0" w:line="360" w:lineRule="auto"/>
        <w:jc w:val="both"/>
        <w:rPr>
          <w:rFonts w:ascii="Garamond" w:hAnsi="Garamond"/>
          <w:sz w:val="28"/>
          <w:szCs w:val="28"/>
        </w:rPr>
      </w:pPr>
    </w:p>
    <w:p w14:paraId="2AC03AAE" w14:textId="77777777" w:rsidR="008844DB" w:rsidRPr="000500B7" w:rsidRDefault="008844DB" w:rsidP="000500B7">
      <w:pPr>
        <w:spacing w:after="0" w:line="360" w:lineRule="auto"/>
        <w:ind w:firstLine="709"/>
        <w:jc w:val="both"/>
        <w:rPr>
          <w:rFonts w:ascii="Garamond" w:hAnsi="Garamond"/>
          <w:b/>
          <w:sz w:val="28"/>
          <w:szCs w:val="28"/>
        </w:rPr>
      </w:pPr>
      <w:r w:rsidRPr="000500B7">
        <w:rPr>
          <w:rFonts w:ascii="Garamond" w:hAnsi="Garamond"/>
          <w:b/>
          <w:sz w:val="28"/>
          <w:szCs w:val="28"/>
        </w:rPr>
        <w:t>1. Premessa</w:t>
      </w:r>
    </w:p>
    <w:p w14:paraId="2B97FFBA" w14:textId="77777777" w:rsidR="00132D07" w:rsidRPr="000500B7" w:rsidRDefault="003E3722" w:rsidP="000500B7">
      <w:pPr>
        <w:spacing w:after="0" w:line="360" w:lineRule="auto"/>
        <w:ind w:firstLine="709"/>
        <w:jc w:val="both"/>
        <w:rPr>
          <w:rFonts w:ascii="Garamond" w:hAnsi="Garamond"/>
          <w:sz w:val="28"/>
          <w:szCs w:val="28"/>
        </w:rPr>
      </w:pPr>
      <w:r w:rsidRPr="000500B7">
        <w:rPr>
          <w:rFonts w:ascii="Garamond" w:hAnsi="Garamond"/>
          <w:sz w:val="28"/>
          <w:szCs w:val="28"/>
        </w:rPr>
        <w:t>C</w:t>
      </w:r>
      <w:r w:rsidR="00132D07" w:rsidRPr="000500B7">
        <w:rPr>
          <w:rFonts w:ascii="Garamond" w:hAnsi="Garamond"/>
          <w:sz w:val="28"/>
          <w:szCs w:val="28"/>
        </w:rPr>
        <w:t>ostituis</w:t>
      </w:r>
      <w:r w:rsidRPr="000500B7">
        <w:rPr>
          <w:rFonts w:ascii="Garamond" w:hAnsi="Garamond"/>
          <w:sz w:val="28"/>
          <w:szCs w:val="28"/>
        </w:rPr>
        <w:t>ce</w:t>
      </w:r>
      <w:r w:rsidR="00132D07" w:rsidRPr="000500B7">
        <w:rPr>
          <w:rFonts w:ascii="Garamond" w:hAnsi="Garamond"/>
          <w:sz w:val="28"/>
          <w:szCs w:val="28"/>
        </w:rPr>
        <w:t xml:space="preserve"> </w:t>
      </w:r>
      <w:r w:rsidRPr="000500B7">
        <w:rPr>
          <w:rFonts w:ascii="Garamond" w:hAnsi="Garamond"/>
          <w:sz w:val="28"/>
          <w:szCs w:val="28"/>
        </w:rPr>
        <w:t xml:space="preserve">una pia illusione l’idea </w:t>
      </w:r>
      <w:r w:rsidR="00132D07" w:rsidRPr="000500B7">
        <w:rPr>
          <w:rFonts w:ascii="Garamond" w:hAnsi="Garamond"/>
          <w:sz w:val="28"/>
          <w:szCs w:val="28"/>
        </w:rPr>
        <w:t>che la materia della tutela giurisdizionale nei confronti della pubblica amministrazione sia governata da un sistema</w:t>
      </w:r>
      <w:r w:rsidR="00064541" w:rsidRPr="000500B7">
        <w:rPr>
          <w:rFonts w:ascii="Garamond" w:hAnsi="Garamond"/>
          <w:sz w:val="28"/>
          <w:szCs w:val="28"/>
        </w:rPr>
        <w:t xml:space="preserve"> normativo</w:t>
      </w:r>
      <w:r w:rsidR="00132D07" w:rsidRPr="000500B7">
        <w:rPr>
          <w:rFonts w:ascii="Garamond" w:hAnsi="Garamond"/>
          <w:sz w:val="28"/>
          <w:szCs w:val="28"/>
        </w:rPr>
        <w:t xml:space="preserve"> armonico e completo.</w:t>
      </w:r>
    </w:p>
    <w:p w14:paraId="013A463C" w14:textId="77777777" w:rsidR="00EF6775" w:rsidRDefault="00132D07" w:rsidP="002C4561">
      <w:pPr>
        <w:spacing w:after="0" w:line="360" w:lineRule="auto"/>
        <w:ind w:firstLine="709"/>
        <w:jc w:val="both"/>
        <w:rPr>
          <w:rFonts w:ascii="Garamond" w:hAnsi="Garamond"/>
          <w:sz w:val="28"/>
          <w:szCs w:val="28"/>
        </w:rPr>
      </w:pPr>
      <w:r w:rsidRPr="000500B7">
        <w:rPr>
          <w:rFonts w:ascii="Garamond" w:hAnsi="Garamond"/>
          <w:sz w:val="28"/>
          <w:szCs w:val="28"/>
        </w:rPr>
        <w:t>Sebbene, infatti, ci si trovi al cospetto di vicende</w:t>
      </w:r>
      <w:r w:rsidR="007B66A9" w:rsidRPr="000500B7">
        <w:rPr>
          <w:rFonts w:ascii="Garamond" w:hAnsi="Garamond"/>
          <w:sz w:val="28"/>
          <w:szCs w:val="28"/>
        </w:rPr>
        <w:t xml:space="preserve"> che vedono la </w:t>
      </w:r>
      <w:r w:rsidR="006578E5">
        <w:rPr>
          <w:rFonts w:ascii="Garamond" w:hAnsi="Garamond"/>
          <w:sz w:val="28"/>
          <w:szCs w:val="28"/>
        </w:rPr>
        <w:t>partecipazione</w:t>
      </w:r>
      <w:r w:rsidR="00246DE9" w:rsidRPr="000500B7">
        <w:rPr>
          <w:rFonts w:ascii="Garamond" w:hAnsi="Garamond"/>
          <w:sz w:val="28"/>
          <w:szCs w:val="28"/>
        </w:rPr>
        <w:t xml:space="preserve"> di una parte pubblica e, quindi, </w:t>
      </w:r>
      <w:r w:rsidR="007B66A9" w:rsidRPr="000500B7">
        <w:rPr>
          <w:rFonts w:ascii="Garamond" w:hAnsi="Garamond"/>
          <w:sz w:val="28"/>
          <w:szCs w:val="28"/>
        </w:rPr>
        <w:t xml:space="preserve">di </w:t>
      </w:r>
      <w:r w:rsidR="00EF6775">
        <w:rPr>
          <w:rFonts w:ascii="Garamond" w:hAnsi="Garamond"/>
          <w:sz w:val="28"/>
          <w:szCs w:val="28"/>
        </w:rPr>
        <w:t xml:space="preserve">delicati </w:t>
      </w:r>
      <w:r w:rsidR="007B66A9" w:rsidRPr="000500B7">
        <w:rPr>
          <w:rFonts w:ascii="Garamond" w:hAnsi="Garamond"/>
          <w:sz w:val="28"/>
          <w:szCs w:val="28"/>
        </w:rPr>
        <w:t>inter</w:t>
      </w:r>
      <w:r w:rsidR="007B2EAA" w:rsidRPr="000500B7">
        <w:rPr>
          <w:rFonts w:ascii="Garamond" w:hAnsi="Garamond"/>
          <w:sz w:val="28"/>
          <w:szCs w:val="28"/>
        </w:rPr>
        <w:t xml:space="preserve">essi dalla coloritura </w:t>
      </w:r>
      <w:r w:rsidR="00246DE9" w:rsidRPr="000500B7">
        <w:rPr>
          <w:rFonts w:ascii="Garamond" w:hAnsi="Garamond"/>
          <w:sz w:val="28"/>
          <w:szCs w:val="28"/>
        </w:rPr>
        <w:t>non esclusivamente privat</w:t>
      </w:r>
      <w:r w:rsidR="007B2EAA" w:rsidRPr="000500B7">
        <w:rPr>
          <w:rFonts w:ascii="Garamond" w:hAnsi="Garamond"/>
          <w:sz w:val="28"/>
          <w:szCs w:val="28"/>
        </w:rPr>
        <w:t>is</w:t>
      </w:r>
      <w:r w:rsidR="007B66A9" w:rsidRPr="000500B7">
        <w:rPr>
          <w:rFonts w:ascii="Garamond" w:hAnsi="Garamond"/>
          <w:sz w:val="28"/>
          <w:szCs w:val="28"/>
        </w:rPr>
        <w:t>tica</w:t>
      </w:r>
      <w:r w:rsidR="00EF6775">
        <w:rPr>
          <w:rFonts w:ascii="Garamond" w:hAnsi="Garamond"/>
          <w:sz w:val="28"/>
          <w:szCs w:val="28"/>
        </w:rPr>
        <w:t>, i vigenti modelli</w:t>
      </w:r>
      <w:r w:rsidR="007B2EAA" w:rsidRPr="000500B7">
        <w:rPr>
          <w:rFonts w:ascii="Garamond" w:hAnsi="Garamond"/>
          <w:sz w:val="28"/>
          <w:szCs w:val="28"/>
        </w:rPr>
        <w:t xml:space="preserve"> di tutela</w:t>
      </w:r>
      <w:r w:rsidR="00EF6775">
        <w:rPr>
          <w:rFonts w:ascii="Garamond" w:hAnsi="Garamond"/>
          <w:sz w:val="28"/>
          <w:szCs w:val="28"/>
        </w:rPr>
        <w:t xml:space="preserve"> congegnati</w:t>
      </w:r>
      <w:r w:rsidR="00064541" w:rsidRPr="000500B7">
        <w:rPr>
          <w:rFonts w:ascii="Garamond" w:hAnsi="Garamond"/>
          <w:sz w:val="28"/>
          <w:szCs w:val="28"/>
        </w:rPr>
        <w:t xml:space="preserve"> dal legislatore</w:t>
      </w:r>
      <w:r w:rsidR="00EF6775">
        <w:rPr>
          <w:rFonts w:ascii="Garamond" w:hAnsi="Garamond"/>
          <w:sz w:val="28"/>
          <w:szCs w:val="28"/>
        </w:rPr>
        <w:t xml:space="preserve"> non sono</w:t>
      </w:r>
      <w:r w:rsidR="007B2EAA" w:rsidRPr="000500B7">
        <w:rPr>
          <w:rFonts w:ascii="Garamond" w:hAnsi="Garamond"/>
          <w:sz w:val="28"/>
          <w:szCs w:val="28"/>
        </w:rPr>
        <w:t xml:space="preserve"> ancora</w:t>
      </w:r>
      <w:r w:rsidR="00C03061" w:rsidRPr="000500B7">
        <w:rPr>
          <w:rFonts w:ascii="Garamond" w:hAnsi="Garamond"/>
          <w:sz w:val="28"/>
          <w:szCs w:val="28"/>
        </w:rPr>
        <w:t xml:space="preserve"> oggi</w:t>
      </w:r>
      <w:r w:rsidR="007B2EAA" w:rsidRPr="000500B7">
        <w:rPr>
          <w:rFonts w:ascii="Garamond" w:hAnsi="Garamond"/>
          <w:sz w:val="28"/>
          <w:szCs w:val="28"/>
        </w:rPr>
        <w:t xml:space="preserve"> caratterizzat</w:t>
      </w:r>
      <w:r w:rsidR="00EF6775">
        <w:rPr>
          <w:rFonts w:ascii="Garamond" w:hAnsi="Garamond"/>
          <w:sz w:val="28"/>
          <w:szCs w:val="28"/>
        </w:rPr>
        <w:t>i</w:t>
      </w:r>
      <w:r w:rsidR="007B2EAA" w:rsidRPr="000500B7">
        <w:rPr>
          <w:rFonts w:ascii="Garamond" w:hAnsi="Garamond"/>
          <w:sz w:val="28"/>
          <w:szCs w:val="28"/>
        </w:rPr>
        <w:t xml:space="preserve"> da una piena </w:t>
      </w:r>
      <w:r w:rsidRPr="001D6681">
        <w:rPr>
          <w:rFonts w:ascii="Garamond" w:hAnsi="Garamond"/>
          <w:sz w:val="28"/>
          <w:szCs w:val="28"/>
        </w:rPr>
        <w:t>euritmia</w:t>
      </w:r>
      <w:r w:rsidR="007B2EAA" w:rsidRPr="001D6681">
        <w:rPr>
          <w:rFonts w:ascii="Garamond" w:hAnsi="Garamond"/>
          <w:sz w:val="28"/>
          <w:szCs w:val="28"/>
        </w:rPr>
        <w:t xml:space="preserve"> e compiutezza.</w:t>
      </w:r>
    </w:p>
    <w:p w14:paraId="33A52019" w14:textId="77777777" w:rsidR="002C4561" w:rsidRDefault="00EF6775" w:rsidP="002C4561">
      <w:pPr>
        <w:spacing w:after="0" w:line="360" w:lineRule="auto"/>
        <w:ind w:firstLine="709"/>
        <w:jc w:val="both"/>
        <w:rPr>
          <w:rFonts w:ascii="Garamond" w:hAnsi="Garamond"/>
          <w:sz w:val="28"/>
          <w:szCs w:val="28"/>
        </w:rPr>
      </w:pPr>
      <w:r>
        <w:rPr>
          <w:rFonts w:ascii="Garamond" w:hAnsi="Garamond"/>
          <w:sz w:val="28"/>
          <w:szCs w:val="28"/>
        </w:rPr>
        <w:t>Tale constatazione</w:t>
      </w:r>
      <w:r w:rsidR="001D6681">
        <w:rPr>
          <w:rFonts w:ascii="Garamond" w:hAnsi="Garamond"/>
          <w:sz w:val="28"/>
          <w:szCs w:val="28"/>
        </w:rPr>
        <w:t>, come sarà evidenziato nel paragrafo che segue,</w:t>
      </w:r>
      <w:r>
        <w:rPr>
          <w:rFonts w:ascii="Garamond" w:hAnsi="Garamond"/>
          <w:sz w:val="28"/>
          <w:szCs w:val="28"/>
        </w:rPr>
        <w:t xml:space="preserve"> riguarda anche il campo della esecuzione</w:t>
      </w:r>
      <w:r w:rsidR="001D6681">
        <w:rPr>
          <w:rFonts w:ascii="Garamond" w:hAnsi="Garamond"/>
          <w:sz w:val="28"/>
          <w:szCs w:val="28"/>
        </w:rPr>
        <w:t xml:space="preserve"> e, segnatamente, </w:t>
      </w:r>
      <w:r w:rsidR="00246DE9" w:rsidRPr="000500B7">
        <w:rPr>
          <w:rFonts w:ascii="Garamond" w:hAnsi="Garamond"/>
          <w:sz w:val="28"/>
          <w:szCs w:val="28"/>
        </w:rPr>
        <w:t>della esecuzione delle sentenze civili di condanna</w:t>
      </w:r>
      <w:r w:rsidR="00FD3D5B">
        <w:rPr>
          <w:rFonts w:ascii="Garamond" w:hAnsi="Garamond"/>
          <w:sz w:val="28"/>
          <w:szCs w:val="28"/>
        </w:rPr>
        <w:t xml:space="preserve"> della pubblica amministrazione</w:t>
      </w:r>
      <w:r w:rsidR="00246DE9" w:rsidRPr="000500B7">
        <w:rPr>
          <w:rFonts w:ascii="Garamond" w:hAnsi="Garamond"/>
          <w:sz w:val="28"/>
          <w:szCs w:val="28"/>
        </w:rPr>
        <w:t xml:space="preserve"> al pagamento di </w:t>
      </w:r>
      <w:r w:rsidR="00E6072A">
        <w:rPr>
          <w:rFonts w:ascii="Garamond" w:hAnsi="Garamond"/>
          <w:sz w:val="28"/>
          <w:szCs w:val="28"/>
        </w:rPr>
        <w:t>somme di</w:t>
      </w:r>
      <w:r w:rsidR="00246DE9" w:rsidRPr="000500B7">
        <w:rPr>
          <w:rFonts w:ascii="Garamond" w:hAnsi="Garamond"/>
          <w:sz w:val="28"/>
          <w:szCs w:val="28"/>
        </w:rPr>
        <w:t xml:space="preserve"> denaro</w:t>
      </w:r>
      <w:r w:rsidR="00474357" w:rsidRPr="000500B7">
        <w:rPr>
          <w:rStyle w:val="Rimandonotaapidipagina"/>
          <w:rFonts w:ascii="Garamond" w:hAnsi="Garamond"/>
          <w:sz w:val="28"/>
          <w:szCs w:val="28"/>
        </w:rPr>
        <w:footnoteReference w:id="2"/>
      </w:r>
      <w:r w:rsidR="00C03061" w:rsidRPr="000500B7">
        <w:rPr>
          <w:rFonts w:ascii="Garamond" w:hAnsi="Garamond"/>
          <w:sz w:val="28"/>
          <w:szCs w:val="28"/>
        </w:rPr>
        <w:t xml:space="preserve">. </w:t>
      </w:r>
    </w:p>
    <w:p w14:paraId="60CD30AE" w14:textId="77777777" w:rsidR="001F60E2" w:rsidRPr="000500B7" w:rsidRDefault="0060270E" w:rsidP="002C4561">
      <w:pPr>
        <w:spacing w:after="0" w:line="360" w:lineRule="auto"/>
        <w:ind w:firstLine="709"/>
        <w:jc w:val="both"/>
        <w:rPr>
          <w:rFonts w:ascii="Garamond" w:hAnsi="Garamond"/>
          <w:sz w:val="28"/>
          <w:szCs w:val="28"/>
        </w:rPr>
      </w:pPr>
      <w:r w:rsidRPr="000500B7">
        <w:rPr>
          <w:rFonts w:ascii="Garamond" w:hAnsi="Garamond"/>
          <w:sz w:val="28"/>
          <w:szCs w:val="28"/>
        </w:rPr>
        <w:lastRenderedPageBreak/>
        <w:t>C</w:t>
      </w:r>
      <w:r w:rsidR="00D44767" w:rsidRPr="000500B7">
        <w:rPr>
          <w:rFonts w:ascii="Garamond" w:hAnsi="Garamond"/>
          <w:sz w:val="28"/>
          <w:szCs w:val="28"/>
        </w:rPr>
        <w:t>om</w:t>
      </w:r>
      <w:r w:rsidRPr="000500B7">
        <w:rPr>
          <w:rFonts w:ascii="Garamond" w:hAnsi="Garamond"/>
          <w:sz w:val="28"/>
          <w:szCs w:val="28"/>
        </w:rPr>
        <w:t>e</w:t>
      </w:r>
      <w:r w:rsidR="00D44767" w:rsidRPr="000500B7">
        <w:rPr>
          <w:rFonts w:ascii="Garamond" w:hAnsi="Garamond"/>
          <w:sz w:val="28"/>
          <w:szCs w:val="28"/>
        </w:rPr>
        <w:t xml:space="preserve"> è noto, </w:t>
      </w:r>
      <w:r w:rsidR="00032FEA" w:rsidRPr="000500B7">
        <w:rPr>
          <w:rFonts w:ascii="Garamond" w:hAnsi="Garamond"/>
          <w:sz w:val="28"/>
          <w:szCs w:val="28"/>
        </w:rPr>
        <w:t xml:space="preserve">in caso di </w:t>
      </w:r>
      <w:r w:rsidR="009D3DE6" w:rsidRPr="000500B7">
        <w:rPr>
          <w:rFonts w:ascii="Garamond" w:hAnsi="Garamond"/>
          <w:sz w:val="28"/>
          <w:szCs w:val="28"/>
        </w:rPr>
        <w:t>sentenze</w:t>
      </w:r>
      <w:r w:rsidR="00032FEA" w:rsidRPr="000500B7">
        <w:rPr>
          <w:rFonts w:ascii="Garamond" w:hAnsi="Garamond"/>
          <w:sz w:val="28"/>
          <w:szCs w:val="28"/>
        </w:rPr>
        <w:t xml:space="preserve"> civili di condanna</w:t>
      </w:r>
      <w:r w:rsidR="001218CB" w:rsidRPr="000500B7">
        <w:rPr>
          <w:rFonts w:ascii="Garamond" w:hAnsi="Garamond"/>
          <w:sz w:val="28"/>
          <w:szCs w:val="28"/>
        </w:rPr>
        <w:t xml:space="preserve"> (passate in giudicato o ancora “meramente” esecutive)</w:t>
      </w:r>
      <w:r w:rsidR="00032FEA" w:rsidRPr="000500B7">
        <w:rPr>
          <w:rFonts w:ascii="Garamond" w:hAnsi="Garamond"/>
          <w:sz w:val="28"/>
          <w:szCs w:val="28"/>
        </w:rPr>
        <w:t xml:space="preserve">, </w:t>
      </w:r>
      <w:r w:rsidR="00D44767" w:rsidRPr="000500B7">
        <w:rPr>
          <w:rFonts w:ascii="Garamond" w:hAnsi="Garamond"/>
          <w:sz w:val="28"/>
          <w:szCs w:val="28"/>
        </w:rPr>
        <w:t>la parte interessata potrà avviare</w:t>
      </w:r>
      <w:r w:rsidR="001364DC" w:rsidRPr="000500B7">
        <w:rPr>
          <w:rFonts w:ascii="Garamond" w:hAnsi="Garamond"/>
          <w:sz w:val="28"/>
          <w:szCs w:val="28"/>
        </w:rPr>
        <w:t>,</w:t>
      </w:r>
      <w:r w:rsidR="00D44767" w:rsidRPr="000500B7">
        <w:rPr>
          <w:rFonts w:ascii="Garamond" w:hAnsi="Garamond"/>
          <w:sz w:val="28"/>
          <w:szCs w:val="28"/>
        </w:rPr>
        <w:t xml:space="preserve"> nei confronti dell’amministrazione</w:t>
      </w:r>
      <w:r w:rsidR="001364DC" w:rsidRPr="000500B7">
        <w:rPr>
          <w:rFonts w:ascii="Garamond" w:hAnsi="Garamond"/>
          <w:sz w:val="28"/>
          <w:szCs w:val="28"/>
        </w:rPr>
        <w:t>,</w:t>
      </w:r>
      <w:r w:rsidR="00D44767" w:rsidRPr="000500B7">
        <w:rPr>
          <w:rFonts w:ascii="Garamond" w:hAnsi="Garamond"/>
          <w:sz w:val="28"/>
          <w:szCs w:val="28"/>
        </w:rPr>
        <w:t xml:space="preserve"> </w:t>
      </w:r>
      <w:r w:rsidR="00032FEA" w:rsidRPr="000500B7">
        <w:rPr>
          <w:rFonts w:ascii="Garamond" w:hAnsi="Garamond"/>
          <w:sz w:val="28"/>
          <w:szCs w:val="28"/>
        </w:rPr>
        <w:t>il processo di esecuzione per espropriazione</w:t>
      </w:r>
      <w:r w:rsidRPr="000500B7">
        <w:rPr>
          <w:rFonts w:ascii="Garamond" w:hAnsi="Garamond"/>
          <w:sz w:val="28"/>
          <w:szCs w:val="28"/>
        </w:rPr>
        <w:t xml:space="preserve"> di cui al libro</w:t>
      </w:r>
      <w:r w:rsidR="00B54B98" w:rsidRPr="000500B7">
        <w:rPr>
          <w:rFonts w:ascii="Garamond" w:hAnsi="Garamond"/>
          <w:sz w:val="28"/>
          <w:szCs w:val="28"/>
        </w:rPr>
        <w:t xml:space="preserve"> terzo</w:t>
      </w:r>
      <w:r w:rsidRPr="000500B7">
        <w:rPr>
          <w:rFonts w:ascii="Garamond" w:hAnsi="Garamond"/>
          <w:sz w:val="28"/>
          <w:szCs w:val="28"/>
        </w:rPr>
        <w:t xml:space="preserve"> del codice di procedura civile</w:t>
      </w:r>
      <w:r w:rsidR="001F60E2" w:rsidRPr="000500B7">
        <w:rPr>
          <w:rFonts w:ascii="Garamond" w:hAnsi="Garamond"/>
          <w:sz w:val="28"/>
          <w:szCs w:val="28"/>
        </w:rPr>
        <w:t xml:space="preserve"> </w:t>
      </w:r>
      <w:r w:rsidR="00050C5A" w:rsidRPr="000500B7">
        <w:rPr>
          <w:rFonts w:ascii="Garamond" w:hAnsi="Garamond"/>
          <w:sz w:val="28"/>
          <w:szCs w:val="28"/>
        </w:rPr>
        <w:t>(</w:t>
      </w:r>
      <w:r w:rsidR="001F60E2" w:rsidRPr="000500B7">
        <w:rPr>
          <w:rFonts w:ascii="Garamond" w:hAnsi="Garamond"/>
          <w:sz w:val="28"/>
          <w:szCs w:val="28"/>
        </w:rPr>
        <w:t xml:space="preserve">tale </w:t>
      </w:r>
      <w:r w:rsidR="00050C5A" w:rsidRPr="000500B7">
        <w:rPr>
          <w:rFonts w:ascii="Garamond" w:hAnsi="Garamond"/>
          <w:sz w:val="28"/>
          <w:szCs w:val="28"/>
        </w:rPr>
        <w:t>processo</w:t>
      </w:r>
      <w:r w:rsidR="001F60E2" w:rsidRPr="000500B7">
        <w:rPr>
          <w:rFonts w:ascii="Garamond" w:hAnsi="Garamond"/>
          <w:sz w:val="28"/>
          <w:szCs w:val="28"/>
        </w:rPr>
        <w:t xml:space="preserve"> è</w:t>
      </w:r>
      <w:r w:rsidR="00050C5A" w:rsidRPr="000500B7">
        <w:rPr>
          <w:rFonts w:ascii="Garamond" w:hAnsi="Garamond"/>
          <w:sz w:val="28"/>
          <w:szCs w:val="28"/>
        </w:rPr>
        <w:t xml:space="preserve">, peraltro, utilizzabile, ai </w:t>
      </w:r>
      <w:r w:rsidR="00050C5A" w:rsidRPr="008F319C">
        <w:rPr>
          <w:rFonts w:ascii="Garamond" w:hAnsi="Garamond"/>
          <w:sz w:val="28"/>
          <w:szCs w:val="28"/>
        </w:rPr>
        <w:t>sensi dell’art. 115, comma 2, del codice del processo amministrativo, anche per l’attuazione</w:t>
      </w:r>
      <w:r w:rsidR="00050C5A" w:rsidRPr="000500B7">
        <w:rPr>
          <w:rFonts w:ascii="Garamond" w:hAnsi="Garamond"/>
          <w:sz w:val="28"/>
          <w:szCs w:val="28"/>
        </w:rPr>
        <w:t xml:space="preserve"> dei provvedimenti emessi dal giudice amministrativo che dispongono il pagamento di somme di denaro)</w:t>
      </w:r>
      <w:r w:rsidR="001F60E2" w:rsidRPr="000500B7">
        <w:rPr>
          <w:rFonts w:ascii="Garamond" w:hAnsi="Garamond"/>
          <w:sz w:val="28"/>
          <w:szCs w:val="28"/>
        </w:rPr>
        <w:t>.</w:t>
      </w:r>
    </w:p>
    <w:p w14:paraId="3AD16122" w14:textId="77777777" w:rsidR="004E64B0" w:rsidRDefault="001F60E2" w:rsidP="000500B7">
      <w:pPr>
        <w:spacing w:after="0" w:line="360" w:lineRule="auto"/>
        <w:ind w:firstLine="709"/>
        <w:jc w:val="both"/>
        <w:rPr>
          <w:rFonts w:ascii="Garamond" w:hAnsi="Garamond" w:cs="Times New Roman"/>
          <w:sz w:val="28"/>
          <w:szCs w:val="28"/>
          <w:shd w:val="clear" w:color="auto" w:fill="FFFFFF"/>
        </w:rPr>
      </w:pPr>
      <w:r w:rsidRPr="000500B7">
        <w:rPr>
          <w:rFonts w:ascii="Garamond" w:hAnsi="Garamond"/>
          <w:sz w:val="28"/>
          <w:szCs w:val="28"/>
        </w:rPr>
        <w:t>Parimenti certa è l’utilizzabilità</w:t>
      </w:r>
      <w:r w:rsidR="002654C2" w:rsidRPr="000500B7">
        <w:rPr>
          <w:rFonts w:ascii="Garamond" w:hAnsi="Garamond"/>
          <w:sz w:val="28"/>
          <w:szCs w:val="28"/>
        </w:rPr>
        <w:t xml:space="preserve"> </w:t>
      </w:r>
      <w:r w:rsidR="000500B7">
        <w:rPr>
          <w:rFonts w:ascii="Garamond" w:hAnsi="Garamond"/>
          <w:sz w:val="28"/>
          <w:szCs w:val="28"/>
        </w:rPr>
        <w:t>–</w:t>
      </w:r>
      <w:r w:rsidR="0060270E" w:rsidRPr="000500B7">
        <w:rPr>
          <w:rFonts w:ascii="Garamond" w:hAnsi="Garamond"/>
          <w:sz w:val="28"/>
          <w:szCs w:val="28"/>
        </w:rPr>
        <w:t xml:space="preserve"> una volta formatosi</w:t>
      </w:r>
      <w:r w:rsidR="006578E5" w:rsidRPr="006578E5">
        <w:rPr>
          <w:rFonts w:ascii="Garamond" w:hAnsi="Garamond"/>
          <w:sz w:val="28"/>
          <w:szCs w:val="28"/>
        </w:rPr>
        <w:t xml:space="preserve"> </w:t>
      </w:r>
      <w:r w:rsidR="006578E5" w:rsidRPr="000500B7">
        <w:rPr>
          <w:rFonts w:ascii="Garamond" w:hAnsi="Garamond"/>
          <w:sz w:val="28"/>
          <w:szCs w:val="28"/>
        </w:rPr>
        <w:t>il giudicato</w:t>
      </w:r>
      <w:r w:rsidRPr="000500B7">
        <w:rPr>
          <w:rFonts w:ascii="Garamond" w:hAnsi="Garamond"/>
          <w:sz w:val="28"/>
          <w:szCs w:val="28"/>
        </w:rPr>
        <w:t xml:space="preserve"> su dette sentenze civili di condanna </w:t>
      </w:r>
      <w:r w:rsidR="006578E5">
        <w:rPr>
          <w:rFonts w:ascii="Garamond" w:hAnsi="Garamond"/>
          <w:sz w:val="28"/>
          <w:szCs w:val="28"/>
        </w:rPr>
        <w:t xml:space="preserve">al pagamento di somme di denaro </w:t>
      </w:r>
      <w:r w:rsidR="000500B7">
        <w:rPr>
          <w:rFonts w:ascii="Garamond" w:hAnsi="Garamond"/>
          <w:sz w:val="28"/>
          <w:szCs w:val="28"/>
        </w:rPr>
        <w:t>–</w:t>
      </w:r>
      <w:r w:rsidR="0060270E" w:rsidRPr="000500B7">
        <w:rPr>
          <w:rFonts w:ascii="Garamond" w:hAnsi="Garamond"/>
          <w:sz w:val="28"/>
          <w:szCs w:val="28"/>
        </w:rPr>
        <w:t xml:space="preserve"> </w:t>
      </w:r>
      <w:r w:rsidRPr="000500B7">
        <w:rPr>
          <w:rFonts w:ascii="Garamond" w:hAnsi="Garamond"/>
          <w:sz w:val="28"/>
          <w:szCs w:val="28"/>
        </w:rPr>
        <w:t>del</w:t>
      </w:r>
      <w:r w:rsidR="0060270E" w:rsidRPr="000500B7">
        <w:rPr>
          <w:rFonts w:ascii="Garamond" w:hAnsi="Garamond"/>
          <w:sz w:val="28"/>
          <w:szCs w:val="28"/>
        </w:rPr>
        <w:t xml:space="preserve"> giudizio di ott</w:t>
      </w:r>
      <w:r w:rsidRPr="000500B7">
        <w:rPr>
          <w:rFonts w:ascii="Garamond" w:hAnsi="Garamond"/>
          <w:sz w:val="28"/>
          <w:szCs w:val="28"/>
        </w:rPr>
        <w:t>emperanza dinanzi al giudice amministrativo</w:t>
      </w:r>
      <w:r w:rsidR="005D318C" w:rsidRPr="000500B7">
        <w:rPr>
          <w:rStyle w:val="Rimandonotaapidipagina"/>
          <w:rFonts w:ascii="Garamond" w:hAnsi="Garamond"/>
          <w:sz w:val="28"/>
          <w:szCs w:val="28"/>
        </w:rPr>
        <w:footnoteReference w:id="3"/>
      </w:r>
      <w:r w:rsidR="003F78EA">
        <w:rPr>
          <w:rFonts w:ascii="Garamond" w:hAnsi="Garamond"/>
          <w:sz w:val="28"/>
          <w:szCs w:val="28"/>
        </w:rPr>
        <w:t xml:space="preserve">. Tale </w:t>
      </w:r>
      <w:r w:rsidR="00647152">
        <w:rPr>
          <w:rFonts w:ascii="Garamond" w:hAnsi="Garamond"/>
          <w:sz w:val="28"/>
          <w:szCs w:val="28"/>
        </w:rPr>
        <w:t xml:space="preserve">dato, </w:t>
      </w:r>
      <w:r w:rsidR="00192B96">
        <w:rPr>
          <w:rFonts w:ascii="Garamond" w:hAnsi="Garamond"/>
          <w:sz w:val="28"/>
          <w:szCs w:val="28"/>
        </w:rPr>
        <w:t>ai fini che</w:t>
      </w:r>
      <w:r w:rsidR="00437545" w:rsidRPr="000500B7">
        <w:rPr>
          <w:rFonts w:ascii="Garamond" w:hAnsi="Garamond"/>
          <w:sz w:val="28"/>
          <w:szCs w:val="28"/>
        </w:rPr>
        <w:t xml:space="preserve"> qui interessano,</w:t>
      </w:r>
      <w:r w:rsidR="00192B96">
        <w:rPr>
          <w:rFonts w:ascii="Garamond" w:hAnsi="Garamond"/>
          <w:sz w:val="28"/>
          <w:szCs w:val="28"/>
        </w:rPr>
        <w:t xml:space="preserve"> </w:t>
      </w:r>
      <w:r w:rsidR="00647152">
        <w:rPr>
          <w:rFonts w:ascii="Garamond" w:hAnsi="Garamond"/>
          <w:sz w:val="28"/>
          <w:szCs w:val="28"/>
        </w:rPr>
        <w:t>deve</w:t>
      </w:r>
      <w:r w:rsidR="003F78EA">
        <w:rPr>
          <w:rFonts w:ascii="Garamond" w:hAnsi="Garamond"/>
          <w:sz w:val="28"/>
          <w:szCs w:val="28"/>
        </w:rPr>
        <w:t>, ovviamente,</w:t>
      </w:r>
      <w:r w:rsidR="00647152">
        <w:rPr>
          <w:rFonts w:ascii="Garamond" w:hAnsi="Garamond"/>
          <w:sz w:val="28"/>
          <w:szCs w:val="28"/>
        </w:rPr>
        <w:t xml:space="preserve"> essere armonizzato con l</w:t>
      </w:r>
      <w:r w:rsidR="003F78EA">
        <w:rPr>
          <w:rFonts w:ascii="Garamond" w:hAnsi="Garamond"/>
          <w:sz w:val="28"/>
          <w:szCs w:val="28"/>
        </w:rPr>
        <w:t xml:space="preserve">a ricostruzione offerta dalla giurisprudenza </w:t>
      </w:r>
      <w:r w:rsidR="001D6681">
        <w:rPr>
          <w:rFonts w:ascii="Garamond" w:hAnsi="Garamond"/>
          <w:sz w:val="28"/>
          <w:szCs w:val="28"/>
        </w:rPr>
        <w:t>in tema di</w:t>
      </w:r>
      <w:r w:rsidR="003F78EA">
        <w:rPr>
          <w:rFonts w:ascii="Garamond" w:hAnsi="Garamond"/>
          <w:sz w:val="28"/>
          <w:szCs w:val="28"/>
        </w:rPr>
        <w:t xml:space="preserve"> esecuzione nei confronti di enti in dissesto. In questi casi, invero,</w:t>
      </w:r>
      <w:r w:rsidR="00647152">
        <w:rPr>
          <w:rFonts w:ascii="Garamond" w:hAnsi="Garamond"/>
          <w:sz w:val="28"/>
          <w:szCs w:val="28"/>
        </w:rPr>
        <w:t xml:space="preserve"> </w:t>
      </w:r>
      <w:r w:rsidR="00E6072A">
        <w:rPr>
          <w:rFonts w:ascii="Garamond" w:hAnsi="Garamond"/>
          <w:sz w:val="28"/>
          <w:szCs w:val="28"/>
        </w:rPr>
        <w:t>“</w:t>
      </w:r>
      <w:r w:rsidR="003F78EA" w:rsidRPr="00435A41">
        <w:rPr>
          <w:rFonts w:ascii="Garamond" w:hAnsi="Garamond" w:cs="Times New Roman"/>
          <w:i/>
          <w:sz w:val="28"/>
          <w:szCs w:val="28"/>
          <w:shd w:val="clear" w:color="auto" w:fill="FFFFFF"/>
        </w:rPr>
        <w:t>l</w:t>
      </w:r>
      <w:r w:rsidR="004E64B0" w:rsidRPr="00435A41">
        <w:rPr>
          <w:rFonts w:ascii="Garamond" w:hAnsi="Garamond"/>
          <w:i/>
          <w:sz w:val="28"/>
          <w:szCs w:val="28"/>
          <w:shd w:val="clear" w:color="auto" w:fill="FFFFFF"/>
        </w:rPr>
        <w:t>a dichiarazione di dissesto di un ente locale preclude le azioni esecutive e assoggetta a procedura liquidatoria tutte le obbligazioni derivanti da fatti o atti intervenuti prima della dichiarazione di dissesto, anche se tali obbligazioni siano state liquidate in via definitiva solo successivamente; ciò in quanto la procedura di liquidazione dei debiti dell'ente è dominata dal principio della </w:t>
      </w:r>
      <w:r w:rsidR="004E64B0" w:rsidRPr="00435A41">
        <w:rPr>
          <w:rFonts w:ascii="Garamond" w:hAnsi="Garamond"/>
          <w:i/>
          <w:iCs/>
          <w:sz w:val="28"/>
          <w:szCs w:val="28"/>
          <w:shd w:val="clear" w:color="auto" w:fill="FFFFFF"/>
        </w:rPr>
        <w:t>par condicio</w:t>
      </w:r>
      <w:r w:rsidR="004E64B0" w:rsidRPr="00435A41">
        <w:rPr>
          <w:rFonts w:ascii="Garamond" w:hAnsi="Garamond"/>
          <w:i/>
          <w:sz w:val="28"/>
          <w:szCs w:val="28"/>
          <w:shd w:val="clear" w:color="auto" w:fill="FFFFFF"/>
        </w:rPr>
        <w:t xml:space="preserve"> dei creditori e la tutela della </w:t>
      </w:r>
      <w:proofErr w:type="spellStart"/>
      <w:r w:rsidR="004E64B0" w:rsidRPr="00435A41">
        <w:rPr>
          <w:rFonts w:ascii="Garamond" w:hAnsi="Garamond"/>
          <w:i/>
          <w:sz w:val="28"/>
          <w:szCs w:val="28"/>
          <w:shd w:val="clear" w:color="auto" w:fill="FFFFFF"/>
        </w:rPr>
        <w:t>concorsualità</w:t>
      </w:r>
      <w:proofErr w:type="spellEnd"/>
      <w:r w:rsidR="004E64B0" w:rsidRPr="00435A41">
        <w:rPr>
          <w:rFonts w:ascii="Garamond" w:hAnsi="Garamond"/>
          <w:i/>
          <w:sz w:val="28"/>
          <w:szCs w:val="28"/>
          <w:shd w:val="clear" w:color="auto" w:fill="FFFFFF"/>
        </w:rPr>
        <w:t xml:space="preserve"> comporta, in linea generale, l'inibitoria anche del ricorso di </w:t>
      </w:r>
      <w:r w:rsidR="004E64B0" w:rsidRPr="00435A41">
        <w:rPr>
          <w:rFonts w:ascii="Garamond" w:hAnsi="Garamond"/>
          <w:i/>
          <w:sz w:val="28"/>
          <w:szCs w:val="28"/>
        </w:rPr>
        <w:t>ottemperanza</w:t>
      </w:r>
      <w:r w:rsidR="004E64B0" w:rsidRPr="00435A41">
        <w:rPr>
          <w:rFonts w:ascii="Garamond" w:hAnsi="Garamond"/>
          <w:i/>
          <w:sz w:val="28"/>
          <w:szCs w:val="28"/>
          <w:shd w:val="clear" w:color="auto" w:fill="FFFFFF"/>
        </w:rPr>
        <w:t xml:space="preserve">, in quanto misura coattiva di soddisfacimento individuale del creditore. Le norme sul dissesto finanziario degli enti locali sono infatti preordinate al ripristino degli </w:t>
      </w:r>
      <w:r w:rsidR="004E64B0" w:rsidRPr="00435A41">
        <w:rPr>
          <w:rFonts w:ascii="Garamond" w:hAnsi="Garamond"/>
          <w:i/>
          <w:sz w:val="28"/>
          <w:szCs w:val="28"/>
          <w:shd w:val="clear" w:color="auto" w:fill="FFFFFF"/>
        </w:rPr>
        <w:lastRenderedPageBreak/>
        <w:t>equilibri di bilancio degli enti locali in crisi, mediante un'apposita procedura di risanamento, delineando una netta separazione di compiti e competenze tra la gestione passata e quella corrente, a tutela della gestione corrente, che sarebbe pregiudicata se in essa confluissero debiti sostanzialmente imputabili alle precedenti gestioni amministrative (cfr. </w:t>
      </w:r>
      <w:hyperlink r:id="rId8" w:history="1">
        <w:r w:rsidR="004E64B0" w:rsidRPr="00435A41">
          <w:rPr>
            <w:rStyle w:val="Collegamentoipertestuale"/>
            <w:rFonts w:ascii="Garamond" w:hAnsi="Garamond"/>
            <w:i/>
            <w:color w:val="auto"/>
            <w:sz w:val="28"/>
            <w:szCs w:val="28"/>
            <w:u w:val="none"/>
            <w:shd w:val="clear" w:color="auto" w:fill="FFFFFF"/>
          </w:rPr>
          <w:t>Cons. Stato, sez. V, 23 ottobre 2024, n. 8493</w:t>
        </w:r>
      </w:hyperlink>
      <w:r w:rsidR="004E64B0" w:rsidRPr="00435A41">
        <w:rPr>
          <w:rFonts w:ascii="Garamond" w:hAnsi="Garamond"/>
          <w:i/>
          <w:sz w:val="28"/>
          <w:szCs w:val="28"/>
          <w:shd w:val="clear" w:color="auto" w:fill="FFFFFF"/>
        </w:rPr>
        <w:t>)</w:t>
      </w:r>
      <w:r w:rsidR="00E6072A" w:rsidRPr="00E6072A">
        <w:rPr>
          <w:rFonts w:ascii="Garamond" w:hAnsi="Garamond"/>
          <w:sz w:val="28"/>
          <w:szCs w:val="28"/>
          <w:shd w:val="clear" w:color="auto" w:fill="FFFFFF"/>
        </w:rPr>
        <w:t>”</w:t>
      </w:r>
      <w:r w:rsidR="004E64B0" w:rsidRPr="000500B7">
        <w:rPr>
          <w:rStyle w:val="Rimandonotaapidipagina"/>
          <w:rFonts w:ascii="Garamond" w:hAnsi="Garamond" w:cs="Times New Roman"/>
          <w:sz w:val="28"/>
          <w:szCs w:val="28"/>
          <w:shd w:val="clear" w:color="auto" w:fill="FFFFFF"/>
        </w:rPr>
        <w:footnoteReference w:id="4"/>
      </w:r>
      <w:r w:rsidR="000500B7" w:rsidRPr="000500B7">
        <w:rPr>
          <w:rFonts w:ascii="Garamond" w:hAnsi="Garamond" w:cs="Times New Roman"/>
          <w:sz w:val="28"/>
          <w:szCs w:val="28"/>
          <w:shd w:val="clear" w:color="auto" w:fill="FFFFFF"/>
        </w:rPr>
        <w:t>.</w:t>
      </w:r>
    </w:p>
    <w:p w14:paraId="0D883650" w14:textId="77777777" w:rsidR="0053553F" w:rsidRPr="000500B7" w:rsidRDefault="0053553F" w:rsidP="0053553F">
      <w:pPr>
        <w:spacing w:after="0" w:line="360" w:lineRule="auto"/>
        <w:ind w:firstLine="709"/>
        <w:jc w:val="both"/>
        <w:rPr>
          <w:rFonts w:ascii="Garamond" w:hAnsi="Garamond"/>
          <w:sz w:val="28"/>
          <w:szCs w:val="28"/>
        </w:rPr>
      </w:pPr>
      <w:r w:rsidRPr="000500B7">
        <w:rPr>
          <w:rFonts w:ascii="Garamond" w:hAnsi="Garamond"/>
          <w:sz w:val="28"/>
          <w:szCs w:val="28"/>
        </w:rPr>
        <w:t>Stante le note difficoltà a cui va incontro colui che voglia utilizzare gli strumenti espropriativi disciplinati nel codice di procedura civile per la tutela delle proprie posizioni creditorie vantate nei confronti della pubblica amministrazione, appare</w:t>
      </w:r>
      <w:r>
        <w:rPr>
          <w:rFonts w:ascii="Garamond" w:hAnsi="Garamond"/>
          <w:sz w:val="28"/>
          <w:szCs w:val="28"/>
        </w:rPr>
        <w:t>, però,</w:t>
      </w:r>
      <w:r w:rsidRPr="000500B7">
        <w:rPr>
          <w:rFonts w:ascii="Garamond" w:hAnsi="Garamond"/>
          <w:sz w:val="28"/>
          <w:szCs w:val="28"/>
        </w:rPr>
        <w:t xml:space="preserve"> legittimo interrogarsi circa la possibilità o meno di promuovere una esecuzione forzata attraverso il giudizio di ottemperanza anche soltanto in presenza di una sentenza di condanna</w:t>
      </w:r>
      <w:r>
        <w:rPr>
          <w:rFonts w:ascii="Garamond" w:hAnsi="Garamond"/>
          <w:sz w:val="28"/>
          <w:szCs w:val="28"/>
        </w:rPr>
        <w:t xml:space="preserve"> </w:t>
      </w:r>
      <w:r w:rsidRPr="000500B7">
        <w:rPr>
          <w:rFonts w:ascii="Garamond" w:hAnsi="Garamond"/>
          <w:sz w:val="28"/>
          <w:szCs w:val="28"/>
        </w:rPr>
        <w:t>del giudice civile non ancora munita del crisma del giudicato.</w:t>
      </w:r>
    </w:p>
    <w:p w14:paraId="3D985030" w14:textId="77777777" w:rsidR="0053553F" w:rsidRPr="000500B7" w:rsidRDefault="0053553F" w:rsidP="000500B7">
      <w:pPr>
        <w:spacing w:after="0" w:line="360" w:lineRule="auto"/>
        <w:ind w:firstLine="709"/>
        <w:jc w:val="both"/>
        <w:rPr>
          <w:rFonts w:ascii="Garamond" w:hAnsi="Garamond"/>
          <w:sz w:val="28"/>
          <w:szCs w:val="28"/>
        </w:rPr>
      </w:pPr>
    </w:p>
    <w:p w14:paraId="174912F6" w14:textId="77777777" w:rsidR="0053553F" w:rsidRDefault="0053553F" w:rsidP="002C4561">
      <w:pPr>
        <w:spacing w:after="0" w:line="360" w:lineRule="auto"/>
        <w:ind w:firstLine="709"/>
        <w:jc w:val="both"/>
        <w:rPr>
          <w:rFonts w:ascii="Garamond" w:hAnsi="Garamond"/>
          <w:b/>
          <w:sz w:val="28"/>
          <w:szCs w:val="28"/>
        </w:rPr>
      </w:pPr>
    </w:p>
    <w:p w14:paraId="696932D1" w14:textId="77777777" w:rsidR="002C4561" w:rsidRPr="000500B7" w:rsidRDefault="002C4561" w:rsidP="002C4561">
      <w:pPr>
        <w:spacing w:after="0" w:line="360" w:lineRule="auto"/>
        <w:ind w:firstLine="709"/>
        <w:jc w:val="both"/>
        <w:rPr>
          <w:rFonts w:ascii="Garamond" w:hAnsi="Garamond"/>
          <w:b/>
          <w:sz w:val="28"/>
          <w:szCs w:val="28"/>
        </w:rPr>
      </w:pPr>
      <w:r w:rsidRPr="000500B7">
        <w:rPr>
          <w:rFonts w:ascii="Garamond" w:hAnsi="Garamond"/>
          <w:b/>
          <w:sz w:val="28"/>
          <w:szCs w:val="28"/>
        </w:rPr>
        <w:t xml:space="preserve">2. </w:t>
      </w:r>
      <w:r w:rsidR="0053553F">
        <w:rPr>
          <w:rFonts w:ascii="Garamond" w:hAnsi="Garamond"/>
          <w:b/>
          <w:sz w:val="28"/>
          <w:szCs w:val="28"/>
        </w:rPr>
        <w:t xml:space="preserve">Giudizio </w:t>
      </w:r>
      <w:r w:rsidRPr="000500B7">
        <w:rPr>
          <w:rFonts w:ascii="Garamond" w:hAnsi="Garamond"/>
          <w:b/>
          <w:sz w:val="28"/>
          <w:szCs w:val="28"/>
        </w:rPr>
        <w:t xml:space="preserve">di ottemperanza </w:t>
      </w:r>
      <w:r w:rsidR="0053553F">
        <w:rPr>
          <w:rFonts w:ascii="Garamond" w:hAnsi="Garamond"/>
          <w:b/>
          <w:sz w:val="28"/>
          <w:szCs w:val="28"/>
        </w:rPr>
        <w:t>ed</w:t>
      </w:r>
      <w:r w:rsidRPr="000500B7">
        <w:rPr>
          <w:rFonts w:ascii="Garamond" w:hAnsi="Garamond"/>
          <w:b/>
          <w:sz w:val="28"/>
          <w:szCs w:val="28"/>
        </w:rPr>
        <w:t xml:space="preserve"> esecuzione delle sentenze civili di condanna della pubblica amministrazione al pagamento di una somma di denaro</w:t>
      </w:r>
    </w:p>
    <w:p w14:paraId="03CF78C3" w14:textId="77777777" w:rsidR="001C3BC2" w:rsidRDefault="0053553F" w:rsidP="000500B7">
      <w:pPr>
        <w:pStyle w:val="Bollo"/>
        <w:spacing w:line="360" w:lineRule="auto"/>
        <w:ind w:firstLine="709"/>
        <w:rPr>
          <w:rFonts w:ascii="Garamond" w:hAnsi="Garamond"/>
          <w:sz w:val="28"/>
          <w:szCs w:val="28"/>
        </w:rPr>
      </w:pPr>
      <w:r>
        <w:rPr>
          <w:rFonts w:ascii="Garamond" w:hAnsi="Garamond"/>
          <w:sz w:val="28"/>
          <w:szCs w:val="28"/>
        </w:rPr>
        <w:t>Relativamente all</w:t>
      </w:r>
      <w:r w:rsidR="001C3BC2">
        <w:rPr>
          <w:rFonts w:ascii="Garamond" w:hAnsi="Garamond"/>
          <w:sz w:val="28"/>
          <w:szCs w:val="28"/>
        </w:rPr>
        <w:t>e</w:t>
      </w:r>
      <w:r>
        <w:rPr>
          <w:rFonts w:ascii="Garamond" w:hAnsi="Garamond"/>
          <w:sz w:val="28"/>
          <w:szCs w:val="28"/>
        </w:rPr>
        <w:t xml:space="preserve"> forme di esecuzione dell</w:t>
      </w:r>
      <w:r w:rsidR="001C3BC2">
        <w:rPr>
          <w:rFonts w:ascii="Garamond" w:hAnsi="Garamond"/>
          <w:sz w:val="28"/>
          <w:szCs w:val="28"/>
        </w:rPr>
        <w:t>a</w:t>
      </w:r>
      <w:r>
        <w:rPr>
          <w:rFonts w:ascii="Garamond" w:hAnsi="Garamond"/>
          <w:sz w:val="28"/>
          <w:szCs w:val="28"/>
        </w:rPr>
        <w:t xml:space="preserve"> </w:t>
      </w:r>
      <w:r w:rsidR="001C3BC2">
        <w:rPr>
          <w:rFonts w:ascii="Garamond" w:hAnsi="Garamond"/>
          <w:sz w:val="28"/>
          <w:szCs w:val="28"/>
        </w:rPr>
        <w:t xml:space="preserve">sentenza </w:t>
      </w:r>
      <w:r w:rsidR="006578E5">
        <w:rPr>
          <w:rFonts w:ascii="Garamond" w:hAnsi="Garamond"/>
          <w:sz w:val="28"/>
          <w:szCs w:val="28"/>
        </w:rPr>
        <w:t xml:space="preserve">civile </w:t>
      </w:r>
      <w:r w:rsidR="001C3BC2">
        <w:rPr>
          <w:rFonts w:ascii="Garamond" w:hAnsi="Garamond"/>
          <w:sz w:val="28"/>
          <w:szCs w:val="28"/>
        </w:rPr>
        <w:t xml:space="preserve">di condanna, non ancora passata in giudicato, resa nei confronti della pubblica amministrazione, le direttive legislative appaiono </w:t>
      </w:r>
      <w:r w:rsidR="00F90377">
        <w:rPr>
          <w:rFonts w:ascii="Garamond" w:hAnsi="Garamond"/>
          <w:sz w:val="28"/>
          <w:szCs w:val="28"/>
        </w:rPr>
        <w:t xml:space="preserve">oggi </w:t>
      </w:r>
      <w:r w:rsidR="001C3BC2">
        <w:rPr>
          <w:rFonts w:ascii="Garamond" w:hAnsi="Garamond"/>
          <w:sz w:val="28"/>
          <w:szCs w:val="28"/>
        </w:rPr>
        <w:t>chiare.</w:t>
      </w:r>
    </w:p>
    <w:p w14:paraId="4958757B" w14:textId="77777777" w:rsidR="00E827A1" w:rsidRPr="000500B7" w:rsidRDefault="001C3BC2" w:rsidP="000500B7">
      <w:pPr>
        <w:pStyle w:val="Bollo"/>
        <w:spacing w:line="360" w:lineRule="auto"/>
        <w:ind w:firstLine="709"/>
        <w:rPr>
          <w:rFonts w:ascii="Garamond" w:hAnsi="Garamond"/>
          <w:sz w:val="28"/>
          <w:szCs w:val="28"/>
        </w:rPr>
      </w:pPr>
      <w:r>
        <w:rPr>
          <w:rFonts w:ascii="Garamond" w:hAnsi="Garamond"/>
          <w:sz w:val="28"/>
          <w:szCs w:val="28"/>
        </w:rPr>
        <w:t>A</w:t>
      </w:r>
      <w:r w:rsidR="00381FE3">
        <w:rPr>
          <w:rFonts w:ascii="Garamond" w:hAnsi="Garamond"/>
          <w:sz w:val="28"/>
          <w:szCs w:val="28"/>
        </w:rPr>
        <w:t xml:space="preserve">l riguardo, </w:t>
      </w:r>
      <w:r w:rsidR="00556E47" w:rsidRPr="000500B7">
        <w:rPr>
          <w:rFonts w:ascii="Garamond" w:hAnsi="Garamond"/>
          <w:sz w:val="28"/>
          <w:szCs w:val="28"/>
        </w:rPr>
        <w:t>non sembra</w:t>
      </w:r>
      <w:r>
        <w:rPr>
          <w:rFonts w:ascii="Garamond" w:hAnsi="Garamond"/>
          <w:sz w:val="28"/>
          <w:szCs w:val="28"/>
        </w:rPr>
        <w:t>, invero,</w:t>
      </w:r>
      <w:r w:rsidR="00556E47" w:rsidRPr="000500B7">
        <w:rPr>
          <w:rFonts w:ascii="Garamond" w:hAnsi="Garamond"/>
          <w:sz w:val="28"/>
          <w:szCs w:val="28"/>
        </w:rPr>
        <w:t xml:space="preserve"> che la lettera dell’art. 112, comma 2, lett. c, del codice del processo amministrativo</w:t>
      </w:r>
      <w:r w:rsidR="00E827A1" w:rsidRPr="000500B7">
        <w:rPr>
          <w:rStyle w:val="Rimandonotaapidipagina"/>
          <w:rFonts w:ascii="Garamond" w:hAnsi="Garamond"/>
          <w:sz w:val="28"/>
          <w:szCs w:val="28"/>
        </w:rPr>
        <w:footnoteReference w:id="5"/>
      </w:r>
      <w:r w:rsidR="00061209" w:rsidRPr="000500B7">
        <w:rPr>
          <w:rFonts w:ascii="Garamond" w:hAnsi="Garamond"/>
          <w:sz w:val="28"/>
          <w:szCs w:val="28"/>
        </w:rPr>
        <w:t xml:space="preserve"> (</w:t>
      </w:r>
      <w:r w:rsidR="00E827A1" w:rsidRPr="000500B7">
        <w:rPr>
          <w:rFonts w:ascii="Garamond" w:hAnsi="Garamond"/>
          <w:sz w:val="28"/>
          <w:szCs w:val="28"/>
        </w:rPr>
        <w:t>analogamente a</w:t>
      </w:r>
      <w:r w:rsidR="00061209" w:rsidRPr="000500B7">
        <w:rPr>
          <w:rFonts w:ascii="Garamond" w:hAnsi="Garamond"/>
          <w:sz w:val="28"/>
          <w:szCs w:val="28"/>
        </w:rPr>
        <w:t xml:space="preserve"> quanto previsto </w:t>
      </w:r>
      <w:r w:rsidR="00785B90" w:rsidRPr="000500B7">
        <w:rPr>
          <w:rFonts w:ascii="Garamond" w:hAnsi="Garamond"/>
          <w:sz w:val="28"/>
          <w:szCs w:val="28"/>
        </w:rPr>
        <w:t xml:space="preserve">in precedenza dall’art. 27, comma 1, n. 4, </w:t>
      </w:r>
      <w:proofErr w:type="spellStart"/>
      <w:r w:rsidR="00785B90" w:rsidRPr="000500B7">
        <w:rPr>
          <w:rFonts w:ascii="Garamond" w:hAnsi="Garamond"/>
          <w:sz w:val="28"/>
          <w:szCs w:val="28"/>
        </w:rPr>
        <w:t>r.d.</w:t>
      </w:r>
      <w:proofErr w:type="spellEnd"/>
      <w:r w:rsidR="00785B90" w:rsidRPr="000500B7">
        <w:rPr>
          <w:rFonts w:ascii="Garamond" w:hAnsi="Garamond"/>
          <w:sz w:val="28"/>
          <w:szCs w:val="28"/>
        </w:rPr>
        <w:t xml:space="preserve"> 26 giugno 1924, n. 1054, e dall’art. 37, commi 1 e 2, legge 6 dicembre 1971, n. 1034</w:t>
      </w:r>
      <w:r w:rsidR="00061209" w:rsidRPr="000500B7">
        <w:rPr>
          <w:rFonts w:ascii="Garamond" w:hAnsi="Garamond"/>
          <w:sz w:val="28"/>
          <w:szCs w:val="28"/>
        </w:rPr>
        <w:t>)</w:t>
      </w:r>
      <w:r w:rsidR="00556E47" w:rsidRPr="000500B7">
        <w:rPr>
          <w:rFonts w:ascii="Garamond" w:hAnsi="Garamond"/>
          <w:sz w:val="28"/>
          <w:szCs w:val="28"/>
        </w:rPr>
        <w:t xml:space="preserve"> lasci ampio spazio a letture che, con riferimento alle pronunzie del giudice civile, consentano di disancorare l’utilizzabilità dello strumento dell’ottemperanza dalla formazione del giudicato</w:t>
      </w:r>
      <w:r w:rsidR="00556E47" w:rsidRPr="000500B7">
        <w:rPr>
          <w:rStyle w:val="Rimandonotaapidipagina"/>
          <w:rFonts w:ascii="Garamond" w:hAnsi="Garamond"/>
          <w:sz w:val="28"/>
          <w:szCs w:val="28"/>
        </w:rPr>
        <w:footnoteReference w:id="6"/>
      </w:r>
      <w:r w:rsidR="00556E47" w:rsidRPr="000500B7">
        <w:rPr>
          <w:rFonts w:ascii="Garamond" w:hAnsi="Garamond"/>
          <w:sz w:val="28"/>
          <w:szCs w:val="28"/>
        </w:rPr>
        <w:t>.</w:t>
      </w:r>
    </w:p>
    <w:p w14:paraId="619FC2B4" w14:textId="77777777" w:rsidR="00B006D1" w:rsidRPr="00435A41" w:rsidRDefault="00EC765F" w:rsidP="00435A41">
      <w:pPr>
        <w:pStyle w:val="Bollo"/>
        <w:spacing w:line="360" w:lineRule="auto"/>
        <w:ind w:firstLine="709"/>
        <w:rPr>
          <w:rFonts w:ascii="Garamond" w:hAnsi="Garamond"/>
          <w:bCs/>
          <w:i/>
          <w:sz w:val="28"/>
          <w:szCs w:val="28"/>
        </w:rPr>
      </w:pPr>
      <w:r w:rsidRPr="000500B7">
        <w:rPr>
          <w:rFonts w:ascii="Garamond" w:hAnsi="Garamond"/>
          <w:sz w:val="28"/>
          <w:szCs w:val="28"/>
        </w:rPr>
        <w:t xml:space="preserve">Purtuttavia, </w:t>
      </w:r>
      <w:r w:rsidR="00061209" w:rsidRPr="000500B7">
        <w:rPr>
          <w:rFonts w:ascii="Garamond" w:hAnsi="Garamond"/>
          <w:sz w:val="28"/>
          <w:szCs w:val="28"/>
        </w:rPr>
        <w:t xml:space="preserve">in passato, </w:t>
      </w:r>
      <w:r w:rsidRPr="000500B7">
        <w:rPr>
          <w:rFonts w:ascii="Garamond" w:hAnsi="Garamond"/>
          <w:sz w:val="28"/>
          <w:szCs w:val="28"/>
        </w:rPr>
        <w:t>non sono mancate coraggiose prese di posizione</w:t>
      </w:r>
      <w:r w:rsidR="00061209" w:rsidRPr="000500B7">
        <w:rPr>
          <w:rFonts w:ascii="Garamond" w:hAnsi="Garamond"/>
          <w:sz w:val="28"/>
          <w:szCs w:val="28"/>
        </w:rPr>
        <w:t xml:space="preserve"> di una p</w:t>
      </w:r>
      <w:r w:rsidRPr="000500B7">
        <w:rPr>
          <w:rFonts w:ascii="Garamond" w:hAnsi="Garamond"/>
          <w:sz w:val="28"/>
          <w:szCs w:val="28"/>
        </w:rPr>
        <w:t>a</w:t>
      </w:r>
      <w:r w:rsidR="00061209" w:rsidRPr="000500B7">
        <w:rPr>
          <w:rFonts w:ascii="Garamond" w:hAnsi="Garamond"/>
          <w:sz w:val="28"/>
          <w:szCs w:val="28"/>
        </w:rPr>
        <w:t>rte minoritaria della</w:t>
      </w:r>
      <w:r w:rsidRPr="000500B7">
        <w:rPr>
          <w:rFonts w:ascii="Garamond" w:hAnsi="Garamond"/>
          <w:sz w:val="28"/>
          <w:szCs w:val="28"/>
        </w:rPr>
        <w:t xml:space="preserve"> giurisprudenza, la quale, valorizzando il contenuto dell’art. 282 c.p.c., è giunta a ritenere attivabile il rimedio dell’ottemperanza anche per le sentenze civili non ancora passate in giudicato</w:t>
      </w:r>
      <w:r w:rsidR="00061209" w:rsidRPr="000500B7">
        <w:rPr>
          <w:rFonts w:ascii="Garamond" w:hAnsi="Garamond"/>
          <w:sz w:val="28"/>
          <w:szCs w:val="28"/>
        </w:rPr>
        <w:t>. Il riferimento è soprattutto a T.A.R. Puglia-Bari, sez. II, 25 ottobre 2002, n. 4668</w:t>
      </w:r>
      <w:r w:rsidR="00061209" w:rsidRPr="000500B7">
        <w:rPr>
          <w:rStyle w:val="Rimandonotaapidipagina"/>
          <w:rFonts w:ascii="Garamond" w:hAnsi="Garamond"/>
          <w:sz w:val="28"/>
          <w:szCs w:val="28"/>
        </w:rPr>
        <w:footnoteReference w:id="7"/>
      </w:r>
      <w:r w:rsidR="00061209" w:rsidRPr="000500B7">
        <w:rPr>
          <w:rFonts w:ascii="Garamond" w:hAnsi="Garamond"/>
          <w:sz w:val="28"/>
          <w:szCs w:val="28"/>
        </w:rPr>
        <w:t>, che, confermando un orientamento già delineatosi in passato</w:t>
      </w:r>
      <w:r w:rsidR="00061209" w:rsidRPr="000500B7">
        <w:rPr>
          <w:rStyle w:val="Rimandonotaapidipagina"/>
          <w:rFonts w:ascii="Garamond" w:hAnsi="Garamond"/>
          <w:sz w:val="28"/>
          <w:szCs w:val="28"/>
        </w:rPr>
        <w:footnoteReference w:id="8"/>
      </w:r>
      <w:r w:rsidR="00623D28" w:rsidRPr="000500B7">
        <w:rPr>
          <w:rFonts w:ascii="Garamond" w:hAnsi="Garamond"/>
          <w:sz w:val="28"/>
          <w:szCs w:val="28"/>
        </w:rPr>
        <w:t>, ha osservato come il giudizio di ottemperanza non sia impedito dalla circostanza che avverso la sentenza di condanna pronunziata dal giudice ordinario nei confronti di una pubblica amministrazione sia stato proposto appello, purché dagli atti di causa non risulti che il giudice del gravame abbia sospeso l’esecutività della stessa</w:t>
      </w:r>
      <w:r w:rsidR="00381FE3">
        <w:rPr>
          <w:rFonts w:ascii="Garamond" w:hAnsi="Garamond"/>
          <w:sz w:val="28"/>
          <w:szCs w:val="28"/>
        </w:rPr>
        <w:t xml:space="preserve">. Questi i passaggi più rilevanti della pronunzia: </w:t>
      </w:r>
      <w:r w:rsidR="00E6072A">
        <w:rPr>
          <w:rFonts w:ascii="Garamond" w:hAnsi="Garamond"/>
          <w:sz w:val="28"/>
          <w:szCs w:val="28"/>
        </w:rPr>
        <w:t>“</w:t>
      </w:r>
      <w:r w:rsidR="00ED34A4" w:rsidRPr="000500B7">
        <w:rPr>
          <w:rFonts w:ascii="Garamond" w:hAnsi="Garamond"/>
          <w:bCs/>
          <w:i/>
          <w:sz w:val="28"/>
          <w:szCs w:val="28"/>
        </w:rPr>
        <w:t>Osserva il Collegio che, verificata la formula esecutiva della sentenza…nonché l’osservanza della procedura per l’esecuzione dell’atto medesimo, non è dubbio che l’Amministrazione Comunale…debba ottemperare alla prefata decisione e, per l’effetto, provvedere nel termine di quarantacinque giorni dalla comunicazione in via ammnistrativa della presente statuizione, al pagamento in favore dei ricorrenti delle somme da essa discendenti. L’ottemperanza non è impedita dalla circostanza che il Comune…abbia interposto appello…avverso la sentenza…</w:t>
      </w:r>
      <w:r w:rsidR="00793228">
        <w:rPr>
          <w:rFonts w:ascii="Garamond" w:hAnsi="Garamond"/>
          <w:bCs/>
          <w:i/>
          <w:sz w:val="28"/>
          <w:szCs w:val="28"/>
        </w:rPr>
        <w:t xml:space="preserve"> </w:t>
      </w:r>
      <w:r w:rsidR="00ED34A4" w:rsidRPr="000500B7">
        <w:rPr>
          <w:rFonts w:ascii="Garamond" w:hAnsi="Garamond"/>
          <w:bCs/>
          <w:i/>
          <w:sz w:val="28"/>
          <w:szCs w:val="28"/>
        </w:rPr>
        <w:t xml:space="preserve">Ed invero, agli atti di causa non risulta che il giudice del gravame abbia sospeso l’esecutività della sentenza di primo grado. Questa pertanto, ai sensi dell’art. 282 del c.p.c., ha acquistato efficacia di titolo esecutivo in base al quale può essere validamente promossa l’esecuzione forzata. Neppure costituisce ostacolo all’esperimento dell’azione esecutiva dinanzi al giudice amministrativo la circostanza che il Comune intimato, con deliberazione di </w:t>
      </w:r>
      <w:proofErr w:type="gramStart"/>
      <w:r w:rsidR="00ED34A4" w:rsidRPr="000500B7">
        <w:rPr>
          <w:rFonts w:ascii="Garamond" w:hAnsi="Garamond"/>
          <w:bCs/>
          <w:i/>
          <w:sz w:val="28"/>
          <w:szCs w:val="28"/>
        </w:rPr>
        <w:t>G.C….</w:t>
      </w:r>
      <w:proofErr w:type="gramEnd"/>
      <w:r w:rsidR="00ED34A4" w:rsidRPr="000500B7">
        <w:rPr>
          <w:rFonts w:ascii="Garamond" w:hAnsi="Garamond"/>
          <w:bCs/>
          <w:i/>
          <w:sz w:val="28"/>
          <w:szCs w:val="28"/>
        </w:rPr>
        <w:t>, abbia individuato e determinato le somme impignorabili per avere le medesime (asseritamente) le destinazioni di cui all’art. 159 del T.U. sugli Enti locali. Ed invero, la peculiarità del giudizio d’ottemperanza - siccome esperito per l’esecuzione delle sentenze di condanna rese dal giudice ordinario nei confronti della Pubblica amministrazione - consiste proprio in ciò, che l’istante solleciti l’adozione di (ulteriori) provvedimenti necessari (in funzione conformativa per via amministrativa) a rendere concreto il contenuto della statuizione principale che contempli un obbligo fungibile di dare - provvedimenti affatto preclusi al giudice ordinario ed estranei al contenuto ed agli effetti del tipo di sentenza da costui emanata -.</w:t>
      </w:r>
      <w:r w:rsidR="00435A41">
        <w:rPr>
          <w:rFonts w:ascii="Garamond" w:hAnsi="Garamond"/>
          <w:bCs/>
          <w:i/>
          <w:sz w:val="28"/>
          <w:szCs w:val="28"/>
        </w:rPr>
        <w:t xml:space="preserve"> </w:t>
      </w:r>
      <w:r w:rsidR="00ED34A4" w:rsidRPr="000500B7">
        <w:rPr>
          <w:rFonts w:ascii="Garamond" w:hAnsi="Garamond"/>
          <w:bCs/>
          <w:i/>
          <w:sz w:val="28"/>
          <w:szCs w:val="28"/>
        </w:rPr>
        <w:t>Nel caso in esame, dunque, nulla osta a che sia fatto obbligo all’amministrazione comunale…di provvedere, nel termine di quarantacinque giorni decorrenti dalla notifica in via amministrativa della presente sentenza, al pagamento di quanto dovuto ai ricorrenti mediante:</w:t>
      </w:r>
      <w:r w:rsidR="00435A41">
        <w:rPr>
          <w:rFonts w:ascii="Garamond" w:hAnsi="Garamond"/>
          <w:bCs/>
          <w:i/>
          <w:sz w:val="28"/>
          <w:szCs w:val="28"/>
        </w:rPr>
        <w:t xml:space="preserve"> </w:t>
      </w:r>
      <w:r w:rsidR="00ED34A4" w:rsidRPr="000500B7">
        <w:rPr>
          <w:rFonts w:ascii="Garamond" w:hAnsi="Garamond"/>
          <w:bCs/>
          <w:i/>
          <w:sz w:val="28"/>
          <w:szCs w:val="28"/>
        </w:rPr>
        <w:t>a) reperimento delle necessarie somme all’interno delle disponibilità di bilancio (storni e/o variazioni, utilizzazione dell’avanzo d’amministrazione, riconoscimento di debito fuori bilancio, copertura della partita di spesa con entrata una tantum, ovvero tramite le altre procedure siccome previste dall’ordinamento contabile di settore);</w:t>
      </w:r>
      <w:r w:rsidR="00435A41">
        <w:rPr>
          <w:rFonts w:ascii="Garamond" w:hAnsi="Garamond"/>
          <w:bCs/>
          <w:i/>
          <w:sz w:val="28"/>
          <w:szCs w:val="28"/>
        </w:rPr>
        <w:t xml:space="preserve"> </w:t>
      </w:r>
      <w:r w:rsidR="00ED34A4" w:rsidRPr="000500B7">
        <w:rPr>
          <w:rFonts w:ascii="Garamond" w:hAnsi="Garamond"/>
          <w:bCs/>
          <w:i/>
          <w:sz w:val="28"/>
          <w:szCs w:val="28"/>
        </w:rPr>
        <w:t>b) iscrizione del debito in bilancio;</w:t>
      </w:r>
      <w:r w:rsidR="00435A41">
        <w:rPr>
          <w:rFonts w:ascii="Garamond" w:hAnsi="Garamond"/>
          <w:bCs/>
          <w:i/>
          <w:sz w:val="28"/>
          <w:szCs w:val="28"/>
        </w:rPr>
        <w:t xml:space="preserve"> </w:t>
      </w:r>
      <w:r w:rsidR="00ED34A4" w:rsidRPr="000500B7">
        <w:rPr>
          <w:rFonts w:ascii="Garamond" w:hAnsi="Garamond"/>
          <w:bCs/>
          <w:i/>
          <w:sz w:val="28"/>
          <w:szCs w:val="28"/>
        </w:rPr>
        <w:t xml:space="preserve">c) adozione della determinazione di spesa da parte del competente Dirigente comunale munita dell’attestazione di copertura finanziaria prevista dall’art. 51, comma 4, del d. </w:t>
      </w:r>
      <w:proofErr w:type="spellStart"/>
      <w:r w:rsidR="00ED34A4" w:rsidRPr="000500B7">
        <w:rPr>
          <w:rFonts w:ascii="Garamond" w:hAnsi="Garamond"/>
          <w:bCs/>
          <w:i/>
          <w:sz w:val="28"/>
          <w:szCs w:val="28"/>
        </w:rPr>
        <w:t>lvo</w:t>
      </w:r>
      <w:proofErr w:type="spellEnd"/>
      <w:r w:rsidR="00ED34A4" w:rsidRPr="000500B7">
        <w:rPr>
          <w:rFonts w:ascii="Garamond" w:hAnsi="Garamond"/>
          <w:bCs/>
          <w:i/>
          <w:sz w:val="28"/>
          <w:szCs w:val="28"/>
        </w:rPr>
        <w:t xml:space="preserve"> n. 267/00;</w:t>
      </w:r>
      <w:r w:rsidR="00435A41">
        <w:rPr>
          <w:rFonts w:ascii="Garamond" w:hAnsi="Garamond"/>
          <w:bCs/>
          <w:i/>
          <w:sz w:val="28"/>
          <w:szCs w:val="28"/>
        </w:rPr>
        <w:t xml:space="preserve"> </w:t>
      </w:r>
      <w:r w:rsidR="00ED34A4" w:rsidRPr="000500B7">
        <w:rPr>
          <w:rFonts w:ascii="Garamond" w:hAnsi="Garamond"/>
          <w:bCs/>
          <w:i/>
          <w:sz w:val="28"/>
          <w:szCs w:val="28"/>
        </w:rPr>
        <w:t>d) emissione dei relativi mandati di pagamento.</w:t>
      </w:r>
      <w:r w:rsidR="00435A41">
        <w:rPr>
          <w:rFonts w:ascii="Garamond" w:hAnsi="Garamond"/>
          <w:bCs/>
          <w:i/>
          <w:sz w:val="28"/>
          <w:szCs w:val="28"/>
        </w:rPr>
        <w:t xml:space="preserve"> </w:t>
      </w:r>
      <w:r w:rsidR="00ED34A4" w:rsidRPr="000500B7">
        <w:rPr>
          <w:rFonts w:ascii="Garamond" w:hAnsi="Garamond"/>
          <w:bCs/>
          <w:i/>
          <w:sz w:val="28"/>
          <w:szCs w:val="28"/>
        </w:rPr>
        <w:t xml:space="preserve">Quanto sopra, senza impingere le somme di cui alle lettere a), b) e c) del comma 2, siccome quantificate ai sensi del successivo comma 3, del </w:t>
      </w:r>
      <w:proofErr w:type="spellStart"/>
      <w:r w:rsidR="00ED34A4" w:rsidRPr="000500B7">
        <w:rPr>
          <w:rFonts w:ascii="Garamond" w:hAnsi="Garamond"/>
          <w:bCs/>
          <w:i/>
          <w:sz w:val="28"/>
          <w:szCs w:val="28"/>
        </w:rPr>
        <w:t>d.lvo</w:t>
      </w:r>
      <w:proofErr w:type="spellEnd"/>
      <w:r w:rsidR="00ED34A4" w:rsidRPr="000500B7">
        <w:rPr>
          <w:rFonts w:ascii="Garamond" w:hAnsi="Garamond"/>
          <w:bCs/>
          <w:i/>
          <w:sz w:val="28"/>
          <w:szCs w:val="28"/>
        </w:rPr>
        <w:t xml:space="preserve"> n. 267/00</w:t>
      </w:r>
      <w:r w:rsidR="00E6072A">
        <w:rPr>
          <w:rFonts w:ascii="Garamond" w:hAnsi="Garamond"/>
          <w:bCs/>
          <w:i/>
          <w:sz w:val="28"/>
          <w:szCs w:val="28"/>
        </w:rPr>
        <w:t>”</w:t>
      </w:r>
      <w:r w:rsidR="00B006D1" w:rsidRPr="000500B7">
        <w:rPr>
          <w:rFonts w:ascii="Garamond" w:hAnsi="Garamond"/>
          <w:sz w:val="28"/>
          <w:szCs w:val="28"/>
        </w:rPr>
        <w:t>.</w:t>
      </w:r>
    </w:p>
    <w:p w14:paraId="48FD571F" w14:textId="77777777" w:rsidR="00556E47" w:rsidRPr="000500B7" w:rsidRDefault="00B006D1" w:rsidP="000500B7">
      <w:pPr>
        <w:pStyle w:val="Bollo"/>
        <w:spacing w:line="360" w:lineRule="auto"/>
        <w:ind w:firstLine="709"/>
        <w:rPr>
          <w:rFonts w:ascii="Garamond" w:hAnsi="Garamond"/>
          <w:bCs/>
          <w:sz w:val="28"/>
          <w:szCs w:val="28"/>
        </w:rPr>
      </w:pPr>
      <w:r w:rsidRPr="000500B7">
        <w:rPr>
          <w:rFonts w:ascii="Garamond" w:hAnsi="Garamond"/>
          <w:sz w:val="28"/>
          <w:szCs w:val="28"/>
        </w:rPr>
        <w:t>Dalla motivazione della sentenza si ricava</w:t>
      </w:r>
      <w:r w:rsidR="00793228">
        <w:rPr>
          <w:rFonts w:ascii="Garamond" w:hAnsi="Garamond"/>
          <w:sz w:val="28"/>
          <w:szCs w:val="28"/>
        </w:rPr>
        <w:t>, inoltre,</w:t>
      </w:r>
      <w:r w:rsidR="00311F39" w:rsidRPr="000500B7">
        <w:rPr>
          <w:rFonts w:ascii="Garamond" w:hAnsi="Garamond"/>
          <w:sz w:val="28"/>
          <w:szCs w:val="28"/>
        </w:rPr>
        <w:t xml:space="preserve"> </w:t>
      </w:r>
      <w:r w:rsidRPr="000500B7">
        <w:rPr>
          <w:rFonts w:ascii="Garamond" w:hAnsi="Garamond"/>
          <w:sz w:val="28"/>
          <w:szCs w:val="28"/>
        </w:rPr>
        <w:t xml:space="preserve">come la scelta di promuovere il giudizio di ottemperanza fosse </w:t>
      </w:r>
      <w:r w:rsidR="00ED34A4" w:rsidRPr="000500B7">
        <w:rPr>
          <w:rFonts w:ascii="Garamond" w:hAnsi="Garamond"/>
          <w:sz w:val="28"/>
          <w:szCs w:val="28"/>
        </w:rPr>
        <w:t xml:space="preserve">proprio </w:t>
      </w:r>
      <w:r w:rsidRPr="000500B7">
        <w:rPr>
          <w:rFonts w:ascii="Garamond" w:hAnsi="Garamond"/>
          <w:sz w:val="28"/>
          <w:szCs w:val="28"/>
        </w:rPr>
        <w:t>giustificata dalle difficoltà riscontrate nell’utilizzo</w:t>
      </w:r>
      <w:r w:rsidR="00D07557" w:rsidRPr="000500B7">
        <w:rPr>
          <w:rFonts w:ascii="Garamond" w:hAnsi="Garamond"/>
          <w:sz w:val="28"/>
          <w:szCs w:val="28"/>
        </w:rPr>
        <w:t>, nella concreta vicenda,</w:t>
      </w:r>
      <w:r w:rsidRPr="000500B7">
        <w:rPr>
          <w:rFonts w:ascii="Garamond" w:hAnsi="Garamond"/>
          <w:sz w:val="28"/>
          <w:szCs w:val="28"/>
        </w:rPr>
        <w:t xml:space="preserve"> degli strumenti espropriativi</w:t>
      </w:r>
      <w:r w:rsidR="00C154D2" w:rsidRPr="000500B7">
        <w:rPr>
          <w:rFonts w:ascii="Garamond" w:hAnsi="Garamond"/>
          <w:sz w:val="28"/>
          <w:szCs w:val="28"/>
        </w:rPr>
        <w:t xml:space="preserve"> (</w:t>
      </w:r>
      <w:r w:rsidR="00E6072A">
        <w:rPr>
          <w:rFonts w:ascii="Garamond" w:hAnsi="Garamond" w:cstheme="minorHAnsi"/>
          <w:sz w:val="28"/>
          <w:szCs w:val="28"/>
        </w:rPr>
        <w:t>“</w:t>
      </w:r>
      <w:r w:rsidR="00C154D2" w:rsidRPr="000500B7">
        <w:rPr>
          <w:rFonts w:ascii="Garamond" w:hAnsi="Garamond"/>
          <w:bCs/>
          <w:i/>
          <w:sz w:val="28"/>
          <w:szCs w:val="28"/>
        </w:rPr>
        <w:t xml:space="preserve">Esperito infruttuosamente il precetto (ed invero, il terzo pignorato tesoriere comunale rendeva dichiarazione negativa stante l’impignorabilità delle somme che il Comune…deteneva presso la filiale: somme che, per effetto della deliberazione n…, l’Ente aveva vincolato alle destinazioni primarie di cui all’art. 159 del </w:t>
      </w:r>
      <w:proofErr w:type="spellStart"/>
      <w:r w:rsidR="00C154D2" w:rsidRPr="000500B7">
        <w:rPr>
          <w:rFonts w:ascii="Garamond" w:hAnsi="Garamond"/>
          <w:bCs/>
          <w:i/>
          <w:sz w:val="28"/>
          <w:szCs w:val="28"/>
        </w:rPr>
        <w:t>d.lvo</w:t>
      </w:r>
      <w:proofErr w:type="spellEnd"/>
      <w:r w:rsidR="00C154D2" w:rsidRPr="000500B7">
        <w:rPr>
          <w:rFonts w:ascii="Garamond" w:hAnsi="Garamond"/>
          <w:bCs/>
          <w:i/>
          <w:sz w:val="28"/>
          <w:szCs w:val="28"/>
        </w:rPr>
        <w:t xml:space="preserve"> n. 267/00) l’odierno ricorrente ha diffidato…il Comune…a dare esecuzione alla sentenza col versamento “in </w:t>
      </w:r>
      <w:proofErr w:type="spellStart"/>
      <w:r w:rsidR="00C154D2" w:rsidRPr="000500B7">
        <w:rPr>
          <w:rFonts w:ascii="Garamond" w:hAnsi="Garamond"/>
          <w:bCs/>
          <w:i/>
          <w:sz w:val="28"/>
          <w:szCs w:val="28"/>
        </w:rPr>
        <w:t>prò</w:t>
      </w:r>
      <w:proofErr w:type="spellEnd"/>
      <w:r w:rsidR="00C154D2" w:rsidRPr="000500B7">
        <w:rPr>
          <w:rFonts w:ascii="Garamond" w:hAnsi="Garamond"/>
          <w:bCs/>
          <w:i/>
          <w:sz w:val="28"/>
          <w:szCs w:val="28"/>
        </w:rPr>
        <w:t xml:space="preserve"> degli istanti della somma di € 240.822,87, oltre interessi e rivalutazione maturatasi successivamente al 19/2/02 e sino al soddisfo, più IVA e </w:t>
      </w:r>
      <w:proofErr w:type="spellStart"/>
      <w:r w:rsidR="00C154D2" w:rsidRPr="000500B7">
        <w:rPr>
          <w:rFonts w:ascii="Garamond" w:hAnsi="Garamond"/>
          <w:bCs/>
          <w:i/>
          <w:sz w:val="28"/>
          <w:szCs w:val="28"/>
        </w:rPr>
        <w:t>c.a.p.</w:t>
      </w:r>
      <w:proofErr w:type="spellEnd"/>
      <w:r w:rsidR="00C154D2" w:rsidRPr="000500B7">
        <w:rPr>
          <w:rFonts w:ascii="Garamond" w:hAnsi="Garamond"/>
          <w:bCs/>
          <w:i/>
          <w:sz w:val="28"/>
          <w:szCs w:val="28"/>
        </w:rPr>
        <w:t>” avvertendo l’Ente intimato che in difetto si sarebbe adito il giudice amministrativo per ottenere specifica ottemperanza alla decisione del giudice ordinario anche mediante nomina di commissario ad acta cui assegnare il compito di iscrivere in bilancio le somme dovute agli odierni istanti.</w:t>
      </w:r>
      <w:r w:rsidR="004B2FA7" w:rsidRPr="000500B7">
        <w:rPr>
          <w:rFonts w:ascii="Garamond" w:hAnsi="Garamond"/>
          <w:bCs/>
          <w:i/>
          <w:sz w:val="28"/>
          <w:szCs w:val="28"/>
        </w:rPr>
        <w:t xml:space="preserve"> </w:t>
      </w:r>
      <w:r w:rsidR="00C154D2" w:rsidRPr="000500B7">
        <w:rPr>
          <w:rFonts w:ascii="Garamond" w:hAnsi="Garamond"/>
          <w:bCs/>
          <w:i/>
          <w:sz w:val="28"/>
          <w:szCs w:val="28"/>
        </w:rPr>
        <w:t>L’Amministrazione intimata non ha inteso dare esecuzione al provvedimento giudiziario né a seguito di notifica in forma esecutiva dello stesso, con pedissequo precetto, né a seguito dell’atto di diffida e messa in mora</w:t>
      </w:r>
      <w:r w:rsidR="00ED34A4" w:rsidRPr="000500B7">
        <w:rPr>
          <w:rFonts w:ascii="Garamond" w:hAnsi="Garamond"/>
          <w:bCs/>
          <w:i/>
          <w:sz w:val="28"/>
          <w:szCs w:val="28"/>
        </w:rPr>
        <w:t>.</w:t>
      </w:r>
      <w:r w:rsidR="00ED34A4" w:rsidRPr="000500B7">
        <w:rPr>
          <w:rFonts w:ascii="Garamond" w:hAnsi="Garamond"/>
          <w:bCs/>
          <w:sz w:val="28"/>
          <w:szCs w:val="28"/>
        </w:rPr>
        <w:t xml:space="preserve"> </w:t>
      </w:r>
      <w:r w:rsidR="00ED34A4" w:rsidRPr="000500B7">
        <w:rPr>
          <w:rFonts w:ascii="Garamond" w:hAnsi="Garamond"/>
          <w:bCs/>
          <w:i/>
          <w:sz w:val="28"/>
          <w:szCs w:val="28"/>
        </w:rPr>
        <w:t>Di qui l’odierno ricorso</w:t>
      </w:r>
      <w:r w:rsidR="00ED34A4" w:rsidRPr="000500B7">
        <w:rPr>
          <w:rFonts w:ascii="Garamond" w:hAnsi="Garamond" w:cstheme="minorHAnsi"/>
          <w:sz w:val="28"/>
          <w:szCs w:val="28"/>
        </w:rPr>
        <w:t>…</w:t>
      </w:r>
      <w:r w:rsidR="00E6072A">
        <w:rPr>
          <w:rFonts w:ascii="Garamond" w:hAnsi="Garamond" w:cstheme="minorHAnsi"/>
          <w:sz w:val="28"/>
          <w:szCs w:val="28"/>
        </w:rPr>
        <w:t>”</w:t>
      </w:r>
      <w:r w:rsidR="00C154D2" w:rsidRPr="000500B7">
        <w:rPr>
          <w:rFonts w:ascii="Garamond" w:hAnsi="Garamond"/>
          <w:sz w:val="28"/>
          <w:szCs w:val="28"/>
        </w:rPr>
        <w:t>)</w:t>
      </w:r>
      <w:r w:rsidR="00311F39" w:rsidRPr="000500B7">
        <w:rPr>
          <w:rFonts w:ascii="Garamond" w:hAnsi="Garamond"/>
          <w:sz w:val="28"/>
          <w:szCs w:val="28"/>
        </w:rPr>
        <w:t xml:space="preserve">. </w:t>
      </w:r>
      <w:r w:rsidR="00D07557" w:rsidRPr="000500B7">
        <w:rPr>
          <w:rFonts w:ascii="Garamond" w:hAnsi="Garamond"/>
          <w:sz w:val="28"/>
          <w:szCs w:val="28"/>
        </w:rPr>
        <w:t>Problematica, questa</w:t>
      </w:r>
      <w:r w:rsidR="004C2E7C" w:rsidRPr="000500B7">
        <w:rPr>
          <w:rFonts w:ascii="Garamond" w:hAnsi="Garamond"/>
          <w:sz w:val="28"/>
          <w:szCs w:val="28"/>
        </w:rPr>
        <w:t xml:space="preserve"> della limitata proficuità della esecuzione civile nei confronti della pubblica amministrazione,</w:t>
      </w:r>
      <w:r w:rsidR="00D07557" w:rsidRPr="000500B7">
        <w:rPr>
          <w:rFonts w:ascii="Garamond" w:hAnsi="Garamond"/>
          <w:sz w:val="28"/>
          <w:szCs w:val="28"/>
        </w:rPr>
        <w:t xml:space="preserve"> ancora attuale e che </w:t>
      </w:r>
      <w:r w:rsidR="00311F39" w:rsidRPr="000500B7">
        <w:rPr>
          <w:rFonts w:ascii="Garamond" w:hAnsi="Garamond"/>
          <w:sz w:val="28"/>
          <w:szCs w:val="28"/>
        </w:rPr>
        <w:t>dovrebbe indurre</w:t>
      </w:r>
      <w:r w:rsidR="00905851" w:rsidRPr="000500B7">
        <w:rPr>
          <w:rFonts w:ascii="Garamond" w:hAnsi="Garamond"/>
          <w:sz w:val="28"/>
          <w:szCs w:val="28"/>
        </w:rPr>
        <w:t xml:space="preserve"> il legislatore</w:t>
      </w:r>
      <w:r w:rsidR="00311F39" w:rsidRPr="000500B7">
        <w:rPr>
          <w:rFonts w:ascii="Garamond" w:hAnsi="Garamond"/>
          <w:sz w:val="28"/>
          <w:szCs w:val="28"/>
        </w:rPr>
        <w:t xml:space="preserve"> ad una</w:t>
      </w:r>
      <w:r w:rsidR="00D07557" w:rsidRPr="000500B7">
        <w:rPr>
          <w:rFonts w:ascii="Garamond" w:hAnsi="Garamond"/>
          <w:sz w:val="28"/>
          <w:szCs w:val="28"/>
        </w:rPr>
        <w:t xml:space="preserve"> rinnovata</w:t>
      </w:r>
      <w:r w:rsidR="00311F39" w:rsidRPr="000500B7">
        <w:rPr>
          <w:rFonts w:ascii="Garamond" w:hAnsi="Garamond"/>
          <w:sz w:val="28"/>
          <w:szCs w:val="28"/>
        </w:rPr>
        <w:t xml:space="preserve"> riflessione</w:t>
      </w:r>
      <w:r w:rsidR="00D07557" w:rsidRPr="000500B7">
        <w:rPr>
          <w:rFonts w:ascii="Garamond" w:hAnsi="Garamond"/>
          <w:sz w:val="28"/>
          <w:szCs w:val="28"/>
        </w:rPr>
        <w:t xml:space="preserve"> in materia</w:t>
      </w:r>
      <w:r w:rsidR="00905851" w:rsidRPr="000500B7">
        <w:rPr>
          <w:rFonts w:ascii="Garamond" w:hAnsi="Garamond"/>
          <w:sz w:val="28"/>
          <w:szCs w:val="28"/>
        </w:rPr>
        <w:t xml:space="preserve"> e </w:t>
      </w:r>
      <w:r w:rsidR="00905851" w:rsidRPr="008F319C">
        <w:rPr>
          <w:rFonts w:ascii="Garamond" w:hAnsi="Garamond"/>
          <w:sz w:val="28"/>
          <w:szCs w:val="28"/>
        </w:rPr>
        <w:t>a</w:t>
      </w:r>
      <w:r w:rsidR="00695C65" w:rsidRPr="008F319C">
        <w:rPr>
          <w:rFonts w:ascii="Garamond" w:hAnsi="Garamond"/>
          <w:sz w:val="28"/>
          <w:szCs w:val="28"/>
        </w:rPr>
        <w:t>d affrancare</w:t>
      </w:r>
      <w:r w:rsidR="00EC3BC8" w:rsidRPr="008F319C">
        <w:rPr>
          <w:rFonts w:ascii="Garamond" w:hAnsi="Garamond"/>
          <w:sz w:val="28"/>
          <w:szCs w:val="28"/>
        </w:rPr>
        <w:t>,</w:t>
      </w:r>
      <w:r w:rsidR="00EC3BC8">
        <w:rPr>
          <w:rFonts w:ascii="Garamond" w:hAnsi="Garamond"/>
          <w:sz w:val="28"/>
          <w:szCs w:val="28"/>
        </w:rPr>
        <w:t xml:space="preserve"> anche relativamente alle sentenze del giudice civile,</w:t>
      </w:r>
      <w:r w:rsidR="00695C65" w:rsidRPr="000500B7">
        <w:rPr>
          <w:rFonts w:ascii="Garamond" w:hAnsi="Garamond"/>
          <w:sz w:val="28"/>
          <w:szCs w:val="28"/>
        </w:rPr>
        <w:t xml:space="preserve"> l’utilizzabilità dello strumento dell’ottemperanza dal crisma del giudicato</w:t>
      </w:r>
      <w:r w:rsidR="00D07557" w:rsidRPr="000500B7">
        <w:rPr>
          <w:rFonts w:ascii="Garamond" w:hAnsi="Garamond"/>
          <w:sz w:val="28"/>
          <w:szCs w:val="28"/>
        </w:rPr>
        <w:t>.</w:t>
      </w:r>
      <w:r w:rsidR="00311F39" w:rsidRPr="000500B7">
        <w:rPr>
          <w:rFonts w:ascii="Garamond" w:hAnsi="Garamond"/>
          <w:sz w:val="28"/>
          <w:szCs w:val="28"/>
        </w:rPr>
        <w:t xml:space="preserve"> </w:t>
      </w:r>
      <w:r w:rsidRPr="000500B7">
        <w:rPr>
          <w:rFonts w:ascii="Garamond" w:hAnsi="Garamond"/>
          <w:sz w:val="28"/>
          <w:szCs w:val="28"/>
        </w:rPr>
        <w:t xml:space="preserve"> </w:t>
      </w:r>
      <w:r w:rsidR="00061209" w:rsidRPr="000500B7">
        <w:rPr>
          <w:rFonts w:ascii="Garamond" w:hAnsi="Garamond"/>
          <w:sz w:val="28"/>
          <w:szCs w:val="28"/>
        </w:rPr>
        <w:t xml:space="preserve"> </w:t>
      </w:r>
      <w:r w:rsidR="00EC765F" w:rsidRPr="000500B7">
        <w:rPr>
          <w:rFonts w:ascii="Garamond" w:hAnsi="Garamond"/>
          <w:sz w:val="28"/>
          <w:szCs w:val="28"/>
        </w:rPr>
        <w:t xml:space="preserve"> </w:t>
      </w:r>
      <w:r w:rsidR="00556E47" w:rsidRPr="000500B7">
        <w:rPr>
          <w:rFonts w:ascii="Garamond" w:hAnsi="Garamond"/>
          <w:sz w:val="28"/>
          <w:szCs w:val="28"/>
        </w:rPr>
        <w:t xml:space="preserve"> </w:t>
      </w:r>
    </w:p>
    <w:p w14:paraId="3A041109" w14:textId="77777777" w:rsidR="00BE3D8B" w:rsidRPr="000500B7" w:rsidRDefault="0052507E" w:rsidP="000500B7">
      <w:pPr>
        <w:spacing w:after="0" w:line="360" w:lineRule="auto"/>
        <w:ind w:firstLine="709"/>
        <w:jc w:val="both"/>
        <w:rPr>
          <w:rFonts w:ascii="Garamond" w:hAnsi="Garamond"/>
          <w:sz w:val="28"/>
          <w:szCs w:val="28"/>
        </w:rPr>
      </w:pPr>
      <w:r>
        <w:rPr>
          <w:rFonts w:ascii="Garamond" w:hAnsi="Garamond"/>
          <w:sz w:val="28"/>
          <w:szCs w:val="28"/>
        </w:rPr>
        <w:t>Ed invero, l</w:t>
      </w:r>
      <w:r w:rsidR="00BE3D8B" w:rsidRPr="000500B7">
        <w:rPr>
          <w:rFonts w:ascii="Garamond" w:hAnsi="Garamond"/>
          <w:sz w:val="28"/>
          <w:szCs w:val="28"/>
        </w:rPr>
        <w:t>’esistenza della</w:t>
      </w:r>
      <w:r w:rsidR="0063195D" w:rsidRPr="000500B7">
        <w:rPr>
          <w:rFonts w:ascii="Garamond" w:hAnsi="Garamond"/>
          <w:sz w:val="28"/>
          <w:szCs w:val="28"/>
        </w:rPr>
        <w:t xml:space="preserve"> barriera </w:t>
      </w:r>
      <w:r w:rsidR="00BE3D8B" w:rsidRPr="000500B7">
        <w:rPr>
          <w:rFonts w:ascii="Garamond" w:hAnsi="Garamond"/>
          <w:sz w:val="28"/>
          <w:szCs w:val="28"/>
        </w:rPr>
        <w:t>(</w:t>
      </w:r>
      <w:r w:rsidR="00C44782" w:rsidRPr="000500B7">
        <w:rPr>
          <w:rFonts w:ascii="Garamond" w:hAnsi="Garamond"/>
          <w:sz w:val="28"/>
          <w:szCs w:val="28"/>
        </w:rPr>
        <w:t xml:space="preserve">purtroppo </w:t>
      </w:r>
      <w:r w:rsidR="00556E47" w:rsidRPr="000500B7">
        <w:rPr>
          <w:rFonts w:ascii="Garamond" w:hAnsi="Garamond"/>
          <w:sz w:val="28"/>
          <w:szCs w:val="28"/>
        </w:rPr>
        <w:t xml:space="preserve">difficilmente </w:t>
      </w:r>
      <w:r w:rsidR="0063195D" w:rsidRPr="000500B7">
        <w:rPr>
          <w:rFonts w:ascii="Garamond" w:hAnsi="Garamond"/>
          <w:sz w:val="28"/>
          <w:szCs w:val="28"/>
        </w:rPr>
        <w:t>superabile</w:t>
      </w:r>
      <w:r w:rsidR="00556E47" w:rsidRPr="000500B7">
        <w:rPr>
          <w:rFonts w:ascii="Garamond" w:hAnsi="Garamond"/>
          <w:sz w:val="28"/>
          <w:szCs w:val="28"/>
        </w:rPr>
        <w:t xml:space="preserve"> in via ermeneutica</w:t>
      </w:r>
      <w:r w:rsidR="002E74A8" w:rsidRPr="000500B7">
        <w:rPr>
          <w:rStyle w:val="Rimandonotaapidipagina"/>
          <w:rFonts w:ascii="Garamond" w:hAnsi="Garamond"/>
          <w:sz w:val="28"/>
          <w:szCs w:val="28"/>
        </w:rPr>
        <w:footnoteReference w:id="9"/>
      </w:r>
      <w:r w:rsidR="00BE3D8B" w:rsidRPr="000500B7">
        <w:rPr>
          <w:rFonts w:ascii="Garamond" w:hAnsi="Garamond"/>
          <w:sz w:val="28"/>
          <w:szCs w:val="28"/>
        </w:rPr>
        <w:t>)</w:t>
      </w:r>
      <w:r w:rsidR="0063195D" w:rsidRPr="000500B7">
        <w:rPr>
          <w:rFonts w:ascii="Garamond" w:hAnsi="Garamond"/>
          <w:sz w:val="28"/>
          <w:szCs w:val="28"/>
        </w:rPr>
        <w:t xml:space="preserve"> </w:t>
      </w:r>
      <w:r w:rsidR="00BE3D8B" w:rsidRPr="000500B7">
        <w:rPr>
          <w:rFonts w:ascii="Garamond" w:hAnsi="Garamond"/>
          <w:sz w:val="28"/>
          <w:szCs w:val="28"/>
        </w:rPr>
        <w:t>costitui</w:t>
      </w:r>
      <w:r w:rsidR="0063195D" w:rsidRPr="000500B7">
        <w:rPr>
          <w:rFonts w:ascii="Garamond" w:hAnsi="Garamond"/>
          <w:sz w:val="28"/>
          <w:szCs w:val="28"/>
        </w:rPr>
        <w:t>ta dalla formazione del giudica</w:t>
      </w:r>
      <w:r w:rsidR="00BE3D8B" w:rsidRPr="000500B7">
        <w:rPr>
          <w:rFonts w:ascii="Garamond" w:hAnsi="Garamond"/>
          <w:sz w:val="28"/>
          <w:szCs w:val="28"/>
        </w:rPr>
        <w:t>to appare in contrasto con</w:t>
      </w:r>
      <w:r w:rsidR="002E74A8" w:rsidRPr="000500B7">
        <w:rPr>
          <w:rFonts w:ascii="Garamond" w:hAnsi="Garamond"/>
          <w:sz w:val="28"/>
          <w:szCs w:val="28"/>
        </w:rPr>
        <w:t xml:space="preserve"> i</w:t>
      </w:r>
      <w:r w:rsidR="007520BE" w:rsidRPr="000500B7">
        <w:rPr>
          <w:rFonts w:ascii="Garamond" w:hAnsi="Garamond"/>
          <w:sz w:val="28"/>
          <w:szCs w:val="28"/>
        </w:rPr>
        <w:t>l</w:t>
      </w:r>
      <w:r w:rsidR="002E74A8" w:rsidRPr="000500B7">
        <w:rPr>
          <w:rFonts w:ascii="Garamond" w:hAnsi="Garamond"/>
          <w:sz w:val="28"/>
          <w:szCs w:val="28"/>
        </w:rPr>
        <w:t xml:space="preserve"> principi</w:t>
      </w:r>
      <w:r w:rsidR="007520BE" w:rsidRPr="000500B7">
        <w:rPr>
          <w:rFonts w:ascii="Garamond" w:hAnsi="Garamond"/>
          <w:sz w:val="28"/>
          <w:szCs w:val="28"/>
        </w:rPr>
        <w:t>o di</w:t>
      </w:r>
      <w:r w:rsidR="002E74A8" w:rsidRPr="000500B7">
        <w:rPr>
          <w:rFonts w:ascii="Garamond" w:hAnsi="Garamond"/>
          <w:sz w:val="28"/>
          <w:szCs w:val="28"/>
        </w:rPr>
        <w:t xml:space="preserve"> ragionevolezza</w:t>
      </w:r>
      <w:r w:rsidR="007520BE" w:rsidRPr="000500B7">
        <w:rPr>
          <w:rFonts w:ascii="Garamond" w:hAnsi="Garamond"/>
          <w:sz w:val="28"/>
          <w:szCs w:val="28"/>
        </w:rPr>
        <w:t xml:space="preserve"> che costituisce, come è noto, una componente strutturale del principio di uguaglianza</w:t>
      </w:r>
      <w:r w:rsidR="00BE3D8B" w:rsidRPr="000500B7">
        <w:rPr>
          <w:rFonts w:ascii="Garamond" w:hAnsi="Garamond"/>
          <w:sz w:val="28"/>
          <w:szCs w:val="28"/>
        </w:rPr>
        <w:t xml:space="preserve"> sancit</w:t>
      </w:r>
      <w:r w:rsidR="007520BE" w:rsidRPr="000500B7">
        <w:rPr>
          <w:rFonts w:ascii="Garamond" w:hAnsi="Garamond"/>
          <w:sz w:val="28"/>
          <w:szCs w:val="28"/>
        </w:rPr>
        <w:t>o</w:t>
      </w:r>
      <w:r w:rsidR="00BE3D8B" w:rsidRPr="000500B7">
        <w:rPr>
          <w:rFonts w:ascii="Garamond" w:hAnsi="Garamond"/>
          <w:sz w:val="28"/>
          <w:szCs w:val="28"/>
        </w:rPr>
        <w:t xml:space="preserve"> dall’art. 3 della Costituzione.</w:t>
      </w:r>
    </w:p>
    <w:p w14:paraId="490E58C4" w14:textId="77777777" w:rsidR="00304338" w:rsidRPr="000500B7" w:rsidRDefault="00BE3D8B" w:rsidP="000500B7">
      <w:pPr>
        <w:spacing w:after="0" w:line="360" w:lineRule="auto"/>
        <w:ind w:firstLine="709"/>
        <w:jc w:val="both"/>
        <w:rPr>
          <w:rFonts w:ascii="Garamond" w:hAnsi="Garamond"/>
          <w:sz w:val="28"/>
          <w:szCs w:val="28"/>
        </w:rPr>
      </w:pPr>
      <w:r w:rsidRPr="000500B7">
        <w:rPr>
          <w:rFonts w:ascii="Garamond" w:hAnsi="Garamond"/>
          <w:sz w:val="28"/>
          <w:szCs w:val="28"/>
        </w:rPr>
        <w:t>Giova,</w:t>
      </w:r>
      <w:r w:rsidR="002E74A8" w:rsidRPr="000500B7">
        <w:rPr>
          <w:rFonts w:ascii="Garamond" w:hAnsi="Garamond"/>
          <w:sz w:val="28"/>
          <w:szCs w:val="28"/>
        </w:rPr>
        <w:t xml:space="preserve"> invero, ricordare che, nel sistema del processo amministrativo, l’azione di ottemperanza può essere esperita</w:t>
      </w:r>
      <w:r w:rsidR="001D7A41" w:rsidRPr="000500B7">
        <w:rPr>
          <w:rFonts w:ascii="Garamond" w:hAnsi="Garamond"/>
          <w:sz w:val="28"/>
          <w:szCs w:val="28"/>
        </w:rPr>
        <w:t xml:space="preserve">, </w:t>
      </w:r>
      <w:r w:rsidR="008E262F" w:rsidRPr="000500B7">
        <w:rPr>
          <w:rFonts w:ascii="Garamond" w:hAnsi="Garamond"/>
          <w:sz w:val="28"/>
          <w:szCs w:val="28"/>
        </w:rPr>
        <w:t>sia in materia di interessi legittimi che</w:t>
      </w:r>
      <w:r w:rsidR="001D7A41" w:rsidRPr="000500B7">
        <w:rPr>
          <w:rFonts w:ascii="Garamond" w:hAnsi="Garamond"/>
          <w:sz w:val="28"/>
          <w:szCs w:val="28"/>
        </w:rPr>
        <w:t xml:space="preserve"> nell’ambito della giurisdizione esclusiva su diritti soggettivi,</w:t>
      </w:r>
      <w:r w:rsidR="002E74A8" w:rsidRPr="000500B7">
        <w:rPr>
          <w:rFonts w:ascii="Garamond" w:hAnsi="Garamond"/>
          <w:sz w:val="28"/>
          <w:szCs w:val="28"/>
        </w:rPr>
        <w:t xml:space="preserve"> </w:t>
      </w:r>
      <w:r w:rsidR="001D7A41" w:rsidRPr="000500B7">
        <w:rPr>
          <w:rFonts w:ascii="Garamond" w:hAnsi="Garamond"/>
          <w:sz w:val="28"/>
          <w:szCs w:val="28"/>
        </w:rPr>
        <w:t>pur</w:t>
      </w:r>
      <w:r w:rsidR="002E74A8" w:rsidRPr="000500B7">
        <w:rPr>
          <w:rFonts w:ascii="Garamond" w:hAnsi="Garamond"/>
          <w:sz w:val="28"/>
          <w:szCs w:val="28"/>
        </w:rPr>
        <w:t>e per ottenere l’attuazione di sentenze “meramente” esecutive</w:t>
      </w:r>
      <w:r w:rsidR="00A80382" w:rsidRPr="000500B7">
        <w:rPr>
          <w:rFonts w:ascii="Garamond" w:hAnsi="Garamond"/>
          <w:sz w:val="28"/>
          <w:szCs w:val="28"/>
        </w:rPr>
        <w:t xml:space="preserve"> (</w:t>
      </w:r>
      <w:r w:rsidR="00A80382" w:rsidRPr="008F319C">
        <w:rPr>
          <w:rFonts w:ascii="Garamond" w:hAnsi="Garamond"/>
          <w:sz w:val="28"/>
          <w:szCs w:val="28"/>
        </w:rPr>
        <w:t>si veda l’art. 112, comma 2, lett. b, del</w:t>
      </w:r>
      <w:r w:rsidR="00A80382" w:rsidRPr="000500B7">
        <w:rPr>
          <w:rFonts w:ascii="Garamond" w:hAnsi="Garamond"/>
          <w:sz w:val="28"/>
          <w:szCs w:val="28"/>
        </w:rPr>
        <w:t xml:space="preserve"> codice del processo amministrativo</w:t>
      </w:r>
      <w:r w:rsidR="00905851" w:rsidRPr="000500B7">
        <w:rPr>
          <w:rStyle w:val="Rimandonotaapidipagina"/>
          <w:rFonts w:ascii="Garamond" w:hAnsi="Garamond"/>
          <w:sz w:val="28"/>
          <w:szCs w:val="28"/>
        </w:rPr>
        <w:footnoteReference w:id="10"/>
      </w:r>
      <w:r w:rsidR="00A80382" w:rsidRPr="000500B7">
        <w:rPr>
          <w:rFonts w:ascii="Garamond" w:hAnsi="Garamond"/>
          <w:sz w:val="28"/>
          <w:szCs w:val="28"/>
        </w:rPr>
        <w:t>, e, prima dell’entrata in vigore di detto codice, l’art. 33, comma 5, l. n. 1034/1971, aggiunto dall’art. 10, comma</w:t>
      </w:r>
      <w:r w:rsidR="00CA165C" w:rsidRPr="000500B7">
        <w:rPr>
          <w:rFonts w:ascii="Garamond" w:hAnsi="Garamond"/>
          <w:sz w:val="28"/>
          <w:szCs w:val="28"/>
        </w:rPr>
        <w:t xml:space="preserve"> </w:t>
      </w:r>
      <w:r w:rsidR="00A80382" w:rsidRPr="000500B7">
        <w:rPr>
          <w:rFonts w:ascii="Garamond" w:hAnsi="Garamond"/>
          <w:sz w:val="28"/>
          <w:szCs w:val="28"/>
        </w:rPr>
        <w:t>1 , l. 21 luglio 2000, n. 205)</w:t>
      </w:r>
      <w:r w:rsidR="002E74A8" w:rsidRPr="000500B7">
        <w:rPr>
          <w:rFonts w:ascii="Garamond" w:hAnsi="Garamond"/>
          <w:sz w:val="28"/>
          <w:szCs w:val="28"/>
        </w:rPr>
        <w:t xml:space="preserve">. In tale sistema, dunque, il giudicato non costituisce presupposto per l’attivazione del procedimento di esecuzione </w:t>
      </w:r>
      <w:r w:rsidR="002E74A8" w:rsidRPr="000500B7">
        <w:rPr>
          <w:rFonts w:ascii="Garamond" w:hAnsi="Garamond"/>
          <w:i/>
          <w:sz w:val="28"/>
          <w:szCs w:val="28"/>
        </w:rPr>
        <w:t>de quo</w:t>
      </w:r>
      <w:r w:rsidR="002E74A8" w:rsidRPr="000500B7">
        <w:rPr>
          <w:rFonts w:ascii="Garamond" w:hAnsi="Garamond"/>
          <w:sz w:val="28"/>
          <w:szCs w:val="28"/>
        </w:rPr>
        <w:t>.</w:t>
      </w:r>
    </w:p>
    <w:p w14:paraId="46703085" w14:textId="77777777" w:rsidR="00304338" w:rsidRPr="000500B7" w:rsidRDefault="001D7A41" w:rsidP="000500B7">
      <w:pPr>
        <w:spacing w:after="0" w:line="360" w:lineRule="auto"/>
        <w:ind w:firstLine="709"/>
        <w:jc w:val="both"/>
        <w:rPr>
          <w:rFonts w:ascii="Garamond" w:hAnsi="Garamond"/>
          <w:sz w:val="28"/>
          <w:szCs w:val="28"/>
        </w:rPr>
      </w:pPr>
      <w:r w:rsidRPr="000500B7">
        <w:rPr>
          <w:rFonts w:ascii="Garamond" w:hAnsi="Garamond"/>
          <w:sz w:val="28"/>
          <w:szCs w:val="28"/>
        </w:rPr>
        <w:t>Ne consegue che, nel medesimo campo della tutela dei diritti soggettivi, sussistono due diversi regimi</w:t>
      </w:r>
      <w:r w:rsidR="00304338" w:rsidRPr="000500B7">
        <w:rPr>
          <w:rFonts w:ascii="Garamond" w:hAnsi="Garamond"/>
          <w:sz w:val="28"/>
          <w:szCs w:val="28"/>
        </w:rPr>
        <w:t>; l’uno che permette alla parte che ha ottenuto, nel giudizio amministrativo, un</w:t>
      </w:r>
      <w:r w:rsidR="00264E37" w:rsidRPr="000500B7">
        <w:rPr>
          <w:rFonts w:ascii="Garamond" w:hAnsi="Garamond"/>
          <w:sz w:val="28"/>
          <w:szCs w:val="28"/>
        </w:rPr>
        <w:t>a sentenza esecutiva</w:t>
      </w:r>
      <w:r w:rsidR="00304338" w:rsidRPr="000500B7">
        <w:rPr>
          <w:rFonts w:ascii="Garamond" w:hAnsi="Garamond"/>
          <w:sz w:val="28"/>
          <w:szCs w:val="28"/>
        </w:rPr>
        <w:t xml:space="preserve"> di servirsi degli incisivi strumenti propri dell’ottemperanza, e l’altro che, invece, nega tale efficace tutela esecutiva</w:t>
      </w:r>
      <w:r w:rsidR="00D93DDC" w:rsidRPr="000500B7">
        <w:rPr>
          <w:rFonts w:ascii="Garamond" w:hAnsi="Garamond"/>
          <w:sz w:val="28"/>
          <w:szCs w:val="28"/>
        </w:rPr>
        <w:t>, con compressione del principio di effettività della tutela giurisdizionale,</w:t>
      </w:r>
      <w:r w:rsidR="00304338" w:rsidRPr="000500B7">
        <w:rPr>
          <w:rFonts w:ascii="Garamond" w:hAnsi="Garamond"/>
          <w:sz w:val="28"/>
          <w:szCs w:val="28"/>
        </w:rPr>
        <w:t xml:space="preserve"> a chi sia in possesso di un analogo titolo giudiziale formatosi nel processo civile.</w:t>
      </w:r>
    </w:p>
    <w:p w14:paraId="59022592" w14:textId="77777777" w:rsidR="007520BE" w:rsidRPr="000500B7" w:rsidRDefault="002E74A8" w:rsidP="000500B7">
      <w:pPr>
        <w:spacing w:after="0" w:line="360" w:lineRule="auto"/>
        <w:ind w:firstLine="709"/>
        <w:jc w:val="both"/>
        <w:rPr>
          <w:rFonts w:ascii="Garamond" w:hAnsi="Garamond"/>
          <w:sz w:val="28"/>
          <w:szCs w:val="28"/>
        </w:rPr>
      </w:pPr>
      <w:r w:rsidRPr="000500B7">
        <w:rPr>
          <w:rFonts w:ascii="Garamond" w:hAnsi="Garamond"/>
          <w:sz w:val="28"/>
          <w:szCs w:val="28"/>
        </w:rPr>
        <w:t xml:space="preserve">La </w:t>
      </w:r>
      <w:r w:rsidR="007520BE" w:rsidRPr="000500B7">
        <w:rPr>
          <w:rFonts w:ascii="Garamond" w:hAnsi="Garamond"/>
          <w:sz w:val="28"/>
          <w:szCs w:val="28"/>
        </w:rPr>
        <w:t xml:space="preserve">disarmonia sistematica </w:t>
      </w:r>
      <w:r w:rsidRPr="000500B7">
        <w:rPr>
          <w:rFonts w:ascii="Garamond" w:hAnsi="Garamond"/>
          <w:sz w:val="28"/>
          <w:szCs w:val="28"/>
        </w:rPr>
        <w:t>è evidente</w:t>
      </w:r>
      <w:r w:rsidR="007520BE" w:rsidRPr="000500B7">
        <w:rPr>
          <w:rFonts w:ascii="Garamond" w:hAnsi="Garamond"/>
          <w:sz w:val="28"/>
          <w:szCs w:val="28"/>
        </w:rPr>
        <w:t xml:space="preserve">. </w:t>
      </w:r>
      <w:proofErr w:type="gramStart"/>
      <w:r w:rsidR="007520BE" w:rsidRPr="000500B7">
        <w:rPr>
          <w:rFonts w:ascii="Garamond" w:hAnsi="Garamond"/>
          <w:sz w:val="28"/>
          <w:szCs w:val="28"/>
        </w:rPr>
        <w:t>E</w:t>
      </w:r>
      <w:proofErr w:type="gramEnd"/>
      <w:r w:rsidR="007520BE" w:rsidRPr="000500B7">
        <w:rPr>
          <w:rFonts w:ascii="Garamond" w:hAnsi="Garamond"/>
          <w:sz w:val="28"/>
          <w:szCs w:val="28"/>
        </w:rPr>
        <w:t xml:space="preserve"> trattasi di una disarmonia che determina una disparità di trattamento non giustificabile</w:t>
      </w:r>
      <w:r w:rsidR="00BD624F" w:rsidRPr="000500B7">
        <w:rPr>
          <w:rFonts w:ascii="Garamond" w:hAnsi="Garamond"/>
          <w:sz w:val="28"/>
          <w:szCs w:val="28"/>
        </w:rPr>
        <w:t>, e perciò incostituzionale,</w:t>
      </w:r>
      <w:r w:rsidR="00303779" w:rsidRPr="000500B7">
        <w:rPr>
          <w:rFonts w:ascii="Garamond" w:hAnsi="Garamond"/>
          <w:sz w:val="28"/>
          <w:szCs w:val="28"/>
        </w:rPr>
        <w:t xml:space="preserve"> in quanto</w:t>
      </w:r>
      <w:r w:rsidR="007520BE" w:rsidRPr="000500B7">
        <w:rPr>
          <w:rFonts w:ascii="Garamond" w:hAnsi="Garamond"/>
          <w:sz w:val="28"/>
          <w:szCs w:val="28"/>
        </w:rPr>
        <w:t xml:space="preserve"> fondata esclusivamente sulla diversità della provenie</w:t>
      </w:r>
      <w:r w:rsidR="00303779" w:rsidRPr="000500B7">
        <w:rPr>
          <w:rFonts w:ascii="Garamond" w:hAnsi="Garamond"/>
          <w:sz w:val="28"/>
          <w:szCs w:val="28"/>
        </w:rPr>
        <w:t>n</w:t>
      </w:r>
      <w:r w:rsidR="008E0E99" w:rsidRPr="000500B7">
        <w:rPr>
          <w:rFonts w:ascii="Garamond" w:hAnsi="Garamond"/>
          <w:sz w:val="28"/>
          <w:szCs w:val="28"/>
        </w:rPr>
        <w:t xml:space="preserve">za dei titoli azionati, </w:t>
      </w:r>
      <w:r w:rsidR="00BD624F" w:rsidRPr="000500B7">
        <w:rPr>
          <w:rFonts w:ascii="Garamond" w:hAnsi="Garamond"/>
          <w:sz w:val="28"/>
          <w:szCs w:val="28"/>
        </w:rPr>
        <w:t>tenuto conto che detti titoli</w:t>
      </w:r>
      <w:r w:rsidR="008E0E99" w:rsidRPr="000500B7">
        <w:rPr>
          <w:rFonts w:ascii="Garamond" w:hAnsi="Garamond"/>
          <w:sz w:val="28"/>
          <w:szCs w:val="28"/>
        </w:rPr>
        <w:t>, da un punto di vista ontologico, non presentano alcuna di</w:t>
      </w:r>
      <w:r w:rsidR="002A13BE" w:rsidRPr="000500B7">
        <w:rPr>
          <w:rFonts w:ascii="Garamond" w:hAnsi="Garamond"/>
          <w:sz w:val="28"/>
          <w:szCs w:val="28"/>
        </w:rPr>
        <w:t>fferenza</w:t>
      </w:r>
      <w:r w:rsidR="007520BE" w:rsidRPr="000500B7">
        <w:rPr>
          <w:rFonts w:ascii="Garamond" w:hAnsi="Garamond"/>
          <w:sz w:val="28"/>
          <w:szCs w:val="28"/>
        </w:rPr>
        <w:t>.</w:t>
      </w:r>
    </w:p>
    <w:p w14:paraId="42684847" w14:textId="77777777" w:rsidR="008E0E99" w:rsidRPr="000500B7" w:rsidRDefault="00BD624F" w:rsidP="000500B7">
      <w:pPr>
        <w:spacing w:after="0" w:line="360" w:lineRule="auto"/>
        <w:ind w:firstLine="709"/>
        <w:jc w:val="both"/>
        <w:rPr>
          <w:rFonts w:ascii="Garamond" w:hAnsi="Garamond"/>
          <w:sz w:val="28"/>
          <w:szCs w:val="28"/>
        </w:rPr>
      </w:pPr>
      <w:r w:rsidRPr="000500B7">
        <w:rPr>
          <w:rFonts w:ascii="Garamond" w:hAnsi="Garamond"/>
          <w:sz w:val="28"/>
          <w:szCs w:val="28"/>
        </w:rPr>
        <w:t>Per meglio spiegare questa conclusione basta il seguente semplice interrogativo: c</w:t>
      </w:r>
      <w:r w:rsidR="002A13BE" w:rsidRPr="000500B7">
        <w:rPr>
          <w:rFonts w:ascii="Garamond" w:hAnsi="Garamond"/>
          <w:sz w:val="28"/>
          <w:szCs w:val="28"/>
        </w:rPr>
        <w:t>osa distingue, ai fini che qui interessano,</w:t>
      </w:r>
      <w:r w:rsidR="008E0E99" w:rsidRPr="000500B7">
        <w:rPr>
          <w:rFonts w:ascii="Garamond" w:hAnsi="Garamond"/>
          <w:sz w:val="28"/>
          <w:szCs w:val="28"/>
        </w:rPr>
        <w:t xml:space="preserve"> una </w:t>
      </w:r>
      <w:r w:rsidR="009D3DE6" w:rsidRPr="000500B7">
        <w:rPr>
          <w:rFonts w:ascii="Garamond" w:hAnsi="Garamond"/>
          <w:sz w:val="28"/>
          <w:szCs w:val="28"/>
        </w:rPr>
        <w:t>sentenza</w:t>
      </w:r>
      <w:r w:rsidR="008E0E99" w:rsidRPr="000500B7">
        <w:rPr>
          <w:rFonts w:ascii="Garamond" w:hAnsi="Garamond"/>
          <w:sz w:val="28"/>
          <w:szCs w:val="28"/>
        </w:rPr>
        <w:t xml:space="preserve"> di condanna al pagamento di differenze retributive adottata dal giudice del lavoro da quella, avente stesso oggetto, emessa dal giudice amministrativo (in quei settori, ovviamente, ancora devoluti alla sua giurisdizione), posto che entrambe possiedono sostanzialmente il medesimo contenuto e sono emesse nei confronti di autorità amministrative</w:t>
      </w:r>
      <w:r w:rsidR="008E0E99" w:rsidRPr="000500B7">
        <w:rPr>
          <w:rStyle w:val="Rimandonotaapidipagina"/>
          <w:rFonts w:ascii="Garamond" w:hAnsi="Garamond"/>
          <w:sz w:val="28"/>
          <w:szCs w:val="28"/>
        </w:rPr>
        <w:footnoteReference w:id="11"/>
      </w:r>
      <w:r w:rsidR="008E0E99" w:rsidRPr="000500B7">
        <w:rPr>
          <w:rFonts w:ascii="Garamond" w:hAnsi="Garamond"/>
          <w:sz w:val="28"/>
          <w:szCs w:val="28"/>
        </w:rPr>
        <w:t>?</w:t>
      </w:r>
    </w:p>
    <w:p w14:paraId="35A99766" w14:textId="77777777" w:rsidR="002A13BE" w:rsidRPr="000500B7" w:rsidRDefault="009A1C4C" w:rsidP="000500B7">
      <w:pPr>
        <w:spacing w:after="0" w:line="360" w:lineRule="auto"/>
        <w:ind w:firstLine="709"/>
        <w:jc w:val="both"/>
        <w:rPr>
          <w:rFonts w:ascii="Garamond" w:hAnsi="Garamond"/>
          <w:sz w:val="28"/>
          <w:szCs w:val="28"/>
        </w:rPr>
      </w:pPr>
      <w:r w:rsidRPr="000500B7">
        <w:rPr>
          <w:rFonts w:ascii="Garamond" w:hAnsi="Garamond"/>
          <w:sz w:val="28"/>
          <w:szCs w:val="28"/>
        </w:rPr>
        <w:t>Anche la risposta è</w:t>
      </w:r>
      <w:r w:rsidR="002A13BE" w:rsidRPr="000500B7">
        <w:rPr>
          <w:rFonts w:ascii="Garamond" w:hAnsi="Garamond"/>
          <w:sz w:val="28"/>
          <w:szCs w:val="28"/>
        </w:rPr>
        <w:t xml:space="preserve"> semplice: nulla.</w:t>
      </w:r>
    </w:p>
    <w:p w14:paraId="4621E218" w14:textId="77777777" w:rsidR="00736927" w:rsidRPr="000500B7" w:rsidRDefault="00386B4D" w:rsidP="000500B7">
      <w:pPr>
        <w:spacing w:after="0" w:line="360" w:lineRule="auto"/>
        <w:ind w:firstLine="709"/>
        <w:jc w:val="both"/>
        <w:rPr>
          <w:rFonts w:ascii="Garamond" w:hAnsi="Garamond"/>
          <w:sz w:val="28"/>
          <w:szCs w:val="28"/>
        </w:rPr>
      </w:pPr>
      <w:r w:rsidRPr="000500B7">
        <w:rPr>
          <w:rFonts w:ascii="Garamond" w:hAnsi="Garamond"/>
          <w:sz w:val="28"/>
          <w:szCs w:val="28"/>
        </w:rPr>
        <w:t>E se equipollent</w:t>
      </w:r>
      <w:r w:rsidR="002A13BE" w:rsidRPr="000500B7">
        <w:rPr>
          <w:rFonts w:ascii="Garamond" w:hAnsi="Garamond"/>
          <w:sz w:val="28"/>
          <w:szCs w:val="28"/>
        </w:rPr>
        <w:t xml:space="preserve">i sono le pronunzie di condanna </w:t>
      </w:r>
      <w:r w:rsidR="006C111D">
        <w:rPr>
          <w:rFonts w:ascii="Garamond" w:hAnsi="Garamond"/>
          <w:sz w:val="28"/>
          <w:szCs w:val="28"/>
        </w:rPr>
        <w:t>al pagamento di somme di denaro</w:t>
      </w:r>
      <w:r w:rsidR="002A13BE" w:rsidRPr="000500B7">
        <w:rPr>
          <w:rFonts w:ascii="Garamond" w:hAnsi="Garamond"/>
          <w:sz w:val="28"/>
          <w:szCs w:val="28"/>
        </w:rPr>
        <w:t xml:space="preserve"> rese dal giudice civil</w:t>
      </w:r>
      <w:r w:rsidRPr="000500B7">
        <w:rPr>
          <w:rFonts w:ascii="Garamond" w:hAnsi="Garamond"/>
          <w:sz w:val="28"/>
          <w:szCs w:val="28"/>
        </w:rPr>
        <w:t>e e quelle rese dal giudice amministrativo,</w:t>
      </w:r>
      <w:r w:rsidR="002A13BE" w:rsidRPr="000500B7">
        <w:rPr>
          <w:rFonts w:ascii="Garamond" w:hAnsi="Garamond"/>
          <w:sz w:val="28"/>
          <w:szCs w:val="28"/>
        </w:rPr>
        <w:t xml:space="preserve"> fisionomicamente equip</w:t>
      </w:r>
      <w:r w:rsidRPr="000500B7">
        <w:rPr>
          <w:rFonts w:ascii="Garamond" w:hAnsi="Garamond"/>
          <w:sz w:val="28"/>
          <w:szCs w:val="28"/>
        </w:rPr>
        <w:t>ollent</w:t>
      </w:r>
      <w:r w:rsidR="002A13BE" w:rsidRPr="000500B7">
        <w:rPr>
          <w:rFonts w:ascii="Garamond" w:hAnsi="Garamond"/>
          <w:sz w:val="28"/>
          <w:szCs w:val="28"/>
        </w:rPr>
        <w:t>i</w:t>
      </w:r>
      <w:r w:rsidRPr="000500B7">
        <w:rPr>
          <w:rFonts w:ascii="Garamond" w:hAnsi="Garamond"/>
          <w:sz w:val="28"/>
          <w:szCs w:val="28"/>
        </w:rPr>
        <w:t xml:space="preserve"> sono</w:t>
      </w:r>
      <w:r w:rsidR="005912A4" w:rsidRPr="000500B7">
        <w:rPr>
          <w:rFonts w:ascii="Garamond" w:hAnsi="Garamond"/>
          <w:sz w:val="28"/>
          <w:szCs w:val="28"/>
        </w:rPr>
        <w:t xml:space="preserve"> (di conseguenza)</w:t>
      </w:r>
      <w:r w:rsidR="002A13BE" w:rsidRPr="000500B7">
        <w:rPr>
          <w:rFonts w:ascii="Garamond" w:hAnsi="Garamond"/>
          <w:sz w:val="28"/>
          <w:szCs w:val="28"/>
        </w:rPr>
        <w:t xml:space="preserve"> </w:t>
      </w:r>
      <w:r w:rsidRPr="000500B7">
        <w:rPr>
          <w:rFonts w:ascii="Garamond" w:hAnsi="Garamond"/>
          <w:sz w:val="28"/>
          <w:szCs w:val="28"/>
        </w:rPr>
        <w:t>pure</w:t>
      </w:r>
      <w:r w:rsidR="002A13BE" w:rsidRPr="000500B7">
        <w:rPr>
          <w:rFonts w:ascii="Garamond" w:hAnsi="Garamond"/>
          <w:sz w:val="28"/>
          <w:szCs w:val="28"/>
        </w:rPr>
        <w:t xml:space="preserve"> i giudizi di ottemperanza che ad esse accedono</w:t>
      </w:r>
      <w:r w:rsidR="002A13BE" w:rsidRPr="000500B7">
        <w:rPr>
          <w:rStyle w:val="Rimandonotaapidipagina"/>
          <w:rFonts w:ascii="Garamond" w:hAnsi="Garamond"/>
          <w:sz w:val="28"/>
          <w:szCs w:val="28"/>
        </w:rPr>
        <w:footnoteReference w:id="12"/>
      </w:r>
      <w:r w:rsidR="002A13BE" w:rsidRPr="000500B7">
        <w:rPr>
          <w:rFonts w:ascii="Garamond" w:hAnsi="Garamond"/>
          <w:sz w:val="28"/>
          <w:szCs w:val="28"/>
        </w:rPr>
        <w:t>.</w:t>
      </w:r>
    </w:p>
    <w:p w14:paraId="1CEB9BD8" w14:textId="77777777" w:rsidR="005A475E" w:rsidRPr="000500B7" w:rsidRDefault="00EB0C51" w:rsidP="000500B7">
      <w:pPr>
        <w:spacing w:after="0" w:line="360" w:lineRule="auto"/>
        <w:ind w:firstLine="709"/>
        <w:jc w:val="both"/>
        <w:rPr>
          <w:rFonts w:ascii="Garamond" w:hAnsi="Garamond"/>
          <w:sz w:val="28"/>
          <w:szCs w:val="28"/>
        </w:rPr>
      </w:pPr>
      <w:r w:rsidRPr="000500B7">
        <w:rPr>
          <w:rFonts w:ascii="Garamond" w:hAnsi="Garamond"/>
          <w:sz w:val="28"/>
          <w:szCs w:val="28"/>
        </w:rPr>
        <w:t>Dunque</w:t>
      </w:r>
      <w:r w:rsidR="005912A4" w:rsidRPr="000500B7">
        <w:rPr>
          <w:rFonts w:ascii="Garamond" w:hAnsi="Garamond"/>
          <w:sz w:val="28"/>
          <w:szCs w:val="28"/>
        </w:rPr>
        <w:t>, a fronte di</w:t>
      </w:r>
      <w:r w:rsidR="00736927" w:rsidRPr="000500B7">
        <w:rPr>
          <w:rFonts w:ascii="Garamond" w:hAnsi="Garamond"/>
          <w:sz w:val="28"/>
          <w:szCs w:val="28"/>
        </w:rPr>
        <w:t xml:space="preserve"> </w:t>
      </w:r>
      <w:r w:rsidR="009D3DE6" w:rsidRPr="000500B7">
        <w:rPr>
          <w:rFonts w:ascii="Garamond" w:hAnsi="Garamond"/>
          <w:sz w:val="28"/>
          <w:szCs w:val="28"/>
        </w:rPr>
        <w:t>sentenz</w:t>
      </w:r>
      <w:r w:rsidR="00736927" w:rsidRPr="000500B7">
        <w:rPr>
          <w:rFonts w:ascii="Garamond" w:hAnsi="Garamond"/>
          <w:sz w:val="28"/>
          <w:szCs w:val="28"/>
        </w:rPr>
        <w:t>e</w:t>
      </w:r>
      <w:r w:rsidR="0095302A" w:rsidRPr="000500B7">
        <w:rPr>
          <w:rFonts w:ascii="Garamond" w:hAnsi="Garamond"/>
          <w:sz w:val="28"/>
          <w:szCs w:val="28"/>
        </w:rPr>
        <w:t xml:space="preserve"> </w:t>
      </w:r>
      <w:r w:rsidR="005912A4" w:rsidRPr="000500B7">
        <w:rPr>
          <w:rFonts w:ascii="Garamond" w:hAnsi="Garamond"/>
          <w:sz w:val="28"/>
          <w:szCs w:val="28"/>
        </w:rPr>
        <w:t>(</w:t>
      </w:r>
      <w:r w:rsidR="0095302A" w:rsidRPr="000500B7">
        <w:rPr>
          <w:rFonts w:ascii="Garamond" w:hAnsi="Garamond"/>
          <w:sz w:val="28"/>
          <w:szCs w:val="28"/>
        </w:rPr>
        <w:t>di condanna al pagamento di somme di denaro</w:t>
      </w:r>
      <w:r w:rsidR="005912A4" w:rsidRPr="000500B7">
        <w:rPr>
          <w:rFonts w:ascii="Garamond" w:hAnsi="Garamond"/>
          <w:sz w:val="28"/>
          <w:szCs w:val="28"/>
        </w:rPr>
        <w:t>)</w:t>
      </w:r>
      <w:r w:rsidR="00736927" w:rsidRPr="000500B7">
        <w:rPr>
          <w:rFonts w:ascii="Garamond" w:hAnsi="Garamond"/>
          <w:sz w:val="28"/>
          <w:szCs w:val="28"/>
        </w:rPr>
        <w:t xml:space="preserve"> </w:t>
      </w:r>
      <w:r w:rsidR="00386B4D" w:rsidRPr="000500B7">
        <w:rPr>
          <w:rFonts w:ascii="Garamond" w:hAnsi="Garamond"/>
          <w:sz w:val="28"/>
          <w:szCs w:val="28"/>
        </w:rPr>
        <w:t>contenutisticamente omogenee</w:t>
      </w:r>
      <w:r w:rsidR="005912A4" w:rsidRPr="000500B7">
        <w:rPr>
          <w:rFonts w:ascii="Garamond" w:hAnsi="Garamond"/>
          <w:sz w:val="28"/>
          <w:szCs w:val="28"/>
        </w:rPr>
        <w:t xml:space="preserve">, </w:t>
      </w:r>
      <w:r w:rsidRPr="000500B7">
        <w:rPr>
          <w:rFonts w:ascii="Garamond" w:hAnsi="Garamond"/>
          <w:sz w:val="28"/>
          <w:szCs w:val="28"/>
        </w:rPr>
        <w:t>assolutamente irrilevante dovrebbe risultare</w:t>
      </w:r>
      <w:r w:rsidR="00374A06" w:rsidRPr="000500B7">
        <w:rPr>
          <w:rFonts w:ascii="Garamond" w:hAnsi="Garamond"/>
          <w:sz w:val="28"/>
          <w:szCs w:val="28"/>
        </w:rPr>
        <w:t xml:space="preserve">, ai fini della </w:t>
      </w:r>
      <w:r w:rsidR="00EA6CC5" w:rsidRPr="000500B7">
        <w:rPr>
          <w:rFonts w:ascii="Garamond" w:hAnsi="Garamond"/>
          <w:sz w:val="28"/>
          <w:szCs w:val="28"/>
        </w:rPr>
        <w:t>esperibilità del giudizio</w:t>
      </w:r>
      <w:r w:rsidR="00374A06" w:rsidRPr="000500B7">
        <w:rPr>
          <w:rFonts w:ascii="Garamond" w:hAnsi="Garamond"/>
          <w:sz w:val="28"/>
          <w:szCs w:val="28"/>
        </w:rPr>
        <w:t xml:space="preserve"> di ottemperanza,</w:t>
      </w:r>
      <w:r w:rsidRPr="000500B7">
        <w:rPr>
          <w:rFonts w:ascii="Garamond" w:hAnsi="Garamond"/>
          <w:sz w:val="28"/>
          <w:szCs w:val="28"/>
        </w:rPr>
        <w:t xml:space="preserve"> la provenienza del titolo esecutivo azionato</w:t>
      </w:r>
      <w:r w:rsidR="00736927" w:rsidRPr="000500B7">
        <w:rPr>
          <w:rFonts w:ascii="Garamond" w:hAnsi="Garamond"/>
          <w:sz w:val="28"/>
          <w:szCs w:val="28"/>
        </w:rPr>
        <w:t>.</w:t>
      </w:r>
      <w:r w:rsidR="00374A06" w:rsidRPr="000500B7">
        <w:rPr>
          <w:rFonts w:ascii="Garamond" w:hAnsi="Garamond"/>
          <w:sz w:val="28"/>
          <w:szCs w:val="28"/>
        </w:rPr>
        <w:t xml:space="preserve"> Sicché i</w:t>
      </w:r>
      <w:r w:rsidR="007F3278" w:rsidRPr="000500B7">
        <w:rPr>
          <w:rFonts w:ascii="Garamond" w:hAnsi="Garamond"/>
          <w:sz w:val="28"/>
          <w:szCs w:val="28"/>
        </w:rPr>
        <w:t>rragionevole</w:t>
      </w:r>
      <w:r w:rsidR="00736927" w:rsidRPr="000500B7">
        <w:rPr>
          <w:rFonts w:ascii="Garamond" w:hAnsi="Garamond"/>
          <w:sz w:val="28"/>
          <w:szCs w:val="28"/>
        </w:rPr>
        <w:t xml:space="preserve"> risulta </w:t>
      </w:r>
      <w:r w:rsidR="00196DD9" w:rsidRPr="000500B7">
        <w:rPr>
          <w:rFonts w:ascii="Garamond" w:hAnsi="Garamond"/>
          <w:sz w:val="28"/>
          <w:szCs w:val="28"/>
        </w:rPr>
        <w:t>un sistema</w:t>
      </w:r>
      <w:r w:rsidR="00D02E31" w:rsidRPr="000500B7">
        <w:rPr>
          <w:rFonts w:ascii="Garamond" w:hAnsi="Garamond"/>
          <w:sz w:val="28"/>
          <w:szCs w:val="28"/>
        </w:rPr>
        <w:t xml:space="preserve"> (come l’attuale)</w:t>
      </w:r>
      <w:r w:rsidR="00196DD9" w:rsidRPr="000500B7">
        <w:rPr>
          <w:rFonts w:ascii="Garamond" w:hAnsi="Garamond"/>
          <w:sz w:val="28"/>
          <w:szCs w:val="28"/>
        </w:rPr>
        <w:t xml:space="preserve"> in cui</w:t>
      </w:r>
      <w:r w:rsidR="00D02E31" w:rsidRPr="000500B7">
        <w:rPr>
          <w:rFonts w:ascii="Garamond" w:hAnsi="Garamond"/>
          <w:sz w:val="28"/>
          <w:szCs w:val="28"/>
        </w:rPr>
        <w:t xml:space="preserve"> il soggetto, che vanta</w:t>
      </w:r>
      <w:r w:rsidR="00736927" w:rsidRPr="000500B7">
        <w:rPr>
          <w:rFonts w:ascii="Garamond" w:hAnsi="Garamond"/>
          <w:sz w:val="28"/>
          <w:szCs w:val="28"/>
        </w:rPr>
        <w:t xml:space="preserve"> una pretesa creditoria nei confronti della pubblica amministrazione consacrata in un titolo esecutivo, veda allargato o ristretto il ventaglio dei rimedi di tutela esecutiva a seconda che la materia sia attribuita alla giurisdizione </w:t>
      </w:r>
      <w:r w:rsidR="00F062D4" w:rsidRPr="000500B7">
        <w:rPr>
          <w:rFonts w:ascii="Garamond" w:hAnsi="Garamond"/>
          <w:sz w:val="28"/>
          <w:szCs w:val="28"/>
        </w:rPr>
        <w:t>del giudice amministrativo o</w:t>
      </w:r>
      <w:r w:rsidR="00736927" w:rsidRPr="000500B7">
        <w:rPr>
          <w:rFonts w:ascii="Garamond" w:hAnsi="Garamond"/>
          <w:sz w:val="28"/>
          <w:szCs w:val="28"/>
        </w:rPr>
        <w:t>, invece, alla cognizione del giudice civile.</w:t>
      </w:r>
    </w:p>
    <w:p w14:paraId="15C6813E" w14:textId="77777777" w:rsidR="0012725A" w:rsidRPr="000500B7" w:rsidRDefault="005A475E" w:rsidP="000500B7">
      <w:pPr>
        <w:autoSpaceDE w:val="0"/>
        <w:autoSpaceDN w:val="0"/>
        <w:adjustRightInd w:val="0"/>
        <w:spacing w:after="0" w:line="360" w:lineRule="auto"/>
        <w:ind w:firstLine="709"/>
        <w:jc w:val="both"/>
        <w:rPr>
          <w:rFonts w:ascii="Garamond" w:hAnsi="Garamond" w:cs="Times New Roman"/>
          <w:sz w:val="28"/>
          <w:szCs w:val="28"/>
        </w:rPr>
      </w:pPr>
      <w:r w:rsidRPr="000500B7">
        <w:rPr>
          <w:rFonts w:ascii="Garamond" w:hAnsi="Garamond"/>
          <w:sz w:val="28"/>
          <w:szCs w:val="28"/>
        </w:rPr>
        <w:t>Purtroppo, però, dello stesso avviso non è stata la Corte costituzionale, la quale chia</w:t>
      </w:r>
      <w:r w:rsidR="006D5169">
        <w:rPr>
          <w:rFonts w:ascii="Garamond" w:hAnsi="Garamond"/>
          <w:sz w:val="28"/>
          <w:szCs w:val="28"/>
        </w:rPr>
        <w:t xml:space="preserve">mata a giudicare – </w:t>
      </w:r>
      <w:r w:rsidR="00662D46">
        <w:rPr>
          <w:rFonts w:ascii="Garamond" w:hAnsi="Garamond"/>
          <w:sz w:val="28"/>
          <w:szCs w:val="28"/>
        </w:rPr>
        <w:t xml:space="preserve"> sotto i profili sia</w:t>
      </w:r>
      <w:r w:rsidR="006D5169">
        <w:rPr>
          <w:rFonts w:ascii="Garamond" w:hAnsi="Garamond"/>
          <w:sz w:val="28"/>
          <w:szCs w:val="28"/>
        </w:rPr>
        <w:t xml:space="preserve"> della compressione del principio di effettività della tutela giurisdizio</w:t>
      </w:r>
      <w:r w:rsidR="00662D46">
        <w:rPr>
          <w:rFonts w:ascii="Garamond" w:hAnsi="Garamond"/>
          <w:sz w:val="28"/>
          <w:szCs w:val="28"/>
        </w:rPr>
        <w:t xml:space="preserve">nale, sia </w:t>
      </w:r>
      <w:r w:rsidRPr="000500B7">
        <w:rPr>
          <w:rFonts w:ascii="Garamond" w:hAnsi="Garamond"/>
          <w:sz w:val="28"/>
          <w:szCs w:val="28"/>
        </w:rPr>
        <w:t>della ragionevolezza della di</w:t>
      </w:r>
      <w:r w:rsidR="006D5169">
        <w:rPr>
          <w:rFonts w:ascii="Garamond" w:hAnsi="Garamond"/>
          <w:sz w:val="28"/>
          <w:szCs w:val="28"/>
        </w:rPr>
        <w:t>sciplina</w:t>
      </w:r>
      <w:r w:rsidR="00662D46">
        <w:rPr>
          <w:rFonts w:ascii="Garamond" w:hAnsi="Garamond"/>
          <w:sz w:val="28"/>
          <w:szCs w:val="28"/>
        </w:rPr>
        <w:t>, sia</w:t>
      </w:r>
      <w:r w:rsidRPr="000500B7">
        <w:rPr>
          <w:rFonts w:ascii="Garamond" w:hAnsi="Garamond"/>
          <w:sz w:val="28"/>
          <w:szCs w:val="28"/>
        </w:rPr>
        <w:t xml:space="preserve"> della disparità di trattamento riservata alle pronunzie </w:t>
      </w:r>
      <w:r w:rsidRPr="000500B7">
        <w:rPr>
          <w:rFonts w:ascii="Garamond" w:hAnsi="Garamond"/>
          <w:i/>
          <w:sz w:val="28"/>
          <w:szCs w:val="28"/>
        </w:rPr>
        <w:t xml:space="preserve">de </w:t>
      </w:r>
      <w:proofErr w:type="spellStart"/>
      <w:r w:rsidRPr="000500B7">
        <w:rPr>
          <w:rFonts w:ascii="Garamond" w:hAnsi="Garamond"/>
          <w:i/>
          <w:sz w:val="28"/>
          <w:szCs w:val="28"/>
        </w:rPr>
        <w:t>quibus</w:t>
      </w:r>
      <w:proofErr w:type="spellEnd"/>
      <w:r w:rsidR="006D5169">
        <w:rPr>
          <w:rFonts w:ascii="Garamond" w:hAnsi="Garamond"/>
          <w:sz w:val="28"/>
          <w:szCs w:val="28"/>
        </w:rPr>
        <w:t xml:space="preserve"> – </w:t>
      </w:r>
      <w:r w:rsidRPr="000500B7">
        <w:rPr>
          <w:rFonts w:ascii="Garamond" w:hAnsi="Garamond"/>
          <w:sz w:val="28"/>
          <w:szCs w:val="28"/>
        </w:rPr>
        <w:t>sulla costituzionalità del sistema in esame ha</w:t>
      </w:r>
      <w:r w:rsidR="0012725A" w:rsidRPr="000500B7">
        <w:rPr>
          <w:rFonts w:ascii="Garamond" w:hAnsi="Garamond"/>
          <w:sz w:val="28"/>
          <w:szCs w:val="28"/>
        </w:rPr>
        <w:t>, con l’ordinanza 25 marzo 2005, n. 122</w:t>
      </w:r>
      <w:r w:rsidR="005553FF" w:rsidRPr="000500B7">
        <w:rPr>
          <w:rStyle w:val="Rimandonotaapidipagina"/>
          <w:rFonts w:ascii="Garamond" w:hAnsi="Garamond"/>
          <w:sz w:val="28"/>
          <w:szCs w:val="28"/>
        </w:rPr>
        <w:footnoteReference w:id="13"/>
      </w:r>
      <w:r w:rsidR="0012725A" w:rsidRPr="000500B7">
        <w:rPr>
          <w:rFonts w:ascii="Garamond" w:hAnsi="Garamond"/>
          <w:sz w:val="28"/>
          <w:szCs w:val="28"/>
        </w:rPr>
        <w:t>,</w:t>
      </w:r>
      <w:r w:rsidRPr="000500B7">
        <w:rPr>
          <w:rFonts w:ascii="Garamond" w:hAnsi="Garamond"/>
          <w:sz w:val="28"/>
          <w:szCs w:val="28"/>
        </w:rPr>
        <w:t xml:space="preserve"> ritenuto manifestamente infondata la questione di costituzionalità sollevata, osservando tra l’altro che: </w:t>
      </w:r>
      <w:r w:rsidR="0012725A" w:rsidRPr="000500B7">
        <w:rPr>
          <w:rFonts w:ascii="Garamond" w:hAnsi="Garamond"/>
          <w:sz w:val="28"/>
          <w:szCs w:val="28"/>
        </w:rPr>
        <w:t xml:space="preserve">1) </w:t>
      </w:r>
      <w:r w:rsidRPr="000500B7">
        <w:rPr>
          <w:rFonts w:ascii="Garamond" w:hAnsi="Garamond"/>
          <w:sz w:val="28"/>
          <w:szCs w:val="28"/>
        </w:rPr>
        <w:t>“</w:t>
      </w:r>
      <w:r w:rsidRPr="0052507E">
        <w:rPr>
          <w:rFonts w:ascii="Garamond" w:hAnsi="Garamond" w:cs="Times New Roman"/>
          <w:i/>
          <w:sz w:val="28"/>
          <w:szCs w:val="28"/>
        </w:rPr>
        <w:t>il giudizio di ottemperanza concerne, di norma, sentenze passate in giudicato e che questa scelta del legislatore non appare irragionevole, in quanto la procedura di ottemperanza nei confronti della pubblica amministrazione comporta l'esercizio di una giurisdizione estesa al merito</w:t>
      </w:r>
      <w:r w:rsidRPr="000500B7">
        <w:rPr>
          <w:rFonts w:ascii="Garamond" w:hAnsi="Garamond" w:cs="Times New Roman"/>
          <w:sz w:val="28"/>
          <w:szCs w:val="28"/>
        </w:rPr>
        <w:t xml:space="preserve">”; </w:t>
      </w:r>
      <w:r w:rsidR="0012725A" w:rsidRPr="000500B7">
        <w:rPr>
          <w:rFonts w:ascii="Garamond" w:hAnsi="Garamond" w:cs="Times New Roman"/>
          <w:sz w:val="28"/>
          <w:szCs w:val="28"/>
        </w:rPr>
        <w:t xml:space="preserve">2) </w:t>
      </w:r>
      <w:r w:rsidRPr="000500B7">
        <w:rPr>
          <w:rFonts w:ascii="Garamond" w:hAnsi="Garamond" w:cs="Times New Roman"/>
          <w:sz w:val="28"/>
          <w:szCs w:val="28"/>
        </w:rPr>
        <w:t>“</w:t>
      </w:r>
      <w:r w:rsidRPr="0052507E">
        <w:rPr>
          <w:rFonts w:ascii="Garamond" w:hAnsi="Garamond" w:cs="Times New Roman"/>
          <w:i/>
          <w:sz w:val="28"/>
          <w:szCs w:val="28"/>
        </w:rPr>
        <w:t>la previsione di cui all'art. 33 della legge n. 1034 del 1971, secondo la quale il giudizio di ottemperanza può esercitarsi nei confronti delle sentenze del TAR non sospese dal Consiglio di Stato, rientra nella discrezionalità del legislatore, il quale ha voluto dare concretezza al principio di esecutività delle sentenze di primo grado, evitando che l'amministrazione possa arbitrariamente sottrarsi alle pronunce giurisdizionali</w:t>
      </w:r>
      <w:r w:rsidRPr="000500B7">
        <w:rPr>
          <w:rFonts w:ascii="Garamond" w:hAnsi="Garamond" w:cs="Times New Roman"/>
          <w:sz w:val="28"/>
          <w:szCs w:val="28"/>
        </w:rPr>
        <w:t xml:space="preserve">”; </w:t>
      </w:r>
      <w:r w:rsidR="0012725A" w:rsidRPr="000500B7">
        <w:rPr>
          <w:rFonts w:ascii="Garamond" w:hAnsi="Garamond" w:cs="Times New Roman"/>
          <w:sz w:val="28"/>
          <w:szCs w:val="28"/>
        </w:rPr>
        <w:t xml:space="preserve">3) </w:t>
      </w:r>
      <w:r w:rsidRPr="000500B7">
        <w:rPr>
          <w:rFonts w:ascii="Garamond" w:hAnsi="Garamond" w:cs="Times New Roman"/>
          <w:sz w:val="28"/>
          <w:szCs w:val="28"/>
        </w:rPr>
        <w:t>“</w:t>
      </w:r>
      <w:r w:rsidRPr="0052507E">
        <w:rPr>
          <w:rFonts w:ascii="Garamond" w:hAnsi="Garamond" w:cs="Times New Roman"/>
          <w:i/>
          <w:sz w:val="28"/>
          <w:szCs w:val="28"/>
        </w:rPr>
        <w:t>sono differenti e quindi non comparabili le azioni esecutive esperibili davanti al giudice ordinario secondo le norme di procedura civile, trattandosi di sentenze o di provvedimenti esecutivi che non richiedono l'esame di merito proprio del giudizio di ottemperanza</w:t>
      </w:r>
      <w:r w:rsidRPr="000500B7">
        <w:rPr>
          <w:rFonts w:ascii="Garamond" w:hAnsi="Garamond" w:cs="Times New Roman"/>
          <w:sz w:val="28"/>
          <w:szCs w:val="28"/>
        </w:rPr>
        <w:t xml:space="preserve">”; </w:t>
      </w:r>
      <w:r w:rsidR="0012725A" w:rsidRPr="000500B7">
        <w:rPr>
          <w:rFonts w:ascii="Garamond" w:hAnsi="Garamond" w:cs="Times New Roman"/>
          <w:sz w:val="28"/>
          <w:szCs w:val="28"/>
        </w:rPr>
        <w:t xml:space="preserve">4) </w:t>
      </w:r>
      <w:r w:rsidRPr="000500B7">
        <w:rPr>
          <w:rFonts w:ascii="Garamond" w:hAnsi="Garamond" w:cs="Times New Roman"/>
          <w:sz w:val="28"/>
          <w:szCs w:val="28"/>
        </w:rPr>
        <w:t>“</w:t>
      </w:r>
      <w:r w:rsidRPr="0052507E">
        <w:rPr>
          <w:rFonts w:ascii="Garamond" w:hAnsi="Garamond" w:cs="Times New Roman"/>
          <w:i/>
          <w:sz w:val="28"/>
          <w:szCs w:val="28"/>
        </w:rPr>
        <w:t>non può parlarsi di disparità di trattamento fra l'ipotesi di esecuzione di sentenza amministrativa di primo grado, perseguita attraverso il giudizio di ottemperanza, e l'ipotesi di esecuzione</w:t>
      </w:r>
      <w:r w:rsidR="006316D6" w:rsidRPr="0052507E">
        <w:rPr>
          <w:rFonts w:ascii="Garamond" w:hAnsi="Garamond" w:cs="Times New Roman"/>
          <w:i/>
          <w:sz w:val="28"/>
          <w:szCs w:val="28"/>
        </w:rPr>
        <w:t xml:space="preserve"> </w:t>
      </w:r>
      <w:r w:rsidRPr="0052507E">
        <w:rPr>
          <w:rFonts w:ascii="Garamond" w:hAnsi="Garamond" w:cs="Times New Roman"/>
          <w:i/>
          <w:sz w:val="28"/>
          <w:szCs w:val="28"/>
        </w:rPr>
        <w:t>delle sentenze di primo grado del giudice ordinario</w:t>
      </w:r>
      <w:r w:rsidRPr="000500B7">
        <w:rPr>
          <w:rFonts w:ascii="Garamond" w:hAnsi="Garamond" w:cs="Times New Roman"/>
          <w:sz w:val="28"/>
          <w:szCs w:val="28"/>
        </w:rPr>
        <w:t>”.</w:t>
      </w:r>
    </w:p>
    <w:p w14:paraId="7B58DDD8" w14:textId="77777777" w:rsidR="00D93DDC" w:rsidRPr="000500B7" w:rsidRDefault="0012725A" w:rsidP="000500B7">
      <w:pPr>
        <w:autoSpaceDE w:val="0"/>
        <w:autoSpaceDN w:val="0"/>
        <w:adjustRightInd w:val="0"/>
        <w:spacing w:after="0" w:line="360" w:lineRule="auto"/>
        <w:ind w:firstLine="709"/>
        <w:jc w:val="both"/>
        <w:rPr>
          <w:rFonts w:ascii="Garamond" w:hAnsi="Garamond" w:cs="Times New Roman"/>
          <w:sz w:val="28"/>
          <w:szCs w:val="28"/>
        </w:rPr>
      </w:pPr>
      <w:r w:rsidRPr="000500B7">
        <w:rPr>
          <w:rFonts w:ascii="Garamond" w:hAnsi="Garamond" w:cs="Times New Roman"/>
          <w:sz w:val="28"/>
          <w:szCs w:val="28"/>
        </w:rPr>
        <w:t>Con grande rispetto, mi sembra, però,</w:t>
      </w:r>
      <w:r w:rsidR="00DD2720" w:rsidRPr="000500B7">
        <w:rPr>
          <w:rFonts w:ascii="Garamond" w:hAnsi="Garamond" w:cs="Times New Roman"/>
          <w:sz w:val="28"/>
          <w:szCs w:val="28"/>
        </w:rPr>
        <w:t xml:space="preserve"> possibile osservare</w:t>
      </w:r>
      <w:r w:rsidRPr="000500B7">
        <w:rPr>
          <w:rFonts w:ascii="Garamond" w:hAnsi="Garamond" w:cs="Times New Roman"/>
          <w:sz w:val="28"/>
          <w:szCs w:val="28"/>
        </w:rPr>
        <w:t xml:space="preserve"> che</w:t>
      </w:r>
      <w:r w:rsidR="00DD2720" w:rsidRPr="000500B7">
        <w:rPr>
          <w:rFonts w:ascii="Garamond" w:hAnsi="Garamond" w:cs="Times New Roman"/>
          <w:sz w:val="28"/>
          <w:szCs w:val="28"/>
        </w:rPr>
        <w:t xml:space="preserve"> le affermazioni</w:t>
      </w:r>
      <w:r w:rsidR="006316D6" w:rsidRPr="000500B7">
        <w:rPr>
          <w:rFonts w:ascii="Garamond" w:hAnsi="Garamond" w:cs="Times New Roman"/>
          <w:sz w:val="28"/>
          <w:szCs w:val="28"/>
        </w:rPr>
        <w:t xml:space="preserve"> </w:t>
      </w:r>
      <w:r w:rsidR="00DD2720" w:rsidRPr="000500B7">
        <w:rPr>
          <w:rFonts w:ascii="Garamond" w:hAnsi="Garamond" w:cs="Times New Roman"/>
          <w:sz w:val="28"/>
          <w:szCs w:val="28"/>
        </w:rPr>
        <w:t>poste a base della non condivisibile</w:t>
      </w:r>
      <w:r w:rsidR="006316D6" w:rsidRPr="000500B7">
        <w:rPr>
          <w:rFonts w:ascii="Garamond" w:hAnsi="Garamond" w:cs="Times New Roman"/>
          <w:sz w:val="28"/>
          <w:szCs w:val="28"/>
        </w:rPr>
        <w:t xml:space="preserve"> conclusione a cui approda il Giudice delle leggi (conclusione ribadita, </w:t>
      </w:r>
      <w:r w:rsidR="009B7FB9" w:rsidRPr="000500B7">
        <w:rPr>
          <w:rFonts w:ascii="Garamond" w:hAnsi="Garamond" w:cs="Times New Roman"/>
          <w:sz w:val="28"/>
          <w:szCs w:val="28"/>
        </w:rPr>
        <w:t>negli stessi termini</w:t>
      </w:r>
      <w:r w:rsidR="006316D6" w:rsidRPr="000500B7">
        <w:rPr>
          <w:rFonts w:ascii="Garamond" w:hAnsi="Garamond" w:cs="Times New Roman"/>
          <w:sz w:val="28"/>
          <w:szCs w:val="28"/>
        </w:rPr>
        <w:t xml:space="preserve">, anche da Corte cost., </w:t>
      </w:r>
      <w:proofErr w:type="spellStart"/>
      <w:r w:rsidR="006316D6" w:rsidRPr="000500B7">
        <w:rPr>
          <w:rFonts w:ascii="Garamond" w:hAnsi="Garamond" w:cs="Times New Roman"/>
          <w:sz w:val="28"/>
          <w:szCs w:val="28"/>
        </w:rPr>
        <w:t>ord</w:t>
      </w:r>
      <w:proofErr w:type="spellEnd"/>
      <w:r w:rsidR="006316D6" w:rsidRPr="000500B7">
        <w:rPr>
          <w:rFonts w:ascii="Garamond" w:hAnsi="Garamond" w:cs="Times New Roman"/>
          <w:sz w:val="28"/>
          <w:szCs w:val="28"/>
        </w:rPr>
        <w:t>. 8 febbraio 2006, n. 44</w:t>
      </w:r>
      <w:r w:rsidR="00E04FC2" w:rsidRPr="000500B7">
        <w:rPr>
          <w:rStyle w:val="Rimandonotaapidipagina"/>
          <w:rFonts w:ascii="Garamond" w:hAnsi="Garamond"/>
          <w:sz w:val="28"/>
          <w:szCs w:val="28"/>
        </w:rPr>
        <w:footnoteReference w:id="14"/>
      </w:r>
      <w:r w:rsidR="006316D6" w:rsidRPr="000500B7">
        <w:rPr>
          <w:rFonts w:ascii="Garamond" w:hAnsi="Garamond" w:cs="Times New Roman"/>
          <w:sz w:val="28"/>
          <w:szCs w:val="28"/>
        </w:rPr>
        <w:t xml:space="preserve">) </w:t>
      </w:r>
      <w:r w:rsidR="00DD2720" w:rsidRPr="000500B7">
        <w:rPr>
          <w:rFonts w:ascii="Garamond" w:hAnsi="Garamond" w:cs="Times New Roman"/>
          <w:sz w:val="28"/>
          <w:szCs w:val="28"/>
        </w:rPr>
        <w:t>siano</w:t>
      </w:r>
      <w:r w:rsidRPr="000500B7">
        <w:rPr>
          <w:rFonts w:ascii="Garamond" w:hAnsi="Garamond" w:cs="Times New Roman"/>
          <w:sz w:val="28"/>
          <w:szCs w:val="28"/>
        </w:rPr>
        <w:t xml:space="preserve"> </w:t>
      </w:r>
      <w:r w:rsidR="006316D6" w:rsidRPr="000500B7">
        <w:rPr>
          <w:rFonts w:ascii="Garamond" w:hAnsi="Garamond" w:cs="Times New Roman"/>
          <w:sz w:val="28"/>
          <w:szCs w:val="28"/>
        </w:rPr>
        <w:t xml:space="preserve">inidonee </w:t>
      </w:r>
      <w:r w:rsidR="006316D6" w:rsidRPr="00F90377">
        <w:rPr>
          <w:rFonts w:ascii="Garamond" w:hAnsi="Garamond" w:cs="Times New Roman"/>
          <w:sz w:val="28"/>
          <w:szCs w:val="28"/>
        </w:rPr>
        <w:t>a dissipare i dubbi</w:t>
      </w:r>
      <w:r w:rsidR="006316D6" w:rsidRPr="000500B7">
        <w:rPr>
          <w:rFonts w:ascii="Garamond" w:hAnsi="Garamond" w:cs="Times New Roman"/>
          <w:sz w:val="28"/>
          <w:szCs w:val="28"/>
        </w:rPr>
        <w:t xml:space="preserve"> di co</w:t>
      </w:r>
      <w:r w:rsidR="00D93DDC" w:rsidRPr="000500B7">
        <w:rPr>
          <w:rFonts w:ascii="Garamond" w:hAnsi="Garamond" w:cs="Times New Roman"/>
          <w:sz w:val="28"/>
          <w:szCs w:val="28"/>
        </w:rPr>
        <w:t>stituzionalità qui prospettati.</w:t>
      </w:r>
    </w:p>
    <w:p w14:paraId="1B439BC3" w14:textId="77777777" w:rsidR="00D93DDC" w:rsidRPr="000500B7" w:rsidRDefault="006316D6" w:rsidP="000500B7">
      <w:pPr>
        <w:autoSpaceDE w:val="0"/>
        <w:autoSpaceDN w:val="0"/>
        <w:adjustRightInd w:val="0"/>
        <w:spacing w:after="0" w:line="360" w:lineRule="auto"/>
        <w:ind w:firstLine="709"/>
        <w:jc w:val="both"/>
        <w:rPr>
          <w:rFonts w:ascii="Garamond" w:hAnsi="Garamond" w:cs="Times New Roman"/>
          <w:sz w:val="28"/>
          <w:szCs w:val="28"/>
        </w:rPr>
      </w:pPr>
      <w:r w:rsidRPr="000500B7">
        <w:rPr>
          <w:rFonts w:ascii="Garamond" w:hAnsi="Garamond" w:cs="Times New Roman"/>
          <w:sz w:val="28"/>
          <w:szCs w:val="28"/>
        </w:rPr>
        <w:t xml:space="preserve">Stante, come visto, l’omogeneità contenutistica delle </w:t>
      </w:r>
      <w:r w:rsidR="009D3DE6" w:rsidRPr="000500B7">
        <w:rPr>
          <w:rFonts w:ascii="Garamond" w:hAnsi="Garamond" w:cs="Times New Roman"/>
          <w:sz w:val="28"/>
          <w:szCs w:val="28"/>
        </w:rPr>
        <w:t>sentenze</w:t>
      </w:r>
      <w:r w:rsidRPr="000500B7">
        <w:rPr>
          <w:rFonts w:ascii="Garamond" w:hAnsi="Garamond" w:cs="Times New Roman"/>
          <w:sz w:val="28"/>
          <w:szCs w:val="28"/>
        </w:rPr>
        <w:t xml:space="preserve"> di condanna </w:t>
      </w:r>
      <w:r w:rsidR="006C111D">
        <w:rPr>
          <w:rFonts w:ascii="Garamond" w:hAnsi="Garamond" w:cs="Times New Roman"/>
          <w:sz w:val="28"/>
          <w:szCs w:val="28"/>
        </w:rPr>
        <w:t>al pagamento di somme di denaro</w:t>
      </w:r>
      <w:r w:rsidRPr="000500B7">
        <w:rPr>
          <w:rFonts w:ascii="Garamond" w:hAnsi="Garamond" w:cs="Times New Roman"/>
          <w:sz w:val="28"/>
          <w:szCs w:val="28"/>
        </w:rPr>
        <w:t xml:space="preserve"> rese dal giudice civile e dal giudice amministrativo, assolutamente irrilevante mi sembra</w:t>
      </w:r>
      <w:r w:rsidR="00DD2720" w:rsidRPr="000500B7">
        <w:rPr>
          <w:rFonts w:ascii="Garamond" w:hAnsi="Garamond" w:cs="Times New Roman"/>
          <w:sz w:val="28"/>
          <w:szCs w:val="28"/>
        </w:rPr>
        <w:t>, ai fini della valutazione sulla costituzionalità del sistema,</w:t>
      </w:r>
      <w:r w:rsidRPr="000500B7">
        <w:rPr>
          <w:rFonts w:ascii="Garamond" w:hAnsi="Garamond" w:cs="Times New Roman"/>
          <w:sz w:val="28"/>
          <w:szCs w:val="28"/>
        </w:rPr>
        <w:t xml:space="preserve"> la circostanza</w:t>
      </w:r>
      <w:r w:rsidR="008623FE" w:rsidRPr="000500B7">
        <w:rPr>
          <w:rFonts w:ascii="Garamond" w:hAnsi="Garamond" w:cs="Times New Roman"/>
          <w:sz w:val="28"/>
          <w:szCs w:val="28"/>
        </w:rPr>
        <w:t>,</w:t>
      </w:r>
      <w:r w:rsidRPr="000500B7">
        <w:rPr>
          <w:rFonts w:ascii="Garamond" w:hAnsi="Garamond" w:cs="Times New Roman"/>
          <w:sz w:val="28"/>
          <w:szCs w:val="28"/>
        </w:rPr>
        <w:t xml:space="preserve"> posta in evidenza dalla Corte</w:t>
      </w:r>
      <w:r w:rsidR="008623FE" w:rsidRPr="000500B7">
        <w:rPr>
          <w:rFonts w:ascii="Garamond" w:hAnsi="Garamond" w:cs="Times New Roman"/>
          <w:sz w:val="28"/>
          <w:szCs w:val="28"/>
        </w:rPr>
        <w:t>,</w:t>
      </w:r>
      <w:r w:rsidRPr="000500B7">
        <w:rPr>
          <w:rFonts w:ascii="Garamond" w:hAnsi="Garamond" w:cs="Times New Roman"/>
          <w:sz w:val="28"/>
          <w:szCs w:val="28"/>
        </w:rPr>
        <w:t xml:space="preserve"> che il procedimento di ottemperanza comporti l'esercizio di una giurisdizione estesa al merito</w:t>
      </w:r>
      <w:r w:rsidR="008623FE" w:rsidRPr="000500B7">
        <w:rPr>
          <w:rFonts w:ascii="Garamond" w:hAnsi="Garamond" w:cs="Times New Roman"/>
          <w:sz w:val="28"/>
          <w:szCs w:val="28"/>
        </w:rPr>
        <w:t>.</w:t>
      </w:r>
    </w:p>
    <w:p w14:paraId="0BBB37B9" w14:textId="77777777" w:rsidR="00D93DDC" w:rsidRPr="000500B7" w:rsidRDefault="00C756A6" w:rsidP="000500B7">
      <w:pPr>
        <w:autoSpaceDE w:val="0"/>
        <w:autoSpaceDN w:val="0"/>
        <w:adjustRightInd w:val="0"/>
        <w:spacing w:after="0" w:line="360" w:lineRule="auto"/>
        <w:ind w:firstLine="709"/>
        <w:jc w:val="both"/>
        <w:rPr>
          <w:rFonts w:ascii="Garamond" w:hAnsi="Garamond" w:cs="Times New Roman"/>
          <w:sz w:val="28"/>
          <w:szCs w:val="28"/>
        </w:rPr>
      </w:pPr>
      <w:r w:rsidRPr="000500B7">
        <w:rPr>
          <w:rFonts w:ascii="Garamond" w:hAnsi="Garamond" w:cs="Times New Roman"/>
          <w:sz w:val="28"/>
          <w:szCs w:val="28"/>
        </w:rPr>
        <w:t>Con riferimento</w:t>
      </w:r>
      <w:r w:rsidR="00DD2720" w:rsidRPr="000500B7">
        <w:rPr>
          <w:rFonts w:ascii="Garamond" w:hAnsi="Garamond" w:cs="Times New Roman"/>
          <w:sz w:val="28"/>
          <w:szCs w:val="28"/>
        </w:rPr>
        <w:t>, poi, all’affermazione</w:t>
      </w:r>
      <w:r w:rsidR="00B82983" w:rsidRPr="000500B7">
        <w:rPr>
          <w:rFonts w:ascii="Garamond" w:hAnsi="Garamond" w:cs="Times New Roman"/>
          <w:sz w:val="28"/>
          <w:szCs w:val="28"/>
        </w:rPr>
        <w:t xml:space="preserve"> secondo cui</w:t>
      </w:r>
      <w:r w:rsidR="004F099A" w:rsidRPr="000500B7">
        <w:rPr>
          <w:rFonts w:ascii="Garamond" w:hAnsi="Garamond" w:cs="Times New Roman"/>
          <w:sz w:val="28"/>
          <w:szCs w:val="28"/>
        </w:rPr>
        <w:t xml:space="preserve"> rientr</w:t>
      </w:r>
      <w:r w:rsidR="009B7FB9" w:rsidRPr="000500B7">
        <w:rPr>
          <w:rFonts w:ascii="Garamond" w:hAnsi="Garamond" w:cs="Times New Roman"/>
          <w:sz w:val="28"/>
          <w:szCs w:val="28"/>
        </w:rPr>
        <w:t>a</w:t>
      </w:r>
      <w:r w:rsidR="00B82983" w:rsidRPr="000500B7">
        <w:rPr>
          <w:rFonts w:ascii="Garamond" w:hAnsi="Garamond" w:cs="Times New Roman"/>
          <w:sz w:val="28"/>
          <w:szCs w:val="28"/>
        </w:rPr>
        <w:t xml:space="preserve"> nella discrezionalità legislativa la scelta, riguardante solo le pronunzie del giudice amministrativo, di “</w:t>
      </w:r>
      <w:r w:rsidR="00B82983" w:rsidRPr="006C111D">
        <w:rPr>
          <w:rFonts w:ascii="Garamond" w:hAnsi="Garamond" w:cs="Times New Roman"/>
          <w:i/>
          <w:sz w:val="28"/>
          <w:szCs w:val="28"/>
        </w:rPr>
        <w:t>dare concretezza al principio di esecutività delle sentenze di primo grado, evitando che l'amministrazione possa arbitrariamente sottrarsi alle pronunce giurisdizionali</w:t>
      </w:r>
      <w:r w:rsidR="00B82983" w:rsidRPr="000500B7">
        <w:rPr>
          <w:rFonts w:ascii="Garamond" w:hAnsi="Garamond" w:cs="Times New Roman"/>
          <w:sz w:val="28"/>
          <w:szCs w:val="28"/>
        </w:rPr>
        <w:t>”, è possibile osservare non solo che identico rischio di sottrazione della pubblica amministrazione alle statuizioni del giudice può concernere pure le pronunzie civili, ma anche che</w:t>
      </w:r>
      <w:r w:rsidRPr="000500B7">
        <w:rPr>
          <w:rFonts w:ascii="Garamond" w:hAnsi="Garamond" w:cs="Times New Roman"/>
          <w:sz w:val="28"/>
          <w:szCs w:val="28"/>
        </w:rPr>
        <w:t xml:space="preserve"> </w:t>
      </w:r>
      <w:r w:rsidR="00FB0654" w:rsidRPr="000500B7">
        <w:rPr>
          <w:rFonts w:ascii="Garamond" w:hAnsi="Garamond" w:cs="Times New Roman"/>
          <w:sz w:val="28"/>
          <w:szCs w:val="28"/>
        </w:rPr>
        <w:t>l’</w:t>
      </w:r>
      <w:r w:rsidR="00CE73F8" w:rsidRPr="000500B7">
        <w:rPr>
          <w:rFonts w:ascii="Garamond" w:hAnsi="Garamond" w:cs="Times New Roman"/>
          <w:sz w:val="28"/>
          <w:szCs w:val="28"/>
        </w:rPr>
        <w:t>argomentazione</w:t>
      </w:r>
      <w:r w:rsidR="00FB0654" w:rsidRPr="000500B7">
        <w:rPr>
          <w:rFonts w:ascii="Garamond" w:hAnsi="Garamond" w:cs="Times New Roman"/>
          <w:sz w:val="28"/>
          <w:szCs w:val="28"/>
        </w:rPr>
        <w:t xml:space="preserve"> del Giudice delle leggi</w:t>
      </w:r>
      <w:r w:rsidRPr="000500B7">
        <w:rPr>
          <w:rFonts w:ascii="Garamond" w:hAnsi="Garamond" w:cs="Times New Roman"/>
          <w:sz w:val="28"/>
          <w:szCs w:val="28"/>
        </w:rPr>
        <w:t xml:space="preserve"> appare in contrasto con quanto</w:t>
      </w:r>
      <w:r w:rsidR="00CE73F8" w:rsidRPr="000500B7">
        <w:rPr>
          <w:rFonts w:ascii="Garamond" w:hAnsi="Garamond" w:cs="Times New Roman"/>
          <w:sz w:val="28"/>
          <w:szCs w:val="28"/>
        </w:rPr>
        <w:t xml:space="preserve"> affermato dalla stessa Corte costituzionale nella sentenza</w:t>
      </w:r>
      <w:r w:rsidR="00EA09A5" w:rsidRPr="000500B7">
        <w:rPr>
          <w:rFonts w:ascii="Garamond" w:hAnsi="Garamond" w:cs="Times New Roman"/>
          <w:sz w:val="28"/>
          <w:szCs w:val="28"/>
        </w:rPr>
        <w:t xml:space="preserve"> n. 406 del 12 dicembre 1998</w:t>
      </w:r>
      <w:r w:rsidR="00B82983" w:rsidRPr="000500B7">
        <w:rPr>
          <w:rFonts w:ascii="Garamond" w:hAnsi="Garamond" w:cs="Times New Roman"/>
          <w:sz w:val="28"/>
          <w:szCs w:val="28"/>
        </w:rPr>
        <w:t>.</w:t>
      </w:r>
      <w:r w:rsidR="00EA09A5" w:rsidRPr="000500B7">
        <w:rPr>
          <w:rFonts w:ascii="Garamond" w:hAnsi="Garamond" w:cs="Times New Roman"/>
          <w:sz w:val="28"/>
          <w:szCs w:val="28"/>
        </w:rPr>
        <w:t xml:space="preserve"> In questa pronuncia, resa precedentemente alla introduzione della previsione della eseguibilità</w:t>
      </w:r>
      <w:r w:rsidR="009B7FB9" w:rsidRPr="000500B7">
        <w:rPr>
          <w:rFonts w:ascii="Garamond" w:hAnsi="Garamond" w:cs="Times New Roman"/>
          <w:sz w:val="28"/>
          <w:szCs w:val="28"/>
        </w:rPr>
        <w:t>,</w:t>
      </w:r>
      <w:r w:rsidR="00EA09A5" w:rsidRPr="000500B7">
        <w:rPr>
          <w:rFonts w:ascii="Garamond" w:hAnsi="Garamond" w:cs="Times New Roman"/>
          <w:sz w:val="28"/>
          <w:szCs w:val="28"/>
        </w:rPr>
        <w:t xml:space="preserve"> con le forme del giudizio di ottemperanza</w:t>
      </w:r>
      <w:r w:rsidR="009B7FB9" w:rsidRPr="000500B7">
        <w:rPr>
          <w:rFonts w:ascii="Garamond" w:hAnsi="Garamond" w:cs="Times New Roman"/>
          <w:sz w:val="28"/>
          <w:szCs w:val="28"/>
        </w:rPr>
        <w:t>,</w:t>
      </w:r>
      <w:r w:rsidR="00EA09A5" w:rsidRPr="000500B7">
        <w:rPr>
          <w:rFonts w:ascii="Garamond" w:hAnsi="Garamond" w:cs="Times New Roman"/>
          <w:sz w:val="28"/>
          <w:szCs w:val="28"/>
        </w:rPr>
        <w:t xml:space="preserve"> anche della sentenza del giudice amministrativo non ancora passata in giudicato,</w:t>
      </w:r>
      <w:r w:rsidR="006F2A3B" w:rsidRPr="000500B7">
        <w:rPr>
          <w:rFonts w:ascii="Garamond" w:hAnsi="Garamond" w:cs="Times New Roman"/>
          <w:sz w:val="28"/>
          <w:szCs w:val="28"/>
        </w:rPr>
        <w:t xml:space="preserve"> il Giudice delle leggi ha invero evidenziato: 1) che è proprio “</w:t>
      </w:r>
      <w:r w:rsidR="006F2A3B" w:rsidRPr="0052507E">
        <w:rPr>
          <w:rFonts w:ascii="Garamond" w:hAnsi="Garamond" w:cs="Times New Roman"/>
          <w:i/>
          <w:sz w:val="28"/>
          <w:szCs w:val="28"/>
        </w:rPr>
        <w:t>l'unicità dei presupposti del ricorso per ottemperanza di sentenze dei giudici ordinari e di quelle dei giudici amministrativi</w:t>
      </w:r>
      <w:r w:rsidR="006F2A3B" w:rsidRPr="000500B7">
        <w:rPr>
          <w:rFonts w:ascii="Garamond" w:hAnsi="Garamond" w:cs="Times New Roman"/>
          <w:sz w:val="28"/>
          <w:szCs w:val="28"/>
        </w:rPr>
        <w:t>” che esclude “</w:t>
      </w:r>
      <w:r w:rsidR="006F2A3B" w:rsidRPr="0052507E">
        <w:rPr>
          <w:rFonts w:ascii="Garamond" w:hAnsi="Garamond" w:cs="Times New Roman"/>
          <w:i/>
          <w:sz w:val="28"/>
          <w:szCs w:val="28"/>
        </w:rPr>
        <w:t>qualsiasi disparità nell'ambito dei ricorsi per l'esecuzione del giudicato</w:t>
      </w:r>
      <w:r w:rsidR="006F2A3B" w:rsidRPr="000500B7">
        <w:rPr>
          <w:rFonts w:ascii="Garamond" w:hAnsi="Garamond" w:cs="Times New Roman"/>
          <w:sz w:val="28"/>
          <w:szCs w:val="28"/>
        </w:rPr>
        <w:t>”; 2) che, “</w:t>
      </w:r>
      <w:r w:rsidR="006F2A3B" w:rsidRPr="0052507E">
        <w:rPr>
          <w:rFonts w:ascii="Garamond" w:hAnsi="Garamond" w:cs="Times New Roman"/>
          <w:i/>
          <w:sz w:val="28"/>
          <w:szCs w:val="28"/>
        </w:rPr>
        <w:t>quando si tratta di sentenza di condanna al</w:t>
      </w:r>
      <w:r w:rsidR="005D5EFD" w:rsidRPr="0052507E">
        <w:rPr>
          <w:rFonts w:ascii="Garamond" w:hAnsi="Garamond" w:cs="Times New Roman"/>
          <w:i/>
          <w:sz w:val="28"/>
          <w:szCs w:val="28"/>
        </w:rPr>
        <w:t xml:space="preserve"> </w:t>
      </w:r>
      <w:r w:rsidR="006F2A3B" w:rsidRPr="0052507E">
        <w:rPr>
          <w:rFonts w:ascii="Garamond" w:hAnsi="Garamond" w:cs="Times New Roman"/>
          <w:i/>
          <w:sz w:val="28"/>
          <w:szCs w:val="28"/>
        </w:rPr>
        <w:t>pagamento di somma di denaro esattamente quantificata e determinata nell'importo, senza che vi sia</w:t>
      </w:r>
      <w:r w:rsidR="005D5EFD" w:rsidRPr="0052507E">
        <w:rPr>
          <w:rFonts w:ascii="Garamond" w:hAnsi="Garamond" w:cs="Times New Roman"/>
          <w:i/>
          <w:sz w:val="28"/>
          <w:szCs w:val="28"/>
        </w:rPr>
        <w:t xml:space="preserve"> </w:t>
      </w:r>
      <w:r w:rsidR="006F2A3B" w:rsidRPr="0052507E">
        <w:rPr>
          <w:rFonts w:ascii="Garamond" w:hAnsi="Garamond" w:cs="Times New Roman"/>
          <w:i/>
          <w:sz w:val="28"/>
          <w:szCs w:val="28"/>
        </w:rPr>
        <w:t>esigenza ulteriore di sostanziale contenuto cognitorio</w:t>
      </w:r>
      <w:r w:rsidR="006F2A3B" w:rsidRPr="000500B7">
        <w:rPr>
          <w:rFonts w:ascii="Garamond" w:hAnsi="Garamond" w:cs="Times New Roman"/>
          <w:sz w:val="28"/>
          <w:szCs w:val="28"/>
        </w:rPr>
        <w:t>”, il giudizio di ottemperanza assume “</w:t>
      </w:r>
      <w:r w:rsidR="006F2A3B" w:rsidRPr="0052507E">
        <w:rPr>
          <w:rFonts w:ascii="Garamond" w:hAnsi="Garamond" w:cs="Times New Roman"/>
          <w:i/>
          <w:sz w:val="28"/>
          <w:szCs w:val="28"/>
        </w:rPr>
        <w:t>natura di semplice giudizio esecutivo…e quindi qualificabile come rimedio complementare che si aggiunge al procedimento espropriativo del codice di procedura civile, rimesso alla scelta del creditore</w:t>
      </w:r>
      <w:r w:rsidR="006F2A3B" w:rsidRPr="000500B7">
        <w:rPr>
          <w:rFonts w:ascii="Garamond" w:hAnsi="Garamond" w:cs="Times New Roman"/>
          <w:sz w:val="28"/>
          <w:szCs w:val="28"/>
        </w:rPr>
        <w:t>”;</w:t>
      </w:r>
      <w:r w:rsidR="00EC1996" w:rsidRPr="000500B7">
        <w:rPr>
          <w:rFonts w:ascii="Garamond" w:hAnsi="Garamond" w:cs="Times New Roman"/>
          <w:sz w:val="28"/>
          <w:szCs w:val="28"/>
        </w:rPr>
        <w:t xml:space="preserve"> 3) che, pur </w:t>
      </w:r>
      <w:r w:rsidR="006C7073" w:rsidRPr="000500B7">
        <w:rPr>
          <w:rFonts w:ascii="Garamond" w:hAnsi="Garamond" w:cs="Times New Roman"/>
          <w:sz w:val="28"/>
          <w:szCs w:val="28"/>
        </w:rPr>
        <w:t>non esiste</w:t>
      </w:r>
      <w:r w:rsidR="00EC1996" w:rsidRPr="000500B7">
        <w:rPr>
          <w:rFonts w:ascii="Garamond" w:hAnsi="Garamond" w:cs="Times New Roman"/>
          <w:sz w:val="28"/>
          <w:szCs w:val="28"/>
        </w:rPr>
        <w:t>ndo</w:t>
      </w:r>
      <w:r w:rsidR="006C7073" w:rsidRPr="000500B7">
        <w:rPr>
          <w:rFonts w:ascii="Garamond" w:hAnsi="Garamond" w:cs="Times New Roman"/>
          <w:sz w:val="28"/>
          <w:szCs w:val="28"/>
        </w:rPr>
        <w:t xml:space="preserve"> </w:t>
      </w:r>
      <w:r w:rsidR="00EC1996" w:rsidRPr="000500B7">
        <w:rPr>
          <w:rFonts w:ascii="Garamond" w:hAnsi="Garamond" w:cs="Times New Roman"/>
          <w:sz w:val="28"/>
          <w:szCs w:val="28"/>
        </w:rPr>
        <w:t>“</w:t>
      </w:r>
      <w:r w:rsidR="006C7073" w:rsidRPr="0052507E">
        <w:rPr>
          <w:rFonts w:ascii="Garamond" w:hAnsi="Garamond" w:cs="Times New Roman"/>
          <w:i/>
          <w:sz w:val="28"/>
          <w:szCs w:val="28"/>
        </w:rPr>
        <w:t>un principio (costituzionalmente rilevante) di necessaria uniformità di regole processuali tra i diversi tipi di processo (civile e amministrativo)</w:t>
      </w:r>
      <w:r w:rsidR="006C7073" w:rsidRPr="000500B7">
        <w:rPr>
          <w:rFonts w:ascii="Garamond" w:hAnsi="Garamond" w:cs="Times New Roman"/>
          <w:sz w:val="28"/>
          <w:szCs w:val="28"/>
        </w:rPr>
        <w:t>”, i rispettivi ordinamenti</w:t>
      </w:r>
      <w:r w:rsidR="00EC1996" w:rsidRPr="000500B7">
        <w:rPr>
          <w:rFonts w:ascii="Garamond" w:hAnsi="Garamond" w:cs="Times New Roman"/>
          <w:sz w:val="28"/>
          <w:szCs w:val="28"/>
        </w:rPr>
        <w:t xml:space="preserve"> </w:t>
      </w:r>
      <w:r w:rsidR="006C7073" w:rsidRPr="000500B7">
        <w:rPr>
          <w:rFonts w:ascii="Garamond" w:hAnsi="Garamond" w:cs="Times New Roman"/>
          <w:sz w:val="28"/>
          <w:szCs w:val="28"/>
        </w:rPr>
        <w:t>processuali</w:t>
      </w:r>
      <w:r w:rsidR="00EC1996" w:rsidRPr="000500B7">
        <w:rPr>
          <w:rFonts w:ascii="Garamond" w:hAnsi="Garamond" w:cs="Times New Roman"/>
          <w:sz w:val="28"/>
          <w:szCs w:val="28"/>
        </w:rPr>
        <w:t xml:space="preserve"> possono</w:t>
      </w:r>
      <w:r w:rsidR="006C7073" w:rsidRPr="000500B7">
        <w:rPr>
          <w:rFonts w:ascii="Garamond" w:hAnsi="Garamond" w:cs="Times New Roman"/>
          <w:sz w:val="28"/>
          <w:szCs w:val="28"/>
        </w:rPr>
        <w:t xml:space="preserve"> differenziarsi </w:t>
      </w:r>
      <w:r w:rsidR="00EC1996" w:rsidRPr="000500B7">
        <w:rPr>
          <w:rFonts w:ascii="Garamond" w:hAnsi="Garamond" w:cs="Times New Roman"/>
          <w:sz w:val="28"/>
          <w:szCs w:val="28"/>
        </w:rPr>
        <w:t xml:space="preserve">solo </w:t>
      </w:r>
      <w:r w:rsidR="006C7073" w:rsidRPr="000500B7">
        <w:rPr>
          <w:rFonts w:ascii="Garamond" w:hAnsi="Garamond" w:cs="Times New Roman"/>
          <w:sz w:val="28"/>
          <w:szCs w:val="28"/>
        </w:rPr>
        <w:t>sulla base di una scelta</w:t>
      </w:r>
      <w:r w:rsidR="00EC1996" w:rsidRPr="000500B7">
        <w:rPr>
          <w:rFonts w:ascii="Garamond" w:hAnsi="Garamond" w:cs="Times New Roman"/>
          <w:sz w:val="28"/>
          <w:szCs w:val="28"/>
        </w:rPr>
        <w:t xml:space="preserve"> legislativa che sia</w:t>
      </w:r>
      <w:r w:rsidR="006C7073" w:rsidRPr="000500B7">
        <w:rPr>
          <w:rFonts w:ascii="Garamond" w:hAnsi="Garamond" w:cs="Times New Roman"/>
          <w:sz w:val="28"/>
          <w:szCs w:val="28"/>
        </w:rPr>
        <w:t xml:space="preserve"> </w:t>
      </w:r>
      <w:r w:rsidR="00EC1996" w:rsidRPr="000500B7">
        <w:rPr>
          <w:rFonts w:ascii="Garamond" w:hAnsi="Garamond" w:cs="Times New Roman"/>
          <w:sz w:val="28"/>
          <w:szCs w:val="28"/>
        </w:rPr>
        <w:t>“</w:t>
      </w:r>
      <w:r w:rsidR="006C7073" w:rsidRPr="0052507E">
        <w:rPr>
          <w:rFonts w:ascii="Garamond" w:hAnsi="Garamond" w:cs="Times New Roman"/>
          <w:i/>
          <w:sz w:val="28"/>
          <w:szCs w:val="28"/>
        </w:rPr>
        <w:t>razionale</w:t>
      </w:r>
      <w:r w:rsidR="00EC1996" w:rsidRPr="000500B7">
        <w:rPr>
          <w:rFonts w:ascii="Garamond" w:hAnsi="Garamond" w:cs="Times New Roman"/>
          <w:sz w:val="28"/>
          <w:szCs w:val="28"/>
        </w:rPr>
        <w:t>”</w:t>
      </w:r>
      <w:r w:rsidR="006C7073" w:rsidRPr="000500B7">
        <w:rPr>
          <w:rFonts w:ascii="Garamond" w:hAnsi="Garamond" w:cs="Times New Roman"/>
          <w:sz w:val="28"/>
          <w:szCs w:val="28"/>
        </w:rPr>
        <w:t>,</w:t>
      </w:r>
      <w:r w:rsidR="00EC1996" w:rsidRPr="000500B7">
        <w:rPr>
          <w:rFonts w:ascii="Garamond" w:hAnsi="Garamond" w:cs="Times New Roman"/>
          <w:sz w:val="28"/>
          <w:szCs w:val="28"/>
        </w:rPr>
        <w:t xml:space="preserve"> che</w:t>
      </w:r>
      <w:r w:rsidR="006C7073" w:rsidRPr="000500B7">
        <w:rPr>
          <w:rFonts w:ascii="Garamond" w:hAnsi="Garamond" w:cs="Times New Roman"/>
          <w:sz w:val="28"/>
          <w:szCs w:val="28"/>
        </w:rPr>
        <w:t xml:space="preserve"> deriv</w:t>
      </w:r>
      <w:r w:rsidR="00EC1996" w:rsidRPr="000500B7">
        <w:rPr>
          <w:rFonts w:ascii="Garamond" w:hAnsi="Garamond" w:cs="Times New Roman"/>
          <w:sz w:val="28"/>
          <w:szCs w:val="28"/>
        </w:rPr>
        <w:t>i</w:t>
      </w:r>
      <w:r w:rsidR="006C7073" w:rsidRPr="000500B7">
        <w:rPr>
          <w:rFonts w:ascii="Garamond" w:hAnsi="Garamond" w:cs="Times New Roman"/>
          <w:sz w:val="28"/>
          <w:szCs w:val="28"/>
        </w:rPr>
        <w:t xml:space="preserve"> </w:t>
      </w:r>
      <w:r w:rsidR="00EC1996" w:rsidRPr="000500B7">
        <w:rPr>
          <w:rFonts w:ascii="Garamond" w:hAnsi="Garamond" w:cs="Times New Roman"/>
          <w:sz w:val="28"/>
          <w:szCs w:val="28"/>
        </w:rPr>
        <w:t>“</w:t>
      </w:r>
      <w:r w:rsidR="006C7073" w:rsidRPr="0052507E">
        <w:rPr>
          <w:rFonts w:ascii="Garamond" w:hAnsi="Garamond" w:cs="Times New Roman"/>
          <w:i/>
          <w:sz w:val="28"/>
          <w:szCs w:val="28"/>
        </w:rPr>
        <w:t>dal tipo di</w:t>
      </w:r>
      <w:r w:rsidR="00EC1996" w:rsidRPr="0052507E">
        <w:rPr>
          <w:rFonts w:ascii="Garamond" w:hAnsi="Garamond" w:cs="Times New Roman"/>
          <w:i/>
          <w:sz w:val="28"/>
          <w:szCs w:val="28"/>
        </w:rPr>
        <w:t xml:space="preserve"> </w:t>
      </w:r>
      <w:r w:rsidR="006C7073" w:rsidRPr="0052507E">
        <w:rPr>
          <w:rFonts w:ascii="Garamond" w:hAnsi="Garamond" w:cs="Times New Roman"/>
          <w:i/>
          <w:sz w:val="28"/>
          <w:szCs w:val="28"/>
        </w:rPr>
        <w:t>configurazione del processo e dalle situazioni sostanziali dedotte in giudizio</w:t>
      </w:r>
      <w:r w:rsidR="00EC1996" w:rsidRPr="000500B7">
        <w:rPr>
          <w:rFonts w:ascii="Garamond" w:hAnsi="Garamond" w:cs="Times New Roman"/>
          <w:sz w:val="28"/>
          <w:szCs w:val="28"/>
        </w:rPr>
        <w:t>”</w:t>
      </w:r>
      <w:r w:rsidR="006C7073" w:rsidRPr="000500B7">
        <w:rPr>
          <w:rFonts w:ascii="Garamond" w:hAnsi="Garamond" w:cs="Times New Roman"/>
          <w:sz w:val="28"/>
          <w:szCs w:val="28"/>
        </w:rPr>
        <w:t xml:space="preserve">, </w:t>
      </w:r>
      <w:r w:rsidR="00EC1996" w:rsidRPr="000500B7">
        <w:rPr>
          <w:rFonts w:ascii="Garamond" w:hAnsi="Garamond" w:cs="Times New Roman"/>
          <w:sz w:val="28"/>
          <w:szCs w:val="28"/>
        </w:rPr>
        <w:t>ed</w:t>
      </w:r>
      <w:r w:rsidR="006C7073" w:rsidRPr="000500B7">
        <w:rPr>
          <w:rFonts w:ascii="Garamond" w:hAnsi="Garamond" w:cs="Times New Roman"/>
          <w:sz w:val="28"/>
          <w:szCs w:val="28"/>
        </w:rPr>
        <w:t xml:space="preserve"> </w:t>
      </w:r>
      <w:r w:rsidR="00EC1996" w:rsidRPr="000500B7">
        <w:rPr>
          <w:rFonts w:ascii="Garamond" w:hAnsi="Garamond" w:cs="Times New Roman"/>
          <w:sz w:val="28"/>
          <w:szCs w:val="28"/>
        </w:rPr>
        <w:t>“</w:t>
      </w:r>
      <w:r w:rsidR="006C7073" w:rsidRPr="00F11650">
        <w:rPr>
          <w:rFonts w:ascii="Garamond" w:hAnsi="Garamond" w:cs="Times New Roman"/>
          <w:i/>
          <w:sz w:val="28"/>
          <w:szCs w:val="28"/>
        </w:rPr>
        <w:t>a condizione</w:t>
      </w:r>
      <w:r w:rsidR="00EC1996" w:rsidRPr="00F11650">
        <w:rPr>
          <w:rFonts w:ascii="Garamond" w:hAnsi="Garamond" w:cs="Times New Roman"/>
          <w:i/>
          <w:sz w:val="28"/>
          <w:szCs w:val="28"/>
        </w:rPr>
        <w:t xml:space="preserve"> </w:t>
      </w:r>
      <w:r w:rsidR="006C7073" w:rsidRPr="00F11650">
        <w:rPr>
          <w:rFonts w:ascii="Garamond" w:hAnsi="Garamond" w:cs="Times New Roman"/>
          <w:i/>
          <w:sz w:val="28"/>
          <w:szCs w:val="28"/>
        </w:rPr>
        <w:t>che non siano vulnerati i principi fondamentali di garanzia ed effettività della tutela</w:t>
      </w:r>
      <w:r w:rsidR="00EC1996" w:rsidRPr="000500B7">
        <w:rPr>
          <w:rFonts w:ascii="Garamond" w:hAnsi="Garamond" w:cs="Times New Roman"/>
          <w:sz w:val="28"/>
          <w:szCs w:val="28"/>
        </w:rPr>
        <w:t>”.</w:t>
      </w:r>
    </w:p>
    <w:p w14:paraId="28556A4F" w14:textId="77777777" w:rsidR="006E3B5E" w:rsidRDefault="00ED2424" w:rsidP="000500B7">
      <w:pPr>
        <w:autoSpaceDE w:val="0"/>
        <w:autoSpaceDN w:val="0"/>
        <w:adjustRightInd w:val="0"/>
        <w:spacing w:after="0" w:line="360" w:lineRule="auto"/>
        <w:ind w:firstLine="709"/>
        <w:jc w:val="both"/>
        <w:rPr>
          <w:rFonts w:ascii="Garamond" w:hAnsi="Garamond" w:cs="Times New Roman"/>
          <w:sz w:val="28"/>
          <w:szCs w:val="28"/>
        </w:rPr>
      </w:pPr>
      <w:r>
        <w:rPr>
          <w:rFonts w:ascii="Garamond" w:hAnsi="Garamond" w:cs="Times New Roman"/>
          <w:sz w:val="28"/>
          <w:szCs w:val="28"/>
        </w:rPr>
        <w:t>Parole chiare, queste,</w:t>
      </w:r>
      <w:r w:rsidR="00094203">
        <w:rPr>
          <w:rFonts w:ascii="Garamond" w:hAnsi="Garamond" w:cs="Times New Roman"/>
          <w:sz w:val="28"/>
          <w:szCs w:val="28"/>
        </w:rPr>
        <w:t xml:space="preserve"> poste a presidio di princìpi ancora oggi fortunatamente non conculcabili</w:t>
      </w:r>
      <w:r w:rsidR="008138E4">
        <w:rPr>
          <w:rFonts w:ascii="Garamond" w:hAnsi="Garamond" w:cs="Times New Roman"/>
          <w:sz w:val="28"/>
          <w:szCs w:val="28"/>
        </w:rPr>
        <w:t xml:space="preserve"> e che dovrebbero indurre a rinnovate riflessioni</w:t>
      </w:r>
      <w:r w:rsidR="00094203">
        <w:rPr>
          <w:rFonts w:ascii="Garamond" w:hAnsi="Garamond" w:cs="Times New Roman"/>
          <w:sz w:val="28"/>
          <w:szCs w:val="28"/>
        </w:rPr>
        <w:t>.</w:t>
      </w:r>
    </w:p>
    <w:p w14:paraId="6FDC11B8" w14:textId="77777777" w:rsidR="00B75294" w:rsidRDefault="00B75294" w:rsidP="00094203">
      <w:pPr>
        <w:autoSpaceDE w:val="0"/>
        <w:autoSpaceDN w:val="0"/>
        <w:adjustRightInd w:val="0"/>
        <w:spacing w:after="0" w:line="240" w:lineRule="auto"/>
        <w:ind w:firstLine="709"/>
        <w:jc w:val="center"/>
        <w:rPr>
          <w:rFonts w:ascii="Garamond" w:hAnsi="Garamond" w:cs="Times New Roman"/>
          <w:b/>
          <w:smallCaps/>
          <w:sz w:val="28"/>
          <w:szCs w:val="28"/>
        </w:rPr>
      </w:pPr>
    </w:p>
    <w:p w14:paraId="7584F11D" w14:textId="6CA9164F" w:rsidR="00094203" w:rsidRDefault="00094203" w:rsidP="00C26E1F">
      <w:pPr>
        <w:autoSpaceDE w:val="0"/>
        <w:autoSpaceDN w:val="0"/>
        <w:adjustRightInd w:val="0"/>
        <w:spacing w:after="0"/>
        <w:jc w:val="both"/>
        <w:rPr>
          <w:rFonts w:ascii="Times New Roman" w:eastAsia="Aptos" w:hAnsi="Times New Roman" w:cs="Times New Roman"/>
          <w:i/>
          <w:iCs/>
          <w:kern w:val="2"/>
          <w:sz w:val="24"/>
          <w14:ligatures w14:val="standardContextual"/>
        </w:rPr>
      </w:pPr>
      <w:r w:rsidRPr="00C26E1F">
        <w:rPr>
          <w:rFonts w:ascii="Times New Roman" w:eastAsia="Aptos" w:hAnsi="Times New Roman" w:cs="Times New Roman"/>
          <w:i/>
          <w:iCs/>
          <w:kern w:val="2"/>
          <w:sz w:val="24"/>
          <w14:ligatures w14:val="standardContextual"/>
        </w:rPr>
        <w:t>Ignazio Zingales</w:t>
      </w:r>
      <w:r w:rsidR="00C26E1F">
        <w:rPr>
          <w:rFonts w:ascii="Times New Roman" w:eastAsia="Aptos" w:hAnsi="Times New Roman" w:cs="Times New Roman"/>
          <w:i/>
          <w:iCs/>
          <w:kern w:val="2"/>
          <w:sz w:val="24"/>
          <w14:ligatures w14:val="standardContextual"/>
        </w:rPr>
        <w:t xml:space="preserve">, </w:t>
      </w:r>
      <w:r w:rsidR="00F90377" w:rsidRPr="00C26E1F">
        <w:rPr>
          <w:rFonts w:ascii="Times New Roman" w:eastAsia="Aptos" w:hAnsi="Times New Roman" w:cs="Times New Roman"/>
          <w:i/>
          <w:iCs/>
          <w:kern w:val="2"/>
          <w:sz w:val="24"/>
          <w14:ligatures w14:val="standardContextual"/>
        </w:rPr>
        <w:t>Professore o</w:t>
      </w:r>
      <w:r w:rsidRPr="00C26E1F">
        <w:rPr>
          <w:rFonts w:ascii="Times New Roman" w:eastAsia="Aptos" w:hAnsi="Times New Roman" w:cs="Times New Roman"/>
          <w:i/>
          <w:iCs/>
          <w:kern w:val="2"/>
          <w:sz w:val="24"/>
          <w14:ligatures w14:val="standardContextual"/>
        </w:rPr>
        <w:t>rdinario di Diritto processuale civile nell’Università degli Studi di Catania</w:t>
      </w:r>
      <w:r w:rsidR="00C26E1F">
        <w:rPr>
          <w:rFonts w:ascii="Times New Roman" w:eastAsia="Aptos" w:hAnsi="Times New Roman" w:cs="Times New Roman"/>
          <w:i/>
          <w:iCs/>
          <w:kern w:val="2"/>
          <w:sz w:val="24"/>
          <w14:ligatures w14:val="standardContextual"/>
        </w:rPr>
        <w:t>.</w:t>
      </w:r>
    </w:p>
    <w:p w14:paraId="339A6C6C" w14:textId="77777777" w:rsidR="00C26E1F" w:rsidRPr="00C26E1F" w:rsidRDefault="00C26E1F" w:rsidP="00C26E1F">
      <w:pPr>
        <w:autoSpaceDE w:val="0"/>
        <w:autoSpaceDN w:val="0"/>
        <w:adjustRightInd w:val="0"/>
        <w:spacing w:after="0"/>
        <w:jc w:val="both"/>
        <w:rPr>
          <w:rFonts w:ascii="Times New Roman" w:eastAsia="Aptos" w:hAnsi="Times New Roman" w:cs="Times New Roman"/>
          <w:i/>
          <w:iCs/>
          <w:kern w:val="2"/>
          <w:sz w:val="24"/>
          <w14:ligatures w14:val="standardContextual"/>
        </w:rPr>
      </w:pPr>
    </w:p>
    <w:p w14:paraId="3F3EE7D2" w14:textId="77777777" w:rsidR="00C26E1F" w:rsidRPr="00C26E1F" w:rsidRDefault="00C26E1F" w:rsidP="00C26E1F">
      <w:pPr>
        <w:spacing w:after="160"/>
        <w:jc w:val="both"/>
        <w:rPr>
          <w:rFonts w:ascii="Times New Roman" w:eastAsia="Aptos" w:hAnsi="Times New Roman" w:cs="Times New Roman"/>
          <w:kern w:val="2"/>
          <w:sz w:val="24"/>
          <w14:ligatures w14:val="standardContextual"/>
        </w:rPr>
      </w:pPr>
      <w:r w:rsidRPr="00C26E1F">
        <w:rPr>
          <w:rFonts w:ascii="Times New Roman" w:eastAsia="Aptos" w:hAnsi="Times New Roman" w:cs="Times New Roman"/>
          <w:i/>
          <w:iCs/>
          <w:kern w:val="2"/>
          <w:sz w:val="24"/>
          <w14:ligatures w14:val="standardContextual"/>
        </w:rPr>
        <w:t>Le opinioni di cui al presente contributo sono espresse dall’Autore a titolo personale; esse non impegnano l'Ufficio studi della Giustizia amministrativa, né quest'ultima quale Istituzione.</w:t>
      </w:r>
    </w:p>
    <w:p w14:paraId="3A7E9BE4" w14:textId="77777777" w:rsidR="00D44767" w:rsidRPr="000500B7" w:rsidRDefault="00D44767" w:rsidP="000500B7">
      <w:pPr>
        <w:spacing w:after="0" w:line="360" w:lineRule="auto"/>
        <w:ind w:firstLine="709"/>
        <w:jc w:val="both"/>
        <w:rPr>
          <w:rFonts w:ascii="Garamond" w:hAnsi="Garamond"/>
          <w:sz w:val="28"/>
          <w:szCs w:val="28"/>
        </w:rPr>
      </w:pPr>
    </w:p>
    <w:p w14:paraId="262F5D7C" w14:textId="77777777" w:rsidR="00D44767" w:rsidRPr="000500B7" w:rsidRDefault="00D44767" w:rsidP="000500B7">
      <w:pPr>
        <w:spacing w:after="0" w:line="360" w:lineRule="auto"/>
        <w:ind w:firstLine="709"/>
        <w:jc w:val="both"/>
        <w:rPr>
          <w:rFonts w:ascii="Garamond" w:hAnsi="Garamond"/>
          <w:sz w:val="28"/>
          <w:szCs w:val="28"/>
        </w:rPr>
      </w:pPr>
    </w:p>
    <w:sectPr w:rsidR="00D44767" w:rsidRPr="000500B7">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98E56" w14:textId="77777777" w:rsidR="009A7526" w:rsidRDefault="009A7526" w:rsidP="006C02B6">
      <w:pPr>
        <w:spacing w:after="0" w:line="240" w:lineRule="auto"/>
      </w:pPr>
      <w:r>
        <w:separator/>
      </w:r>
    </w:p>
  </w:endnote>
  <w:endnote w:type="continuationSeparator" w:id="0">
    <w:p w14:paraId="01C17027" w14:textId="77777777" w:rsidR="009A7526" w:rsidRDefault="009A7526" w:rsidP="006C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10C1" w14:textId="77777777" w:rsidR="009A7526" w:rsidRDefault="009A7526" w:rsidP="006C02B6">
      <w:pPr>
        <w:spacing w:after="0" w:line="240" w:lineRule="auto"/>
      </w:pPr>
      <w:r>
        <w:separator/>
      </w:r>
    </w:p>
  </w:footnote>
  <w:footnote w:type="continuationSeparator" w:id="0">
    <w:p w14:paraId="3D7EDDA0" w14:textId="77777777" w:rsidR="009A7526" w:rsidRDefault="009A7526" w:rsidP="006C02B6">
      <w:pPr>
        <w:spacing w:after="0" w:line="240" w:lineRule="auto"/>
      </w:pPr>
      <w:r>
        <w:continuationSeparator/>
      </w:r>
    </w:p>
  </w:footnote>
  <w:footnote w:id="1">
    <w:p w14:paraId="34C9A951" w14:textId="77777777" w:rsidR="00527CA9" w:rsidRPr="009604BE" w:rsidRDefault="00527CA9" w:rsidP="003D6CFF">
      <w:pPr>
        <w:pStyle w:val="Testonotaapidipagina"/>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Le pagine che seguono costituiscono </w:t>
      </w:r>
      <w:r w:rsidR="002C5F4A" w:rsidRPr="009604BE">
        <w:rPr>
          <w:rFonts w:ascii="Garamond" w:hAnsi="Garamond"/>
          <w:sz w:val="26"/>
          <w:szCs w:val="26"/>
        </w:rPr>
        <w:t xml:space="preserve">la traccia della relazione svolta </w:t>
      </w:r>
      <w:r w:rsidR="003D6CFF" w:rsidRPr="009604BE">
        <w:rPr>
          <w:rFonts w:ascii="Garamond" w:hAnsi="Garamond"/>
          <w:sz w:val="26"/>
          <w:szCs w:val="26"/>
        </w:rPr>
        <w:t xml:space="preserve">a Siracusa in data 3 ottobre 2025 </w:t>
      </w:r>
      <w:r w:rsidR="002C5F4A" w:rsidRPr="009604BE">
        <w:rPr>
          <w:rFonts w:ascii="Garamond" w:hAnsi="Garamond"/>
          <w:sz w:val="26"/>
          <w:szCs w:val="26"/>
        </w:rPr>
        <w:t xml:space="preserve">al </w:t>
      </w:r>
      <w:r w:rsidR="003D6CFF" w:rsidRPr="009604BE">
        <w:rPr>
          <w:rFonts w:ascii="Garamond" w:hAnsi="Garamond"/>
          <w:sz w:val="26"/>
          <w:szCs w:val="26"/>
        </w:rPr>
        <w:t>convegno “</w:t>
      </w:r>
      <w:r w:rsidR="003D6CFF" w:rsidRPr="009604BE">
        <w:rPr>
          <w:rFonts w:ascii="Garamond" w:hAnsi="Garamond"/>
          <w:i/>
          <w:sz w:val="26"/>
          <w:szCs w:val="26"/>
        </w:rPr>
        <w:t>Ottemperanza ed esecuzione negli enti locali, tra scelte amministrative e poteri del giudice</w:t>
      </w:r>
      <w:r w:rsidR="003D6CFF" w:rsidRPr="009604BE">
        <w:rPr>
          <w:rFonts w:ascii="Garamond" w:hAnsi="Garamond"/>
          <w:sz w:val="26"/>
          <w:szCs w:val="26"/>
        </w:rPr>
        <w:t>”, organizzato dall’Ufficio studi e formazione della Giustizia amministrativa, con la collaborazione dell’Unione nazionale Segretari comunali e provinciali.</w:t>
      </w:r>
    </w:p>
  </w:footnote>
  <w:footnote w:id="2">
    <w:p w14:paraId="37715AFF" w14:textId="77777777" w:rsidR="00474357" w:rsidRDefault="00474357" w:rsidP="004E64B0">
      <w:pPr>
        <w:pStyle w:val="Testonotaapidipagina"/>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w:t>
      </w:r>
      <w:r w:rsidR="001D6681" w:rsidRPr="009604BE">
        <w:rPr>
          <w:rFonts w:ascii="Garamond" w:hAnsi="Garamond"/>
          <w:sz w:val="26"/>
          <w:szCs w:val="26"/>
        </w:rPr>
        <w:t xml:space="preserve">Su questi temi e per le considerazioni che seguono mi permetto di rinviare a </w:t>
      </w:r>
      <w:r w:rsidR="00BE7D79" w:rsidRPr="009604BE">
        <w:rPr>
          <w:rFonts w:ascii="Garamond" w:hAnsi="Garamond"/>
          <w:sz w:val="26"/>
          <w:szCs w:val="26"/>
        </w:rPr>
        <w:t xml:space="preserve">I. </w:t>
      </w:r>
      <w:r w:rsidR="001D6681" w:rsidRPr="009604BE">
        <w:rPr>
          <w:rFonts w:ascii="Garamond" w:hAnsi="Garamond"/>
          <w:smallCaps/>
          <w:sz w:val="26"/>
          <w:szCs w:val="26"/>
        </w:rPr>
        <w:t xml:space="preserve">Zingales, </w:t>
      </w:r>
      <w:r w:rsidR="001364DC" w:rsidRPr="009604BE">
        <w:rPr>
          <w:rFonts w:ascii="Garamond" w:hAnsi="Garamond"/>
          <w:i/>
          <w:sz w:val="26"/>
          <w:szCs w:val="26"/>
        </w:rPr>
        <w:t>Tutela giurisdizionale ordinaria, principio di separazione dei poteri e modelli di esecuzione delle sentenze civili di condanna nei confronti della pubblica amministrazione: aspetti problematici</w:t>
      </w:r>
      <w:r w:rsidR="001364DC" w:rsidRPr="009604BE">
        <w:rPr>
          <w:rFonts w:ascii="Garamond" w:hAnsi="Garamond"/>
          <w:sz w:val="26"/>
          <w:szCs w:val="26"/>
        </w:rPr>
        <w:t xml:space="preserve">, in </w:t>
      </w:r>
      <w:proofErr w:type="spellStart"/>
      <w:r w:rsidR="001364DC" w:rsidRPr="009604BE">
        <w:rPr>
          <w:rFonts w:ascii="Garamond" w:hAnsi="Garamond"/>
          <w:i/>
          <w:sz w:val="26"/>
          <w:szCs w:val="26"/>
        </w:rPr>
        <w:t>Judicium</w:t>
      </w:r>
      <w:proofErr w:type="spellEnd"/>
      <w:r w:rsidR="001364DC" w:rsidRPr="009604BE">
        <w:rPr>
          <w:rFonts w:ascii="Garamond" w:hAnsi="Garamond"/>
          <w:sz w:val="26"/>
          <w:szCs w:val="26"/>
        </w:rPr>
        <w:t xml:space="preserve"> – www.judicium.it, 2014</w:t>
      </w:r>
      <w:r w:rsidR="001D6681" w:rsidRPr="009604BE">
        <w:rPr>
          <w:rFonts w:ascii="Garamond" w:hAnsi="Garamond"/>
          <w:sz w:val="26"/>
          <w:szCs w:val="26"/>
        </w:rPr>
        <w:t xml:space="preserve">; Id., </w:t>
      </w:r>
      <w:r w:rsidR="001364DC" w:rsidRPr="009604BE">
        <w:rPr>
          <w:rFonts w:ascii="Garamond" w:hAnsi="Garamond"/>
          <w:i/>
          <w:sz w:val="26"/>
          <w:szCs w:val="26"/>
        </w:rPr>
        <w:t>Sentenza civile di condanna pecuniaria non passata in giudicato ed esecuzione attraverso gli strumenti del giudizio di ottemperanza</w:t>
      </w:r>
      <w:r w:rsidR="001364DC" w:rsidRPr="009604BE">
        <w:rPr>
          <w:rFonts w:ascii="Garamond" w:hAnsi="Garamond"/>
          <w:sz w:val="26"/>
          <w:szCs w:val="26"/>
        </w:rPr>
        <w:t xml:space="preserve">, in </w:t>
      </w:r>
      <w:r w:rsidR="001364DC" w:rsidRPr="009604BE">
        <w:rPr>
          <w:rFonts w:ascii="Garamond" w:hAnsi="Garamond"/>
          <w:i/>
          <w:sz w:val="26"/>
          <w:szCs w:val="26"/>
        </w:rPr>
        <w:t>Il Consiglio di Stato</w:t>
      </w:r>
      <w:r w:rsidR="001D6681" w:rsidRPr="009604BE">
        <w:rPr>
          <w:rFonts w:ascii="Garamond" w:hAnsi="Garamond"/>
          <w:sz w:val="26"/>
          <w:szCs w:val="26"/>
        </w:rPr>
        <w:t>, 2003, parte II</w:t>
      </w:r>
      <w:r w:rsidR="001364DC" w:rsidRPr="009604BE">
        <w:rPr>
          <w:rFonts w:ascii="Garamond" w:hAnsi="Garamond"/>
          <w:sz w:val="26"/>
          <w:szCs w:val="26"/>
        </w:rPr>
        <w:t>, p. 2473 ss.</w:t>
      </w:r>
    </w:p>
    <w:p w14:paraId="12BCC8EC" w14:textId="77777777" w:rsidR="00355EFE" w:rsidRPr="000801DF" w:rsidRDefault="00355EFE" w:rsidP="0065452C">
      <w:pPr>
        <w:pStyle w:val="Testonotaapidipagina"/>
        <w:jc w:val="both"/>
        <w:rPr>
          <w:rFonts w:ascii="Garamond" w:hAnsi="Garamond"/>
          <w:sz w:val="26"/>
          <w:szCs w:val="26"/>
        </w:rPr>
      </w:pPr>
      <w:r w:rsidRPr="000801DF">
        <w:rPr>
          <w:rFonts w:ascii="Garamond" w:hAnsi="Garamond"/>
          <w:sz w:val="26"/>
          <w:szCs w:val="26"/>
        </w:rPr>
        <w:t xml:space="preserve">Di </w:t>
      </w:r>
      <w:r w:rsidR="0065452C" w:rsidRPr="000801DF">
        <w:rPr>
          <w:rFonts w:ascii="Garamond" w:hAnsi="Garamond"/>
          <w:sz w:val="26"/>
          <w:szCs w:val="26"/>
        </w:rPr>
        <w:t>grandissimo</w:t>
      </w:r>
      <w:r w:rsidRPr="000801DF">
        <w:rPr>
          <w:rFonts w:ascii="Garamond" w:hAnsi="Garamond"/>
          <w:sz w:val="26"/>
          <w:szCs w:val="26"/>
        </w:rPr>
        <w:t xml:space="preserve"> interesse è pure il tema della individuazione </w:t>
      </w:r>
      <w:r w:rsidR="000801DF">
        <w:rPr>
          <w:rFonts w:ascii="Garamond" w:hAnsi="Garamond"/>
          <w:sz w:val="26"/>
          <w:szCs w:val="26"/>
        </w:rPr>
        <w:t>tanto dei limiti di adottabilità quanto</w:t>
      </w:r>
      <w:r w:rsidRPr="000801DF">
        <w:rPr>
          <w:rFonts w:ascii="Garamond" w:hAnsi="Garamond"/>
          <w:sz w:val="26"/>
          <w:szCs w:val="26"/>
        </w:rPr>
        <w:t xml:space="preserve"> delle forme di esecuzione delle pronunzie del giudice ordinario di condanna della pubblica amministrazione alla</w:t>
      </w:r>
      <w:r w:rsidR="000801DF">
        <w:rPr>
          <w:rFonts w:ascii="Garamond" w:hAnsi="Garamond"/>
          <w:sz w:val="26"/>
          <w:szCs w:val="26"/>
        </w:rPr>
        <w:t xml:space="preserve"> emanazione</w:t>
      </w:r>
      <w:r w:rsidR="0065452C" w:rsidRPr="000801DF">
        <w:rPr>
          <w:rFonts w:ascii="Garamond" w:hAnsi="Garamond"/>
          <w:sz w:val="26"/>
          <w:szCs w:val="26"/>
        </w:rPr>
        <w:t xml:space="preserve"> di uno specifico</w:t>
      </w:r>
      <w:r w:rsidRPr="000801DF">
        <w:rPr>
          <w:rFonts w:ascii="Garamond" w:hAnsi="Garamond"/>
          <w:sz w:val="26"/>
          <w:szCs w:val="26"/>
        </w:rPr>
        <w:t xml:space="preserve"> provvedimento. Sull’argomento, che in questa sede può essere solo accennato, cfr.</w:t>
      </w:r>
      <w:r w:rsidR="0065452C" w:rsidRPr="000801DF">
        <w:rPr>
          <w:rFonts w:ascii="Garamond" w:hAnsi="Garamond"/>
          <w:sz w:val="26"/>
          <w:szCs w:val="26"/>
        </w:rPr>
        <w:t xml:space="preserve"> I. </w:t>
      </w:r>
      <w:r w:rsidR="0065452C" w:rsidRPr="000801DF">
        <w:rPr>
          <w:rFonts w:ascii="Garamond" w:hAnsi="Garamond"/>
          <w:smallCaps/>
          <w:sz w:val="26"/>
          <w:szCs w:val="26"/>
        </w:rPr>
        <w:t xml:space="preserve">Zingales, </w:t>
      </w:r>
      <w:r w:rsidR="0065452C" w:rsidRPr="000801DF">
        <w:rPr>
          <w:rFonts w:ascii="Garamond" w:hAnsi="Garamond"/>
          <w:i/>
          <w:sz w:val="26"/>
          <w:szCs w:val="26"/>
        </w:rPr>
        <w:t>Tutela giurisdizionale ordinaria, principio di separazione dei poteri e modelli di esecuzione delle sentenze civili di condanna nei confronti della pubblica amministrazione: aspetti problematici</w:t>
      </w:r>
      <w:r w:rsidR="0065452C" w:rsidRPr="000801DF">
        <w:rPr>
          <w:rFonts w:ascii="Garamond" w:hAnsi="Garamond"/>
          <w:sz w:val="26"/>
          <w:szCs w:val="26"/>
        </w:rPr>
        <w:t xml:space="preserve">, cit.; Id., </w:t>
      </w:r>
      <w:r w:rsidR="000801DF" w:rsidRPr="000801DF">
        <w:rPr>
          <w:rFonts w:ascii="Garamond" w:hAnsi="Garamond"/>
          <w:i/>
          <w:sz w:val="26"/>
          <w:szCs w:val="26"/>
        </w:rPr>
        <w:t>Profili processuali della tutela giurisdizionale del diritto alla salute</w:t>
      </w:r>
      <w:r w:rsidR="000801DF" w:rsidRPr="000801DF">
        <w:rPr>
          <w:rFonts w:ascii="Garamond" w:hAnsi="Garamond"/>
          <w:sz w:val="26"/>
          <w:szCs w:val="26"/>
        </w:rPr>
        <w:t xml:space="preserve">, in </w:t>
      </w:r>
      <w:r w:rsidR="000801DF" w:rsidRPr="000801DF">
        <w:rPr>
          <w:rFonts w:ascii="Garamond" w:hAnsi="Garamond"/>
          <w:i/>
          <w:sz w:val="26"/>
          <w:szCs w:val="26"/>
        </w:rPr>
        <w:t>Il diritto di famiglia e delle persone</w:t>
      </w:r>
      <w:r w:rsidR="007678F3">
        <w:rPr>
          <w:rFonts w:ascii="Garamond" w:hAnsi="Garamond"/>
          <w:sz w:val="26"/>
          <w:szCs w:val="26"/>
        </w:rPr>
        <w:t>, 2014, 888 ss.; Id.,</w:t>
      </w:r>
      <w:r w:rsidR="000801DF" w:rsidRPr="000801DF">
        <w:rPr>
          <w:rFonts w:ascii="Garamond" w:hAnsi="Garamond"/>
          <w:sz w:val="26"/>
          <w:szCs w:val="26"/>
        </w:rPr>
        <w:t xml:space="preserve"> </w:t>
      </w:r>
      <w:r w:rsidR="000801DF" w:rsidRPr="000801DF">
        <w:rPr>
          <w:rFonts w:ascii="Garamond" w:hAnsi="Garamond"/>
          <w:i/>
          <w:sz w:val="26"/>
          <w:szCs w:val="26"/>
        </w:rPr>
        <w:t>Provvedimento amministrativo nullo e tutela civile dichiarativa</w:t>
      </w:r>
      <w:r w:rsidR="000801DF" w:rsidRPr="007678F3">
        <w:rPr>
          <w:rFonts w:ascii="Garamond" w:hAnsi="Garamond"/>
          <w:sz w:val="26"/>
          <w:szCs w:val="26"/>
        </w:rPr>
        <w:t xml:space="preserve">, </w:t>
      </w:r>
      <w:r w:rsidR="007678F3" w:rsidRPr="007678F3">
        <w:rPr>
          <w:rFonts w:ascii="Garamond" w:hAnsi="Garamond"/>
          <w:sz w:val="26"/>
          <w:szCs w:val="26"/>
        </w:rPr>
        <w:t>Roma, 2014, 88 ss.</w:t>
      </w:r>
      <w:r w:rsidR="00D27F59">
        <w:rPr>
          <w:rFonts w:ascii="Garamond" w:hAnsi="Garamond"/>
          <w:sz w:val="26"/>
          <w:szCs w:val="26"/>
        </w:rPr>
        <w:t xml:space="preserve"> Sull’azione di condanna della pubblica amministrazione alla adozione di uno specifico provvedimento dinanzi al giudice amministrativo, cfr., per tutti, C. </w:t>
      </w:r>
      <w:proofErr w:type="spellStart"/>
      <w:r w:rsidR="00D27F59">
        <w:rPr>
          <w:rFonts w:ascii="Garamond" w:hAnsi="Garamond"/>
          <w:sz w:val="26"/>
          <w:szCs w:val="26"/>
        </w:rPr>
        <w:t>C</w:t>
      </w:r>
      <w:r w:rsidR="00D27F59">
        <w:rPr>
          <w:rFonts w:ascii="Garamond" w:hAnsi="Garamond"/>
          <w:smallCaps/>
          <w:sz w:val="26"/>
          <w:szCs w:val="26"/>
        </w:rPr>
        <w:t>ommandatore</w:t>
      </w:r>
      <w:proofErr w:type="spellEnd"/>
      <w:r w:rsidR="00D27F59">
        <w:rPr>
          <w:rFonts w:ascii="Garamond" w:hAnsi="Garamond"/>
          <w:sz w:val="26"/>
          <w:szCs w:val="26"/>
        </w:rPr>
        <w:t xml:space="preserve">, </w:t>
      </w:r>
      <w:r w:rsidR="00D27F59" w:rsidRPr="005C4430">
        <w:rPr>
          <w:rFonts w:ascii="Garamond" w:hAnsi="Garamond"/>
          <w:i/>
          <w:sz w:val="26"/>
          <w:szCs w:val="26"/>
        </w:rPr>
        <w:t>La piena tutela dell’interesse legittimo pretensivo, dopo l’azione di annullamento, l’azione di adempimento</w:t>
      </w:r>
      <w:r w:rsidR="00D27F59">
        <w:rPr>
          <w:rFonts w:ascii="Garamond" w:hAnsi="Garamond"/>
          <w:sz w:val="26"/>
          <w:szCs w:val="26"/>
        </w:rPr>
        <w:t xml:space="preserve">, in </w:t>
      </w:r>
      <w:r w:rsidR="00D27F59" w:rsidRPr="005C4430">
        <w:rPr>
          <w:rFonts w:ascii="Garamond" w:hAnsi="Garamond"/>
          <w:i/>
          <w:sz w:val="26"/>
          <w:szCs w:val="26"/>
        </w:rPr>
        <w:t>U</w:t>
      </w:r>
      <w:r w:rsidR="005C4430" w:rsidRPr="005C4430">
        <w:rPr>
          <w:rFonts w:ascii="Garamond" w:hAnsi="Garamond"/>
          <w:i/>
          <w:sz w:val="26"/>
          <w:szCs w:val="26"/>
        </w:rPr>
        <w:t>rbanistica</w:t>
      </w:r>
      <w:r w:rsidR="00D27F59" w:rsidRPr="005C4430">
        <w:rPr>
          <w:rFonts w:ascii="Garamond" w:hAnsi="Garamond"/>
          <w:i/>
          <w:sz w:val="26"/>
          <w:szCs w:val="26"/>
        </w:rPr>
        <w:t xml:space="preserve"> </w:t>
      </w:r>
      <w:r w:rsidR="005C4430" w:rsidRPr="005C4430">
        <w:rPr>
          <w:rFonts w:ascii="Garamond" w:hAnsi="Garamond"/>
          <w:i/>
          <w:sz w:val="26"/>
          <w:szCs w:val="26"/>
        </w:rPr>
        <w:t>e</w:t>
      </w:r>
      <w:r w:rsidR="00D27F59" w:rsidRPr="005C4430">
        <w:rPr>
          <w:rFonts w:ascii="Garamond" w:hAnsi="Garamond"/>
          <w:i/>
          <w:sz w:val="26"/>
          <w:szCs w:val="26"/>
        </w:rPr>
        <w:t xml:space="preserve"> app</w:t>
      </w:r>
      <w:r w:rsidR="005C4430" w:rsidRPr="005C4430">
        <w:rPr>
          <w:rFonts w:ascii="Garamond" w:hAnsi="Garamond"/>
          <w:i/>
          <w:sz w:val="26"/>
          <w:szCs w:val="26"/>
        </w:rPr>
        <w:t>alti</w:t>
      </w:r>
      <w:r w:rsidR="00D27F59">
        <w:rPr>
          <w:rFonts w:ascii="Garamond" w:hAnsi="Garamond"/>
          <w:sz w:val="26"/>
          <w:szCs w:val="26"/>
        </w:rPr>
        <w:t xml:space="preserve">, </w:t>
      </w:r>
      <w:r w:rsidR="005C4430">
        <w:rPr>
          <w:rFonts w:ascii="Garamond" w:hAnsi="Garamond"/>
          <w:sz w:val="26"/>
          <w:szCs w:val="26"/>
        </w:rPr>
        <w:t>2017, 655 ss.</w:t>
      </w:r>
      <w:r w:rsidR="00D27F59">
        <w:rPr>
          <w:rFonts w:ascii="Garamond" w:hAnsi="Garamond"/>
          <w:sz w:val="26"/>
          <w:szCs w:val="26"/>
        </w:rPr>
        <w:t xml:space="preserve"> </w:t>
      </w:r>
      <w:r w:rsidR="0065452C" w:rsidRPr="000801DF">
        <w:rPr>
          <w:rFonts w:ascii="Garamond" w:hAnsi="Garamond"/>
          <w:sz w:val="26"/>
          <w:szCs w:val="26"/>
        </w:rPr>
        <w:t xml:space="preserve"> </w:t>
      </w:r>
    </w:p>
  </w:footnote>
  <w:footnote w:id="3">
    <w:p w14:paraId="6F74C8DE" w14:textId="77777777" w:rsidR="005D318C" w:rsidRPr="009604BE" w:rsidRDefault="005D318C" w:rsidP="004E64B0">
      <w:pPr>
        <w:pStyle w:val="NormaleWeb"/>
        <w:shd w:val="clear" w:color="auto" w:fill="FFFFFF"/>
        <w:spacing w:line="240" w:lineRule="auto"/>
        <w:jc w:val="both"/>
        <w:rPr>
          <w:rFonts w:ascii="Garamond" w:hAnsi="Garamond" w:cs="Times New Roman"/>
          <w:color w:val="auto"/>
          <w:sz w:val="26"/>
          <w:szCs w:val="26"/>
        </w:rPr>
      </w:pPr>
      <w:r w:rsidRPr="009604BE">
        <w:rPr>
          <w:rStyle w:val="Rimandonotaapidipagina"/>
          <w:rFonts w:ascii="Garamond" w:hAnsi="Garamond"/>
          <w:color w:val="auto"/>
          <w:sz w:val="26"/>
          <w:szCs w:val="26"/>
        </w:rPr>
        <w:footnoteRef/>
      </w:r>
      <w:r w:rsidRPr="009604BE">
        <w:rPr>
          <w:rFonts w:ascii="Garamond" w:hAnsi="Garamond"/>
          <w:color w:val="auto"/>
          <w:sz w:val="26"/>
          <w:szCs w:val="26"/>
        </w:rPr>
        <w:t xml:space="preserve"> </w:t>
      </w:r>
      <w:r w:rsidR="004E64B0" w:rsidRPr="009604BE">
        <w:rPr>
          <w:rFonts w:ascii="Garamond" w:hAnsi="Garamond"/>
          <w:color w:val="auto"/>
          <w:sz w:val="26"/>
          <w:szCs w:val="26"/>
          <w:shd w:val="clear" w:color="auto" w:fill="FFFFFF"/>
        </w:rPr>
        <w:t>D</w:t>
      </w:r>
      <w:r w:rsidRPr="009604BE">
        <w:rPr>
          <w:rFonts w:ascii="Garamond" w:hAnsi="Garamond"/>
          <w:color w:val="auto"/>
          <w:sz w:val="26"/>
          <w:szCs w:val="26"/>
          <w:shd w:val="clear" w:color="auto" w:fill="FFFFFF"/>
        </w:rPr>
        <w:t>eve</w:t>
      </w:r>
      <w:r w:rsidR="004E64B0" w:rsidRPr="009604BE">
        <w:rPr>
          <w:rFonts w:ascii="Garamond" w:hAnsi="Garamond"/>
          <w:color w:val="auto"/>
          <w:sz w:val="26"/>
          <w:szCs w:val="26"/>
          <w:shd w:val="clear" w:color="auto" w:fill="FFFFFF"/>
        </w:rPr>
        <w:t>, peraltro,</w:t>
      </w:r>
      <w:r w:rsidRPr="009604BE">
        <w:rPr>
          <w:rFonts w:ascii="Garamond" w:hAnsi="Garamond"/>
          <w:color w:val="auto"/>
          <w:sz w:val="26"/>
          <w:szCs w:val="26"/>
          <w:shd w:val="clear" w:color="auto" w:fill="FFFFFF"/>
        </w:rPr>
        <w:t xml:space="preserve"> ritenersi </w:t>
      </w:r>
      <w:r w:rsidR="00E6072A" w:rsidRPr="009604BE">
        <w:rPr>
          <w:rFonts w:ascii="Garamond" w:hAnsi="Garamond" w:cs="Times New Roman"/>
          <w:color w:val="auto"/>
          <w:sz w:val="26"/>
          <w:szCs w:val="26"/>
          <w:shd w:val="clear" w:color="auto" w:fill="FFFFFF"/>
        </w:rPr>
        <w:t>“</w:t>
      </w:r>
      <w:r w:rsidR="004E64B0" w:rsidRPr="009604BE">
        <w:rPr>
          <w:rFonts w:ascii="Garamond" w:hAnsi="Garamond" w:cs="Times New Roman"/>
          <w:i/>
          <w:color w:val="auto"/>
          <w:sz w:val="26"/>
          <w:szCs w:val="26"/>
        </w:rPr>
        <w:t xml:space="preserve">ammissibile la litispendenza contemporanea del giudizio di ottemperanza davanti al </w:t>
      </w:r>
      <w:proofErr w:type="spellStart"/>
      <w:r w:rsidR="004E64B0" w:rsidRPr="009604BE">
        <w:rPr>
          <w:rFonts w:ascii="Garamond" w:hAnsi="Garamond" w:cs="Times New Roman"/>
          <w:i/>
          <w:color w:val="auto"/>
          <w:sz w:val="26"/>
          <w:szCs w:val="26"/>
        </w:rPr>
        <w:t>g.a</w:t>
      </w:r>
      <w:proofErr w:type="spellEnd"/>
      <w:r w:rsidR="004E64B0" w:rsidRPr="009604BE">
        <w:rPr>
          <w:rFonts w:ascii="Garamond" w:hAnsi="Garamond" w:cs="Times New Roman"/>
          <w:i/>
          <w:color w:val="auto"/>
          <w:sz w:val="26"/>
          <w:szCs w:val="26"/>
        </w:rPr>
        <w:t xml:space="preserve">. e del giudizio di esecuzione davanti al </w:t>
      </w:r>
      <w:proofErr w:type="spellStart"/>
      <w:r w:rsidR="004E64B0" w:rsidRPr="009604BE">
        <w:rPr>
          <w:rFonts w:ascii="Garamond" w:hAnsi="Garamond" w:cs="Times New Roman"/>
          <w:i/>
          <w:color w:val="auto"/>
          <w:sz w:val="26"/>
          <w:szCs w:val="26"/>
        </w:rPr>
        <w:t>g.o</w:t>
      </w:r>
      <w:proofErr w:type="spellEnd"/>
      <w:r w:rsidR="004E64B0" w:rsidRPr="009604BE">
        <w:rPr>
          <w:rFonts w:ascii="Garamond" w:hAnsi="Garamond" w:cs="Times New Roman"/>
          <w:i/>
          <w:color w:val="auto"/>
          <w:sz w:val="26"/>
          <w:szCs w:val="26"/>
        </w:rPr>
        <w:t>., fino a che la tutela non è resa effettiva dalla conclusione di uno dei due. Nondimeno non può escludersi, proprio in ragione della natura polisemica del giudizio di ottemperanza, che detto giudizio si trovi a essere in "concorrenza" con un giudizio civile di cognizione, valendo la stessa regola che vuole l'incompatibilità verificarsi solo a seguito della conclusione satisfattiva di uno dei due giudizi. Del resto, prima che uno dei due giudizi giunga a una sentenza definitiva vi è soltanto la pendenza di due giudizi (in tesi) identici davanti a due giudici appartenenti ad un diverso ordine giudiziario. La situazione processuale della litispendenza, e la relativa eccezione, postula invece la contemporanea pendenza di più processi relativi alla stessa causa presso uffici giudiziari diversi, ma appartenenti al medesimo ordine giudiziario</w:t>
      </w:r>
      <w:r w:rsidR="00E6072A" w:rsidRPr="009604BE">
        <w:rPr>
          <w:rFonts w:ascii="Garamond" w:hAnsi="Garamond" w:cs="Times New Roman"/>
          <w:color w:val="auto"/>
          <w:sz w:val="26"/>
          <w:szCs w:val="26"/>
        </w:rPr>
        <w:t>”</w:t>
      </w:r>
      <w:r w:rsidRPr="009604BE">
        <w:rPr>
          <w:rFonts w:ascii="Garamond" w:hAnsi="Garamond"/>
          <w:color w:val="auto"/>
          <w:sz w:val="26"/>
          <w:szCs w:val="26"/>
          <w:shd w:val="clear" w:color="auto" w:fill="FFFFFF"/>
        </w:rPr>
        <w:t xml:space="preserve">: così </w:t>
      </w:r>
      <w:r w:rsidR="004E64B0" w:rsidRPr="009604BE">
        <w:rPr>
          <w:rFonts w:ascii="Garamond" w:hAnsi="Garamond"/>
          <w:bCs/>
          <w:color w:val="auto"/>
          <w:sz w:val="26"/>
          <w:szCs w:val="26"/>
          <w:shd w:val="clear" w:color="auto" w:fill="FFFFFF"/>
        </w:rPr>
        <w:t xml:space="preserve">Cons. </w:t>
      </w:r>
      <w:proofErr w:type="spellStart"/>
      <w:r w:rsidR="004E64B0" w:rsidRPr="009604BE">
        <w:rPr>
          <w:rFonts w:ascii="Garamond" w:hAnsi="Garamond"/>
          <w:bCs/>
          <w:color w:val="auto"/>
          <w:sz w:val="26"/>
          <w:szCs w:val="26"/>
          <w:shd w:val="clear" w:color="auto" w:fill="FFFFFF"/>
        </w:rPr>
        <w:t>giust</w:t>
      </w:r>
      <w:proofErr w:type="spellEnd"/>
      <w:r w:rsidR="004E64B0" w:rsidRPr="009604BE">
        <w:rPr>
          <w:rFonts w:ascii="Garamond" w:hAnsi="Garamond"/>
          <w:bCs/>
          <w:color w:val="auto"/>
          <w:sz w:val="26"/>
          <w:szCs w:val="26"/>
          <w:shd w:val="clear" w:color="auto" w:fill="FFFFFF"/>
        </w:rPr>
        <w:t xml:space="preserve">. </w:t>
      </w:r>
      <w:proofErr w:type="spellStart"/>
      <w:r w:rsidR="004E64B0" w:rsidRPr="009604BE">
        <w:rPr>
          <w:rFonts w:ascii="Garamond" w:hAnsi="Garamond"/>
          <w:bCs/>
          <w:color w:val="auto"/>
          <w:sz w:val="26"/>
          <w:szCs w:val="26"/>
          <w:shd w:val="clear" w:color="auto" w:fill="FFFFFF"/>
        </w:rPr>
        <w:t>amm</w:t>
      </w:r>
      <w:proofErr w:type="spellEnd"/>
      <w:r w:rsidR="004E64B0" w:rsidRPr="009604BE">
        <w:rPr>
          <w:rFonts w:ascii="Garamond" w:hAnsi="Garamond"/>
          <w:bCs/>
          <w:color w:val="auto"/>
          <w:sz w:val="26"/>
          <w:szCs w:val="26"/>
          <w:shd w:val="clear" w:color="auto" w:fill="FFFFFF"/>
        </w:rPr>
        <w:t xml:space="preserve">. Sicilia, sez. </w:t>
      </w:r>
      <w:proofErr w:type="spellStart"/>
      <w:r w:rsidR="004E64B0" w:rsidRPr="009604BE">
        <w:rPr>
          <w:rFonts w:ascii="Garamond" w:hAnsi="Garamond"/>
          <w:bCs/>
          <w:color w:val="auto"/>
          <w:sz w:val="26"/>
          <w:szCs w:val="26"/>
          <w:shd w:val="clear" w:color="auto" w:fill="FFFFFF"/>
        </w:rPr>
        <w:t>giurisd</w:t>
      </w:r>
      <w:proofErr w:type="spellEnd"/>
      <w:r w:rsidR="004E64B0" w:rsidRPr="009604BE">
        <w:rPr>
          <w:rFonts w:ascii="Garamond" w:hAnsi="Garamond"/>
          <w:bCs/>
          <w:color w:val="auto"/>
          <w:sz w:val="26"/>
          <w:szCs w:val="26"/>
          <w:shd w:val="clear" w:color="auto" w:fill="FFFFFF"/>
        </w:rPr>
        <w:t>., 13</w:t>
      </w:r>
      <w:r w:rsidR="000500B7" w:rsidRPr="009604BE">
        <w:rPr>
          <w:rFonts w:ascii="Garamond" w:hAnsi="Garamond"/>
          <w:bCs/>
          <w:color w:val="auto"/>
          <w:sz w:val="26"/>
          <w:szCs w:val="26"/>
          <w:shd w:val="clear" w:color="auto" w:fill="FFFFFF"/>
        </w:rPr>
        <w:t xml:space="preserve"> dicembre </w:t>
      </w:r>
      <w:r w:rsidR="004E64B0" w:rsidRPr="009604BE">
        <w:rPr>
          <w:rFonts w:ascii="Garamond" w:hAnsi="Garamond"/>
          <w:bCs/>
          <w:color w:val="auto"/>
          <w:sz w:val="26"/>
          <w:szCs w:val="26"/>
          <w:shd w:val="clear" w:color="auto" w:fill="FFFFFF"/>
        </w:rPr>
        <w:t>2022, n. 1257</w:t>
      </w:r>
      <w:r w:rsidRPr="009604BE">
        <w:rPr>
          <w:rFonts w:ascii="Garamond" w:hAnsi="Garamond"/>
          <w:bCs/>
          <w:color w:val="auto"/>
          <w:sz w:val="26"/>
          <w:szCs w:val="26"/>
          <w:shd w:val="clear" w:color="auto" w:fill="FFFFFF"/>
        </w:rPr>
        <w:t>.</w:t>
      </w:r>
    </w:p>
  </w:footnote>
  <w:footnote w:id="4">
    <w:p w14:paraId="6E4AE342" w14:textId="77777777" w:rsidR="004E64B0" w:rsidRPr="009604BE" w:rsidRDefault="004E64B0" w:rsidP="004E64B0">
      <w:pPr>
        <w:pStyle w:val="Testonotaapidipagina"/>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w:t>
      </w:r>
      <w:r w:rsidR="003F78EA" w:rsidRPr="009604BE">
        <w:rPr>
          <w:rFonts w:ascii="Garamond" w:hAnsi="Garamond"/>
          <w:sz w:val="26"/>
          <w:szCs w:val="26"/>
        </w:rPr>
        <w:t xml:space="preserve">Il virgolettato appartiene a </w:t>
      </w:r>
      <w:r w:rsidR="00E6072A" w:rsidRPr="009604BE">
        <w:rPr>
          <w:rFonts w:ascii="Garamond" w:hAnsi="Garamond"/>
          <w:bCs/>
          <w:sz w:val="26"/>
          <w:szCs w:val="26"/>
          <w:shd w:val="clear" w:color="auto" w:fill="FFFFFF"/>
        </w:rPr>
        <w:t xml:space="preserve">T.A.R. Sicilia-Catania, sez. I, </w:t>
      </w:r>
      <w:r w:rsidRPr="009604BE">
        <w:rPr>
          <w:rFonts w:ascii="Garamond" w:hAnsi="Garamond"/>
          <w:bCs/>
          <w:sz w:val="26"/>
          <w:szCs w:val="26"/>
          <w:shd w:val="clear" w:color="auto" w:fill="FFFFFF"/>
        </w:rPr>
        <w:t>6</w:t>
      </w:r>
      <w:r w:rsidR="00E6072A" w:rsidRPr="009604BE">
        <w:rPr>
          <w:rFonts w:ascii="Garamond" w:hAnsi="Garamond"/>
          <w:bCs/>
          <w:sz w:val="26"/>
          <w:szCs w:val="26"/>
          <w:shd w:val="clear" w:color="auto" w:fill="FFFFFF"/>
        </w:rPr>
        <w:t xml:space="preserve"> febbraio </w:t>
      </w:r>
      <w:r w:rsidRPr="009604BE">
        <w:rPr>
          <w:rFonts w:ascii="Garamond" w:hAnsi="Garamond"/>
          <w:bCs/>
          <w:sz w:val="26"/>
          <w:szCs w:val="26"/>
          <w:shd w:val="clear" w:color="auto" w:fill="FFFFFF"/>
        </w:rPr>
        <w:t xml:space="preserve">2025, n. 501. </w:t>
      </w:r>
      <w:r w:rsidRPr="009604BE">
        <w:rPr>
          <w:rFonts w:ascii="Garamond" w:hAnsi="Garamond"/>
          <w:sz w:val="26"/>
          <w:szCs w:val="26"/>
        </w:rPr>
        <w:t xml:space="preserve">Cfr. anche </w:t>
      </w:r>
      <w:r w:rsidRPr="009604BE">
        <w:rPr>
          <w:rFonts w:ascii="Garamond" w:hAnsi="Garamond"/>
          <w:bCs/>
          <w:sz w:val="26"/>
          <w:szCs w:val="26"/>
          <w:shd w:val="clear" w:color="auto" w:fill="FFFFFF"/>
        </w:rPr>
        <w:t xml:space="preserve">T.A.R. </w:t>
      </w:r>
      <w:r w:rsidR="00E6072A" w:rsidRPr="009604BE">
        <w:rPr>
          <w:rFonts w:ascii="Garamond" w:hAnsi="Garamond"/>
          <w:bCs/>
          <w:sz w:val="26"/>
          <w:szCs w:val="26"/>
          <w:shd w:val="clear" w:color="auto" w:fill="FFFFFF"/>
        </w:rPr>
        <w:t>Campania-</w:t>
      </w:r>
      <w:r w:rsidRPr="009604BE">
        <w:rPr>
          <w:rFonts w:ascii="Garamond" w:hAnsi="Garamond"/>
          <w:bCs/>
          <w:sz w:val="26"/>
          <w:szCs w:val="26"/>
          <w:shd w:val="clear" w:color="auto" w:fill="FFFFFF"/>
        </w:rPr>
        <w:t>Napoli, sez. III, 16</w:t>
      </w:r>
      <w:r w:rsidR="00E6072A" w:rsidRPr="009604BE">
        <w:rPr>
          <w:rFonts w:ascii="Garamond" w:hAnsi="Garamond"/>
          <w:bCs/>
          <w:sz w:val="26"/>
          <w:szCs w:val="26"/>
          <w:shd w:val="clear" w:color="auto" w:fill="FFFFFF"/>
        </w:rPr>
        <w:t xml:space="preserve"> maggio </w:t>
      </w:r>
      <w:r w:rsidRPr="009604BE">
        <w:rPr>
          <w:rFonts w:ascii="Garamond" w:hAnsi="Garamond"/>
          <w:bCs/>
          <w:sz w:val="26"/>
          <w:szCs w:val="26"/>
          <w:shd w:val="clear" w:color="auto" w:fill="FFFFFF"/>
        </w:rPr>
        <w:t xml:space="preserve">2025, n. 3796, secondo cui: </w:t>
      </w:r>
      <w:r w:rsidR="00E6072A" w:rsidRPr="009604BE">
        <w:rPr>
          <w:rFonts w:ascii="Garamond" w:hAnsi="Garamond" w:cstheme="minorHAnsi"/>
          <w:sz w:val="26"/>
          <w:szCs w:val="26"/>
        </w:rPr>
        <w:t>“</w:t>
      </w:r>
      <w:r w:rsidRPr="009604BE">
        <w:rPr>
          <w:rFonts w:ascii="Garamond" w:hAnsi="Garamond"/>
          <w:i/>
          <w:sz w:val="26"/>
          <w:szCs w:val="26"/>
          <w:shd w:val="clear" w:color="auto" w:fill="FFFFFF"/>
        </w:rPr>
        <w:t>il giudizio di </w:t>
      </w:r>
      <w:r w:rsidRPr="009604BE">
        <w:rPr>
          <w:rFonts w:ascii="Garamond" w:hAnsi="Garamond"/>
          <w:i/>
          <w:sz w:val="26"/>
          <w:szCs w:val="26"/>
        </w:rPr>
        <w:t>ottemperanza</w:t>
      </w:r>
      <w:r w:rsidRPr="009604BE">
        <w:rPr>
          <w:rFonts w:ascii="Garamond" w:hAnsi="Garamond"/>
          <w:i/>
          <w:sz w:val="26"/>
          <w:szCs w:val="26"/>
          <w:shd w:val="clear" w:color="auto" w:fill="FFFFFF"/>
        </w:rPr>
        <w:t xml:space="preserve"> che abbia ad oggetto provvedimenti giurisdizionali del giudice ordinario recanti condanna della p.a. al pagamento di somme di danaro è equiparabile al giudizio di esecuzione, e, pertanto, rientra nell'ambito di applicazione della richiamata disposizione normativa dell'art. 248 comma 2, Decr. </w:t>
      </w:r>
      <w:proofErr w:type="spellStart"/>
      <w:r w:rsidRPr="009604BE">
        <w:rPr>
          <w:rFonts w:ascii="Garamond" w:hAnsi="Garamond"/>
          <w:i/>
          <w:sz w:val="26"/>
          <w:szCs w:val="26"/>
          <w:shd w:val="clear" w:color="auto" w:fill="FFFFFF"/>
        </w:rPr>
        <w:t>Leg.vo</w:t>
      </w:r>
      <w:proofErr w:type="spellEnd"/>
      <w:r w:rsidRPr="009604BE">
        <w:rPr>
          <w:rFonts w:ascii="Garamond" w:hAnsi="Garamond"/>
          <w:i/>
          <w:sz w:val="26"/>
          <w:szCs w:val="26"/>
          <w:shd w:val="clear" w:color="auto" w:fill="FFFFFF"/>
        </w:rPr>
        <w:t xml:space="preserve"> n. 267 del 2000, atteso che la procedura di liquidazione dei debiti è essenzialmente dominata dal principio della </w:t>
      </w:r>
      <w:r w:rsidRPr="009604BE">
        <w:rPr>
          <w:rFonts w:ascii="Garamond" w:hAnsi="Garamond"/>
          <w:i/>
          <w:iCs/>
          <w:sz w:val="26"/>
          <w:szCs w:val="26"/>
          <w:shd w:val="clear" w:color="auto" w:fill="FFFFFF"/>
        </w:rPr>
        <w:t>par condicio</w:t>
      </w:r>
      <w:r w:rsidRPr="009604BE">
        <w:rPr>
          <w:rFonts w:ascii="Garamond" w:hAnsi="Garamond"/>
          <w:i/>
          <w:sz w:val="26"/>
          <w:szCs w:val="26"/>
          <w:shd w:val="clear" w:color="auto" w:fill="FFFFFF"/>
        </w:rPr>
        <w:t xml:space="preserve"> dei creditori, in relazione alla molteplicità dei debiti contratti da un ente pubblico poi dichiarato dissestato, sicché la tutela della </w:t>
      </w:r>
      <w:proofErr w:type="spellStart"/>
      <w:r w:rsidRPr="009604BE">
        <w:rPr>
          <w:rFonts w:ascii="Garamond" w:hAnsi="Garamond"/>
          <w:i/>
          <w:sz w:val="26"/>
          <w:szCs w:val="26"/>
          <w:shd w:val="clear" w:color="auto" w:fill="FFFFFF"/>
        </w:rPr>
        <w:t>concorsualità</w:t>
      </w:r>
      <w:proofErr w:type="spellEnd"/>
      <w:r w:rsidRPr="009604BE">
        <w:rPr>
          <w:rFonts w:ascii="Garamond" w:hAnsi="Garamond"/>
          <w:i/>
          <w:sz w:val="26"/>
          <w:szCs w:val="26"/>
          <w:shd w:val="clear" w:color="auto" w:fill="FFFFFF"/>
        </w:rPr>
        <w:t xml:space="preserve"> comporta, in linea generale, l'inibitoria anche del ricorso di </w:t>
      </w:r>
      <w:r w:rsidRPr="009604BE">
        <w:rPr>
          <w:rFonts w:ascii="Garamond" w:hAnsi="Garamond"/>
          <w:i/>
          <w:sz w:val="26"/>
          <w:szCs w:val="26"/>
        </w:rPr>
        <w:t>ottemperanza</w:t>
      </w:r>
      <w:r w:rsidRPr="009604BE">
        <w:rPr>
          <w:rFonts w:ascii="Garamond" w:hAnsi="Garamond"/>
          <w:i/>
          <w:sz w:val="26"/>
          <w:szCs w:val="26"/>
          <w:shd w:val="clear" w:color="auto" w:fill="FFFFFF"/>
        </w:rPr>
        <w:t> in quanto misura coattiva di soddisfacimento individuale del creditore (cfr. </w:t>
      </w:r>
      <w:hyperlink r:id="rId1" w:history="1">
        <w:r w:rsidRPr="009604BE">
          <w:rPr>
            <w:rStyle w:val="Collegamentoipertestuale"/>
            <w:rFonts w:ascii="Garamond" w:hAnsi="Garamond"/>
            <w:i/>
            <w:color w:val="auto"/>
            <w:sz w:val="26"/>
            <w:szCs w:val="26"/>
            <w:u w:val="none"/>
            <w:shd w:val="clear" w:color="auto" w:fill="FFFFFF"/>
          </w:rPr>
          <w:t>Cons. di Stato sez. VI, 26 novembre 2007 n. 6035</w:t>
        </w:r>
      </w:hyperlink>
      <w:r w:rsidRPr="009604BE">
        <w:rPr>
          <w:rFonts w:ascii="Garamond" w:hAnsi="Garamond"/>
          <w:i/>
          <w:sz w:val="26"/>
          <w:szCs w:val="26"/>
          <w:shd w:val="clear" w:color="auto" w:fill="FFFFFF"/>
        </w:rPr>
        <w:t>; </w:t>
      </w:r>
      <w:hyperlink r:id="rId2" w:history="1">
        <w:r w:rsidRPr="009604BE">
          <w:rPr>
            <w:rStyle w:val="Collegamentoipertestuale"/>
            <w:rFonts w:ascii="Garamond" w:hAnsi="Garamond"/>
            <w:i/>
            <w:color w:val="auto"/>
            <w:sz w:val="26"/>
            <w:szCs w:val="26"/>
            <w:u w:val="none"/>
            <w:shd w:val="clear" w:color="auto" w:fill="FFFFFF"/>
          </w:rPr>
          <w:t>T.A.R. Sicilia Catania 09/07/2012, n. 1768</w:t>
        </w:r>
      </w:hyperlink>
      <w:r w:rsidRPr="009604BE">
        <w:rPr>
          <w:rFonts w:ascii="Garamond" w:hAnsi="Garamond"/>
          <w:i/>
          <w:sz w:val="26"/>
          <w:szCs w:val="26"/>
          <w:shd w:val="clear" w:color="auto" w:fill="FFFFFF"/>
        </w:rPr>
        <w:t>)</w:t>
      </w:r>
      <w:r w:rsidR="00E6072A" w:rsidRPr="009604BE">
        <w:rPr>
          <w:rFonts w:ascii="Garamond" w:hAnsi="Garamond" w:cstheme="minorHAnsi"/>
          <w:sz w:val="26"/>
          <w:szCs w:val="26"/>
        </w:rPr>
        <w:t>”.</w:t>
      </w:r>
    </w:p>
  </w:footnote>
  <w:footnote w:id="5">
    <w:p w14:paraId="49FD497F" w14:textId="77777777" w:rsidR="00E827A1" w:rsidRPr="009604BE" w:rsidRDefault="00E827A1" w:rsidP="004E64B0">
      <w:pPr>
        <w:spacing w:after="0" w:line="240" w:lineRule="auto"/>
        <w:jc w:val="both"/>
        <w:rPr>
          <w:rFonts w:ascii="Garamond" w:eastAsia="Times New Roman" w:hAnsi="Garamond" w:cs="Times New Roman"/>
          <w:i/>
          <w:sz w:val="26"/>
          <w:szCs w:val="26"/>
          <w:lang w:eastAsia="it-IT"/>
        </w:rPr>
      </w:pPr>
      <w:r w:rsidRPr="009604BE">
        <w:rPr>
          <w:rStyle w:val="Rimandonotaapidipagina"/>
          <w:rFonts w:ascii="Garamond" w:hAnsi="Garamond"/>
          <w:sz w:val="26"/>
          <w:szCs w:val="26"/>
        </w:rPr>
        <w:footnoteRef/>
      </w:r>
      <w:r w:rsidR="00E6072A" w:rsidRPr="009604BE">
        <w:rPr>
          <w:rFonts w:ascii="Garamond" w:hAnsi="Garamond"/>
          <w:sz w:val="26"/>
          <w:szCs w:val="26"/>
        </w:rPr>
        <w:t xml:space="preserve"> La norma dispone che: “</w:t>
      </w:r>
      <w:r w:rsidRPr="009604BE">
        <w:rPr>
          <w:rFonts w:ascii="Garamond" w:eastAsia="Times New Roman" w:hAnsi="Garamond" w:cs="Times New Roman"/>
          <w:i/>
          <w:sz w:val="26"/>
          <w:szCs w:val="26"/>
          <w:lang w:eastAsia="it-IT"/>
        </w:rPr>
        <w:t xml:space="preserve">L'azione di ottemperanza può essere proposta per conseguire </w:t>
      </w:r>
      <w:proofErr w:type="gramStart"/>
      <w:r w:rsidRPr="009604BE">
        <w:rPr>
          <w:rFonts w:ascii="Garamond" w:eastAsia="Times New Roman" w:hAnsi="Garamond" w:cs="Times New Roman"/>
          <w:i/>
          <w:sz w:val="26"/>
          <w:szCs w:val="26"/>
          <w:lang w:eastAsia="it-IT"/>
        </w:rPr>
        <w:t>l'attuazione:…</w:t>
      </w:r>
      <w:proofErr w:type="gramEnd"/>
      <w:r w:rsidRPr="009604BE">
        <w:rPr>
          <w:rFonts w:ascii="Garamond" w:eastAsia="Times New Roman" w:hAnsi="Garamond" w:cs="Times New Roman"/>
          <w:i/>
          <w:sz w:val="26"/>
          <w:szCs w:val="26"/>
          <w:lang w:eastAsia="it-IT"/>
        </w:rPr>
        <w:t>c) delle sentenze passate in giudicato e degli altri provvedimenti ad esse equiparati del giudice ordinario, al fine di ottenere l'adempimento dell'obbligo della pubblica amministrazione di conformarsi, per quanto riguarda il caso deciso, al giudicato</w:t>
      </w:r>
      <w:r w:rsidR="00E6072A" w:rsidRPr="009604BE">
        <w:rPr>
          <w:rFonts w:ascii="Garamond" w:eastAsia="Times New Roman" w:hAnsi="Garamond" w:cs="Times New Roman"/>
          <w:sz w:val="26"/>
          <w:szCs w:val="26"/>
          <w:lang w:eastAsia="it-IT"/>
        </w:rPr>
        <w:t>”</w:t>
      </w:r>
      <w:r w:rsidRPr="009604BE">
        <w:rPr>
          <w:rFonts w:ascii="Garamond" w:eastAsia="Times New Roman" w:hAnsi="Garamond" w:cs="Times New Roman"/>
          <w:sz w:val="26"/>
          <w:szCs w:val="26"/>
          <w:lang w:eastAsia="it-IT"/>
        </w:rPr>
        <w:t>.</w:t>
      </w:r>
    </w:p>
  </w:footnote>
  <w:footnote w:id="6">
    <w:p w14:paraId="14F963FB" w14:textId="77777777" w:rsidR="00556E47" w:rsidRPr="009604BE" w:rsidRDefault="00556E47" w:rsidP="004E64B0">
      <w:pPr>
        <w:spacing w:after="0" w:line="240" w:lineRule="auto"/>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w:t>
      </w:r>
      <w:r w:rsidR="001C3BC2" w:rsidRPr="009604BE">
        <w:rPr>
          <w:rFonts w:ascii="Garamond" w:hAnsi="Garamond"/>
          <w:sz w:val="26"/>
          <w:szCs w:val="26"/>
        </w:rPr>
        <w:t>Cfr.</w:t>
      </w:r>
      <w:r w:rsidRPr="009604BE">
        <w:rPr>
          <w:rFonts w:ascii="Garamond" w:hAnsi="Garamond"/>
          <w:sz w:val="26"/>
          <w:szCs w:val="26"/>
        </w:rPr>
        <w:t xml:space="preserve"> </w:t>
      </w:r>
      <w:r w:rsidR="00E6072A" w:rsidRPr="009604BE">
        <w:rPr>
          <w:rFonts w:ascii="Garamond" w:hAnsi="Garamond"/>
          <w:sz w:val="26"/>
          <w:szCs w:val="26"/>
        </w:rPr>
        <w:t xml:space="preserve">I. </w:t>
      </w:r>
      <w:r w:rsidRPr="009604BE">
        <w:rPr>
          <w:rFonts w:ascii="Garamond" w:hAnsi="Garamond"/>
          <w:smallCaps/>
          <w:sz w:val="26"/>
          <w:szCs w:val="26"/>
        </w:rPr>
        <w:t>Z</w:t>
      </w:r>
      <w:r w:rsidR="001C3BC2" w:rsidRPr="009604BE">
        <w:rPr>
          <w:rFonts w:ascii="Garamond" w:hAnsi="Garamond"/>
          <w:smallCaps/>
          <w:sz w:val="26"/>
          <w:szCs w:val="26"/>
        </w:rPr>
        <w:t>ingales</w:t>
      </w:r>
      <w:r w:rsidRPr="009604BE">
        <w:rPr>
          <w:rFonts w:ascii="Garamond" w:hAnsi="Garamond"/>
          <w:sz w:val="26"/>
          <w:szCs w:val="26"/>
        </w:rPr>
        <w:t xml:space="preserve">, </w:t>
      </w:r>
      <w:r w:rsidR="001C3BC2" w:rsidRPr="009604BE">
        <w:rPr>
          <w:rFonts w:ascii="Garamond" w:hAnsi="Garamond"/>
          <w:i/>
          <w:sz w:val="26"/>
          <w:szCs w:val="26"/>
        </w:rPr>
        <w:t>Tutela giurisdizionale ordinaria, principio di separazione dei poteri e modelli di esecuzione delle sentenze civili di condanna nei confronti della pubblica amministrazione: aspetti problematici</w:t>
      </w:r>
      <w:r w:rsidR="00E6072A" w:rsidRPr="009604BE">
        <w:rPr>
          <w:rFonts w:ascii="Garamond" w:hAnsi="Garamond"/>
          <w:sz w:val="26"/>
          <w:szCs w:val="26"/>
        </w:rPr>
        <w:t>, cit.</w:t>
      </w:r>
      <w:r w:rsidR="001C3BC2" w:rsidRPr="009604BE">
        <w:rPr>
          <w:rFonts w:ascii="Garamond" w:hAnsi="Garamond"/>
          <w:i/>
          <w:sz w:val="26"/>
          <w:szCs w:val="26"/>
        </w:rPr>
        <w:t xml:space="preserve">; </w:t>
      </w:r>
      <w:r w:rsidR="001C3BC2" w:rsidRPr="009604BE">
        <w:rPr>
          <w:rFonts w:ascii="Garamond" w:hAnsi="Garamond"/>
          <w:sz w:val="26"/>
          <w:szCs w:val="26"/>
        </w:rPr>
        <w:t xml:space="preserve">Id., </w:t>
      </w:r>
      <w:r w:rsidRPr="009604BE">
        <w:rPr>
          <w:rFonts w:ascii="Garamond" w:hAnsi="Garamond"/>
          <w:i/>
          <w:sz w:val="26"/>
          <w:szCs w:val="26"/>
        </w:rPr>
        <w:t>Sentenza civile di condanna pecuniaria non passata in giudicato ed esecuzione attraverso gli strumenti del giudizio di ottemperanza</w:t>
      </w:r>
      <w:r w:rsidRPr="009604BE">
        <w:rPr>
          <w:rFonts w:ascii="Garamond" w:hAnsi="Garamond"/>
          <w:sz w:val="26"/>
          <w:szCs w:val="26"/>
        </w:rPr>
        <w:t xml:space="preserve">, </w:t>
      </w:r>
      <w:r w:rsidR="001C3BC2" w:rsidRPr="009604BE">
        <w:rPr>
          <w:rFonts w:ascii="Garamond" w:hAnsi="Garamond"/>
          <w:sz w:val="26"/>
          <w:szCs w:val="26"/>
        </w:rPr>
        <w:t>cit.</w:t>
      </w:r>
      <w:r w:rsidRPr="009604BE">
        <w:rPr>
          <w:rFonts w:ascii="Garamond" w:hAnsi="Garamond"/>
          <w:sz w:val="26"/>
          <w:szCs w:val="26"/>
        </w:rPr>
        <w:t>, 2473</w:t>
      </w:r>
      <w:r w:rsidR="00A32DB7" w:rsidRPr="009604BE">
        <w:rPr>
          <w:rFonts w:ascii="Garamond" w:hAnsi="Garamond"/>
          <w:sz w:val="26"/>
          <w:szCs w:val="26"/>
        </w:rPr>
        <w:t xml:space="preserve"> ss</w:t>
      </w:r>
      <w:r w:rsidRPr="009604BE">
        <w:rPr>
          <w:rFonts w:ascii="Garamond" w:hAnsi="Garamond"/>
          <w:sz w:val="26"/>
          <w:szCs w:val="26"/>
        </w:rPr>
        <w:t xml:space="preserve">. </w:t>
      </w:r>
      <w:r w:rsidR="00A874E5" w:rsidRPr="009604BE">
        <w:rPr>
          <w:rFonts w:ascii="Garamond" w:hAnsi="Garamond"/>
          <w:sz w:val="26"/>
          <w:szCs w:val="26"/>
        </w:rPr>
        <w:t xml:space="preserve">In giurisprudenza, </w:t>
      </w:r>
      <w:proofErr w:type="spellStart"/>
      <w:r w:rsidR="00A874E5" w:rsidRPr="009604BE">
        <w:rPr>
          <w:rFonts w:ascii="Garamond" w:hAnsi="Garamond"/>
          <w:sz w:val="26"/>
          <w:szCs w:val="26"/>
        </w:rPr>
        <w:t>cfr</w:t>
      </w:r>
      <w:proofErr w:type="spellEnd"/>
      <w:r w:rsidR="00A874E5" w:rsidRPr="009604BE">
        <w:rPr>
          <w:rFonts w:ascii="Garamond" w:hAnsi="Garamond"/>
          <w:sz w:val="26"/>
          <w:szCs w:val="26"/>
        </w:rPr>
        <w:t xml:space="preserve">, per tutte, </w:t>
      </w:r>
      <w:r w:rsidR="000500B7" w:rsidRPr="009604BE">
        <w:rPr>
          <w:rFonts w:ascii="Garamond" w:hAnsi="Garamond"/>
          <w:bCs/>
          <w:sz w:val="26"/>
          <w:szCs w:val="26"/>
          <w:shd w:val="clear" w:color="auto" w:fill="FFFFFF"/>
        </w:rPr>
        <w:t>T.A.R.</w:t>
      </w:r>
      <w:r w:rsidR="00E6072A" w:rsidRPr="009604BE">
        <w:rPr>
          <w:rFonts w:ascii="Garamond" w:hAnsi="Garamond"/>
          <w:bCs/>
          <w:sz w:val="26"/>
          <w:szCs w:val="26"/>
          <w:shd w:val="clear" w:color="auto" w:fill="FFFFFF"/>
        </w:rPr>
        <w:t xml:space="preserve"> Lazio-</w:t>
      </w:r>
      <w:r w:rsidR="000500B7" w:rsidRPr="009604BE">
        <w:rPr>
          <w:rFonts w:ascii="Garamond" w:hAnsi="Garamond"/>
          <w:bCs/>
          <w:sz w:val="26"/>
          <w:szCs w:val="26"/>
          <w:shd w:val="clear" w:color="auto" w:fill="FFFFFF"/>
        </w:rPr>
        <w:t>Roma,</w:t>
      </w:r>
      <w:r w:rsidR="00A874E5" w:rsidRPr="009604BE">
        <w:rPr>
          <w:rFonts w:ascii="Garamond" w:hAnsi="Garamond"/>
          <w:bCs/>
          <w:sz w:val="26"/>
          <w:szCs w:val="26"/>
          <w:shd w:val="clear" w:color="auto" w:fill="FFFFFF"/>
        </w:rPr>
        <w:t xml:space="preserve"> sez. II, 16</w:t>
      </w:r>
      <w:r w:rsidR="00E6072A" w:rsidRPr="009604BE">
        <w:rPr>
          <w:rFonts w:ascii="Garamond" w:hAnsi="Garamond"/>
          <w:bCs/>
          <w:sz w:val="26"/>
          <w:szCs w:val="26"/>
          <w:shd w:val="clear" w:color="auto" w:fill="FFFFFF"/>
        </w:rPr>
        <w:t xml:space="preserve"> gennaio </w:t>
      </w:r>
      <w:r w:rsidR="00A874E5" w:rsidRPr="009604BE">
        <w:rPr>
          <w:rFonts w:ascii="Garamond" w:hAnsi="Garamond"/>
          <w:bCs/>
          <w:sz w:val="26"/>
          <w:szCs w:val="26"/>
          <w:shd w:val="clear" w:color="auto" w:fill="FFFFFF"/>
        </w:rPr>
        <w:t>2025, n. 812</w:t>
      </w:r>
      <w:r w:rsidR="000500B7" w:rsidRPr="009604BE">
        <w:rPr>
          <w:rFonts w:ascii="Garamond" w:hAnsi="Garamond"/>
          <w:bCs/>
          <w:sz w:val="26"/>
          <w:szCs w:val="26"/>
          <w:shd w:val="clear" w:color="auto" w:fill="FFFFFF"/>
        </w:rPr>
        <w:t>.</w:t>
      </w:r>
    </w:p>
  </w:footnote>
  <w:footnote w:id="7">
    <w:p w14:paraId="3E7D5BAA" w14:textId="77777777" w:rsidR="00061209" w:rsidRPr="009604BE" w:rsidRDefault="00061209" w:rsidP="004E64B0">
      <w:pPr>
        <w:pStyle w:val="Testonotaapidipagina"/>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In </w:t>
      </w:r>
      <w:r w:rsidRPr="009604BE">
        <w:rPr>
          <w:rFonts w:ascii="Garamond" w:hAnsi="Garamond"/>
          <w:i/>
          <w:sz w:val="26"/>
          <w:szCs w:val="26"/>
        </w:rPr>
        <w:t>Giur. merito</w:t>
      </w:r>
      <w:r w:rsidRPr="009604BE">
        <w:rPr>
          <w:rFonts w:ascii="Garamond" w:hAnsi="Garamond"/>
          <w:sz w:val="26"/>
          <w:szCs w:val="26"/>
        </w:rPr>
        <w:t xml:space="preserve">, 2003, III, 1013 (s. m.), con nota di </w:t>
      </w:r>
      <w:r w:rsidR="006578E5" w:rsidRPr="009604BE">
        <w:rPr>
          <w:rFonts w:ascii="Garamond" w:hAnsi="Garamond"/>
          <w:sz w:val="26"/>
          <w:szCs w:val="26"/>
        </w:rPr>
        <w:t xml:space="preserve">A. </w:t>
      </w:r>
      <w:r w:rsidRPr="009604BE">
        <w:rPr>
          <w:rFonts w:ascii="Garamond" w:hAnsi="Garamond"/>
          <w:smallCaps/>
          <w:sz w:val="26"/>
          <w:szCs w:val="26"/>
        </w:rPr>
        <w:t>S</w:t>
      </w:r>
      <w:r w:rsidR="006578E5" w:rsidRPr="009604BE">
        <w:rPr>
          <w:rFonts w:ascii="Garamond" w:hAnsi="Garamond"/>
          <w:smallCaps/>
          <w:sz w:val="26"/>
          <w:szCs w:val="26"/>
        </w:rPr>
        <w:t>inatra</w:t>
      </w:r>
      <w:r w:rsidRPr="009604BE">
        <w:rPr>
          <w:rFonts w:ascii="Garamond" w:hAnsi="Garamond"/>
          <w:sz w:val="26"/>
          <w:szCs w:val="26"/>
        </w:rPr>
        <w:t xml:space="preserve">, </w:t>
      </w:r>
      <w:r w:rsidRPr="009604BE">
        <w:rPr>
          <w:rFonts w:ascii="Garamond" w:hAnsi="Garamond"/>
          <w:i/>
          <w:sz w:val="26"/>
          <w:szCs w:val="26"/>
        </w:rPr>
        <w:t>Brevi note su alcuni problemi applicativi in materia di ottemperanza al giudicato del giudice ordinario</w:t>
      </w:r>
      <w:r w:rsidRPr="009604BE">
        <w:rPr>
          <w:rFonts w:ascii="Garamond" w:hAnsi="Garamond"/>
          <w:sz w:val="26"/>
          <w:szCs w:val="26"/>
        </w:rPr>
        <w:t>.</w:t>
      </w:r>
    </w:p>
  </w:footnote>
  <w:footnote w:id="8">
    <w:p w14:paraId="6A326D89" w14:textId="77777777" w:rsidR="00061209" w:rsidRPr="009604BE" w:rsidRDefault="00061209" w:rsidP="004E64B0">
      <w:pPr>
        <w:pStyle w:val="Testonotaapidipagina"/>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Cfr. T.A.R. Veneto, 9 giugno 1978, n. 383, in T.A.R., 1978, I, 3255 (s. m.).</w:t>
      </w:r>
    </w:p>
  </w:footnote>
  <w:footnote w:id="9">
    <w:p w14:paraId="2BA10660" w14:textId="77777777" w:rsidR="002E74A8" w:rsidRPr="009604BE" w:rsidRDefault="002E74A8" w:rsidP="004E64B0">
      <w:pPr>
        <w:pStyle w:val="Testonotaapidipagina"/>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Cfr. </w:t>
      </w:r>
      <w:r w:rsidR="00E6072A" w:rsidRPr="009604BE">
        <w:rPr>
          <w:rFonts w:ascii="Garamond" w:hAnsi="Garamond"/>
          <w:sz w:val="26"/>
          <w:szCs w:val="26"/>
        </w:rPr>
        <w:t xml:space="preserve">I. </w:t>
      </w:r>
      <w:r w:rsidRPr="009604BE">
        <w:rPr>
          <w:rFonts w:ascii="Garamond" w:hAnsi="Garamond"/>
          <w:sz w:val="26"/>
          <w:szCs w:val="26"/>
        </w:rPr>
        <w:t>Z</w:t>
      </w:r>
      <w:r w:rsidR="0052507E" w:rsidRPr="009604BE">
        <w:rPr>
          <w:rFonts w:ascii="Garamond" w:hAnsi="Garamond"/>
          <w:smallCaps/>
          <w:sz w:val="26"/>
          <w:szCs w:val="26"/>
        </w:rPr>
        <w:t>ingales</w:t>
      </w:r>
      <w:r w:rsidR="000C047A" w:rsidRPr="009604BE">
        <w:rPr>
          <w:rFonts w:ascii="Garamond" w:hAnsi="Garamond"/>
          <w:sz w:val="26"/>
          <w:szCs w:val="26"/>
        </w:rPr>
        <w:t>,</w:t>
      </w:r>
      <w:r w:rsidR="000C047A" w:rsidRPr="009604BE">
        <w:rPr>
          <w:rFonts w:ascii="Garamond" w:hAnsi="Garamond"/>
          <w:i/>
          <w:sz w:val="26"/>
          <w:szCs w:val="26"/>
        </w:rPr>
        <w:t xml:space="preserve"> Sentenza civile di condanna pecuniaria non passata in giudicato ed esecuzione attraverso gli strumenti del giudizio di ottemperanza</w:t>
      </w:r>
      <w:r w:rsidR="000C047A" w:rsidRPr="009604BE">
        <w:rPr>
          <w:rFonts w:ascii="Garamond" w:hAnsi="Garamond"/>
          <w:sz w:val="26"/>
          <w:szCs w:val="26"/>
        </w:rPr>
        <w:t>, cit., 2474-2476.</w:t>
      </w:r>
    </w:p>
  </w:footnote>
  <w:footnote w:id="10">
    <w:p w14:paraId="5B7E500A" w14:textId="77777777" w:rsidR="00905851" w:rsidRPr="009604BE" w:rsidRDefault="00905851" w:rsidP="004E64B0">
      <w:pPr>
        <w:pStyle w:val="comma"/>
        <w:spacing w:before="0" w:beforeAutospacing="0" w:after="0" w:afterAutospacing="0"/>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La disposizione prevede che: </w:t>
      </w:r>
      <w:r w:rsidR="00E6072A" w:rsidRPr="009604BE">
        <w:rPr>
          <w:rFonts w:ascii="Garamond" w:hAnsi="Garamond"/>
          <w:sz w:val="26"/>
          <w:szCs w:val="26"/>
        </w:rPr>
        <w:t>“</w:t>
      </w:r>
      <w:r w:rsidRPr="009604BE">
        <w:rPr>
          <w:rFonts w:ascii="Garamond" w:hAnsi="Garamond"/>
          <w:i/>
          <w:sz w:val="26"/>
          <w:szCs w:val="26"/>
        </w:rPr>
        <w:t>L'azione di ottemperanza può essere proposta per conseguire l'attuazione: a) delle sentenze del giudice amministrativo passate in giudicato; b) delle sentenze esecutive e degli altri provvedimenti esecutivi del giudice amministrativo</w:t>
      </w:r>
      <w:r w:rsidR="00E6072A" w:rsidRPr="009604BE">
        <w:rPr>
          <w:rFonts w:ascii="Garamond" w:hAnsi="Garamond"/>
          <w:i/>
          <w:sz w:val="26"/>
          <w:szCs w:val="26"/>
        </w:rPr>
        <w:t>”</w:t>
      </w:r>
      <w:r w:rsidRPr="009604BE">
        <w:rPr>
          <w:rFonts w:ascii="Garamond" w:hAnsi="Garamond"/>
          <w:sz w:val="26"/>
          <w:szCs w:val="26"/>
        </w:rPr>
        <w:t>.</w:t>
      </w:r>
    </w:p>
  </w:footnote>
  <w:footnote w:id="11">
    <w:p w14:paraId="17D16E32" w14:textId="77777777" w:rsidR="008E0E99" w:rsidRPr="009604BE" w:rsidRDefault="008E0E99" w:rsidP="004E64B0">
      <w:pPr>
        <w:pStyle w:val="Testonotaapidipagina"/>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w:t>
      </w:r>
      <w:r w:rsidR="00C25EB4" w:rsidRPr="009604BE">
        <w:rPr>
          <w:rFonts w:ascii="Garamond" w:hAnsi="Garamond"/>
          <w:sz w:val="26"/>
          <w:szCs w:val="26"/>
        </w:rPr>
        <w:t>Sotto quest’ultimo profilo, d</w:t>
      </w:r>
      <w:r w:rsidRPr="009604BE">
        <w:rPr>
          <w:rFonts w:ascii="Garamond" w:hAnsi="Garamond"/>
          <w:sz w:val="26"/>
          <w:szCs w:val="26"/>
        </w:rPr>
        <w:t>eve, infatti, ritenersi che la pubblica amministrazione resti tale anche nel campo del pubblico impiego privatizzato, dato che la</w:t>
      </w:r>
      <w:r w:rsidR="00D824E2" w:rsidRPr="009604BE">
        <w:rPr>
          <w:rFonts w:ascii="Garamond" w:hAnsi="Garamond"/>
          <w:sz w:val="26"/>
          <w:szCs w:val="26"/>
        </w:rPr>
        <w:t xml:space="preserve"> </w:t>
      </w:r>
      <w:r w:rsidRPr="009604BE">
        <w:rPr>
          <w:rFonts w:ascii="Garamond" w:hAnsi="Garamond"/>
          <w:sz w:val="26"/>
          <w:szCs w:val="26"/>
        </w:rPr>
        <w:t>riforma</w:t>
      </w:r>
      <w:r w:rsidR="00D824E2" w:rsidRPr="009604BE">
        <w:rPr>
          <w:rFonts w:ascii="Garamond" w:hAnsi="Garamond"/>
          <w:sz w:val="26"/>
          <w:szCs w:val="26"/>
        </w:rPr>
        <w:t xml:space="preserve"> del pubblico impiego</w:t>
      </w:r>
      <w:r w:rsidRPr="009604BE">
        <w:rPr>
          <w:rFonts w:ascii="Garamond" w:hAnsi="Garamond"/>
          <w:sz w:val="26"/>
          <w:szCs w:val="26"/>
        </w:rPr>
        <w:t xml:space="preserve"> ha inciso esclusivamente sul rapporto di lavoro privatizzandolo, ma non sulla natura e sulla posizione, all’interno dell’ordinamento, dell’ente datoriale pubblico, al quale sono ancora attribuiti, in materia, ampi poteri organizzatori, riconducibili all’esercizio di pubbliche potestà, che si estrinsecano anche in veri e propri provvedimenti amministrativi. Sul punto, mi permetto di rinviare a</w:t>
      </w:r>
      <w:r w:rsidR="00AB2D6F" w:rsidRPr="009604BE">
        <w:rPr>
          <w:rFonts w:ascii="Garamond" w:hAnsi="Garamond"/>
          <w:sz w:val="26"/>
          <w:szCs w:val="26"/>
        </w:rPr>
        <w:t xml:space="preserve"> </w:t>
      </w:r>
      <w:r w:rsidR="00E6072A" w:rsidRPr="009604BE">
        <w:rPr>
          <w:rFonts w:ascii="Garamond" w:hAnsi="Garamond"/>
          <w:sz w:val="26"/>
          <w:szCs w:val="26"/>
        </w:rPr>
        <w:t xml:space="preserve">I. </w:t>
      </w:r>
      <w:r w:rsidR="00D824E2" w:rsidRPr="009604BE">
        <w:rPr>
          <w:rFonts w:ascii="Garamond" w:hAnsi="Garamond"/>
          <w:smallCaps/>
          <w:sz w:val="26"/>
          <w:szCs w:val="26"/>
        </w:rPr>
        <w:t>Z</w:t>
      </w:r>
      <w:r w:rsidR="0052507E" w:rsidRPr="009604BE">
        <w:rPr>
          <w:rFonts w:ascii="Garamond" w:hAnsi="Garamond"/>
          <w:smallCaps/>
          <w:sz w:val="26"/>
          <w:szCs w:val="26"/>
        </w:rPr>
        <w:t>ingales</w:t>
      </w:r>
      <w:r w:rsidR="00D824E2" w:rsidRPr="009604BE">
        <w:rPr>
          <w:rFonts w:ascii="Garamond" w:hAnsi="Garamond"/>
          <w:sz w:val="26"/>
          <w:szCs w:val="26"/>
        </w:rPr>
        <w:t xml:space="preserve">, </w:t>
      </w:r>
      <w:r w:rsidR="00D824E2" w:rsidRPr="009604BE">
        <w:rPr>
          <w:rFonts w:ascii="Garamond" w:hAnsi="Garamond"/>
          <w:i/>
          <w:sz w:val="26"/>
          <w:szCs w:val="26"/>
        </w:rPr>
        <w:t>Pubblica amministrazione e limiti della giurisdizione tra principi costituzionali e strumenti processuali</w:t>
      </w:r>
      <w:r w:rsidR="00D824E2" w:rsidRPr="009604BE">
        <w:rPr>
          <w:rFonts w:ascii="Garamond" w:hAnsi="Garamond"/>
          <w:sz w:val="26"/>
          <w:szCs w:val="26"/>
        </w:rPr>
        <w:t xml:space="preserve">, </w:t>
      </w:r>
      <w:r w:rsidR="00E6072A" w:rsidRPr="009604BE">
        <w:rPr>
          <w:rFonts w:ascii="Garamond" w:hAnsi="Garamond"/>
          <w:sz w:val="26"/>
          <w:szCs w:val="26"/>
        </w:rPr>
        <w:t>Milano, 2007</w:t>
      </w:r>
      <w:r w:rsidR="00D824E2" w:rsidRPr="009604BE">
        <w:rPr>
          <w:rFonts w:ascii="Garamond" w:hAnsi="Garamond"/>
          <w:sz w:val="26"/>
          <w:szCs w:val="26"/>
        </w:rPr>
        <w:t>, 104-105</w:t>
      </w:r>
      <w:r w:rsidRPr="009604BE">
        <w:rPr>
          <w:rFonts w:ascii="Garamond" w:hAnsi="Garamond"/>
          <w:sz w:val="26"/>
          <w:szCs w:val="26"/>
        </w:rPr>
        <w:t xml:space="preserve">. Sulla natura pubblica del datore di lavoro nel campo del pubblico impiego privatizzato, cfr., anche, </w:t>
      </w:r>
      <w:r w:rsidR="00E6072A" w:rsidRPr="009604BE">
        <w:rPr>
          <w:rFonts w:ascii="Garamond" w:hAnsi="Garamond"/>
          <w:sz w:val="26"/>
          <w:szCs w:val="26"/>
        </w:rPr>
        <w:t xml:space="preserve">B. </w:t>
      </w:r>
      <w:r w:rsidRPr="009604BE">
        <w:rPr>
          <w:rFonts w:ascii="Garamond" w:hAnsi="Garamond"/>
          <w:smallCaps/>
          <w:sz w:val="26"/>
          <w:szCs w:val="26"/>
        </w:rPr>
        <w:t>S</w:t>
      </w:r>
      <w:r w:rsidR="0052507E" w:rsidRPr="009604BE">
        <w:rPr>
          <w:rFonts w:ascii="Garamond" w:hAnsi="Garamond"/>
          <w:smallCaps/>
          <w:sz w:val="26"/>
          <w:szCs w:val="26"/>
        </w:rPr>
        <w:t>assani</w:t>
      </w:r>
      <w:r w:rsidRPr="009604BE">
        <w:rPr>
          <w:rFonts w:ascii="Garamond" w:hAnsi="Garamond"/>
          <w:sz w:val="26"/>
          <w:szCs w:val="26"/>
        </w:rPr>
        <w:t xml:space="preserve">, </w:t>
      </w:r>
      <w:r w:rsidRPr="009604BE">
        <w:rPr>
          <w:rFonts w:ascii="Garamond" w:hAnsi="Garamond"/>
          <w:i/>
          <w:sz w:val="26"/>
          <w:szCs w:val="26"/>
        </w:rPr>
        <w:t>Dal controllo del potere all’attuazione del rapporto. Ottemperanza amministrativa e tutela civile esecutiva</w:t>
      </w:r>
      <w:r w:rsidRPr="009604BE">
        <w:rPr>
          <w:rFonts w:ascii="Garamond" w:hAnsi="Garamond"/>
          <w:sz w:val="26"/>
          <w:szCs w:val="26"/>
        </w:rPr>
        <w:t xml:space="preserve">, Milano, 1997, 210-211; Id., </w:t>
      </w:r>
      <w:r w:rsidRPr="009604BE">
        <w:rPr>
          <w:rFonts w:ascii="Garamond" w:hAnsi="Garamond"/>
          <w:i/>
          <w:sz w:val="26"/>
          <w:szCs w:val="26"/>
        </w:rPr>
        <w:t>Intorno al problema dell’esecuzione forzata della sentenza del giudice civile nel nuovo assetto del lavoro «</w:t>
      </w:r>
      <w:proofErr w:type="spellStart"/>
      <w:r w:rsidRPr="009604BE">
        <w:rPr>
          <w:rFonts w:ascii="Garamond" w:hAnsi="Garamond"/>
          <w:i/>
          <w:sz w:val="26"/>
          <w:szCs w:val="26"/>
        </w:rPr>
        <w:t>depubblicizzato</w:t>
      </w:r>
      <w:proofErr w:type="spellEnd"/>
      <w:r w:rsidRPr="009604BE">
        <w:rPr>
          <w:rFonts w:ascii="Garamond" w:hAnsi="Garamond"/>
          <w:i/>
          <w:sz w:val="26"/>
          <w:szCs w:val="26"/>
        </w:rPr>
        <w:t>»</w:t>
      </w:r>
      <w:r w:rsidRPr="009604BE">
        <w:rPr>
          <w:rFonts w:ascii="Garamond" w:hAnsi="Garamond"/>
          <w:sz w:val="26"/>
          <w:szCs w:val="26"/>
        </w:rPr>
        <w:t xml:space="preserve">, in </w:t>
      </w:r>
      <w:proofErr w:type="spellStart"/>
      <w:r w:rsidRPr="009604BE">
        <w:rPr>
          <w:rFonts w:ascii="Garamond" w:hAnsi="Garamond"/>
          <w:i/>
          <w:sz w:val="26"/>
          <w:szCs w:val="26"/>
        </w:rPr>
        <w:t>Giust</w:t>
      </w:r>
      <w:proofErr w:type="spellEnd"/>
      <w:r w:rsidRPr="009604BE">
        <w:rPr>
          <w:rFonts w:ascii="Garamond" w:hAnsi="Garamond"/>
          <w:i/>
          <w:sz w:val="26"/>
          <w:szCs w:val="26"/>
        </w:rPr>
        <w:t>. civ.</w:t>
      </w:r>
      <w:r w:rsidRPr="009604BE">
        <w:rPr>
          <w:rFonts w:ascii="Garamond" w:hAnsi="Garamond"/>
          <w:sz w:val="26"/>
          <w:szCs w:val="26"/>
        </w:rPr>
        <w:t>, 1993, II, 202</w:t>
      </w:r>
      <w:r w:rsidR="00EA6CC5" w:rsidRPr="009604BE">
        <w:rPr>
          <w:rFonts w:ascii="Garamond" w:hAnsi="Garamond"/>
          <w:sz w:val="26"/>
          <w:szCs w:val="26"/>
        </w:rPr>
        <w:t xml:space="preserve">; </w:t>
      </w:r>
      <w:r w:rsidR="00E6072A" w:rsidRPr="009604BE">
        <w:rPr>
          <w:rFonts w:ascii="Garamond" w:hAnsi="Garamond"/>
          <w:sz w:val="26"/>
          <w:szCs w:val="26"/>
        </w:rPr>
        <w:t xml:space="preserve">S. </w:t>
      </w:r>
      <w:r w:rsidR="00EA6CC5" w:rsidRPr="009604BE">
        <w:rPr>
          <w:rFonts w:ascii="Garamond" w:hAnsi="Garamond"/>
          <w:smallCaps/>
          <w:sz w:val="26"/>
          <w:szCs w:val="26"/>
        </w:rPr>
        <w:t>M</w:t>
      </w:r>
      <w:r w:rsidR="0052507E" w:rsidRPr="009604BE">
        <w:rPr>
          <w:rFonts w:ascii="Garamond" w:hAnsi="Garamond"/>
          <w:smallCaps/>
          <w:sz w:val="26"/>
          <w:szCs w:val="26"/>
        </w:rPr>
        <w:t>enchini</w:t>
      </w:r>
      <w:r w:rsidR="00EA6CC5" w:rsidRPr="009604BE">
        <w:rPr>
          <w:rFonts w:ascii="Garamond" w:hAnsi="Garamond"/>
          <w:sz w:val="26"/>
          <w:szCs w:val="26"/>
        </w:rPr>
        <w:t xml:space="preserve">, </w:t>
      </w:r>
      <w:r w:rsidR="00EA6CC5" w:rsidRPr="009604BE">
        <w:rPr>
          <w:rFonts w:ascii="Garamond" w:hAnsi="Garamond"/>
          <w:i/>
          <w:sz w:val="26"/>
          <w:szCs w:val="26"/>
        </w:rPr>
        <w:t>La tutela dei diritti soggettivi e degli interessi nel pubblico impiego privatizzato</w:t>
      </w:r>
      <w:r w:rsidR="00EA6CC5" w:rsidRPr="009604BE">
        <w:rPr>
          <w:rFonts w:ascii="Garamond" w:hAnsi="Garamond"/>
          <w:sz w:val="26"/>
          <w:szCs w:val="26"/>
        </w:rPr>
        <w:t xml:space="preserve">, in </w:t>
      </w:r>
      <w:r w:rsidR="00EA6CC5" w:rsidRPr="009604BE">
        <w:rPr>
          <w:rFonts w:ascii="Garamond" w:hAnsi="Garamond"/>
          <w:i/>
          <w:sz w:val="26"/>
          <w:szCs w:val="26"/>
        </w:rPr>
        <w:t>Riv. dir. proc.</w:t>
      </w:r>
      <w:r w:rsidR="00EA6CC5" w:rsidRPr="009604BE">
        <w:rPr>
          <w:rFonts w:ascii="Garamond" w:hAnsi="Garamond"/>
          <w:sz w:val="26"/>
          <w:szCs w:val="26"/>
        </w:rPr>
        <w:t xml:space="preserve">, 2002, 431; </w:t>
      </w:r>
      <w:r w:rsidR="00E6072A" w:rsidRPr="009604BE">
        <w:rPr>
          <w:rFonts w:ascii="Garamond" w:hAnsi="Garamond"/>
          <w:sz w:val="26"/>
          <w:szCs w:val="26"/>
        </w:rPr>
        <w:t xml:space="preserve">G. </w:t>
      </w:r>
      <w:r w:rsidR="00EA6CC5" w:rsidRPr="009604BE">
        <w:rPr>
          <w:rFonts w:ascii="Garamond" w:hAnsi="Garamond"/>
          <w:smallCaps/>
          <w:sz w:val="26"/>
          <w:szCs w:val="26"/>
        </w:rPr>
        <w:t>A</w:t>
      </w:r>
      <w:r w:rsidR="0052507E" w:rsidRPr="009604BE">
        <w:rPr>
          <w:rFonts w:ascii="Garamond" w:hAnsi="Garamond"/>
          <w:smallCaps/>
          <w:sz w:val="26"/>
          <w:szCs w:val="26"/>
        </w:rPr>
        <w:t>lbenzio</w:t>
      </w:r>
      <w:r w:rsidR="00EA6CC5" w:rsidRPr="009604BE">
        <w:rPr>
          <w:rFonts w:ascii="Garamond" w:hAnsi="Garamond"/>
          <w:sz w:val="26"/>
          <w:szCs w:val="26"/>
        </w:rPr>
        <w:t xml:space="preserve">, </w:t>
      </w:r>
      <w:r w:rsidR="00EA6CC5" w:rsidRPr="009604BE">
        <w:rPr>
          <w:rFonts w:ascii="Garamond" w:hAnsi="Garamond"/>
          <w:i/>
          <w:sz w:val="26"/>
          <w:szCs w:val="26"/>
        </w:rPr>
        <w:t>L’esecuzione delle sentenze del giudice del lavoro nei confronti della pubblica amministrazione</w:t>
      </w:r>
      <w:r w:rsidR="00EA6CC5" w:rsidRPr="009604BE">
        <w:rPr>
          <w:rFonts w:ascii="Garamond" w:hAnsi="Garamond"/>
          <w:sz w:val="26"/>
          <w:szCs w:val="26"/>
        </w:rPr>
        <w:t xml:space="preserve">, in </w:t>
      </w:r>
      <w:r w:rsidR="00EA6CC5" w:rsidRPr="009604BE">
        <w:rPr>
          <w:rFonts w:ascii="Garamond" w:hAnsi="Garamond"/>
          <w:i/>
          <w:sz w:val="26"/>
          <w:szCs w:val="26"/>
        </w:rPr>
        <w:t xml:space="preserve">Foro </w:t>
      </w:r>
      <w:proofErr w:type="spellStart"/>
      <w:r w:rsidR="00EA6CC5" w:rsidRPr="009604BE">
        <w:rPr>
          <w:rFonts w:ascii="Garamond" w:hAnsi="Garamond"/>
          <w:i/>
          <w:sz w:val="26"/>
          <w:szCs w:val="26"/>
        </w:rPr>
        <w:t>it</w:t>
      </w:r>
      <w:proofErr w:type="spellEnd"/>
      <w:r w:rsidR="00EA6CC5" w:rsidRPr="009604BE">
        <w:rPr>
          <w:rFonts w:ascii="Garamond" w:hAnsi="Garamond"/>
          <w:i/>
          <w:sz w:val="26"/>
          <w:szCs w:val="26"/>
        </w:rPr>
        <w:t>.</w:t>
      </w:r>
      <w:r w:rsidR="00EA6CC5" w:rsidRPr="009604BE">
        <w:rPr>
          <w:rFonts w:ascii="Garamond" w:hAnsi="Garamond"/>
          <w:sz w:val="26"/>
          <w:szCs w:val="26"/>
        </w:rPr>
        <w:t>, 1999, I, 3475</w:t>
      </w:r>
      <w:r w:rsidRPr="009604BE">
        <w:rPr>
          <w:rFonts w:ascii="Garamond" w:hAnsi="Garamond"/>
          <w:sz w:val="26"/>
          <w:szCs w:val="26"/>
        </w:rPr>
        <w:t>.</w:t>
      </w:r>
    </w:p>
  </w:footnote>
  <w:footnote w:id="12">
    <w:p w14:paraId="587D307B" w14:textId="77777777" w:rsidR="002A13BE" w:rsidRPr="009604BE" w:rsidRDefault="002A13BE" w:rsidP="004E64B0">
      <w:pPr>
        <w:pStyle w:val="Testonotaapidipagina"/>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Osserva incisivamente </w:t>
      </w:r>
      <w:r w:rsidR="00E6072A" w:rsidRPr="009604BE">
        <w:rPr>
          <w:rFonts w:ascii="Garamond" w:hAnsi="Garamond"/>
          <w:sz w:val="26"/>
          <w:szCs w:val="26"/>
        </w:rPr>
        <w:t xml:space="preserve">V. </w:t>
      </w:r>
      <w:r w:rsidRPr="009604BE">
        <w:rPr>
          <w:rFonts w:ascii="Garamond" w:hAnsi="Garamond"/>
          <w:smallCaps/>
          <w:sz w:val="26"/>
          <w:szCs w:val="26"/>
        </w:rPr>
        <w:t>C</w:t>
      </w:r>
      <w:r w:rsidR="0052507E" w:rsidRPr="009604BE">
        <w:rPr>
          <w:rFonts w:ascii="Garamond" w:hAnsi="Garamond"/>
          <w:smallCaps/>
          <w:sz w:val="26"/>
          <w:szCs w:val="26"/>
        </w:rPr>
        <w:t>aianiello</w:t>
      </w:r>
      <w:r w:rsidRPr="009604BE">
        <w:rPr>
          <w:rFonts w:ascii="Garamond" w:hAnsi="Garamond"/>
          <w:sz w:val="26"/>
          <w:szCs w:val="26"/>
        </w:rPr>
        <w:t xml:space="preserve">, </w:t>
      </w:r>
      <w:r w:rsidRPr="009604BE">
        <w:rPr>
          <w:rFonts w:ascii="Garamond" w:hAnsi="Garamond"/>
          <w:i/>
          <w:sz w:val="26"/>
          <w:szCs w:val="26"/>
        </w:rPr>
        <w:t>Manuale di Diritto processuale amministrativo</w:t>
      </w:r>
      <w:r w:rsidRPr="009604BE">
        <w:rPr>
          <w:rFonts w:ascii="Garamond" w:hAnsi="Garamond"/>
          <w:sz w:val="26"/>
          <w:szCs w:val="26"/>
        </w:rPr>
        <w:t xml:space="preserve">, </w:t>
      </w:r>
      <w:r w:rsidR="00E6072A" w:rsidRPr="009604BE">
        <w:rPr>
          <w:rFonts w:ascii="Garamond" w:hAnsi="Garamond"/>
          <w:sz w:val="26"/>
          <w:szCs w:val="26"/>
        </w:rPr>
        <w:t>Torino, 1994</w:t>
      </w:r>
      <w:r w:rsidR="00681357" w:rsidRPr="009604BE">
        <w:rPr>
          <w:rFonts w:ascii="Garamond" w:hAnsi="Garamond"/>
          <w:sz w:val="26"/>
          <w:szCs w:val="26"/>
        </w:rPr>
        <w:t>,</w:t>
      </w:r>
      <w:r w:rsidRPr="009604BE">
        <w:rPr>
          <w:rFonts w:ascii="Garamond" w:hAnsi="Garamond"/>
          <w:sz w:val="26"/>
          <w:szCs w:val="26"/>
        </w:rPr>
        <w:t xml:space="preserve"> 848-849: </w:t>
      </w:r>
      <w:r w:rsidRPr="009604BE">
        <w:rPr>
          <w:rFonts w:ascii="Garamond" w:hAnsi="Garamond"/>
          <w:i/>
          <w:sz w:val="26"/>
          <w:szCs w:val="26"/>
        </w:rPr>
        <w:t>“…l’obbligo di conformarsi al giudicato del giudice ordinario venne in origine concepito come obbligo di annullare l’atto amministrativo che fosse stato disapplicato, perché ritenuto illegittimo, da parte del giudice ordinario. Successivamente la giurisprudenza ha esteso però il giudizio di ottemperanza anche alle sentenze di condanna, relativamente alle quali il giudizio in parola si caratterizza in funzione attuativa, onde il rimedio assume la medesima fisionomia di quello che accede alla sentenza amministrativa, perché tende anch’esso a rendere concreto il contenuto della statuizione di condanna e non già a rimuovere l’atto amministrativo oggetto di disapplicazione. …Per le sentenze di condanna del giudice ordinario, una volta ammessa per esse l’esperibilità del giudizio di ottemperanza, questo tende ad attuare la statuizione principale (di condanna) in essa contenuta e, quindi, non a dare corpo ad un effetto ulteriore, indotto dal giudicato, ma a realizzare quello principale. Se dunque il giudizio di ottemperanza si pone, relativamente alle sentenze di condanna del giudice ordinario, in funzione di attuazione, esso non si distingue sotto questo aspetto da quello che viene instaurato per l’attuazione delle sentenze del giudice amministrativo e, quindi, l’individuazione della sua natura si pone negli stessi termini…che per il giudizio che accede a queste ultime sentenze</w:t>
      </w:r>
      <w:r w:rsidRPr="009604BE">
        <w:rPr>
          <w:rFonts w:ascii="Garamond" w:hAnsi="Garamond"/>
          <w:sz w:val="26"/>
          <w:szCs w:val="26"/>
        </w:rPr>
        <w:t>”.</w:t>
      </w:r>
    </w:p>
  </w:footnote>
  <w:footnote w:id="13">
    <w:p w14:paraId="55B9C0FD" w14:textId="77777777" w:rsidR="005553FF" w:rsidRPr="009604BE" w:rsidRDefault="005553FF" w:rsidP="004E64B0">
      <w:pPr>
        <w:pStyle w:val="Testonotaapidipagina"/>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La questione di costituzionalità </w:t>
      </w:r>
      <w:r w:rsidR="00E04FC2" w:rsidRPr="009604BE">
        <w:rPr>
          <w:rFonts w:ascii="Garamond" w:hAnsi="Garamond"/>
          <w:sz w:val="26"/>
          <w:szCs w:val="26"/>
        </w:rPr>
        <w:t>era stata sollevata dal T.A.R. Sicilia-Catania nell’ambito di un giudizio di ottemperanza promosso per l’esecuzione di</w:t>
      </w:r>
      <w:r w:rsidRPr="009604BE">
        <w:rPr>
          <w:rFonts w:ascii="Garamond" w:hAnsi="Garamond"/>
          <w:sz w:val="26"/>
          <w:szCs w:val="26"/>
        </w:rPr>
        <w:t xml:space="preserve"> una sentenza civile</w:t>
      </w:r>
      <w:r w:rsidR="00E04FC2" w:rsidRPr="009604BE">
        <w:rPr>
          <w:rFonts w:ascii="Garamond" w:hAnsi="Garamond"/>
          <w:sz w:val="26"/>
          <w:szCs w:val="26"/>
        </w:rPr>
        <w:t xml:space="preserve"> (provvisoriamente esecutiva)</w:t>
      </w:r>
      <w:r w:rsidRPr="009604BE">
        <w:rPr>
          <w:rFonts w:ascii="Garamond" w:hAnsi="Garamond"/>
          <w:sz w:val="26"/>
          <w:szCs w:val="26"/>
        </w:rPr>
        <w:t xml:space="preserve"> di condanna</w:t>
      </w:r>
      <w:r w:rsidR="00E04FC2" w:rsidRPr="009604BE">
        <w:rPr>
          <w:rFonts w:ascii="Garamond" w:hAnsi="Garamond"/>
          <w:sz w:val="26"/>
          <w:szCs w:val="26"/>
        </w:rPr>
        <w:t xml:space="preserve"> di un Comune</w:t>
      </w:r>
      <w:r w:rsidRPr="009604BE">
        <w:rPr>
          <w:rFonts w:ascii="Garamond" w:hAnsi="Garamond"/>
          <w:sz w:val="26"/>
          <w:szCs w:val="26"/>
        </w:rPr>
        <w:t xml:space="preserve"> al pagamento di una somma</w:t>
      </w:r>
      <w:r w:rsidR="00E04FC2" w:rsidRPr="009604BE">
        <w:rPr>
          <w:rFonts w:ascii="Garamond" w:hAnsi="Garamond"/>
          <w:sz w:val="26"/>
          <w:szCs w:val="26"/>
        </w:rPr>
        <w:t xml:space="preserve"> di denaro a titolo risarcitorio.</w:t>
      </w:r>
      <w:r w:rsidRPr="009604BE">
        <w:rPr>
          <w:rFonts w:ascii="Garamond" w:hAnsi="Garamond"/>
          <w:sz w:val="26"/>
          <w:szCs w:val="26"/>
        </w:rPr>
        <w:t xml:space="preserve"> </w:t>
      </w:r>
    </w:p>
  </w:footnote>
  <w:footnote w:id="14">
    <w:p w14:paraId="522D8FBD" w14:textId="77777777" w:rsidR="00E04FC2" w:rsidRPr="009604BE" w:rsidRDefault="00E04FC2" w:rsidP="004E64B0">
      <w:pPr>
        <w:autoSpaceDE w:val="0"/>
        <w:autoSpaceDN w:val="0"/>
        <w:adjustRightInd w:val="0"/>
        <w:spacing w:after="0" w:line="240" w:lineRule="auto"/>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La questione di costituzionalità era stata sollevata sempre dal T.A.R. Sicilia-Catania nell’ambito di un giudizio di ottemperanza promosso per l’esecuzione di una sentenza del giudice del lavoro (provvisoriamente esecutiva) di condanna di un Comune alla</w:t>
      </w:r>
      <w:r w:rsidRPr="009604BE">
        <w:rPr>
          <w:rFonts w:ascii="Garamond" w:hAnsi="Garamond" w:cs="Times New Roman"/>
          <w:sz w:val="26"/>
          <w:szCs w:val="26"/>
        </w:rPr>
        <w:t xml:space="preserve"> riassegnazione di mansioni ed al pagamento di differenze retributive e degli interessi legali dalla maturazione dei crediti</w:t>
      </w:r>
      <w:r w:rsidRPr="009604BE">
        <w:rPr>
          <w:rFonts w:ascii="Garamond" w:hAnsi="Garamond"/>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980266"/>
      <w:docPartObj>
        <w:docPartGallery w:val="Page Numbers (Top of Page)"/>
        <w:docPartUnique/>
      </w:docPartObj>
    </w:sdtPr>
    <w:sdtEndPr/>
    <w:sdtContent>
      <w:p w14:paraId="0628E833" w14:textId="77777777" w:rsidR="00E06F39" w:rsidRDefault="00E06F39">
        <w:pPr>
          <w:pStyle w:val="Intestazione"/>
          <w:jc w:val="center"/>
        </w:pPr>
        <w:r>
          <w:fldChar w:fldCharType="begin"/>
        </w:r>
        <w:r>
          <w:instrText>PAGE   \* MERGEFORMAT</w:instrText>
        </w:r>
        <w:r>
          <w:fldChar w:fldCharType="separate"/>
        </w:r>
        <w:r w:rsidR="00A87B3A">
          <w:rPr>
            <w:noProof/>
          </w:rPr>
          <w:t>10</w:t>
        </w:r>
        <w:r>
          <w:fldChar w:fldCharType="end"/>
        </w:r>
      </w:p>
    </w:sdtContent>
  </w:sdt>
  <w:p w14:paraId="6A60A805" w14:textId="77777777" w:rsidR="00E06F39" w:rsidRDefault="00E06F3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F6C37"/>
    <w:multiLevelType w:val="multilevel"/>
    <w:tmpl w:val="8416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FB121D"/>
    <w:multiLevelType w:val="multilevel"/>
    <w:tmpl w:val="240EA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9834547">
    <w:abstractNumId w:val="0"/>
  </w:num>
  <w:num w:numId="2" w16cid:durableId="1457413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E11"/>
    <w:rsid w:val="00012A35"/>
    <w:rsid w:val="00015A5C"/>
    <w:rsid w:val="00021454"/>
    <w:rsid w:val="00030827"/>
    <w:rsid w:val="00032FEA"/>
    <w:rsid w:val="00040AAF"/>
    <w:rsid w:val="0004293F"/>
    <w:rsid w:val="00045028"/>
    <w:rsid w:val="000500B7"/>
    <w:rsid w:val="00050C5A"/>
    <w:rsid w:val="00051C6C"/>
    <w:rsid w:val="000537AE"/>
    <w:rsid w:val="00061209"/>
    <w:rsid w:val="000627E5"/>
    <w:rsid w:val="00064541"/>
    <w:rsid w:val="000801DF"/>
    <w:rsid w:val="00087F0E"/>
    <w:rsid w:val="000915EF"/>
    <w:rsid w:val="00094203"/>
    <w:rsid w:val="000A28C9"/>
    <w:rsid w:val="000B3CA1"/>
    <w:rsid w:val="000C047A"/>
    <w:rsid w:val="000F33CF"/>
    <w:rsid w:val="000F549E"/>
    <w:rsid w:val="000F55E8"/>
    <w:rsid w:val="001008A4"/>
    <w:rsid w:val="00102472"/>
    <w:rsid w:val="00117E59"/>
    <w:rsid w:val="001218CB"/>
    <w:rsid w:val="00123BF0"/>
    <w:rsid w:val="00126736"/>
    <w:rsid w:val="0012725A"/>
    <w:rsid w:val="00132D07"/>
    <w:rsid w:val="001364DC"/>
    <w:rsid w:val="001373AE"/>
    <w:rsid w:val="001400FB"/>
    <w:rsid w:val="001412E3"/>
    <w:rsid w:val="001500B1"/>
    <w:rsid w:val="00191DF8"/>
    <w:rsid w:val="00192B96"/>
    <w:rsid w:val="00196C69"/>
    <w:rsid w:val="00196DD9"/>
    <w:rsid w:val="001C3BC2"/>
    <w:rsid w:val="001D6681"/>
    <w:rsid w:val="001D7A41"/>
    <w:rsid w:val="001E34D7"/>
    <w:rsid w:val="001E3C78"/>
    <w:rsid w:val="001F3FCF"/>
    <w:rsid w:val="001F60E2"/>
    <w:rsid w:val="001F6BEA"/>
    <w:rsid w:val="002077FD"/>
    <w:rsid w:val="002310CE"/>
    <w:rsid w:val="002365DB"/>
    <w:rsid w:val="002425DE"/>
    <w:rsid w:val="00246DE9"/>
    <w:rsid w:val="00250BA7"/>
    <w:rsid w:val="00264E37"/>
    <w:rsid w:val="002654C2"/>
    <w:rsid w:val="0027019B"/>
    <w:rsid w:val="00271FFE"/>
    <w:rsid w:val="0028014D"/>
    <w:rsid w:val="00282CE0"/>
    <w:rsid w:val="002A13BE"/>
    <w:rsid w:val="002B4A7C"/>
    <w:rsid w:val="002B6D97"/>
    <w:rsid w:val="002C1481"/>
    <w:rsid w:val="002C4561"/>
    <w:rsid w:val="002C5F4A"/>
    <w:rsid w:val="002C6429"/>
    <w:rsid w:val="002E74A8"/>
    <w:rsid w:val="00303779"/>
    <w:rsid w:val="00304338"/>
    <w:rsid w:val="00310EED"/>
    <w:rsid w:val="00311F39"/>
    <w:rsid w:val="00321FD5"/>
    <w:rsid w:val="00325703"/>
    <w:rsid w:val="00344FCD"/>
    <w:rsid w:val="00355EFE"/>
    <w:rsid w:val="00373134"/>
    <w:rsid w:val="00374A06"/>
    <w:rsid w:val="00381FE3"/>
    <w:rsid w:val="00386B4D"/>
    <w:rsid w:val="0038766C"/>
    <w:rsid w:val="003A5BD5"/>
    <w:rsid w:val="003C3FDA"/>
    <w:rsid w:val="003D6CFF"/>
    <w:rsid w:val="003D6E3A"/>
    <w:rsid w:val="003E3722"/>
    <w:rsid w:val="003F78EA"/>
    <w:rsid w:val="00404028"/>
    <w:rsid w:val="00405C82"/>
    <w:rsid w:val="00413922"/>
    <w:rsid w:val="00416B38"/>
    <w:rsid w:val="00427483"/>
    <w:rsid w:val="00435074"/>
    <w:rsid w:val="00435A41"/>
    <w:rsid w:val="00437545"/>
    <w:rsid w:val="004415D3"/>
    <w:rsid w:val="00456450"/>
    <w:rsid w:val="00461A1C"/>
    <w:rsid w:val="00474357"/>
    <w:rsid w:val="004759B1"/>
    <w:rsid w:val="0048340D"/>
    <w:rsid w:val="00483A30"/>
    <w:rsid w:val="004B2FA7"/>
    <w:rsid w:val="004C2E7C"/>
    <w:rsid w:val="004D5F55"/>
    <w:rsid w:val="004E16BF"/>
    <w:rsid w:val="004E64B0"/>
    <w:rsid w:val="004F099A"/>
    <w:rsid w:val="004F44B0"/>
    <w:rsid w:val="0050388E"/>
    <w:rsid w:val="00506D6A"/>
    <w:rsid w:val="0052507E"/>
    <w:rsid w:val="00527CA9"/>
    <w:rsid w:val="0053553F"/>
    <w:rsid w:val="00540162"/>
    <w:rsid w:val="00542A67"/>
    <w:rsid w:val="005553FF"/>
    <w:rsid w:val="00556E47"/>
    <w:rsid w:val="00561E76"/>
    <w:rsid w:val="00570EE7"/>
    <w:rsid w:val="00575E81"/>
    <w:rsid w:val="005912A4"/>
    <w:rsid w:val="005A475E"/>
    <w:rsid w:val="005C4049"/>
    <w:rsid w:val="005C4430"/>
    <w:rsid w:val="005C6A77"/>
    <w:rsid w:val="005D318C"/>
    <w:rsid w:val="005D5EFD"/>
    <w:rsid w:val="0060270E"/>
    <w:rsid w:val="006107F4"/>
    <w:rsid w:val="0061098E"/>
    <w:rsid w:val="0061430D"/>
    <w:rsid w:val="00623D28"/>
    <w:rsid w:val="006316D6"/>
    <w:rsid w:val="0063195D"/>
    <w:rsid w:val="00646EDC"/>
    <w:rsid w:val="00647152"/>
    <w:rsid w:val="0065452C"/>
    <w:rsid w:val="006578E5"/>
    <w:rsid w:val="00660939"/>
    <w:rsid w:val="006618AE"/>
    <w:rsid w:val="00662D46"/>
    <w:rsid w:val="006636D9"/>
    <w:rsid w:val="0066474A"/>
    <w:rsid w:val="00681357"/>
    <w:rsid w:val="00695C65"/>
    <w:rsid w:val="006A60C8"/>
    <w:rsid w:val="006C02B6"/>
    <w:rsid w:val="006C111D"/>
    <w:rsid w:val="006C7073"/>
    <w:rsid w:val="006D5169"/>
    <w:rsid w:val="006E3B5E"/>
    <w:rsid w:val="006E5AFA"/>
    <w:rsid w:val="006F0159"/>
    <w:rsid w:val="006F07AF"/>
    <w:rsid w:val="006F2A3B"/>
    <w:rsid w:val="00701FB9"/>
    <w:rsid w:val="0071293F"/>
    <w:rsid w:val="007215A4"/>
    <w:rsid w:val="00736927"/>
    <w:rsid w:val="00742727"/>
    <w:rsid w:val="007520BE"/>
    <w:rsid w:val="00752B28"/>
    <w:rsid w:val="0076102A"/>
    <w:rsid w:val="00767060"/>
    <w:rsid w:val="007678F3"/>
    <w:rsid w:val="00785B90"/>
    <w:rsid w:val="00793228"/>
    <w:rsid w:val="007A071C"/>
    <w:rsid w:val="007B2EAA"/>
    <w:rsid w:val="007B66A9"/>
    <w:rsid w:val="007C5B78"/>
    <w:rsid w:val="007C6E11"/>
    <w:rsid w:val="007C76E8"/>
    <w:rsid w:val="007D0204"/>
    <w:rsid w:val="007D3DF8"/>
    <w:rsid w:val="007E1FE5"/>
    <w:rsid w:val="007E69E5"/>
    <w:rsid w:val="007F3278"/>
    <w:rsid w:val="008138E4"/>
    <w:rsid w:val="00844C66"/>
    <w:rsid w:val="00857129"/>
    <w:rsid w:val="00857D1B"/>
    <w:rsid w:val="008601E8"/>
    <w:rsid w:val="008623FE"/>
    <w:rsid w:val="008844DB"/>
    <w:rsid w:val="00886CEA"/>
    <w:rsid w:val="008923C3"/>
    <w:rsid w:val="008D6F77"/>
    <w:rsid w:val="008E0E99"/>
    <w:rsid w:val="008E262F"/>
    <w:rsid w:val="008F319C"/>
    <w:rsid w:val="00905851"/>
    <w:rsid w:val="00914CB8"/>
    <w:rsid w:val="009210C7"/>
    <w:rsid w:val="00921FC6"/>
    <w:rsid w:val="009341AA"/>
    <w:rsid w:val="0093466B"/>
    <w:rsid w:val="00944940"/>
    <w:rsid w:val="00944CB9"/>
    <w:rsid w:val="0095302A"/>
    <w:rsid w:val="00957044"/>
    <w:rsid w:val="009604BE"/>
    <w:rsid w:val="009648F4"/>
    <w:rsid w:val="00994B47"/>
    <w:rsid w:val="009A1C4C"/>
    <w:rsid w:val="009A7526"/>
    <w:rsid w:val="009B1806"/>
    <w:rsid w:val="009B220C"/>
    <w:rsid w:val="009B7FB9"/>
    <w:rsid w:val="009C1AC3"/>
    <w:rsid w:val="009C3A76"/>
    <w:rsid w:val="009D2141"/>
    <w:rsid w:val="009D3DE6"/>
    <w:rsid w:val="009F1344"/>
    <w:rsid w:val="00A03E74"/>
    <w:rsid w:val="00A13C13"/>
    <w:rsid w:val="00A24EEC"/>
    <w:rsid w:val="00A32DB7"/>
    <w:rsid w:val="00A350AD"/>
    <w:rsid w:val="00A36915"/>
    <w:rsid w:val="00A547C9"/>
    <w:rsid w:val="00A60E87"/>
    <w:rsid w:val="00A63925"/>
    <w:rsid w:val="00A67FC1"/>
    <w:rsid w:val="00A7282C"/>
    <w:rsid w:val="00A735F4"/>
    <w:rsid w:val="00A80382"/>
    <w:rsid w:val="00A85DF8"/>
    <w:rsid w:val="00A874E5"/>
    <w:rsid w:val="00A87B3A"/>
    <w:rsid w:val="00A90D8B"/>
    <w:rsid w:val="00AA467B"/>
    <w:rsid w:val="00AB2428"/>
    <w:rsid w:val="00AB2D6F"/>
    <w:rsid w:val="00AB4AB8"/>
    <w:rsid w:val="00AB7607"/>
    <w:rsid w:val="00AB7632"/>
    <w:rsid w:val="00AC6BE0"/>
    <w:rsid w:val="00AD7C82"/>
    <w:rsid w:val="00AE425D"/>
    <w:rsid w:val="00B006D1"/>
    <w:rsid w:val="00B11142"/>
    <w:rsid w:val="00B166C5"/>
    <w:rsid w:val="00B428BF"/>
    <w:rsid w:val="00B5459E"/>
    <w:rsid w:val="00B54903"/>
    <w:rsid w:val="00B54B98"/>
    <w:rsid w:val="00B67731"/>
    <w:rsid w:val="00B75294"/>
    <w:rsid w:val="00B82983"/>
    <w:rsid w:val="00B82FB8"/>
    <w:rsid w:val="00B870FC"/>
    <w:rsid w:val="00B923A5"/>
    <w:rsid w:val="00B974FF"/>
    <w:rsid w:val="00BB249B"/>
    <w:rsid w:val="00BD06D0"/>
    <w:rsid w:val="00BD06E0"/>
    <w:rsid w:val="00BD624F"/>
    <w:rsid w:val="00BE04C0"/>
    <w:rsid w:val="00BE3D8B"/>
    <w:rsid w:val="00BE7D79"/>
    <w:rsid w:val="00C03061"/>
    <w:rsid w:val="00C154D2"/>
    <w:rsid w:val="00C23C40"/>
    <w:rsid w:val="00C25EB4"/>
    <w:rsid w:val="00C26BA6"/>
    <w:rsid w:val="00C26E1F"/>
    <w:rsid w:val="00C3349E"/>
    <w:rsid w:val="00C379B5"/>
    <w:rsid w:val="00C44782"/>
    <w:rsid w:val="00C55A36"/>
    <w:rsid w:val="00C62978"/>
    <w:rsid w:val="00C71BD3"/>
    <w:rsid w:val="00C73F70"/>
    <w:rsid w:val="00C756A6"/>
    <w:rsid w:val="00C82AE5"/>
    <w:rsid w:val="00C83EB3"/>
    <w:rsid w:val="00C8697D"/>
    <w:rsid w:val="00C9144E"/>
    <w:rsid w:val="00C923A5"/>
    <w:rsid w:val="00C962DB"/>
    <w:rsid w:val="00CA165C"/>
    <w:rsid w:val="00CA29FB"/>
    <w:rsid w:val="00CA76AF"/>
    <w:rsid w:val="00CC3F82"/>
    <w:rsid w:val="00CC649B"/>
    <w:rsid w:val="00CD7497"/>
    <w:rsid w:val="00CE0C32"/>
    <w:rsid w:val="00CE73F8"/>
    <w:rsid w:val="00D02E31"/>
    <w:rsid w:val="00D0485B"/>
    <w:rsid w:val="00D07557"/>
    <w:rsid w:val="00D17E62"/>
    <w:rsid w:val="00D27F59"/>
    <w:rsid w:val="00D31281"/>
    <w:rsid w:val="00D44767"/>
    <w:rsid w:val="00D71801"/>
    <w:rsid w:val="00D7481D"/>
    <w:rsid w:val="00D824E2"/>
    <w:rsid w:val="00D93DDC"/>
    <w:rsid w:val="00DA2B90"/>
    <w:rsid w:val="00DC1F09"/>
    <w:rsid w:val="00DD1A0C"/>
    <w:rsid w:val="00DD2720"/>
    <w:rsid w:val="00DE24EE"/>
    <w:rsid w:val="00E04FC2"/>
    <w:rsid w:val="00E05F5F"/>
    <w:rsid w:val="00E06F39"/>
    <w:rsid w:val="00E1067E"/>
    <w:rsid w:val="00E211E4"/>
    <w:rsid w:val="00E6072A"/>
    <w:rsid w:val="00E76BEB"/>
    <w:rsid w:val="00E808BE"/>
    <w:rsid w:val="00E827A1"/>
    <w:rsid w:val="00EA09A5"/>
    <w:rsid w:val="00EA3AC6"/>
    <w:rsid w:val="00EA6CC5"/>
    <w:rsid w:val="00EB0C51"/>
    <w:rsid w:val="00EB3684"/>
    <w:rsid w:val="00EC1996"/>
    <w:rsid w:val="00EC3BC8"/>
    <w:rsid w:val="00EC765F"/>
    <w:rsid w:val="00ED2424"/>
    <w:rsid w:val="00ED34A4"/>
    <w:rsid w:val="00EE456B"/>
    <w:rsid w:val="00EF6775"/>
    <w:rsid w:val="00F008DF"/>
    <w:rsid w:val="00F030B6"/>
    <w:rsid w:val="00F062D4"/>
    <w:rsid w:val="00F11650"/>
    <w:rsid w:val="00F23888"/>
    <w:rsid w:val="00F246A2"/>
    <w:rsid w:val="00F307C1"/>
    <w:rsid w:val="00F33DB9"/>
    <w:rsid w:val="00F35CBD"/>
    <w:rsid w:val="00F57BF5"/>
    <w:rsid w:val="00F72167"/>
    <w:rsid w:val="00F90377"/>
    <w:rsid w:val="00F96B7C"/>
    <w:rsid w:val="00FB0654"/>
    <w:rsid w:val="00FD27A7"/>
    <w:rsid w:val="00FD3D5B"/>
    <w:rsid w:val="00FF39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EECB"/>
  <w15:chartTrackingRefBased/>
  <w15:docId w15:val="{9067B714-0DB6-43C5-BC31-65F79B7A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1"/>
    <w:rsid w:val="006C02B6"/>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uiPriority w:val="99"/>
    <w:semiHidden/>
    <w:rsid w:val="006C02B6"/>
    <w:rPr>
      <w:sz w:val="20"/>
      <w:szCs w:val="20"/>
    </w:rPr>
  </w:style>
  <w:style w:type="character" w:styleId="Rimandonotaapidipagina">
    <w:name w:val="footnote reference"/>
    <w:semiHidden/>
    <w:rsid w:val="006C02B6"/>
    <w:rPr>
      <w:vertAlign w:val="superscript"/>
    </w:rPr>
  </w:style>
  <w:style w:type="character" w:customStyle="1" w:styleId="TestonotaapidipaginaCarattere1">
    <w:name w:val="Testo nota a piè di pagina Carattere1"/>
    <w:link w:val="Testonotaapidipagina"/>
    <w:rsid w:val="006C02B6"/>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rsid w:val="00EA3AC6"/>
    <w:pPr>
      <w:spacing w:after="0" w:line="360" w:lineRule="auto"/>
      <w:jc w:val="both"/>
    </w:pPr>
    <w:rPr>
      <w:rFonts w:ascii="Times New Roman" w:eastAsia="Times New Roman" w:hAnsi="Times New Roman" w:cs="Times New Roman"/>
      <w:sz w:val="28"/>
      <w:szCs w:val="20"/>
      <w:lang w:eastAsia="it-IT"/>
    </w:rPr>
  </w:style>
  <w:style w:type="character" w:customStyle="1" w:styleId="Corpodeltesto2Carattere">
    <w:name w:val="Corpo del testo 2 Carattere"/>
    <w:basedOn w:val="Carpredefinitoparagrafo"/>
    <w:link w:val="Corpodeltesto2"/>
    <w:rsid w:val="00EA3AC6"/>
    <w:rPr>
      <w:rFonts w:ascii="Times New Roman" w:eastAsia="Times New Roman" w:hAnsi="Times New Roman" w:cs="Times New Roman"/>
      <w:sz w:val="28"/>
      <w:szCs w:val="20"/>
      <w:lang w:eastAsia="it-IT"/>
    </w:rPr>
  </w:style>
  <w:style w:type="paragraph" w:customStyle="1" w:styleId="Testonotaapi">
    <w:name w:val="Testo nota a piè"/>
    <w:basedOn w:val="Testonotaapidipagina"/>
    <w:link w:val="TestonotaapiCarattere"/>
    <w:rsid w:val="00EA3AC6"/>
    <w:pPr>
      <w:jc w:val="both"/>
    </w:pPr>
    <w:rPr>
      <w:sz w:val="26"/>
      <w:szCs w:val="26"/>
    </w:rPr>
  </w:style>
  <w:style w:type="character" w:customStyle="1" w:styleId="TestonotaapiCarattere">
    <w:name w:val="Testo nota a piè Carattere"/>
    <w:link w:val="Testonotaapi"/>
    <w:rsid w:val="00EA3AC6"/>
    <w:rPr>
      <w:rFonts w:ascii="Times New Roman" w:eastAsia="Times New Roman" w:hAnsi="Times New Roman" w:cs="Times New Roman"/>
      <w:sz w:val="26"/>
      <w:szCs w:val="26"/>
      <w:lang w:eastAsia="it-IT"/>
    </w:rPr>
  </w:style>
  <w:style w:type="paragraph" w:styleId="Intestazione">
    <w:name w:val="header"/>
    <w:basedOn w:val="Normale"/>
    <w:link w:val="IntestazioneCarattere"/>
    <w:uiPriority w:val="99"/>
    <w:unhideWhenUsed/>
    <w:rsid w:val="00E06F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06F39"/>
  </w:style>
  <w:style w:type="paragraph" w:styleId="Pidipagina">
    <w:name w:val="footer"/>
    <w:basedOn w:val="Normale"/>
    <w:link w:val="PidipaginaCarattere"/>
    <w:uiPriority w:val="99"/>
    <w:unhideWhenUsed/>
    <w:rsid w:val="00E06F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06F39"/>
  </w:style>
  <w:style w:type="character" w:styleId="Collegamentoipertestuale">
    <w:name w:val="Hyperlink"/>
    <w:basedOn w:val="Carpredefinitoparagrafo"/>
    <w:uiPriority w:val="99"/>
    <w:semiHidden/>
    <w:unhideWhenUsed/>
    <w:rsid w:val="00404028"/>
    <w:rPr>
      <w:color w:val="004F8A"/>
      <w:u w:val="single"/>
    </w:rPr>
  </w:style>
  <w:style w:type="paragraph" w:styleId="NormaleWeb">
    <w:name w:val="Normal (Web)"/>
    <w:basedOn w:val="Normale"/>
    <w:uiPriority w:val="99"/>
    <w:unhideWhenUsed/>
    <w:rsid w:val="00742727"/>
    <w:pPr>
      <w:spacing w:after="0" w:line="270" w:lineRule="atLeast"/>
    </w:pPr>
    <w:rPr>
      <w:rFonts w:ascii="Arial" w:eastAsia="Times New Roman" w:hAnsi="Arial" w:cs="Arial"/>
      <w:color w:val="272B33"/>
      <w:sz w:val="18"/>
      <w:szCs w:val="18"/>
      <w:lang w:eastAsia="it-IT"/>
    </w:rPr>
  </w:style>
  <w:style w:type="paragraph" w:styleId="Testofumetto">
    <w:name w:val="Balloon Text"/>
    <w:basedOn w:val="Normale"/>
    <w:link w:val="TestofumettoCarattere"/>
    <w:uiPriority w:val="99"/>
    <w:semiHidden/>
    <w:unhideWhenUsed/>
    <w:rsid w:val="007215A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215A4"/>
    <w:rPr>
      <w:rFonts w:ascii="Segoe UI" w:hAnsi="Segoe UI" w:cs="Segoe UI"/>
      <w:sz w:val="18"/>
      <w:szCs w:val="18"/>
    </w:rPr>
  </w:style>
  <w:style w:type="paragraph" w:customStyle="1" w:styleId="Bollo">
    <w:name w:val="Bollo"/>
    <w:basedOn w:val="Normale"/>
    <w:rsid w:val="00C154D2"/>
    <w:pPr>
      <w:widowControl w:val="0"/>
      <w:autoSpaceDE w:val="0"/>
      <w:autoSpaceDN w:val="0"/>
      <w:spacing w:after="0" w:line="567" w:lineRule="exact"/>
      <w:jc w:val="both"/>
    </w:pPr>
    <w:rPr>
      <w:rFonts w:ascii="Times New Roman" w:eastAsia="Times New Roman" w:hAnsi="Times New Roman" w:cs="Times New Roman"/>
      <w:sz w:val="20"/>
      <w:szCs w:val="20"/>
      <w:lang w:eastAsia="it-IT"/>
    </w:rPr>
  </w:style>
  <w:style w:type="paragraph" w:customStyle="1" w:styleId="comma">
    <w:name w:val="comma"/>
    <w:basedOn w:val="Normale"/>
    <w:rsid w:val="0090585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888664">
      <w:bodyDiv w:val="1"/>
      <w:marLeft w:val="0"/>
      <w:marRight w:val="0"/>
      <w:marTop w:val="0"/>
      <w:marBottom w:val="0"/>
      <w:divBdr>
        <w:top w:val="none" w:sz="0" w:space="0" w:color="auto"/>
        <w:left w:val="none" w:sz="0" w:space="0" w:color="auto"/>
        <w:bottom w:val="none" w:sz="0" w:space="0" w:color="auto"/>
        <w:right w:val="none" w:sz="0" w:space="0" w:color="auto"/>
      </w:divBdr>
      <w:divsChild>
        <w:div w:id="214243829">
          <w:marLeft w:val="0"/>
          <w:marRight w:val="0"/>
          <w:marTop w:val="0"/>
          <w:marBottom w:val="0"/>
          <w:divBdr>
            <w:top w:val="none" w:sz="0" w:space="0" w:color="auto"/>
            <w:left w:val="none" w:sz="0" w:space="0" w:color="auto"/>
            <w:bottom w:val="none" w:sz="0" w:space="0" w:color="auto"/>
            <w:right w:val="none" w:sz="0" w:space="0" w:color="auto"/>
          </w:divBdr>
          <w:divsChild>
            <w:div w:id="1277298392">
              <w:marLeft w:val="0"/>
              <w:marRight w:val="0"/>
              <w:marTop w:val="0"/>
              <w:marBottom w:val="0"/>
              <w:divBdr>
                <w:top w:val="none" w:sz="0" w:space="0" w:color="auto"/>
                <w:left w:val="none" w:sz="0" w:space="0" w:color="auto"/>
                <w:bottom w:val="none" w:sz="0" w:space="0" w:color="auto"/>
                <w:right w:val="none" w:sz="0" w:space="0" w:color="auto"/>
              </w:divBdr>
              <w:divsChild>
                <w:div w:id="1627464074">
                  <w:marLeft w:val="0"/>
                  <w:marRight w:val="0"/>
                  <w:marTop w:val="0"/>
                  <w:marBottom w:val="0"/>
                  <w:divBdr>
                    <w:top w:val="none" w:sz="0" w:space="0" w:color="auto"/>
                    <w:left w:val="none" w:sz="0" w:space="0" w:color="auto"/>
                    <w:bottom w:val="none" w:sz="0" w:space="0" w:color="auto"/>
                    <w:right w:val="none" w:sz="0" w:space="0" w:color="auto"/>
                  </w:divBdr>
                  <w:divsChild>
                    <w:div w:id="250510190">
                      <w:marLeft w:val="0"/>
                      <w:marRight w:val="2205"/>
                      <w:marTop w:val="0"/>
                      <w:marBottom w:val="0"/>
                      <w:divBdr>
                        <w:top w:val="none" w:sz="0" w:space="0" w:color="auto"/>
                        <w:left w:val="none" w:sz="0" w:space="0" w:color="auto"/>
                        <w:bottom w:val="none" w:sz="0" w:space="0" w:color="auto"/>
                        <w:right w:val="none" w:sz="0" w:space="0" w:color="auto"/>
                      </w:divBdr>
                      <w:divsChild>
                        <w:div w:id="1829200443">
                          <w:marLeft w:val="0"/>
                          <w:marRight w:val="0"/>
                          <w:marTop w:val="0"/>
                          <w:marBottom w:val="0"/>
                          <w:divBdr>
                            <w:top w:val="none" w:sz="0" w:space="0" w:color="auto"/>
                            <w:left w:val="none" w:sz="0" w:space="0" w:color="auto"/>
                            <w:bottom w:val="none" w:sz="0" w:space="0" w:color="auto"/>
                            <w:right w:val="none" w:sz="0" w:space="0" w:color="auto"/>
                          </w:divBdr>
                          <w:divsChild>
                            <w:div w:id="160049978">
                              <w:marLeft w:val="0"/>
                              <w:marRight w:val="0"/>
                              <w:marTop w:val="0"/>
                              <w:marBottom w:val="0"/>
                              <w:divBdr>
                                <w:top w:val="none" w:sz="0" w:space="0" w:color="auto"/>
                                <w:left w:val="none" w:sz="0" w:space="0" w:color="auto"/>
                                <w:bottom w:val="none" w:sz="0" w:space="0" w:color="auto"/>
                                <w:right w:val="none" w:sz="0" w:space="0" w:color="auto"/>
                              </w:divBdr>
                              <w:divsChild>
                                <w:div w:id="19297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818896">
      <w:bodyDiv w:val="1"/>
      <w:marLeft w:val="0"/>
      <w:marRight w:val="0"/>
      <w:marTop w:val="0"/>
      <w:marBottom w:val="0"/>
      <w:divBdr>
        <w:top w:val="none" w:sz="0" w:space="0" w:color="auto"/>
        <w:left w:val="none" w:sz="0" w:space="0" w:color="auto"/>
        <w:bottom w:val="none" w:sz="0" w:space="0" w:color="auto"/>
        <w:right w:val="none" w:sz="0" w:space="0" w:color="auto"/>
      </w:divBdr>
    </w:div>
    <w:div w:id="21174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jure.lefebvregiuffre.it/dettaglio/SAU018D23M10Y2024N000008493S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dejure.lefebvregiuffre.it/dettaglio/AW2012AU025D09M07Y2012N000001768S01RSIC95100X3147435" TargetMode="External"/><Relationship Id="rId1" Type="http://schemas.openxmlformats.org/officeDocument/2006/relationships/hyperlink" Target="https://dejure.lefebvregiuffre.it/dettaglio/AW2007AU018D26M11Y2007N000006035S06X228913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E5094-E6C3-4643-BC61-2BCD44EA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2715</Words>
  <Characters>15480</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Ignazio</dc:creator>
  <cp:keywords/>
  <dc:description/>
  <cp:lastModifiedBy>COZZOLI Pamela</cp:lastModifiedBy>
  <cp:revision>3</cp:revision>
  <cp:lastPrinted>2026-01-20T21:19:00Z</cp:lastPrinted>
  <dcterms:created xsi:type="dcterms:W3CDTF">2026-05-18T08:41:00Z</dcterms:created>
  <dcterms:modified xsi:type="dcterms:W3CDTF">2026-05-20T09:14:00Z</dcterms:modified>
</cp:coreProperties>
</file>