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933C" w14:textId="5D95B8E6" w:rsidR="00322C3B" w:rsidRPr="00132B85" w:rsidRDefault="00322C3B" w:rsidP="00E65B62">
      <w:pPr>
        <w:pStyle w:val="NormaleWeb"/>
        <w:shd w:val="clear" w:color="auto" w:fill="FFFFFF"/>
        <w:spacing w:before="0" w:beforeAutospacing="0" w:after="0" w:afterAutospacing="0"/>
        <w:jc w:val="both"/>
        <w:rPr>
          <w:rFonts w:eastAsiaTheme="minorHAnsi"/>
          <w:b/>
          <w:i/>
          <w:lang w:eastAsia="en-US"/>
        </w:rPr>
      </w:pPr>
      <w:r w:rsidRPr="00132B85">
        <w:rPr>
          <w:rFonts w:eastAsiaTheme="minorHAnsi"/>
          <w:b/>
          <w:i/>
          <w:lang w:eastAsia="en-US"/>
        </w:rPr>
        <w:t>Servizi alla persona e vincoli finanziari: i diritti fondamentali delle persone con disabilità nella giurisprudenza amministrativa.</w:t>
      </w:r>
    </w:p>
    <w:p w14:paraId="0FA96946" w14:textId="5220271C" w:rsidR="004B08E2" w:rsidRPr="00132B85" w:rsidRDefault="006148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di Silvia Piemonte*</w:t>
      </w:r>
    </w:p>
    <w:p w14:paraId="560EC57B" w14:textId="0FBAD69B" w:rsidR="002D57F9" w:rsidRPr="00132B85" w:rsidRDefault="002D57F9" w:rsidP="00E65B62">
      <w:pPr>
        <w:jc w:val="both"/>
        <w:rPr>
          <w:rFonts w:ascii="Times New Roman" w:hAnsi="Times New Roman" w:cs="Times New Roman"/>
          <w:sz w:val="24"/>
          <w:szCs w:val="24"/>
          <w:lang w:eastAsia="it-IT"/>
        </w:rPr>
      </w:pPr>
    </w:p>
    <w:p w14:paraId="0DC7A066" w14:textId="2E70D136" w:rsidR="002D57F9" w:rsidRPr="00132B85" w:rsidRDefault="00C322A6" w:rsidP="00E65B62">
      <w:pPr>
        <w:jc w:val="both"/>
        <w:rPr>
          <w:rFonts w:ascii="Times New Roman" w:hAnsi="Times New Roman" w:cs="Times New Roman"/>
          <w:b/>
          <w:sz w:val="24"/>
          <w:szCs w:val="24"/>
          <w:lang w:eastAsia="it-IT"/>
        </w:rPr>
      </w:pPr>
      <w:r w:rsidRPr="00132B85">
        <w:rPr>
          <w:rFonts w:ascii="Times New Roman" w:hAnsi="Times New Roman" w:cs="Times New Roman"/>
          <w:b/>
          <w:sz w:val="24"/>
          <w:szCs w:val="24"/>
          <w:lang w:eastAsia="it-IT"/>
        </w:rPr>
        <w:t>1.</w:t>
      </w:r>
      <w:r w:rsidR="009A6DD2" w:rsidRPr="00132B85">
        <w:rPr>
          <w:rFonts w:ascii="Times New Roman" w:hAnsi="Times New Roman" w:cs="Times New Roman"/>
          <w:b/>
          <w:sz w:val="24"/>
          <w:szCs w:val="24"/>
          <w:lang w:eastAsia="it-IT"/>
        </w:rPr>
        <w:t>Introduzione</w:t>
      </w:r>
      <w:r w:rsidR="000120F0" w:rsidRPr="00132B85">
        <w:rPr>
          <w:rFonts w:ascii="Times New Roman" w:hAnsi="Times New Roman" w:cs="Times New Roman"/>
          <w:b/>
          <w:sz w:val="24"/>
          <w:szCs w:val="24"/>
          <w:lang w:eastAsia="it-IT"/>
        </w:rPr>
        <w:t xml:space="preserve">. </w:t>
      </w:r>
    </w:p>
    <w:p w14:paraId="32251D2F" w14:textId="03E7BAFC" w:rsidR="00A53A9D" w:rsidRPr="00132B85" w:rsidRDefault="0050140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Nella cornice del macrotema riguardante i</w:t>
      </w:r>
      <w:r w:rsidR="00A91EB1" w:rsidRPr="00132B85">
        <w:rPr>
          <w:rFonts w:ascii="Times New Roman" w:hAnsi="Times New Roman" w:cs="Times New Roman"/>
          <w:sz w:val="24"/>
          <w:szCs w:val="24"/>
          <w:lang w:eastAsia="it-IT"/>
        </w:rPr>
        <w:t>l bilanciamento tra diritti fondamentali</w:t>
      </w:r>
      <w:r>
        <w:rPr>
          <w:rFonts w:ascii="Times New Roman" w:hAnsi="Times New Roman" w:cs="Times New Roman"/>
          <w:sz w:val="24"/>
          <w:szCs w:val="24"/>
          <w:lang w:eastAsia="it-IT"/>
        </w:rPr>
        <w:t xml:space="preserve"> </w:t>
      </w:r>
      <w:r w:rsidR="00A91EB1" w:rsidRPr="00132B85">
        <w:rPr>
          <w:rFonts w:ascii="Times New Roman" w:hAnsi="Times New Roman" w:cs="Times New Roman"/>
          <w:sz w:val="24"/>
          <w:szCs w:val="24"/>
          <w:lang w:eastAsia="it-IT"/>
        </w:rPr>
        <w:t xml:space="preserve">e </w:t>
      </w:r>
      <w:r>
        <w:rPr>
          <w:rFonts w:ascii="Times New Roman" w:hAnsi="Times New Roman" w:cs="Times New Roman"/>
          <w:sz w:val="24"/>
          <w:szCs w:val="24"/>
          <w:lang w:eastAsia="it-IT"/>
        </w:rPr>
        <w:t>risorse finanziarie</w:t>
      </w:r>
      <w:r w:rsidR="009A6DD2" w:rsidRPr="00132B85">
        <w:rPr>
          <w:rStyle w:val="Rimandonotaapidipagina"/>
          <w:rFonts w:ascii="Times New Roman" w:hAnsi="Times New Roman" w:cs="Times New Roman"/>
          <w:sz w:val="24"/>
          <w:szCs w:val="24"/>
          <w:lang w:eastAsia="it-IT"/>
        </w:rPr>
        <w:footnoteReference w:id="1"/>
      </w:r>
      <w:r>
        <w:rPr>
          <w:rFonts w:ascii="Times New Roman" w:hAnsi="Times New Roman" w:cs="Times New Roman"/>
          <w:sz w:val="24"/>
          <w:szCs w:val="24"/>
          <w:lang w:eastAsia="it-IT"/>
        </w:rPr>
        <w:t>, il ricono</w:t>
      </w:r>
      <w:r w:rsidR="008F4262" w:rsidRPr="00132B85">
        <w:rPr>
          <w:rFonts w:ascii="Times New Roman" w:hAnsi="Times New Roman" w:cs="Times New Roman"/>
          <w:sz w:val="24"/>
          <w:szCs w:val="24"/>
          <w:lang w:eastAsia="it-IT"/>
        </w:rPr>
        <w:t xml:space="preserve">scimento e la </w:t>
      </w:r>
      <w:r w:rsidR="009A6DD2" w:rsidRPr="00132B85">
        <w:rPr>
          <w:rFonts w:ascii="Times New Roman" w:hAnsi="Times New Roman" w:cs="Times New Roman"/>
          <w:sz w:val="24"/>
          <w:szCs w:val="24"/>
          <w:lang w:eastAsia="it-IT"/>
        </w:rPr>
        <w:t>protezione di diritti fondamentali della persona, e</w:t>
      </w:r>
      <w:r w:rsidR="00A91EB1" w:rsidRPr="00132B85">
        <w:rPr>
          <w:rFonts w:ascii="Times New Roman" w:hAnsi="Times New Roman" w:cs="Times New Roman"/>
          <w:sz w:val="24"/>
          <w:szCs w:val="24"/>
          <w:lang w:eastAsia="it-IT"/>
        </w:rPr>
        <w:t xml:space="preserve"> ancor di più </w:t>
      </w:r>
      <w:r w:rsidR="009A6DD2" w:rsidRPr="00132B85">
        <w:rPr>
          <w:rFonts w:ascii="Times New Roman" w:hAnsi="Times New Roman" w:cs="Times New Roman"/>
          <w:sz w:val="24"/>
          <w:szCs w:val="24"/>
          <w:lang w:eastAsia="it-IT"/>
        </w:rPr>
        <w:t xml:space="preserve">della persona con disabilità, </w:t>
      </w:r>
      <w:r>
        <w:rPr>
          <w:rFonts w:ascii="Times New Roman" w:hAnsi="Times New Roman" w:cs="Times New Roman"/>
          <w:sz w:val="24"/>
          <w:szCs w:val="24"/>
          <w:lang w:eastAsia="it-IT"/>
        </w:rPr>
        <w:t xml:space="preserve">assurgono ad una rilevanza specifica per scongiurare </w:t>
      </w:r>
      <w:r w:rsidR="00A53A9D" w:rsidRPr="00132B85">
        <w:rPr>
          <w:rFonts w:ascii="Times New Roman" w:hAnsi="Times New Roman" w:cs="Times New Roman"/>
          <w:sz w:val="24"/>
          <w:szCs w:val="24"/>
          <w:lang w:eastAsia="it-IT"/>
        </w:rPr>
        <w:t xml:space="preserve">che la limitatezza delle risorse </w:t>
      </w:r>
      <w:r>
        <w:rPr>
          <w:rFonts w:ascii="Times New Roman" w:hAnsi="Times New Roman" w:cs="Times New Roman"/>
          <w:sz w:val="24"/>
          <w:szCs w:val="24"/>
          <w:lang w:eastAsia="it-IT"/>
        </w:rPr>
        <w:t xml:space="preserve">induca a scelte che, nel solco della </w:t>
      </w:r>
      <w:r w:rsidR="00A53A9D" w:rsidRPr="00132B85">
        <w:rPr>
          <w:rFonts w:ascii="Times New Roman" w:hAnsi="Times New Roman" w:cs="Times New Roman"/>
          <w:sz w:val="24"/>
          <w:szCs w:val="24"/>
          <w:lang w:eastAsia="it-IT"/>
        </w:rPr>
        <w:t>mera uguaglianza formale</w:t>
      </w:r>
      <w:r>
        <w:rPr>
          <w:rFonts w:ascii="Times New Roman" w:hAnsi="Times New Roman" w:cs="Times New Roman"/>
          <w:sz w:val="24"/>
          <w:szCs w:val="24"/>
          <w:lang w:eastAsia="it-IT"/>
        </w:rPr>
        <w:t>,</w:t>
      </w:r>
      <w:r w:rsidR="00A53A9D"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si traducano in disparità sostanziale</w:t>
      </w:r>
      <w:r w:rsidR="00A53A9D" w:rsidRPr="00132B85">
        <w:rPr>
          <w:rFonts w:ascii="Times New Roman" w:hAnsi="Times New Roman" w:cs="Times New Roman"/>
          <w:sz w:val="24"/>
          <w:szCs w:val="24"/>
          <w:lang w:eastAsia="it-IT"/>
        </w:rPr>
        <w:t>.</w:t>
      </w:r>
    </w:p>
    <w:p w14:paraId="1C79392C" w14:textId="2ADECBF2" w:rsidR="009A6DD2" w:rsidRPr="00132B85" w:rsidRDefault="0050140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Non v’è dubbio </w:t>
      </w:r>
      <w:r w:rsidR="008F4262" w:rsidRPr="00132B85">
        <w:rPr>
          <w:rFonts w:ascii="Times New Roman" w:hAnsi="Times New Roman" w:cs="Times New Roman"/>
          <w:sz w:val="24"/>
          <w:szCs w:val="24"/>
          <w:lang w:eastAsia="it-IT"/>
        </w:rPr>
        <w:t>che t</w:t>
      </w:r>
      <w:r w:rsidR="009A6DD2" w:rsidRPr="00132B85">
        <w:rPr>
          <w:rFonts w:ascii="Times New Roman" w:hAnsi="Times New Roman" w:cs="Times New Roman"/>
          <w:sz w:val="24"/>
          <w:szCs w:val="24"/>
          <w:lang w:eastAsia="it-IT"/>
        </w:rPr>
        <w:t xml:space="preserve">utti i diritti hanno un costo (anche quelli che derivano da libertà), </w:t>
      </w:r>
      <w:r>
        <w:rPr>
          <w:rFonts w:ascii="Times New Roman" w:hAnsi="Times New Roman" w:cs="Times New Roman"/>
          <w:sz w:val="24"/>
          <w:szCs w:val="24"/>
          <w:lang w:eastAsia="it-IT"/>
        </w:rPr>
        <w:t xml:space="preserve">e in particolare </w:t>
      </w:r>
      <w:r w:rsidR="009A6DD2" w:rsidRPr="00132B85">
        <w:rPr>
          <w:rFonts w:ascii="Times New Roman" w:hAnsi="Times New Roman" w:cs="Times New Roman"/>
          <w:sz w:val="24"/>
          <w:szCs w:val="24"/>
          <w:lang w:eastAsia="it-IT"/>
        </w:rPr>
        <w:t>i “diritti sociali”</w:t>
      </w:r>
      <w:r w:rsidR="0072735E">
        <w:rPr>
          <w:rStyle w:val="Rimandonotaapidipagina"/>
          <w:rFonts w:ascii="Times New Roman" w:hAnsi="Times New Roman" w:cs="Times New Roman"/>
          <w:sz w:val="24"/>
          <w:szCs w:val="24"/>
          <w:lang w:eastAsia="it-IT"/>
        </w:rPr>
        <w:footnoteReference w:id="2"/>
      </w:r>
      <w:r w:rsidR="009A6DD2" w:rsidRPr="00132B85">
        <w:rPr>
          <w:rFonts w:ascii="Times New Roman" w:hAnsi="Times New Roman" w:cs="Times New Roman"/>
          <w:sz w:val="24"/>
          <w:szCs w:val="24"/>
          <w:lang w:eastAsia="it-IT"/>
        </w:rPr>
        <w:t>.</w:t>
      </w:r>
    </w:p>
    <w:p w14:paraId="48FB940C" w14:textId="7F8829CB" w:rsidR="009A6DD2" w:rsidRPr="00132B85" w:rsidRDefault="009A6DD2"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Questi </w:t>
      </w:r>
      <w:r w:rsidR="00A53A9D" w:rsidRPr="00132B85">
        <w:rPr>
          <w:rFonts w:ascii="Times New Roman" w:hAnsi="Times New Roman" w:cs="Times New Roman"/>
          <w:sz w:val="24"/>
          <w:szCs w:val="24"/>
          <w:lang w:eastAsia="it-IT"/>
        </w:rPr>
        <w:t>ultimi per avere concretezza richiedono che lo Stato eroghi delle prestazioni</w:t>
      </w:r>
      <w:r w:rsidRPr="00132B85">
        <w:rPr>
          <w:rFonts w:ascii="Times New Roman" w:hAnsi="Times New Roman" w:cs="Times New Roman"/>
          <w:sz w:val="24"/>
          <w:szCs w:val="24"/>
          <w:lang w:eastAsia="it-IT"/>
        </w:rPr>
        <w:t xml:space="preserve">, </w:t>
      </w:r>
      <w:r w:rsidR="00A53A9D" w:rsidRPr="00132B85">
        <w:rPr>
          <w:rFonts w:ascii="Times New Roman" w:hAnsi="Times New Roman" w:cs="Times New Roman"/>
          <w:sz w:val="24"/>
          <w:szCs w:val="24"/>
          <w:lang w:eastAsia="it-IT"/>
        </w:rPr>
        <w:t xml:space="preserve">che assumo una connotazione </w:t>
      </w:r>
      <w:r w:rsidRPr="00132B85">
        <w:rPr>
          <w:rFonts w:ascii="Times New Roman" w:hAnsi="Times New Roman" w:cs="Times New Roman"/>
          <w:sz w:val="24"/>
          <w:szCs w:val="24"/>
          <w:lang w:eastAsia="it-IT"/>
        </w:rPr>
        <w:t>“personali</w:t>
      </w:r>
      <w:r w:rsidR="00412877" w:rsidRPr="00132B85">
        <w:rPr>
          <w:rFonts w:ascii="Times New Roman" w:hAnsi="Times New Roman" w:cs="Times New Roman"/>
          <w:sz w:val="24"/>
          <w:szCs w:val="24"/>
          <w:lang w:eastAsia="it-IT"/>
        </w:rPr>
        <w:t>stica</w:t>
      </w:r>
      <w:r w:rsidRPr="00132B85">
        <w:rPr>
          <w:rFonts w:ascii="Times New Roman" w:hAnsi="Times New Roman" w:cs="Times New Roman"/>
          <w:sz w:val="24"/>
          <w:szCs w:val="24"/>
          <w:lang w:eastAsia="it-IT"/>
        </w:rPr>
        <w:t xml:space="preserve">” </w:t>
      </w:r>
      <w:r w:rsidR="00A53A9D" w:rsidRPr="00132B85">
        <w:rPr>
          <w:rFonts w:ascii="Times New Roman" w:hAnsi="Times New Roman" w:cs="Times New Roman"/>
          <w:sz w:val="24"/>
          <w:szCs w:val="24"/>
          <w:lang w:eastAsia="it-IT"/>
        </w:rPr>
        <w:t xml:space="preserve">poiché necessariamente </w:t>
      </w:r>
      <w:r w:rsidR="0050140C">
        <w:rPr>
          <w:rFonts w:ascii="Times New Roman" w:hAnsi="Times New Roman" w:cs="Times New Roman"/>
          <w:sz w:val="24"/>
          <w:szCs w:val="24"/>
          <w:lang w:eastAsia="it-IT"/>
        </w:rPr>
        <w:t>ritagliate su</w:t>
      </w:r>
      <w:r w:rsidR="00A53A9D" w:rsidRPr="00132B85">
        <w:rPr>
          <w:rFonts w:ascii="Times New Roman" w:hAnsi="Times New Roman" w:cs="Times New Roman"/>
          <w:sz w:val="24"/>
          <w:szCs w:val="24"/>
          <w:lang w:eastAsia="it-IT"/>
        </w:rPr>
        <w:t>lle esigenze della singola persona</w:t>
      </w:r>
      <w:r w:rsidRPr="00132B85">
        <w:rPr>
          <w:rFonts w:ascii="Times New Roman" w:hAnsi="Times New Roman" w:cs="Times New Roman"/>
          <w:sz w:val="24"/>
          <w:szCs w:val="24"/>
          <w:lang w:eastAsia="it-IT"/>
        </w:rPr>
        <w:t>.</w:t>
      </w:r>
    </w:p>
    <w:p w14:paraId="7B2E0168" w14:textId="569886C2" w:rsidR="007463EB" w:rsidRPr="00132B85" w:rsidRDefault="000F48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Si intravede quella tendenza alla “specificazione”</w:t>
      </w:r>
      <w:r w:rsidR="007463EB" w:rsidRPr="00132B85">
        <w:rPr>
          <w:rStyle w:val="Rimandonotaapidipagina"/>
          <w:rFonts w:ascii="Times New Roman" w:hAnsi="Times New Roman" w:cs="Times New Roman"/>
          <w:sz w:val="24"/>
          <w:szCs w:val="24"/>
          <w:lang w:eastAsia="it-IT"/>
        </w:rPr>
        <w:footnoteReference w:id="3"/>
      </w:r>
      <w:r w:rsidR="00E422D4">
        <w:rPr>
          <w:rFonts w:ascii="Times New Roman" w:hAnsi="Times New Roman" w:cs="Times New Roman"/>
          <w:sz w:val="24"/>
          <w:szCs w:val="24"/>
          <w:lang w:eastAsia="it-IT"/>
        </w:rPr>
        <w:t xml:space="preserve">, quel passaggio </w:t>
      </w:r>
      <w:r w:rsidRPr="00132B85">
        <w:rPr>
          <w:rFonts w:ascii="Times New Roman" w:hAnsi="Times New Roman" w:cs="Times New Roman"/>
          <w:sz w:val="24"/>
          <w:szCs w:val="24"/>
          <w:lang w:eastAsia="it-IT"/>
        </w:rPr>
        <w:t>dall’</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uomo astratto</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all’</w:t>
      </w:r>
      <w:r w:rsidR="00BC1AD0">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uomo concreto</w:t>
      </w:r>
      <w:r w:rsidR="00BC1AD0">
        <w:rPr>
          <w:rFonts w:ascii="Times New Roman" w:hAnsi="Times New Roman" w:cs="Times New Roman"/>
          <w:sz w:val="24"/>
          <w:szCs w:val="24"/>
          <w:lang w:eastAsia="it-IT"/>
        </w:rPr>
        <w:t>”</w:t>
      </w:r>
      <w:r w:rsidR="00E422D4">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necessario </w:t>
      </w:r>
      <w:r w:rsidR="00E422D4">
        <w:rPr>
          <w:rFonts w:ascii="Times New Roman" w:hAnsi="Times New Roman" w:cs="Times New Roman"/>
          <w:sz w:val="24"/>
          <w:szCs w:val="24"/>
          <w:lang w:eastAsia="it-IT"/>
        </w:rPr>
        <w:t xml:space="preserve">alla </w:t>
      </w:r>
      <w:r w:rsidR="000B39CF" w:rsidRPr="00132B85">
        <w:rPr>
          <w:rFonts w:ascii="Times New Roman" w:hAnsi="Times New Roman" w:cs="Times New Roman"/>
          <w:sz w:val="24"/>
          <w:szCs w:val="24"/>
          <w:lang w:eastAsia="it-IT"/>
        </w:rPr>
        <w:t>“</w:t>
      </w:r>
      <w:r w:rsidR="007463EB" w:rsidRPr="00132B85">
        <w:rPr>
          <w:rFonts w:ascii="Times New Roman" w:hAnsi="Times New Roman" w:cs="Times New Roman"/>
          <w:sz w:val="24"/>
          <w:szCs w:val="24"/>
          <w:lang w:eastAsia="it-IT"/>
        </w:rPr>
        <w:t>effettiva realizzazione</w:t>
      </w:r>
      <w:r w:rsidR="000B39CF" w:rsidRPr="00132B85">
        <w:rPr>
          <w:rFonts w:ascii="Times New Roman" w:hAnsi="Times New Roman" w:cs="Times New Roman"/>
          <w:sz w:val="24"/>
          <w:szCs w:val="24"/>
          <w:lang w:eastAsia="it-IT"/>
        </w:rPr>
        <w:t>”</w:t>
      </w:r>
      <w:r w:rsidR="000B39CF" w:rsidRPr="00132B85">
        <w:rPr>
          <w:rStyle w:val="Rimandonotaapidipagina"/>
          <w:rFonts w:ascii="Times New Roman" w:hAnsi="Times New Roman" w:cs="Times New Roman"/>
          <w:sz w:val="24"/>
          <w:szCs w:val="24"/>
          <w:lang w:eastAsia="it-IT"/>
        </w:rPr>
        <w:footnoteReference w:id="4"/>
      </w:r>
      <w:r w:rsidR="00E422D4">
        <w:rPr>
          <w:rFonts w:ascii="Times New Roman" w:hAnsi="Times New Roman" w:cs="Times New Roman"/>
          <w:sz w:val="24"/>
          <w:szCs w:val="24"/>
          <w:lang w:eastAsia="it-IT"/>
        </w:rPr>
        <w:t xml:space="preserve"> de</w:t>
      </w:r>
      <w:r w:rsidR="007463EB" w:rsidRPr="00132B85">
        <w:rPr>
          <w:rFonts w:ascii="Times New Roman" w:hAnsi="Times New Roman" w:cs="Times New Roman"/>
          <w:sz w:val="24"/>
          <w:szCs w:val="24"/>
          <w:lang w:eastAsia="it-IT"/>
        </w:rPr>
        <w:t xml:space="preserve"> diritti unanimemente riconosciuti.</w:t>
      </w:r>
    </w:p>
    <w:p w14:paraId="38F564E3" w14:textId="2B19F959" w:rsidR="00920520" w:rsidRPr="00132B85" w:rsidRDefault="0092052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 diritti sociali miran</w:t>
      </w:r>
      <w:r w:rsidR="00412877" w:rsidRPr="00132B85">
        <w:rPr>
          <w:rFonts w:ascii="Times New Roman" w:hAnsi="Times New Roman" w:cs="Times New Roman"/>
          <w:sz w:val="24"/>
          <w:szCs w:val="24"/>
          <w:lang w:eastAsia="it-IT"/>
        </w:rPr>
        <w:t>o a creare condizioni di parità e</w:t>
      </w:r>
      <w:r w:rsidRPr="00132B85">
        <w:rPr>
          <w:rFonts w:ascii="Times New Roman" w:hAnsi="Times New Roman" w:cs="Times New Roman"/>
          <w:sz w:val="24"/>
          <w:szCs w:val="24"/>
          <w:lang w:eastAsia="it-IT"/>
        </w:rPr>
        <w:t xml:space="preserve"> eguaglianza sostanziale, e nel fare ciò, molto più di quanto avvenga per i diritti di libertà, sono calibrati nel loro contenuto avuto riguardo alla singola persona destinataria della prestazione.</w:t>
      </w:r>
    </w:p>
    <w:p w14:paraId="392C25DE" w14:textId="76AF5E7C" w:rsidR="00920520" w:rsidRPr="00132B85" w:rsidRDefault="00CC65D3"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È</w:t>
      </w:r>
      <w:r w:rsidR="00A53A9D" w:rsidRPr="00132B85">
        <w:rPr>
          <w:rFonts w:ascii="Times New Roman" w:hAnsi="Times New Roman" w:cs="Times New Roman"/>
          <w:sz w:val="24"/>
          <w:szCs w:val="24"/>
          <w:lang w:eastAsia="it-IT"/>
        </w:rPr>
        <w:t xml:space="preserve"> un’amministrazione di “servizi”, appunto servizi alla persona, dove i</w:t>
      </w:r>
      <w:r w:rsidR="00920520" w:rsidRPr="00132B85">
        <w:rPr>
          <w:rFonts w:ascii="Times New Roman" w:hAnsi="Times New Roman" w:cs="Times New Roman"/>
          <w:sz w:val="24"/>
          <w:szCs w:val="24"/>
          <w:lang w:eastAsia="it-IT"/>
        </w:rPr>
        <w:t>l potere amministrativo nell’incontrare il diritto, lo definisce, nel senso che ne definisce le prestazioni ritenute idonee a garantire quel diritto.</w:t>
      </w:r>
    </w:p>
    <w:p w14:paraId="76090964" w14:textId="7FEF7904" w:rsidR="00D45076" w:rsidRPr="00132B85" w:rsidRDefault="006709CA"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Al contempo però la definizione delle prestazioni erogabili passa attraverso il filtro della disponibilità delle risorse per sostenerne i costi. </w:t>
      </w:r>
      <w:r w:rsidR="00412877" w:rsidRPr="00132B85">
        <w:rPr>
          <w:rFonts w:ascii="Times New Roman" w:hAnsi="Times New Roman" w:cs="Times New Roman"/>
          <w:sz w:val="24"/>
          <w:szCs w:val="24"/>
        </w:rPr>
        <w:t xml:space="preserve">Si </w:t>
      </w:r>
      <w:r w:rsidR="00A637CC">
        <w:rPr>
          <w:rFonts w:ascii="Times New Roman" w:hAnsi="Times New Roman" w:cs="Times New Roman"/>
          <w:sz w:val="24"/>
          <w:szCs w:val="24"/>
        </w:rPr>
        <w:t>definiscono in</w:t>
      </w:r>
      <w:r w:rsidRPr="00132B85">
        <w:rPr>
          <w:rFonts w:ascii="Times New Roman" w:hAnsi="Times New Roman" w:cs="Times New Roman"/>
          <w:sz w:val="24"/>
          <w:szCs w:val="24"/>
        </w:rPr>
        <w:t xml:space="preserve">fatti </w:t>
      </w:r>
      <w:r w:rsidR="00A53A9D" w:rsidRPr="00132B85">
        <w:rPr>
          <w:rFonts w:ascii="Times New Roman" w:hAnsi="Times New Roman" w:cs="Times New Roman"/>
          <w:sz w:val="24"/>
          <w:szCs w:val="24"/>
        </w:rPr>
        <w:t>d</w:t>
      </w:r>
      <w:r w:rsidR="00D45076" w:rsidRPr="00132B85">
        <w:rPr>
          <w:rFonts w:ascii="Times New Roman" w:hAnsi="Times New Roman" w:cs="Times New Roman"/>
          <w:sz w:val="24"/>
          <w:szCs w:val="24"/>
        </w:rPr>
        <w:t>iritti “finanziariamente condizionati</w:t>
      </w:r>
      <w:r w:rsidR="00F921D1" w:rsidRPr="00132B85">
        <w:rPr>
          <w:rFonts w:ascii="Times New Roman" w:hAnsi="Times New Roman" w:cs="Times New Roman"/>
          <w:sz w:val="24"/>
          <w:szCs w:val="24"/>
        </w:rPr>
        <w:t>”</w:t>
      </w:r>
      <w:r w:rsidRPr="00132B85">
        <w:rPr>
          <w:rStyle w:val="Rimandonotaapidipagina"/>
          <w:rFonts w:ascii="Times New Roman" w:hAnsi="Times New Roman" w:cs="Times New Roman"/>
          <w:sz w:val="24"/>
          <w:szCs w:val="24"/>
        </w:rPr>
        <w:footnoteReference w:id="5"/>
      </w:r>
      <w:r w:rsidR="00F921D1" w:rsidRPr="00132B85">
        <w:rPr>
          <w:rFonts w:ascii="Times New Roman" w:hAnsi="Times New Roman" w:cs="Times New Roman"/>
          <w:sz w:val="24"/>
          <w:szCs w:val="24"/>
        </w:rPr>
        <w:t xml:space="preserve">, poiché non </w:t>
      </w:r>
      <w:r w:rsidR="00A637CC">
        <w:rPr>
          <w:rFonts w:ascii="Times New Roman" w:hAnsi="Times New Roman" w:cs="Times New Roman"/>
          <w:sz w:val="24"/>
          <w:szCs w:val="24"/>
        </w:rPr>
        <w:t xml:space="preserve">si sostanziano </w:t>
      </w:r>
      <w:r w:rsidR="00D45076" w:rsidRPr="00132B85">
        <w:rPr>
          <w:rFonts w:ascii="Times New Roman" w:hAnsi="Times New Roman" w:cs="Times New Roman"/>
          <w:sz w:val="24"/>
          <w:szCs w:val="24"/>
        </w:rPr>
        <w:t>nel</w:t>
      </w:r>
      <w:r w:rsidR="00F921D1" w:rsidRPr="00132B85">
        <w:rPr>
          <w:rFonts w:ascii="Times New Roman" w:hAnsi="Times New Roman" w:cs="Times New Roman"/>
          <w:sz w:val="24"/>
          <w:szCs w:val="24"/>
        </w:rPr>
        <w:t xml:space="preserve"> mero </w:t>
      </w:r>
      <w:r w:rsidR="00D45076" w:rsidRPr="00132B85">
        <w:rPr>
          <w:rFonts w:ascii="Times New Roman" w:hAnsi="Times New Roman" w:cs="Times New Roman"/>
          <w:sz w:val="24"/>
          <w:szCs w:val="24"/>
        </w:rPr>
        <w:t>esercizio di una libertà o nella pretesa ad un comportamento negativo e omissivo da parte dei pubblici poteri o degli altri consociati</w:t>
      </w:r>
      <w:r w:rsidR="00F921D1" w:rsidRPr="00132B85">
        <w:rPr>
          <w:rFonts w:ascii="Times New Roman" w:hAnsi="Times New Roman" w:cs="Times New Roman"/>
          <w:sz w:val="24"/>
          <w:szCs w:val="24"/>
        </w:rPr>
        <w:t xml:space="preserve">, </w:t>
      </w:r>
      <w:r w:rsidR="00A637CC">
        <w:rPr>
          <w:rFonts w:ascii="Times New Roman" w:hAnsi="Times New Roman" w:cs="Times New Roman"/>
          <w:sz w:val="24"/>
          <w:szCs w:val="24"/>
        </w:rPr>
        <w:t xml:space="preserve">ma </w:t>
      </w:r>
      <w:r w:rsidR="00F921D1" w:rsidRPr="00132B85">
        <w:rPr>
          <w:rFonts w:ascii="Times New Roman" w:hAnsi="Times New Roman" w:cs="Times New Roman"/>
          <w:sz w:val="24"/>
          <w:szCs w:val="24"/>
        </w:rPr>
        <w:t>richied</w:t>
      </w:r>
      <w:r w:rsidR="0072735E">
        <w:rPr>
          <w:rFonts w:ascii="Times New Roman" w:hAnsi="Times New Roman" w:cs="Times New Roman"/>
          <w:sz w:val="24"/>
          <w:szCs w:val="24"/>
        </w:rPr>
        <w:t xml:space="preserve">ono </w:t>
      </w:r>
      <w:r w:rsidR="00D45076" w:rsidRPr="00132B85">
        <w:rPr>
          <w:rFonts w:ascii="Times New Roman" w:hAnsi="Times New Roman" w:cs="Times New Roman"/>
          <w:sz w:val="24"/>
          <w:szCs w:val="24"/>
        </w:rPr>
        <w:t xml:space="preserve">un </w:t>
      </w:r>
      <w:r w:rsidR="00D45076" w:rsidRPr="00132B85">
        <w:rPr>
          <w:rFonts w:ascii="Times New Roman" w:hAnsi="Times New Roman" w:cs="Times New Roman"/>
          <w:i/>
          <w:sz w:val="24"/>
          <w:szCs w:val="24"/>
        </w:rPr>
        <w:t>facere</w:t>
      </w:r>
      <w:r w:rsidR="00D45076" w:rsidRPr="00132B85">
        <w:rPr>
          <w:rFonts w:ascii="Times New Roman" w:hAnsi="Times New Roman" w:cs="Times New Roman"/>
          <w:sz w:val="24"/>
          <w:szCs w:val="24"/>
        </w:rPr>
        <w:t xml:space="preserve"> o un </w:t>
      </w:r>
      <w:r w:rsidR="00D45076" w:rsidRPr="00132B85">
        <w:rPr>
          <w:rFonts w:ascii="Times New Roman" w:hAnsi="Times New Roman" w:cs="Times New Roman"/>
          <w:i/>
          <w:sz w:val="24"/>
          <w:szCs w:val="24"/>
        </w:rPr>
        <w:t>dare</w:t>
      </w:r>
      <w:r w:rsidR="00D45076" w:rsidRPr="00132B85">
        <w:rPr>
          <w:rFonts w:ascii="Times New Roman" w:hAnsi="Times New Roman" w:cs="Times New Roman"/>
          <w:sz w:val="24"/>
          <w:szCs w:val="24"/>
        </w:rPr>
        <w:t xml:space="preserve"> da parte dello Stato</w:t>
      </w:r>
      <w:r w:rsidR="00F921D1" w:rsidRPr="00132B85">
        <w:rPr>
          <w:rFonts w:ascii="Times New Roman" w:hAnsi="Times New Roman" w:cs="Times New Roman"/>
          <w:sz w:val="24"/>
          <w:szCs w:val="24"/>
        </w:rPr>
        <w:t xml:space="preserve">, </w:t>
      </w:r>
      <w:r w:rsidRPr="00132B85">
        <w:rPr>
          <w:rFonts w:ascii="Times New Roman" w:hAnsi="Times New Roman" w:cs="Times New Roman"/>
          <w:sz w:val="24"/>
          <w:szCs w:val="24"/>
        </w:rPr>
        <w:t xml:space="preserve">risultando così </w:t>
      </w:r>
      <w:r w:rsidR="00F921D1" w:rsidRPr="00132B85">
        <w:rPr>
          <w:rFonts w:ascii="Times New Roman" w:hAnsi="Times New Roman" w:cs="Times New Roman"/>
          <w:sz w:val="24"/>
          <w:szCs w:val="24"/>
        </w:rPr>
        <w:t xml:space="preserve">coll’essere subordinati alla </w:t>
      </w:r>
      <w:r w:rsidRPr="00132B85">
        <w:rPr>
          <w:rFonts w:ascii="Times New Roman" w:hAnsi="Times New Roman" w:cs="Times New Roman"/>
          <w:sz w:val="24"/>
          <w:szCs w:val="24"/>
        </w:rPr>
        <w:t xml:space="preserve">disponibilità di risorse finanziarie pubbliche per </w:t>
      </w:r>
      <w:r w:rsidR="00F921D1" w:rsidRPr="00132B85">
        <w:rPr>
          <w:rFonts w:ascii="Times New Roman" w:hAnsi="Times New Roman" w:cs="Times New Roman"/>
          <w:sz w:val="24"/>
          <w:szCs w:val="24"/>
        </w:rPr>
        <w:t>sostenerne i relativi costi</w:t>
      </w:r>
      <w:r w:rsidR="00D45076" w:rsidRPr="00132B85">
        <w:rPr>
          <w:rFonts w:ascii="Times New Roman" w:hAnsi="Times New Roman" w:cs="Times New Roman"/>
          <w:sz w:val="24"/>
          <w:szCs w:val="24"/>
        </w:rPr>
        <w:t>.</w:t>
      </w:r>
    </w:p>
    <w:p w14:paraId="297EFA63" w14:textId="1432FA74" w:rsidR="000F0889" w:rsidRPr="00132B85" w:rsidRDefault="00C72E58" w:rsidP="00E65B62">
      <w:pPr>
        <w:jc w:val="both"/>
        <w:rPr>
          <w:rFonts w:ascii="Times New Roman" w:hAnsi="Times New Roman" w:cs="Times New Roman"/>
          <w:sz w:val="24"/>
          <w:szCs w:val="24"/>
        </w:rPr>
      </w:pPr>
      <w:r w:rsidRPr="00132B85">
        <w:rPr>
          <w:rFonts w:ascii="Times New Roman" w:hAnsi="Times New Roman" w:cs="Times New Roman"/>
          <w:sz w:val="24"/>
          <w:szCs w:val="24"/>
        </w:rPr>
        <w:t>L’</w:t>
      </w:r>
      <w:r w:rsidR="000F0889" w:rsidRPr="00132B85">
        <w:rPr>
          <w:rFonts w:ascii="Times New Roman" w:hAnsi="Times New Roman" w:cs="Times New Roman"/>
          <w:sz w:val="24"/>
          <w:szCs w:val="24"/>
        </w:rPr>
        <w:t xml:space="preserve">intervento </w:t>
      </w:r>
      <w:r w:rsidRPr="00132B85">
        <w:rPr>
          <w:rFonts w:ascii="Times New Roman" w:hAnsi="Times New Roman" w:cs="Times New Roman"/>
          <w:sz w:val="24"/>
          <w:szCs w:val="24"/>
        </w:rPr>
        <w:t xml:space="preserve">pubblico </w:t>
      </w:r>
      <w:r w:rsidR="000F0889" w:rsidRPr="00132B85">
        <w:rPr>
          <w:rFonts w:ascii="Times New Roman" w:hAnsi="Times New Roman" w:cs="Times New Roman"/>
          <w:sz w:val="24"/>
          <w:szCs w:val="24"/>
        </w:rPr>
        <w:t xml:space="preserve">comporta costi gestionali e organizzativi ed economico-finanziari, i quali finiscono con l’incidere sulla quantità e sulle modalità di erogazione delle prestazioni e, di riflesso, </w:t>
      </w:r>
      <w:r w:rsidR="000F0889" w:rsidRPr="00132B85">
        <w:rPr>
          <w:rFonts w:ascii="Times New Roman" w:hAnsi="Times New Roman" w:cs="Times New Roman"/>
          <w:sz w:val="24"/>
          <w:szCs w:val="24"/>
        </w:rPr>
        <w:lastRenderedPageBreak/>
        <w:t>sul g</w:t>
      </w:r>
      <w:r w:rsidRPr="00132B85">
        <w:rPr>
          <w:rFonts w:ascii="Times New Roman" w:hAnsi="Times New Roman" w:cs="Times New Roman"/>
          <w:sz w:val="24"/>
          <w:szCs w:val="24"/>
        </w:rPr>
        <w:t>odimento dei diritti sociali. Di</w:t>
      </w:r>
      <w:r w:rsidR="000F0889" w:rsidRPr="00132B85">
        <w:rPr>
          <w:rFonts w:ascii="Times New Roman" w:hAnsi="Times New Roman" w:cs="Times New Roman"/>
          <w:sz w:val="24"/>
          <w:szCs w:val="24"/>
        </w:rPr>
        <w:t xml:space="preserve"> qui anche la definizione di “diritti derivati”</w:t>
      </w:r>
      <w:r w:rsidR="000F0889" w:rsidRPr="00132B85">
        <w:rPr>
          <w:rStyle w:val="Rimandonotaapidipagina"/>
          <w:rFonts w:ascii="Times New Roman" w:hAnsi="Times New Roman" w:cs="Times New Roman"/>
          <w:sz w:val="24"/>
          <w:szCs w:val="24"/>
        </w:rPr>
        <w:footnoteReference w:id="6"/>
      </w:r>
      <w:r w:rsidR="000F0889" w:rsidRPr="00132B85">
        <w:rPr>
          <w:rFonts w:ascii="Times New Roman" w:hAnsi="Times New Roman" w:cs="Times New Roman"/>
          <w:sz w:val="24"/>
          <w:szCs w:val="24"/>
        </w:rPr>
        <w:t xml:space="preserve">, </w:t>
      </w:r>
      <w:r w:rsidRPr="00132B85">
        <w:rPr>
          <w:rFonts w:ascii="Times New Roman" w:hAnsi="Times New Roman" w:cs="Times New Roman"/>
          <w:sz w:val="24"/>
          <w:szCs w:val="24"/>
        </w:rPr>
        <w:t>poiché il loro godimento “</w:t>
      </w:r>
      <w:r w:rsidR="000F0889" w:rsidRPr="00132B85">
        <w:rPr>
          <w:rFonts w:ascii="Times New Roman" w:hAnsi="Times New Roman" w:cs="Times New Roman"/>
          <w:sz w:val="24"/>
          <w:szCs w:val="24"/>
        </w:rPr>
        <w:t>dipende dall’esistenza di un presupposto di fatto, vale a dire l’esistenza di un’organizzazione erogatrice delle prestazioni oggetto dei diritti stessi o, comunque, necessaria per rendere possibili i comportamenti o le condotte forman</w:t>
      </w:r>
      <w:r w:rsidRPr="00132B85">
        <w:rPr>
          <w:rFonts w:ascii="Times New Roman" w:hAnsi="Times New Roman" w:cs="Times New Roman"/>
          <w:sz w:val="24"/>
          <w:szCs w:val="24"/>
        </w:rPr>
        <w:t>ti il contenuto di quei diritti”</w:t>
      </w:r>
      <w:r w:rsidR="000F0889" w:rsidRPr="00132B85">
        <w:rPr>
          <w:rFonts w:ascii="Times New Roman" w:hAnsi="Times New Roman" w:cs="Times New Roman"/>
          <w:sz w:val="24"/>
          <w:szCs w:val="24"/>
        </w:rPr>
        <w:t>.</w:t>
      </w:r>
    </w:p>
    <w:p w14:paraId="4D361C98" w14:textId="77DCDFD3" w:rsidR="00AA50AB" w:rsidRPr="00132B85" w:rsidRDefault="00AA50AB" w:rsidP="00E65B62">
      <w:pPr>
        <w:jc w:val="both"/>
        <w:rPr>
          <w:rFonts w:ascii="Times New Roman" w:hAnsi="Times New Roman" w:cs="Times New Roman"/>
          <w:sz w:val="24"/>
          <w:szCs w:val="24"/>
        </w:rPr>
      </w:pPr>
      <w:r w:rsidRPr="00132B85">
        <w:rPr>
          <w:rFonts w:ascii="Times New Roman" w:hAnsi="Times New Roman" w:cs="Times New Roman"/>
          <w:sz w:val="24"/>
          <w:szCs w:val="24"/>
        </w:rPr>
        <w:t>Non è questa la sede per dilungarsi su questioni di giurisdizione</w:t>
      </w:r>
      <w:r w:rsidR="00C72E58" w:rsidRPr="00132B85">
        <w:rPr>
          <w:rFonts w:ascii="Times New Roman" w:hAnsi="Times New Roman" w:cs="Times New Roman"/>
          <w:sz w:val="24"/>
          <w:szCs w:val="24"/>
        </w:rPr>
        <w:t>, ma vale evidenziare che pur incontrando l’esercizio del potere amministrativo essi r</w:t>
      </w:r>
      <w:r w:rsidRPr="00132B85">
        <w:rPr>
          <w:rFonts w:ascii="Times New Roman" w:hAnsi="Times New Roman" w:cs="Times New Roman"/>
          <w:sz w:val="24"/>
          <w:szCs w:val="24"/>
        </w:rPr>
        <w:t xml:space="preserve">estano </w:t>
      </w:r>
      <w:r w:rsidR="00C72E58" w:rsidRPr="00132B85">
        <w:rPr>
          <w:rFonts w:ascii="Times New Roman" w:hAnsi="Times New Roman" w:cs="Times New Roman"/>
          <w:sz w:val="24"/>
          <w:szCs w:val="24"/>
        </w:rPr>
        <w:t>“</w:t>
      </w:r>
      <w:r w:rsidRPr="00132B85">
        <w:rPr>
          <w:rFonts w:ascii="Times New Roman" w:hAnsi="Times New Roman" w:cs="Times New Roman"/>
          <w:sz w:val="24"/>
          <w:szCs w:val="24"/>
        </w:rPr>
        <w:t>diritti</w:t>
      </w:r>
      <w:r w:rsidR="00C72E58" w:rsidRPr="00132B85">
        <w:rPr>
          <w:rFonts w:ascii="Times New Roman" w:hAnsi="Times New Roman" w:cs="Times New Roman"/>
          <w:sz w:val="24"/>
          <w:szCs w:val="24"/>
        </w:rPr>
        <w:t>”</w:t>
      </w:r>
      <w:r w:rsidRPr="00132B85">
        <w:rPr>
          <w:rFonts w:ascii="Times New Roman" w:hAnsi="Times New Roman" w:cs="Times New Roman"/>
          <w:sz w:val="24"/>
          <w:szCs w:val="24"/>
        </w:rPr>
        <w:t xml:space="preserve"> fondamentali</w:t>
      </w:r>
      <w:r w:rsidR="00E03113" w:rsidRPr="00132B85">
        <w:rPr>
          <w:rFonts w:ascii="Times New Roman" w:hAnsi="Times New Roman" w:cs="Times New Roman"/>
          <w:sz w:val="24"/>
          <w:szCs w:val="24"/>
        </w:rPr>
        <w:t xml:space="preserve">, rientrando nella </w:t>
      </w:r>
      <w:r w:rsidRPr="00132B85">
        <w:rPr>
          <w:rFonts w:ascii="Times New Roman" w:hAnsi="Times New Roman" w:cs="Times New Roman"/>
          <w:sz w:val="24"/>
          <w:szCs w:val="24"/>
        </w:rPr>
        <w:t xml:space="preserve">giurisdizione esclusiva </w:t>
      </w:r>
      <w:r w:rsidR="00E03113" w:rsidRPr="00132B85">
        <w:rPr>
          <w:rFonts w:ascii="Times New Roman" w:hAnsi="Times New Roman" w:cs="Times New Roman"/>
          <w:sz w:val="24"/>
          <w:szCs w:val="24"/>
        </w:rPr>
        <w:t xml:space="preserve">del giudice amministrativo, </w:t>
      </w:r>
      <w:r w:rsidRPr="00132B85">
        <w:rPr>
          <w:rFonts w:ascii="Times New Roman" w:hAnsi="Times New Roman" w:cs="Times New Roman"/>
          <w:sz w:val="24"/>
          <w:szCs w:val="24"/>
        </w:rPr>
        <w:t xml:space="preserve">come ha avuto modo di chiarire l’Adunanza plenaria del Consiglio di Stato (n. 7 del 2016) </w:t>
      </w:r>
      <w:r w:rsidRPr="00132B85">
        <w:rPr>
          <w:rStyle w:val="Rimandonotaapidipagina"/>
          <w:rFonts w:ascii="Times New Roman" w:hAnsi="Times New Roman" w:cs="Times New Roman"/>
          <w:sz w:val="24"/>
          <w:szCs w:val="24"/>
        </w:rPr>
        <w:footnoteReference w:id="7"/>
      </w:r>
      <w:r w:rsidRPr="00132B85">
        <w:rPr>
          <w:rFonts w:ascii="Times New Roman" w:hAnsi="Times New Roman" w:cs="Times New Roman"/>
          <w:sz w:val="24"/>
          <w:szCs w:val="24"/>
        </w:rPr>
        <w:t>.</w:t>
      </w:r>
    </w:p>
    <w:p w14:paraId="4F5CA522" w14:textId="2C2CF954" w:rsidR="00F921D1" w:rsidRPr="00132B85" w:rsidRDefault="00F921D1" w:rsidP="00E65B62">
      <w:pPr>
        <w:jc w:val="both"/>
        <w:rPr>
          <w:rFonts w:ascii="Times New Roman" w:hAnsi="Times New Roman" w:cs="Times New Roman"/>
          <w:sz w:val="24"/>
          <w:szCs w:val="24"/>
        </w:rPr>
      </w:pPr>
      <w:r w:rsidRPr="00132B85">
        <w:rPr>
          <w:rFonts w:ascii="Times New Roman" w:hAnsi="Times New Roman" w:cs="Times New Roman"/>
          <w:sz w:val="24"/>
          <w:szCs w:val="24"/>
        </w:rPr>
        <w:t>D</w:t>
      </w:r>
      <w:r w:rsidR="006709CA" w:rsidRPr="00132B85">
        <w:rPr>
          <w:rFonts w:ascii="Times New Roman" w:hAnsi="Times New Roman" w:cs="Times New Roman"/>
          <w:sz w:val="24"/>
          <w:szCs w:val="24"/>
        </w:rPr>
        <w:t>unque</w:t>
      </w:r>
      <w:r w:rsidRPr="00132B85">
        <w:rPr>
          <w:rFonts w:ascii="Times New Roman" w:hAnsi="Times New Roman" w:cs="Times New Roman"/>
          <w:sz w:val="24"/>
          <w:szCs w:val="24"/>
        </w:rPr>
        <w:t xml:space="preserve">, sebbene </w:t>
      </w:r>
      <w:r w:rsidR="00D45076" w:rsidRPr="00132B85">
        <w:rPr>
          <w:rFonts w:ascii="Times New Roman" w:hAnsi="Times New Roman" w:cs="Times New Roman"/>
          <w:sz w:val="24"/>
          <w:szCs w:val="24"/>
        </w:rPr>
        <w:t>inviolabili</w:t>
      </w:r>
      <w:r w:rsidR="006709CA" w:rsidRPr="00132B85">
        <w:rPr>
          <w:rFonts w:ascii="Times New Roman" w:hAnsi="Times New Roman" w:cs="Times New Roman"/>
          <w:sz w:val="24"/>
          <w:szCs w:val="24"/>
        </w:rPr>
        <w:t>, ossia p</w:t>
      </w:r>
      <w:r w:rsidR="00D45076" w:rsidRPr="00132B85">
        <w:rPr>
          <w:rFonts w:ascii="Times New Roman" w:hAnsi="Times New Roman" w:cs="Times New Roman"/>
          <w:sz w:val="24"/>
          <w:szCs w:val="24"/>
        </w:rPr>
        <w:t xml:space="preserve">reesistenti rispetto alla società e allo Stato, </w:t>
      </w:r>
      <w:r w:rsidR="007D04CF" w:rsidRPr="00132B85">
        <w:rPr>
          <w:rFonts w:ascii="Times New Roman" w:hAnsi="Times New Roman" w:cs="Times New Roman"/>
          <w:sz w:val="24"/>
          <w:szCs w:val="24"/>
        </w:rPr>
        <w:t xml:space="preserve">la loro concreta protezione </w:t>
      </w:r>
      <w:r w:rsidR="006709CA" w:rsidRPr="00132B85">
        <w:rPr>
          <w:rFonts w:ascii="Times New Roman" w:hAnsi="Times New Roman" w:cs="Times New Roman"/>
          <w:sz w:val="24"/>
          <w:szCs w:val="24"/>
        </w:rPr>
        <w:t>e realizzazione richiedono</w:t>
      </w:r>
      <w:r w:rsidR="007D04CF" w:rsidRPr="00132B85">
        <w:rPr>
          <w:rFonts w:ascii="Times New Roman" w:hAnsi="Times New Roman" w:cs="Times New Roman"/>
          <w:sz w:val="24"/>
          <w:szCs w:val="24"/>
        </w:rPr>
        <w:t xml:space="preserve"> una relazione con il potere pubblico che definisce lo specifico contenuto dei servizi erogabili</w:t>
      </w:r>
      <w:r w:rsidR="000F0889" w:rsidRPr="00132B85">
        <w:rPr>
          <w:rFonts w:ascii="Times New Roman" w:hAnsi="Times New Roman" w:cs="Times New Roman"/>
          <w:sz w:val="24"/>
          <w:szCs w:val="24"/>
        </w:rPr>
        <w:t xml:space="preserve"> e rende esigibili le prestazioni determinate </w:t>
      </w:r>
      <w:r w:rsidRPr="00132B85">
        <w:rPr>
          <w:rFonts w:ascii="Times New Roman" w:hAnsi="Times New Roman" w:cs="Times New Roman"/>
          <w:sz w:val="24"/>
          <w:szCs w:val="24"/>
        </w:rPr>
        <w:t>mediante interventi legislativi e amministrativ</w:t>
      </w:r>
      <w:r w:rsidR="000F0889" w:rsidRPr="00132B85">
        <w:rPr>
          <w:rFonts w:ascii="Times New Roman" w:hAnsi="Times New Roman" w:cs="Times New Roman"/>
          <w:sz w:val="24"/>
          <w:szCs w:val="24"/>
        </w:rPr>
        <w:t>i.</w:t>
      </w:r>
      <w:r w:rsidR="00D45076" w:rsidRPr="00132B85">
        <w:rPr>
          <w:rFonts w:ascii="Times New Roman" w:hAnsi="Times New Roman" w:cs="Times New Roman"/>
          <w:sz w:val="24"/>
          <w:szCs w:val="24"/>
        </w:rPr>
        <w:t xml:space="preserve"> </w:t>
      </w:r>
    </w:p>
    <w:p w14:paraId="7EB64E95" w14:textId="7E40DC67" w:rsidR="00C559B0" w:rsidRPr="00132B85" w:rsidRDefault="007105BC" w:rsidP="00E65B62">
      <w:pPr>
        <w:jc w:val="both"/>
        <w:rPr>
          <w:rFonts w:ascii="Times New Roman" w:hAnsi="Times New Roman" w:cs="Times New Roman"/>
          <w:i/>
          <w:sz w:val="24"/>
          <w:szCs w:val="24"/>
          <w:lang w:eastAsia="it-IT"/>
        </w:rPr>
      </w:pPr>
      <w:r w:rsidRPr="00132B85">
        <w:rPr>
          <w:rFonts w:ascii="Times New Roman" w:hAnsi="Times New Roman" w:cs="Times New Roman"/>
          <w:sz w:val="24"/>
          <w:szCs w:val="24"/>
          <w:lang w:eastAsia="it-IT"/>
        </w:rPr>
        <w:t xml:space="preserve">La giurisprudenza amministrativa ha più volte chiarito che </w:t>
      </w:r>
      <w:r w:rsidR="00C559B0" w:rsidRPr="00132B85">
        <w:rPr>
          <w:rFonts w:ascii="Times New Roman" w:hAnsi="Times New Roman" w:cs="Times New Roman"/>
          <w:bCs/>
          <w:sz w:val="24"/>
          <w:szCs w:val="24"/>
          <w:lang w:eastAsia="it-IT"/>
        </w:rPr>
        <w:t>“</w:t>
      </w:r>
      <w:r w:rsidR="00C559B0" w:rsidRPr="00132B85">
        <w:rPr>
          <w:rFonts w:ascii="Times New Roman" w:hAnsi="Times New Roman" w:cs="Times New Roman"/>
          <w:i/>
          <w:sz w:val="24"/>
          <w:szCs w:val="24"/>
          <w:lang w:eastAsia="it-IT"/>
        </w:rPr>
        <w:t>in definitiva, il diritto alla salute vergato nella Carta costituzionale non implica un incondizionato diritto ad un complesso di prestazioni liberamente individuate come appropriate dall’interessato, bensì transita per un ineludibile momento di esercizio della discrezionalità tecnica attraverso la quale l’Amministrazione sanitaria elabora il piano trattamentale o terapeutico ritenuto più adatto secondo la migliore scienza ed esperienza disponibili al momento. Indi, il nucleo più intimo di tutela della salute del disabile, per come salvaguardato dalle due disposizioni di rango costituzionale e sovranazionale, non viene intaccato dalle determinazioni della Azienda sanitaria locale contestate in questa sede, che anzi si propo</w:t>
      </w:r>
      <w:r w:rsidRPr="00132B85">
        <w:rPr>
          <w:rFonts w:ascii="Times New Roman" w:hAnsi="Times New Roman" w:cs="Times New Roman"/>
          <w:i/>
          <w:sz w:val="24"/>
          <w:szCs w:val="24"/>
          <w:lang w:eastAsia="it-IT"/>
        </w:rPr>
        <w:t>ne di promuoverlo e proteggerlo</w:t>
      </w:r>
      <w:r w:rsidR="00C559B0" w:rsidRPr="00132B85">
        <w:rPr>
          <w:rFonts w:ascii="Times New Roman" w:hAnsi="Times New Roman" w:cs="Times New Roman"/>
          <w:i/>
          <w:sz w:val="24"/>
          <w:szCs w:val="24"/>
          <w:lang w:eastAsia="it-IT"/>
        </w:rPr>
        <w:t>”</w:t>
      </w:r>
      <w:r w:rsidRPr="00132B85">
        <w:rPr>
          <w:rStyle w:val="Rimandonotaapidipagina"/>
          <w:rFonts w:ascii="Times New Roman" w:hAnsi="Times New Roman" w:cs="Times New Roman"/>
          <w:i/>
          <w:sz w:val="24"/>
          <w:szCs w:val="24"/>
          <w:lang w:eastAsia="it-IT"/>
        </w:rPr>
        <w:footnoteReference w:id="8"/>
      </w:r>
      <w:r w:rsidRPr="00132B85">
        <w:rPr>
          <w:rFonts w:ascii="Times New Roman" w:hAnsi="Times New Roman" w:cs="Times New Roman"/>
          <w:i/>
          <w:sz w:val="24"/>
          <w:szCs w:val="24"/>
          <w:lang w:eastAsia="it-IT"/>
        </w:rPr>
        <w:t>.</w:t>
      </w:r>
    </w:p>
    <w:p w14:paraId="7B15DD21" w14:textId="2A4C75F6" w:rsidR="00E03113" w:rsidRPr="00132B85" w:rsidRDefault="00D45076" w:rsidP="00E65B62">
      <w:pPr>
        <w:jc w:val="both"/>
        <w:rPr>
          <w:rFonts w:ascii="Times New Roman" w:hAnsi="Times New Roman" w:cs="Times New Roman"/>
          <w:sz w:val="24"/>
          <w:szCs w:val="24"/>
        </w:rPr>
      </w:pPr>
      <w:r w:rsidRPr="00132B85">
        <w:rPr>
          <w:rFonts w:ascii="Times New Roman" w:hAnsi="Times New Roman" w:cs="Times New Roman"/>
          <w:sz w:val="24"/>
          <w:szCs w:val="24"/>
        </w:rPr>
        <w:t>La loro fruizione postula un</w:t>
      </w:r>
      <w:r w:rsidR="007D04CF" w:rsidRPr="00132B85">
        <w:rPr>
          <w:rFonts w:ascii="Times New Roman" w:hAnsi="Times New Roman" w:cs="Times New Roman"/>
          <w:sz w:val="24"/>
          <w:szCs w:val="24"/>
        </w:rPr>
        <w:t xml:space="preserve">a interposizione legislativa e </w:t>
      </w:r>
      <w:r w:rsidR="00883486" w:rsidRPr="00132B85">
        <w:rPr>
          <w:rFonts w:ascii="Times New Roman" w:hAnsi="Times New Roman" w:cs="Times New Roman"/>
          <w:sz w:val="24"/>
          <w:szCs w:val="24"/>
        </w:rPr>
        <w:t xml:space="preserve">amministrativa, quest’ultima spesso articolata su più piani (dagli atti di programmazione sino allo specifico provvedimento </w:t>
      </w:r>
      <w:r w:rsidR="00883486" w:rsidRPr="00132B85">
        <w:rPr>
          <w:rFonts w:ascii="Times New Roman" w:hAnsi="Times New Roman" w:cs="Times New Roman"/>
          <w:i/>
          <w:sz w:val="24"/>
          <w:szCs w:val="24"/>
        </w:rPr>
        <w:t>ad personam</w:t>
      </w:r>
      <w:r w:rsidR="00883486" w:rsidRPr="00132B85">
        <w:rPr>
          <w:rFonts w:ascii="Times New Roman" w:hAnsi="Times New Roman" w:cs="Times New Roman"/>
          <w:sz w:val="24"/>
          <w:szCs w:val="24"/>
        </w:rPr>
        <w:t>)</w:t>
      </w:r>
      <w:r w:rsidR="00A637CC">
        <w:rPr>
          <w:rFonts w:ascii="Times New Roman" w:hAnsi="Times New Roman" w:cs="Times New Roman"/>
          <w:sz w:val="24"/>
          <w:szCs w:val="24"/>
        </w:rPr>
        <w:t>.</w:t>
      </w:r>
      <w:r w:rsidR="00AA50AB" w:rsidRPr="00132B85">
        <w:rPr>
          <w:rFonts w:ascii="Times New Roman" w:hAnsi="Times New Roman" w:cs="Times New Roman"/>
          <w:sz w:val="24"/>
          <w:szCs w:val="24"/>
        </w:rPr>
        <w:t xml:space="preserve"> </w:t>
      </w:r>
      <w:r w:rsidR="00A637CC">
        <w:rPr>
          <w:rFonts w:ascii="Times New Roman" w:hAnsi="Times New Roman" w:cs="Times New Roman"/>
          <w:sz w:val="24"/>
          <w:szCs w:val="24"/>
        </w:rPr>
        <w:t xml:space="preserve">Appare dunque di primaria importanza </w:t>
      </w:r>
      <w:r w:rsidR="00AA50AB" w:rsidRPr="00132B85">
        <w:rPr>
          <w:rFonts w:ascii="Times New Roman" w:hAnsi="Times New Roman" w:cs="Times New Roman"/>
          <w:sz w:val="24"/>
          <w:szCs w:val="24"/>
        </w:rPr>
        <w:t>verificare quando</w:t>
      </w:r>
      <w:r w:rsidR="00883486" w:rsidRPr="00132B85">
        <w:rPr>
          <w:rFonts w:ascii="Times New Roman" w:hAnsi="Times New Roman" w:cs="Times New Roman"/>
          <w:sz w:val="24"/>
          <w:szCs w:val="24"/>
        </w:rPr>
        <w:t xml:space="preserve"> </w:t>
      </w:r>
      <w:r w:rsidR="00AA50AB" w:rsidRPr="00132B85">
        <w:rPr>
          <w:rFonts w:ascii="Times New Roman" w:hAnsi="Times New Roman" w:cs="Times New Roman"/>
          <w:sz w:val="24"/>
          <w:szCs w:val="24"/>
        </w:rPr>
        <w:t xml:space="preserve">operi il “filtro” del </w:t>
      </w:r>
      <w:r w:rsidR="00883486" w:rsidRPr="00132B85">
        <w:rPr>
          <w:rFonts w:ascii="Times New Roman" w:hAnsi="Times New Roman" w:cs="Times New Roman"/>
          <w:sz w:val="24"/>
          <w:szCs w:val="24"/>
        </w:rPr>
        <w:t>vincolo finanziario</w:t>
      </w:r>
      <w:r w:rsidR="00AA50AB" w:rsidRPr="00132B85">
        <w:rPr>
          <w:rFonts w:ascii="Times New Roman" w:hAnsi="Times New Roman" w:cs="Times New Roman"/>
          <w:sz w:val="24"/>
          <w:szCs w:val="24"/>
        </w:rPr>
        <w:t xml:space="preserve">, ovvero se debba essere il legislatore </w:t>
      </w:r>
      <w:r w:rsidR="00E03113" w:rsidRPr="00132B85">
        <w:rPr>
          <w:rFonts w:ascii="Times New Roman" w:hAnsi="Times New Roman" w:cs="Times New Roman"/>
          <w:sz w:val="24"/>
          <w:szCs w:val="24"/>
        </w:rPr>
        <w:t>ad effettuare il bilanciamento con le risorse disponibili o se invece, la concreta definizione delle prestazioni erogabili sia rimessa di volta in volta alla discrezionalità dell’Amministrazione anche tenuto conto delle risorse disponibili.</w:t>
      </w:r>
    </w:p>
    <w:p w14:paraId="6DB58179" w14:textId="68AB2179" w:rsidR="00920520" w:rsidRPr="00132B85" w:rsidRDefault="00D1345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Determinante è pertanto </w:t>
      </w:r>
      <w:r w:rsidR="00920520" w:rsidRPr="00132B85">
        <w:rPr>
          <w:rFonts w:ascii="Times New Roman" w:hAnsi="Times New Roman" w:cs="Times New Roman"/>
          <w:sz w:val="24"/>
          <w:szCs w:val="24"/>
          <w:lang w:eastAsia="it-IT"/>
        </w:rPr>
        <w:t xml:space="preserve">il tema del costo della prestazione, che </w:t>
      </w:r>
      <w:r w:rsidRPr="00132B85">
        <w:rPr>
          <w:rFonts w:ascii="Times New Roman" w:hAnsi="Times New Roman" w:cs="Times New Roman"/>
          <w:sz w:val="24"/>
          <w:szCs w:val="24"/>
          <w:lang w:eastAsia="it-IT"/>
        </w:rPr>
        <w:t>-</w:t>
      </w:r>
      <w:r w:rsidR="00920520" w:rsidRPr="00132B85">
        <w:rPr>
          <w:rFonts w:ascii="Times New Roman" w:hAnsi="Times New Roman" w:cs="Times New Roman"/>
          <w:sz w:val="24"/>
          <w:szCs w:val="24"/>
          <w:lang w:eastAsia="it-IT"/>
        </w:rPr>
        <w:t>a fronte di risorse di necessità sempre limitate (e che devono rispettare il principio costituzionale di equilibrio di bilancio</w:t>
      </w:r>
      <w:r w:rsidR="00920520" w:rsidRPr="00132B85">
        <w:rPr>
          <w:rStyle w:val="Rimandonotaapidipagina"/>
          <w:rFonts w:ascii="Times New Roman" w:hAnsi="Times New Roman" w:cs="Times New Roman"/>
          <w:sz w:val="24"/>
          <w:szCs w:val="24"/>
          <w:lang w:eastAsia="it-IT"/>
        </w:rPr>
        <w:footnoteReference w:id="9"/>
      </w:r>
      <w:r w:rsidR="00920520"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w:t>
      </w:r>
      <w:r w:rsidR="00920520" w:rsidRPr="00132B85">
        <w:rPr>
          <w:rFonts w:ascii="Times New Roman" w:hAnsi="Times New Roman" w:cs="Times New Roman"/>
          <w:sz w:val="24"/>
          <w:szCs w:val="24"/>
          <w:lang w:eastAsia="it-IT"/>
        </w:rPr>
        <w:t xml:space="preserve"> da un lato dev</w:t>
      </w:r>
      <w:r w:rsidRPr="00132B85">
        <w:rPr>
          <w:rFonts w:ascii="Times New Roman" w:hAnsi="Times New Roman" w:cs="Times New Roman"/>
          <w:sz w:val="24"/>
          <w:szCs w:val="24"/>
          <w:lang w:eastAsia="it-IT"/>
        </w:rPr>
        <w:t xml:space="preserve">e </w:t>
      </w:r>
      <w:r w:rsidR="00920520" w:rsidRPr="00132B85">
        <w:rPr>
          <w:rFonts w:ascii="Times New Roman" w:hAnsi="Times New Roman" w:cs="Times New Roman"/>
          <w:sz w:val="24"/>
          <w:szCs w:val="24"/>
          <w:lang w:eastAsia="it-IT"/>
        </w:rPr>
        <w:lastRenderedPageBreak/>
        <w:t>garantire il diritto d</w:t>
      </w:r>
      <w:r w:rsidRPr="00132B85">
        <w:rPr>
          <w:rFonts w:ascii="Times New Roman" w:hAnsi="Times New Roman" w:cs="Times New Roman"/>
          <w:sz w:val="24"/>
          <w:szCs w:val="24"/>
          <w:lang w:eastAsia="it-IT"/>
        </w:rPr>
        <w:t xml:space="preserve">el singolo, ma dall’altro deve essere definita in </w:t>
      </w:r>
      <w:r w:rsidR="00920520" w:rsidRPr="00132B85">
        <w:rPr>
          <w:rFonts w:ascii="Times New Roman" w:hAnsi="Times New Roman" w:cs="Times New Roman"/>
          <w:sz w:val="24"/>
          <w:szCs w:val="24"/>
          <w:lang w:eastAsia="it-IT"/>
        </w:rPr>
        <w:t xml:space="preserve">modo che lo stesso diritto sia garantito a tutti gli altri </w:t>
      </w:r>
      <w:r w:rsidR="002D6B22" w:rsidRPr="00132B85">
        <w:rPr>
          <w:rFonts w:ascii="Times New Roman" w:hAnsi="Times New Roman" w:cs="Times New Roman"/>
          <w:sz w:val="24"/>
          <w:szCs w:val="24"/>
          <w:lang w:eastAsia="it-IT"/>
        </w:rPr>
        <w:t>in maniera eguale</w:t>
      </w:r>
      <w:r w:rsidR="00920520" w:rsidRPr="00132B85">
        <w:rPr>
          <w:rFonts w:ascii="Times New Roman" w:hAnsi="Times New Roman" w:cs="Times New Roman"/>
          <w:sz w:val="24"/>
          <w:szCs w:val="24"/>
          <w:lang w:eastAsia="it-IT"/>
        </w:rPr>
        <w:t>.</w:t>
      </w:r>
    </w:p>
    <w:p w14:paraId="6734F844" w14:textId="2AC5099F" w:rsidR="00920520" w:rsidRPr="00132B85" w:rsidRDefault="0092052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Non è questa la sede per soffermarsi sul principio dell’equilibrio di bilancio sancito dall’art. 81 Cost. che pure è stato ritenuto </w:t>
      </w:r>
      <w:r w:rsidR="00A637CC">
        <w:rPr>
          <w:rFonts w:ascii="Times New Roman" w:hAnsi="Times New Roman" w:cs="Times New Roman"/>
          <w:sz w:val="24"/>
          <w:szCs w:val="24"/>
          <w:lang w:eastAsia="it-IT"/>
        </w:rPr>
        <w:t xml:space="preserve">rivestire </w:t>
      </w:r>
      <w:r w:rsidRPr="00132B85">
        <w:rPr>
          <w:rFonts w:ascii="Times New Roman" w:hAnsi="Times New Roman" w:cs="Times New Roman"/>
          <w:sz w:val="24"/>
          <w:szCs w:val="24"/>
          <w:lang w:eastAsia="it-IT"/>
        </w:rPr>
        <w:t>“</w:t>
      </w:r>
      <w:r w:rsidRPr="00132B85">
        <w:rPr>
          <w:rFonts w:ascii="Times New Roman" w:hAnsi="Times New Roman" w:cs="Times New Roman"/>
          <w:i/>
          <w:sz w:val="24"/>
          <w:szCs w:val="24"/>
          <w:lang w:eastAsia="it-IT"/>
        </w:rPr>
        <w:t>un ruolo decisivo nel bilanciamento di valori coinvolti nel giudizio di costituzionalità. Il principio di equilibrio di bilancio, è stato osservato, rappresenta un “vincolo costituzionale per i legislatori, i governi, le pubbliche amministrazioni dello stato ordinamento, un vincolo che trova legittimazione e fondamento nel procedimento d’integrazione europea e, quindi, nei parametri stabiliti dalle istituzioni europee”</w:t>
      </w:r>
      <w:r w:rsidRPr="00132B85">
        <w:rPr>
          <w:rFonts w:ascii="Times New Roman" w:hAnsi="Times New Roman" w:cs="Times New Roman"/>
          <w:i/>
          <w:sz w:val="24"/>
          <w:szCs w:val="24"/>
        </w:rPr>
        <w:t>.</w:t>
      </w:r>
      <w:r w:rsidR="002D6B22" w:rsidRPr="00132B85">
        <w:rPr>
          <w:rFonts w:ascii="Times New Roman" w:hAnsi="Times New Roman" w:cs="Times New Roman"/>
          <w:i/>
          <w:sz w:val="24"/>
          <w:szCs w:val="24"/>
        </w:rPr>
        <w:t xml:space="preserve"> </w:t>
      </w:r>
      <w:r w:rsidRPr="00132B85">
        <w:rPr>
          <w:rFonts w:ascii="Times New Roman" w:hAnsi="Times New Roman" w:cs="Times New Roman"/>
          <w:i/>
          <w:sz w:val="24"/>
          <w:szCs w:val="24"/>
          <w:lang w:eastAsia="it-IT"/>
        </w:rPr>
        <w:t>Pertanto, “la tutela dei diritti fondamentali deve essere costruita</w:t>
      </w:r>
      <w:r w:rsidRPr="00132B85">
        <w:rPr>
          <w:rFonts w:ascii="Times New Roman" w:hAnsi="Times New Roman" w:cs="Times New Roman"/>
          <w:i/>
          <w:sz w:val="24"/>
          <w:szCs w:val="24"/>
        </w:rPr>
        <w:t xml:space="preserve"> </w:t>
      </w:r>
      <w:r w:rsidRPr="00132B85">
        <w:rPr>
          <w:rFonts w:ascii="Times New Roman" w:hAnsi="Times New Roman" w:cs="Times New Roman"/>
          <w:i/>
          <w:sz w:val="24"/>
          <w:szCs w:val="24"/>
          <w:lang w:eastAsia="it-IT"/>
        </w:rPr>
        <w:t>teoricamente e implementata in concreto considerando le dinamiche economico-finanziarie come variabili dipendenti e condizionant</w:t>
      </w:r>
      <w:r w:rsidRPr="00132B85">
        <w:rPr>
          <w:rFonts w:ascii="Times New Roman" w:hAnsi="Times New Roman" w:cs="Times New Roman"/>
          <w:sz w:val="24"/>
          <w:szCs w:val="24"/>
          <w:lang w:eastAsia="it-IT"/>
        </w:rPr>
        <w:t>i”</w:t>
      </w:r>
      <w:r w:rsidRPr="00132B85">
        <w:rPr>
          <w:rStyle w:val="Rimandonotaapidipagina"/>
          <w:rFonts w:ascii="Times New Roman" w:hAnsi="Times New Roman" w:cs="Times New Roman"/>
          <w:sz w:val="24"/>
          <w:szCs w:val="24"/>
          <w:lang w:eastAsia="it-IT"/>
        </w:rPr>
        <w:footnoteReference w:id="10"/>
      </w:r>
      <w:r w:rsidRPr="00132B85">
        <w:rPr>
          <w:rFonts w:ascii="Times New Roman" w:hAnsi="Times New Roman" w:cs="Times New Roman"/>
          <w:sz w:val="24"/>
          <w:szCs w:val="24"/>
          <w:lang w:eastAsia="it-IT"/>
        </w:rPr>
        <w:t xml:space="preserve">. </w:t>
      </w:r>
    </w:p>
    <w:p w14:paraId="76252589" w14:textId="3569DE95" w:rsidR="00920520" w:rsidRPr="00132B85" w:rsidRDefault="00A637C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Di certo, </w:t>
      </w:r>
      <w:r w:rsidR="00920520" w:rsidRPr="00132B85">
        <w:rPr>
          <w:rFonts w:ascii="Times New Roman" w:hAnsi="Times New Roman" w:cs="Times New Roman"/>
          <w:sz w:val="24"/>
          <w:szCs w:val="24"/>
          <w:lang w:eastAsia="it-IT"/>
        </w:rPr>
        <w:t xml:space="preserve">tuttavia, </w:t>
      </w:r>
      <w:r>
        <w:rPr>
          <w:rFonts w:ascii="Times New Roman" w:hAnsi="Times New Roman" w:cs="Times New Roman"/>
          <w:sz w:val="24"/>
          <w:szCs w:val="24"/>
          <w:lang w:eastAsia="it-IT"/>
        </w:rPr>
        <w:t xml:space="preserve">la limitatezza delle risorse non deve generare </w:t>
      </w:r>
      <w:r w:rsidR="00920520" w:rsidRPr="00132B85">
        <w:rPr>
          <w:rFonts w:ascii="Times New Roman" w:hAnsi="Times New Roman" w:cs="Times New Roman"/>
          <w:sz w:val="24"/>
          <w:szCs w:val="24"/>
          <w:lang w:eastAsia="it-IT"/>
        </w:rPr>
        <w:t>disparità, né –per il tema che mi è stato assegnato- ulteriori disparità nella disparità!</w:t>
      </w:r>
    </w:p>
    <w:p w14:paraId="46EB5EB0" w14:textId="04678937" w:rsidR="00494F15" w:rsidRPr="00132B85" w:rsidRDefault="00A637CC"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Anche sotto tali profili appare fondamentale </w:t>
      </w:r>
      <w:r w:rsidR="00BC1AD0">
        <w:rPr>
          <w:rFonts w:ascii="Times New Roman" w:hAnsi="Times New Roman" w:cs="Times New Roman"/>
          <w:sz w:val="24"/>
          <w:szCs w:val="24"/>
          <w:lang w:eastAsia="it-IT"/>
        </w:rPr>
        <w:t xml:space="preserve">stabilire </w:t>
      </w:r>
      <w:r w:rsidR="003A7059" w:rsidRPr="00132B85">
        <w:rPr>
          <w:rFonts w:ascii="Times New Roman" w:hAnsi="Times New Roman" w:cs="Times New Roman"/>
          <w:sz w:val="24"/>
          <w:szCs w:val="24"/>
          <w:lang w:eastAsia="it-IT"/>
        </w:rPr>
        <w:t xml:space="preserve">quale sia il momento </w:t>
      </w:r>
      <w:r w:rsidR="00D13451" w:rsidRPr="00132B85">
        <w:rPr>
          <w:rFonts w:ascii="Times New Roman" w:hAnsi="Times New Roman" w:cs="Times New Roman"/>
          <w:sz w:val="24"/>
          <w:szCs w:val="24"/>
          <w:lang w:eastAsia="it-IT"/>
        </w:rPr>
        <w:t xml:space="preserve">in cui opera il bilanciamento tra diritti fondamentali delle persone e risorse finanziarie disponibili, in un </w:t>
      </w:r>
      <w:r w:rsidR="008F4262" w:rsidRPr="00132B85">
        <w:rPr>
          <w:rFonts w:ascii="Times New Roman" w:hAnsi="Times New Roman" w:cs="Times New Roman"/>
          <w:sz w:val="24"/>
          <w:szCs w:val="24"/>
          <w:lang w:eastAsia="it-IT"/>
        </w:rPr>
        <w:t xml:space="preserve">processo </w:t>
      </w:r>
      <w:r w:rsidR="000120F0" w:rsidRPr="00132B85">
        <w:rPr>
          <w:rFonts w:ascii="Times New Roman" w:hAnsi="Times New Roman" w:cs="Times New Roman"/>
          <w:sz w:val="24"/>
          <w:szCs w:val="24"/>
          <w:lang w:eastAsia="it-IT"/>
        </w:rPr>
        <w:t>“</w:t>
      </w:r>
      <w:r w:rsidR="003A7059" w:rsidRPr="00132B85">
        <w:rPr>
          <w:rFonts w:ascii="Times New Roman" w:hAnsi="Times New Roman" w:cs="Times New Roman"/>
          <w:sz w:val="24"/>
          <w:szCs w:val="24"/>
          <w:lang w:eastAsia="it-IT"/>
        </w:rPr>
        <w:t xml:space="preserve">a </w:t>
      </w:r>
      <w:r w:rsidR="000120F0" w:rsidRPr="00132B85">
        <w:rPr>
          <w:rFonts w:ascii="Times New Roman" w:hAnsi="Times New Roman" w:cs="Times New Roman"/>
          <w:sz w:val="24"/>
          <w:szCs w:val="24"/>
          <w:lang w:eastAsia="it-IT"/>
        </w:rPr>
        <w:t>imbuto”</w:t>
      </w:r>
      <w:r w:rsidR="008F4262" w:rsidRPr="00132B85">
        <w:rPr>
          <w:rFonts w:ascii="Times New Roman" w:hAnsi="Times New Roman" w:cs="Times New Roman"/>
          <w:sz w:val="24"/>
          <w:szCs w:val="24"/>
          <w:lang w:eastAsia="it-IT"/>
        </w:rPr>
        <w:t xml:space="preserve"> che part</w:t>
      </w:r>
      <w:r w:rsidR="00BC1AD0">
        <w:rPr>
          <w:rFonts w:ascii="Times New Roman" w:hAnsi="Times New Roman" w:cs="Times New Roman"/>
          <w:sz w:val="24"/>
          <w:szCs w:val="24"/>
          <w:lang w:eastAsia="it-IT"/>
        </w:rPr>
        <w:t xml:space="preserve">e </w:t>
      </w:r>
      <w:r w:rsidR="008F4262" w:rsidRPr="00132B85">
        <w:rPr>
          <w:rFonts w:ascii="Times New Roman" w:hAnsi="Times New Roman" w:cs="Times New Roman"/>
          <w:sz w:val="24"/>
          <w:szCs w:val="24"/>
          <w:lang w:eastAsia="it-IT"/>
        </w:rPr>
        <w:t>dalla Costituzione</w:t>
      </w:r>
      <w:r w:rsidR="00BC1AD0">
        <w:rPr>
          <w:rFonts w:ascii="Times New Roman" w:hAnsi="Times New Roman" w:cs="Times New Roman"/>
          <w:sz w:val="24"/>
          <w:szCs w:val="24"/>
          <w:lang w:eastAsia="it-IT"/>
        </w:rPr>
        <w:t xml:space="preserve">, e </w:t>
      </w:r>
      <w:r w:rsidR="008F4262" w:rsidRPr="00132B85">
        <w:rPr>
          <w:rFonts w:ascii="Times New Roman" w:hAnsi="Times New Roman" w:cs="Times New Roman"/>
          <w:sz w:val="24"/>
          <w:szCs w:val="24"/>
          <w:lang w:eastAsia="it-IT"/>
        </w:rPr>
        <w:t xml:space="preserve">dalle Convenzioni </w:t>
      </w:r>
      <w:r w:rsidR="002D6B22" w:rsidRPr="00132B85">
        <w:rPr>
          <w:rFonts w:ascii="Times New Roman" w:hAnsi="Times New Roman" w:cs="Times New Roman"/>
          <w:sz w:val="24"/>
          <w:szCs w:val="24"/>
          <w:lang w:eastAsia="it-IT"/>
        </w:rPr>
        <w:t xml:space="preserve">internazionali, </w:t>
      </w:r>
      <w:r w:rsidR="00494F15" w:rsidRPr="00132B85">
        <w:rPr>
          <w:rFonts w:ascii="Times New Roman" w:hAnsi="Times New Roman" w:cs="Times New Roman"/>
          <w:sz w:val="24"/>
          <w:szCs w:val="24"/>
          <w:lang w:eastAsia="it-IT"/>
        </w:rPr>
        <w:t xml:space="preserve">passando </w:t>
      </w:r>
      <w:r w:rsidR="00BC1AD0">
        <w:rPr>
          <w:rFonts w:ascii="Times New Roman" w:hAnsi="Times New Roman" w:cs="Times New Roman"/>
          <w:sz w:val="24"/>
          <w:szCs w:val="24"/>
          <w:lang w:eastAsia="it-IT"/>
        </w:rPr>
        <w:t xml:space="preserve">per </w:t>
      </w:r>
      <w:r w:rsidR="00494F15" w:rsidRPr="00132B85">
        <w:rPr>
          <w:rFonts w:ascii="Times New Roman" w:hAnsi="Times New Roman" w:cs="Times New Roman"/>
          <w:sz w:val="24"/>
          <w:szCs w:val="24"/>
          <w:lang w:eastAsia="it-IT"/>
        </w:rPr>
        <w:t>disposizioni legislative e atti aventi natura regolame</w:t>
      </w:r>
      <w:r w:rsidR="00BC1AD0">
        <w:rPr>
          <w:rFonts w:ascii="Times New Roman" w:hAnsi="Times New Roman" w:cs="Times New Roman"/>
          <w:sz w:val="24"/>
          <w:szCs w:val="24"/>
          <w:lang w:eastAsia="it-IT"/>
        </w:rPr>
        <w:t>ntare o amministrativa generale</w:t>
      </w:r>
      <w:r w:rsidR="00494F15" w:rsidRPr="00132B85">
        <w:rPr>
          <w:rFonts w:ascii="Times New Roman" w:hAnsi="Times New Roman" w:cs="Times New Roman"/>
          <w:sz w:val="24"/>
          <w:szCs w:val="24"/>
          <w:lang w:eastAsia="it-IT"/>
        </w:rPr>
        <w:t xml:space="preserve">, e </w:t>
      </w:r>
      <w:r w:rsidR="00BC1AD0">
        <w:rPr>
          <w:rFonts w:ascii="Times New Roman" w:hAnsi="Times New Roman" w:cs="Times New Roman"/>
          <w:sz w:val="24"/>
          <w:szCs w:val="24"/>
          <w:lang w:eastAsia="it-IT"/>
        </w:rPr>
        <w:t xml:space="preserve">nonché da </w:t>
      </w:r>
      <w:r w:rsidR="00494F15" w:rsidRPr="00132B85">
        <w:rPr>
          <w:rFonts w:ascii="Times New Roman" w:hAnsi="Times New Roman" w:cs="Times New Roman"/>
          <w:sz w:val="24"/>
          <w:szCs w:val="24"/>
          <w:lang w:eastAsia="it-IT"/>
        </w:rPr>
        <w:t>leggi regionali e</w:t>
      </w:r>
      <w:r w:rsidR="00BC1AD0">
        <w:rPr>
          <w:rFonts w:ascii="Times New Roman" w:hAnsi="Times New Roman" w:cs="Times New Roman"/>
          <w:sz w:val="24"/>
          <w:szCs w:val="24"/>
          <w:lang w:eastAsia="it-IT"/>
        </w:rPr>
        <w:t xml:space="preserve"> relativi </w:t>
      </w:r>
      <w:r w:rsidR="00494F15" w:rsidRPr="00132B85">
        <w:rPr>
          <w:rFonts w:ascii="Times New Roman" w:hAnsi="Times New Roman" w:cs="Times New Roman"/>
          <w:sz w:val="24"/>
          <w:szCs w:val="24"/>
          <w:lang w:eastAsia="it-IT"/>
        </w:rPr>
        <w:t>ulteriori atti amministrativi</w:t>
      </w:r>
      <w:r w:rsidR="00BC1AD0">
        <w:rPr>
          <w:rFonts w:ascii="Times New Roman" w:hAnsi="Times New Roman" w:cs="Times New Roman"/>
          <w:sz w:val="24"/>
          <w:szCs w:val="24"/>
          <w:lang w:eastAsia="it-IT"/>
        </w:rPr>
        <w:t xml:space="preserve"> fino a quelli che specificamente definiscono la prestazione </w:t>
      </w:r>
      <w:r w:rsidR="00494F15" w:rsidRPr="00132B85">
        <w:rPr>
          <w:rFonts w:ascii="Times New Roman" w:hAnsi="Times New Roman" w:cs="Times New Roman"/>
          <w:sz w:val="24"/>
          <w:szCs w:val="24"/>
          <w:lang w:eastAsia="it-IT"/>
        </w:rPr>
        <w:t>i</w:t>
      </w:r>
      <w:r w:rsidR="000120F0" w:rsidRPr="00132B85">
        <w:rPr>
          <w:rFonts w:ascii="Times New Roman" w:hAnsi="Times New Roman" w:cs="Times New Roman"/>
          <w:sz w:val="24"/>
          <w:szCs w:val="24"/>
          <w:lang w:eastAsia="it-IT"/>
        </w:rPr>
        <w:t>donea a soddisfare quel diritto.</w:t>
      </w:r>
    </w:p>
    <w:p w14:paraId="607AA24F" w14:textId="4972249F" w:rsidR="00494F15" w:rsidRPr="00132B85" w:rsidRDefault="00494F1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In questo processo che si compone</w:t>
      </w:r>
      <w:r w:rsidR="00C7024D" w:rsidRPr="00132B85">
        <w:rPr>
          <w:rFonts w:ascii="Times New Roman" w:hAnsi="Times New Roman" w:cs="Times New Roman"/>
          <w:sz w:val="24"/>
          <w:szCs w:val="24"/>
          <w:lang w:eastAsia="it-IT"/>
        </w:rPr>
        <w:t xml:space="preserve"> – in genere- </w:t>
      </w:r>
      <w:r w:rsidRPr="00132B85">
        <w:rPr>
          <w:rFonts w:ascii="Times New Roman" w:hAnsi="Times New Roman" w:cs="Times New Roman"/>
          <w:sz w:val="24"/>
          <w:szCs w:val="24"/>
          <w:lang w:eastAsia="it-IT"/>
        </w:rPr>
        <w:t xml:space="preserve"> di </w:t>
      </w:r>
      <w:r w:rsidR="00C7024D" w:rsidRPr="00132B85">
        <w:rPr>
          <w:rFonts w:ascii="Times New Roman" w:hAnsi="Times New Roman" w:cs="Times New Roman"/>
          <w:sz w:val="24"/>
          <w:szCs w:val="24"/>
          <w:lang w:eastAsia="it-IT"/>
        </w:rPr>
        <w:t>più momenti legislativi</w:t>
      </w:r>
      <w:r w:rsidRPr="00132B85">
        <w:rPr>
          <w:rFonts w:ascii="Times New Roman" w:hAnsi="Times New Roman" w:cs="Times New Roman"/>
          <w:sz w:val="24"/>
          <w:szCs w:val="24"/>
          <w:lang w:eastAsia="it-IT"/>
        </w:rPr>
        <w:t>, nazion</w:t>
      </w:r>
      <w:r w:rsidR="00C7024D" w:rsidRPr="00132B85">
        <w:rPr>
          <w:rFonts w:ascii="Times New Roman" w:hAnsi="Times New Roman" w:cs="Times New Roman"/>
          <w:sz w:val="24"/>
          <w:szCs w:val="24"/>
          <w:lang w:eastAsia="it-IT"/>
        </w:rPr>
        <w:t>ale e regionali</w:t>
      </w:r>
      <w:r w:rsidRPr="00132B85">
        <w:rPr>
          <w:rFonts w:ascii="Times New Roman" w:hAnsi="Times New Roman" w:cs="Times New Roman"/>
          <w:sz w:val="24"/>
          <w:szCs w:val="24"/>
          <w:lang w:eastAsia="it-IT"/>
        </w:rPr>
        <w:t xml:space="preserve">, e di più momenti di esercizio del potere amministrativo </w:t>
      </w:r>
      <w:r w:rsidR="00C7024D" w:rsidRPr="00132B85">
        <w:rPr>
          <w:rFonts w:ascii="Times New Roman" w:hAnsi="Times New Roman" w:cs="Times New Roman"/>
          <w:sz w:val="24"/>
          <w:szCs w:val="24"/>
          <w:lang w:eastAsia="it-IT"/>
        </w:rPr>
        <w:t>(a livello ministeriale, regionale e da ultimo locale)</w:t>
      </w:r>
      <w:r w:rsidR="00D13451" w:rsidRPr="00132B85">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è interessante verificare quando il “vincolo finanziario” o meglio </w:t>
      </w:r>
      <w:r w:rsidR="006D24BB"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come giustamente riporta il titolo di questo mio intervento</w:t>
      </w:r>
      <w:r w:rsidR="006D24BB"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quan</w:t>
      </w:r>
      <w:r w:rsidR="000120F0" w:rsidRPr="00132B85">
        <w:rPr>
          <w:rFonts w:ascii="Times New Roman" w:hAnsi="Times New Roman" w:cs="Times New Roman"/>
          <w:sz w:val="24"/>
          <w:szCs w:val="24"/>
          <w:lang w:eastAsia="it-IT"/>
        </w:rPr>
        <w:t>do “i vincoli finanziari” emerga</w:t>
      </w:r>
      <w:r w:rsidRPr="00132B85">
        <w:rPr>
          <w:rFonts w:ascii="Times New Roman" w:hAnsi="Times New Roman" w:cs="Times New Roman"/>
          <w:sz w:val="24"/>
          <w:szCs w:val="24"/>
          <w:lang w:eastAsia="it-IT"/>
        </w:rPr>
        <w:t>no ed entro q</w:t>
      </w:r>
      <w:r w:rsidR="006D24BB" w:rsidRPr="00132B85">
        <w:rPr>
          <w:rFonts w:ascii="Times New Roman" w:hAnsi="Times New Roman" w:cs="Times New Roman"/>
          <w:sz w:val="24"/>
          <w:szCs w:val="24"/>
          <w:lang w:eastAsia="it-IT"/>
        </w:rPr>
        <w:t xml:space="preserve">uali limiti </w:t>
      </w:r>
      <w:r w:rsidR="000120F0" w:rsidRPr="00132B85">
        <w:rPr>
          <w:rFonts w:ascii="Times New Roman" w:hAnsi="Times New Roman" w:cs="Times New Roman"/>
          <w:sz w:val="24"/>
          <w:szCs w:val="24"/>
          <w:lang w:eastAsia="it-IT"/>
        </w:rPr>
        <w:t>possa</w:t>
      </w:r>
      <w:r w:rsidR="00C7024D" w:rsidRPr="00132B85">
        <w:rPr>
          <w:rFonts w:ascii="Times New Roman" w:hAnsi="Times New Roman" w:cs="Times New Roman"/>
          <w:sz w:val="24"/>
          <w:szCs w:val="24"/>
          <w:lang w:eastAsia="it-IT"/>
        </w:rPr>
        <w:t xml:space="preserve">no </w:t>
      </w:r>
      <w:r w:rsidR="006D24BB" w:rsidRPr="00132B85">
        <w:rPr>
          <w:rFonts w:ascii="Times New Roman" w:hAnsi="Times New Roman" w:cs="Times New Roman"/>
          <w:sz w:val="24"/>
          <w:szCs w:val="24"/>
          <w:lang w:eastAsia="it-IT"/>
        </w:rPr>
        <w:t>incidere sul contenuto della prestazione da erogare e</w:t>
      </w:r>
      <w:r w:rsidR="00BC1AD0">
        <w:rPr>
          <w:rFonts w:ascii="Times New Roman" w:hAnsi="Times New Roman" w:cs="Times New Roman"/>
          <w:sz w:val="24"/>
          <w:szCs w:val="24"/>
          <w:lang w:eastAsia="it-IT"/>
        </w:rPr>
        <w:t>,</w:t>
      </w:r>
      <w:r w:rsidR="006D24BB" w:rsidRPr="00132B85">
        <w:rPr>
          <w:rFonts w:ascii="Times New Roman" w:hAnsi="Times New Roman" w:cs="Times New Roman"/>
          <w:sz w:val="24"/>
          <w:szCs w:val="24"/>
          <w:lang w:eastAsia="it-IT"/>
        </w:rPr>
        <w:t xml:space="preserve"> dunque</w:t>
      </w:r>
      <w:r w:rsidR="00BC1AD0">
        <w:rPr>
          <w:rFonts w:ascii="Times New Roman" w:hAnsi="Times New Roman" w:cs="Times New Roman"/>
          <w:sz w:val="24"/>
          <w:szCs w:val="24"/>
          <w:lang w:eastAsia="it-IT"/>
        </w:rPr>
        <w:t>,</w:t>
      </w:r>
      <w:r w:rsidR="006D24BB" w:rsidRPr="00132B85">
        <w:rPr>
          <w:rFonts w:ascii="Times New Roman" w:hAnsi="Times New Roman" w:cs="Times New Roman"/>
          <w:sz w:val="24"/>
          <w:szCs w:val="24"/>
          <w:lang w:eastAsia="it-IT"/>
        </w:rPr>
        <w:t xml:space="preserve"> sulla stessa effettività del diritto.</w:t>
      </w:r>
    </w:p>
    <w:p w14:paraId="29175F4C" w14:textId="72FC0D4D" w:rsidR="009C6A45" w:rsidRPr="00132B85" w:rsidRDefault="009C6A4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Data la molteplicità dei diritti fondamentali (salute, istruzione, lavoro,…) si pone inoltre l’ulteriore interrogativo se vi siano diritti </w:t>
      </w:r>
      <w:r w:rsidR="00E7683D" w:rsidRPr="00132B85">
        <w:rPr>
          <w:rFonts w:ascii="Times New Roman" w:hAnsi="Times New Roman" w:cs="Times New Roman"/>
          <w:sz w:val="24"/>
          <w:szCs w:val="24"/>
          <w:lang w:eastAsia="it-IT"/>
        </w:rPr>
        <w:t>(</w:t>
      </w:r>
      <w:r w:rsidR="00E7683D" w:rsidRPr="00132B85">
        <w:rPr>
          <w:rFonts w:ascii="Times New Roman" w:hAnsi="Times New Roman" w:cs="Times New Roman"/>
          <w:i/>
          <w:sz w:val="24"/>
          <w:szCs w:val="24"/>
          <w:lang w:eastAsia="it-IT"/>
        </w:rPr>
        <w:t>rectius</w:t>
      </w:r>
      <w:r w:rsidR="00E7683D" w:rsidRPr="00132B85">
        <w:rPr>
          <w:rFonts w:ascii="Times New Roman" w:hAnsi="Times New Roman" w:cs="Times New Roman"/>
          <w:sz w:val="24"/>
          <w:szCs w:val="24"/>
          <w:lang w:eastAsia="it-IT"/>
        </w:rPr>
        <w:t xml:space="preserve"> prestazioni) </w:t>
      </w:r>
      <w:r w:rsidRPr="00132B85">
        <w:rPr>
          <w:rFonts w:ascii="Times New Roman" w:hAnsi="Times New Roman" w:cs="Times New Roman"/>
          <w:sz w:val="24"/>
          <w:szCs w:val="24"/>
          <w:lang w:eastAsia="it-IT"/>
        </w:rPr>
        <w:t>più sensibili</w:t>
      </w:r>
      <w:r w:rsidR="00E7683D"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w:t>
      </w:r>
      <w:r w:rsidR="00BC1AD0">
        <w:rPr>
          <w:rFonts w:ascii="Times New Roman" w:hAnsi="Times New Roman" w:cs="Times New Roman"/>
          <w:sz w:val="24"/>
          <w:szCs w:val="24"/>
          <w:lang w:eastAsia="it-IT"/>
        </w:rPr>
        <w:t xml:space="preserve">con riguardo al rischio di ricadere </w:t>
      </w:r>
      <w:r w:rsidRPr="00132B85">
        <w:rPr>
          <w:rFonts w:ascii="Times New Roman" w:hAnsi="Times New Roman" w:cs="Times New Roman"/>
          <w:sz w:val="24"/>
          <w:szCs w:val="24"/>
          <w:lang w:eastAsia="it-IT"/>
        </w:rPr>
        <w:t>nel bilanciame</w:t>
      </w:r>
      <w:r w:rsidR="00BC1AD0">
        <w:rPr>
          <w:rFonts w:ascii="Times New Roman" w:hAnsi="Times New Roman" w:cs="Times New Roman"/>
          <w:sz w:val="24"/>
          <w:szCs w:val="24"/>
          <w:lang w:eastAsia="it-IT"/>
        </w:rPr>
        <w:t>nto con le risorse disponibili</w:t>
      </w:r>
      <w:r w:rsidRPr="00132B85">
        <w:rPr>
          <w:rFonts w:ascii="Times New Roman" w:hAnsi="Times New Roman" w:cs="Times New Roman"/>
          <w:sz w:val="24"/>
          <w:szCs w:val="24"/>
          <w:lang w:eastAsia="it-IT"/>
        </w:rPr>
        <w:t xml:space="preserve"> ed altri </w:t>
      </w:r>
      <w:r w:rsidR="00E7683D" w:rsidRPr="00132B85">
        <w:rPr>
          <w:rFonts w:ascii="Times New Roman" w:hAnsi="Times New Roman" w:cs="Times New Roman"/>
          <w:sz w:val="24"/>
          <w:szCs w:val="24"/>
          <w:lang w:eastAsia="it-IT"/>
        </w:rPr>
        <w:t>che invece sono più “corazzati”</w:t>
      </w:r>
      <w:r w:rsidR="00BC1AD0">
        <w:rPr>
          <w:rFonts w:ascii="Times New Roman" w:hAnsi="Times New Roman" w:cs="Times New Roman"/>
          <w:sz w:val="24"/>
          <w:szCs w:val="24"/>
          <w:lang w:eastAsia="it-IT"/>
        </w:rPr>
        <w:t xml:space="preserve"> e meno vulnerabili.</w:t>
      </w:r>
    </w:p>
    <w:p w14:paraId="467ACF18" w14:textId="0C833248" w:rsidR="00A075CD" w:rsidRPr="00132B85" w:rsidRDefault="00D1345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tratta di questioni che, dalla prospettiva del giudice amministrativo, si pongono anche nel senso di verificare quale sia </w:t>
      </w:r>
      <w:r w:rsidR="00A075CD" w:rsidRPr="00132B85">
        <w:rPr>
          <w:rFonts w:ascii="Times New Roman" w:hAnsi="Times New Roman" w:cs="Times New Roman"/>
          <w:sz w:val="24"/>
          <w:szCs w:val="24"/>
          <w:lang w:eastAsia="it-IT"/>
        </w:rPr>
        <w:t xml:space="preserve">il limite che incontra il potere amministrativo </w:t>
      </w:r>
      <w:r w:rsidR="007C3CCC" w:rsidRPr="00132B85">
        <w:rPr>
          <w:rFonts w:ascii="Times New Roman" w:hAnsi="Times New Roman" w:cs="Times New Roman"/>
          <w:sz w:val="24"/>
          <w:szCs w:val="24"/>
          <w:lang w:eastAsia="it-IT"/>
        </w:rPr>
        <w:t xml:space="preserve">nel negare o ridurre </w:t>
      </w:r>
      <w:r w:rsidRPr="00132B85">
        <w:rPr>
          <w:rFonts w:ascii="Times New Roman" w:hAnsi="Times New Roman" w:cs="Times New Roman"/>
          <w:sz w:val="24"/>
          <w:szCs w:val="24"/>
          <w:lang w:eastAsia="it-IT"/>
        </w:rPr>
        <w:t xml:space="preserve">per ragioni di natura finanziaria </w:t>
      </w:r>
      <w:r w:rsidR="007C3CCC" w:rsidRPr="00132B85">
        <w:rPr>
          <w:rFonts w:ascii="Times New Roman" w:hAnsi="Times New Roman" w:cs="Times New Roman"/>
          <w:sz w:val="24"/>
          <w:szCs w:val="24"/>
          <w:lang w:eastAsia="it-IT"/>
        </w:rPr>
        <w:t>l’accesso a prestazioni necessarie a gara</w:t>
      </w:r>
      <w:r w:rsidRPr="00132B85">
        <w:rPr>
          <w:rFonts w:ascii="Times New Roman" w:hAnsi="Times New Roman" w:cs="Times New Roman"/>
          <w:sz w:val="24"/>
          <w:szCs w:val="24"/>
          <w:lang w:eastAsia="it-IT"/>
        </w:rPr>
        <w:t>ntire l’effettività di un diritto fondamentale per le persone.</w:t>
      </w:r>
    </w:p>
    <w:p w14:paraId="76ED0D9D" w14:textId="5E81F33D" w:rsidR="00C322A6" w:rsidRPr="00132B85" w:rsidRDefault="000120F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w:t>
      </w:r>
      <w:r w:rsidR="006D24BB" w:rsidRPr="00132B85">
        <w:rPr>
          <w:rFonts w:ascii="Times New Roman" w:hAnsi="Times New Roman" w:cs="Times New Roman"/>
          <w:sz w:val="24"/>
          <w:szCs w:val="24"/>
          <w:lang w:eastAsia="it-IT"/>
        </w:rPr>
        <w:t xml:space="preserve">l giudice amministrativo </w:t>
      </w:r>
      <w:r w:rsidR="00D13451" w:rsidRPr="00132B85">
        <w:rPr>
          <w:rFonts w:ascii="Times New Roman" w:hAnsi="Times New Roman" w:cs="Times New Roman"/>
          <w:sz w:val="24"/>
          <w:szCs w:val="24"/>
          <w:lang w:eastAsia="it-IT"/>
        </w:rPr>
        <w:t xml:space="preserve">ha un ruolo non irrilevante, </w:t>
      </w:r>
      <w:r w:rsidR="00DD3B62" w:rsidRPr="00132B85">
        <w:rPr>
          <w:rFonts w:ascii="Times New Roman" w:hAnsi="Times New Roman" w:cs="Times New Roman"/>
          <w:sz w:val="24"/>
          <w:szCs w:val="24"/>
          <w:lang w:eastAsia="it-IT"/>
        </w:rPr>
        <w:t xml:space="preserve">poiché sempre più </w:t>
      </w:r>
      <w:r w:rsidR="006D24BB" w:rsidRPr="00132B85">
        <w:rPr>
          <w:rFonts w:ascii="Times New Roman" w:hAnsi="Times New Roman" w:cs="Times New Roman"/>
          <w:sz w:val="24"/>
          <w:szCs w:val="24"/>
          <w:lang w:eastAsia="it-IT"/>
        </w:rPr>
        <w:t xml:space="preserve">chiamato a valutare se il contenuto della prestazione come definito dall’Amministrazione sia legittimo o se invece debba essere ridefinito </w:t>
      </w:r>
      <w:r w:rsidR="00C322A6" w:rsidRPr="00132B85">
        <w:rPr>
          <w:rFonts w:ascii="Times New Roman" w:hAnsi="Times New Roman" w:cs="Times New Roman"/>
          <w:sz w:val="24"/>
          <w:szCs w:val="24"/>
          <w:lang w:eastAsia="it-IT"/>
        </w:rPr>
        <w:t xml:space="preserve">proprio </w:t>
      </w:r>
      <w:r w:rsidR="006D24BB" w:rsidRPr="00132B85">
        <w:rPr>
          <w:rFonts w:ascii="Times New Roman" w:hAnsi="Times New Roman" w:cs="Times New Roman"/>
          <w:sz w:val="24"/>
          <w:szCs w:val="24"/>
          <w:lang w:eastAsia="it-IT"/>
        </w:rPr>
        <w:t xml:space="preserve">per garantire alla persona i </w:t>
      </w:r>
      <w:r w:rsidR="00C322A6" w:rsidRPr="00132B85">
        <w:rPr>
          <w:rFonts w:ascii="Times New Roman" w:hAnsi="Times New Roman" w:cs="Times New Roman"/>
          <w:sz w:val="24"/>
          <w:szCs w:val="24"/>
          <w:lang w:eastAsia="it-IT"/>
        </w:rPr>
        <w:t>servizi necess</w:t>
      </w:r>
      <w:r w:rsidRPr="00132B85">
        <w:rPr>
          <w:rFonts w:ascii="Times New Roman" w:hAnsi="Times New Roman" w:cs="Times New Roman"/>
          <w:sz w:val="24"/>
          <w:szCs w:val="24"/>
          <w:lang w:eastAsia="it-IT"/>
        </w:rPr>
        <w:t>ari ad assicurare il rispetto d</w:t>
      </w:r>
      <w:r w:rsidR="00C322A6" w:rsidRPr="00132B85">
        <w:rPr>
          <w:rFonts w:ascii="Times New Roman" w:hAnsi="Times New Roman" w:cs="Times New Roman"/>
          <w:sz w:val="24"/>
          <w:szCs w:val="24"/>
          <w:lang w:eastAsia="it-IT"/>
        </w:rPr>
        <w:t xml:space="preserve">i </w:t>
      </w:r>
      <w:r w:rsidR="006D24BB" w:rsidRPr="00132B85">
        <w:rPr>
          <w:rFonts w:ascii="Times New Roman" w:hAnsi="Times New Roman" w:cs="Times New Roman"/>
          <w:sz w:val="24"/>
          <w:szCs w:val="24"/>
          <w:lang w:eastAsia="it-IT"/>
        </w:rPr>
        <w:t xml:space="preserve">diritti </w:t>
      </w:r>
      <w:r w:rsidR="00C322A6" w:rsidRPr="00132B85">
        <w:rPr>
          <w:rFonts w:ascii="Times New Roman" w:hAnsi="Times New Roman" w:cs="Times New Roman"/>
          <w:sz w:val="24"/>
          <w:szCs w:val="24"/>
          <w:lang w:eastAsia="it-IT"/>
        </w:rPr>
        <w:t>costituzionalmente</w:t>
      </w:r>
      <w:r w:rsidR="002D6B22" w:rsidRPr="00132B85">
        <w:rPr>
          <w:rFonts w:ascii="Times New Roman" w:hAnsi="Times New Roman" w:cs="Times New Roman"/>
          <w:sz w:val="24"/>
          <w:szCs w:val="24"/>
          <w:lang w:eastAsia="it-IT"/>
        </w:rPr>
        <w:t xml:space="preserve"> e legislativamente riconosciuti</w:t>
      </w:r>
      <w:r w:rsidR="00C322A6" w:rsidRPr="00132B85">
        <w:rPr>
          <w:rFonts w:ascii="Times New Roman" w:hAnsi="Times New Roman" w:cs="Times New Roman"/>
          <w:sz w:val="24"/>
          <w:szCs w:val="24"/>
          <w:lang w:eastAsia="it-IT"/>
        </w:rPr>
        <w:t>.</w:t>
      </w:r>
    </w:p>
    <w:p w14:paraId="1A3F26AB" w14:textId="41A976BF" w:rsidR="008F4262" w:rsidRPr="00132B85" w:rsidRDefault="00C322A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tratta di un ruolo talvolta decisivo </w:t>
      </w:r>
      <w:r w:rsidR="00AA6246">
        <w:rPr>
          <w:rFonts w:ascii="Times New Roman" w:hAnsi="Times New Roman" w:cs="Times New Roman"/>
          <w:sz w:val="24"/>
          <w:szCs w:val="24"/>
          <w:lang w:eastAsia="it-IT"/>
        </w:rPr>
        <w:t xml:space="preserve">nel delineare l’esatta portata dei diritti fondamentali in termini di effettività e dunque di prestazioni </w:t>
      </w:r>
      <w:r w:rsidRPr="00132B85">
        <w:rPr>
          <w:rFonts w:ascii="Times New Roman" w:hAnsi="Times New Roman" w:cs="Times New Roman"/>
          <w:sz w:val="24"/>
          <w:szCs w:val="24"/>
          <w:lang w:eastAsia="it-IT"/>
        </w:rPr>
        <w:t xml:space="preserve">da </w:t>
      </w:r>
      <w:r w:rsidR="00AA6246">
        <w:rPr>
          <w:rFonts w:ascii="Times New Roman" w:hAnsi="Times New Roman" w:cs="Times New Roman"/>
          <w:sz w:val="24"/>
          <w:szCs w:val="24"/>
          <w:lang w:eastAsia="it-IT"/>
        </w:rPr>
        <w:t xml:space="preserve">erogarsi da parte </w:t>
      </w:r>
      <w:r w:rsidRPr="00132B85">
        <w:rPr>
          <w:rFonts w:ascii="Times New Roman" w:hAnsi="Times New Roman" w:cs="Times New Roman"/>
          <w:sz w:val="24"/>
          <w:szCs w:val="24"/>
          <w:lang w:eastAsia="it-IT"/>
        </w:rPr>
        <w:t>dell’Amministrazione</w:t>
      </w:r>
      <w:r w:rsidR="00AA6246">
        <w:rPr>
          <w:rFonts w:ascii="Times New Roman" w:hAnsi="Times New Roman" w:cs="Times New Roman"/>
          <w:sz w:val="24"/>
          <w:szCs w:val="24"/>
          <w:lang w:eastAsia="it-IT"/>
        </w:rPr>
        <w:t>. Tanto che alcuni commentatori riferiscono di “</w:t>
      </w:r>
      <w:r w:rsidR="00AA6246" w:rsidRPr="00AA6246">
        <w:rPr>
          <w:rFonts w:ascii="Times New Roman" w:hAnsi="Times New Roman" w:cs="Times New Roman"/>
          <w:i/>
          <w:sz w:val="24"/>
          <w:szCs w:val="24"/>
          <w:lang w:eastAsia="it-IT"/>
        </w:rPr>
        <w:t xml:space="preserve">una diffusa preoccupazione sulla sostenibilità degli oneri finanziari </w:t>
      </w:r>
      <w:r w:rsidR="00AA6246" w:rsidRPr="00AA6246">
        <w:rPr>
          <w:rFonts w:ascii="Times New Roman" w:hAnsi="Times New Roman" w:cs="Times New Roman"/>
          <w:i/>
          <w:sz w:val="24"/>
          <w:szCs w:val="24"/>
          <w:lang w:eastAsia="it-IT"/>
        </w:rPr>
        <w:lastRenderedPageBreak/>
        <w:t xml:space="preserve">derivanti da interventi, di natura legislativa o giurisdizionale, volti a promuovere o garantire </w:t>
      </w:r>
      <w:r w:rsidR="00AA6246">
        <w:rPr>
          <w:rFonts w:ascii="Times New Roman" w:hAnsi="Times New Roman" w:cs="Times New Roman"/>
          <w:i/>
          <w:sz w:val="24"/>
          <w:szCs w:val="24"/>
          <w:lang w:eastAsia="it-IT"/>
        </w:rPr>
        <w:t>la tutela dei diritti dell’uomo</w:t>
      </w:r>
      <w:r w:rsidR="00AA6246">
        <w:rPr>
          <w:rFonts w:ascii="Times New Roman" w:hAnsi="Times New Roman" w:cs="Times New Roman"/>
          <w:sz w:val="24"/>
          <w:szCs w:val="24"/>
          <w:lang w:eastAsia="it-IT"/>
        </w:rPr>
        <w:t>”</w:t>
      </w:r>
      <w:r w:rsidR="00AA6246">
        <w:rPr>
          <w:rStyle w:val="Rimandonotaapidipagina"/>
          <w:rFonts w:ascii="Times New Roman" w:hAnsi="Times New Roman" w:cs="Times New Roman"/>
          <w:sz w:val="24"/>
          <w:szCs w:val="24"/>
          <w:lang w:eastAsia="it-IT"/>
        </w:rPr>
        <w:footnoteReference w:id="11"/>
      </w:r>
      <w:r w:rsidR="008F4262" w:rsidRPr="00132B85">
        <w:rPr>
          <w:rFonts w:ascii="Times New Roman" w:hAnsi="Times New Roman" w:cs="Times New Roman"/>
          <w:sz w:val="24"/>
          <w:szCs w:val="24"/>
          <w:lang w:eastAsia="it-IT"/>
        </w:rPr>
        <w:t>.</w:t>
      </w:r>
    </w:p>
    <w:p w14:paraId="75CA3A35" w14:textId="19440E0B" w:rsidR="008F4262" w:rsidRPr="00132B85" w:rsidRDefault="00BC1AD0"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In tale prospettiva</w:t>
      </w:r>
      <w:r w:rsidR="000120F0" w:rsidRPr="00132B85">
        <w:rPr>
          <w:rFonts w:ascii="Times New Roman" w:hAnsi="Times New Roman" w:cs="Times New Roman"/>
          <w:sz w:val="24"/>
          <w:szCs w:val="24"/>
          <w:lang w:eastAsia="it-IT"/>
        </w:rPr>
        <w:t xml:space="preserve"> appare </w:t>
      </w:r>
      <w:r w:rsidR="0013178A" w:rsidRPr="00973F32">
        <w:rPr>
          <w:rFonts w:ascii="Times New Roman" w:hAnsi="Times New Roman" w:cs="Times New Roman"/>
          <w:sz w:val="24"/>
          <w:szCs w:val="24"/>
          <w:lang w:eastAsia="it-IT"/>
        </w:rPr>
        <w:t>propedeutico</w:t>
      </w:r>
      <w:r w:rsidR="000120F0" w:rsidRPr="00973F32">
        <w:rPr>
          <w:rFonts w:ascii="Times New Roman" w:hAnsi="Times New Roman" w:cs="Times New Roman"/>
          <w:sz w:val="24"/>
          <w:szCs w:val="24"/>
          <w:lang w:eastAsia="it-IT"/>
        </w:rPr>
        <w:t xml:space="preserve"> </w:t>
      </w:r>
      <w:r w:rsidR="000120F0" w:rsidRPr="00132B85">
        <w:rPr>
          <w:rFonts w:ascii="Times New Roman" w:hAnsi="Times New Roman" w:cs="Times New Roman"/>
          <w:sz w:val="24"/>
          <w:szCs w:val="24"/>
          <w:lang w:eastAsia="it-IT"/>
        </w:rPr>
        <w:t xml:space="preserve">definire cosa debba intendersi per disabilità e se esistano specifici diritti fondamentali delle persone con disabilità. </w:t>
      </w:r>
    </w:p>
    <w:p w14:paraId="15DCDF23" w14:textId="441BDEFB" w:rsidR="00C322A6" w:rsidRPr="00132B85" w:rsidRDefault="00C322A6" w:rsidP="00E65B62">
      <w:pPr>
        <w:jc w:val="both"/>
        <w:rPr>
          <w:rFonts w:ascii="Times New Roman" w:hAnsi="Times New Roman" w:cs="Times New Roman"/>
          <w:b/>
          <w:sz w:val="24"/>
          <w:szCs w:val="24"/>
          <w:lang w:eastAsia="it-IT"/>
        </w:rPr>
      </w:pPr>
      <w:r w:rsidRPr="00132B85">
        <w:rPr>
          <w:rFonts w:ascii="Times New Roman" w:hAnsi="Times New Roman" w:cs="Times New Roman"/>
          <w:b/>
          <w:sz w:val="24"/>
          <w:szCs w:val="24"/>
          <w:lang w:eastAsia="it-IT"/>
        </w:rPr>
        <w:t xml:space="preserve">2. </w:t>
      </w:r>
      <w:r w:rsidR="006F6E40" w:rsidRPr="00132B85">
        <w:rPr>
          <w:rFonts w:ascii="Times New Roman" w:hAnsi="Times New Roman" w:cs="Times New Roman"/>
          <w:b/>
          <w:sz w:val="24"/>
          <w:szCs w:val="24"/>
          <w:lang w:eastAsia="it-IT"/>
        </w:rPr>
        <w:t xml:space="preserve">La definizione di </w:t>
      </w:r>
      <w:r w:rsidR="006B0404" w:rsidRPr="00132B85">
        <w:rPr>
          <w:rFonts w:ascii="Times New Roman" w:hAnsi="Times New Roman" w:cs="Times New Roman"/>
          <w:b/>
          <w:sz w:val="24"/>
          <w:szCs w:val="24"/>
          <w:lang w:eastAsia="it-IT"/>
        </w:rPr>
        <w:t>disabilità</w:t>
      </w:r>
    </w:p>
    <w:p w14:paraId="502B6E9F" w14:textId="33690896" w:rsidR="00DE3BB5" w:rsidRPr="00132B85" w:rsidRDefault="00DE3BB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disabilità non è espressamente menzionata all’interno della </w:t>
      </w:r>
      <w:r w:rsidR="000120F0" w:rsidRPr="00132B85">
        <w:rPr>
          <w:rFonts w:ascii="Times New Roman" w:hAnsi="Times New Roman" w:cs="Times New Roman"/>
          <w:sz w:val="24"/>
          <w:szCs w:val="24"/>
          <w:lang w:eastAsia="it-IT"/>
        </w:rPr>
        <w:t xml:space="preserve">nostra </w:t>
      </w:r>
      <w:r w:rsidRPr="00132B85">
        <w:rPr>
          <w:rFonts w:ascii="Times New Roman" w:hAnsi="Times New Roman" w:cs="Times New Roman"/>
          <w:sz w:val="24"/>
          <w:szCs w:val="24"/>
          <w:lang w:eastAsia="it-IT"/>
        </w:rPr>
        <w:t>Carta fondamentale, al di fuori dell’art. 38 Cost. che fa riferimento agli inabili e ai minorati.</w:t>
      </w:r>
    </w:p>
    <w:p w14:paraId="6DC193E7" w14:textId="424E9B96" w:rsidR="00DE3BB5" w:rsidRPr="00132B85" w:rsidRDefault="00DE3BB5"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Nella C</w:t>
      </w:r>
      <w:r w:rsidR="002D6B22" w:rsidRPr="00132B85">
        <w:rPr>
          <w:rFonts w:ascii="Times New Roman" w:hAnsi="Times New Roman" w:cs="Times New Roman"/>
          <w:sz w:val="24"/>
          <w:szCs w:val="24"/>
          <w:lang w:eastAsia="it-IT"/>
        </w:rPr>
        <w:t xml:space="preserve">ostituzione </w:t>
      </w:r>
      <w:r w:rsidR="009C6A45" w:rsidRPr="00132B85">
        <w:rPr>
          <w:rFonts w:ascii="Times New Roman" w:hAnsi="Times New Roman" w:cs="Times New Roman"/>
          <w:sz w:val="24"/>
          <w:szCs w:val="24"/>
          <w:lang w:eastAsia="it-IT"/>
        </w:rPr>
        <w:t xml:space="preserve">si fa riferimento alla </w:t>
      </w:r>
      <w:r w:rsidR="002D6B22" w:rsidRPr="00132B85">
        <w:rPr>
          <w:rFonts w:ascii="Times New Roman" w:hAnsi="Times New Roman" w:cs="Times New Roman"/>
          <w:sz w:val="24"/>
          <w:szCs w:val="24"/>
          <w:lang w:eastAsia="it-IT"/>
        </w:rPr>
        <w:t>“persona”, che nella sua peculiarità è anche la persona con disabilità.</w:t>
      </w:r>
    </w:p>
    <w:p w14:paraId="4ACF4498" w14:textId="14099144" w:rsidR="005423FC" w:rsidRPr="00132B85" w:rsidRDefault="005423FC"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Il fondamento costituzionale dei diritti della persona, quali diritti inviolabili, è </w:t>
      </w:r>
      <w:r w:rsidR="009C6A45" w:rsidRPr="00132B85">
        <w:rPr>
          <w:rFonts w:ascii="Times New Roman" w:hAnsi="Times New Roman" w:cs="Times New Roman"/>
          <w:sz w:val="24"/>
          <w:szCs w:val="24"/>
        </w:rPr>
        <w:t xml:space="preserve">posto </w:t>
      </w:r>
      <w:r w:rsidRPr="00132B85">
        <w:rPr>
          <w:rFonts w:ascii="Times New Roman" w:hAnsi="Times New Roman" w:cs="Times New Roman"/>
          <w:sz w:val="24"/>
          <w:szCs w:val="24"/>
        </w:rPr>
        <w:t xml:space="preserve">negli artt. 2 e 3 Cost. </w:t>
      </w:r>
    </w:p>
    <w:p w14:paraId="0EF86005" w14:textId="0F7431B1" w:rsidR="005423FC" w:rsidRPr="00132B85" w:rsidRDefault="005423FC" w:rsidP="00E65B62">
      <w:pPr>
        <w:jc w:val="both"/>
        <w:rPr>
          <w:rFonts w:ascii="Times New Roman" w:hAnsi="Times New Roman" w:cs="Times New Roman"/>
          <w:i/>
          <w:iCs/>
          <w:sz w:val="24"/>
          <w:szCs w:val="24"/>
        </w:rPr>
      </w:pPr>
      <w:r w:rsidRPr="00132B85">
        <w:rPr>
          <w:rFonts w:ascii="Times New Roman" w:hAnsi="Times New Roman" w:cs="Times New Roman"/>
          <w:sz w:val="24"/>
          <w:szCs w:val="24"/>
        </w:rPr>
        <w:t xml:space="preserve">La Corte cost. con la sentenza n. 114 del 2019 </w:t>
      </w:r>
      <w:r w:rsidR="00E7683D" w:rsidRPr="00132B85">
        <w:rPr>
          <w:rFonts w:ascii="Times New Roman" w:hAnsi="Times New Roman" w:cs="Times New Roman"/>
          <w:sz w:val="24"/>
          <w:szCs w:val="24"/>
        </w:rPr>
        <w:t xml:space="preserve">ha </w:t>
      </w:r>
      <w:r w:rsidRPr="00132B85">
        <w:rPr>
          <w:rFonts w:ascii="Times New Roman" w:hAnsi="Times New Roman" w:cs="Times New Roman"/>
          <w:sz w:val="24"/>
          <w:szCs w:val="24"/>
        </w:rPr>
        <w:t>afferma</w:t>
      </w:r>
      <w:r w:rsidR="00E7683D" w:rsidRPr="00132B85">
        <w:rPr>
          <w:rFonts w:ascii="Times New Roman" w:hAnsi="Times New Roman" w:cs="Times New Roman"/>
          <w:sz w:val="24"/>
          <w:szCs w:val="24"/>
        </w:rPr>
        <w:t>to</w:t>
      </w:r>
      <w:r w:rsidRPr="00132B85">
        <w:rPr>
          <w:rFonts w:ascii="Times New Roman" w:hAnsi="Times New Roman" w:cs="Times New Roman"/>
          <w:sz w:val="24"/>
          <w:szCs w:val="24"/>
        </w:rPr>
        <w:t xml:space="preserve"> il principio personalista:</w:t>
      </w:r>
      <w:r w:rsidR="002D6B22" w:rsidRPr="00132B85">
        <w:rPr>
          <w:rFonts w:ascii="Times New Roman" w:hAnsi="Times New Roman" w:cs="Times New Roman"/>
          <w:sz w:val="24"/>
          <w:szCs w:val="24"/>
        </w:rPr>
        <w:t xml:space="preserve"> che “</w:t>
      </w:r>
      <w:r w:rsidRPr="00132B85">
        <w:rPr>
          <w:rFonts w:ascii="Times New Roman" w:hAnsi="Times New Roman" w:cs="Times New Roman"/>
          <w:i/>
          <w:iCs/>
          <w:sz w:val="24"/>
          <w:szCs w:val="24"/>
        </w:rPr>
        <w:t>impone di leggere l’art. 2 congiuntamente all’art. 3 Cost., primo comma, che garantisce il principio di eguaglianza a prescindere dalle “condizioni personali”, tra le quali si colloca indubbiamente la condizione di disabilità di cui i beneficiari di amministrazione di sostegno sono portatori, sia pure in forme e gradi diversi; e secondo comma, il quale affida alla Repubblica il compito di rimuovere gli ostacoli, qual è appunto la condizione di disabilità, che impediscono la libertà e l’eguaglianza nonché il pieno sviluppo della persona”.</w:t>
      </w:r>
    </w:p>
    <w:p w14:paraId="1E67DC4D" w14:textId="71B53626" w:rsidR="005423FC" w:rsidRPr="00132B85" w:rsidRDefault="000120F0" w:rsidP="00E65B62">
      <w:pPr>
        <w:jc w:val="both"/>
        <w:rPr>
          <w:rFonts w:ascii="Times New Roman" w:hAnsi="Times New Roman" w:cs="Times New Roman"/>
          <w:sz w:val="24"/>
          <w:szCs w:val="24"/>
        </w:rPr>
      </w:pPr>
      <w:r w:rsidRPr="00132B85">
        <w:rPr>
          <w:rFonts w:ascii="Times New Roman" w:hAnsi="Times New Roman" w:cs="Times New Roman"/>
          <w:iCs/>
          <w:sz w:val="24"/>
          <w:szCs w:val="24"/>
        </w:rPr>
        <w:t>N</w:t>
      </w:r>
      <w:r w:rsidR="009C6A45" w:rsidRPr="00132B85">
        <w:rPr>
          <w:rFonts w:ascii="Times New Roman" w:hAnsi="Times New Roman" w:cs="Times New Roman"/>
          <w:iCs/>
          <w:sz w:val="24"/>
          <w:szCs w:val="24"/>
        </w:rPr>
        <w:t>el disegno costituzionale esistono dunque le persone, nella specificità delle loro condizioni personali e ad esse devono essere garantite condizioni di parità sostanziale</w:t>
      </w:r>
      <w:r w:rsidR="00BB34DC" w:rsidRPr="00132B85">
        <w:rPr>
          <w:rFonts w:ascii="Times New Roman" w:hAnsi="Times New Roman" w:cs="Times New Roman"/>
          <w:iCs/>
          <w:sz w:val="24"/>
          <w:szCs w:val="24"/>
        </w:rPr>
        <w:t xml:space="preserve"> ai sensi dell’art. 3 Cost. ed in particolare del comma secondo per cui</w:t>
      </w:r>
      <w:r w:rsidR="006B4F9D" w:rsidRPr="00132B85">
        <w:rPr>
          <w:rFonts w:ascii="Times New Roman" w:hAnsi="Times New Roman" w:cs="Times New Roman"/>
          <w:sz w:val="24"/>
          <w:szCs w:val="24"/>
        </w:rPr>
        <w:t xml:space="preserve"> la Repubblica è chiamata ad eliminare tutti quegli ostacoli che, limitando in conc</w:t>
      </w:r>
      <w:r w:rsidR="00BB34DC" w:rsidRPr="00132B85">
        <w:rPr>
          <w:rFonts w:ascii="Times New Roman" w:hAnsi="Times New Roman" w:cs="Times New Roman"/>
          <w:sz w:val="24"/>
          <w:szCs w:val="24"/>
        </w:rPr>
        <w:t>reto la libertà e l’eguaglianza</w:t>
      </w:r>
      <w:r w:rsidR="00BB34DC" w:rsidRPr="00973F32">
        <w:rPr>
          <w:rFonts w:ascii="Times New Roman" w:hAnsi="Times New Roman" w:cs="Times New Roman"/>
          <w:sz w:val="24"/>
          <w:szCs w:val="24"/>
        </w:rPr>
        <w:t xml:space="preserve"> e</w:t>
      </w:r>
      <w:r w:rsidR="00973F32" w:rsidRPr="00973F32">
        <w:rPr>
          <w:rFonts w:ascii="Times New Roman" w:hAnsi="Times New Roman" w:cs="Times New Roman"/>
          <w:sz w:val="24"/>
          <w:szCs w:val="24"/>
        </w:rPr>
        <w:t xml:space="preserve"> </w:t>
      </w:r>
      <w:r w:rsidR="006B4F9D" w:rsidRPr="00132B85">
        <w:rPr>
          <w:rFonts w:ascii="Times New Roman" w:hAnsi="Times New Roman" w:cs="Times New Roman"/>
          <w:sz w:val="24"/>
          <w:szCs w:val="24"/>
        </w:rPr>
        <w:t>impediscono una piena realizzazione della persona e una compiuta partecipazione alla vita associata.</w:t>
      </w:r>
    </w:p>
    <w:p w14:paraId="6E7FA5AA" w14:textId="347B4B31" w:rsidR="006A6224" w:rsidRPr="00132B85" w:rsidRDefault="00233F5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La disabilità è una condizione complessa, </w:t>
      </w:r>
      <w:r w:rsidR="005A258D">
        <w:rPr>
          <w:rFonts w:ascii="Times New Roman" w:hAnsi="Times New Roman" w:cs="Times New Roman"/>
          <w:sz w:val="24"/>
          <w:szCs w:val="24"/>
        </w:rPr>
        <w:t xml:space="preserve">sulla quale incidono diversi fattori, da quelli strettamente sanitari a </w:t>
      </w:r>
      <w:r w:rsidRPr="00132B85">
        <w:rPr>
          <w:rFonts w:ascii="Times New Roman" w:hAnsi="Times New Roman" w:cs="Times New Roman"/>
          <w:sz w:val="24"/>
          <w:szCs w:val="24"/>
        </w:rPr>
        <w:t xml:space="preserve">fattori sociali e ambientali </w:t>
      </w:r>
      <w:r w:rsidR="00143817" w:rsidRPr="00132B85">
        <w:rPr>
          <w:rFonts w:ascii="Times New Roman" w:hAnsi="Times New Roman" w:cs="Times New Roman"/>
          <w:sz w:val="24"/>
          <w:szCs w:val="24"/>
        </w:rPr>
        <w:t xml:space="preserve">che si pongono come </w:t>
      </w:r>
      <w:r w:rsidR="005A258D">
        <w:rPr>
          <w:rFonts w:ascii="Times New Roman" w:hAnsi="Times New Roman" w:cs="Times New Roman"/>
          <w:sz w:val="24"/>
          <w:szCs w:val="24"/>
        </w:rPr>
        <w:t xml:space="preserve">ulteriori </w:t>
      </w:r>
      <w:r w:rsidR="00143817" w:rsidRPr="00132B85">
        <w:rPr>
          <w:rFonts w:ascii="Times New Roman" w:hAnsi="Times New Roman" w:cs="Times New Roman"/>
          <w:sz w:val="24"/>
          <w:szCs w:val="24"/>
        </w:rPr>
        <w:t>ostacoli al pieno sviluppo della persona</w:t>
      </w:r>
      <w:r w:rsidRPr="00132B85">
        <w:rPr>
          <w:rFonts w:ascii="Times New Roman" w:hAnsi="Times New Roman" w:cs="Times New Roman"/>
          <w:sz w:val="24"/>
          <w:szCs w:val="24"/>
        </w:rPr>
        <w:t xml:space="preserve">. </w:t>
      </w:r>
    </w:p>
    <w:p w14:paraId="2E8084FD" w14:textId="42728B2C" w:rsidR="006A6224" w:rsidRPr="00132B85" w:rsidRDefault="006A6224"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Vale la pena ripercorrere </w:t>
      </w:r>
      <w:r w:rsidR="002C417C">
        <w:rPr>
          <w:rFonts w:ascii="Times New Roman" w:hAnsi="Times New Roman" w:cs="Times New Roman"/>
          <w:sz w:val="24"/>
          <w:szCs w:val="24"/>
        </w:rPr>
        <w:t>sinteticamente</w:t>
      </w:r>
      <w:r w:rsidRPr="00132B85">
        <w:rPr>
          <w:rFonts w:ascii="Times New Roman" w:hAnsi="Times New Roman" w:cs="Times New Roman"/>
          <w:sz w:val="24"/>
          <w:szCs w:val="24"/>
        </w:rPr>
        <w:t xml:space="preserve"> l’evoluzione del concetto di disabilità negli ultimi decenni, onde evidenziare il tipo di prestazioni necessarie a garantire l’effettività dei diritti fondamentali delle persone con disabilità</w:t>
      </w:r>
      <w:r w:rsidR="00BB34DC" w:rsidRPr="00132B85">
        <w:rPr>
          <w:rFonts w:ascii="Times New Roman" w:hAnsi="Times New Roman" w:cs="Times New Roman"/>
          <w:sz w:val="24"/>
          <w:szCs w:val="24"/>
        </w:rPr>
        <w:t>.</w:t>
      </w:r>
    </w:p>
    <w:p w14:paraId="24E5CFF5" w14:textId="0524CDA4" w:rsidR="00DE3BB5"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Per rappresentare una condizione di disabilità è stato per molto tempo utilizzato il termine </w:t>
      </w:r>
      <w:r w:rsidRPr="00132B85">
        <w:rPr>
          <w:rFonts w:ascii="Times New Roman" w:hAnsi="Times New Roman" w:cs="Times New Roman"/>
          <w:i/>
          <w:iCs/>
          <w:sz w:val="24"/>
          <w:szCs w:val="24"/>
        </w:rPr>
        <w:t>handicap</w:t>
      </w:r>
      <w:r w:rsidR="003376BE" w:rsidRPr="00132B85">
        <w:rPr>
          <w:rStyle w:val="Rimandonotaapidipagina"/>
          <w:rFonts w:ascii="Times New Roman" w:hAnsi="Times New Roman" w:cs="Times New Roman"/>
          <w:i/>
          <w:iCs/>
          <w:sz w:val="24"/>
          <w:szCs w:val="24"/>
        </w:rPr>
        <w:footnoteReference w:id="12"/>
      </w:r>
      <w:r w:rsidRPr="00132B85">
        <w:rPr>
          <w:rFonts w:ascii="Times New Roman" w:hAnsi="Times New Roman" w:cs="Times New Roman"/>
          <w:sz w:val="24"/>
          <w:szCs w:val="24"/>
        </w:rPr>
        <w:t>.</w:t>
      </w:r>
    </w:p>
    <w:p w14:paraId="622D1964" w14:textId="513A661E" w:rsidR="00DE3BB5"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t>Esso, ancora oggi, d</w:t>
      </w:r>
      <w:r w:rsidR="003376BE" w:rsidRPr="00132B85">
        <w:rPr>
          <w:rFonts w:ascii="Times New Roman" w:hAnsi="Times New Roman" w:cs="Times New Roman"/>
          <w:sz w:val="24"/>
          <w:szCs w:val="24"/>
        </w:rPr>
        <w:t>à il titolo alla legge n.</w:t>
      </w:r>
      <w:r w:rsidRPr="00132B85">
        <w:rPr>
          <w:rFonts w:ascii="Times New Roman" w:hAnsi="Times New Roman" w:cs="Times New Roman"/>
          <w:sz w:val="24"/>
          <w:szCs w:val="24"/>
        </w:rPr>
        <w:t xml:space="preserve"> 104</w:t>
      </w:r>
      <w:r w:rsidR="003376BE" w:rsidRPr="00132B85">
        <w:rPr>
          <w:rFonts w:ascii="Times New Roman" w:hAnsi="Times New Roman" w:cs="Times New Roman"/>
          <w:sz w:val="24"/>
          <w:szCs w:val="24"/>
        </w:rPr>
        <w:t xml:space="preserve"> del </w:t>
      </w:r>
      <w:r w:rsidRPr="00132B85">
        <w:rPr>
          <w:rFonts w:ascii="Times New Roman" w:hAnsi="Times New Roman" w:cs="Times New Roman"/>
          <w:sz w:val="24"/>
          <w:szCs w:val="24"/>
        </w:rPr>
        <w:t xml:space="preserve">1992, </w:t>
      </w:r>
      <w:r w:rsidRPr="005A258D">
        <w:rPr>
          <w:rFonts w:ascii="Times New Roman" w:hAnsi="Times New Roman" w:cs="Times New Roman"/>
          <w:sz w:val="24"/>
          <w:szCs w:val="24"/>
        </w:rPr>
        <w:t>la “</w:t>
      </w:r>
      <w:r w:rsidRPr="005A258D">
        <w:rPr>
          <w:rFonts w:ascii="Times New Roman" w:hAnsi="Times New Roman" w:cs="Times New Roman"/>
          <w:i/>
          <w:iCs/>
          <w:sz w:val="24"/>
          <w:szCs w:val="24"/>
        </w:rPr>
        <w:t>Legge-quadro per l’assistenza, l’integrazione sociale e i diritti delle persone handicappate</w:t>
      </w:r>
      <w:r w:rsidRPr="005A258D">
        <w:rPr>
          <w:rFonts w:ascii="Times New Roman" w:hAnsi="Times New Roman" w:cs="Times New Roman"/>
          <w:sz w:val="24"/>
          <w:szCs w:val="24"/>
        </w:rPr>
        <w:t xml:space="preserve">”, anche se il termine è </w:t>
      </w:r>
      <w:r w:rsidR="003376BE" w:rsidRPr="005A258D">
        <w:rPr>
          <w:rFonts w:ascii="Times New Roman" w:hAnsi="Times New Roman" w:cs="Times New Roman"/>
          <w:sz w:val="24"/>
          <w:szCs w:val="24"/>
        </w:rPr>
        <w:t xml:space="preserve">ormai </w:t>
      </w:r>
      <w:r w:rsidRPr="005A258D">
        <w:rPr>
          <w:rFonts w:ascii="Times New Roman" w:hAnsi="Times New Roman" w:cs="Times New Roman"/>
          <w:sz w:val="24"/>
          <w:szCs w:val="24"/>
        </w:rPr>
        <w:t>da ritenersi sostituito ai sensi del</w:t>
      </w:r>
      <w:r w:rsidR="005A258D" w:rsidRPr="005A258D">
        <w:rPr>
          <w:rFonts w:ascii="Times New Roman" w:hAnsi="Times New Roman" w:cs="Times New Roman"/>
          <w:sz w:val="24"/>
          <w:szCs w:val="24"/>
        </w:rPr>
        <w:t xml:space="preserve"> d.l</w:t>
      </w:r>
      <w:r w:rsidR="009D7DE3">
        <w:rPr>
          <w:rFonts w:ascii="Times New Roman" w:hAnsi="Times New Roman" w:cs="Times New Roman"/>
          <w:sz w:val="24"/>
          <w:szCs w:val="24"/>
        </w:rPr>
        <w:t>egisl.</w:t>
      </w:r>
      <w:r w:rsidR="005A258D" w:rsidRPr="005A258D">
        <w:rPr>
          <w:rFonts w:ascii="Times New Roman" w:hAnsi="Times New Roman" w:cs="Times New Roman"/>
          <w:sz w:val="24"/>
          <w:szCs w:val="24"/>
        </w:rPr>
        <w:t xml:space="preserve"> 3 maggio 2024, n. 62 d</w:t>
      </w:r>
      <w:r w:rsidRPr="005A258D">
        <w:rPr>
          <w:rFonts w:ascii="Times New Roman" w:hAnsi="Times New Roman" w:cs="Times New Roman"/>
          <w:sz w:val="24"/>
          <w:szCs w:val="24"/>
        </w:rPr>
        <w:t>a “persona con disabilità”</w:t>
      </w:r>
      <w:r w:rsidR="005A258D">
        <w:rPr>
          <w:rStyle w:val="Rimandonotaapidipagina"/>
          <w:rFonts w:ascii="Times New Roman" w:hAnsi="Times New Roman" w:cs="Times New Roman"/>
          <w:sz w:val="24"/>
          <w:szCs w:val="24"/>
        </w:rPr>
        <w:footnoteReference w:id="13"/>
      </w:r>
      <w:r w:rsidRPr="005A258D">
        <w:rPr>
          <w:rFonts w:ascii="Times New Roman" w:hAnsi="Times New Roman" w:cs="Times New Roman"/>
          <w:sz w:val="24"/>
          <w:szCs w:val="24"/>
        </w:rPr>
        <w:t>.</w:t>
      </w:r>
    </w:p>
    <w:p w14:paraId="0E2CAB43" w14:textId="43C82D68" w:rsidR="00731334" w:rsidRPr="00132B85" w:rsidRDefault="00731334" w:rsidP="00E65B62">
      <w:pPr>
        <w:jc w:val="both"/>
        <w:rPr>
          <w:rFonts w:ascii="Times New Roman" w:hAnsi="Times New Roman" w:cs="Times New Roman"/>
          <w:sz w:val="24"/>
          <w:szCs w:val="24"/>
        </w:rPr>
      </w:pPr>
      <w:r w:rsidRPr="00132B85">
        <w:rPr>
          <w:rFonts w:ascii="Times New Roman" w:hAnsi="Times New Roman" w:cs="Times New Roman"/>
          <w:sz w:val="24"/>
          <w:szCs w:val="24"/>
        </w:rPr>
        <w:lastRenderedPageBreak/>
        <w:t>Risale al 1970 la prima classificazione</w:t>
      </w:r>
      <w:r w:rsidR="00D47EFE" w:rsidRPr="00132B85">
        <w:rPr>
          <w:rStyle w:val="Rimandonotaapidipagina"/>
          <w:rFonts w:ascii="Times New Roman" w:hAnsi="Times New Roman" w:cs="Times New Roman"/>
          <w:sz w:val="24"/>
          <w:szCs w:val="24"/>
        </w:rPr>
        <w:footnoteReference w:id="14"/>
      </w:r>
      <w:r w:rsidRPr="00132B85">
        <w:rPr>
          <w:rFonts w:ascii="Times New Roman" w:hAnsi="Times New Roman" w:cs="Times New Roman"/>
          <w:sz w:val="24"/>
          <w:szCs w:val="24"/>
        </w:rPr>
        <w:t xml:space="preserve"> sulla disabilità elaborata dall’Organizzazione Mondiale della Sanità (OMS) inerente le patologie organiche, psichiche e comportamentali delle popolazioni</w:t>
      </w:r>
      <w:r w:rsidR="00BB34DC" w:rsidRPr="00132B85">
        <w:rPr>
          <w:rFonts w:ascii="Times New Roman" w:hAnsi="Times New Roman" w:cs="Times New Roman"/>
          <w:sz w:val="24"/>
          <w:szCs w:val="24"/>
        </w:rPr>
        <w:t xml:space="preserve"> per </w:t>
      </w:r>
      <w:r w:rsidRPr="00132B85">
        <w:rPr>
          <w:rFonts w:ascii="Times New Roman" w:hAnsi="Times New Roman" w:cs="Times New Roman"/>
          <w:sz w:val="24"/>
          <w:szCs w:val="24"/>
        </w:rPr>
        <w:t>migliorare la qualità de</w:t>
      </w:r>
      <w:r w:rsidR="00BB34DC" w:rsidRPr="00132B85">
        <w:rPr>
          <w:rFonts w:ascii="Times New Roman" w:hAnsi="Times New Roman" w:cs="Times New Roman"/>
          <w:sz w:val="24"/>
          <w:szCs w:val="24"/>
        </w:rPr>
        <w:t>lla diagnosi di tali patologie.</w:t>
      </w:r>
    </w:p>
    <w:p w14:paraId="438C4581" w14:textId="77777777" w:rsidR="00F8693A" w:rsidRDefault="00BB34DC" w:rsidP="00F8693A">
      <w:pPr>
        <w:jc w:val="both"/>
        <w:rPr>
          <w:rFonts w:ascii="Times New Roman" w:hAnsi="Times New Roman" w:cs="Times New Roman"/>
          <w:sz w:val="24"/>
          <w:szCs w:val="24"/>
        </w:rPr>
      </w:pPr>
      <w:r w:rsidRPr="00132B85">
        <w:rPr>
          <w:rFonts w:ascii="Times New Roman" w:hAnsi="Times New Roman" w:cs="Times New Roman"/>
          <w:sz w:val="24"/>
          <w:szCs w:val="24"/>
        </w:rPr>
        <w:t>Secondo questa prima classificazione l</w:t>
      </w:r>
      <w:r w:rsidR="00D47EFE" w:rsidRPr="00132B85">
        <w:rPr>
          <w:rFonts w:ascii="Times New Roman" w:hAnsi="Times New Roman" w:cs="Times New Roman"/>
          <w:sz w:val="24"/>
          <w:szCs w:val="24"/>
        </w:rPr>
        <w:t xml:space="preserve">a ripartizione tra patologie organiche, psichiche e comportamentali, seguendo un modello medico, si fondava essenzialmente sulla </w:t>
      </w:r>
      <w:r w:rsidR="00731334" w:rsidRPr="00132B85">
        <w:rPr>
          <w:rFonts w:ascii="Times New Roman" w:hAnsi="Times New Roman" w:cs="Times New Roman"/>
          <w:sz w:val="24"/>
          <w:szCs w:val="24"/>
        </w:rPr>
        <w:t xml:space="preserve">causa delle patologie, </w:t>
      </w:r>
      <w:r w:rsidRPr="00132B85">
        <w:rPr>
          <w:rFonts w:ascii="Times New Roman" w:hAnsi="Times New Roman" w:cs="Times New Roman"/>
          <w:sz w:val="24"/>
          <w:szCs w:val="24"/>
        </w:rPr>
        <w:t>per fornire infine</w:t>
      </w:r>
      <w:r w:rsidR="00731334" w:rsidRPr="00132B85">
        <w:rPr>
          <w:rFonts w:ascii="Times New Roman" w:hAnsi="Times New Roman" w:cs="Times New Roman"/>
          <w:sz w:val="24"/>
          <w:szCs w:val="24"/>
        </w:rPr>
        <w:t xml:space="preserve"> </w:t>
      </w:r>
      <w:r w:rsidR="00D47EFE" w:rsidRPr="00132B85">
        <w:rPr>
          <w:rFonts w:ascii="Times New Roman" w:hAnsi="Times New Roman" w:cs="Times New Roman"/>
          <w:sz w:val="24"/>
          <w:szCs w:val="24"/>
        </w:rPr>
        <w:t>una specifica indicazione</w:t>
      </w:r>
      <w:r w:rsidR="00731334" w:rsidRPr="00132B85">
        <w:rPr>
          <w:rFonts w:ascii="Times New Roman" w:hAnsi="Times New Roman" w:cs="Times New Roman"/>
          <w:sz w:val="24"/>
          <w:szCs w:val="24"/>
        </w:rPr>
        <w:t xml:space="preserve"> diagnostic</w:t>
      </w:r>
      <w:r w:rsidR="00D47EFE" w:rsidRPr="00132B85">
        <w:rPr>
          <w:rFonts w:ascii="Times New Roman" w:hAnsi="Times New Roman" w:cs="Times New Roman"/>
          <w:sz w:val="24"/>
          <w:szCs w:val="24"/>
        </w:rPr>
        <w:t>a e di cura</w:t>
      </w:r>
      <w:r w:rsidR="002C417C">
        <w:rPr>
          <w:rFonts w:ascii="Times New Roman" w:hAnsi="Times New Roman" w:cs="Times New Roman"/>
          <w:sz w:val="24"/>
          <w:szCs w:val="24"/>
        </w:rPr>
        <w:t>, rimanendo nello stretto ambito sanitario</w:t>
      </w:r>
      <w:r w:rsidR="00F8693A">
        <w:rPr>
          <w:rFonts w:ascii="Times New Roman" w:hAnsi="Times New Roman" w:cs="Times New Roman"/>
          <w:sz w:val="24"/>
          <w:szCs w:val="24"/>
        </w:rPr>
        <w:t xml:space="preserve"> senza in alcun modo considerare gli aspetti esistenziali e sociali.</w:t>
      </w:r>
    </w:p>
    <w:p w14:paraId="0C33AE58" w14:textId="7138FE5F" w:rsidR="00635FD9" w:rsidRPr="00132B85" w:rsidRDefault="00D47EFE"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Con la successiva </w:t>
      </w:r>
      <w:r w:rsidR="00731334" w:rsidRPr="00132B85">
        <w:rPr>
          <w:rFonts w:ascii="Times New Roman" w:hAnsi="Times New Roman" w:cs="Times New Roman"/>
          <w:sz w:val="24"/>
          <w:szCs w:val="24"/>
        </w:rPr>
        <w:t>“Classificazione Internazionale delle Menomazioni, delle Disabilità e degli Svantaggi Esistenziali” (</w:t>
      </w:r>
      <w:r w:rsidR="00731334" w:rsidRPr="00132B85">
        <w:rPr>
          <w:rFonts w:ascii="Times New Roman" w:hAnsi="Times New Roman" w:cs="Times New Roman"/>
          <w:i/>
          <w:iCs/>
          <w:sz w:val="24"/>
          <w:szCs w:val="24"/>
        </w:rPr>
        <w:t>International Classification of Impairement Disabilities and Handicaps</w:t>
      </w:r>
      <w:r w:rsidR="00731334" w:rsidRPr="00132B85">
        <w:rPr>
          <w:rFonts w:ascii="Times New Roman" w:hAnsi="Times New Roman" w:cs="Times New Roman"/>
          <w:sz w:val="24"/>
          <w:szCs w:val="24"/>
        </w:rPr>
        <w:t xml:space="preserve">: ICIDH-1), </w:t>
      </w:r>
      <w:r w:rsidRPr="00132B85">
        <w:rPr>
          <w:rFonts w:ascii="Times New Roman" w:hAnsi="Times New Roman" w:cs="Times New Roman"/>
          <w:sz w:val="24"/>
          <w:szCs w:val="24"/>
        </w:rPr>
        <w:t xml:space="preserve">l’OMS </w:t>
      </w:r>
      <w:r w:rsidR="00731334" w:rsidRPr="00132B85">
        <w:rPr>
          <w:rFonts w:ascii="Times New Roman" w:hAnsi="Times New Roman" w:cs="Times New Roman"/>
          <w:sz w:val="24"/>
          <w:szCs w:val="24"/>
        </w:rPr>
        <w:t>distin</w:t>
      </w:r>
      <w:r w:rsidRPr="00132B85">
        <w:rPr>
          <w:rFonts w:ascii="Times New Roman" w:hAnsi="Times New Roman" w:cs="Times New Roman"/>
          <w:sz w:val="24"/>
          <w:szCs w:val="24"/>
        </w:rPr>
        <w:t>se tra</w:t>
      </w:r>
      <w:r w:rsidR="00731334" w:rsidRPr="00132B85">
        <w:rPr>
          <w:rFonts w:ascii="Times New Roman" w:hAnsi="Times New Roman" w:cs="Times New Roman"/>
          <w:sz w:val="24"/>
          <w:szCs w:val="24"/>
        </w:rPr>
        <w:t xml:space="preserve"> menomazione, disabilità, ed </w:t>
      </w:r>
      <w:r w:rsidR="00731334" w:rsidRPr="00132B85">
        <w:rPr>
          <w:rFonts w:ascii="Times New Roman" w:hAnsi="Times New Roman" w:cs="Times New Roman"/>
          <w:i/>
          <w:iCs/>
          <w:sz w:val="24"/>
          <w:szCs w:val="24"/>
        </w:rPr>
        <w:t>handicap</w:t>
      </w:r>
      <w:r w:rsidR="00635FD9" w:rsidRPr="00132B85">
        <w:rPr>
          <w:rStyle w:val="Rimandonotaapidipagina"/>
          <w:rFonts w:ascii="Times New Roman" w:hAnsi="Times New Roman" w:cs="Times New Roman"/>
          <w:i/>
          <w:iCs/>
          <w:sz w:val="24"/>
          <w:szCs w:val="24"/>
        </w:rPr>
        <w:footnoteReference w:id="15"/>
      </w:r>
      <w:r w:rsidRPr="00132B85">
        <w:rPr>
          <w:rFonts w:ascii="Times New Roman" w:hAnsi="Times New Roman" w:cs="Times New Roman"/>
          <w:i/>
          <w:iCs/>
          <w:sz w:val="24"/>
          <w:szCs w:val="24"/>
        </w:rPr>
        <w:t>,</w:t>
      </w:r>
      <w:r w:rsidRPr="00F8693A">
        <w:rPr>
          <w:rFonts w:ascii="Times New Roman" w:hAnsi="Times New Roman" w:cs="Times New Roman"/>
          <w:iCs/>
          <w:sz w:val="24"/>
          <w:szCs w:val="24"/>
        </w:rPr>
        <w:t xml:space="preserve"> </w:t>
      </w:r>
      <w:r w:rsidR="00F8693A" w:rsidRPr="00F8693A">
        <w:rPr>
          <w:rFonts w:ascii="Times New Roman" w:hAnsi="Times New Roman" w:cs="Times New Roman"/>
          <w:iCs/>
          <w:sz w:val="24"/>
          <w:szCs w:val="24"/>
        </w:rPr>
        <w:t xml:space="preserve">ma ancora trascurando </w:t>
      </w:r>
      <w:r w:rsidR="00635FD9" w:rsidRPr="00132B85">
        <w:rPr>
          <w:rFonts w:ascii="Times New Roman" w:hAnsi="Times New Roman" w:cs="Times New Roman"/>
          <w:sz w:val="24"/>
          <w:szCs w:val="24"/>
        </w:rPr>
        <w:t>l’ambiente fisico e sociale all’origine dell’</w:t>
      </w:r>
      <w:r w:rsidR="00635FD9" w:rsidRPr="00132B85">
        <w:rPr>
          <w:rFonts w:ascii="Times New Roman" w:hAnsi="Times New Roman" w:cs="Times New Roman"/>
          <w:i/>
          <w:iCs/>
          <w:sz w:val="24"/>
          <w:szCs w:val="24"/>
        </w:rPr>
        <w:t>handicap</w:t>
      </w:r>
      <w:r w:rsidR="00635FD9" w:rsidRPr="00132B85">
        <w:rPr>
          <w:rFonts w:ascii="Times New Roman" w:hAnsi="Times New Roman" w:cs="Times New Roman"/>
          <w:sz w:val="24"/>
          <w:szCs w:val="24"/>
        </w:rPr>
        <w:t>.</w:t>
      </w:r>
      <w:r w:rsidR="00BB34DC" w:rsidRPr="00132B85">
        <w:rPr>
          <w:rFonts w:ascii="Times New Roman" w:hAnsi="Times New Roman" w:cs="Times New Roman"/>
          <w:sz w:val="24"/>
          <w:szCs w:val="24"/>
        </w:rPr>
        <w:t xml:space="preserve"> </w:t>
      </w:r>
      <w:r w:rsidR="00D05105" w:rsidRPr="00132B85">
        <w:rPr>
          <w:rFonts w:ascii="Times New Roman" w:hAnsi="Times New Roman" w:cs="Times New Roman"/>
          <w:sz w:val="24"/>
          <w:szCs w:val="24"/>
        </w:rPr>
        <w:t xml:space="preserve">L’approccio restava quello </w:t>
      </w:r>
      <w:r w:rsidR="00635FD9" w:rsidRPr="00132B85">
        <w:rPr>
          <w:rFonts w:ascii="Times New Roman" w:hAnsi="Times New Roman" w:cs="Times New Roman"/>
          <w:sz w:val="24"/>
          <w:szCs w:val="24"/>
        </w:rPr>
        <w:t>biomedico, concentrato sulla patologia e sui fattori biologici interni all’organismo, anziché sull</w:t>
      </w:r>
      <w:r w:rsidR="00D05105" w:rsidRPr="00132B85">
        <w:rPr>
          <w:rFonts w:ascii="Times New Roman" w:hAnsi="Times New Roman" w:cs="Times New Roman"/>
          <w:sz w:val="24"/>
          <w:szCs w:val="24"/>
        </w:rPr>
        <w:t>a persona</w:t>
      </w:r>
      <w:r w:rsidR="00635FD9" w:rsidRPr="00132B85">
        <w:rPr>
          <w:rFonts w:ascii="Times New Roman" w:hAnsi="Times New Roman" w:cs="Times New Roman"/>
          <w:sz w:val="24"/>
          <w:szCs w:val="24"/>
        </w:rPr>
        <w:t>.</w:t>
      </w:r>
    </w:p>
    <w:p w14:paraId="727F19E0" w14:textId="1CE1242E" w:rsidR="00635FD9" w:rsidRPr="00132B85" w:rsidRDefault="00D05105" w:rsidP="00E65B62">
      <w:pPr>
        <w:jc w:val="both"/>
        <w:rPr>
          <w:rFonts w:ascii="Times New Roman" w:hAnsi="Times New Roman" w:cs="Times New Roman"/>
          <w:sz w:val="24"/>
          <w:szCs w:val="24"/>
        </w:rPr>
      </w:pPr>
      <w:r w:rsidRPr="00132B85">
        <w:rPr>
          <w:rFonts w:ascii="Times New Roman" w:hAnsi="Times New Roman" w:cs="Times New Roman"/>
          <w:sz w:val="24"/>
          <w:szCs w:val="24"/>
        </w:rPr>
        <w:t>Solo nel 1997 con l’aggiornamento della classificazione I</w:t>
      </w:r>
      <w:r w:rsidR="00635FD9" w:rsidRPr="00132B85">
        <w:rPr>
          <w:rFonts w:ascii="Times New Roman" w:hAnsi="Times New Roman" w:cs="Times New Roman"/>
          <w:sz w:val="24"/>
          <w:szCs w:val="24"/>
        </w:rPr>
        <w:t>CIDH-2 (</w:t>
      </w:r>
      <w:r w:rsidR="00635FD9" w:rsidRPr="00132B85">
        <w:rPr>
          <w:rFonts w:ascii="Times New Roman" w:hAnsi="Times New Roman" w:cs="Times New Roman"/>
          <w:i/>
          <w:iCs/>
          <w:sz w:val="24"/>
          <w:szCs w:val="24"/>
        </w:rPr>
        <w:t>International Classification of Impairments, Activities and Partecipation</w:t>
      </w:r>
      <w:r w:rsidR="00635FD9" w:rsidRPr="00132B85">
        <w:rPr>
          <w:rFonts w:ascii="Times New Roman" w:hAnsi="Times New Roman" w:cs="Times New Roman"/>
          <w:sz w:val="24"/>
          <w:szCs w:val="24"/>
        </w:rPr>
        <w:t>)</w:t>
      </w:r>
      <w:r w:rsidRPr="00132B85">
        <w:rPr>
          <w:rFonts w:ascii="Times New Roman" w:hAnsi="Times New Roman" w:cs="Times New Roman"/>
          <w:sz w:val="24"/>
          <w:szCs w:val="24"/>
        </w:rPr>
        <w:t>, le disabilità sono state rivalutate in termini di “attività personali”</w:t>
      </w:r>
      <w:r w:rsidR="00635FD9" w:rsidRPr="00132B85">
        <w:rPr>
          <w:rFonts w:ascii="Times New Roman" w:hAnsi="Times New Roman" w:cs="Times New Roman"/>
          <w:sz w:val="24"/>
          <w:szCs w:val="24"/>
        </w:rPr>
        <w:t xml:space="preserve"> e gli </w:t>
      </w:r>
      <w:r w:rsidR="00635FD9" w:rsidRPr="00132B85">
        <w:rPr>
          <w:rFonts w:ascii="Times New Roman" w:hAnsi="Times New Roman" w:cs="Times New Roman"/>
          <w:i/>
          <w:iCs/>
          <w:sz w:val="24"/>
          <w:szCs w:val="24"/>
        </w:rPr>
        <w:t>handicap</w:t>
      </w:r>
      <w:r w:rsidRPr="00132B85">
        <w:rPr>
          <w:rFonts w:ascii="Times New Roman" w:hAnsi="Times New Roman" w:cs="Times New Roman"/>
          <w:sz w:val="24"/>
          <w:szCs w:val="24"/>
        </w:rPr>
        <w:t xml:space="preserve"> </w:t>
      </w:r>
      <w:r w:rsidR="00F8693A">
        <w:rPr>
          <w:rFonts w:ascii="Times New Roman" w:hAnsi="Times New Roman" w:cs="Times New Roman"/>
          <w:sz w:val="24"/>
          <w:szCs w:val="24"/>
        </w:rPr>
        <w:t xml:space="preserve">alla stregua </w:t>
      </w:r>
      <w:r w:rsidR="00635FD9" w:rsidRPr="00132B85">
        <w:rPr>
          <w:rFonts w:ascii="Times New Roman" w:hAnsi="Times New Roman" w:cs="Times New Roman"/>
          <w:sz w:val="24"/>
          <w:szCs w:val="24"/>
        </w:rPr>
        <w:t>di diversa “partecipazione sociale”.</w:t>
      </w:r>
    </w:p>
    <w:p w14:paraId="78654428" w14:textId="17890958" w:rsidR="00912F0F" w:rsidRPr="00132B85" w:rsidRDefault="00912F0F" w:rsidP="00E65B62">
      <w:pPr>
        <w:jc w:val="both"/>
        <w:rPr>
          <w:rFonts w:ascii="Times New Roman" w:hAnsi="Times New Roman" w:cs="Times New Roman"/>
          <w:sz w:val="24"/>
          <w:szCs w:val="24"/>
        </w:rPr>
      </w:pPr>
      <w:r w:rsidRPr="00132B85">
        <w:rPr>
          <w:rFonts w:ascii="Times New Roman" w:hAnsi="Times New Roman" w:cs="Times New Roman"/>
          <w:sz w:val="24"/>
          <w:szCs w:val="24"/>
        </w:rPr>
        <w:t>In Italia la legge 5 febbraio 1992, n. 104</w:t>
      </w:r>
      <w:r w:rsidR="00F8693A">
        <w:rPr>
          <w:rFonts w:ascii="Times New Roman" w:hAnsi="Times New Roman" w:cs="Times New Roman"/>
          <w:sz w:val="24"/>
          <w:szCs w:val="24"/>
        </w:rPr>
        <w:t>,</w:t>
      </w:r>
      <w:r w:rsidRPr="00132B85">
        <w:rPr>
          <w:rFonts w:ascii="Times New Roman" w:hAnsi="Times New Roman" w:cs="Times New Roman"/>
          <w:sz w:val="24"/>
          <w:szCs w:val="24"/>
        </w:rPr>
        <w:t xml:space="preserve"> per quanto nata in un periodo in cui la componente sociale della disabilità non era ancora emersa nelle classificazioni scientifiche</w:t>
      </w:r>
      <w:r w:rsidR="00BB34DC" w:rsidRPr="00132B85">
        <w:rPr>
          <w:rFonts w:ascii="Times New Roman" w:hAnsi="Times New Roman" w:cs="Times New Roman"/>
          <w:sz w:val="24"/>
          <w:szCs w:val="24"/>
        </w:rPr>
        <w:t xml:space="preserve"> internazionali</w:t>
      </w:r>
      <w:r w:rsidRPr="00132B85">
        <w:rPr>
          <w:rFonts w:ascii="Times New Roman" w:hAnsi="Times New Roman" w:cs="Times New Roman"/>
          <w:sz w:val="24"/>
          <w:szCs w:val="24"/>
        </w:rPr>
        <w:t xml:space="preserve">, appariva </w:t>
      </w:r>
      <w:r w:rsidRPr="00132B85">
        <w:rPr>
          <w:rFonts w:ascii="Times New Roman" w:hAnsi="Times New Roman" w:cs="Times New Roman"/>
          <w:i/>
          <w:sz w:val="24"/>
          <w:szCs w:val="24"/>
        </w:rPr>
        <w:t>in nuce</w:t>
      </w:r>
      <w:r w:rsidRPr="00132B85">
        <w:rPr>
          <w:rFonts w:ascii="Times New Roman" w:hAnsi="Times New Roman" w:cs="Times New Roman"/>
          <w:sz w:val="24"/>
          <w:szCs w:val="24"/>
        </w:rPr>
        <w:t xml:space="preserve"> orientata al raggiungimento di obiettivi bio-psico-sociali, come risulta dalle finalità tracciate nell’art. 1.</w:t>
      </w:r>
    </w:p>
    <w:p w14:paraId="1C649973" w14:textId="0E60DD17" w:rsidR="00912F0F" w:rsidRPr="00132B85" w:rsidRDefault="00912F0F" w:rsidP="00E65B62">
      <w:pPr>
        <w:jc w:val="both"/>
        <w:rPr>
          <w:rFonts w:ascii="Times New Roman" w:hAnsi="Times New Roman" w:cs="Times New Roman"/>
          <w:i/>
          <w:sz w:val="24"/>
          <w:szCs w:val="24"/>
          <w:shd w:val="clear" w:color="auto" w:fill="FFFFFF"/>
        </w:rPr>
      </w:pPr>
      <w:r w:rsidRPr="00132B85">
        <w:rPr>
          <w:rFonts w:ascii="Times New Roman" w:hAnsi="Times New Roman" w:cs="Times New Roman"/>
          <w:sz w:val="24"/>
          <w:szCs w:val="24"/>
        </w:rPr>
        <w:t>Un ruolo fondamentale era stato svolto dalla Corte costituzionale che con la sentenza n. 167 del 1991 aveva rivolto “</w:t>
      </w:r>
      <w:r w:rsidRPr="00132B85">
        <w:rPr>
          <w:rFonts w:ascii="Times New Roman" w:hAnsi="Times New Roman" w:cs="Times New Roman"/>
          <w:i/>
          <w:sz w:val="24"/>
          <w:szCs w:val="24"/>
          <w:shd w:val="clear" w:color="auto" w:fill="FFFFFF"/>
        </w:rPr>
        <w:t>al legislatore stesso la più viva raccomandazione affinché - ove non ritenga di adottare più ampie e addirittura generalizzate misure di protezione degli handicappati - sopperisca all'inadeguatezza posta a carico della disciplina adottata nello specifico settore adempiendo al voto espresso con l'approvazione dell'ordine del giorno sopra richiamato (riferendosi a: “Nel corso della discussione, non si mancò di rilevare che la disposizione, pur costituendo un primo apprezzabile intervento a favore dei portatori di handicap, aveva un ambito di applicazione alquanto ristretto, e di auspicare la predisposizione di un "organico provvedimento" volto ad estendere l'agevolazione fiscale a "tutte le protesi di evidente uso esclusivo dei portatori di handicap". In sede di approvazione della legge, nel testo attuale, venne in effetti approvato dalla Camera, nella seduta del 2 aprile 1986, anche un ordine del giorno di invito al Governo a p</w:t>
      </w:r>
      <w:r w:rsidR="00BB34DC" w:rsidRPr="00132B85">
        <w:rPr>
          <w:rFonts w:ascii="Times New Roman" w:hAnsi="Times New Roman" w:cs="Times New Roman"/>
          <w:i/>
          <w:sz w:val="24"/>
          <w:szCs w:val="24"/>
          <w:shd w:val="clear" w:color="auto" w:fill="FFFFFF"/>
        </w:rPr>
        <w:t>rovvedere nei sensi suindicati”</w:t>
      </w:r>
      <w:r w:rsidRPr="00132B85">
        <w:rPr>
          <w:rFonts w:ascii="Times New Roman" w:hAnsi="Times New Roman" w:cs="Times New Roman"/>
          <w:i/>
          <w:sz w:val="24"/>
          <w:szCs w:val="24"/>
          <w:shd w:val="clear" w:color="auto" w:fill="FFFFFF"/>
        </w:rPr>
        <w:t>)</w:t>
      </w:r>
      <w:r w:rsidR="00BB34DC" w:rsidRPr="00132B85">
        <w:rPr>
          <w:rFonts w:ascii="Times New Roman" w:hAnsi="Times New Roman" w:cs="Times New Roman"/>
          <w:i/>
          <w:sz w:val="24"/>
          <w:szCs w:val="24"/>
          <w:shd w:val="clear" w:color="auto" w:fill="FFFFFF"/>
        </w:rPr>
        <w:t>”.</w:t>
      </w:r>
    </w:p>
    <w:p w14:paraId="41BE4990" w14:textId="3BE7742C" w:rsidR="00731334"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Infine </w:t>
      </w:r>
      <w:r w:rsidR="00635FD9" w:rsidRPr="00132B85">
        <w:rPr>
          <w:rFonts w:ascii="Times New Roman" w:hAnsi="Times New Roman" w:cs="Times New Roman"/>
          <w:sz w:val="24"/>
          <w:szCs w:val="24"/>
        </w:rPr>
        <w:t xml:space="preserve">nel 2001 </w:t>
      </w:r>
      <w:r w:rsidRPr="00132B85">
        <w:rPr>
          <w:rFonts w:ascii="Times New Roman" w:hAnsi="Times New Roman" w:cs="Times New Roman"/>
          <w:sz w:val="24"/>
          <w:szCs w:val="24"/>
        </w:rPr>
        <w:t xml:space="preserve">l’OMS </w:t>
      </w:r>
      <w:r w:rsidR="00635FD9" w:rsidRPr="00132B85">
        <w:rPr>
          <w:rFonts w:ascii="Times New Roman" w:hAnsi="Times New Roman" w:cs="Times New Roman"/>
          <w:sz w:val="24"/>
          <w:szCs w:val="24"/>
        </w:rPr>
        <w:t xml:space="preserve">ha </w:t>
      </w:r>
      <w:r w:rsidRPr="00132B85">
        <w:rPr>
          <w:rFonts w:ascii="Times New Roman" w:hAnsi="Times New Roman" w:cs="Times New Roman"/>
          <w:sz w:val="24"/>
          <w:szCs w:val="24"/>
        </w:rPr>
        <w:t>adottato l</w:t>
      </w:r>
      <w:r w:rsidR="00635FD9" w:rsidRPr="00132B85">
        <w:rPr>
          <w:rFonts w:ascii="Times New Roman" w:hAnsi="Times New Roman" w:cs="Times New Roman"/>
          <w:sz w:val="24"/>
          <w:szCs w:val="24"/>
        </w:rPr>
        <w:t xml:space="preserve">a </w:t>
      </w:r>
      <w:r w:rsidR="00635FD9" w:rsidRPr="00132B85">
        <w:rPr>
          <w:rFonts w:ascii="Times New Roman" w:hAnsi="Times New Roman" w:cs="Times New Roman"/>
          <w:i/>
          <w:iCs/>
          <w:sz w:val="24"/>
          <w:szCs w:val="24"/>
        </w:rPr>
        <w:t xml:space="preserve">Classification of Functioning, Disability and Health </w:t>
      </w:r>
      <w:r w:rsidR="00635FD9" w:rsidRPr="00132B85">
        <w:rPr>
          <w:rFonts w:ascii="Times New Roman" w:hAnsi="Times New Roman" w:cs="Times New Roman"/>
          <w:sz w:val="24"/>
          <w:szCs w:val="24"/>
        </w:rPr>
        <w:t>(Classificazione Internazionale del Funzionamento, della Disabilità e della Salute, ICF)</w:t>
      </w:r>
      <w:r w:rsidRPr="00132B85">
        <w:rPr>
          <w:rFonts w:ascii="Times New Roman" w:hAnsi="Times New Roman" w:cs="Times New Roman"/>
          <w:sz w:val="24"/>
          <w:szCs w:val="24"/>
        </w:rPr>
        <w:t xml:space="preserve">, determinando </w:t>
      </w:r>
      <w:r w:rsidR="00635FD9" w:rsidRPr="00132B85">
        <w:rPr>
          <w:rFonts w:ascii="Times New Roman" w:hAnsi="Times New Roman" w:cs="Times New Roman"/>
          <w:sz w:val="24"/>
          <w:szCs w:val="24"/>
        </w:rPr>
        <w:t>il superamento dell’impostazione rivolta esclusivamente alla valutazione delle condizioni di salute da un punto di vista medico</w:t>
      </w:r>
      <w:r w:rsidRPr="00132B85">
        <w:rPr>
          <w:rFonts w:ascii="Times New Roman" w:hAnsi="Times New Roman" w:cs="Times New Roman"/>
          <w:sz w:val="24"/>
          <w:szCs w:val="24"/>
        </w:rPr>
        <w:t xml:space="preserve">. </w:t>
      </w:r>
      <w:r w:rsidR="0013178A" w:rsidRPr="00132B85">
        <w:rPr>
          <w:rFonts w:ascii="Times New Roman" w:hAnsi="Times New Roman" w:cs="Times New Roman"/>
          <w:sz w:val="24"/>
          <w:szCs w:val="24"/>
        </w:rPr>
        <w:t>È</w:t>
      </w:r>
      <w:r w:rsidRPr="00132B85">
        <w:rPr>
          <w:rFonts w:ascii="Times New Roman" w:hAnsi="Times New Roman" w:cs="Times New Roman"/>
          <w:sz w:val="24"/>
          <w:szCs w:val="24"/>
        </w:rPr>
        <w:t xml:space="preserve"> difatti ivi </w:t>
      </w:r>
      <w:r w:rsidR="00635FD9" w:rsidRPr="00132B85">
        <w:rPr>
          <w:rFonts w:ascii="Times New Roman" w:hAnsi="Times New Roman" w:cs="Times New Roman"/>
          <w:sz w:val="24"/>
          <w:szCs w:val="24"/>
        </w:rPr>
        <w:t xml:space="preserve">affermato un modello sociale, </w:t>
      </w:r>
      <w:r w:rsidRPr="00132B85">
        <w:rPr>
          <w:rFonts w:ascii="Times New Roman" w:hAnsi="Times New Roman" w:cs="Times New Roman"/>
          <w:sz w:val="24"/>
          <w:szCs w:val="24"/>
        </w:rPr>
        <w:t xml:space="preserve">dove è </w:t>
      </w:r>
      <w:r w:rsidRPr="00132B85">
        <w:rPr>
          <w:rFonts w:ascii="Times New Roman" w:hAnsi="Times New Roman" w:cs="Times New Roman"/>
          <w:sz w:val="24"/>
          <w:szCs w:val="24"/>
        </w:rPr>
        <w:lastRenderedPageBreak/>
        <w:t>l’ambiente che con le sue barriere sociali ed</w:t>
      </w:r>
      <w:r w:rsidR="00635FD9" w:rsidRPr="00132B85">
        <w:rPr>
          <w:rFonts w:ascii="Times New Roman" w:hAnsi="Times New Roman" w:cs="Times New Roman"/>
          <w:sz w:val="24"/>
          <w:szCs w:val="24"/>
        </w:rPr>
        <w:t xml:space="preserve"> economiche </w:t>
      </w:r>
      <w:r w:rsidRPr="00132B85">
        <w:rPr>
          <w:rFonts w:ascii="Times New Roman" w:hAnsi="Times New Roman" w:cs="Times New Roman"/>
          <w:sz w:val="24"/>
          <w:szCs w:val="24"/>
        </w:rPr>
        <w:t>che determina l’esclusione della persona con disabilità, d</w:t>
      </w:r>
      <w:r w:rsidR="00F8693A">
        <w:rPr>
          <w:rFonts w:ascii="Times New Roman" w:hAnsi="Times New Roman" w:cs="Times New Roman"/>
          <w:sz w:val="24"/>
          <w:szCs w:val="24"/>
        </w:rPr>
        <w:t xml:space="preserve">a cui </w:t>
      </w:r>
      <w:r w:rsidRPr="00132B85">
        <w:rPr>
          <w:rFonts w:ascii="Times New Roman" w:hAnsi="Times New Roman" w:cs="Times New Roman"/>
          <w:sz w:val="24"/>
          <w:szCs w:val="24"/>
        </w:rPr>
        <w:t>la necessità di rimuovere quelle barriere</w:t>
      </w:r>
      <w:r w:rsidR="00635FD9" w:rsidRPr="00132B85">
        <w:rPr>
          <w:rFonts w:ascii="Times New Roman" w:hAnsi="Times New Roman" w:cs="Times New Roman"/>
          <w:sz w:val="24"/>
          <w:szCs w:val="24"/>
        </w:rPr>
        <w:t>.</w:t>
      </w:r>
    </w:p>
    <w:p w14:paraId="6EE26589" w14:textId="21A89A73" w:rsidR="00635FD9" w:rsidRPr="00132B85" w:rsidRDefault="00635FD9" w:rsidP="00E65B62">
      <w:pPr>
        <w:jc w:val="both"/>
        <w:rPr>
          <w:rFonts w:ascii="Times New Roman" w:hAnsi="Times New Roman" w:cs="Times New Roman"/>
          <w:sz w:val="24"/>
          <w:szCs w:val="24"/>
        </w:rPr>
      </w:pPr>
      <w:r w:rsidRPr="00132B85">
        <w:rPr>
          <w:rFonts w:ascii="Times New Roman" w:hAnsi="Times New Roman" w:cs="Times New Roman"/>
          <w:sz w:val="24"/>
          <w:szCs w:val="24"/>
        </w:rPr>
        <w:t>Com’è stato ben rilevato, tramite la classificazione</w:t>
      </w:r>
      <w:r w:rsidR="00BB34DC" w:rsidRPr="00132B85">
        <w:rPr>
          <w:rFonts w:ascii="Times New Roman" w:hAnsi="Times New Roman" w:cs="Times New Roman"/>
          <w:sz w:val="24"/>
          <w:szCs w:val="24"/>
        </w:rPr>
        <w:t xml:space="preserve"> sorta nel 2001, la disabilità “</w:t>
      </w:r>
      <w:r w:rsidRPr="00132B85">
        <w:rPr>
          <w:rFonts w:ascii="Times New Roman" w:hAnsi="Times New Roman" w:cs="Times New Roman"/>
          <w:i/>
          <w:iCs/>
          <w:sz w:val="24"/>
          <w:szCs w:val="24"/>
        </w:rPr>
        <w:t>non è intesa più come mera conseguenza delle condizioni fisiche dell’individuo, ma scaturisce dalla relazione fra l’individuo e le condizioni del mondo esterno</w:t>
      </w:r>
      <w:r w:rsidR="00BB34DC" w:rsidRPr="00132B85">
        <w:rPr>
          <w:rFonts w:ascii="Times New Roman" w:hAnsi="Times New Roman" w:cs="Times New Roman"/>
          <w:sz w:val="24"/>
          <w:szCs w:val="24"/>
        </w:rPr>
        <w:t>”</w:t>
      </w:r>
      <w:r w:rsidRPr="00132B85">
        <w:rPr>
          <w:rFonts w:ascii="Times New Roman" w:hAnsi="Times New Roman" w:cs="Times New Roman"/>
          <w:sz w:val="24"/>
          <w:szCs w:val="24"/>
        </w:rPr>
        <w:t>.</w:t>
      </w:r>
      <w:r w:rsidRPr="00132B85">
        <w:rPr>
          <w:rStyle w:val="Rimandonotaapidipagina"/>
          <w:rFonts w:ascii="Times New Roman" w:hAnsi="Times New Roman" w:cs="Times New Roman"/>
          <w:sz w:val="24"/>
          <w:szCs w:val="24"/>
        </w:rPr>
        <w:footnoteReference w:id="16"/>
      </w:r>
    </w:p>
    <w:p w14:paraId="48C9CE01" w14:textId="55467984" w:rsidR="00635FD9" w:rsidRPr="00F9513D" w:rsidRDefault="00635FD9" w:rsidP="00E65B62">
      <w:pPr>
        <w:jc w:val="both"/>
        <w:rPr>
          <w:rFonts w:ascii="Times New Roman" w:hAnsi="Times New Roman" w:cs="Times New Roman"/>
          <w:b/>
          <w:sz w:val="24"/>
          <w:szCs w:val="24"/>
        </w:rPr>
      </w:pPr>
      <w:r w:rsidRPr="00F9513D">
        <w:rPr>
          <w:rFonts w:ascii="Times New Roman" w:hAnsi="Times New Roman" w:cs="Times New Roman"/>
          <w:sz w:val="24"/>
          <w:szCs w:val="24"/>
        </w:rPr>
        <w:t>La nuova “dimensione bio-psico-sociale” della disabilità</w:t>
      </w:r>
      <w:r w:rsidR="00E634CC" w:rsidRPr="00F9513D">
        <w:rPr>
          <w:rFonts w:ascii="Times New Roman" w:hAnsi="Times New Roman" w:cs="Times New Roman"/>
          <w:sz w:val="24"/>
          <w:szCs w:val="24"/>
        </w:rPr>
        <w:t xml:space="preserve"> </w:t>
      </w:r>
      <w:r w:rsidR="00F9513D">
        <w:rPr>
          <w:rFonts w:ascii="Times New Roman" w:hAnsi="Times New Roman" w:cs="Times New Roman"/>
          <w:sz w:val="24"/>
          <w:szCs w:val="24"/>
        </w:rPr>
        <w:t xml:space="preserve">determina che quest’ultima non sia </w:t>
      </w:r>
      <w:r w:rsidRPr="00F9513D">
        <w:rPr>
          <w:rFonts w:ascii="Times New Roman" w:hAnsi="Times New Roman" w:cs="Times New Roman"/>
          <w:sz w:val="24"/>
          <w:szCs w:val="24"/>
        </w:rPr>
        <w:t xml:space="preserve">più vista come una perdita di normalità, ma come </w:t>
      </w:r>
      <w:r w:rsidR="00BC446A" w:rsidRPr="00F9513D">
        <w:rPr>
          <w:rFonts w:ascii="Times New Roman" w:hAnsi="Times New Roman" w:cs="Times New Roman"/>
          <w:sz w:val="24"/>
          <w:szCs w:val="24"/>
        </w:rPr>
        <w:t>compromissione del “funzionamento” umano</w:t>
      </w:r>
      <w:r w:rsidRPr="00F9513D">
        <w:rPr>
          <w:rFonts w:ascii="Times New Roman" w:hAnsi="Times New Roman" w:cs="Times New Roman"/>
          <w:sz w:val="24"/>
          <w:szCs w:val="24"/>
        </w:rPr>
        <w:t xml:space="preserve"> causata dall’interazione tra le caratteristiche individuali intrinseche e </w:t>
      </w:r>
      <w:r w:rsidR="00BC446A" w:rsidRPr="00F9513D">
        <w:rPr>
          <w:rFonts w:ascii="Times New Roman" w:hAnsi="Times New Roman" w:cs="Times New Roman"/>
          <w:sz w:val="24"/>
          <w:szCs w:val="24"/>
        </w:rPr>
        <w:t>i fattori ambientali i quali comprendono “l’ambiente fisico, sociale e gli atteggiamenti in cui le persone vivono”</w:t>
      </w:r>
      <w:r w:rsidR="001E3712" w:rsidRPr="00F9513D">
        <w:rPr>
          <w:rStyle w:val="Rimandonotaapidipagina"/>
          <w:rFonts w:ascii="Times New Roman" w:hAnsi="Times New Roman" w:cs="Times New Roman"/>
          <w:sz w:val="24"/>
          <w:szCs w:val="24"/>
        </w:rPr>
        <w:footnoteReference w:id="17"/>
      </w:r>
      <w:r w:rsidRPr="00F9513D">
        <w:rPr>
          <w:rFonts w:ascii="Times New Roman" w:hAnsi="Times New Roman" w:cs="Times New Roman"/>
          <w:sz w:val="24"/>
          <w:szCs w:val="24"/>
        </w:rPr>
        <w:t>.</w:t>
      </w:r>
      <w:r w:rsidR="0013178A" w:rsidRPr="00F9513D">
        <w:rPr>
          <w:rFonts w:ascii="Times New Roman" w:hAnsi="Times New Roman" w:cs="Times New Roman"/>
          <w:sz w:val="24"/>
          <w:szCs w:val="24"/>
        </w:rPr>
        <w:t xml:space="preserve"> </w:t>
      </w:r>
    </w:p>
    <w:p w14:paraId="42C14C9D" w14:textId="6CB0CF22" w:rsidR="0078193E"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C</w:t>
      </w:r>
      <w:r w:rsidR="00332108" w:rsidRPr="00132B85">
        <w:rPr>
          <w:rFonts w:ascii="Times New Roman" w:hAnsi="Times New Roman" w:cs="Times New Roman"/>
          <w:sz w:val="24"/>
          <w:szCs w:val="24"/>
        </w:rPr>
        <w:t xml:space="preserve">on il </w:t>
      </w:r>
      <w:r w:rsidR="00F9513D">
        <w:rPr>
          <w:rFonts w:ascii="Times New Roman" w:hAnsi="Times New Roman" w:cs="Times New Roman"/>
          <w:sz w:val="24"/>
          <w:szCs w:val="24"/>
        </w:rPr>
        <w:t>d</w:t>
      </w:r>
      <w:r w:rsidRPr="00132B85">
        <w:rPr>
          <w:rFonts w:ascii="Times New Roman" w:hAnsi="Times New Roman" w:cs="Times New Roman"/>
          <w:sz w:val="24"/>
          <w:szCs w:val="24"/>
        </w:rPr>
        <w:t>. l</w:t>
      </w:r>
      <w:r w:rsidR="009D7DE3">
        <w:rPr>
          <w:rFonts w:ascii="Times New Roman" w:hAnsi="Times New Roman" w:cs="Times New Roman"/>
          <w:sz w:val="24"/>
          <w:szCs w:val="24"/>
        </w:rPr>
        <w:t>egisl.</w:t>
      </w:r>
      <w:r w:rsidR="00332108" w:rsidRPr="00132B85">
        <w:rPr>
          <w:rFonts w:ascii="Times New Roman" w:hAnsi="Times New Roman" w:cs="Times New Roman"/>
          <w:sz w:val="24"/>
          <w:szCs w:val="24"/>
        </w:rPr>
        <w:t xml:space="preserve"> 13 aprile 2017 n. 66, recante </w:t>
      </w:r>
      <w:r w:rsidR="00BB34DC" w:rsidRPr="00132B85">
        <w:rPr>
          <w:rFonts w:ascii="Times New Roman" w:hAnsi="Times New Roman" w:cs="Times New Roman"/>
          <w:sz w:val="24"/>
          <w:szCs w:val="24"/>
        </w:rPr>
        <w:t>“</w:t>
      </w:r>
      <w:r w:rsidR="00332108" w:rsidRPr="00132B85">
        <w:rPr>
          <w:rFonts w:ascii="Times New Roman" w:hAnsi="Times New Roman" w:cs="Times New Roman"/>
          <w:sz w:val="24"/>
          <w:szCs w:val="24"/>
        </w:rPr>
        <w:t xml:space="preserve">Norme per la promozione dell'inclusione scolastica degli studenti con disabilità (a norma dell'articolo </w:t>
      </w:r>
      <w:hyperlink r:id="rId8" w:history="1">
        <w:r w:rsidR="00332108" w:rsidRPr="00132B85">
          <w:rPr>
            <w:rStyle w:val="Collegamentoipertestuale"/>
            <w:rFonts w:ascii="Times New Roman" w:hAnsi="Times New Roman" w:cs="Times New Roman"/>
            <w:color w:val="auto"/>
            <w:sz w:val="24"/>
            <w:szCs w:val="24"/>
            <w:u w:val="none"/>
          </w:rPr>
          <w:t>1, commi 180 e 181, lettera c)</w:t>
        </w:r>
      </w:hyperlink>
      <w:r w:rsidR="00332108" w:rsidRPr="00132B85">
        <w:rPr>
          <w:rFonts w:ascii="Times New Roman" w:hAnsi="Times New Roman" w:cs="Times New Roman"/>
          <w:sz w:val="24"/>
          <w:szCs w:val="24"/>
        </w:rPr>
        <w:t xml:space="preserve">, della </w:t>
      </w:r>
      <w:hyperlink r:id="rId9" w:history="1">
        <w:r w:rsidR="00332108" w:rsidRPr="00132B85">
          <w:rPr>
            <w:rStyle w:val="Collegamentoipertestuale"/>
            <w:rFonts w:ascii="Times New Roman" w:hAnsi="Times New Roman" w:cs="Times New Roman"/>
            <w:color w:val="auto"/>
            <w:sz w:val="24"/>
            <w:szCs w:val="24"/>
            <w:u w:val="none"/>
          </w:rPr>
          <w:t>legge 13 luglio 2015, n. 107</w:t>
        </w:r>
      </w:hyperlink>
      <w:r w:rsidR="00332108" w:rsidRPr="00132B85">
        <w:rPr>
          <w:rFonts w:ascii="Times New Roman" w:hAnsi="Times New Roman" w:cs="Times New Roman"/>
          <w:sz w:val="24"/>
          <w:szCs w:val="24"/>
        </w:rPr>
        <w:t>)</w:t>
      </w:r>
      <w:r w:rsidR="00BB34DC" w:rsidRPr="00132B85">
        <w:rPr>
          <w:rFonts w:ascii="Times New Roman" w:hAnsi="Times New Roman" w:cs="Times New Roman"/>
          <w:sz w:val="24"/>
          <w:szCs w:val="24"/>
        </w:rPr>
        <w:t>”</w:t>
      </w:r>
      <w:r w:rsidR="00332108" w:rsidRPr="00132B85">
        <w:rPr>
          <w:rFonts w:ascii="Times New Roman" w:hAnsi="Times New Roman" w:cs="Times New Roman"/>
          <w:sz w:val="24"/>
          <w:szCs w:val="24"/>
        </w:rPr>
        <w:t xml:space="preserve"> </w:t>
      </w:r>
      <w:r w:rsidR="00607903" w:rsidRPr="00132B85">
        <w:rPr>
          <w:rFonts w:ascii="Times New Roman" w:hAnsi="Times New Roman" w:cs="Times New Roman"/>
          <w:sz w:val="24"/>
          <w:szCs w:val="24"/>
        </w:rPr>
        <w:t>i</w:t>
      </w:r>
      <w:r w:rsidR="00332108" w:rsidRPr="00132B85">
        <w:rPr>
          <w:rFonts w:ascii="Times New Roman" w:hAnsi="Times New Roman" w:cs="Times New Roman"/>
          <w:sz w:val="24"/>
          <w:szCs w:val="24"/>
        </w:rPr>
        <w:t>l comma 5 dell’art. 12 della legge 104 del 1992 è stato sostituito con una formulazione che tiene conto del modello bio-psico-sociale sotteso alla Classificazione Internazionale del Funzionamento, della Disabilità e della Salute (ICF)</w:t>
      </w:r>
      <w:r w:rsidR="0078193E" w:rsidRPr="00132B85">
        <w:rPr>
          <w:rStyle w:val="Rimandonotaapidipagina"/>
          <w:rFonts w:ascii="Times New Roman" w:hAnsi="Times New Roman" w:cs="Times New Roman"/>
          <w:sz w:val="24"/>
          <w:szCs w:val="24"/>
        </w:rPr>
        <w:footnoteReference w:id="18"/>
      </w:r>
      <w:r w:rsidR="0078193E" w:rsidRPr="00132B85">
        <w:rPr>
          <w:rFonts w:ascii="Times New Roman" w:hAnsi="Times New Roman" w:cs="Times New Roman"/>
          <w:sz w:val="24"/>
          <w:szCs w:val="24"/>
        </w:rPr>
        <w:t>.</w:t>
      </w:r>
    </w:p>
    <w:p w14:paraId="1A8D7841" w14:textId="5E41A7A9" w:rsidR="00607903" w:rsidRPr="00132B85" w:rsidRDefault="006F6E40"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Eppure </w:t>
      </w:r>
      <w:r w:rsidR="004B6266" w:rsidRPr="00132B85">
        <w:rPr>
          <w:rFonts w:ascii="Times New Roman" w:hAnsi="Times New Roman" w:cs="Times New Roman"/>
          <w:sz w:val="24"/>
          <w:szCs w:val="24"/>
        </w:rPr>
        <w:t xml:space="preserve">l’intervento del legislatore italiano nei termini descritti inizialmente è stato limitato </w:t>
      </w:r>
      <w:r w:rsidR="00607903" w:rsidRPr="00132B85">
        <w:rPr>
          <w:rFonts w:ascii="Times New Roman" w:hAnsi="Times New Roman" w:cs="Times New Roman"/>
          <w:sz w:val="24"/>
          <w:szCs w:val="24"/>
        </w:rPr>
        <w:t xml:space="preserve">solo all’accertamento della condizione di disabilità </w:t>
      </w:r>
      <w:r w:rsidR="004B6266" w:rsidRPr="00132B85">
        <w:rPr>
          <w:rFonts w:ascii="Times New Roman" w:hAnsi="Times New Roman" w:cs="Times New Roman"/>
          <w:sz w:val="24"/>
          <w:szCs w:val="24"/>
        </w:rPr>
        <w:t xml:space="preserve">in ambito scolastico con riferimento al </w:t>
      </w:r>
      <w:r w:rsidR="00607903" w:rsidRPr="00132B85">
        <w:rPr>
          <w:rFonts w:ascii="Times New Roman" w:hAnsi="Times New Roman" w:cs="Times New Roman"/>
          <w:sz w:val="24"/>
          <w:szCs w:val="24"/>
        </w:rPr>
        <w:t>progetto individuale di cui all’articolo 14 dell</w:t>
      </w:r>
      <w:r w:rsidR="004B6266" w:rsidRPr="00132B85">
        <w:rPr>
          <w:rFonts w:ascii="Times New Roman" w:hAnsi="Times New Roman" w:cs="Times New Roman"/>
          <w:sz w:val="24"/>
          <w:szCs w:val="24"/>
        </w:rPr>
        <w:t>a legge 8 novembre 2000, n. 328</w:t>
      </w:r>
      <w:r w:rsidR="00607903" w:rsidRPr="00132B85">
        <w:rPr>
          <w:rFonts w:ascii="Times New Roman" w:hAnsi="Times New Roman" w:cs="Times New Roman"/>
          <w:sz w:val="24"/>
          <w:szCs w:val="24"/>
        </w:rPr>
        <w:t xml:space="preserve"> e </w:t>
      </w:r>
      <w:r w:rsidR="004B6266" w:rsidRPr="00132B85">
        <w:rPr>
          <w:rFonts w:ascii="Times New Roman" w:hAnsi="Times New Roman" w:cs="Times New Roman"/>
          <w:sz w:val="24"/>
          <w:szCs w:val="24"/>
        </w:rPr>
        <w:t xml:space="preserve">al </w:t>
      </w:r>
      <w:r w:rsidR="00607903" w:rsidRPr="00132B85">
        <w:rPr>
          <w:rFonts w:ascii="Times New Roman" w:hAnsi="Times New Roman" w:cs="Times New Roman"/>
          <w:sz w:val="24"/>
          <w:szCs w:val="24"/>
        </w:rPr>
        <w:t>Piano Educativo Individualizzato (PEI).</w:t>
      </w:r>
    </w:p>
    <w:p w14:paraId="42517E42" w14:textId="403ACC02" w:rsidR="00607903" w:rsidRPr="00132B85" w:rsidRDefault="0013178A" w:rsidP="00E65B62">
      <w:pPr>
        <w:jc w:val="both"/>
        <w:rPr>
          <w:rFonts w:ascii="Times New Roman" w:hAnsi="Times New Roman" w:cs="Times New Roman"/>
          <w:sz w:val="24"/>
          <w:szCs w:val="24"/>
        </w:rPr>
      </w:pPr>
      <w:r>
        <w:rPr>
          <w:rFonts w:ascii="Times New Roman" w:hAnsi="Times New Roman" w:cs="Times New Roman"/>
          <w:sz w:val="24"/>
          <w:szCs w:val="24"/>
        </w:rPr>
        <w:t>Solo più di recente con il d.</w:t>
      </w:r>
      <w:r w:rsidR="009D7DE3" w:rsidRP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004B6266" w:rsidRPr="00132B85">
        <w:rPr>
          <w:rFonts w:ascii="Times New Roman" w:hAnsi="Times New Roman" w:cs="Times New Roman"/>
          <w:sz w:val="24"/>
          <w:szCs w:val="24"/>
        </w:rPr>
        <w:t xml:space="preserve"> n. 96 del </w:t>
      </w:r>
      <w:r w:rsidR="00607903" w:rsidRPr="00132B85">
        <w:rPr>
          <w:rFonts w:ascii="Times New Roman" w:hAnsi="Times New Roman" w:cs="Times New Roman"/>
          <w:sz w:val="24"/>
          <w:szCs w:val="24"/>
        </w:rPr>
        <w:t>2019 contenente disposizioni integrative e correttive al decreto legislativo 13 aprile 2017, n. 66, recante: «</w:t>
      </w:r>
      <w:r w:rsidR="00607903" w:rsidRPr="00132B85">
        <w:rPr>
          <w:rFonts w:ascii="Times New Roman" w:hAnsi="Times New Roman" w:cs="Times New Roman"/>
          <w:i/>
          <w:iCs/>
          <w:sz w:val="24"/>
          <w:szCs w:val="24"/>
        </w:rPr>
        <w:t>Norme per la promozione dell'inclusione scolastica degli studenti con disabilità, a norma dell'articolo 1, commi 180 e 181, lettera c), della legge 13 luglio 2015, n. 107</w:t>
      </w:r>
      <w:r w:rsidR="004B6266" w:rsidRPr="00132B85">
        <w:rPr>
          <w:rFonts w:ascii="Times New Roman" w:hAnsi="Times New Roman" w:cs="Times New Roman"/>
          <w:sz w:val="24"/>
          <w:szCs w:val="24"/>
        </w:rPr>
        <w:t xml:space="preserve">» </w:t>
      </w:r>
      <w:r w:rsidR="00607903" w:rsidRPr="00132B85">
        <w:rPr>
          <w:rFonts w:ascii="Times New Roman" w:hAnsi="Times New Roman" w:cs="Times New Roman"/>
          <w:sz w:val="24"/>
          <w:szCs w:val="24"/>
        </w:rPr>
        <w:t xml:space="preserve">all’art.4 </w:t>
      </w:r>
      <w:r w:rsidR="004B6266" w:rsidRPr="00132B85">
        <w:rPr>
          <w:rFonts w:ascii="Times New Roman" w:hAnsi="Times New Roman" w:cs="Times New Roman"/>
          <w:sz w:val="24"/>
          <w:szCs w:val="24"/>
        </w:rPr>
        <w:t xml:space="preserve">si è prevista </w:t>
      </w:r>
      <w:r w:rsidR="00607903" w:rsidRPr="00132B85">
        <w:rPr>
          <w:rFonts w:ascii="Times New Roman" w:hAnsi="Times New Roman" w:cs="Times New Roman"/>
          <w:sz w:val="24"/>
          <w:szCs w:val="24"/>
        </w:rPr>
        <w:t>l’adozione dei criteri dell’ICF per l’accertamento della condizione di disabilità</w:t>
      </w:r>
      <w:r w:rsidR="0078193E" w:rsidRPr="00132B85">
        <w:rPr>
          <w:rFonts w:ascii="Times New Roman" w:hAnsi="Times New Roman" w:cs="Times New Roman"/>
          <w:sz w:val="24"/>
          <w:szCs w:val="24"/>
        </w:rPr>
        <w:t>.</w:t>
      </w:r>
    </w:p>
    <w:p w14:paraId="0FE477C2" w14:textId="429E8070" w:rsidR="00607903" w:rsidRPr="00132B85" w:rsidRDefault="00EB2A69"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Decisiva in questo percorso </w:t>
      </w:r>
      <w:r w:rsidR="004B6266" w:rsidRPr="00132B85">
        <w:rPr>
          <w:rFonts w:ascii="Times New Roman" w:hAnsi="Times New Roman" w:cs="Times New Roman"/>
          <w:sz w:val="24"/>
          <w:szCs w:val="24"/>
        </w:rPr>
        <w:t xml:space="preserve">di evoluzione del concetto di disabilità </w:t>
      </w:r>
      <w:r w:rsidRPr="00132B85">
        <w:rPr>
          <w:rFonts w:ascii="Times New Roman" w:hAnsi="Times New Roman" w:cs="Times New Roman"/>
          <w:sz w:val="24"/>
          <w:szCs w:val="24"/>
        </w:rPr>
        <w:t xml:space="preserve">è stata </w:t>
      </w:r>
      <w:r w:rsidR="00607903" w:rsidRPr="00132B85">
        <w:rPr>
          <w:rFonts w:ascii="Times New Roman" w:hAnsi="Times New Roman" w:cs="Times New Roman"/>
          <w:sz w:val="24"/>
          <w:szCs w:val="24"/>
        </w:rPr>
        <w:t>l’approvazione, avvenuta il 13 dicemb</w:t>
      </w:r>
      <w:r w:rsidRPr="00132B85">
        <w:rPr>
          <w:rFonts w:ascii="Times New Roman" w:hAnsi="Times New Roman" w:cs="Times New Roman"/>
          <w:sz w:val="24"/>
          <w:szCs w:val="24"/>
        </w:rPr>
        <w:t>re 2006, del</w:t>
      </w:r>
      <w:r w:rsidR="00607903" w:rsidRPr="00132B85">
        <w:rPr>
          <w:rFonts w:ascii="Times New Roman" w:hAnsi="Times New Roman" w:cs="Times New Roman"/>
          <w:sz w:val="24"/>
          <w:szCs w:val="24"/>
        </w:rPr>
        <w:t>la Convenzione sui diritti delle persone con disabilità (</w:t>
      </w:r>
      <w:r w:rsidR="00607903" w:rsidRPr="00132B85">
        <w:rPr>
          <w:rFonts w:ascii="Times New Roman" w:hAnsi="Times New Roman" w:cs="Times New Roman"/>
          <w:i/>
          <w:iCs/>
          <w:sz w:val="24"/>
          <w:szCs w:val="24"/>
        </w:rPr>
        <w:t xml:space="preserve">Convention on the Rights of Persons with Disabilities </w:t>
      </w:r>
      <w:r w:rsidR="00607903" w:rsidRPr="00132B85">
        <w:rPr>
          <w:rFonts w:ascii="Times New Roman" w:hAnsi="Times New Roman" w:cs="Times New Roman"/>
          <w:sz w:val="24"/>
          <w:szCs w:val="24"/>
        </w:rPr>
        <w:t xml:space="preserve">- </w:t>
      </w:r>
      <w:r w:rsidR="00607903" w:rsidRPr="00132B85">
        <w:rPr>
          <w:rFonts w:ascii="Times New Roman" w:hAnsi="Times New Roman" w:cs="Times New Roman"/>
          <w:i/>
          <w:iCs/>
          <w:sz w:val="24"/>
          <w:szCs w:val="24"/>
        </w:rPr>
        <w:t>CRPD</w:t>
      </w:r>
      <w:r w:rsidR="00607903" w:rsidRPr="00132B85">
        <w:rPr>
          <w:rFonts w:ascii="Times New Roman" w:hAnsi="Times New Roman" w:cs="Times New Roman"/>
          <w:sz w:val="24"/>
          <w:szCs w:val="24"/>
        </w:rPr>
        <w:t>).</w:t>
      </w:r>
    </w:p>
    <w:p w14:paraId="7F837C02" w14:textId="77777777" w:rsidR="00132B85" w:rsidRPr="00132B85" w:rsidRDefault="00132B85" w:rsidP="00132B85">
      <w:pPr>
        <w:jc w:val="both"/>
        <w:rPr>
          <w:rFonts w:ascii="Times New Roman" w:hAnsi="Times New Roman" w:cs="Times New Roman"/>
          <w:i/>
          <w:iCs/>
          <w:sz w:val="24"/>
          <w:szCs w:val="24"/>
        </w:rPr>
      </w:pPr>
      <w:r w:rsidRPr="006A0166">
        <w:rPr>
          <w:rFonts w:ascii="Times New Roman" w:hAnsi="Times New Roman" w:cs="Times New Roman"/>
          <w:sz w:val="24"/>
          <w:szCs w:val="24"/>
        </w:rPr>
        <w:t>La Convenzione definisce, infatti, le persone con disabilità come coloro che «</w:t>
      </w:r>
      <w:r w:rsidRPr="006A0166">
        <w:rPr>
          <w:rFonts w:ascii="Times New Roman" w:hAnsi="Times New Roman" w:cs="Times New Roman"/>
          <w:i/>
          <w:iCs/>
          <w:sz w:val="24"/>
          <w:szCs w:val="24"/>
        </w:rPr>
        <w:t>hanno minorazioni fisiche, mentali, intellettuali o sensoriali a lungo termine che in interazione con varie barriere possono impedire la loro piena ed effettiva partecipazione nella società su una base di eguaglianza con gli altri (art. 1, comma 2)”.</w:t>
      </w:r>
    </w:p>
    <w:p w14:paraId="1D442715" w14:textId="2C3D9C9E" w:rsidR="00EB2A69" w:rsidRPr="00132B85" w:rsidRDefault="00EB2A69" w:rsidP="00E65B62">
      <w:pPr>
        <w:jc w:val="both"/>
        <w:rPr>
          <w:rFonts w:ascii="Times New Roman" w:hAnsi="Times New Roman" w:cs="Times New Roman"/>
          <w:i/>
          <w:iCs/>
          <w:sz w:val="24"/>
          <w:szCs w:val="24"/>
        </w:rPr>
      </w:pPr>
      <w:r w:rsidRPr="00132B85">
        <w:rPr>
          <w:rFonts w:ascii="Times New Roman" w:hAnsi="Times New Roman" w:cs="Times New Roman"/>
          <w:sz w:val="24"/>
          <w:szCs w:val="24"/>
        </w:rPr>
        <w:t xml:space="preserve">Accanto ai fattori bio-psichici, </w:t>
      </w:r>
      <w:r w:rsidR="00132B85" w:rsidRPr="00132B85">
        <w:rPr>
          <w:rFonts w:ascii="Times New Roman" w:hAnsi="Times New Roman" w:cs="Times New Roman"/>
          <w:sz w:val="24"/>
          <w:szCs w:val="24"/>
        </w:rPr>
        <w:t xml:space="preserve">nella </w:t>
      </w:r>
      <w:r w:rsidRPr="00132B85">
        <w:rPr>
          <w:rFonts w:ascii="Times New Roman" w:hAnsi="Times New Roman" w:cs="Times New Roman"/>
          <w:sz w:val="24"/>
          <w:szCs w:val="24"/>
        </w:rPr>
        <w:t>Convenzione affiora</w:t>
      </w:r>
      <w:r w:rsidR="00132B85" w:rsidRPr="00132B85">
        <w:rPr>
          <w:rFonts w:ascii="Times New Roman" w:hAnsi="Times New Roman" w:cs="Times New Roman"/>
          <w:sz w:val="24"/>
          <w:szCs w:val="24"/>
        </w:rPr>
        <w:t xml:space="preserve"> dunque </w:t>
      </w:r>
      <w:r w:rsidRPr="00132B85">
        <w:rPr>
          <w:rFonts w:ascii="Times New Roman" w:hAnsi="Times New Roman" w:cs="Times New Roman"/>
          <w:sz w:val="24"/>
          <w:szCs w:val="24"/>
        </w:rPr>
        <w:t xml:space="preserve">la componente sociale, la quale permette di </w:t>
      </w:r>
      <w:r w:rsidR="00132B85" w:rsidRPr="00132B85">
        <w:rPr>
          <w:rFonts w:ascii="Times New Roman" w:hAnsi="Times New Roman" w:cs="Times New Roman"/>
          <w:sz w:val="24"/>
          <w:szCs w:val="24"/>
        </w:rPr>
        <w:t>evidenziare</w:t>
      </w:r>
      <w:r w:rsidRPr="00132B85">
        <w:rPr>
          <w:rFonts w:ascii="Times New Roman" w:hAnsi="Times New Roman" w:cs="Times New Roman"/>
          <w:sz w:val="24"/>
          <w:szCs w:val="24"/>
        </w:rPr>
        <w:t xml:space="preserve"> che la condizione di disabilità </w:t>
      </w:r>
      <w:r w:rsidRPr="00132B85">
        <w:rPr>
          <w:rFonts w:ascii="Times New Roman" w:hAnsi="Times New Roman" w:cs="Times New Roman"/>
          <w:i/>
          <w:iCs/>
          <w:sz w:val="24"/>
          <w:szCs w:val="24"/>
        </w:rPr>
        <w:t xml:space="preserve">«non deriva da qualità soggettive delle </w:t>
      </w:r>
      <w:r w:rsidRPr="00132B85">
        <w:rPr>
          <w:rFonts w:ascii="Times New Roman" w:hAnsi="Times New Roman" w:cs="Times New Roman"/>
          <w:i/>
          <w:iCs/>
          <w:sz w:val="24"/>
          <w:szCs w:val="24"/>
        </w:rPr>
        <w:lastRenderedPageBreak/>
        <w:t>persone, bensì dalla relazione tra le caratteristiche delle persone e le modalità attraverso le quali la società organizza l’accesso e il godimento di diritti, beni e servizi»</w:t>
      </w:r>
      <w:r w:rsidRPr="00132B85">
        <w:rPr>
          <w:rStyle w:val="Rimandonotaapidipagina"/>
          <w:rFonts w:ascii="Times New Roman" w:hAnsi="Times New Roman" w:cs="Times New Roman"/>
          <w:i/>
          <w:iCs/>
          <w:sz w:val="24"/>
          <w:szCs w:val="24"/>
        </w:rPr>
        <w:footnoteReference w:id="19"/>
      </w:r>
      <w:r w:rsidRPr="00132B85">
        <w:rPr>
          <w:rFonts w:ascii="Times New Roman" w:hAnsi="Times New Roman" w:cs="Times New Roman"/>
          <w:i/>
          <w:iCs/>
          <w:sz w:val="24"/>
          <w:szCs w:val="24"/>
        </w:rPr>
        <w:t>.</w:t>
      </w:r>
    </w:p>
    <w:p w14:paraId="1E3A4CD7" w14:textId="61E7FEA0" w:rsidR="00EB2A69" w:rsidRPr="00132B85" w:rsidRDefault="00EB2A69" w:rsidP="00E65B62">
      <w:pPr>
        <w:jc w:val="both"/>
        <w:rPr>
          <w:rFonts w:ascii="Times New Roman" w:hAnsi="Times New Roman" w:cs="Times New Roman"/>
          <w:i/>
          <w:iCs/>
          <w:sz w:val="24"/>
          <w:szCs w:val="24"/>
        </w:rPr>
      </w:pPr>
      <w:r w:rsidRPr="00132B85">
        <w:rPr>
          <w:rFonts w:ascii="Times New Roman" w:hAnsi="Times New Roman" w:cs="Times New Roman"/>
          <w:sz w:val="24"/>
          <w:szCs w:val="24"/>
        </w:rPr>
        <w:t>È stato ben osservato che “</w:t>
      </w:r>
      <w:r w:rsidRPr="00132B85">
        <w:rPr>
          <w:rFonts w:ascii="Times New Roman" w:hAnsi="Times New Roman" w:cs="Times New Roman"/>
          <w:i/>
          <w:iCs/>
          <w:sz w:val="24"/>
          <w:szCs w:val="24"/>
        </w:rPr>
        <w:t>la Convenzione ha riformulato i bisogni delle persone con disabilità in termini di diritti umani, così esprimendo una svolta e un allontanamento dalla risposta a tali bisogni in termini di welfare state”</w:t>
      </w:r>
      <w:r w:rsidRPr="00132B85">
        <w:rPr>
          <w:rStyle w:val="Rimandonotaapidipagina"/>
          <w:rFonts w:ascii="Times New Roman" w:hAnsi="Times New Roman" w:cs="Times New Roman"/>
          <w:i/>
          <w:iCs/>
          <w:sz w:val="24"/>
          <w:szCs w:val="24"/>
        </w:rPr>
        <w:footnoteReference w:id="20"/>
      </w:r>
      <w:r w:rsidRPr="00132B85">
        <w:rPr>
          <w:rFonts w:ascii="Times New Roman" w:hAnsi="Times New Roman" w:cs="Times New Roman"/>
          <w:i/>
          <w:iCs/>
          <w:sz w:val="24"/>
          <w:szCs w:val="24"/>
        </w:rPr>
        <w:t>.</w:t>
      </w:r>
    </w:p>
    <w:p w14:paraId="1C2037DD" w14:textId="21AF5FD4" w:rsidR="00EB2A69" w:rsidRPr="00132B85" w:rsidRDefault="00EB2A69" w:rsidP="00E65B62">
      <w:pPr>
        <w:jc w:val="both"/>
        <w:rPr>
          <w:rFonts w:ascii="Times New Roman" w:hAnsi="Times New Roman" w:cs="Times New Roman"/>
          <w:b/>
          <w:sz w:val="24"/>
          <w:szCs w:val="24"/>
        </w:rPr>
      </w:pPr>
      <w:r w:rsidRPr="00132B85">
        <w:rPr>
          <w:rFonts w:ascii="Times New Roman" w:hAnsi="Times New Roman" w:cs="Times New Roman"/>
          <w:sz w:val="24"/>
          <w:szCs w:val="24"/>
        </w:rPr>
        <w:t>L’art. 19 della Convenzione, rubricato «</w:t>
      </w:r>
      <w:r w:rsidRPr="00132B85">
        <w:rPr>
          <w:rFonts w:ascii="Times New Roman" w:hAnsi="Times New Roman" w:cs="Times New Roman"/>
          <w:i/>
          <w:iCs/>
          <w:sz w:val="24"/>
          <w:szCs w:val="24"/>
        </w:rPr>
        <w:t>Vita indipendente ed inclusione nella società</w:t>
      </w:r>
      <w:r w:rsidRPr="00132B85">
        <w:rPr>
          <w:rFonts w:ascii="Times New Roman" w:hAnsi="Times New Roman" w:cs="Times New Roman"/>
          <w:sz w:val="24"/>
          <w:szCs w:val="24"/>
        </w:rPr>
        <w:t>», riconosce il diritto di tutte le persone con disabilità «</w:t>
      </w:r>
      <w:r w:rsidRPr="00132B85">
        <w:rPr>
          <w:rFonts w:ascii="Times New Roman" w:hAnsi="Times New Roman" w:cs="Times New Roman"/>
          <w:i/>
          <w:iCs/>
          <w:sz w:val="24"/>
          <w:szCs w:val="24"/>
        </w:rPr>
        <w:t>a vivere nella società, con la stessa libertà di scelta delle altre persone</w:t>
      </w:r>
      <w:r w:rsidRPr="00132B85">
        <w:rPr>
          <w:rFonts w:ascii="Times New Roman" w:hAnsi="Times New Roman" w:cs="Times New Roman"/>
          <w:sz w:val="24"/>
          <w:szCs w:val="24"/>
        </w:rPr>
        <w:t>», richiedendo agli Stati membri di adottare «</w:t>
      </w:r>
      <w:r w:rsidRPr="00132B85">
        <w:rPr>
          <w:rFonts w:ascii="Times New Roman" w:hAnsi="Times New Roman" w:cs="Times New Roman"/>
          <w:i/>
          <w:iCs/>
          <w:sz w:val="24"/>
          <w:szCs w:val="24"/>
        </w:rPr>
        <w:t>misure efficaci ed adeguate al fine di facilitare il pieno godimento da parte delle persone con disabilità di tale diritto e la loro piena integrazione e partecipazione nella società, anche assicurando che: (a) le persone con disabilità abbiano la possibilità di scegliere, su base di uguaglianza con gli altri, il proprio luogo di residenza e dove e con chi vivere e non siano obbligate a vivere in una particolare sistemazione; (b) le persone con disabilità abbiano accesso ad una serie di servizi a domicilio o residenziali e ad altri servizi sociali di sostegno, compresa l’assistenza personale necessaria per consentire loro di vivere nella società e di inserirvisi e impedire che siano isolate o vittime di segregazione; (c) i servizi e le strutture sociali destinate a tutta la popolazione siano messe a disposizione, su base di uguaglianza con gli altri, delle persone con disabilità e siano adattate ai loro bisogni</w:t>
      </w:r>
      <w:r w:rsidRPr="00132B85">
        <w:rPr>
          <w:rFonts w:ascii="Times New Roman" w:hAnsi="Times New Roman" w:cs="Times New Roman"/>
          <w:sz w:val="24"/>
          <w:szCs w:val="24"/>
        </w:rPr>
        <w:t>»</w:t>
      </w:r>
      <w:r w:rsidRPr="00132B85">
        <w:rPr>
          <w:rFonts w:ascii="Times New Roman" w:hAnsi="Times New Roman" w:cs="Times New Roman"/>
          <w:i/>
          <w:iCs/>
          <w:sz w:val="24"/>
          <w:szCs w:val="24"/>
        </w:rPr>
        <w:t>.</w:t>
      </w:r>
    </w:p>
    <w:p w14:paraId="692CC89A" w14:textId="4BD828D4" w:rsidR="00607903" w:rsidRPr="00132B85" w:rsidRDefault="00607903" w:rsidP="00E65B62">
      <w:pPr>
        <w:jc w:val="both"/>
        <w:rPr>
          <w:rFonts w:ascii="Times New Roman" w:hAnsi="Times New Roman" w:cs="Times New Roman"/>
          <w:sz w:val="24"/>
          <w:szCs w:val="24"/>
        </w:rPr>
      </w:pPr>
      <w:r w:rsidRPr="00132B85">
        <w:rPr>
          <w:rFonts w:ascii="Times New Roman" w:hAnsi="Times New Roman" w:cs="Times New Roman"/>
          <w:sz w:val="24"/>
          <w:szCs w:val="24"/>
        </w:rPr>
        <w:t>La legge 3 marzo 2009, n. 18, recante “Ratifica ed esecuzione della Convenzione delle Nazioni Unite sui diritti delle persone con disabilità, con Protocollo opzionale”, ha consacrato l’adesione al modello bio-psico-sociale.</w:t>
      </w:r>
    </w:p>
    <w:p w14:paraId="108E3984" w14:textId="750843DC" w:rsidR="00E120D2" w:rsidRPr="00132B85" w:rsidRDefault="00132B85" w:rsidP="00132B85">
      <w:pPr>
        <w:jc w:val="both"/>
        <w:rPr>
          <w:rFonts w:ascii="Times New Roman" w:hAnsi="Times New Roman" w:cs="Times New Roman"/>
          <w:sz w:val="24"/>
          <w:szCs w:val="24"/>
        </w:rPr>
      </w:pPr>
      <w:r w:rsidRPr="00132B85">
        <w:rPr>
          <w:rFonts w:ascii="Times New Roman" w:hAnsi="Times New Roman" w:cs="Times New Roman"/>
          <w:sz w:val="24"/>
          <w:szCs w:val="24"/>
        </w:rPr>
        <w:t>Così nella legislazione nazionale l</w:t>
      </w:r>
      <w:r w:rsidR="00967323" w:rsidRPr="00132B85">
        <w:rPr>
          <w:rFonts w:ascii="Times New Roman" w:hAnsi="Times New Roman" w:cs="Times New Roman"/>
          <w:sz w:val="24"/>
          <w:szCs w:val="24"/>
        </w:rPr>
        <w:t xml:space="preserve">’obiettivo della promozione dell’autonomia al pari di quello della de-istituzionalizzazione sono alla base della emanazione della </w:t>
      </w:r>
      <w:r w:rsidR="00D117F8" w:rsidRPr="00132B85">
        <w:rPr>
          <w:rFonts w:ascii="Times New Roman" w:hAnsi="Times New Roman" w:cs="Times New Roman"/>
          <w:sz w:val="24"/>
          <w:szCs w:val="24"/>
        </w:rPr>
        <w:t>l</w:t>
      </w:r>
      <w:r w:rsidR="009D7DE3">
        <w:rPr>
          <w:rFonts w:ascii="Times New Roman" w:hAnsi="Times New Roman" w:cs="Times New Roman"/>
          <w:sz w:val="24"/>
          <w:szCs w:val="24"/>
        </w:rPr>
        <w:t>.</w:t>
      </w:r>
      <w:r w:rsidR="00D117F8" w:rsidRPr="00132B85">
        <w:rPr>
          <w:rFonts w:ascii="Times New Roman" w:hAnsi="Times New Roman" w:cs="Times New Roman"/>
          <w:sz w:val="24"/>
          <w:szCs w:val="24"/>
        </w:rPr>
        <w:t>d</w:t>
      </w:r>
      <w:r w:rsidR="009D7DE3">
        <w:rPr>
          <w:rFonts w:ascii="Times New Roman" w:hAnsi="Times New Roman" w:cs="Times New Roman"/>
          <w:sz w:val="24"/>
          <w:szCs w:val="24"/>
        </w:rPr>
        <w:t xml:space="preserve">. </w:t>
      </w:r>
      <w:r w:rsidR="00D117F8" w:rsidRPr="00132B85">
        <w:rPr>
          <w:rFonts w:ascii="Times New Roman" w:hAnsi="Times New Roman" w:cs="Times New Roman"/>
          <w:sz w:val="24"/>
          <w:szCs w:val="24"/>
        </w:rPr>
        <w:t>del 22 dicembre 2021, n. 227</w:t>
      </w:r>
      <w:r w:rsidR="00967323" w:rsidRPr="00132B85">
        <w:rPr>
          <w:rStyle w:val="Rimandonotaapidipagina"/>
          <w:rFonts w:ascii="Times New Roman" w:hAnsi="Times New Roman" w:cs="Times New Roman"/>
          <w:sz w:val="24"/>
          <w:szCs w:val="24"/>
        </w:rPr>
        <w:footnoteReference w:id="21"/>
      </w:r>
      <w:r w:rsidR="00D117F8" w:rsidRPr="00132B85">
        <w:rPr>
          <w:rFonts w:ascii="Times New Roman" w:hAnsi="Times New Roman" w:cs="Times New Roman"/>
          <w:sz w:val="24"/>
          <w:szCs w:val="24"/>
        </w:rPr>
        <w:t xml:space="preserve"> </w:t>
      </w:r>
      <w:r w:rsidR="00E120D2" w:rsidRPr="00132B85">
        <w:rPr>
          <w:rFonts w:ascii="Times New Roman" w:hAnsi="Times New Roman" w:cs="Times New Roman"/>
          <w:sz w:val="24"/>
          <w:szCs w:val="24"/>
        </w:rPr>
        <w:t xml:space="preserve">e del successivo </w:t>
      </w:r>
      <w:r w:rsidR="009D7DE3">
        <w:rPr>
          <w:rFonts w:ascii="Times New Roman" w:hAnsi="Times New Roman" w:cs="Times New Roman"/>
          <w:sz w:val="24"/>
          <w:szCs w:val="24"/>
        </w:rPr>
        <w:t xml:space="preserve">d.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00D117F8" w:rsidRPr="00132B85">
        <w:rPr>
          <w:rFonts w:ascii="Times New Roman" w:hAnsi="Times New Roman" w:cs="Times New Roman"/>
          <w:sz w:val="24"/>
          <w:szCs w:val="24"/>
          <w:lang w:eastAsia="it-IT"/>
        </w:rPr>
        <w:t xml:space="preserve"> 3 maggio 2024 n. 62 “</w:t>
      </w:r>
      <w:r w:rsidR="00D117F8" w:rsidRPr="00132B85">
        <w:rPr>
          <w:rFonts w:ascii="Times New Roman" w:hAnsi="Times New Roman" w:cs="Times New Roman"/>
          <w:i/>
          <w:sz w:val="24"/>
          <w:szCs w:val="24"/>
          <w:lang w:eastAsia="it-IT"/>
        </w:rPr>
        <w:t>Definizione della condizione di disabilità, della valutazione di base, di accomodamento ragionevole, della valutazione multidimensionale per l'elaborazione e attuazione del progetto di vita individuale personalizzato e partecipato</w:t>
      </w:r>
      <w:r w:rsidR="00E120D2" w:rsidRPr="00132B85">
        <w:rPr>
          <w:rFonts w:ascii="Times New Roman" w:hAnsi="Times New Roman" w:cs="Times New Roman"/>
          <w:i/>
          <w:sz w:val="24"/>
          <w:szCs w:val="24"/>
          <w:lang w:eastAsia="it-IT"/>
        </w:rPr>
        <w:t>”</w:t>
      </w:r>
      <w:r w:rsidR="003376BE" w:rsidRPr="00132B85">
        <w:rPr>
          <w:rFonts w:ascii="Times New Roman" w:hAnsi="Times New Roman" w:cs="Times New Roman"/>
          <w:i/>
          <w:sz w:val="24"/>
          <w:szCs w:val="24"/>
          <w:lang w:eastAsia="it-IT"/>
        </w:rPr>
        <w:t xml:space="preserve"> </w:t>
      </w:r>
      <w:r w:rsidR="003376BE" w:rsidRPr="00132B85">
        <w:rPr>
          <w:rFonts w:ascii="Times New Roman" w:hAnsi="Times New Roman" w:cs="Times New Roman"/>
          <w:sz w:val="24"/>
          <w:szCs w:val="24"/>
          <w:lang w:eastAsia="it-IT"/>
        </w:rPr>
        <w:t>che ha</w:t>
      </w:r>
      <w:r w:rsidR="00E120D2" w:rsidRPr="00132B85">
        <w:rPr>
          <w:rFonts w:ascii="Times New Roman" w:hAnsi="Times New Roman" w:cs="Times New Roman"/>
          <w:sz w:val="24"/>
          <w:szCs w:val="24"/>
          <w:lang w:eastAsia="it-IT"/>
        </w:rPr>
        <w:t xml:space="preserve">nno dato attuazione a tale </w:t>
      </w:r>
      <w:r w:rsidR="003376BE" w:rsidRPr="00132B85">
        <w:rPr>
          <w:rFonts w:ascii="Times New Roman" w:hAnsi="Times New Roman" w:cs="Times New Roman"/>
          <w:sz w:val="24"/>
          <w:szCs w:val="24"/>
        </w:rPr>
        <w:t>modello</w:t>
      </w:r>
      <w:r w:rsidR="00E120D2" w:rsidRPr="00132B85">
        <w:rPr>
          <w:rStyle w:val="Rimandonotaapidipagina"/>
          <w:rFonts w:ascii="Times New Roman" w:hAnsi="Times New Roman" w:cs="Times New Roman"/>
          <w:sz w:val="24"/>
          <w:szCs w:val="24"/>
        </w:rPr>
        <w:footnoteReference w:id="22"/>
      </w:r>
      <w:r w:rsidR="003376BE"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C</w:t>
      </w:r>
      <w:r w:rsidR="00E120D2" w:rsidRPr="00132B85">
        <w:rPr>
          <w:rFonts w:ascii="Times New Roman" w:hAnsi="Times New Roman" w:cs="Times New Roman"/>
          <w:sz w:val="24"/>
          <w:szCs w:val="24"/>
        </w:rPr>
        <w:t xml:space="preserve">on </w:t>
      </w:r>
      <w:r w:rsidR="00204AA8">
        <w:rPr>
          <w:rFonts w:ascii="Times New Roman" w:hAnsi="Times New Roman" w:cs="Times New Roman"/>
          <w:sz w:val="24"/>
          <w:szCs w:val="24"/>
        </w:rPr>
        <w:t>il d.</w:t>
      </w:r>
      <w:r w:rsid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00204AA8">
        <w:rPr>
          <w:rFonts w:ascii="Times New Roman" w:hAnsi="Times New Roman" w:cs="Times New Roman"/>
          <w:sz w:val="24"/>
          <w:szCs w:val="24"/>
        </w:rPr>
        <w:t xml:space="preserve"> 3 maggio 2024</w:t>
      </w:r>
      <w:r w:rsidR="00967323" w:rsidRPr="00132B85">
        <w:rPr>
          <w:rFonts w:ascii="Times New Roman" w:hAnsi="Times New Roman" w:cs="Times New Roman"/>
          <w:sz w:val="24"/>
          <w:szCs w:val="24"/>
        </w:rPr>
        <w:t xml:space="preserve"> n. 62</w:t>
      </w:r>
      <w:r w:rsidRPr="00132B85">
        <w:rPr>
          <w:rFonts w:ascii="Times New Roman" w:hAnsi="Times New Roman" w:cs="Times New Roman"/>
          <w:sz w:val="24"/>
          <w:szCs w:val="24"/>
        </w:rPr>
        <w:t xml:space="preserve">, </w:t>
      </w:r>
      <w:r w:rsidR="00204AA8">
        <w:rPr>
          <w:rFonts w:ascii="Times New Roman" w:hAnsi="Times New Roman" w:cs="Times New Roman"/>
          <w:sz w:val="24"/>
          <w:szCs w:val="24"/>
        </w:rPr>
        <w:t>in particolare</w:t>
      </w:r>
      <w:r w:rsidRPr="00132B85">
        <w:rPr>
          <w:rFonts w:ascii="Times New Roman" w:hAnsi="Times New Roman" w:cs="Times New Roman"/>
          <w:sz w:val="24"/>
          <w:szCs w:val="24"/>
        </w:rPr>
        <w:t xml:space="preserve">, </w:t>
      </w:r>
      <w:r w:rsidR="00967323" w:rsidRPr="00132B85">
        <w:rPr>
          <w:rFonts w:ascii="Times New Roman" w:hAnsi="Times New Roman" w:cs="Times New Roman"/>
          <w:sz w:val="24"/>
          <w:szCs w:val="24"/>
        </w:rPr>
        <w:t xml:space="preserve">è stato messo al </w:t>
      </w:r>
      <w:r w:rsidR="00967323" w:rsidRPr="00132B85">
        <w:rPr>
          <w:rFonts w:ascii="Times New Roman" w:hAnsi="Times New Roman" w:cs="Times New Roman"/>
          <w:sz w:val="24"/>
          <w:szCs w:val="24"/>
        </w:rPr>
        <w:lastRenderedPageBreak/>
        <w:t>centro dell’intero sistema di tutela delle persone fragili l’istituto del “progetto di</w:t>
      </w:r>
      <w:r w:rsidR="00E120D2" w:rsidRPr="00132B85">
        <w:rPr>
          <w:rFonts w:ascii="Times New Roman" w:hAnsi="Times New Roman" w:cs="Times New Roman"/>
          <w:sz w:val="24"/>
          <w:szCs w:val="24"/>
        </w:rPr>
        <w:t xml:space="preserve"> vita” o “progetto individuale”, introdotto </w:t>
      </w:r>
      <w:r w:rsidR="00967323" w:rsidRPr="00132B85">
        <w:rPr>
          <w:rFonts w:ascii="Times New Roman" w:hAnsi="Times New Roman" w:cs="Times New Roman"/>
          <w:sz w:val="24"/>
          <w:szCs w:val="24"/>
        </w:rPr>
        <w:t xml:space="preserve">in maniera sperimentale con </w:t>
      </w:r>
      <w:r w:rsidR="00D117F8" w:rsidRPr="00132B85">
        <w:rPr>
          <w:rFonts w:ascii="Times New Roman" w:hAnsi="Times New Roman" w:cs="Times New Roman"/>
          <w:sz w:val="24"/>
          <w:szCs w:val="24"/>
        </w:rPr>
        <w:t>l’art. 14</w:t>
      </w:r>
      <w:r w:rsidR="00967323" w:rsidRPr="00132B85">
        <w:rPr>
          <w:rFonts w:ascii="Times New Roman" w:hAnsi="Times New Roman" w:cs="Times New Roman"/>
          <w:sz w:val="24"/>
          <w:szCs w:val="24"/>
        </w:rPr>
        <w:t xml:space="preserve">, </w:t>
      </w:r>
      <w:r w:rsidR="009D7DE3">
        <w:rPr>
          <w:rFonts w:ascii="Times New Roman" w:hAnsi="Times New Roman" w:cs="Times New Roman"/>
          <w:sz w:val="24"/>
          <w:szCs w:val="24"/>
        </w:rPr>
        <w:t>l</w:t>
      </w:r>
      <w:r w:rsidR="00D117F8" w:rsidRPr="00132B85">
        <w:rPr>
          <w:rFonts w:ascii="Times New Roman" w:hAnsi="Times New Roman" w:cs="Times New Roman"/>
          <w:sz w:val="24"/>
          <w:szCs w:val="24"/>
        </w:rPr>
        <w:t>. 8 novembre 2000, n. 328</w:t>
      </w:r>
      <w:r w:rsidR="00E120D2" w:rsidRPr="00132B85">
        <w:rPr>
          <w:rFonts w:ascii="Times New Roman" w:hAnsi="Times New Roman" w:cs="Times New Roman"/>
          <w:sz w:val="24"/>
          <w:szCs w:val="24"/>
        </w:rPr>
        <w:t>.</w:t>
      </w:r>
    </w:p>
    <w:p w14:paraId="20B38169" w14:textId="77777777" w:rsidR="00E120D2" w:rsidRPr="00132B85" w:rsidRDefault="00E120D2" w:rsidP="00E65B62">
      <w:pPr>
        <w:pStyle w:val="wkit-indentation-level-0"/>
        <w:shd w:val="clear" w:color="auto" w:fill="FFFFFF"/>
        <w:spacing w:before="0" w:beforeAutospacing="0" w:after="120" w:afterAutospacing="0"/>
        <w:jc w:val="both"/>
      </w:pPr>
      <w:r w:rsidRPr="00132B85">
        <w:t>Si tratta di un provvedimento il cui contenuto è definito da</w:t>
      </w:r>
      <w:r w:rsidR="00D117F8" w:rsidRPr="00132B85">
        <w:t xml:space="preserve">i Comuni, d’intesa con le Aziende Unità Sanitarie Locali, su richiesta dell’interessato, </w:t>
      </w:r>
      <w:r w:rsidRPr="00132B85">
        <w:t xml:space="preserve">e volto ad individuare le prestazioni </w:t>
      </w:r>
      <w:r w:rsidR="00D117F8" w:rsidRPr="00132B85">
        <w:t xml:space="preserve">per realizzare la piena integrazione delle persone disabili, nell’ambito della vita familiare e sociale, nonché nei percorsi dell’istruzione scolastica o professionale e del lavoro. </w:t>
      </w:r>
    </w:p>
    <w:p w14:paraId="7A8B97F9" w14:textId="23262A6E" w:rsidR="00711473" w:rsidRPr="00132B85" w:rsidRDefault="00E120D2" w:rsidP="00E65B62">
      <w:pPr>
        <w:pStyle w:val="wkit-indentation-level-0"/>
        <w:shd w:val="clear" w:color="auto" w:fill="FFFFFF"/>
        <w:spacing w:before="0" w:beforeAutospacing="0" w:after="120" w:afterAutospacing="0"/>
        <w:jc w:val="both"/>
      </w:pPr>
      <w:r w:rsidRPr="00204AA8">
        <w:t>Quel che maggiormente rileva in questa sede è evidenziare la complessità del tipo di prestazioni ed interventi che abbracciano tutti i momenti della vita della persona con disabilità, dalla famiglia alla scuola, al lavoro</w:t>
      </w:r>
      <w:r w:rsidR="00563089" w:rsidRPr="00204AA8">
        <w:t>,</w:t>
      </w:r>
      <w:r w:rsidRPr="00204AA8">
        <w:t xml:space="preserve"> al tempo libero</w:t>
      </w:r>
      <w:r w:rsidR="00D117F8" w:rsidRPr="00204AA8">
        <w:t xml:space="preserve">, </w:t>
      </w:r>
      <w:r w:rsidRPr="00204AA8">
        <w:t xml:space="preserve">e che soddisfano diritti fondamentali differentemente </w:t>
      </w:r>
      <w:r w:rsidR="00563089" w:rsidRPr="00204AA8">
        <w:t xml:space="preserve">classificati </w:t>
      </w:r>
      <w:r w:rsidRPr="00204AA8">
        <w:t>(salute, istruzione, sviluppo sociale,…)</w:t>
      </w:r>
      <w:r w:rsidR="00563089" w:rsidRPr="00204AA8">
        <w:t>,</w:t>
      </w:r>
      <w:r w:rsidRPr="00204AA8">
        <w:t xml:space="preserve"> ma tutti riconducibili all’unitario concetto di tutela e sviluppo della persona (art. 2 e 3 Cost.).</w:t>
      </w:r>
      <w:r w:rsidR="00711473" w:rsidRPr="00132B85">
        <w:t xml:space="preserve"> </w:t>
      </w:r>
    </w:p>
    <w:p w14:paraId="01092579" w14:textId="77777777" w:rsidR="00D23D2E" w:rsidRPr="00132B85" w:rsidRDefault="00563089"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Già la </w:t>
      </w:r>
      <w:r w:rsidR="009C6A45" w:rsidRPr="00132B85">
        <w:rPr>
          <w:rFonts w:ascii="Times New Roman" w:hAnsi="Times New Roman" w:cs="Times New Roman"/>
          <w:sz w:val="24"/>
          <w:szCs w:val="24"/>
        </w:rPr>
        <w:t xml:space="preserve">Corte </w:t>
      </w:r>
      <w:r w:rsidRPr="00132B85">
        <w:rPr>
          <w:rFonts w:ascii="Times New Roman" w:hAnsi="Times New Roman" w:cs="Times New Roman"/>
          <w:sz w:val="24"/>
          <w:szCs w:val="24"/>
        </w:rPr>
        <w:t xml:space="preserve">costituzionale aveva avuto modo di affermare </w:t>
      </w:r>
      <w:r w:rsidR="009C6A45" w:rsidRPr="00132B85">
        <w:rPr>
          <w:rFonts w:ascii="Times New Roman" w:hAnsi="Times New Roman" w:cs="Times New Roman"/>
          <w:sz w:val="24"/>
          <w:szCs w:val="24"/>
        </w:rPr>
        <w:t>che la socializzazione è “</w:t>
      </w:r>
      <w:r w:rsidR="009C6A45" w:rsidRPr="00132B85">
        <w:rPr>
          <w:rFonts w:ascii="Times New Roman" w:hAnsi="Times New Roman" w:cs="Times New Roman"/>
          <w:i/>
          <w:iCs/>
          <w:sz w:val="24"/>
          <w:szCs w:val="24"/>
        </w:rPr>
        <w:t>elemento essenziale per la salute di tali soggetti sì da assumere una funzione sostanzialmente terapeutica assimilabile alle pratiche di cura e riabilitazione</w:t>
      </w:r>
      <w:r w:rsidR="009C6A45" w:rsidRPr="00132B85">
        <w:rPr>
          <w:rFonts w:ascii="Times New Roman" w:hAnsi="Times New Roman" w:cs="Times New Roman"/>
          <w:sz w:val="24"/>
          <w:szCs w:val="24"/>
        </w:rPr>
        <w:t>”.</w:t>
      </w:r>
      <w:r w:rsidR="00D23D2E" w:rsidRPr="00132B85">
        <w:rPr>
          <w:rFonts w:ascii="Times New Roman" w:hAnsi="Times New Roman" w:cs="Times New Roman"/>
          <w:sz w:val="24"/>
          <w:szCs w:val="24"/>
        </w:rPr>
        <w:t xml:space="preserve"> </w:t>
      </w:r>
    </w:p>
    <w:p w14:paraId="29CFC884" w14:textId="5807AFBA" w:rsidR="00D23D2E"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Il Piano </w:t>
      </w:r>
      <w:r w:rsidR="00204AA8">
        <w:rPr>
          <w:rFonts w:ascii="Times New Roman" w:hAnsi="Times New Roman" w:cs="Times New Roman"/>
          <w:sz w:val="24"/>
          <w:szCs w:val="24"/>
        </w:rPr>
        <w:t>di cui al d.</w:t>
      </w:r>
      <w:r w:rsidR="009D7DE3" w:rsidRP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00204AA8">
        <w:rPr>
          <w:rFonts w:ascii="Times New Roman" w:hAnsi="Times New Roman" w:cs="Times New Roman"/>
          <w:sz w:val="24"/>
          <w:szCs w:val="24"/>
        </w:rPr>
        <w:t xml:space="preserve"> n. 62 del 2024 </w:t>
      </w:r>
      <w:r w:rsidRPr="00132B85">
        <w:rPr>
          <w:rFonts w:ascii="Times New Roman" w:hAnsi="Times New Roman" w:cs="Times New Roman"/>
          <w:sz w:val="24"/>
          <w:szCs w:val="24"/>
        </w:rPr>
        <w:t>difatti definisce in primo luogo gli obiettivi della persona con disabilità e ne individua dunque gli strumenti, gli interventi, i servizi e gli accomodamenti ragionevoli, volti ad attivare i supporti necessari per l’inclusione e la partecipazione della persona, nei diversi ambiti di vita (residenzialità, mobilità, soc</w:t>
      </w:r>
      <w:r w:rsidR="00204AA8">
        <w:rPr>
          <w:rFonts w:ascii="Times New Roman" w:hAnsi="Times New Roman" w:cs="Times New Roman"/>
          <w:sz w:val="24"/>
          <w:szCs w:val="24"/>
        </w:rPr>
        <w:t>ialità, lavoro, tempo libero,..</w:t>
      </w:r>
      <w:r w:rsidRPr="00132B85">
        <w:rPr>
          <w:rFonts w:ascii="Times New Roman" w:hAnsi="Times New Roman" w:cs="Times New Roman"/>
          <w:sz w:val="24"/>
          <w:szCs w:val="24"/>
        </w:rPr>
        <w:t>).</w:t>
      </w:r>
    </w:p>
    <w:p w14:paraId="0979CC1B" w14:textId="69E2D44B" w:rsidR="009C6A45"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Si tratta di uno strumento sempre aggiornabile in ragione del mutamento degli specifici bisogni della persona e mai standardizzato, dovendo sempre costituire una proporzionata e personalizzata risposta anche ai desideri, alle inclinazioni e alle aspirazioni del beneficiario e dove le prestazioni di tipo sanitario non sono funzionali solo alla cura biologicamente intesa, ma mirano altresì a consentire l’inclusione sociale e di contro le prestazioni di carattere sociale hanno altresì una funzione terapeutica.</w:t>
      </w:r>
    </w:p>
    <w:p w14:paraId="2097F044" w14:textId="04A0258B" w:rsidR="009C6A45" w:rsidRPr="00132B85" w:rsidRDefault="00D23D2E" w:rsidP="00E65B62">
      <w:pPr>
        <w:jc w:val="both"/>
        <w:rPr>
          <w:rFonts w:ascii="Times New Roman" w:hAnsi="Times New Roman" w:cs="Times New Roman"/>
          <w:sz w:val="24"/>
          <w:szCs w:val="24"/>
        </w:rPr>
      </w:pPr>
      <w:r w:rsidRPr="00132B85">
        <w:rPr>
          <w:rFonts w:ascii="Times New Roman" w:hAnsi="Times New Roman" w:cs="Times New Roman"/>
          <w:sz w:val="24"/>
          <w:szCs w:val="24"/>
        </w:rPr>
        <w:t>S</w:t>
      </w:r>
      <w:r w:rsidR="009C6A45" w:rsidRPr="00132B85">
        <w:rPr>
          <w:rFonts w:ascii="Times New Roman" w:hAnsi="Times New Roman" w:cs="Times New Roman"/>
          <w:sz w:val="24"/>
          <w:szCs w:val="24"/>
        </w:rPr>
        <w:t xml:space="preserve">e si ha riguardo alla persona, </w:t>
      </w:r>
      <w:r w:rsidRPr="00132B85">
        <w:rPr>
          <w:rFonts w:ascii="Times New Roman" w:hAnsi="Times New Roman" w:cs="Times New Roman"/>
          <w:sz w:val="24"/>
          <w:szCs w:val="24"/>
        </w:rPr>
        <w:t xml:space="preserve">dunque, </w:t>
      </w:r>
      <w:r w:rsidR="009C6A45" w:rsidRPr="00132B85">
        <w:rPr>
          <w:rFonts w:ascii="Times New Roman" w:hAnsi="Times New Roman" w:cs="Times New Roman"/>
          <w:sz w:val="24"/>
          <w:szCs w:val="24"/>
        </w:rPr>
        <w:t>salute e socialità non costituiscono autonomi aspetti della vita ma vanno considerati unitariamente.</w:t>
      </w:r>
    </w:p>
    <w:p w14:paraId="7FE92CFA" w14:textId="24E29CAB" w:rsidR="009C6A45" w:rsidRPr="00132B85" w:rsidRDefault="009C6A45"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La riflessione non è banale, se solo si considera che è ancora molto </w:t>
      </w:r>
      <w:r w:rsidR="00563089" w:rsidRPr="00132B85">
        <w:rPr>
          <w:rFonts w:ascii="Times New Roman" w:hAnsi="Times New Roman" w:cs="Times New Roman"/>
          <w:sz w:val="24"/>
          <w:szCs w:val="24"/>
        </w:rPr>
        <w:t xml:space="preserve">sentita </w:t>
      </w:r>
      <w:r w:rsidRPr="00132B85">
        <w:rPr>
          <w:rFonts w:ascii="Times New Roman" w:hAnsi="Times New Roman" w:cs="Times New Roman"/>
          <w:sz w:val="24"/>
          <w:szCs w:val="24"/>
        </w:rPr>
        <w:t xml:space="preserve">la distinzione tra prestazioni sanitarie e prestazioni sociali, tra i cd. </w:t>
      </w:r>
      <w:r w:rsidR="00204AA8">
        <w:rPr>
          <w:rFonts w:ascii="Times New Roman" w:hAnsi="Times New Roman" w:cs="Times New Roman"/>
          <w:sz w:val="24"/>
          <w:szCs w:val="24"/>
        </w:rPr>
        <w:t>livelli essenziali di assistenza (</w:t>
      </w:r>
      <w:r w:rsidRPr="00132B85">
        <w:rPr>
          <w:rFonts w:ascii="Times New Roman" w:hAnsi="Times New Roman" w:cs="Times New Roman"/>
          <w:sz w:val="24"/>
          <w:szCs w:val="24"/>
        </w:rPr>
        <w:t>LEA</w:t>
      </w:r>
      <w:r w:rsidR="00204AA8">
        <w:rPr>
          <w:rFonts w:ascii="Times New Roman" w:hAnsi="Times New Roman" w:cs="Times New Roman"/>
          <w:sz w:val="24"/>
          <w:szCs w:val="24"/>
        </w:rPr>
        <w:t>)</w:t>
      </w:r>
      <w:r w:rsidRPr="00132B85">
        <w:rPr>
          <w:rFonts w:ascii="Times New Roman" w:hAnsi="Times New Roman" w:cs="Times New Roman"/>
          <w:sz w:val="24"/>
          <w:szCs w:val="24"/>
        </w:rPr>
        <w:t xml:space="preserve"> e i cd. </w:t>
      </w:r>
      <w:r w:rsidR="00204AA8">
        <w:rPr>
          <w:rFonts w:ascii="Times New Roman" w:hAnsi="Times New Roman" w:cs="Times New Roman"/>
          <w:sz w:val="24"/>
          <w:szCs w:val="24"/>
        </w:rPr>
        <w:t>livelli essenziali delle prestazioni “sociali” (</w:t>
      </w:r>
      <w:r w:rsidRPr="00132B85">
        <w:rPr>
          <w:rFonts w:ascii="Times New Roman" w:hAnsi="Times New Roman" w:cs="Times New Roman"/>
          <w:sz w:val="24"/>
          <w:szCs w:val="24"/>
        </w:rPr>
        <w:t>LEPS</w:t>
      </w:r>
      <w:r w:rsidR="00204AA8">
        <w:rPr>
          <w:rFonts w:ascii="Times New Roman" w:hAnsi="Times New Roman" w:cs="Times New Roman"/>
          <w:sz w:val="24"/>
          <w:szCs w:val="24"/>
        </w:rPr>
        <w:t>)</w:t>
      </w:r>
      <w:r w:rsidRPr="00132B85">
        <w:rPr>
          <w:rFonts w:ascii="Times New Roman" w:hAnsi="Times New Roman" w:cs="Times New Roman"/>
          <w:sz w:val="24"/>
          <w:szCs w:val="24"/>
        </w:rPr>
        <w:t>.</w:t>
      </w:r>
    </w:p>
    <w:p w14:paraId="715A3ADC" w14:textId="77777777" w:rsidR="00563089" w:rsidRPr="00132B85" w:rsidRDefault="00563089" w:rsidP="00E65B62">
      <w:pPr>
        <w:jc w:val="both"/>
        <w:rPr>
          <w:rFonts w:ascii="Times New Roman" w:hAnsi="Times New Roman" w:cs="Times New Roman"/>
          <w:sz w:val="24"/>
          <w:szCs w:val="24"/>
        </w:rPr>
      </w:pPr>
      <w:r w:rsidRPr="00132B85">
        <w:rPr>
          <w:rFonts w:ascii="Times New Roman" w:hAnsi="Times New Roman" w:cs="Times New Roman"/>
          <w:sz w:val="24"/>
          <w:szCs w:val="24"/>
        </w:rPr>
        <w:t>Eppure l’unitarietà del Piano, come concepita dallo stesso legislatore, sembra il frutto proprio del superamento di una concezione atomistica delle prestazioni da realizzare per dare effettività al riconoscimento dei diritti fondamentali delle persone con disabilità.</w:t>
      </w:r>
    </w:p>
    <w:p w14:paraId="1345D32E" w14:textId="0EEFF7BE" w:rsidR="00563089" w:rsidRPr="00132B85" w:rsidRDefault="00563089" w:rsidP="00E65B62">
      <w:pPr>
        <w:jc w:val="both"/>
        <w:rPr>
          <w:rFonts w:ascii="Times New Roman" w:hAnsi="Times New Roman" w:cs="Times New Roman"/>
          <w:b/>
          <w:sz w:val="24"/>
          <w:szCs w:val="24"/>
        </w:rPr>
      </w:pPr>
    </w:p>
    <w:p w14:paraId="7AE76EDB" w14:textId="286E90D2" w:rsidR="00CB6142" w:rsidRPr="00132B85" w:rsidRDefault="005A15A2" w:rsidP="00E65B62">
      <w:pPr>
        <w:jc w:val="both"/>
        <w:rPr>
          <w:rFonts w:ascii="Times New Roman" w:hAnsi="Times New Roman" w:cs="Times New Roman"/>
          <w:b/>
          <w:sz w:val="24"/>
          <w:szCs w:val="24"/>
        </w:rPr>
      </w:pPr>
      <w:r w:rsidRPr="00132B85">
        <w:rPr>
          <w:rFonts w:ascii="Times New Roman" w:hAnsi="Times New Roman" w:cs="Times New Roman"/>
          <w:b/>
          <w:sz w:val="24"/>
          <w:szCs w:val="24"/>
        </w:rPr>
        <w:t>3</w:t>
      </w:r>
      <w:r w:rsidR="006A0166">
        <w:rPr>
          <w:rFonts w:ascii="Times New Roman" w:hAnsi="Times New Roman" w:cs="Times New Roman"/>
          <w:b/>
          <w:sz w:val="24"/>
          <w:szCs w:val="24"/>
        </w:rPr>
        <w:t>. La varietà delle prestazioni per garantire i diritti fondamentali delle persone con disabilità</w:t>
      </w:r>
      <w:r w:rsidR="002C5C4C">
        <w:rPr>
          <w:rFonts w:ascii="Times New Roman" w:hAnsi="Times New Roman" w:cs="Times New Roman"/>
          <w:b/>
          <w:sz w:val="24"/>
          <w:szCs w:val="24"/>
        </w:rPr>
        <w:t xml:space="preserve"> e la necessità di un “accomodamento ragionevole”</w:t>
      </w:r>
      <w:r w:rsidR="00D45076" w:rsidRPr="00132B85">
        <w:rPr>
          <w:rFonts w:ascii="Times New Roman" w:hAnsi="Times New Roman" w:cs="Times New Roman"/>
          <w:b/>
          <w:sz w:val="24"/>
          <w:szCs w:val="24"/>
        </w:rPr>
        <w:t>.</w:t>
      </w:r>
    </w:p>
    <w:p w14:paraId="31A34793" w14:textId="343EDF6B" w:rsidR="00CB6142" w:rsidRPr="00132B85" w:rsidRDefault="00706E38"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Per quel che rileva in questa sede il passaggio da un modello solo medico ad uno bio-psico-sociale ha determinato non solo un ampliamento delle prestazioni necessarie per garantire l’effettività dei diritti della persona con disabilità, ma altresì un mutamento della tipologia di prestazioni (sociali, …) </w:t>
      </w:r>
      <w:r w:rsidR="005A15A2" w:rsidRPr="00132B85">
        <w:rPr>
          <w:rFonts w:ascii="Times New Roman" w:hAnsi="Times New Roman" w:cs="Times New Roman"/>
          <w:sz w:val="24"/>
          <w:szCs w:val="24"/>
        </w:rPr>
        <w:t>tutte unitariamente finalizzate alla tutela della persona.</w:t>
      </w:r>
    </w:p>
    <w:p w14:paraId="618261BE" w14:textId="731B563B" w:rsidR="001E3712" w:rsidRPr="00132B85" w:rsidRDefault="006A0166" w:rsidP="00E65B62">
      <w:pPr>
        <w:jc w:val="both"/>
        <w:rPr>
          <w:rFonts w:ascii="Times New Roman" w:hAnsi="Times New Roman" w:cs="Times New Roman"/>
          <w:sz w:val="24"/>
          <w:szCs w:val="24"/>
        </w:rPr>
      </w:pPr>
      <w:r>
        <w:rPr>
          <w:rFonts w:ascii="Times New Roman" w:hAnsi="Times New Roman" w:cs="Times New Roman"/>
          <w:sz w:val="24"/>
          <w:szCs w:val="24"/>
        </w:rPr>
        <w:t>S</w:t>
      </w:r>
      <w:r w:rsidRPr="00132B85">
        <w:rPr>
          <w:rFonts w:ascii="Times New Roman" w:hAnsi="Times New Roman" w:cs="Times New Roman"/>
          <w:sz w:val="24"/>
          <w:szCs w:val="24"/>
        </w:rPr>
        <w:t xml:space="preserve">i è passati da prestazioni meramente sanitarie e assistenziali a prestazioni che </w:t>
      </w:r>
      <w:r w:rsidR="002E69F0">
        <w:rPr>
          <w:rFonts w:ascii="Times New Roman" w:hAnsi="Times New Roman" w:cs="Times New Roman"/>
          <w:sz w:val="24"/>
          <w:szCs w:val="24"/>
        </w:rPr>
        <w:t xml:space="preserve">coinvolgono </w:t>
      </w:r>
      <w:r w:rsidRPr="00132B85">
        <w:rPr>
          <w:rFonts w:ascii="Times New Roman" w:hAnsi="Times New Roman" w:cs="Times New Roman"/>
          <w:sz w:val="24"/>
          <w:szCs w:val="24"/>
        </w:rPr>
        <w:t>la vita della persona nella sua dimensione sociale, familiare, lavorativa, scolastica</w:t>
      </w:r>
      <w:r>
        <w:rPr>
          <w:rFonts w:ascii="Times New Roman" w:hAnsi="Times New Roman" w:cs="Times New Roman"/>
          <w:sz w:val="24"/>
          <w:szCs w:val="24"/>
        </w:rPr>
        <w:t xml:space="preserve"> e più in generale il pieno sviluppo della persona nella sua dimensione sociale.</w:t>
      </w:r>
    </w:p>
    <w:p w14:paraId="6A517C0F" w14:textId="493A26B9" w:rsidR="00CB6142" w:rsidRPr="00132B85" w:rsidRDefault="00CB6142" w:rsidP="00E65B62">
      <w:pPr>
        <w:jc w:val="both"/>
        <w:rPr>
          <w:rFonts w:ascii="Times New Roman" w:hAnsi="Times New Roman" w:cs="Times New Roman"/>
          <w:i/>
          <w:sz w:val="24"/>
          <w:szCs w:val="24"/>
        </w:rPr>
      </w:pPr>
      <w:r w:rsidRPr="00132B85">
        <w:rPr>
          <w:rFonts w:ascii="Times New Roman" w:hAnsi="Times New Roman" w:cs="Times New Roman"/>
          <w:sz w:val="24"/>
          <w:szCs w:val="24"/>
        </w:rPr>
        <w:lastRenderedPageBreak/>
        <w:t xml:space="preserve">Come ha rilevato la </w:t>
      </w:r>
      <w:r w:rsidRPr="006A0166">
        <w:rPr>
          <w:rFonts w:ascii="Times New Roman" w:hAnsi="Times New Roman" w:cs="Times New Roman"/>
          <w:sz w:val="24"/>
          <w:szCs w:val="24"/>
        </w:rPr>
        <w:t>Corte costituzionale</w:t>
      </w:r>
      <w:r w:rsidR="006A0166">
        <w:rPr>
          <w:rStyle w:val="Rimandonotaapidipagina"/>
          <w:rFonts w:ascii="Times New Roman" w:hAnsi="Times New Roman" w:cs="Times New Roman"/>
          <w:sz w:val="24"/>
          <w:szCs w:val="24"/>
        </w:rPr>
        <w:footnoteReference w:id="23"/>
      </w:r>
      <w:r w:rsidRPr="006A0166">
        <w:rPr>
          <w:rFonts w:ascii="Times New Roman" w:hAnsi="Times New Roman" w:cs="Times New Roman"/>
          <w:sz w:val="24"/>
          <w:szCs w:val="24"/>
        </w:rPr>
        <w:t xml:space="preserve">, </w:t>
      </w:r>
      <w:r w:rsidR="0013178A" w:rsidRPr="006A0166">
        <w:rPr>
          <w:rFonts w:ascii="Times New Roman" w:hAnsi="Times New Roman" w:cs="Times New Roman"/>
          <w:sz w:val="24"/>
          <w:szCs w:val="24"/>
        </w:rPr>
        <w:t>allorché</w:t>
      </w:r>
      <w:r w:rsidRPr="006A0166">
        <w:rPr>
          <w:rFonts w:ascii="Times New Roman" w:hAnsi="Times New Roman" w:cs="Times New Roman"/>
          <w:sz w:val="24"/>
          <w:szCs w:val="24"/>
        </w:rPr>
        <w:t xml:space="preserve"> è stata chiamata a pronunciarsi sulla legittimità della stessa legge </w:t>
      </w:r>
      <w:r w:rsidR="006A0166">
        <w:rPr>
          <w:rFonts w:ascii="Times New Roman" w:hAnsi="Times New Roman" w:cs="Times New Roman"/>
          <w:sz w:val="24"/>
          <w:szCs w:val="24"/>
        </w:rPr>
        <w:t xml:space="preserve">n. </w:t>
      </w:r>
      <w:r w:rsidRPr="006A0166">
        <w:rPr>
          <w:rFonts w:ascii="Times New Roman" w:hAnsi="Times New Roman" w:cs="Times New Roman"/>
          <w:sz w:val="24"/>
          <w:szCs w:val="24"/>
        </w:rPr>
        <w:t xml:space="preserve">104 del 1992 per lesione delle competenze regionali: </w:t>
      </w:r>
      <w:r w:rsidR="006A0166">
        <w:rPr>
          <w:rFonts w:ascii="Times New Roman" w:hAnsi="Times New Roman" w:cs="Times New Roman"/>
          <w:sz w:val="24"/>
          <w:szCs w:val="24"/>
        </w:rPr>
        <w:t>“</w:t>
      </w:r>
      <w:r w:rsidRPr="006A0166">
        <w:rPr>
          <w:rFonts w:ascii="Times New Roman" w:hAnsi="Times New Roman" w:cs="Times New Roman"/>
          <w:i/>
          <w:sz w:val="24"/>
          <w:szCs w:val="24"/>
        </w:rPr>
        <w:t>La legge impugnata, rispondendo ad un'esigenza profondamente avvertita, è diretta ad assicurare in un quadro globale ed organico la tutela del portatore di handicap. Essa incide perciò necessariamente in settori diversi, spaziando dalla ricerca scientifica ad interventi di tipo sanitario ed assistenziale, di inserimento nel campo della formazione professionale e nell'ambiente di lavoro, di integrazione scolastica, di eliminazione di barriere architettoniche e in genere di ostacolo all'esercizio di varie attività e di molteplici diritti costituzionalmente protetti. La tutela così apprestata dalla legge dunque investe necessariamente oggetti che afferiscono parte a competenze statali e parte ad attribuzioni regionali e di enti minori. D'altra parte il suo complessivo disegno è fondato sulla esigenza di perseguire un evidente interesse nazionale, stringente ed infrazionabile, quale è quello di garantire in tutto il territorio nazionale un livello uniforme di realizzazione di diritti costituzionali fondamentali dei soggetti portatori di handicaps. Al perseguimento di simile interesse partecipano, con lo Stato, gli enti locali minori e le Regioni, nel quadro dei principi posti dalla legge e secondo le modalità ed i limiti necessari ad assicurare l'effettivo soddisfacimento dell'interesse medesimo</w:t>
      </w:r>
      <w:r w:rsidRPr="00132B85">
        <w:rPr>
          <w:rFonts w:ascii="Times New Roman" w:hAnsi="Times New Roman" w:cs="Times New Roman"/>
          <w:i/>
          <w:sz w:val="24"/>
          <w:szCs w:val="24"/>
        </w:rPr>
        <w:t>. “</w:t>
      </w:r>
    </w:p>
    <w:p w14:paraId="39A87B66" w14:textId="6299B06D" w:rsidR="00CB6142" w:rsidRDefault="00CB6142" w:rsidP="00E65B62">
      <w:pPr>
        <w:jc w:val="both"/>
        <w:rPr>
          <w:rFonts w:ascii="Times New Roman" w:hAnsi="Times New Roman" w:cs="Times New Roman"/>
          <w:sz w:val="24"/>
          <w:szCs w:val="24"/>
        </w:rPr>
      </w:pPr>
      <w:r w:rsidRPr="00F9513D">
        <w:rPr>
          <w:rFonts w:ascii="Times New Roman" w:hAnsi="Times New Roman" w:cs="Times New Roman"/>
          <w:sz w:val="24"/>
          <w:szCs w:val="24"/>
        </w:rPr>
        <w:t>Con la sentenza del 10 maggio 1999 n. 167, la Corte costituzionale ha ribadito l’intervenuto mutamento di prospettiva rispetto alle problematiche delle persone disabili, non più considerate in una dimensione meramente individuale, essendo questioni che l’intera collettività è chiamata a risolvere</w:t>
      </w:r>
      <w:r w:rsidR="00332108" w:rsidRPr="00F9513D">
        <w:rPr>
          <w:rFonts w:ascii="Times New Roman" w:hAnsi="Times New Roman" w:cs="Times New Roman"/>
          <w:sz w:val="24"/>
          <w:szCs w:val="24"/>
        </w:rPr>
        <w:t>.</w:t>
      </w:r>
    </w:p>
    <w:p w14:paraId="523E57A3" w14:textId="0D72215A" w:rsidR="006A0166" w:rsidRPr="00132B85" w:rsidRDefault="006A0166" w:rsidP="006A0166">
      <w:pPr>
        <w:jc w:val="both"/>
        <w:rPr>
          <w:rFonts w:ascii="Times New Roman" w:hAnsi="Times New Roman" w:cs="Times New Roman"/>
          <w:sz w:val="24"/>
          <w:szCs w:val="24"/>
        </w:rPr>
      </w:pPr>
      <w:r w:rsidRPr="00132B85">
        <w:rPr>
          <w:rFonts w:ascii="Times New Roman" w:hAnsi="Times New Roman" w:cs="Times New Roman"/>
          <w:sz w:val="24"/>
          <w:szCs w:val="24"/>
        </w:rPr>
        <w:t xml:space="preserve">Le Amministrazioni coinvolte sono </w:t>
      </w:r>
      <w:r>
        <w:rPr>
          <w:rFonts w:ascii="Times New Roman" w:hAnsi="Times New Roman" w:cs="Times New Roman"/>
          <w:sz w:val="24"/>
          <w:szCs w:val="24"/>
        </w:rPr>
        <w:t xml:space="preserve">dunque </w:t>
      </w:r>
      <w:r w:rsidRPr="00132B85">
        <w:rPr>
          <w:rFonts w:ascii="Times New Roman" w:hAnsi="Times New Roman" w:cs="Times New Roman"/>
          <w:sz w:val="24"/>
          <w:szCs w:val="24"/>
        </w:rPr>
        <w:t>chiamate a dare effettività a tali diritti fondamentali attraverso l’erogazione di prestazioni, atte ad eliminare quegli ostacoli alla libertà e all’eguaglianza.</w:t>
      </w:r>
      <w:r w:rsidRPr="006A0166">
        <w:rPr>
          <w:rFonts w:ascii="Times New Roman" w:hAnsi="Times New Roman" w:cs="Times New Roman"/>
          <w:sz w:val="24"/>
          <w:szCs w:val="24"/>
        </w:rPr>
        <w:t xml:space="preserve"> </w:t>
      </w:r>
      <w:r w:rsidRPr="00132B85">
        <w:rPr>
          <w:rFonts w:ascii="Times New Roman" w:hAnsi="Times New Roman" w:cs="Times New Roman"/>
          <w:sz w:val="24"/>
          <w:szCs w:val="24"/>
        </w:rPr>
        <w:t xml:space="preserve">Si tratta di </w:t>
      </w:r>
      <w:r w:rsidRPr="006A0166">
        <w:rPr>
          <w:rFonts w:ascii="Times New Roman" w:hAnsi="Times New Roman" w:cs="Times New Roman"/>
          <w:sz w:val="24"/>
          <w:szCs w:val="24"/>
        </w:rPr>
        <w:t>prestazioni “personalistiche” costruite di volta in</w:t>
      </w:r>
      <w:r w:rsidR="00F9513D">
        <w:rPr>
          <w:rFonts w:ascii="Times New Roman" w:hAnsi="Times New Roman" w:cs="Times New Roman"/>
          <w:sz w:val="24"/>
          <w:szCs w:val="24"/>
        </w:rPr>
        <w:t xml:space="preserve"> volta sui bisogni del singolo e da cui discendono anche profili che ne rendono più difficilmente programmabile la relativa spesa. L’attività di programmazione, su cui si avrà modo di tornare, costituisce in realtà </w:t>
      </w:r>
      <w:r w:rsidR="00270F64">
        <w:rPr>
          <w:rFonts w:ascii="Times New Roman" w:hAnsi="Times New Roman" w:cs="Times New Roman"/>
          <w:sz w:val="24"/>
          <w:szCs w:val="24"/>
        </w:rPr>
        <w:t xml:space="preserve">uno degli snodi centrali della problematica ivi affrontata e necessiterebbe una </w:t>
      </w:r>
      <w:r w:rsidR="00083A09">
        <w:rPr>
          <w:rFonts w:ascii="Times New Roman" w:hAnsi="Times New Roman" w:cs="Times New Roman"/>
          <w:sz w:val="24"/>
          <w:szCs w:val="24"/>
        </w:rPr>
        <w:t>più attenta e scrupolosa analisi da parte degli amministratori e del legislatore</w:t>
      </w:r>
      <w:r w:rsidR="00083A09">
        <w:rPr>
          <w:rStyle w:val="Rimandonotaapidipagina"/>
          <w:rFonts w:ascii="Times New Roman" w:hAnsi="Times New Roman" w:cs="Times New Roman"/>
          <w:sz w:val="24"/>
          <w:szCs w:val="24"/>
        </w:rPr>
        <w:footnoteReference w:id="24"/>
      </w:r>
      <w:r w:rsidR="00083A09">
        <w:rPr>
          <w:rFonts w:ascii="Times New Roman" w:hAnsi="Times New Roman" w:cs="Times New Roman"/>
          <w:sz w:val="24"/>
          <w:szCs w:val="24"/>
        </w:rPr>
        <w:t>.</w:t>
      </w:r>
    </w:p>
    <w:p w14:paraId="3CB4F3F6" w14:textId="77777777" w:rsidR="006A0166" w:rsidRDefault="006A0166" w:rsidP="006A0166">
      <w:pPr>
        <w:jc w:val="both"/>
        <w:rPr>
          <w:rFonts w:ascii="Times New Roman" w:hAnsi="Times New Roman" w:cs="Times New Roman"/>
          <w:sz w:val="24"/>
          <w:szCs w:val="24"/>
        </w:rPr>
      </w:pPr>
      <w:r>
        <w:rPr>
          <w:rFonts w:ascii="Times New Roman" w:hAnsi="Times New Roman" w:cs="Times New Roman"/>
          <w:sz w:val="24"/>
          <w:szCs w:val="24"/>
        </w:rPr>
        <w:t>Occorre rilevare che in tal modo, p</w:t>
      </w:r>
      <w:r w:rsidRPr="00132B85">
        <w:rPr>
          <w:rFonts w:ascii="Times New Roman" w:hAnsi="Times New Roman" w:cs="Times New Roman"/>
          <w:sz w:val="24"/>
          <w:szCs w:val="24"/>
        </w:rPr>
        <w:t>er le persone con disabilità</w:t>
      </w:r>
      <w:r>
        <w:rPr>
          <w:rFonts w:ascii="Times New Roman" w:hAnsi="Times New Roman" w:cs="Times New Roman"/>
          <w:sz w:val="24"/>
          <w:szCs w:val="24"/>
        </w:rPr>
        <w:t>,</w:t>
      </w:r>
      <w:r w:rsidRPr="00132B85">
        <w:rPr>
          <w:rFonts w:ascii="Times New Roman" w:hAnsi="Times New Roman" w:cs="Times New Roman"/>
          <w:sz w:val="24"/>
          <w:szCs w:val="24"/>
        </w:rPr>
        <w:t xml:space="preserve"> anche i diritti di libertà </w:t>
      </w:r>
      <w:r>
        <w:rPr>
          <w:rFonts w:ascii="Times New Roman" w:hAnsi="Times New Roman" w:cs="Times New Roman"/>
          <w:sz w:val="24"/>
          <w:szCs w:val="24"/>
        </w:rPr>
        <w:t xml:space="preserve">e non solo quelli sociali, </w:t>
      </w:r>
      <w:r w:rsidRPr="00132B85">
        <w:rPr>
          <w:rFonts w:ascii="Times New Roman" w:hAnsi="Times New Roman" w:cs="Times New Roman"/>
          <w:sz w:val="24"/>
          <w:szCs w:val="24"/>
        </w:rPr>
        <w:t>finiscono col richiedere prestazioni personalizzate</w:t>
      </w:r>
      <w:r>
        <w:rPr>
          <w:rFonts w:ascii="Times New Roman" w:hAnsi="Times New Roman" w:cs="Times New Roman"/>
          <w:sz w:val="24"/>
          <w:szCs w:val="24"/>
        </w:rPr>
        <w:t xml:space="preserve"> di </w:t>
      </w:r>
      <w:r w:rsidRPr="006A0166">
        <w:rPr>
          <w:rFonts w:ascii="Times New Roman" w:hAnsi="Times New Roman" w:cs="Times New Roman"/>
          <w:i/>
          <w:sz w:val="24"/>
          <w:szCs w:val="24"/>
        </w:rPr>
        <w:t>facere</w:t>
      </w:r>
      <w:r>
        <w:rPr>
          <w:rFonts w:ascii="Times New Roman" w:hAnsi="Times New Roman" w:cs="Times New Roman"/>
          <w:sz w:val="24"/>
          <w:szCs w:val="24"/>
        </w:rPr>
        <w:t xml:space="preserve"> e più in generale di intervento pubblico, venendo così ad </w:t>
      </w:r>
      <w:r w:rsidRPr="00132B85">
        <w:rPr>
          <w:rFonts w:ascii="Times New Roman" w:hAnsi="Times New Roman" w:cs="Times New Roman"/>
          <w:sz w:val="24"/>
          <w:szCs w:val="24"/>
        </w:rPr>
        <w:t>affievoli</w:t>
      </w:r>
      <w:r>
        <w:rPr>
          <w:rFonts w:ascii="Times New Roman" w:hAnsi="Times New Roman" w:cs="Times New Roman"/>
          <w:sz w:val="24"/>
          <w:szCs w:val="24"/>
        </w:rPr>
        <w:t xml:space="preserve">rsi </w:t>
      </w:r>
      <w:r w:rsidRPr="00132B85">
        <w:rPr>
          <w:rFonts w:ascii="Times New Roman" w:hAnsi="Times New Roman" w:cs="Times New Roman"/>
          <w:sz w:val="24"/>
          <w:szCs w:val="24"/>
        </w:rPr>
        <w:t xml:space="preserve">la </w:t>
      </w:r>
      <w:r>
        <w:rPr>
          <w:rFonts w:ascii="Times New Roman" w:hAnsi="Times New Roman" w:cs="Times New Roman"/>
          <w:sz w:val="24"/>
          <w:szCs w:val="24"/>
        </w:rPr>
        <w:t xml:space="preserve">sopra richiamata </w:t>
      </w:r>
      <w:r w:rsidRPr="00132B85">
        <w:rPr>
          <w:rFonts w:ascii="Times New Roman" w:hAnsi="Times New Roman" w:cs="Times New Roman"/>
          <w:sz w:val="24"/>
          <w:szCs w:val="24"/>
        </w:rPr>
        <w:t>distinzione tra diritti sociali e diritti di libertà.</w:t>
      </w:r>
    </w:p>
    <w:p w14:paraId="57D7962E" w14:textId="04D7B1B0" w:rsidR="007C3CCC" w:rsidRPr="00132B85" w:rsidRDefault="00DE3BB5" w:rsidP="00E65B62">
      <w:pPr>
        <w:jc w:val="both"/>
        <w:rPr>
          <w:rFonts w:ascii="Times New Roman" w:hAnsi="Times New Roman" w:cs="Times New Roman"/>
          <w:sz w:val="24"/>
          <w:szCs w:val="24"/>
        </w:rPr>
      </w:pPr>
      <w:r w:rsidRPr="00132B85">
        <w:rPr>
          <w:rFonts w:ascii="Times New Roman" w:hAnsi="Times New Roman" w:cs="Times New Roman"/>
          <w:sz w:val="24"/>
          <w:szCs w:val="24"/>
        </w:rPr>
        <w:lastRenderedPageBreak/>
        <w:t>Il potere amministrativo r</w:t>
      </w:r>
      <w:r w:rsidR="007C3CCC" w:rsidRPr="00132B85">
        <w:rPr>
          <w:rFonts w:ascii="Times New Roman" w:hAnsi="Times New Roman" w:cs="Times New Roman"/>
          <w:sz w:val="24"/>
          <w:szCs w:val="24"/>
        </w:rPr>
        <w:t xml:space="preserve">iempie di contenuto </w:t>
      </w:r>
      <w:r w:rsidRPr="00132B85">
        <w:rPr>
          <w:rFonts w:ascii="Times New Roman" w:hAnsi="Times New Roman" w:cs="Times New Roman"/>
          <w:sz w:val="24"/>
          <w:szCs w:val="24"/>
        </w:rPr>
        <w:t>“</w:t>
      </w:r>
      <w:r w:rsidR="007C3CCC" w:rsidRPr="00132B85">
        <w:rPr>
          <w:rFonts w:ascii="Times New Roman" w:hAnsi="Times New Roman" w:cs="Times New Roman"/>
          <w:i/>
          <w:sz w:val="24"/>
          <w:szCs w:val="24"/>
        </w:rPr>
        <w:t>un catalogo di diritti dal contenuto altrimenti puramente simbolico</w:t>
      </w:r>
      <w:r w:rsidRPr="00132B85">
        <w:rPr>
          <w:rFonts w:ascii="Times New Roman" w:hAnsi="Times New Roman" w:cs="Times New Roman"/>
          <w:sz w:val="24"/>
          <w:szCs w:val="24"/>
        </w:rPr>
        <w:t>”</w:t>
      </w:r>
      <w:r w:rsidR="007C3CCC" w:rsidRPr="00132B85">
        <w:rPr>
          <w:rStyle w:val="Rimandonotaapidipagina"/>
          <w:rFonts w:ascii="Times New Roman" w:hAnsi="Times New Roman" w:cs="Times New Roman"/>
          <w:sz w:val="24"/>
          <w:szCs w:val="24"/>
        </w:rPr>
        <w:footnoteReference w:id="25"/>
      </w:r>
      <w:r w:rsidRPr="00132B85">
        <w:rPr>
          <w:rFonts w:ascii="Times New Roman" w:hAnsi="Times New Roman" w:cs="Times New Roman"/>
          <w:sz w:val="24"/>
          <w:szCs w:val="24"/>
        </w:rPr>
        <w:t>.</w:t>
      </w:r>
    </w:p>
    <w:p w14:paraId="181840AC" w14:textId="3FCE56B5" w:rsidR="00D45076" w:rsidRPr="00132B85" w:rsidRDefault="00381392" w:rsidP="00E65B62">
      <w:pPr>
        <w:jc w:val="both"/>
        <w:rPr>
          <w:rFonts w:ascii="Times New Roman" w:hAnsi="Times New Roman" w:cs="Times New Roman"/>
          <w:sz w:val="24"/>
          <w:szCs w:val="24"/>
        </w:rPr>
      </w:pPr>
      <w:r>
        <w:rPr>
          <w:rFonts w:ascii="Times New Roman" w:hAnsi="Times New Roman" w:cs="Times New Roman"/>
          <w:sz w:val="24"/>
          <w:szCs w:val="24"/>
        </w:rPr>
        <w:t>T</w:t>
      </w:r>
      <w:r w:rsidR="00083A09">
        <w:rPr>
          <w:rFonts w:ascii="Times New Roman" w:hAnsi="Times New Roman" w:cs="Times New Roman"/>
          <w:sz w:val="24"/>
          <w:szCs w:val="24"/>
        </w:rPr>
        <w:t>r</w:t>
      </w:r>
      <w:r>
        <w:rPr>
          <w:rFonts w:ascii="Times New Roman" w:hAnsi="Times New Roman" w:cs="Times New Roman"/>
          <w:sz w:val="24"/>
          <w:szCs w:val="24"/>
        </w:rPr>
        <w:t>a</w:t>
      </w:r>
      <w:r w:rsidR="00083A09">
        <w:rPr>
          <w:rFonts w:ascii="Times New Roman" w:hAnsi="Times New Roman" w:cs="Times New Roman"/>
          <w:sz w:val="24"/>
          <w:szCs w:val="24"/>
        </w:rPr>
        <w:t xml:space="preserve"> i criteri per individuarsi il contenuto delle prestazioni erogabili, senza generare situazioni di disparità di trattamento, un ruolo </w:t>
      </w:r>
      <w:r w:rsidR="00CC4482">
        <w:rPr>
          <w:rFonts w:ascii="Times New Roman" w:hAnsi="Times New Roman" w:cs="Times New Roman"/>
          <w:sz w:val="24"/>
          <w:szCs w:val="24"/>
        </w:rPr>
        <w:t>decisivo assume il concetto di “accomodamento ragionevole”.</w:t>
      </w:r>
    </w:p>
    <w:p w14:paraId="17C2C932" w14:textId="7D7DF509" w:rsidR="0054768F" w:rsidRPr="00132B85" w:rsidRDefault="00E86B33"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Nella richiamata Convenzione ONU del 2006 </w:t>
      </w:r>
      <w:r w:rsidR="00CC4482" w:rsidRPr="00132B85">
        <w:rPr>
          <w:rFonts w:ascii="Times New Roman" w:hAnsi="Times New Roman" w:cs="Times New Roman"/>
          <w:sz w:val="24"/>
          <w:szCs w:val="24"/>
        </w:rPr>
        <w:t>sui diritti delle persone con disabilità (</w:t>
      </w:r>
      <w:r w:rsidR="00CC4482" w:rsidRPr="00132B85">
        <w:rPr>
          <w:rFonts w:ascii="Times New Roman" w:hAnsi="Times New Roman" w:cs="Times New Roman"/>
          <w:i/>
          <w:iCs/>
          <w:sz w:val="24"/>
          <w:szCs w:val="24"/>
        </w:rPr>
        <w:t>Convention on the Righ</w:t>
      </w:r>
      <w:r w:rsidR="00DC03B9">
        <w:rPr>
          <w:rFonts w:ascii="Times New Roman" w:hAnsi="Times New Roman" w:cs="Times New Roman"/>
          <w:i/>
          <w:iCs/>
          <w:sz w:val="24"/>
          <w:szCs w:val="24"/>
        </w:rPr>
        <w:t>ts of Persons with Disabilities</w:t>
      </w:r>
      <w:r w:rsidR="00CC4482" w:rsidRPr="00132B85">
        <w:rPr>
          <w:rFonts w:ascii="Times New Roman" w:hAnsi="Times New Roman" w:cs="Times New Roman"/>
          <w:sz w:val="24"/>
          <w:szCs w:val="24"/>
        </w:rPr>
        <w:t>)</w:t>
      </w:r>
      <w:r w:rsidR="00CC4482">
        <w:rPr>
          <w:rFonts w:ascii="Times New Roman" w:hAnsi="Times New Roman" w:cs="Times New Roman"/>
          <w:sz w:val="24"/>
          <w:szCs w:val="24"/>
        </w:rPr>
        <w:t xml:space="preserve"> l</w:t>
      </w:r>
      <w:r w:rsidR="00DC03B9">
        <w:rPr>
          <w:rFonts w:ascii="Times New Roman" w:hAnsi="Times New Roman" w:cs="Times New Roman"/>
          <w:sz w:val="24"/>
          <w:szCs w:val="24"/>
        </w:rPr>
        <w:t>’</w:t>
      </w:r>
      <w:r w:rsidRPr="00132B85">
        <w:rPr>
          <w:rFonts w:ascii="Times New Roman" w:hAnsi="Times New Roman" w:cs="Times New Roman"/>
          <w:sz w:val="24"/>
          <w:szCs w:val="24"/>
        </w:rPr>
        <w:t>“</w:t>
      </w:r>
      <w:r w:rsidRPr="00CC4482">
        <w:rPr>
          <w:rFonts w:ascii="Times New Roman" w:hAnsi="Times New Roman" w:cs="Times New Roman"/>
          <w:sz w:val="24"/>
          <w:szCs w:val="24"/>
        </w:rPr>
        <w:t xml:space="preserve">accomodamento ragionevole” </w:t>
      </w:r>
      <w:r w:rsidR="00CC4482">
        <w:rPr>
          <w:rFonts w:ascii="Times New Roman" w:hAnsi="Times New Roman" w:cs="Times New Roman"/>
          <w:sz w:val="24"/>
          <w:szCs w:val="24"/>
        </w:rPr>
        <w:t xml:space="preserve">è </w:t>
      </w:r>
      <w:r w:rsidRPr="00CC4482">
        <w:rPr>
          <w:rFonts w:ascii="Times New Roman" w:hAnsi="Times New Roman" w:cs="Times New Roman"/>
          <w:sz w:val="24"/>
          <w:szCs w:val="24"/>
        </w:rPr>
        <w:t>definito  come tutte quelle “</w:t>
      </w:r>
      <w:r w:rsidRPr="00CC4482">
        <w:rPr>
          <w:rFonts w:ascii="Times New Roman" w:hAnsi="Times New Roman" w:cs="Times New Roman"/>
          <w:i/>
          <w:sz w:val="24"/>
          <w:szCs w:val="24"/>
        </w:rPr>
        <w:t>modifiche</w:t>
      </w:r>
      <w:r w:rsidRPr="00CC4482">
        <w:rPr>
          <w:rFonts w:ascii="Times New Roman" w:hAnsi="Times New Roman" w:cs="Times New Roman"/>
          <w:sz w:val="24"/>
          <w:szCs w:val="24"/>
        </w:rPr>
        <w:t>” e «</w:t>
      </w:r>
      <w:r w:rsidRPr="00CC4482">
        <w:rPr>
          <w:rFonts w:ascii="Times New Roman" w:hAnsi="Times New Roman" w:cs="Times New Roman"/>
          <w:i/>
          <w:iCs/>
          <w:sz w:val="24"/>
          <w:szCs w:val="24"/>
        </w:rPr>
        <w:t>adattamenti necessari e a</w:t>
      </w:r>
      <w:r w:rsidRPr="00132B85">
        <w:rPr>
          <w:rFonts w:ascii="Times New Roman" w:hAnsi="Times New Roman" w:cs="Times New Roman"/>
          <w:i/>
          <w:iCs/>
          <w:sz w:val="24"/>
          <w:szCs w:val="24"/>
        </w:rPr>
        <w:t>ppropriati che non impongano un onere sproporzionato o eccessivo, ove ve ne sia necessità in casi particolari, per assicurare alle persone con disabilità il godimento e l’esercizio, su base di eguaglianza con gli altri, di tutti i diritti umani e delle libertà fondamentali</w:t>
      </w:r>
      <w:r w:rsidRPr="00132B85">
        <w:rPr>
          <w:rFonts w:ascii="Times New Roman" w:hAnsi="Times New Roman" w:cs="Times New Roman"/>
          <w:sz w:val="24"/>
          <w:szCs w:val="24"/>
        </w:rPr>
        <w:t>»</w:t>
      </w:r>
      <w:r w:rsidR="0054768F" w:rsidRPr="00132B85">
        <w:rPr>
          <w:rStyle w:val="Rimandonotaapidipagina"/>
          <w:rFonts w:ascii="Times New Roman" w:hAnsi="Times New Roman" w:cs="Times New Roman"/>
          <w:sz w:val="24"/>
          <w:szCs w:val="24"/>
        </w:rPr>
        <w:footnoteReference w:id="26"/>
      </w:r>
      <w:r w:rsidRPr="00132B85">
        <w:rPr>
          <w:rFonts w:ascii="Times New Roman" w:hAnsi="Times New Roman" w:cs="Times New Roman"/>
          <w:sz w:val="24"/>
          <w:szCs w:val="24"/>
        </w:rPr>
        <w:t xml:space="preserve">. </w:t>
      </w:r>
    </w:p>
    <w:p w14:paraId="01CF8CF1" w14:textId="522738F3" w:rsidR="00E86B33" w:rsidRPr="00132B85" w:rsidRDefault="00CC4482" w:rsidP="00E65B62">
      <w:pPr>
        <w:jc w:val="both"/>
        <w:rPr>
          <w:rFonts w:ascii="Times New Roman" w:hAnsi="Times New Roman" w:cs="Times New Roman"/>
          <w:sz w:val="24"/>
          <w:szCs w:val="24"/>
        </w:rPr>
      </w:pPr>
      <w:r w:rsidRPr="009F02E8">
        <w:rPr>
          <w:rFonts w:ascii="Times New Roman" w:hAnsi="Times New Roman" w:cs="Times New Roman"/>
          <w:sz w:val="24"/>
          <w:szCs w:val="24"/>
        </w:rPr>
        <w:t xml:space="preserve">Oltre che ad una dimensione individuale e personalizzata dell’intervento, il concetto sembra rinviare nell’utilizzo dell’aggettivo ragionevole e nella definizione in termini di adattamenti </w:t>
      </w:r>
      <w:r w:rsidRPr="009F02E8">
        <w:rPr>
          <w:rFonts w:ascii="Times New Roman" w:hAnsi="Times New Roman" w:cs="Times New Roman"/>
          <w:iCs/>
          <w:sz w:val="24"/>
          <w:szCs w:val="24"/>
        </w:rPr>
        <w:t xml:space="preserve">che non impongano un onere sproporzionato proprio al tema del bilanciamento con la scarsità delle risorse disponibili dell’accomodamento necessario </w:t>
      </w:r>
      <w:r w:rsidR="00E86B33" w:rsidRPr="009F02E8">
        <w:rPr>
          <w:rFonts w:ascii="Times New Roman" w:hAnsi="Times New Roman" w:cs="Times New Roman"/>
          <w:sz w:val="24"/>
          <w:szCs w:val="24"/>
        </w:rPr>
        <w:t>per rimuovere una situazione di svantaggio riferita alla persona con disa</w:t>
      </w:r>
      <w:r w:rsidRPr="009F02E8">
        <w:rPr>
          <w:rFonts w:ascii="Times New Roman" w:hAnsi="Times New Roman" w:cs="Times New Roman"/>
          <w:sz w:val="24"/>
          <w:szCs w:val="24"/>
        </w:rPr>
        <w:t>bilità</w:t>
      </w:r>
      <w:r w:rsidR="0054768F" w:rsidRPr="009F02E8">
        <w:rPr>
          <w:rStyle w:val="Rimandonotaapidipagina"/>
          <w:rFonts w:ascii="Times New Roman" w:hAnsi="Times New Roman" w:cs="Times New Roman"/>
          <w:sz w:val="24"/>
          <w:szCs w:val="24"/>
        </w:rPr>
        <w:footnoteReference w:id="27"/>
      </w:r>
      <w:r w:rsidR="0054768F" w:rsidRPr="009F02E8">
        <w:rPr>
          <w:rFonts w:ascii="Times New Roman" w:hAnsi="Times New Roman" w:cs="Times New Roman"/>
          <w:sz w:val="24"/>
          <w:szCs w:val="24"/>
        </w:rPr>
        <w:t>.</w:t>
      </w:r>
    </w:p>
    <w:p w14:paraId="709EE1E3" w14:textId="270D670F" w:rsidR="00DE3BB5" w:rsidRPr="009F02E8" w:rsidRDefault="009F02E8" w:rsidP="00E65B62">
      <w:pPr>
        <w:jc w:val="both"/>
        <w:rPr>
          <w:rFonts w:ascii="Times New Roman" w:hAnsi="Times New Roman" w:cs="Times New Roman"/>
          <w:sz w:val="24"/>
          <w:szCs w:val="24"/>
        </w:rPr>
      </w:pPr>
      <w:r>
        <w:rPr>
          <w:rFonts w:ascii="Times New Roman" w:hAnsi="Times New Roman" w:cs="Times New Roman"/>
          <w:sz w:val="24"/>
          <w:szCs w:val="24"/>
        </w:rPr>
        <w:t>Se dunque nella determinazione delle prestazioni erogabili l’Amministrazione oltre a valutare la specificità di ciascuna persona con disabilità, deve tener necessariamente conto della scarsità delle risorse anche al fine di non generare situazioni di ulteriore diseguaglianza, a sua volta il g</w:t>
      </w:r>
      <w:r w:rsidR="00DE3BB5" w:rsidRPr="009F02E8">
        <w:rPr>
          <w:rFonts w:ascii="Times New Roman" w:hAnsi="Times New Roman" w:cs="Times New Roman"/>
          <w:sz w:val="24"/>
          <w:szCs w:val="24"/>
        </w:rPr>
        <w:t xml:space="preserve">iudice amministrativo chiamato a verificare la </w:t>
      </w:r>
      <w:r w:rsidR="007C3CCC" w:rsidRPr="009F02E8">
        <w:rPr>
          <w:rFonts w:ascii="Times New Roman" w:hAnsi="Times New Roman" w:cs="Times New Roman"/>
          <w:sz w:val="24"/>
          <w:szCs w:val="24"/>
        </w:rPr>
        <w:t>legittimità dell’esercizio d</w:t>
      </w:r>
      <w:r>
        <w:rPr>
          <w:rFonts w:ascii="Times New Roman" w:hAnsi="Times New Roman" w:cs="Times New Roman"/>
          <w:sz w:val="24"/>
          <w:szCs w:val="24"/>
        </w:rPr>
        <w:t xml:space="preserve">i quel potere, dovrà verificarne la ragionevolezza e proporzionalità </w:t>
      </w:r>
      <w:r w:rsidR="00DE3BB5" w:rsidRPr="009F02E8">
        <w:rPr>
          <w:rFonts w:ascii="Times New Roman" w:hAnsi="Times New Roman" w:cs="Times New Roman"/>
          <w:sz w:val="24"/>
          <w:szCs w:val="24"/>
        </w:rPr>
        <w:t>anche con riferimento al parametro della scarsità delle risorse.</w:t>
      </w:r>
    </w:p>
    <w:p w14:paraId="6DCCCBAE" w14:textId="424A2C8D" w:rsidR="0054768F" w:rsidRPr="00132B85" w:rsidRDefault="009F02E8" w:rsidP="009F02E8">
      <w:pPr>
        <w:jc w:val="both"/>
        <w:rPr>
          <w:rFonts w:ascii="Times New Roman" w:hAnsi="Times New Roman" w:cs="Times New Roman"/>
          <w:sz w:val="24"/>
          <w:szCs w:val="24"/>
        </w:rPr>
      </w:pPr>
      <w:r>
        <w:rPr>
          <w:rFonts w:ascii="Times New Roman" w:hAnsi="Times New Roman" w:cs="Times New Roman"/>
          <w:sz w:val="24"/>
          <w:szCs w:val="24"/>
        </w:rPr>
        <w:t xml:space="preserve">Viene dunque da chiedersi se sia </w:t>
      </w:r>
      <w:r w:rsidR="0054768F" w:rsidRPr="009F02E8">
        <w:rPr>
          <w:rFonts w:ascii="Times New Roman" w:hAnsi="Times New Roman" w:cs="Times New Roman"/>
          <w:sz w:val="24"/>
          <w:szCs w:val="24"/>
        </w:rPr>
        <w:t xml:space="preserve">esportabile nel procedimento amministrativo </w:t>
      </w:r>
      <w:r>
        <w:rPr>
          <w:rFonts w:ascii="Times New Roman" w:hAnsi="Times New Roman" w:cs="Times New Roman"/>
          <w:sz w:val="24"/>
          <w:szCs w:val="24"/>
        </w:rPr>
        <w:t xml:space="preserve">(e dunque nel processo amministrativo) </w:t>
      </w:r>
      <w:r w:rsidR="0054768F" w:rsidRPr="009F02E8">
        <w:rPr>
          <w:rFonts w:ascii="Times New Roman" w:hAnsi="Times New Roman" w:cs="Times New Roman"/>
          <w:sz w:val="24"/>
          <w:szCs w:val="24"/>
        </w:rPr>
        <w:t xml:space="preserve">la tecnica del bilanciamento </w:t>
      </w:r>
      <w:r w:rsidR="00503BE9">
        <w:rPr>
          <w:rFonts w:ascii="Times New Roman" w:hAnsi="Times New Roman" w:cs="Times New Roman"/>
          <w:sz w:val="24"/>
          <w:szCs w:val="24"/>
        </w:rPr>
        <w:t xml:space="preserve">come </w:t>
      </w:r>
      <w:r w:rsidR="0054768F" w:rsidRPr="009F02E8">
        <w:rPr>
          <w:rFonts w:ascii="Times New Roman" w:hAnsi="Times New Roman" w:cs="Times New Roman"/>
          <w:sz w:val="24"/>
          <w:szCs w:val="24"/>
        </w:rPr>
        <w:t>utilizzata dall</w:t>
      </w:r>
      <w:r w:rsidR="00233F50" w:rsidRPr="009F02E8">
        <w:rPr>
          <w:rFonts w:ascii="Times New Roman" w:hAnsi="Times New Roman" w:cs="Times New Roman"/>
          <w:sz w:val="24"/>
          <w:szCs w:val="24"/>
        </w:rPr>
        <w:t>a</w:t>
      </w:r>
      <w:r w:rsidR="0054768F" w:rsidRPr="009F02E8">
        <w:rPr>
          <w:rFonts w:ascii="Times New Roman" w:hAnsi="Times New Roman" w:cs="Times New Roman"/>
          <w:sz w:val="24"/>
          <w:szCs w:val="24"/>
        </w:rPr>
        <w:t xml:space="preserve"> giurisprudenza costituzionale</w:t>
      </w:r>
      <w:r>
        <w:rPr>
          <w:rFonts w:ascii="Times New Roman" w:hAnsi="Times New Roman" w:cs="Times New Roman"/>
          <w:sz w:val="24"/>
          <w:szCs w:val="24"/>
        </w:rPr>
        <w:t xml:space="preserve"> e </w:t>
      </w:r>
      <w:r w:rsidR="00503BE9">
        <w:rPr>
          <w:rFonts w:ascii="Times New Roman" w:hAnsi="Times New Roman" w:cs="Times New Roman"/>
          <w:sz w:val="24"/>
          <w:szCs w:val="24"/>
        </w:rPr>
        <w:t xml:space="preserve">dove il giudice amministrativo possa rinvenire i parametri per verificare con riferimento alle fattispecie poste alla sua attenzione l’eventuale illegittimità in termini di </w:t>
      </w:r>
      <w:r w:rsidR="00E6765E">
        <w:rPr>
          <w:rFonts w:ascii="Times New Roman" w:hAnsi="Times New Roman" w:cs="Times New Roman"/>
          <w:sz w:val="24"/>
          <w:szCs w:val="24"/>
        </w:rPr>
        <w:t>ragionevolezza</w:t>
      </w:r>
      <w:r w:rsidR="00503BE9">
        <w:rPr>
          <w:rFonts w:ascii="Times New Roman" w:hAnsi="Times New Roman" w:cs="Times New Roman"/>
          <w:sz w:val="24"/>
          <w:szCs w:val="24"/>
        </w:rPr>
        <w:t xml:space="preserve"> o sproporzionalità (se non di violazione di legge) del bilanciamento effettuato dall’Amministrazione.</w:t>
      </w:r>
    </w:p>
    <w:p w14:paraId="6F761BB3" w14:textId="523A1F80" w:rsidR="0054768F" w:rsidRPr="00132B85" w:rsidRDefault="0054768F" w:rsidP="00E65B62">
      <w:pPr>
        <w:jc w:val="both"/>
        <w:rPr>
          <w:rFonts w:ascii="Times New Roman" w:hAnsi="Times New Roman" w:cs="Times New Roman"/>
          <w:sz w:val="24"/>
          <w:szCs w:val="24"/>
        </w:rPr>
      </w:pPr>
    </w:p>
    <w:p w14:paraId="1AD7535C" w14:textId="2756DDCE" w:rsidR="0054768F" w:rsidRPr="00132B85" w:rsidRDefault="00503BE9" w:rsidP="00E65B62">
      <w:pPr>
        <w:jc w:val="both"/>
        <w:rPr>
          <w:rFonts w:ascii="Times New Roman" w:hAnsi="Times New Roman" w:cs="Times New Roman"/>
          <w:b/>
          <w:sz w:val="24"/>
          <w:szCs w:val="24"/>
        </w:rPr>
      </w:pPr>
      <w:r>
        <w:rPr>
          <w:rFonts w:ascii="Times New Roman" w:hAnsi="Times New Roman" w:cs="Times New Roman"/>
          <w:b/>
          <w:sz w:val="24"/>
          <w:szCs w:val="24"/>
        </w:rPr>
        <w:t>4</w:t>
      </w:r>
      <w:r w:rsidR="0054768F" w:rsidRPr="00132B85">
        <w:rPr>
          <w:rFonts w:ascii="Times New Roman" w:hAnsi="Times New Roman" w:cs="Times New Roman"/>
          <w:b/>
          <w:sz w:val="24"/>
          <w:szCs w:val="24"/>
        </w:rPr>
        <w:t>. La tecnica del bilanciamento nella giurisprudenza costituzionale. Cenni.</w:t>
      </w:r>
    </w:p>
    <w:p w14:paraId="71764447" w14:textId="77DA8DD9" w:rsidR="00912544" w:rsidRPr="00132B85" w:rsidRDefault="00A337A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rPr>
        <w:t>La questione è nota</w:t>
      </w:r>
      <w:r w:rsidR="003A0B2F" w:rsidRPr="00132B85">
        <w:rPr>
          <w:rFonts w:ascii="Times New Roman" w:hAnsi="Times New Roman" w:cs="Times New Roman"/>
          <w:sz w:val="24"/>
          <w:szCs w:val="24"/>
        </w:rPr>
        <w:t xml:space="preserve">: </w:t>
      </w:r>
      <w:r w:rsidR="00912544" w:rsidRPr="00132B85">
        <w:rPr>
          <w:rFonts w:ascii="Times New Roman" w:hAnsi="Times New Roman" w:cs="Times New Roman"/>
          <w:sz w:val="24"/>
          <w:szCs w:val="24"/>
          <w:lang w:eastAsia="it-IT"/>
        </w:rPr>
        <w:t>la garanzia dei diritti sociali, che pure debbono essere consid</w:t>
      </w:r>
      <w:r w:rsidR="003A0B2F" w:rsidRPr="00132B85">
        <w:rPr>
          <w:rFonts w:ascii="Times New Roman" w:hAnsi="Times New Roman" w:cs="Times New Roman"/>
          <w:sz w:val="24"/>
          <w:szCs w:val="24"/>
          <w:lang w:eastAsia="it-IT"/>
        </w:rPr>
        <w:t>erati come diritti fondamentali</w:t>
      </w:r>
      <w:r w:rsidR="00912544" w:rsidRPr="00132B85">
        <w:rPr>
          <w:rFonts w:ascii="Times New Roman" w:hAnsi="Times New Roman" w:cs="Times New Roman"/>
          <w:sz w:val="24"/>
          <w:szCs w:val="24"/>
          <w:lang w:eastAsia="it-IT"/>
        </w:rPr>
        <w:t xml:space="preserve">, deve essere effettuata </w:t>
      </w:r>
      <w:r w:rsidR="00280800">
        <w:rPr>
          <w:rFonts w:ascii="Times New Roman" w:hAnsi="Times New Roman" w:cs="Times New Roman"/>
          <w:sz w:val="24"/>
          <w:szCs w:val="24"/>
          <w:lang w:eastAsia="it-IT"/>
        </w:rPr>
        <w:t xml:space="preserve">dal legislatore </w:t>
      </w:r>
      <w:r w:rsidR="00912544" w:rsidRPr="00132B85">
        <w:rPr>
          <w:rFonts w:ascii="Times New Roman" w:hAnsi="Times New Roman" w:cs="Times New Roman"/>
          <w:sz w:val="24"/>
          <w:szCs w:val="24"/>
          <w:lang w:eastAsia="it-IT"/>
        </w:rPr>
        <w:t>secondo criteri di gradualità ovvero sotto la “</w:t>
      </w:r>
      <w:r w:rsidR="00912544" w:rsidRPr="00132B85">
        <w:rPr>
          <w:rFonts w:ascii="Times New Roman" w:hAnsi="Times New Roman" w:cs="Times New Roman"/>
          <w:i/>
          <w:sz w:val="24"/>
          <w:szCs w:val="24"/>
          <w:lang w:eastAsia="it-IT"/>
        </w:rPr>
        <w:t>riserva del possibile e del ragionevole”</w:t>
      </w:r>
      <w:r w:rsidR="00F44D6B">
        <w:rPr>
          <w:rFonts w:ascii="Times New Roman" w:hAnsi="Times New Roman" w:cs="Times New Roman"/>
          <w:i/>
          <w:sz w:val="24"/>
          <w:szCs w:val="24"/>
          <w:lang w:eastAsia="it-IT"/>
        </w:rPr>
        <w:t xml:space="preserve"> </w:t>
      </w:r>
      <w:r w:rsidR="00280800" w:rsidRPr="00280800">
        <w:rPr>
          <w:rFonts w:ascii="Times New Roman" w:hAnsi="Times New Roman" w:cs="Times New Roman"/>
          <w:sz w:val="24"/>
          <w:szCs w:val="24"/>
          <w:lang w:eastAsia="it-IT"/>
        </w:rPr>
        <w:t>e</w:t>
      </w:r>
      <w:r w:rsidR="00280800">
        <w:rPr>
          <w:rFonts w:ascii="Times New Roman" w:hAnsi="Times New Roman" w:cs="Times New Roman"/>
          <w:i/>
          <w:sz w:val="24"/>
          <w:szCs w:val="24"/>
          <w:lang w:eastAsia="it-IT"/>
        </w:rPr>
        <w:t xml:space="preserve"> “</w:t>
      </w:r>
      <w:r w:rsidR="00912544" w:rsidRPr="00132B85">
        <w:rPr>
          <w:rFonts w:ascii="Times New Roman" w:hAnsi="Times New Roman" w:cs="Times New Roman"/>
          <w:i/>
          <w:sz w:val="24"/>
          <w:szCs w:val="24"/>
          <w:lang w:eastAsia="it-IT"/>
        </w:rPr>
        <w:t>in relazione alle risorse disponibili</w:t>
      </w:r>
      <w:r w:rsidR="00912544" w:rsidRPr="00132B85">
        <w:rPr>
          <w:rStyle w:val="Rimandonotaapidipagina"/>
          <w:rFonts w:ascii="Times New Roman" w:hAnsi="Times New Roman" w:cs="Times New Roman"/>
          <w:sz w:val="24"/>
          <w:szCs w:val="24"/>
          <w:lang w:eastAsia="it-IT"/>
        </w:rPr>
        <w:footnoteReference w:id="28"/>
      </w:r>
      <w:r w:rsidR="00912544" w:rsidRPr="00132B85">
        <w:rPr>
          <w:rFonts w:ascii="Times New Roman" w:hAnsi="Times New Roman" w:cs="Times New Roman"/>
          <w:sz w:val="24"/>
          <w:szCs w:val="24"/>
          <w:lang w:eastAsia="it-IT"/>
        </w:rPr>
        <w:t xml:space="preserve"> , ferma restando l’illegittimità di tagli arbitrari rispetto a diritti considerati ormai acquisiti</w:t>
      </w:r>
      <w:r w:rsidR="00912544" w:rsidRPr="00132B85">
        <w:rPr>
          <w:rStyle w:val="Rimandonotaapidipagina"/>
          <w:rFonts w:ascii="Times New Roman" w:hAnsi="Times New Roman" w:cs="Times New Roman"/>
          <w:sz w:val="24"/>
          <w:szCs w:val="24"/>
          <w:lang w:eastAsia="it-IT"/>
        </w:rPr>
        <w:footnoteReference w:id="29"/>
      </w:r>
      <w:r w:rsidR="00912544" w:rsidRPr="00132B85">
        <w:rPr>
          <w:rFonts w:ascii="Times New Roman" w:hAnsi="Times New Roman" w:cs="Times New Roman"/>
          <w:sz w:val="24"/>
          <w:szCs w:val="24"/>
          <w:lang w:eastAsia="it-IT"/>
        </w:rPr>
        <w:t xml:space="preserve"> .</w:t>
      </w:r>
    </w:p>
    <w:p w14:paraId="198A2D23" w14:textId="48088FAD" w:rsidR="00A337A1" w:rsidRPr="00132B85" w:rsidRDefault="00280800" w:rsidP="00E65B62">
      <w:pPr>
        <w:jc w:val="both"/>
        <w:rPr>
          <w:rFonts w:ascii="Times New Roman" w:hAnsi="Times New Roman" w:cs="Times New Roman"/>
          <w:sz w:val="24"/>
          <w:szCs w:val="24"/>
        </w:rPr>
      </w:pPr>
      <w:r>
        <w:rPr>
          <w:rFonts w:ascii="Times New Roman" w:hAnsi="Times New Roman" w:cs="Times New Roman"/>
          <w:sz w:val="24"/>
          <w:szCs w:val="24"/>
        </w:rPr>
        <w:lastRenderedPageBreak/>
        <w:t>Eppure in questa sede o</w:t>
      </w:r>
      <w:r w:rsidR="00A337A1" w:rsidRPr="00132B85">
        <w:rPr>
          <w:rFonts w:ascii="Times New Roman" w:hAnsi="Times New Roman" w:cs="Times New Roman"/>
          <w:sz w:val="24"/>
          <w:szCs w:val="24"/>
        </w:rPr>
        <w:t xml:space="preserve">ccorre </w:t>
      </w:r>
      <w:r>
        <w:rPr>
          <w:rFonts w:ascii="Times New Roman" w:hAnsi="Times New Roman" w:cs="Times New Roman"/>
          <w:sz w:val="24"/>
          <w:szCs w:val="24"/>
        </w:rPr>
        <w:t xml:space="preserve">da subito evidenziare </w:t>
      </w:r>
      <w:r w:rsidR="00A337A1" w:rsidRPr="00132B85">
        <w:rPr>
          <w:rFonts w:ascii="Times New Roman" w:hAnsi="Times New Roman" w:cs="Times New Roman"/>
          <w:sz w:val="24"/>
          <w:szCs w:val="24"/>
        </w:rPr>
        <w:t xml:space="preserve">come la Corte </w:t>
      </w:r>
      <w:r w:rsidR="003A0B2F" w:rsidRPr="00132B85">
        <w:rPr>
          <w:rFonts w:ascii="Times New Roman" w:hAnsi="Times New Roman" w:cs="Times New Roman"/>
          <w:sz w:val="24"/>
          <w:szCs w:val="24"/>
        </w:rPr>
        <w:t xml:space="preserve">costituzionale </w:t>
      </w:r>
      <w:r w:rsidR="00A337A1" w:rsidRPr="00132B85">
        <w:rPr>
          <w:rFonts w:ascii="Times New Roman" w:hAnsi="Times New Roman" w:cs="Times New Roman"/>
          <w:sz w:val="24"/>
          <w:szCs w:val="24"/>
        </w:rPr>
        <w:t>di fronte alla garanzia dei diritti sociali sembri avere una minore ritrosia ad incidere su scelte legislative motivate da indisponibilità di risorse economiche.</w:t>
      </w:r>
    </w:p>
    <w:p w14:paraId="688A8F3D" w14:textId="463CF52A" w:rsidR="00DE7ED0" w:rsidRPr="00132B85" w:rsidRDefault="00A337A1" w:rsidP="00E65B62">
      <w:pPr>
        <w:jc w:val="both"/>
        <w:rPr>
          <w:rFonts w:ascii="Times New Roman" w:hAnsi="Times New Roman" w:cs="Times New Roman"/>
          <w:i/>
          <w:sz w:val="24"/>
          <w:szCs w:val="24"/>
          <w:shd w:val="clear" w:color="auto" w:fill="FFFFFF"/>
        </w:rPr>
      </w:pPr>
      <w:r w:rsidRPr="00132B85">
        <w:rPr>
          <w:rFonts w:ascii="Times New Roman" w:hAnsi="Times New Roman" w:cs="Times New Roman"/>
          <w:sz w:val="24"/>
          <w:szCs w:val="24"/>
        </w:rPr>
        <w:t>Ment</w:t>
      </w:r>
      <w:r w:rsidR="00912544" w:rsidRPr="00132B85">
        <w:rPr>
          <w:rFonts w:ascii="Times New Roman" w:hAnsi="Times New Roman" w:cs="Times New Roman"/>
          <w:sz w:val="24"/>
          <w:szCs w:val="24"/>
        </w:rPr>
        <w:t>r</w:t>
      </w:r>
      <w:r w:rsidRPr="00132B85">
        <w:rPr>
          <w:rFonts w:ascii="Times New Roman" w:hAnsi="Times New Roman" w:cs="Times New Roman"/>
          <w:sz w:val="24"/>
          <w:szCs w:val="24"/>
        </w:rPr>
        <w:t>e infatti</w:t>
      </w:r>
      <w:r w:rsidR="00280800">
        <w:rPr>
          <w:rFonts w:ascii="Times New Roman" w:hAnsi="Times New Roman" w:cs="Times New Roman"/>
          <w:sz w:val="24"/>
          <w:szCs w:val="24"/>
        </w:rPr>
        <w:t xml:space="preserve">, pur dopo l’introduzione del principio costituzionale dell’equilibrio di bilancio, </w:t>
      </w:r>
      <w:r w:rsidRPr="00132B85">
        <w:rPr>
          <w:rFonts w:ascii="Times New Roman" w:hAnsi="Times New Roman" w:cs="Times New Roman"/>
          <w:sz w:val="24"/>
          <w:szCs w:val="24"/>
        </w:rPr>
        <w:t xml:space="preserve"> con la nota sentenza n. 10 del 2015 </w:t>
      </w:r>
      <w:r w:rsidR="007105BC" w:rsidRPr="00132B85">
        <w:rPr>
          <w:rStyle w:val="Rimandonotaapidipagina"/>
          <w:rFonts w:ascii="Times New Roman" w:hAnsi="Times New Roman" w:cs="Times New Roman"/>
          <w:sz w:val="24"/>
          <w:szCs w:val="24"/>
        </w:rPr>
        <w:footnoteReference w:id="30"/>
      </w:r>
      <w:r w:rsidR="00E6765E">
        <w:rPr>
          <w:rFonts w:ascii="Times New Roman" w:hAnsi="Times New Roman" w:cs="Times New Roman"/>
          <w:sz w:val="24"/>
          <w:szCs w:val="24"/>
        </w:rPr>
        <w:t xml:space="preserve"> </w:t>
      </w:r>
      <w:r w:rsidRPr="00132B85">
        <w:rPr>
          <w:rFonts w:ascii="Times New Roman" w:hAnsi="Times New Roman" w:cs="Times New Roman"/>
          <w:sz w:val="24"/>
          <w:szCs w:val="24"/>
        </w:rPr>
        <w:t>sull’</w:t>
      </w:r>
      <w:r w:rsidRPr="00132B85">
        <w:rPr>
          <w:rFonts w:ascii="Times New Roman" w:hAnsi="Times New Roman" w:cs="Times New Roman"/>
          <w:sz w:val="24"/>
          <w:szCs w:val="24"/>
          <w:shd w:val="clear" w:color="auto" w:fill="FFFFFF"/>
        </w:rPr>
        <w:t>addizionale» dell’imposta sui redditi delle società (IRES)</w:t>
      </w:r>
      <w:r w:rsidR="00280800">
        <w:rPr>
          <w:rFonts w:ascii="Times New Roman" w:hAnsi="Times New Roman" w:cs="Times New Roman"/>
          <w:sz w:val="24"/>
          <w:szCs w:val="24"/>
          <w:shd w:val="clear" w:color="auto" w:fill="FFFFFF"/>
        </w:rPr>
        <w:t>,</w:t>
      </w:r>
      <w:r w:rsidRPr="00132B85">
        <w:rPr>
          <w:rFonts w:ascii="Times New Roman" w:hAnsi="Times New Roman" w:cs="Times New Roman"/>
          <w:sz w:val="24"/>
          <w:szCs w:val="24"/>
          <w:shd w:val="clear" w:color="auto" w:fill="FFFFFF"/>
        </w:rPr>
        <w:t xml:space="preserve"> la Corte ha </w:t>
      </w:r>
      <w:r w:rsidR="00DE7ED0" w:rsidRPr="00132B85">
        <w:rPr>
          <w:rFonts w:ascii="Times New Roman" w:hAnsi="Times New Roman" w:cs="Times New Roman"/>
          <w:sz w:val="24"/>
          <w:szCs w:val="24"/>
          <w:shd w:val="clear" w:color="auto" w:fill="FFFFFF"/>
        </w:rPr>
        <w:t xml:space="preserve">fatto diretta applicazione del </w:t>
      </w:r>
      <w:r w:rsidR="00DE7ED0" w:rsidRPr="00132B85">
        <w:rPr>
          <w:rFonts w:ascii="Times New Roman" w:hAnsi="Times New Roman" w:cs="Times New Roman"/>
          <w:sz w:val="24"/>
          <w:szCs w:val="24"/>
        </w:rPr>
        <w:t xml:space="preserve">ragionevole bilanciamento tra diritti e principi </w:t>
      </w:r>
      <w:r w:rsidR="00DE7ED0" w:rsidRPr="00132B85">
        <w:rPr>
          <w:rFonts w:ascii="Times New Roman" w:hAnsi="Times New Roman" w:cs="Times New Roman"/>
          <w:sz w:val="24"/>
          <w:szCs w:val="24"/>
          <w:shd w:val="clear" w:color="auto" w:fill="FFFFFF"/>
        </w:rPr>
        <w:t xml:space="preserve">costituzionali, richiamando </w:t>
      </w:r>
      <w:r w:rsidR="00DE7ED0" w:rsidRPr="00132B85">
        <w:rPr>
          <w:rFonts w:ascii="Times New Roman" w:eastAsia="Times New Roman" w:hAnsi="Times New Roman" w:cs="Times New Roman"/>
          <w:sz w:val="24"/>
          <w:szCs w:val="24"/>
          <w:lang w:eastAsia="it-IT"/>
        </w:rPr>
        <w:t>la necessità di garantire</w:t>
      </w:r>
      <w:r w:rsidR="00DE7ED0" w:rsidRPr="00132B85">
        <w:rPr>
          <w:rFonts w:ascii="Times New Roman" w:hAnsi="Times New Roman" w:cs="Times New Roman"/>
          <w:sz w:val="24"/>
          <w:szCs w:val="24"/>
        </w:rPr>
        <w:t xml:space="preserve"> “</w:t>
      </w:r>
      <w:r w:rsidR="00912544" w:rsidRPr="00132B85">
        <w:rPr>
          <w:rFonts w:ascii="Times New Roman" w:hAnsi="Times New Roman" w:cs="Times New Roman"/>
          <w:i/>
          <w:sz w:val="24"/>
          <w:szCs w:val="24"/>
        </w:rPr>
        <w:t>una tutela sistemica e non frazionata» (sentenza n. 264 del 2012) di tutti i diritti e i principi coinvolti nella decisione. «Se così non fosse, si verificherebbe l’illimitata espansione di uno dei diritti, che diverrebbe “tiranno” nei confronti delle altre situazioni giuridiche costituzionalmente riconosciute e protette»: per questo la Corte opera normalmente un ragionevole bilanciamento dei valori coinvolti nella normativa sottoposta al suo esame, dal momento che «[l]a Costituzione italiana, come le altre Costituzioni democratiche e pluraliste contemporanee, richiede un continuo e vicendevole bilanciamento tra princìpi e diritti fondamentali, senza pretese di assolutezza per nessuno di essi» (sentenza n. 85 del 2013)</w:t>
      </w:r>
      <w:r w:rsidR="00DE7ED0" w:rsidRPr="00132B85">
        <w:rPr>
          <w:rFonts w:ascii="Times New Roman" w:hAnsi="Times New Roman" w:cs="Times New Roman"/>
          <w:i/>
          <w:sz w:val="24"/>
          <w:szCs w:val="24"/>
        </w:rPr>
        <w:t xml:space="preserve">” </w:t>
      </w:r>
      <w:r w:rsidR="00DE7ED0" w:rsidRPr="00132B85">
        <w:rPr>
          <w:rFonts w:ascii="Times New Roman" w:hAnsi="Times New Roman" w:cs="Times New Roman"/>
          <w:sz w:val="24"/>
          <w:szCs w:val="24"/>
        </w:rPr>
        <w:t>e concludendo che</w:t>
      </w:r>
      <w:r w:rsidR="00DE7ED0" w:rsidRPr="00132B85">
        <w:rPr>
          <w:rFonts w:ascii="Times New Roman" w:hAnsi="Times New Roman" w:cs="Times New Roman"/>
          <w:i/>
          <w:sz w:val="24"/>
          <w:szCs w:val="24"/>
        </w:rPr>
        <w:t xml:space="preserve"> “</w:t>
      </w:r>
      <w:r w:rsidR="00912544" w:rsidRPr="00132B85">
        <w:rPr>
          <w:rFonts w:ascii="Times New Roman" w:hAnsi="Times New Roman" w:cs="Times New Roman"/>
          <w:i/>
          <w:sz w:val="24"/>
          <w:szCs w:val="24"/>
          <w:shd w:val="clear" w:color="auto" w:fill="FFFFFF"/>
        </w:rPr>
        <w:t>Come questa Corte ha affermato già con la sentenza n. 260 del 1990</w:t>
      </w:r>
      <w:r w:rsidR="00DE7ED0" w:rsidRPr="00132B85">
        <w:rPr>
          <w:rFonts w:ascii="Times New Roman" w:hAnsi="Times New Roman" w:cs="Times New Roman"/>
          <w:i/>
          <w:sz w:val="24"/>
          <w:szCs w:val="24"/>
          <w:shd w:val="clear" w:color="auto" w:fill="FFFFFF"/>
        </w:rPr>
        <w:t>, tale principio esige una gradualità nell’attuazione dei valori costituzionali che imponga rilevanti oneri a carico del bilancio statale. Ciò vale a fortiori dopo l’entrata in vigore della legge costituzionale 20 aprile 2012, n. 1 (Introduzione del principio del pareggio di bilancio nella Carta costituzionale), che ha riaffermato il necessario rispetto dei principi di equilibrio del bilancio e di sostenibilità del debito pubblico (sentenza n. 88 del 2014).”</w:t>
      </w:r>
    </w:p>
    <w:p w14:paraId="61347FEB" w14:textId="2DED42CB" w:rsidR="00E85A20" w:rsidRPr="00132B85" w:rsidRDefault="00E6765E" w:rsidP="00E65B62">
      <w:pPr>
        <w:jc w:val="both"/>
        <w:rPr>
          <w:rFonts w:ascii="Times New Roman" w:hAnsi="Times New Roman" w:cs="Times New Roman"/>
          <w:sz w:val="24"/>
          <w:szCs w:val="24"/>
          <w:lang w:eastAsia="it-IT"/>
        </w:rPr>
      </w:pPr>
      <w:r w:rsidRPr="00280800">
        <w:rPr>
          <w:rFonts w:ascii="Times New Roman" w:hAnsi="Times New Roman" w:cs="Times New Roman"/>
          <w:sz w:val="24"/>
          <w:szCs w:val="24"/>
          <w:lang w:eastAsia="it-IT"/>
        </w:rPr>
        <w:t>Allorché</w:t>
      </w:r>
      <w:r w:rsidR="00280800" w:rsidRPr="00280800">
        <w:rPr>
          <w:rFonts w:ascii="Times New Roman" w:hAnsi="Times New Roman" w:cs="Times New Roman"/>
          <w:sz w:val="24"/>
          <w:szCs w:val="24"/>
          <w:lang w:eastAsia="it-IT"/>
        </w:rPr>
        <w:t xml:space="preserve"> di </w:t>
      </w:r>
      <w:r w:rsidR="0015770F" w:rsidRPr="00280800">
        <w:rPr>
          <w:rFonts w:ascii="Times New Roman" w:hAnsi="Times New Roman" w:cs="Times New Roman"/>
          <w:sz w:val="24"/>
          <w:szCs w:val="24"/>
          <w:lang w:eastAsia="it-IT"/>
        </w:rPr>
        <w:t xml:space="preserve">lì a poco </w:t>
      </w:r>
      <w:r w:rsidR="00280800" w:rsidRPr="00280800">
        <w:rPr>
          <w:rFonts w:ascii="Times New Roman" w:hAnsi="Times New Roman" w:cs="Times New Roman"/>
          <w:sz w:val="24"/>
          <w:szCs w:val="24"/>
          <w:lang w:eastAsia="it-IT"/>
        </w:rPr>
        <w:t xml:space="preserve">è stata chiamata a pronunciarsi </w:t>
      </w:r>
      <w:r w:rsidR="00912544" w:rsidRPr="00280800">
        <w:rPr>
          <w:rFonts w:ascii="Times New Roman" w:hAnsi="Times New Roman" w:cs="Times New Roman"/>
          <w:sz w:val="24"/>
          <w:szCs w:val="24"/>
          <w:lang w:eastAsia="it-IT"/>
        </w:rPr>
        <w:t>con riferimento ai diritti di minori con disabilità</w:t>
      </w:r>
      <w:r w:rsidR="0015770F" w:rsidRPr="00280800">
        <w:rPr>
          <w:rFonts w:ascii="Times New Roman" w:hAnsi="Times New Roman" w:cs="Times New Roman"/>
          <w:sz w:val="24"/>
          <w:szCs w:val="24"/>
          <w:lang w:eastAsia="it-IT"/>
        </w:rPr>
        <w:t>,</w:t>
      </w:r>
      <w:r w:rsidR="00280800" w:rsidRPr="00280800">
        <w:rPr>
          <w:rFonts w:ascii="Times New Roman" w:hAnsi="Times New Roman" w:cs="Times New Roman"/>
          <w:sz w:val="24"/>
          <w:szCs w:val="24"/>
          <w:lang w:eastAsia="it-IT"/>
        </w:rPr>
        <w:t xml:space="preserve"> la stessa Corte </w:t>
      </w:r>
      <w:r w:rsidR="0015770F" w:rsidRPr="00280800">
        <w:rPr>
          <w:rFonts w:ascii="Times New Roman" w:hAnsi="Times New Roman" w:cs="Times New Roman"/>
          <w:sz w:val="24"/>
          <w:szCs w:val="24"/>
          <w:lang w:eastAsia="it-IT"/>
        </w:rPr>
        <w:t>ne ha invece ritenuto l’incomprimibilità per ragioni di natura finanziaria</w:t>
      </w:r>
      <w:r w:rsidR="00673046" w:rsidRPr="00280800">
        <w:rPr>
          <w:rFonts w:ascii="Times New Roman" w:hAnsi="Times New Roman" w:cs="Times New Roman"/>
          <w:sz w:val="24"/>
          <w:szCs w:val="24"/>
          <w:lang w:eastAsia="it-IT"/>
        </w:rPr>
        <w:t>.</w:t>
      </w:r>
    </w:p>
    <w:p w14:paraId="1FBBFEAE" w14:textId="6207DBB3" w:rsidR="00A337A1" w:rsidRPr="00132B85" w:rsidRDefault="0067304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Il riferimento è alla sentenza n. 275 del 2016</w:t>
      </w:r>
      <w:r w:rsidRPr="00132B85">
        <w:rPr>
          <w:rStyle w:val="Rimandonotaapidipagina"/>
          <w:rFonts w:ascii="Times New Roman" w:hAnsi="Times New Roman" w:cs="Times New Roman"/>
          <w:sz w:val="24"/>
          <w:szCs w:val="24"/>
          <w:lang w:eastAsia="it-IT"/>
        </w:rPr>
        <w:footnoteReference w:id="31"/>
      </w:r>
      <w:r w:rsidRPr="00132B85">
        <w:rPr>
          <w:rFonts w:ascii="Times New Roman" w:hAnsi="Times New Roman" w:cs="Times New Roman"/>
          <w:sz w:val="24"/>
          <w:szCs w:val="24"/>
          <w:lang w:eastAsia="it-IT"/>
        </w:rPr>
        <w:t xml:space="preserve">, con cui </w:t>
      </w:r>
      <w:r w:rsidR="0015770F" w:rsidRPr="00132B85">
        <w:rPr>
          <w:rFonts w:ascii="Times New Roman" w:hAnsi="Times New Roman" w:cs="Times New Roman"/>
          <w:sz w:val="24"/>
          <w:szCs w:val="24"/>
          <w:lang w:eastAsia="it-IT"/>
        </w:rPr>
        <w:t xml:space="preserve">la Corte </w:t>
      </w:r>
      <w:r w:rsidRPr="00132B85">
        <w:rPr>
          <w:rFonts w:ascii="Times New Roman" w:hAnsi="Times New Roman" w:cs="Times New Roman"/>
          <w:sz w:val="24"/>
          <w:szCs w:val="24"/>
          <w:lang w:eastAsia="it-IT"/>
        </w:rPr>
        <w:t>ha dichiarato l’incostituzionalità di una legge della Regione Abruzzo che prevedeva, per lo svolgimento del servizio di trasporto degli studenti portatori di handicap o di situazioni di svantaggio, che la Giunta regionale garantisce un contributo del 50% della spesa necessaria e documentata dalle Province solo “</w:t>
      </w:r>
      <w:r w:rsidRPr="00132B85">
        <w:rPr>
          <w:rFonts w:ascii="Times New Roman" w:hAnsi="Times New Roman" w:cs="Times New Roman"/>
          <w:i/>
          <w:sz w:val="24"/>
          <w:szCs w:val="24"/>
          <w:lang w:eastAsia="it-IT"/>
        </w:rPr>
        <w:t>nei limiti della disponibilità finanziaria determinata dalle annuali leggi di bilancio e iscritta sul pertinente capitolo di spesa</w:t>
      </w:r>
      <w:r w:rsidRPr="00132B85">
        <w:rPr>
          <w:rFonts w:ascii="Times New Roman" w:hAnsi="Times New Roman" w:cs="Times New Roman"/>
          <w:sz w:val="24"/>
          <w:szCs w:val="24"/>
          <w:lang w:eastAsia="it-IT"/>
        </w:rPr>
        <w:t>”.</w:t>
      </w:r>
    </w:p>
    <w:p w14:paraId="2CD56426" w14:textId="56CE5BA5" w:rsidR="00A337A1" w:rsidRPr="00132B85" w:rsidRDefault="0015770F"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L</w:t>
      </w:r>
      <w:r w:rsidR="00673046" w:rsidRPr="00132B85">
        <w:rPr>
          <w:rFonts w:ascii="Times New Roman" w:hAnsi="Times New Roman" w:cs="Times New Roman"/>
          <w:sz w:val="24"/>
          <w:szCs w:val="24"/>
          <w:lang w:eastAsia="it-IT"/>
        </w:rPr>
        <w:t xml:space="preserve">a Corte costituzionale ha </w:t>
      </w:r>
      <w:r w:rsidRPr="00132B85">
        <w:rPr>
          <w:rFonts w:ascii="Times New Roman" w:hAnsi="Times New Roman" w:cs="Times New Roman"/>
          <w:sz w:val="24"/>
          <w:szCs w:val="24"/>
          <w:lang w:eastAsia="it-IT"/>
        </w:rPr>
        <w:t>ritenuto l’illegittimità c</w:t>
      </w:r>
      <w:r w:rsidR="00673046" w:rsidRPr="00132B85">
        <w:rPr>
          <w:rFonts w:ascii="Times New Roman" w:hAnsi="Times New Roman" w:cs="Times New Roman"/>
          <w:sz w:val="24"/>
          <w:szCs w:val="24"/>
          <w:lang w:eastAsia="it-IT"/>
        </w:rPr>
        <w:t xml:space="preserve">ostituzionale </w:t>
      </w:r>
      <w:r w:rsidRPr="00132B85">
        <w:rPr>
          <w:rFonts w:ascii="Times New Roman" w:hAnsi="Times New Roman" w:cs="Times New Roman"/>
          <w:sz w:val="24"/>
          <w:szCs w:val="24"/>
          <w:lang w:eastAsia="it-IT"/>
        </w:rPr>
        <w:t>della previsione di legge regionale perché lesiva del diritto all’</w:t>
      </w:r>
      <w:r w:rsidR="00673046" w:rsidRPr="00132B85">
        <w:rPr>
          <w:rFonts w:ascii="Times New Roman" w:hAnsi="Times New Roman" w:cs="Times New Roman"/>
          <w:sz w:val="24"/>
          <w:szCs w:val="24"/>
          <w:lang w:eastAsia="it-IT"/>
        </w:rPr>
        <w:t>istruzione de</w:t>
      </w:r>
      <w:r w:rsidRPr="00132B85">
        <w:rPr>
          <w:rFonts w:ascii="Times New Roman" w:hAnsi="Times New Roman" w:cs="Times New Roman"/>
          <w:sz w:val="24"/>
          <w:szCs w:val="24"/>
          <w:lang w:eastAsia="it-IT"/>
        </w:rPr>
        <w:t>i minori con disabilità osservando che un</w:t>
      </w:r>
      <w:r w:rsidR="00673046" w:rsidRPr="00132B85">
        <w:rPr>
          <w:rFonts w:ascii="Times New Roman" w:hAnsi="Times New Roman" w:cs="Times New Roman"/>
          <w:sz w:val="24"/>
          <w:szCs w:val="24"/>
          <w:lang w:eastAsia="it-IT"/>
        </w:rPr>
        <w:t xml:space="preserve">a norma </w:t>
      </w:r>
      <w:r w:rsidRPr="00132B85">
        <w:rPr>
          <w:rFonts w:ascii="Times New Roman" w:hAnsi="Times New Roman" w:cs="Times New Roman"/>
          <w:sz w:val="24"/>
          <w:szCs w:val="24"/>
          <w:lang w:eastAsia="it-IT"/>
        </w:rPr>
        <w:t xml:space="preserve">di tal fatta </w:t>
      </w:r>
      <w:r w:rsidR="00673046"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w:t>
      </w:r>
      <w:r w:rsidR="00673046" w:rsidRPr="00132B85">
        <w:rPr>
          <w:rFonts w:ascii="Times New Roman" w:hAnsi="Times New Roman" w:cs="Times New Roman"/>
          <w:i/>
          <w:sz w:val="24"/>
          <w:szCs w:val="24"/>
          <w:lang w:eastAsia="it-IT"/>
        </w:rPr>
        <w:t xml:space="preserve">lasci incerta nell’an e nel quantum la misura della contribuzione, la rende aleatoria, traducendosi negativamente sulla possibilità di programmare il servizio e di garantirne l’effettività, in base alle </w:t>
      </w:r>
      <w:r w:rsidR="00673046" w:rsidRPr="00132B85">
        <w:rPr>
          <w:rFonts w:ascii="Times New Roman" w:hAnsi="Times New Roman" w:cs="Times New Roman"/>
          <w:i/>
          <w:sz w:val="24"/>
          <w:szCs w:val="24"/>
          <w:lang w:eastAsia="it-IT"/>
        </w:rPr>
        <w:lastRenderedPageBreak/>
        <w:t>esigenze presenti sul territorio</w:t>
      </w:r>
      <w:r w:rsidRPr="00132B85">
        <w:rPr>
          <w:rFonts w:ascii="Times New Roman" w:hAnsi="Times New Roman" w:cs="Times New Roman"/>
          <w:i/>
          <w:sz w:val="24"/>
          <w:szCs w:val="24"/>
          <w:lang w:eastAsia="it-IT"/>
        </w:rPr>
        <w:t xml:space="preserve">… </w:t>
      </w:r>
      <w:r w:rsidR="00673046" w:rsidRPr="00132B85">
        <w:rPr>
          <w:rFonts w:ascii="Times New Roman" w:hAnsi="Times New Roman" w:cs="Times New Roman"/>
          <w:i/>
          <w:sz w:val="24"/>
          <w:szCs w:val="24"/>
          <w:lang w:eastAsia="it-IT"/>
        </w:rPr>
        <w:t>l’indeterminatezza del finanziamento determina un vulnus all’effettività del servizio di assistenza e trasporto, come conformato dal legislatore regionale, con conseguente violazione dell’art. 38, terzo e quarto comma, Cost.</w:t>
      </w:r>
      <w:r w:rsidR="00673046" w:rsidRPr="00132B85">
        <w:rPr>
          <w:rFonts w:ascii="Times New Roman" w:hAnsi="Times New Roman" w:cs="Times New Roman"/>
          <w:sz w:val="24"/>
          <w:szCs w:val="24"/>
          <w:lang w:eastAsia="it-IT"/>
        </w:rPr>
        <w:t>”</w:t>
      </w:r>
      <w:r w:rsidR="00A337A1" w:rsidRPr="00132B85">
        <w:rPr>
          <w:rFonts w:ascii="Times New Roman" w:hAnsi="Times New Roman" w:cs="Times New Roman"/>
          <w:sz w:val="24"/>
          <w:szCs w:val="24"/>
          <w:lang w:eastAsia="it-IT"/>
        </w:rPr>
        <w:t>.</w:t>
      </w:r>
    </w:p>
    <w:p w14:paraId="42E6E6B0" w14:textId="3C5B075B" w:rsidR="00912544" w:rsidRPr="00132B85" w:rsidRDefault="0015770F"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I</w:t>
      </w:r>
      <w:r w:rsidR="00673046" w:rsidRPr="00132B85">
        <w:rPr>
          <w:rFonts w:ascii="Times New Roman" w:hAnsi="Times New Roman" w:cs="Times New Roman"/>
          <w:sz w:val="24"/>
          <w:szCs w:val="24"/>
          <w:lang w:eastAsia="it-IT"/>
        </w:rPr>
        <w:t xml:space="preserve">n una prospettiva </w:t>
      </w:r>
      <w:r w:rsidRPr="00132B85">
        <w:rPr>
          <w:rFonts w:ascii="Times New Roman" w:hAnsi="Times New Roman" w:cs="Times New Roman"/>
          <w:sz w:val="24"/>
          <w:szCs w:val="24"/>
          <w:lang w:eastAsia="it-IT"/>
        </w:rPr>
        <w:t xml:space="preserve">che appare </w:t>
      </w:r>
      <w:r w:rsidR="00673046" w:rsidRPr="00132B85">
        <w:rPr>
          <w:rFonts w:ascii="Times New Roman" w:hAnsi="Times New Roman" w:cs="Times New Roman"/>
          <w:sz w:val="24"/>
          <w:szCs w:val="24"/>
          <w:lang w:eastAsia="it-IT"/>
        </w:rPr>
        <w:t>diametralmente opposta a qu</w:t>
      </w:r>
      <w:r w:rsidRPr="00132B85">
        <w:rPr>
          <w:rFonts w:ascii="Times New Roman" w:hAnsi="Times New Roman" w:cs="Times New Roman"/>
          <w:sz w:val="24"/>
          <w:szCs w:val="24"/>
          <w:lang w:eastAsia="it-IT"/>
        </w:rPr>
        <w:t xml:space="preserve">ella adottata nella </w:t>
      </w:r>
      <w:r w:rsidR="007908F3">
        <w:rPr>
          <w:rFonts w:ascii="Times New Roman" w:hAnsi="Times New Roman" w:cs="Times New Roman"/>
          <w:sz w:val="24"/>
          <w:szCs w:val="24"/>
          <w:lang w:eastAsia="it-IT"/>
        </w:rPr>
        <w:t xml:space="preserve">richiamata </w:t>
      </w:r>
      <w:r w:rsidRPr="00132B85">
        <w:rPr>
          <w:rFonts w:ascii="Times New Roman" w:hAnsi="Times New Roman" w:cs="Times New Roman"/>
          <w:sz w:val="24"/>
          <w:szCs w:val="24"/>
          <w:lang w:eastAsia="it-IT"/>
        </w:rPr>
        <w:t>sentenza n.</w:t>
      </w:r>
      <w:r w:rsidR="00673046" w:rsidRPr="00132B85">
        <w:rPr>
          <w:rFonts w:ascii="Times New Roman" w:hAnsi="Times New Roman" w:cs="Times New Roman"/>
          <w:sz w:val="24"/>
          <w:szCs w:val="24"/>
          <w:lang w:eastAsia="it-IT"/>
        </w:rPr>
        <w:t xml:space="preserve"> 10 del 2015, </w:t>
      </w:r>
      <w:r w:rsidRPr="00132B85">
        <w:rPr>
          <w:rFonts w:ascii="Times New Roman" w:hAnsi="Times New Roman" w:cs="Times New Roman"/>
          <w:sz w:val="24"/>
          <w:szCs w:val="24"/>
          <w:lang w:eastAsia="it-IT"/>
        </w:rPr>
        <w:t xml:space="preserve">la </w:t>
      </w:r>
      <w:r w:rsidR="001028E0" w:rsidRPr="00132B85">
        <w:rPr>
          <w:rFonts w:ascii="Times New Roman" w:hAnsi="Times New Roman" w:cs="Times New Roman"/>
          <w:sz w:val="24"/>
          <w:szCs w:val="24"/>
          <w:lang w:eastAsia="it-IT"/>
        </w:rPr>
        <w:t>C</w:t>
      </w:r>
      <w:r w:rsidRPr="00132B85">
        <w:rPr>
          <w:rFonts w:ascii="Times New Roman" w:hAnsi="Times New Roman" w:cs="Times New Roman"/>
          <w:sz w:val="24"/>
          <w:szCs w:val="24"/>
          <w:lang w:eastAsia="it-IT"/>
        </w:rPr>
        <w:t xml:space="preserve">orte ha concluso ritenendo che </w:t>
      </w:r>
      <w:r w:rsidR="00673046" w:rsidRPr="00132B85">
        <w:rPr>
          <w:rFonts w:ascii="Times New Roman" w:hAnsi="Times New Roman" w:cs="Times New Roman"/>
          <w:sz w:val="24"/>
          <w:szCs w:val="24"/>
          <w:lang w:eastAsia="it-IT"/>
        </w:rPr>
        <w:t>“</w:t>
      </w:r>
      <w:r w:rsidR="00673046" w:rsidRPr="00132B85">
        <w:rPr>
          <w:rFonts w:ascii="Times New Roman" w:hAnsi="Times New Roman" w:cs="Times New Roman"/>
          <w:i/>
          <w:sz w:val="24"/>
          <w:szCs w:val="24"/>
          <w:lang w:eastAsia="it-IT"/>
        </w:rPr>
        <w:t>è la garanzia dei diritti incomprimibili ad incidere sul bilancio, e non l’equilibrio di questo a condizionarne la doverosa erogazione</w:t>
      </w:r>
      <w:r w:rsidR="00673046" w:rsidRPr="00132B85">
        <w:rPr>
          <w:rFonts w:ascii="Times New Roman" w:hAnsi="Times New Roman" w:cs="Times New Roman"/>
          <w:sz w:val="24"/>
          <w:szCs w:val="24"/>
          <w:lang w:eastAsia="it-IT"/>
        </w:rPr>
        <w:t>”.</w:t>
      </w:r>
    </w:p>
    <w:p w14:paraId="261DB64D" w14:textId="05C28DB4" w:rsidR="009A6DD2" w:rsidRPr="00132B85" w:rsidRDefault="001028E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L</w:t>
      </w:r>
      <w:r w:rsidR="00673046" w:rsidRPr="00132B85">
        <w:rPr>
          <w:rFonts w:ascii="Times New Roman" w:hAnsi="Times New Roman" w:cs="Times New Roman"/>
          <w:sz w:val="24"/>
          <w:szCs w:val="24"/>
          <w:lang w:eastAsia="it-IT"/>
        </w:rPr>
        <w:t xml:space="preserve">a garanzia del </w:t>
      </w:r>
      <w:r w:rsidR="00DA5FA3" w:rsidRPr="00132B85">
        <w:rPr>
          <w:rFonts w:ascii="Times New Roman" w:hAnsi="Times New Roman" w:cs="Times New Roman"/>
          <w:sz w:val="24"/>
          <w:szCs w:val="24"/>
          <w:lang w:eastAsia="it-IT"/>
        </w:rPr>
        <w:t xml:space="preserve">nucleo invalicabile </w:t>
      </w:r>
      <w:r w:rsidR="00673046" w:rsidRPr="00132B85">
        <w:rPr>
          <w:rFonts w:ascii="Times New Roman" w:hAnsi="Times New Roman" w:cs="Times New Roman"/>
          <w:sz w:val="24"/>
          <w:szCs w:val="24"/>
          <w:lang w:eastAsia="it-IT"/>
        </w:rPr>
        <w:t>dei diritti fondamentali, nel caso di specie il diritto allo studio e all’educazione</w:t>
      </w:r>
      <w:r w:rsidRPr="00132B85">
        <w:rPr>
          <w:rFonts w:ascii="Times New Roman" w:hAnsi="Times New Roman" w:cs="Times New Roman"/>
          <w:sz w:val="24"/>
          <w:szCs w:val="24"/>
          <w:lang w:eastAsia="it-IT"/>
        </w:rPr>
        <w:t xml:space="preserve">, </w:t>
      </w:r>
      <w:r w:rsidR="00673046" w:rsidRPr="00132B85">
        <w:rPr>
          <w:rFonts w:ascii="Times New Roman" w:hAnsi="Times New Roman" w:cs="Times New Roman"/>
          <w:sz w:val="24"/>
          <w:szCs w:val="24"/>
          <w:lang w:eastAsia="it-IT"/>
        </w:rPr>
        <w:t>non può essere subordinata alla sussistenza della disponibilità finanziaria determinata dalle leggi di bilancio.</w:t>
      </w:r>
    </w:p>
    <w:p w14:paraId="13C2F501" w14:textId="298C3C70" w:rsidR="00DA5FA3" w:rsidRDefault="00CB5529"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In realtà la Corte più volte, prima della riforma costituzionale dell’art. 81 Cost., aveva affermato </w:t>
      </w:r>
      <w:r w:rsidR="00DA5FA3" w:rsidRPr="00132B85">
        <w:rPr>
          <w:rFonts w:ascii="Times New Roman" w:hAnsi="Times New Roman" w:cs="Times New Roman"/>
          <w:sz w:val="24"/>
          <w:szCs w:val="24"/>
          <w:lang w:eastAsia="it-IT"/>
        </w:rPr>
        <w:t>l’esistenza di un “</w:t>
      </w:r>
      <w:r w:rsidR="00DA5FA3" w:rsidRPr="00132B85">
        <w:rPr>
          <w:rFonts w:ascii="Times New Roman" w:hAnsi="Times New Roman" w:cs="Times New Roman"/>
          <w:i/>
          <w:iCs/>
          <w:sz w:val="24"/>
          <w:szCs w:val="24"/>
          <w:lang w:eastAsia="it-IT"/>
        </w:rPr>
        <w:t xml:space="preserve">nucleo </w:t>
      </w:r>
      <w:r w:rsidR="00903026">
        <w:rPr>
          <w:rFonts w:ascii="Times New Roman" w:hAnsi="Times New Roman" w:cs="Times New Roman"/>
          <w:i/>
          <w:iCs/>
          <w:sz w:val="24"/>
          <w:szCs w:val="24"/>
          <w:lang w:eastAsia="it-IT"/>
        </w:rPr>
        <w:t>indefettibile</w:t>
      </w:r>
      <w:r w:rsidR="00DA5FA3" w:rsidRPr="00132B85">
        <w:rPr>
          <w:rFonts w:ascii="Times New Roman" w:hAnsi="Times New Roman" w:cs="Times New Roman"/>
          <w:sz w:val="24"/>
          <w:szCs w:val="24"/>
          <w:lang w:eastAsia="it-IT"/>
        </w:rPr>
        <w:t>”</w:t>
      </w:r>
      <w:r w:rsidR="003D1C17">
        <w:rPr>
          <w:rStyle w:val="Rimandonotaapidipagina"/>
          <w:rFonts w:ascii="Times New Roman" w:hAnsi="Times New Roman" w:cs="Times New Roman"/>
          <w:sz w:val="24"/>
          <w:szCs w:val="24"/>
          <w:lang w:eastAsia="it-IT"/>
        </w:rPr>
        <w:footnoteReference w:id="32"/>
      </w:r>
      <w:r w:rsidR="00DA5FA3" w:rsidRPr="00132B85">
        <w:rPr>
          <w:rFonts w:ascii="Times New Roman" w:hAnsi="Times New Roman" w:cs="Times New Roman"/>
          <w:sz w:val="24"/>
          <w:szCs w:val="24"/>
          <w:lang w:eastAsia="it-IT"/>
        </w:rPr>
        <w:t xml:space="preserve"> de</w:t>
      </w:r>
      <w:r w:rsidR="003D1C17">
        <w:rPr>
          <w:rFonts w:ascii="Times New Roman" w:hAnsi="Times New Roman" w:cs="Times New Roman"/>
          <w:sz w:val="24"/>
          <w:szCs w:val="24"/>
          <w:lang w:eastAsia="it-IT"/>
        </w:rPr>
        <w:t>i diritti fondamentali</w:t>
      </w:r>
      <w:r w:rsidR="00903026">
        <w:rPr>
          <w:rFonts w:ascii="Times New Roman" w:hAnsi="Times New Roman" w:cs="Times New Roman"/>
          <w:sz w:val="24"/>
          <w:szCs w:val="24"/>
          <w:lang w:eastAsia="it-IT"/>
        </w:rPr>
        <w:t xml:space="preserve"> della persona</w:t>
      </w:r>
      <w:r w:rsidR="003D1C17">
        <w:rPr>
          <w:rFonts w:ascii="Times New Roman" w:hAnsi="Times New Roman" w:cs="Times New Roman"/>
          <w:sz w:val="24"/>
          <w:szCs w:val="24"/>
          <w:lang w:eastAsia="it-IT"/>
        </w:rPr>
        <w:t xml:space="preserve">, tra cui in particolare </w:t>
      </w:r>
      <w:r w:rsidR="00DA5FA3" w:rsidRPr="00132B85">
        <w:rPr>
          <w:rFonts w:ascii="Times New Roman" w:hAnsi="Times New Roman" w:cs="Times New Roman"/>
          <w:sz w:val="24"/>
          <w:szCs w:val="24"/>
          <w:lang w:eastAsia="it-IT"/>
        </w:rPr>
        <w:t>alla salute</w:t>
      </w:r>
      <w:r w:rsidR="003D1C17">
        <w:rPr>
          <w:rFonts w:ascii="Times New Roman" w:hAnsi="Times New Roman" w:cs="Times New Roman"/>
          <w:sz w:val="24"/>
          <w:szCs w:val="24"/>
          <w:lang w:eastAsia="it-IT"/>
        </w:rPr>
        <w:t>, all’istruzione e allo studio</w:t>
      </w:r>
      <w:r w:rsidR="00DA5FA3" w:rsidRPr="00132B85">
        <w:rPr>
          <w:rFonts w:ascii="Times New Roman" w:hAnsi="Times New Roman" w:cs="Times New Roman"/>
          <w:sz w:val="24"/>
          <w:szCs w:val="24"/>
          <w:lang w:eastAsia="it-IT"/>
        </w:rPr>
        <w:t xml:space="preserve">, </w:t>
      </w:r>
      <w:r w:rsidR="003D1C17">
        <w:rPr>
          <w:rFonts w:ascii="Times New Roman" w:hAnsi="Times New Roman" w:cs="Times New Roman"/>
          <w:sz w:val="24"/>
          <w:szCs w:val="24"/>
          <w:lang w:eastAsia="it-IT"/>
        </w:rPr>
        <w:t>mai comprimibile in quanto diversamente ne deriverebbe una sosta</w:t>
      </w:r>
      <w:r w:rsidR="004C6D4C">
        <w:rPr>
          <w:rFonts w:ascii="Times New Roman" w:hAnsi="Times New Roman" w:cs="Times New Roman"/>
          <w:sz w:val="24"/>
          <w:szCs w:val="24"/>
          <w:lang w:eastAsia="it-IT"/>
        </w:rPr>
        <w:t>n</w:t>
      </w:r>
      <w:r w:rsidR="003D1C17">
        <w:rPr>
          <w:rFonts w:ascii="Times New Roman" w:hAnsi="Times New Roman" w:cs="Times New Roman"/>
          <w:sz w:val="24"/>
          <w:szCs w:val="24"/>
          <w:lang w:eastAsia="it-IT"/>
        </w:rPr>
        <w:t>ziale negazione dei diritti costituzionalmente riconosciuti, conseguendone pertanto l’illegittimità</w:t>
      </w:r>
      <w:r w:rsidR="00DA5FA3" w:rsidRPr="00132B85">
        <w:rPr>
          <w:rFonts w:ascii="Times New Roman" w:hAnsi="Times New Roman" w:cs="Times New Roman"/>
          <w:sz w:val="24"/>
          <w:szCs w:val="24"/>
          <w:lang w:eastAsia="it-IT"/>
        </w:rPr>
        <w:t xml:space="preserve"> delle norme </w:t>
      </w:r>
      <w:r w:rsidR="003D1C17">
        <w:rPr>
          <w:rFonts w:ascii="Times New Roman" w:hAnsi="Times New Roman" w:cs="Times New Roman"/>
          <w:sz w:val="24"/>
          <w:szCs w:val="24"/>
          <w:lang w:eastAsia="it-IT"/>
        </w:rPr>
        <w:t>di legge per contrasto con le disposizioni costituzionali</w:t>
      </w:r>
      <w:r w:rsidR="00280800">
        <w:rPr>
          <w:rFonts w:ascii="Times New Roman" w:hAnsi="Times New Roman" w:cs="Times New Roman"/>
          <w:sz w:val="24"/>
          <w:szCs w:val="24"/>
          <w:lang w:eastAsia="it-IT"/>
        </w:rPr>
        <w:t>.</w:t>
      </w:r>
    </w:p>
    <w:p w14:paraId="726DB066" w14:textId="281D655B" w:rsidR="007908F3" w:rsidRPr="00132B85" w:rsidRDefault="007908F3"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Particolarmente significativa la sentenza n. 80 del 2010 che, richiamando i precedenti della Corte sul rispetto di un “nucleo indefettibile di garanzie”, ha ritenuto l’illegittimità costituzionale per irragionevolezza della legge finanziaria per il 2008 (</w:t>
      </w:r>
      <w:r w:rsidRPr="007908F3">
        <w:rPr>
          <w:rFonts w:ascii="Times New Roman" w:hAnsi="Times New Roman" w:cs="Times New Roman"/>
          <w:sz w:val="24"/>
          <w:szCs w:val="24"/>
          <w:lang w:eastAsia="it-IT"/>
        </w:rPr>
        <w:t>art. 2, comma 413, della legge 24 dicembre 2007, n. 244</w:t>
      </w:r>
      <w:r>
        <w:rPr>
          <w:rFonts w:ascii="Times New Roman" w:hAnsi="Times New Roman" w:cs="Times New Roman"/>
          <w:sz w:val="24"/>
          <w:szCs w:val="24"/>
          <w:lang w:eastAsia="it-IT"/>
        </w:rPr>
        <w:t xml:space="preserve">) nella parte in cui, </w:t>
      </w:r>
      <w:r w:rsidRPr="007908F3">
        <w:rPr>
          <w:rFonts w:ascii="Times New Roman" w:hAnsi="Times New Roman" w:cs="Times New Roman"/>
          <w:sz w:val="24"/>
          <w:szCs w:val="24"/>
          <w:lang w:eastAsia="it-IT"/>
        </w:rPr>
        <w:t>stabilendo un limite massimo invalicabile relativamente al numero delle ore di insegnamento di sostegno, comporta automaticamente l’impossibilità di avvalersi, in deroga al rapporto tra studenti e docenti stabilito dalla normativa statale, di insegnanti specializzati che assicur</w:t>
      </w:r>
      <w:r>
        <w:rPr>
          <w:rFonts w:ascii="Times New Roman" w:hAnsi="Times New Roman" w:cs="Times New Roman"/>
          <w:sz w:val="24"/>
          <w:szCs w:val="24"/>
          <w:lang w:eastAsia="it-IT"/>
        </w:rPr>
        <w:t xml:space="preserve">assero </w:t>
      </w:r>
      <w:r w:rsidRPr="007908F3">
        <w:rPr>
          <w:rFonts w:ascii="Times New Roman" w:hAnsi="Times New Roman" w:cs="Times New Roman"/>
          <w:sz w:val="24"/>
          <w:szCs w:val="24"/>
          <w:lang w:eastAsia="it-IT"/>
        </w:rPr>
        <w:t>al disabile grave il miglioramento della sua situazione nell’ambito sociale e scolastico</w:t>
      </w:r>
    </w:p>
    <w:p w14:paraId="3BEEA309" w14:textId="7F28A934" w:rsidR="003D1525" w:rsidRPr="003D1C17"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Doveroso </w:t>
      </w:r>
      <w:r w:rsidR="003D1C17" w:rsidRPr="003D1C17">
        <w:rPr>
          <w:rFonts w:ascii="Times New Roman" w:hAnsi="Times New Roman" w:cs="Times New Roman"/>
          <w:sz w:val="24"/>
          <w:szCs w:val="24"/>
          <w:lang w:eastAsia="it-IT"/>
        </w:rPr>
        <w:t xml:space="preserve">al riguardo </w:t>
      </w:r>
      <w:r w:rsidRPr="003D1C17">
        <w:rPr>
          <w:rFonts w:ascii="Times New Roman" w:hAnsi="Times New Roman" w:cs="Times New Roman"/>
          <w:sz w:val="24"/>
          <w:szCs w:val="24"/>
          <w:lang w:eastAsia="it-IT"/>
        </w:rPr>
        <w:t>è un cenno alla specificità del nostro ordinamento costituzionale p</w:t>
      </w:r>
      <w:r w:rsidR="003D1C17">
        <w:rPr>
          <w:rFonts w:ascii="Times New Roman" w:hAnsi="Times New Roman" w:cs="Times New Roman"/>
          <w:sz w:val="24"/>
          <w:szCs w:val="24"/>
          <w:lang w:eastAsia="it-IT"/>
        </w:rPr>
        <w:t xml:space="preserve">roprio per </w:t>
      </w:r>
      <w:r w:rsidRPr="003D1C17">
        <w:rPr>
          <w:rFonts w:ascii="Times New Roman" w:hAnsi="Times New Roman" w:cs="Times New Roman"/>
          <w:sz w:val="24"/>
          <w:szCs w:val="24"/>
          <w:lang w:eastAsia="it-IT"/>
        </w:rPr>
        <w:t>l’attenzione riservata alla tutela della persona, come vista dal Giudice di Strasburgo.</w:t>
      </w:r>
    </w:p>
    <w:p w14:paraId="4CF16623" w14:textId="6205ABEE" w:rsidR="003D1525" w:rsidRPr="003D1C17"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La </w:t>
      </w:r>
      <w:r w:rsidRPr="003D1C17">
        <w:rPr>
          <w:rFonts w:ascii="Times New Roman" w:eastAsia="Times New Roman" w:hAnsi="Times New Roman" w:cs="Times New Roman"/>
          <w:bCs/>
          <w:sz w:val="24"/>
          <w:szCs w:val="24"/>
          <w:lang w:eastAsia="it-IT"/>
        </w:rPr>
        <w:t>Corte Europea dei Diritti dell'Uomo (CEDU)</w:t>
      </w:r>
      <w:r w:rsidRPr="003D1C17">
        <w:rPr>
          <w:rStyle w:val="Rimandonotaapidipagina"/>
          <w:rFonts w:ascii="Times New Roman" w:hAnsi="Times New Roman" w:cs="Times New Roman"/>
          <w:sz w:val="24"/>
          <w:szCs w:val="24"/>
          <w:lang w:eastAsia="it-IT"/>
        </w:rPr>
        <w:footnoteReference w:id="33"/>
      </w:r>
      <w:r w:rsidRPr="003D1C17">
        <w:rPr>
          <w:rFonts w:ascii="Times New Roman" w:eastAsia="Times New Roman" w:hAnsi="Times New Roman" w:cs="Times New Roman"/>
          <w:bCs/>
          <w:sz w:val="24"/>
          <w:szCs w:val="24"/>
          <w:lang w:eastAsia="it-IT"/>
        </w:rPr>
        <w:t xml:space="preserve"> ha avuto infatti modo di rilevare, a proposito di </w:t>
      </w:r>
      <w:r w:rsidRPr="003D1C17">
        <w:rPr>
          <w:rFonts w:ascii="Times New Roman" w:hAnsi="Times New Roman" w:cs="Times New Roman"/>
          <w:sz w:val="24"/>
          <w:szCs w:val="24"/>
          <w:lang w:eastAsia="it-IT"/>
        </w:rPr>
        <w:t xml:space="preserve">fattispecie rientrante nel campo di applicazione dell’art. 14 CEDU (divieto di discriminazioni) in combinato disposto con l’art. 2 del Protocollo n. 1 CEDU (diritto all’istruzione), che assicurando il sistema italiano in linea di principio il diritto all’istruzione del minore con disabilità attraverso il riconoscimento del diritto a un’educazione inclusiva anche con il supporto di professionisti appositamente formati, avuto riguardo al principio di non discriminazione, l’Italia avesse agito, nel </w:t>
      </w:r>
      <w:r w:rsidRPr="003D1C17">
        <w:rPr>
          <w:rFonts w:ascii="Times New Roman" w:hAnsi="Times New Roman" w:cs="Times New Roman"/>
          <w:sz w:val="24"/>
          <w:szCs w:val="24"/>
          <w:lang w:eastAsia="it-IT"/>
        </w:rPr>
        <w:lastRenderedPageBreak/>
        <w:t>caso di specie, oltre ogni margine di apprezzamento consentito, puntualizzando che “</w:t>
      </w:r>
      <w:r w:rsidRPr="003D1C17">
        <w:rPr>
          <w:rFonts w:ascii="Times New Roman" w:hAnsi="Times New Roman" w:cs="Times New Roman"/>
          <w:i/>
          <w:sz w:val="24"/>
          <w:szCs w:val="24"/>
          <w:lang w:eastAsia="it-IT"/>
        </w:rPr>
        <w:t>non sono precluse in linea generale limitazioni connesse ad esigenze di bilancio, a condizione però che simili misure vengano ripartite su tutti i beneficiari del servizio scolastico, a prescindere quindi dalla loro condizione di disabilità</w:t>
      </w:r>
      <w:r w:rsidR="00A016C5">
        <w:rPr>
          <w:rFonts w:ascii="Times New Roman" w:hAnsi="Times New Roman" w:cs="Times New Roman"/>
          <w:sz w:val="24"/>
          <w:szCs w:val="24"/>
          <w:lang w:eastAsia="it-IT"/>
        </w:rPr>
        <w:t>.”</w:t>
      </w:r>
    </w:p>
    <w:p w14:paraId="63E82CB2" w14:textId="481AE903" w:rsidR="003D1525" w:rsidRPr="00132B8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Le conclusioni della </w:t>
      </w:r>
      <w:r w:rsidRPr="004C1623">
        <w:rPr>
          <w:rFonts w:ascii="Times New Roman" w:hAnsi="Times New Roman" w:cs="Times New Roman"/>
          <w:sz w:val="24"/>
          <w:szCs w:val="24"/>
          <w:lang w:eastAsia="it-IT"/>
        </w:rPr>
        <w:t>Corte internazionale sono tanto più significative della specificità dell’ordinamento italiano, se si considera il diverso approdo cui la stessa è pervenuta con riferimento a casi analoghi</w:t>
      </w:r>
      <w:r w:rsidR="00DC03B9" w:rsidRPr="004C1623">
        <w:rPr>
          <w:rFonts w:ascii="Times New Roman" w:hAnsi="Times New Roman" w:cs="Times New Roman"/>
          <w:sz w:val="24"/>
          <w:szCs w:val="24"/>
          <w:lang w:eastAsia="it-IT"/>
        </w:rPr>
        <w:t>,</w:t>
      </w:r>
      <w:r w:rsidRPr="004C1623">
        <w:rPr>
          <w:rFonts w:ascii="Times New Roman" w:hAnsi="Times New Roman" w:cs="Times New Roman"/>
          <w:sz w:val="24"/>
          <w:szCs w:val="24"/>
          <w:lang w:eastAsia="it-IT"/>
        </w:rPr>
        <w:t xml:space="preserve"> ma che hanno interessato altri Paesi </w:t>
      </w:r>
      <w:r w:rsidR="003D1C17" w:rsidRPr="004C1623">
        <w:rPr>
          <w:rFonts w:ascii="Times New Roman" w:hAnsi="Times New Roman" w:cs="Times New Roman"/>
          <w:sz w:val="24"/>
          <w:szCs w:val="24"/>
          <w:lang w:eastAsia="it-IT"/>
        </w:rPr>
        <w:t xml:space="preserve">e dunque altri ordinamenti </w:t>
      </w:r>
      <w:r w:rsidRPr="004C1623">
        <w:rPr>
          <w:rFonts w:ascii="Times New Roman" w:hAnsi="Times New Roman" w:cs="Times New Roman"/>
          <w:sz w:val="24"/>
          <w:szCs w:val="24"/>
          <w:lang w:eastAsia="it-IT"/>
        </w:rPr>
        <w:t>(si pensi a</w:t>
      </w:r>
      <w:r w:rsidR="004C1623">
        <w:rPr>
          <w:rFonts w:ascii="Times New Roman" w:hAnsi="Times New Roman" w:cs="Times New Roman"/>
          <w:sz w:val="24"/>
          <w:szCs w:val="24"/>
          <w:lang w:eastAsia="it-IT"/>
        </w:rPr>
        <w:t>i casi</w:t>
      </w:r>
      <w:r w:rsidRPr="004C1623">
        <w:rPr>
          <w:rFonts w:ascii="Times New Roman" w:hAnsi="Times New Roman" w:cs="Times New Roman"/>
          <w:sz w:val="24"/>
          <w:szCs w:val="24"/>
          <w:lang w:eastAsia="it-IT"/>
        </w:rPr>
        <w:t xml:space="preserve"> </w:t>
      </w:r>
      <w:r w:rsidRPr="004C1623">
        <w:rPr>
          <w:rFonts w:ascii="Times New Roman" w:hAnsi="Times New Roman" w:cs="Times New Roman"/>
          <w:iCs/>
          <w:sz w:val="24"/>
          <w:szCs w:val="24"/>
          <w:lang w:eastAsia="it-IT"/>
        </w:rPr>
        <w:t xml:space="preserve">Dupin c. Francia </w:t>
      </w:r>
      <w:r w:rsidR="004C1623" w:rsidRPr="004C1623">
        <w:rPr>
          <w:rFonts w:ascii="Times New Roman" w:hAnsi="Times New Roman" w:cs="Times New Roman"/>
          <w:iCs/>
          <w:sz w:val="24"/>
          <w:szCs w:val="24"/>
          <w:lang w:eastAsia="it-IT"/>
        </w:rPr>
        <w:t>e</w:t>
      </w:r>
      <w:r w:rsidR="004C1623">
        <w:rPr>
          <w:rFonts w:ascii="Times New Roman" w:hAnsi="Times New Roman" w:cs="Times New Roman"/>
          <w:iCs/>
          <w:sz w:val="24"/>
          <w:szCs w:val="24"/>
          <w:lang w:eastAsia="it-IT"/>
        </w:rPr>
        <w:t xml:space="preserve"> </w:t>
      </w:r>
      <w:r w:rsidR="004C1623" w:rsidRPr="004C1623">
        <w:rPr>
          <w:rFonts w:ascii="Times New Roman" w:hAnsi="Times New Roman" w:cs="Times New Roman"/>
          <w:sz w:val="24"/>
          <w:szCs w:val="24"/>
        </w:rPr>
        <w:t>Stoian c</w:t>
      </w:r>
      <w:r w:rsidR="004C1623">
        <w:rPr>
          <w:rFonts w:ascii="Times New Roman" w:hAnsi="Times New Roman" w:cs="Times New Roman"/>
          <w:sz w:val="24"/>
          <w:szCs w:val="24"/>
        </w:rPr>
        <w:t>.</w:t>
      </w:r>
      <w:r w:rsidR="004C1623" w:rsidRPr="004C1623">
        <w:rPr>
          <w:rFonts w:ascii="Times New Roman" w:hAnsi="Times New Roman" w:cs="Times New Roman"/>
          <w:sz w:val="24"/>
          <w:szCs w:val="24"/>
        </w:rPr>
        <w:t xml:space="preserve"> Romania</w:t>
      </w:r>
      <w:r w:rsidR="00DC03B9" w:rsidRPr="004C1623">
        <w:rPr>
          <w:rStyle w:val="Rimandonotaapidipagina"/>
          <w:rFonts w:ascii="Times New Roman" w:hAnsi="Times New Roman" w:cs="Times New Roman"/>
          <w:sz w:val="24"/>
          <w:szCs w:val="24"/>
          <w:lang w:eastAsia="it-IT"/>
        </w:rPr>
        <w:footnoteReference w:id="34"/>
      </w:r>
      <w:r w:rsidR="00DC03B9" w:rsidRPr="004C1623">
        <w:rPr>
          <w:rFonts w:ascii="Times New Roman" w:hAnsi="Times New Roman" w:cs="Times New Roman"/>
          <w:sz w:val="24"/>
          <w:szCs w:val="24"/>
          <w:lang w:eastAsia="it-IT"/>
        </w:rPr>
        <w:t>).</w:t>
      </w:r>
    </w:p>
    <w:p w14:paraId="29C5D20B" w14:textId="1B9911DD" w:rsidR="009A27BD" w:rsidRPr="00132B85" w:rsidRDefault="00EB4D08" w:rsidP="009A27BD">
      <w:pPr>
        <w:jc w:val="both"/>
        <w:rPr>
          <w:rFonts w:ascii="Times New Roman" w:hAnsi="Times New Roman" w:cs="Times New Roman"/>
          <w:sz w:val="24"/>
          <w:szCs w:val="24"/>
          <w:lang w:eastAsia="it-IT"/>
        </w:rPr>
      </w:pPr>
      <w:r w:rsidRPr="00A74FBB">
        <w:rPr>
          <w:rFonts w:ascii="Times New Roman" w:hAnsi="Times New Roman" w:cs="Times New Roman"/>
          <w:sz w:val="24"/>
          <w:szCs w:val="24"/>
          <w:lang w:eastAsia="it-IT"/>
        </w:rPr>
        <w:t>L</w:t>
      </w:r>
      <w:r w:rsidR="007E43C3" w:rsidRPr="00A74FBB">
        <w:rPr>
          <w:rFonts w:ascii="Times New Roman" w:hAnsi="Times New Roman" w:cs="Times New Roman"/>
          <w:sz w:val="24"/>
          <w:szCs w:val="24"/>
          <w:lang w:eastAsia="it-IT"/>
        </w:rPr>
        <w:t>a Corte</w:t>
      </w:r>
      <w:r w:rsidR="003D1525" w:rsidRPr="00A74FBB">
        <w:rPr>
          <w:rFonts w:ascii="Times New Roman" w:hAnsi="Times New Roman" w:cs="Times New Roman"/>
          <w:sz w:val="24"/>
          <w:szCs w:val="24"/>
          <w:lang w:eastAsia="it-IT"/>
        </w:rPr>
        <w:t xml:space="preserve"> costituzionale</w:t>
      </w:r>
      <w:r w:rsidR="007E43C3" w:rsidRPr="00A74FBB">
        <w:rPr>
          <w:rFonts w:ascii="Times New Roman" w:hAnsi="Times New Roman" w:cs="Times New Roman"/>
          <w:sz w:val="24"/>
          <w:szCs w:val="24"/>
          <w:lang w:eastAsia="it-IT"/>
        </w:rPr>
        <w:t xml:space="preserve"> </w:t>
      </w:r>
      <w:r w:rsidRPr="00A74FBB">
        <w:rPr>
          <w:rFonts w:ascii="Times New Roman" w:hAnsi="Times New Roman" w:cs="Times New Roman"/>
          <w:sz w:val="24"/>
          <w:szCs w:val="24"/>
          <w:lang w:eastAsia="it-IT"/>
        </w:rPr>
        <w:t xml:space="preserve">è </w:t>
      </w:r>
      <w:r w:rsidR="003D1C17" w:rsidRPr="00A74FBB">
        <w:rPr>
          <w:rFonts w:ascii="Times New Roman" w:hAnsi="Times New Roman" w:cs="Times New Roman"/>
          <w:sz w:val="24"/>
          <w:szCs w:val="24"/>
          <w:lang w:eastAsia="it-IT"/>
        </w:rPr>
        <w:t xml:space="preserve">dunque </w:t>
      </w:r>
      <w:r w:rsidRPr="00A74FBB">
        <w:rPr>
          <w:rFonts w:ascii="Times New Roman" w:hAnsi="Times New Roman" w:cs="Times New Roman"/>
          <w:sz w:val="24"/>
          <w:szCs w:val="24"/>
          <w:lang w:eastAsia="it-IT"/>
        </w:rPr>
        <w:t xml:space="preserve">tornata più volte sul tema </w:t>
      </w:r>
      <w:r w:rsidR="003D1C17" w:rsidRPr="00A74FBB">
        <w:rPr>
          <w:rFonts w:ascii="Times New Roman" w:hAnsi="Times New Roman" w:cs="Times New Roman"/>
          <w:sz w:val="24"/>
          <w:szCs w:val="24"/>
          <w:lang w:eastAsia="it-IT"/>
        </w:rPr>
        <w:t xml:space="preserve">del “nucleo indefettibile o essenziale dei diritti fondamentali” </w:t>
      </w:r>
      <w:r w:rsidR="009A27BD">
        <w:rPr>
          <w:rFonts w:ascii="Times New Roman" w:hAnsi="Times New Roman" w:cs="Times New Roman"/>
          <w:sz w:val="24"/>
          <w:szCs w:val="24"/>
          <w:lang w:eastAsia="it-IT"/>
        </w:rPr>
        <w:t xml:space="preserve">portando alla </w:t>
      </w:r>
      <w:r w:rsidR="00A74FBB" w:rsidRPr="00A74FBB">
        <w:rPr>
          <w:rFonts w:ascii="Times New Roman" w:hAnsi="Times New Roman" w:cs="Times New Roman"/>
          <w:sz w:val="24"/>
          <w:szCs w:val="24"/>
          <w:lang w:eastAsia="it-IT"/>
        </w:rPr>
        <w:t>distin</w:t>
      </w:r>
      <w:r w:rsidR="009A27BD">
        <w:rPr>
          <w:rFonts w:ascii="Times New Roman" w:hAnsi="Times New Roman" w:cs="Times New Roman"/>
          <w:sz w:val="24"/>
          <w:szCs w:val="24"/>
          <w:lang w:eastAsia="it-IT"/>
        </w:rPr>
        <w:t xml:space="preserve">zione </w:t>
      </w:r>
      <w:r w:rsidR="00A74FBB" w:rsidRPr="00A74FBB">
        <w:rPr>
          <w:rFonts w:ascii="Times New Roman" w:hAnsi="Times New Roman" w:cs="Times New Roman"/>
          <w:sz w:val="24"/>
          <w:szCs w:val="24"/>
          <w:lang w:eastAsia="it-IT"/>
        </w:rPr>
        <w:t xml:space="preserve">tra </w:t>
      </w:r>
      <w:r w:rsidR="009A27BD">
        <w:rPr>
          <w:rFonts w:ascii="Times New Roman" w:hAnsi="Times New Roman" w:cs="Times New Roman"/>
          <w:sz w:val="24"/>
          <w:szCs w:val="24"/>
          <w:lang w:eastAsia="it-IT"/>
        </w:rPr>
        <w:t xml:space="preserve">un </w:t>
      </w:r>
      <w:r w:rsidR="00A74FBB" w:rsidRPr="00A74FBB">
        <w:rPr>
          <w:rFonts w:ascii="Times New Roman" w:hAnsi="Times New Roman" w:cs="Times New Roman"/>
          <w:sz w:val="24"/>
          <w:szCs w:val="24"/>
          <w:lang w:eastAsia="it-IT"/>
        </w:rPr>
        <w:t>nucleo essenziale del diritto che</w:t>
      </w:r>
      <w:r w:rsidR="00A74FBB" w:rsidRPr="00A74FBB">
        <w:rPr>
          <w:rFonts w:ascii="Times New Roman" w:hAnsi="Times New Roman" w:cs="Times New Roman"/>
          <w:sz w:val="24"/>
          <w:szCs w:val="24"/>
        </w:rPr>
        <w:t xml:space="preserve"> non può mai risultare recessivo rispetto a condizionamenti finanziari</w:t>
      </w:r>
      <w:r w:rsidR="009A27BD">
        <w:rPr>
          <w:rFonts w:ascii="Times New Roman" w:hAnsi="Times New Roman" w:cs="Times New Roman"/>
          <w:sz w:val="24"/>
          <w:szCs w:val="24"/>
        </w:rPr>
        <w:t>,</w:t>
      </w:r>
      <w:r w:rsidR="00A74FBB" w:rsidRPr="00A74FBB">
        <w:rPr>
          <w:rFonts w:ascii="Times New Roman" w:hAnsi="Times New Roman" w:cs="Times New Roman"/>
          <w:sz w:val="24"/>
          <w:szCs w:val="24"/>
        </w:rPr>
        <w:t xml:space="preserve"> e </w:t>
      </w:r>
      <w:r w:rsidR="00A74FBB" w:rsidRPr="00A74FBB">
        <w:rPr>
          <w:rFonts w:ascii="Times New Roman" w:hAnsi="Times New Roman" w:cs="Times New Roman"/>
          <w:sz w:val="24"/>
          <w:szCs w:val="24"/>
          <w:lang w:eastAsia="it-IT"/>
        </w:rPr>
        <w:t>prestazioni ulteriori che, per quanto tese a garantire effettività a diritti fondamenta</w:t>
      </w:r>
      <w:r w:rsidR="009A27BD">
        <w:rPr>
          <w:rFonts w:ascii="Times New Roman" w:hAnsi="Times New Roman" w:cs="Times New Roman"/>
          <w:sz w:val="24"/>
          <w:szCs w:val="24"/>
          <w:lang w:eastAsia="it-IT"/>
        </w:rPr>
        <w:t xml:space="preserve">li, si pongono come aggiuntive </w:t>
      </w:r>
      <w:r w:rsidR="009A27BD" w:rsidRPr="00132B85">
        <w:rPr>
          <w:rFonts w:ascii="Times New Roman" w:hAnsi="Times New Roman" w:cs="Times New Roman"/>
          <w:sz w:val="24"/>
          <w:szCs w:val="24"/>
          <w:lang w:eastAsia="it-IT"/>
        </w:rPr>
        <w:t>arricch</w:t>
      </w:r>
      <w:r w:rsidR="009A27BD">
        <w:rPr>
          <w:rFonts w:ascii="Times New Roman" w:hAnsi="Times New Roman" w:cs="Times New Roman"/>
          <w:sz w:val="24"/>
          <w:szCs w:val="24"/>
          <w:lang w:eastAsia="it-IT"/>
        </w:rPr>
        <w:t xml:space="preserve">endo </w:t>
      </w:r>
      <w:r w:rsidR="009A27BD" w:rsidRPr="00132B85">
        <w:rPr>
          <w:rFonts w:ascii="Times New Roman" w:hAnsi="Times New Roman" w:cs="Times New Roman"/>
          <w:sz w:val="24"/>
          <w:szCs w:val="24"/>
          <w:lang w:eastAsia="it-IT"/>
        </w:rPr>
        <w:t xml:space="preserve">quel nucleo centrale </w:t>
      </w:r>
      <w:r w:rsidR="009A27BD">
        <w:rPr>
          <w:rFonts w:ascii="Times New Roman" w:hAnsi="Times New Roman" w:cs="Times New Roman"/>
          <w:sz w:val="24"/>
          <w:szCs w:val="24"/>
          <w:lang w:eastAsia="it-IT"/>
        </w:rPr>
        <w:t xml:space="preserve">e </w:t>
      </w:r>
      <w:r w:rsidR="009A27BD" w:rsidRPr="00132B85">
        <w:rPr>
          <w:rFonts w:ascii="Times New Roman" w:hAnsi="Times New Roman" w:cs="Times New Roman"/>
          <w:sz w:val="24"/>
          <w:szCs w:val="24"/>
          <w:lang w:eastAsia="it-IT"/>
        </w:rPr>
        <w:t>dandogli, sempre più, maggiore sostanza.</w:t>
      </w:r>
    </w:p>
    <w:p w14:paraId="23D5DB89" w14:textId="78426F5E" w:rsidR="003D1525" w:rsidRPr="00103EA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Nella prospettiva della Corte costituzionale non sembra un caso che la gran parte delle pronunce in cui si faccia riferimento ad un nucleo essenziale o indefettibile del diritto le questioni interessino diritti fondamentali delle persone </w:t>
      </w:r>
      <w:r w:rsidR="000957AB" w:rsidRPr="003D1C17">
        <w:rPr>
          <w:rFonts w:ascii="Times New Roman" w:hAnsi="Times New Roman" w:cs="Times New Roman"/>
          <w:sz w:val="24"/>
          <w:szCs w:val="24"/>
          <w:lang w:eastAsia="it-IT"/>
        </w:rPr>
        <w:t>che per l’età (minori) o per particolari condizioni (</w:t>
      </w:r>
      <w:r w:rsidRPr="003D1C17">
        <w:rPr>
          <w:rFonts w:ascii="Times New Roman" w:hAnsi="Times New Roman" w:cs="Times New Roman"/>
          <w:sz w:val="24"/>
          <w:szCs w:val="24"/>
          <w:lang w:eastAsia="it-IT"/>
        </w:rPr>
        <w:t>disabilità</w:t>
      </w:r>
      <w:r w:rsidR="000957AB" w:rsidRPr="003D1C17">
        <w:rPr>
          <w:rFonts w:ascii="Times New Roman" w:hAnsi="Times New Roman" w:cs="Times New Roman"/>
          <w:sz w:val="24"/>
          <w:szCs w:val="24"/>
          <w:lang w:eastAsia="it-IT"/>
        </w:rPr>
        <w:t xml:space="preserve">) </w:t>
      </w:r>
      <w:r w:rsidR="00103EA5" w:rsidRPr="00103EA5">
        <w:rPr>
          <w:rFonts w:ascii="Times New Roman" w:hAnsi="Times New Roman" w:cs="Times New Roman"/>
          <w:sz w:val="24"/>
          <w:szCs w:val="24"/>
          <w:lang w:eastAsia="it-IT"/>
        </w:rPr>
        <w:t>-</w:t>
      </w:r>
      <w:r w:rsidR="000957AB" w:rsidRPr="00103EA5">
        <w:rPr>
          <w:rFonts w:ascii="Times New Roman" w:hAnsi="Times New Roman" w:cs="Times New Roman"/>
          <w:sz w:val="24"/>
          <w:szCs w:val="24"/>
          <w:lang w:eastAsia="it-IT"/>
        </w:rPr>
        <w:t>ovvero entrambe</w:t>
      </w:r>
      <w:r w:rsidR="00103EA5" w:rsidRPr="00103EA5">
        <w:rPr>
          <w:rFonts w:ascii="Times New Roman" w:hAnsi="Times New Roman" w:cs="Times New Roman"/>
          <w:sz w:val="24"/>
          <w:szCs w:val="24"/>
          <w:lang w:eastAsia="it-IT"/>
        </w:rPr>
        <w:t xml:space="preserve">- </w:t>
      </w:r>
      <w:r w:rsidR="000957AB" w:rsidRPr="00103EA5">
        <w:rPr>
          <w:rFonts w:ascii="Times New Roman" w:hAnsi="Times New Roman" w:cs="Times New Roman"/>
          <w:sz w:val="24"/>
          <w:szCs w:val="24"/>
          <w:lang w:eastAsia="it-IT"/>
        </w:rPr>
        <w:t>si trovino in una situazione di maggiore vulnerabilità</w:t>
      </w:r>
      <w:r w:rsidRPr="00103EA5">
        <w:rPr>
          <w:rFonts w:ascii="Times New Roman" w:hAnsi="Times New Roman" w:cs="Times New Roman"/>
          <w:sz w:val="24"/>
          <w:szCs w:val="24"/>
          <w:lang w:eastAsia="it-IT"/>
        </w:rPr>
        <w:t>.</w:t>
      </w:r>
    </w:p>
    <w:p w14:paraId="798BB76E" w14:textId="5178E037" w:rsidR="00701369" w:rsidRPr="00132B85" w:rsidRDefault="003D1525" w:rsidP="00E65B62">
      <w:pPr>
        <w:jc w:val="both"/>
        <w:rPr>
          <w:rFonts w:ascii="Times New Roman" w:hAnsi="Times New Roman" w:cs="Times New Roman"/>
          <w:sz w:val="24"/>
          <w:szCs w:val="24"/>
          <w:lang w:eastAsia="it-IT"/>
        </w:rPr>
      </w:pPr>
      <w:r w:rsidRPr="003D1C17">
        <w:rPr>
          <w:rFonts w:ascii="Times New Roman" w:hAnsi="Times New Roman" w:cs="Times New Roman"/>
          <w:sz w:val="24"/>
          <w:szCs w:val="24"/>
          <w:lang w:eastAsia="it-IT"/>
        </w:rPr>
        <w:t xml:space="preserve">La lente di lettura sembra difatti essere quella della garanzia costituzionale di eguaglianza sostanziale: le persone con disabilità devono essere poste in condizioni di parità rispetto a coloro che non vivono nella medesima condizione di svantaggio. </w:t>
      </w:r>
    </w:p>
    <w:p w14:paraId="5C44063B" w14:textId="242AA92B" w:rsidR="00CA1A4B" w:rsidRPr="00132B85" w:rsidRDefault="009A27BD"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E tuttavia, a livello normativo, il concetto di nucleo essenziale del diritto non trova una precisa corrispondenza</w:t>
      </w:r>
      <w:r w:rsidR="00344B86">
        <w:rPr>
          <w:rFonts w:ascii="Times New Roman" w:hAnsi="Times New Roman" w:cs="Times New Roman"/>
          <w:sz w:val="24"/>
          <w:szCs w:val="24"/>
          <w:lang w:eastAsia="it-IT"/>
        </w:rPr>
        <w:t xml:space="preserve">. Prestazioni necessarie per garantire lo zoccolo duro del diritto e </w:t>
      </w:r>
      <w:r w:rsidR="00F43708" w:rsidRPr="00132B85">
        <w:rPr>
          <w:rFonts w:ascii="Times New Roman" w:hAnsi="Times New Roman" w:cs="Times New Roman"/>
          <w:sz w:val="24"/>
          <w:szCs w:val="24"/>
          <w:lang w:eastAsia="it-IT"/>
        </w:rPr>
        <w:t xml:space="preserve">ulteriori garanzie </w:t>
      </w:r>
      <w:r w:rsidR="00344B86">
        <w:rPr>
          <w:rFonts w:ascii="Times New Roman" w:hAnsi="Times New Roman" w:cs="Times New Roman"/>
          <w:sz w:val="24"/>
          <w:szCs w:val="24"/>
          <w:lang w:eastAsia="it-IT"/>
        </w:rPr>
        <w:t>rientrano nei livelli essenziali delle prestazioni (LEP)</w:t>
      </w:r>
      <w:r w:rsidR="00344B86" w:rsidRPr="00132B85">
        <w:rPr>
          <w:rStyle w:val="Rimandonotaapidipagina"/>
          <w:rFonts w:ascii="Times New Roman" w:hAnsi="Times New Roman" w:cs="Times New Roman"/>
          <w:sz w:val="24"/>
          <w:szCs w:val="24"/>
          <w:lang w:eastAsia="it-IT"/>
        </w:rPr>
        <w:footnoteReference w:id="35"/>
      </w:r>
      <w:r w:rsidR="00344B86">
        <w:rPr>
          <w:rFonts w:ascii="Times New Roman" w:hAnsi="Times New Roman" w:cs="Times New Roman"/>
          <w:sz w:val="24"/>
          <w:szCs w:val="24"/>
          <w:lang w:eastAsia="it-IT"/>
        </w:rPr>
        <w:t xml:space="preserve"> </w:t>
      </w:r>
      <w:r w:rsidR="00F43708" w:rsidRPr="00132B85">
        <w:rPr>
          <w:rFonts w:ascii="Times New Roman" w:hAnsi="Times New Roman" w:cs="Times New Roman"/>
          <w:sz w:val="24"/>
          <w:szCs w:val="24"/>
          <w:lang w:eastAsia="it-IT"/>
        </w:rPr>
        <w:t>poste a carico dello Stato</w:t>
      </w:r>
      <w:r w:rsidR="009549FA">
        <w:rPr>
          <w:rFonts w:ascii="Times New Roman" w:hAnsi="Times New Roman" w:cs="Times New Roman"/>
          <w:sz w:val="24"/>
          <w:szCs w:val="24"/>
          <w:lang w:eastAsia="it-IT"/>
        </w:rPr>
        <w:t>.</w:t>
      </w:r>
    </w:p>
    <w:p w14:paraId="4C5A0252" w14:textId="70BB5E72"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Cosa debba intendersi per “livelli essenziali delle prestazioni” è questione in realtà non chiaramente definita, anche per la diversità e complessità dei diritti cui le prestazioni concernono.</w:t>
      </w:r>
    </w:p>
    <w:p w14:paraId="302F84A4" w14:textId="5675CF5F" w:rsidR="000A1F27" w:rsidRPr="009549FA" w:rsidRDefault="00F43708" w:rsidP="00E65B62">
      <w:pPr>
        <w:jc w:val="both"/>
        <w:rPr>
          <w:rFonts w:ascii="Times New Roman" w:hAnsi="Times New Roman" w:cs="Times New Roman"/>
          <w:sz w:val="24"/>
          <w:szCs w:val="24"/>
          <w:lang w:eastAsia="it-IT"/>
        </w:rPr>
      </w:pPr>
      <w:r w:rsidRPr="009549FA">
        <w:rPr>
          <w:rFonts w:ascii="Times New Roman" w:hAnsi="Times New Roman" w:cs="Times New Roman"/>
          <w:sz w:val="24"/>
          <w:szCs w:val="24"/>
          <w:lang w:eastAsia="it-IT"/>
        </w:rPr>
        <w:t xml:space="preserve">E’ bene </w:t>
      </w:r>
      <w:r w:rsidR="009549FA">
        <w:rPr>
          <w:rFonts w:ascii="Times New Roman" w:hAnsi="Times New Roman" w:cs="Times New Roman"/>
          <w:sz w:val="24"/>
          <w:szCs w:val="24"/>
          <w:lang w:eastAsia="it-IT"/>
        </w:rPr>
        <w:t xml:space="preserve">tuttavia </w:t>
      </w:r>
      <w:r w:rsidRPr="009549FA">
        <w:rPr>
          <w:rFonts w:ascii="Times New Roman" w:hAnsi="Times New Roman" w:cs="Times New Roman"/>
          <w:sz w:val="24"/>
          <w:szCs w:val="24"/>
          <w:lang w:eastAsia="it-IT"/>
        </w:rPr>
        <w:t xml:space="preserve">chiarire che le diverse espressioni </w:t>
      </w:r>
      <w:r w:rsidR="009549FA">
        <w:rPr>
          <w:rFonts w:ascii="Times New Roman" w:hAnsi="Times New Roman" w:cs="Times New Roman"/>
          <w:sz w:val="24"/>
          <w:szCs w:val="24"/>
          <w:lang w:eastAsia="it-IT"/>
        </w:rPr>
        <w:t>livelli essenziali di assistenza (</w:t>
      </w:r>
      <w:r w:rsidRPr="009549FA">
        <w:rPr>
          <w:rFonts w:ascii="Times New Roman" w:hAnsi="Times New Roman" w:cs="Times New Roman"/>
          <w:sz w:val="24"/>
          <w:szCs w:val="24"/>
          <w:lang w:eastAsia="it-IT"/>
        </w:rPr>
        <w:t>LEA</w:t>
      </w:r>
      <w:r w:rsidR="009549FA">
        <w:rPr>
          <w:rFonts w:ascii="Times New Roman" w:hAnsi="Times New Roman" w:cs="Times New Roman"/>
          <w:sz w:val="24"/>
          <w:szCs w:val="24"/>
          <w:lang w:eastAsia="it-IT"/>
        </w:rPr>
        <w:t>)</w:t>
      </w:r>
      <w:r w:rsidRPr="009549FA">
        <w:rPr>
          <w:rFonts w:ascii="Times New Roman" w:hAnsi="Times New Roman" w:cs="Times New Roman"/>
          <w:sz w:val="24"/>
          <w:szCs w:val="24"/>
          <w:lang w:eastAsia="it-IT"/>
        </w:rPr>
        <w:t xml:space="preserve"> di cui al d.</w:t>
      </w:r>
      <w:r w:rsidR="009D7DE3" w:rsidRP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Pr="009549FA">
        <w:rPr>
          <w:rFonts w:ascii="Times New Roman" w:hAnsi="Times New Roman" w:cs="Times New Roman"/>
          <w:sz w:val="24"/>
          <w:szCs w:val="24"/>
          <w:lang w:eastAsia="it-IT"/>
        </w:rPr>
        <w:t xml:space="preserve"> n. 502 del 1992 in materia sanitaria che precede l’espressione LEP contenuta nella riforma costituzionale del 2001</w:t>
      </w:r>
      <w:r w:rsidRPr="009549FA">
        <w:rPr>
          <w:rStyle w:val="Rimandonotaapidipagina"/>
          <w:rFonts w:ascii="Times New Roman" w:hAnsi="Times New Roman" w:cs="Times New Roman"/>
          <w:sz w:val="24"/>
          <w:szCs w:val="24"/>
          <w:lang w:eastAsia="it-IT"/>
        </w:rPr>
        <w:footnoteReference w:id="36"/>
      </w:r>
      <w:r w:rsidR="000A1F27" w:rsidRPr="009549FA">
        <w:rPr>
          <w:rFonts w:ascii="Times New Roman" w:hAnsi="Times New Roman" w:cs="Times New Roman"/>
          <w:sz w:val="24"/>
          <w:szCs w:val="24"/>
          <w:lang w:eastAsia="it-IT"/>
        </w:rPr>
        <w:t xml:space="preserve"> </w:t>
      </w:r>
      <w:r w:rsidRPr="009549FA">
        <w:rPr>
          <w:rFonts w:ascii="Times New Roman" w:hAnsi="Times New Roman" w:cs="Times New Roman"/>
          <w:sz w:val="24"/>
          <w:szCs w:val="24"/>
          <w:lang w:eastAsia="it-IT"/>
        </w:rPr>
        <w:t xml:space="preserve">e LEPS </w:t>
      </w:r>
      <w:r w:rsidR="000A1F27" w:rsidRPr="009549FA">
        <w:rPr>
          <w:rFonts w:ascii="Times New Roman" w:hAnsi="Times New Roman" w:cs="Times New Roman"/>
          <w:sz w:val="24"/>
          <w:szCs w:val="24"/>
          <w:lang w:eastAsia="it-IT"/>
        </w:rPr>
        <w:t>di cui al più recente art. 1, comma 159, della l</w:t>
      </w:r>
      <w:r w:rsidR="009D7DE3">
        <w:rPr>
          <w:rFonts w:ascii="Times New Roman" w:hAnsi="Times New Roman" w:cs="Times New Roman"/>
          <w:sz w:val="24"/>
          <w:szCs w:val="24"/>
          <w:lang w:eastAsia="it-IT"/>
        </w:rPr>
        <w:t>.</w:t>
      </w:r>
      <w:r w:rsidR="000A1F27" w:rsidRPr="009549FA">
        <w:rPr>
          <w:rFonts w:ascii="Times New Roman" w:hAnsi="Times New Roman" w:cs="Times New Roman"/>
          <w:sz w:val="24"/>
          <w:szCs w:val="24"/>
          <w:lang w:eastAsia="it-IT"/>
        </w:rPr>
        <w:t xml:space="preserve"> 30 dicembre 2021, n. 234 (legge di bilancio 2022) che ha fornito una definizione dei livelli essenziali delle prestazioni sociali (LEPS)</w:t>
      </w:r>
      <w:r w:rsidR="000A1F27" w:rsidRPr="009549FA">
        <w:rPr>
          <w:rStyle w:val="Rimandonotaapidipagina"/>
          <w:rFonts w:ascii="Times New Roman" w:hAnsi="Times New Roman" w:cs="Times New Roman"/>
          <w:sz w:val="24"/>
          <w:szCs w:val="24"/>
          <w:lang w:eastAsia="it-IT"/>
        </w:rPr>
        <w:footnoteReference w:id="37"/>
      </w:r>
      <w:r w:rsidR="000A1F27" w:rsidRPr="009549FA">
        <w:rPr>
          <w:rFonts w:ascii="Times New Roman" w:hAnsi="Times New Roman" w:cs="Times New Roman"/>
          <w:sz w:val="24"/>
          <w:szCs w:val="24"/>
          <w:lang w:eastAsia="it-IT"/>
        </w:rPr>
        <w:t xml:space="preserve">, quali </w:t>
      </w:r>
      <w:r w:rsidR="000A1F27" w:rsidRPr="009549FA">
        <w:rPr>
          <w:rFonts w:ascii="Times New Roman" w:hAnsi="Times New Roman" w:cs="Times New Roman"/>
          <w:i/>
          <w:sz w:val="24"/>
          <w:szCs w:val="24"/>
          <w:lang w:eastAsia="it-IT"/>
        </w:rPr>
        <w:t>species</w:t>
      </w:r>
      <w:r w:rsidR="000A1F27" w:rsidRPr="009549FA">
        <w:rPr>
          <w:rFonts w:ascii="Times New Roman" w:hAnsi="Times New Roman" w:cs="Times New Roman"/>
          <w:sz w:val="24"/>
          <w:szCs w:val="24"/>
          <w:lang w:eastAsia="it-IT"/>
        </w:rPr>
        <w:t xml:space="preserve"> del più ampio </w:t>
      </w:r>
      <w:r w:rsidR="000A1F27" w:rsidRPr="009549FA">
        <w:rPr>
          <w:rFonts w:ascii="Times New Roman" w:hAnsi="Times New Roman" w:cs="Times New Roman"/>
          <w:i/>
          <w:sz w:val="24"/>
          <w:szCs w:val="24"/>
          <w:lang w:eastAsia="it-IT"/>
        </w:rPr>
        <w:t>genus</w:t>
      </w:r>
      <w:r w:rsidR="000A1F27" w:rsidRPr="009549FA">
        <w:rPr>
          <w:rFonts w:ascii="Times New Roman" w:hAnsi="Times New Roman" w:cs="Times New Roman"/>
          <w:sz w:val="24"/>
          <w:szCs w:val="24"/>
          <w:lang w:eastAsia="it-IT"/>
        </w:rPr>
        <w:t xml:space="preserve"> dei LEP, </w:t>
      </w:r>
      <w:r w:rsidRPr="009549FA">
        <w:rPr>
          <w:rFonts w:ascii="Times New Roman" w:hAnsi="Times New Roman" w:cs="Times New Roman"/>
          <w:sz w:val="24"/>
          <w:szCs w:val="24"/>
          <w:lang w:eastAsia="it-IT"/>
        </w:rPr>
        <w:t xml:space="preserve">in realtà individuano concetti tutti </w:t>
      </w:r>
      <w:r w:rsidRPr="009549FA">
        <w:rPr>
          <w:rFonts w:ascii="Times New Roman" w:hAnsi="Times New Roman" w:cs="Times New Roman"/>
          <w:sz w:val="24"/>
          <w:szCs w:val="24"/>
          <w:lang w:eastAsia="it-IT"/>
        </w:rPr>
        <w:lastRenderedPageBreak/>
        <w:t>riconducibili sotto l’unitario cappello costituzionale di cui all’art. 117, secondo comma, lettera m) della Costituzione</w:t>
      </w:r>
      <w:r w:rsidR="000A1F27" w:rsidRPr="009549FA">
        <w:rPr>
          <w:rFonts w:ascii="Times New Roman" w:hAnsi="Times New Roman" w:cs="Times New Roman"/>
          <w:sz w:val="24"/>
          <w:szCs w:val="24"/>
          <w:lang w:eastAsia="it-IT"/>
        </w:rPr>
        <w:t>.</w:t>
      </w:r>
    </w:p>
    <w:p w14:paraId="3417DE9B" w14:textId="7D6D308E" w:rsidR="00822426" w:rsidRPr="00132B85" w:rsidRDefault="00F43708"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L’espressione </w:t>
      </w:r>
      <w:r w:rsidR="00822426" w:rsidRPr="00132B85">
        <w:rPr>
          <w:rFonts w:ascii="Times New Roman" w:hAnsi="Times New Roman" w:cs="Times New Roman"/>
          <w:sz w:val="24"/>
          <w:szCs w:val="24"/>
          <w:lang w:eastAsia="it-IT"/>
        </w:rPr>
        <w:t>rinvia al concetto di “prestazioni” che l’Amministrazione pubblica (dallo Stato agli enti territoriali) è tenuta ad erogare su tutto il territorio nazionale assicurando un livello (qualitativo e quantitativo, anche in termini di tempistica) uguale per tutti, nei limiti in cui tale livello sia ritenuto “essenziale”</w:t>
      </w:r>
      <w:r w:rsidR="00397275">
        <w:rPr>
          <w:rStyle w:val="Rimandonotaapidipagina"/>
          <w:rFonts w:ascii="Times New Roman" w:hAnsi="Times New Roman" w:cs="Times New Roman"/>
          <w:sz w:val="24"/>
          <w:szCs w:val="24"/>
          <w:lang w:eastAsia="it-IT"/>
        </w:rPr>
        <w:footnoteReference w:id="38"/>
      </w:r>
      <w:r w:rsidR="00822426" w:rsidRPr="00132B85">
        <w:rPr>
          <w:rFonts w:ascii="Times New Roman" w:hAnsi="Times New Roman" w:cs="Times New Roman"/>
          <w:sz w:val="24"/>
          <w:szCs w:val="24"/>
          <w:lang w:eastAsia="it-IT"/>
        </w:rPr>
        <w:t>.</w:t>
      </w:r>
    </w:p>
    <w:p w14:paraId="12C3B07C" w14:textId="77777777"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Il riconoscimento di autonomia agli enti territoriali, in particolare alle Regioni, implica che queste ultime possano anche perseguire proprie </w:t>
      </w:r>
      <w:r w:rsidRPr="00132B85">
        <w:rPr>
          <w:rFonts w:ascii="Times New Roman" w:hAnsi="Times New Roman" w:cs="Times New Roman"/>
          <w:iCs/>
          <w:sz w:val="24"/>
          <w:szCs w:val="24"/>
          <w:lang w:eastAsia="it-IT"/>
        </w:rPr>
        <w:t>politiche sui diritti</w:t>
      </w:r>
      <w:r w:rsidRPr="00132B85">
        <w:rPr>
          <w:rFonts w:ascii="Times New Roman" w:hAnsi="Times New Roman" w:cs="Times New Roman"/>
          <w:sz w:val="24"/>
          <w:szCs w:val="24"/>
          <w:lang w:eastAsia="it-IT"/>
        </w:rPr>
        <w:t xml:space="preserve"> e dunque assicurare livelli delle prestazioni superiori rispetto a quelli ritenuti essenziali.</w:t>
      </w:r>
    </w:p>
    <w:p w14:paraId="20CE66D1" w14:textId="4FADFB99" w:rsidR="00822426" w:rsidRPr="00132B8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Ciò in diverse direzioni: può trattarsi della disciplina e garanzia dei diritti alle prestazioni nelle materie dove si intersecano competenze statali e regionali – la sanità, l’assistenza sociale, l’istruzione – anche nell’ottica di un ampliamento della sfera di tutela garantita dal diritto costituzionale nazionale, ovvero della garanzia di ‘nuovi’ diritti (</w:t>
      </w:r>
      <w:r w:rsidRPr="00132B85">
        <w:rPr>
          <w:rFonts w:ascii="Times New Roman" w:hAnsi="Times New Roman" w:cs="Times New Roman"/>
          <w:i/>
          <w:sz w:val="24"/>
          <w:szCs w:val="24"/>
          <w:lang w:eastAsia="it-IT"/>
        </w:rPr>
        <w:t>rectius</w:t>
      </w:r>
      <w:r w:rsidRPr="00132B85">
        <w:rPr>
          <w:rFonts w:ascii="Times New Roman" w:hAnsi="Times New Roman" w:cs="Times New Roman"/>
          <w:sz w:val="24"/>
          <w:szCs w:val="24"/>
          <w:lang w:eastAsia="it-IT"/>
        </w:rPr>
        <w:t xml:space="preserve"> nuove “prestazioni”) nelle materie di competenza residuale</w:t>
      </w:r>
      <w:r w:rsidR="003D1525" w:rsidRPr="00132B85">
        <w:rPr>
          <w:rStyle w:val="Rimandonotaapidipagina"/>
          <w:rFonts w:ascii="Times New Roman" w:hAnsi="Times New Roman" w:cs="Times New Roman"/>
          <w:sz w:val="24"/>
          <w:szCs w:val="24"/>
          <w:lang w:eastAsia="it-IT"/>
        </w:rPr>
        <w:footnoteReference w:id="39"/>
      </w:r>
      <w:r w:rsidRPr="00132B85">
        <w:rPr>
          <w:rFonts w:ascii="Times New Roman" w:hAnsi="Times New Roman" w:cs="Times New Roman"/>
          <w:sz w:val="24"/>
          <w:szCs w:val="24"/>
          <w:lang w:eastAsia="it-IT"/>
        </w:rPr>
        <w:t>.</w:t>
      </w:r>
    </w:p>
    <w:p w14:paraId="294B2430" w14:textId="02185BA3" w:rsidR="00822426" w:rsidRPr="00EE49B6"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Tutto ciò, fermo restando che livelli superiori rispetto a quelli essenziali sono posti però a carico dei bilanci autonomi degli enti regionali, sempre che ciò non sia vietato dalla normativa nazionale (si pensi alle </w:t>
      </w:r>
      <w:r w:rsidRPr="00EE49B6">
        <w:rPr>
          <w:rFonts w:ascii="Times New Roman" w:hAnsi="Times New Roman" w:cs="Times New Roman"/>
          <w:sz w:val="24"/>
          <w:szCs w:val="24"/>
          <w:lang w:eastAsia="it-IT"/>
        </w:rPr>
        <w:t>regioni in Piano di rientro che non possono finanziare autonomamente prestazioni ulteriori rispetto ai LEA, in materia sanitaria).</w:t>
      </w:r>
    </w:p>
    <w:p w14:paraId="00784209" w14:textId="402B1298" w:rsidR="00822426" w:rsidRPr="00132B85" w:rsidRDefault="00822426" w:rsidP="00E65B62">
      <w:pPr>
        <w:jc w:val="both"/>
        <w:rPr>
          <w:rFonts w:ascii="Times New Roman" w:hAnsi="Times New Roman" w:cs="Times New Roman"/>
          <w:sz w:val="24"/>
          <w:szCs w:val="24"/>
          <w:lang w:eastAsia="it-IT"/>
        </w:rPr>
      </w:pPr>
      <w:r w:rsidRPr="00EE49B6">
        <w:rPr>
          <w:rFonts w:ascii="Times New Roman" w:hAnsi="Times New Roman" w:cs="Times New Roman"/>
          <w:sz w:val="24"/>
          <w:szCs w:val="24"/>
          <w:lang w:eastAsia="it-IT"/>
        </w:rPr>
        <w:t xml:space="preserve">Con la sentenza 192 del 2024 la Corte costituzionale ha </w:t>
      </w:r>
      <w:r w:rsidR="0074679D" w:rsidRPr="00EE49B6">
        <w:rPr>
          <w:rFonts w:ascii="Times New Roman" w:hAnsi="Times New Roman" w:cs="Times New Roman"/>
          <w:sz w:val="24"/>
          <w:szCs w:val="24"/>
          <w:lang w:eastAsia="it-IT"/>
        </w:rPr>
        <w:t>sostenuto</w:t>
      </w:r>
      <w:r w:rsidR="00834F81" w:rsidRPr="00EE49B6">
        <w:rPr>
          <w:rFonts w:ascii="Times New Roman" w:hAnsi="Times New Roman" w:cs="Times New Roman"/>
          <w:sz w:val="24"/>
          <w:szCs w:val="24"/>
          <w:lang w:eastAsia="it-IT"/>
        </w:rPr>
        <w:t>,</w:t>
      </w:r>
      <w:r w:rsidR="0074679D" w:rsidRPr="00EE49B6">
        <w:rPr>
          <w:rFonts w:ascii="Times New Roman" w:hAnsi="Times New Roman" w:cs="Times New Roman"/>
          <w:sz w:val="24"/>
          <w:szCs w:val="24"/>
          <w:lang w:eastAsia="it-IT"/>
        </w:rPr>
        <w:t xml:space="preserve"> richiamando i lavori </w:t>
      </w:r>
      <w:r w:rsidRPr="00EE49B6">
        <w:rPr>
          <w:rFonts w:ascii="Times New Roman" w:hAnsi="Times New Roman" w:cs="Times New Roman"/>
          <w:sz w:val="24"/>
          <w:szCs w:val="24"/>
          <w:lang w:eastAsia="it-IT"/>
        </w:rPr>
        <w:t>preparatori della legge cost. n. 3 del 2001</w:t>
      </w:r>
      <w:r w:rsidR="00834F81" w:rsidRPr="00EE49B6">
        <w:rPr>
          <w:rFonts w:ascii="Times New Roman" w:hAnsi="Times New Roman" w:cs="Times New Roman"/>
          <w:sz w:val="24"/>
          <w:szCs w:val="24"/>
          <w:lang w:eastAsia="it-IT"/>
        </w:rPr>
        <w:t>,</w:t>
      </w:r>
      <w:r w:rsidRPr="00EE49B6">
        <w:rPr>
          <w:rFonts w:ascii="Times New Roman" w:hAnsi="Times New Roman" w:cs="Times New Roman"/>
          <w:sz w:val="24"/>
          <w:szCs w:val="24"/>
          <w:lang w:eastAsia="it-IT"/>
        </w:rPr>
        <w:t xml:space="preserve"> </w:t>
      </w:r>
      <w:r w:rsidR="0074679D" w:rsidRPr="00EE49B6">
        <w:rPr>
          <w:rFonts w:ascii="Times New Roman" w:hAnsi="Times New Roman" w:cs="Times New Roman"/>
          <w:sz w:val="24"/>
          <w:szCs w:val="24"/>
          <w:lang w:eastAsia="it-IT"/>
        </w:rPr>
        <w:t xml:space="preserve">che </w:t>
      </w:r>
      <w:r w:rsidRPr="00EE49B6">
        <w:rPr>
          <w:rFonts w:ascii="Times New Roman" w:hAnsi="Times New Roman" w:cs="Times New Roman"/>
          <w:sz w:val="24"/>
          <w:szCs w:val="24"/>
          <w:lang w:eastAsia="it-IT"/>
        </w:rPr>
        <w:t>l’inciso «livell</w:t>
      </w:r>
      <w:r w:rsidR="0074679D" w:rsidRPr="00EE49B6">
        <w:rPr>
          <w:rFonts w:ascii="Times New Roman" w:hAnsi="Times New Roman" w:cs="Times New Roman"/>
          <w:sz w:val="24"/>
          <w:szCs w:val="24"/>
          <w:lang w:eastAsia="it-IT"/>
        </w:rPr>
        <w:t xml:space="preserve">i essenziali delle prestazioni» risponde allo </w:t>
      </w:r>
      <w:r w:rsidR="0074679D" w:rsidRPr="00EE49B6">
        <w:rPr>
          <w:rFonts w:ascii="Times New Roman" w:hAnsi="Times New Roman" w:cs="Times New Roman"/>
          <w:i/>
          <w:sz w:val="24"/>
          <w:szCs w:val="24"/>
          <w:lang w:eastAsia="it-IT"/>
        </w:rPr>
        <w:t>“scopo di</w:t>
      </w:r>
      <w:r w:rsidRPr="00EE49B6">
        <w:rPr>
          <w:rFonts w:ascii="Times New Roman" w:hAnsi="Times New Roman" w:cs="Times New Roman"/>
          <w:i/>
          <w:sz w:val="24"/>
          <w:szCs w:val="24"/>
          <w:lang w:eastAsia="it-IT"/>
        </w:rPr>
        <w:t xml:space="preserve"> assicurare, se possibile, uno standard</w:t>
      </w:r>
      <w:r w:rsidRPr="00132B85">
        <w:rPr>
          <w:rFonts w:ascii="Times New Roman" w:hAnsi="Times New Roman" w:cs="Times New Roman"/>
          <w:i/>
          <w:sz w:val="24"/>
          <w:szCs w:val="24"/>
          <w:lang w:eastAsia="it-IT"/>
        </w:rPr>
        <w:t xml:space="preserve"> di tutela superiore al nucleo minimo del diritto, in collegamento (per quel che riguarda i diritti sociali) con l’art. 3, secondo comma, Cost., che affida alla Repubblica il compito – di più ampio respiro rispetto all’erogazione delle prestazioni minime – di «rimuovere gli ostacoli di ordine economico e sociale, che, limitando di fatto la libertà e l’eguaglianza dei cittadini, impediscono il pieno sviluppo della persona umana». Che l’orizzonte concettuale dei LEP sia l’eguaglianza e non il nucleo minimo del diritto risulta anche dall’art. 120, secondo comma, Cost., nell’ambito del quale la garanzia dei LEP rientra nella «tutela dell’unità giuridica o dell’unità economica»</w:t>
      </w:r>
      <w:r w:rsidRPr="00132B85">
        <w:rPr>
          <w:rFonts w:ascii="Times New Roman" w:hAnsi="Times New Roman" w:cs="Times New Roman"/>
          <w:sz w:val="24"/>
          <w:szCs w:val="24"/>
          <w:lang w:eastAsia="it-IT"/>
        </w:rPr>
        <w:t>.</w:t>
      </w:r>
    </w:p>
    <w:p w14:paraId="70B2A62A" w14:textId="77777777" w:rsidR="00B65545" w:rsidRDefault="0082242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Dunque per quanto resti talvolta davvero difficile distinguere quali siano le prestazioni che integrano il “nucleo indefettibile di garanzie per gli interessati”, il quale deve essere garantito anche nei confronti della legge statale, a prescindere da considerazioni di ordine finanziario</w:t>
      </w:r>
      <w:r w:rsidR="00B65545">
        <w:rPr>
          <w:rStyle w:val="Rimandonotaapidipagina"/>
          <w:rFonts w:ascii="Times New Roman" w:hAnsi="Times New Roman" w:cs="Times New Roman"/>
          <w:sz w:val="24"/>
          <w:szCs w:val="24"/>
          <w:lang w:eastAsia="it-IT"/>
        </w:rPr>
        <w:footnoteReference w:id="40"/>
      </w:r>
      <w:r w:rsidRPr="00132B85">
        <w:rPr>
          <w:rFonts w:ascii="Times New Roman" w:hAnsi="Times New Roman" w:cs="Times New Roman"/>
          <w:sz w:val="24"/>
          <w:szCs w:val="24"/>
          <w:lang w:eastAsia="it-IT"/>
        </w:rPr>
        <w:t>, nella costruzione della Corte costituzionale i “livelli essenziali delle prestazioni” (LEP) individuano uno standard di tutela superior</w:t>
      </w:r>
      <w:r w:rsidR="00B65545">
        <w:rPr>
          <w:rFonts w:ascii="Times New Roman" w:hAnsi="Times New Roman" w:cs="Times New Roman"/>
          <w:sz w:val="24"/>
          <w:szCs w:val="24"/>
          <w:lang w:eastAsia="it-IT"/>
        </w:rPr>
        <w:t>e al nucleo minimo del diritto.</w:t>
      </w:r>
    </w:p>
    <w:p w14:paraId="567D1EA4" w14:textId="77777777" w:rsidR="00405729" w:rsidRPr="00397275" w:rsidRDefault="00B65545" w:rsidP="00E65B62">
      <w:pPr>
        <w:jc w:val="both"/>
        <w:rPr>
          <w:rFonts w:ascii="Times New Roman" w:hAnsi="Times New Roman" w:cs="Times New Roman"/>
          <w:sz w:val="24"/>
          <w:szCs w:val="24"/>
          <w:lang w:eastAsia="it-IT"/>
        </w:rPr>
      </w:pPr>
      <w:r w:rsidRPr="00397275">
        <w:rPr>
          <w:rFonts w:ascii="Times New Roman" w:hAnsi="Times New Roman" w:cs="Times New Roman"/>
          <w:sz w:val="24"/>
          <w:szCs w:val="24"/>
          <w:lang w:eastAsia="it-IT"/>
        </w:rPr>
        <w:t xml:space="preserve">Tale conclusione ha tuttavia portato </w:t>
      </w:r>
      <w:r w:rsidR="00405729" w:rsidRPr="00397275">
        <w:rPr>
          <w:rFonts w:ascii="Times New Roman" w:hAnsi="Times New Roman" w:cs="Times New Roman"/>
          <w:sz w:val="24"/>
          <w:szCs w:val="24"/>
          <w:lang w:eastAsia="it-IT"/>
        </w:rPr>
        <w:t xml:space="preserve">a ritenere che rispetto alle ulteriori prestazioni non rientranti nel </w:t>
      </w:r>
      <w:r w:rsidR="008B4182" w:rsidRPr="00397275">
        <w:rPr>
          <w:rFonts w:ascii="Times New Roman" w:hAnsi="Times New Roman" w:cs="Times New Roman"/>
          <w:sz w:val="24"/>
          <w:szCs w:val="24"/>
          <w:lang w:eastAsia="it-IT"/>
        </w:rPr>
        <w:t xml:space="preserve">nucleo indefettibile </w:t>
      </w:r>
      <w:r w:rsidR="00405729" w:rsidRPr="00397275">
        <w:rPr>
          <w:rFonts w:ascii="Times New Roman" w:hAnsi="Times New Roman" w:cs="Times New Roman"/>
          <w:sz w:val="24"/>
          <w:szCs w:val="24"/>
          <w:lang w:eastAsia="it-IT"/>
        </w:rPr>
        <w:t xml:space="preserve">del diritto fosse configurabile una discrezionalità in termini di bilanciamento con le risorse disponibili non solo del legislatore (secondo i parametri della ragionevolezza </w:t>
      </w:r>
      <w:r w:rsidR="008B4182" w:rsidRPr="00397275">
        <w:rPr>
          <w:rFonts w:ascii="Times New Roman" w:hAnsi="Times New Roman" w:cs="Times New Roman"/>
          <w:sz w:val="24"/>
          <w:szCs w:val="24"/>
          <w:lang w:eastAsia="it-IT"/>
        </w:rPr>
        <w:t xml:space="preserve">e </w:t>
      </w:r>
      <w:r w:rsidR="00405729" w:rsidRPr="00397275">
        <w:rPr>
          <w:rFonts w:ascii="Times New Roman" w:hAnsi="Times New Roman" w:cs="Times New Roman"/>
          <w:sz w:val="24"/>
          <w:szCs w:val="24"/>
          <w:lang w:eastAsia="it-IT"/>
        </w:rPr>
        <w:lastRenderedPageBreak/>
        <w:t xml:space="preserve">dell’eguaglianza più volte richiamati dalle pronunce della Corte costituzionale), ma anche della pubblica Amministrazione nel riconoscere la specifica prestazione erogabile. </w:t>
      </w:r>
    </w:p>
    <w:p w14:paraId="0B805334" w14:textId="172F476B" w:rsidR="00405729" w:rsidRPr="00397275" w:rsidRDefault="00405729" w:rsidP="00E65B62">
      <w:pPr>
        <w:jc w:val="both"/>
        <w:rPr>
          <w:rFonts w:ascii="Times New Roman" w:hAnsi="Times New Roman" w:cs="Times New Roman"/>
          <w:sz w:val="24"/>
          <w:szCs w:val="24"/>
          <w:lang w:eastAsia="it-IT"/>
        </w:rPr>
      </w:pPr>
      <w:r w:rsidRPr="00397275">
        <w:rPr>
          <w:rFonts w:ascii="Times New Roman" w:hAnsi="Times New Roman" w:cs="Times New Roman"/>
          <w:sz w:val="24"/>
          <w:szCs w:val="24"/>
          <w:lang w:eastAsia="it-IT"/>
        </w:rPr>
        <w:t>Su quest’ultima questione si aprono interessanti scenari nella giurisprudenza amministrativa.</w:t>
      </w:r>
    </w:p>
    <w:p w14:paraId="7EF0AC87" w14:textId="7B93CDA6" w:rsidR="00614483" w:rsidRPr="00132B85" w:rsidRDefault="00614483" w:rsidP="00E65B62">
      <w:pPr>
        <w:jc w:val="both"/>
        <w:rPr>
          <w:rFonts w:ascii="Times New Roman" w:hAnsi="Times New Roman" w:cs="Times New Roman"/>
          <w:sz w:val="24"/>
          <w:szCs w:val="24"/>
          <w:lang w:eastAsia="it-IT"/>
        </w:rPr>
      </w:pPr>
    </w:p>
    <w:p w14:paraId="68D46809" w14:textId="4B53FEE6" w:rsidR="00EB4D08" w:rsidRPr="00132B85" w:rsidRDefault="00C4516F" w:rsidP="00E65B62">
      <w:pPr>
        <w:spacing w:after="0" w:line="240" w:lineRule="auto"/>
        <w:jc w:val="both"/>
        <w:rPr>
          <w:rFonts w:ascii="Times New Roman" w:hAnsi="Times New Roman" w:cs="Times New Roman"/>
          <w:b/>
          <w:sz w:val="24"/>
          <w:szCs w:val="24"/>
        </w:rPr>
      </w:pPr>
      <w:r w:rsidRPr="00132B85">
        <w:rPr>
          <w:rFonts w:ascii="Times New Roman" w:hAnsi="Times New Roman" w:cs="Times New Roman"/>
          <w:b/>
          <w:sz w:val="24"/>
          <w:szCs w:val="24"/>
          <w:lang w:eastAsia="it-IT"/>
        </w:rPr>
        <w:t>5</w:t>
      </w:r>
      <w:r w:rsidR="00EB4D08" w:rsidRPr="00132B85">
        <w:rPr>
          <w:rFonts w:ascii="Times New Roman" w:hAnsi="Times New Roman" w:cs="Times New Roman"/>
          <w:b/>
          <w:sz w:val="24"/>
          <w:szCs w:val="24"/>
          <w:lang w:eastAsia="it-IT"/>
        </w:rPr>
        <w:t xml:space="preserve">. </w:t>
      </w:r>
      <w:r w:rsidR="00EB4D08" w:rsidRPr="00132B85">
        <w:rPr>
          <w:rFonts w:ascii="Times New Roman" w:hAnsi="Times New Roman" w:cs="Times New Roman"/>
          <w:b/>
          <w:sz w:val="24"/>
          <w:szCs w:val="24"/>
        </w:rPr>
        <w:t>Tecnica del bilanciamento con i vincoli di bilancio nella giurisprudenza amministrativa</w:t>
      </w:r>
      <w:r w:rsidRPr="00132B85">
        <w:rPr>
          <w:rFonts w:ascii="Times New Roman" w:hAnsi="Times New Roman" w:cs="Times New Roman"/>
          <w:b/>
          <w:sz w:val="24"/>
          <w:szCs w:val="24"/>
        </w:rPr>
        <w:t>.</w:t>
      </w:r>
    </w:p>
    <w:p w14:paraId="70455DB3" w14:textId="2FCB541A" w:rsidR="00EB4D08" w:rsidRPr="00132B85" w:rsidRDefault="00EB4D08" w:rsidP="00E65B62">
      <w:pPr>
        <w:jc w:val="both"/>
        <w:rPr>
          <w:rFonts w:ascii="Times New Roman" w:hAnsi="Times New Roman" w:cs="Times New Roman"/>
          <w:sz w:val="24"/>
          <w:szCs w:val="24"/>
          <w:lang w:eastAsia="it-IT"/>
        </w:rPr>
      </w:pPr>
    </w:p>
    <w:p w14:paraId="0F5A6BDA" w14:textId="3089467F" w:rsidR="00D973D5" w:rsidRPr="00132B85" w:rsidRDefault="00790A1A"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personalizzazione della prestazione da erogarsi in favore delle persone con disabilità richiede necessariamente una fase di esercizio di discrezionalità tecnica che </w:t>
      </w:r>
      <w:r w:rsidR="00D973D5" w:rsidRPr="00132B85">
        <w:rPr>
          <w:rFonts w:ascii="Times New Roman" w:hAnsi="Times New Roman" w:cs="Times New Roman"/>
          <w:sz w:val="24"/>
          <w:szCs w:val="24"/>
          <w:lang w:eastAsia="it-IT"/>
        </w:rPr>
        <w:t>a sua volta si compone di una fase di diagnosi ed una immediatamente successiva di individuazione degli interventi</w:t>
      </w:r>
      <w:r w:rsidR="008378C6" w:rsidRPr="00132B85">
        <w:rPr>
          <w:rFonts w:ascii="Times New Roman" w:hAnsi="Times New Roman" w:cs="Times New Roman"/>
          <w:sz w:val="24"/>
          <w:szCs w:val="24"/>
          <w:lang w:eastAsia="it-IT"/>
        </w:rPr>
        <w:t xml:space="preserve"> da erogarsi</w:t>
      </w:r>
      <w:r w:rsidR="00D973D5" w:rsidRPr="00132B85">
        <w:rPr>
          <w:rFonts w:ascii="Times New Roman" w:hAnsi="Times New Roman" w:cs="Times New Roman"/>
          <w:sz w:val="24"/>
          <w:szCs w:val="24"/>
          <w:lang w:eastAsia="it-IT"/>
        </w:rPr>
        <w:t>.</w:t>
      </w:r>
    </w:p>
    <w:p w14:paraId="49654F68" w14:textId="49621229" w:rsidR="0057707C" w:rsidRPr="00132B85" w:rsidRDefault="00C4516F" w:rsidP="00E65B62">
      <w:pPr>
        <w:jc w:val="both"/>
        <w:rPr>
          <w:rFonts w:ascii="Times New Roman" w:hAnsi="Times New Roman" w:cs="Times New Roman"/>
          <w:i/>
          <w:sz w:val="24"/>
          <w:szCs w:val="24"/>
          <w:lang w:eastAsia="it-IT"/>
        </w:rPr>
      </w:pPr>
      <w:r w:rsidRPr="00132B85">
        <w:rPr>
          <w:rFonts w:ascii="Times New Roman" w:hAnsi="Times New Roman" w:cs="Times New Roman"/>
          <w:sz w:val="24"/>
          <w:szCs w:val="24"/>
          <w:lang w:eastAsia="it-IT"/>
        </w:rPr>
        <w:t>Difatti in alcune pronunce</w:t>
      </w:r>
      <w:r w:rsidR="007359D8">
        <w:rPr>
          <w:rStyle w:val="Rimandonotaapidipagina"/>
          <w:rFonts w:ascii="Times New Roman" w:hAnsi="Times New Roman" w:cs="Times New Roman"/>
          <w:sz w:val="24"/>
          <w:szCs w:val="24"/>
          <w:lang w:eastAsia="it-IT"/>
        </w:rPr>
        <w:footnoteReference w:id="41"/>
      </w:r>
      <w:r w:rsidRPr="00132B85">
        <w:rPr>
          <w:rFonts w:ascii="Times New Roman" w:hAnsi="Times New Roman" w:cs="Times New Roman"/>
          <w:sz w:val="24"/>
          <w:szCs w:val="24"/>
          <w:lang w:eastAsia="it-IT"/>
        </w:rPr>
        <w:t xml:space="preserve"> </w:t>
      </w:r>
      <w:r w:rsidR="00D973D5" w:rsidRPr="00132B85">
        <w:rPr>
          <w:rFonts w:ascii="Times New Roman" w:hAnsi="Times New Roman" w:cs="Times New Roman"/>
          <w:sz w:val="24"/>
          <w:szCs w:val="24"/>
          <w:lang w:eastAsia="it-IT"/>
        </w:rPr>
        <w:t xml:space="preserve">si rinvengono </w:t>
      </w:r>
      <w:r w:rsidR="00EF69E1" w:rsidRPr="00132B85">
        <w:rPr>
          <w:rFonts w:ascii="Times New Roman" w:hAnsi="Times New Roman" w:cs="Times New Roman"/>
          <w:sz w:val="24"/>
          <w:szCs w:val="24"/>
          <w:lang w:eastAsia="it-IT"/>
        </w:rPr>
        <w:t xml:space="preserve">orientamenti che distinguono nettamente tra </w:t>
      </w:r>
      <w:r w:rsidR="00EF69E1" w:rsidRPr="00132B85">
        <w:rPr>
          <w:rFonts w:ascii="Times New Roman" w:hAnsi="Times New Roman" w:cs="Times New Roman"/>
          <w:i/>
          <w:sz w:val="24"/>
          <w:szCs w:val="24"/>
          <w:lang w:eastAsia="it-IT"/>
        </w:rPr>
        <w:t>“</w:t>
      </w:r>
      <w:r w:rsidR="0057707C" w:rsidRPr="00132B85">
        <w:rPr>
          <w:rFonts w:ascii="Times New Roman" w:hAnsi="Times New Roman" w:cs="Times New Roman"/>
          <w:i/>
          <w:sz w:val="24"/>
          <w:szCs w:val="24"/>
          <w:lang w:eastAsia="it-IT"/>
        </w:rPr>
        <w:t>attività espressive di discrezionalità tecnica (</w:t>
      </w:r>
      <w:r w:rsidR="0057707C" w:rsidRPr="00132B85">
        <w:rPr>
          <w:rFonts w:ascii="Times New Roman" w:hAnsi="Times New Roman" w:cs="Times New Roman"/>
          <w:i/>
          <w:iCs/>
          <w:sz w:val="24"/>
          <w:szCs w:val="24"/>
          <w:lang w:eastAsia="it-IT"/>
        </w:rPr>
        <w:t>id est</w:t>
      </w:r>
      <w:r w:rsidR="00EF69E1"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la valuta</w:t>
      </w:r>
      <w:r w:rsidR="00D9598B" w:rsidRPr="00132B85">
        <w:rPr>
          <w:rFonts w:ascii="Times New Roman" w:hAnsi="Times New Roman" w:cs="Times New Roman"/>
          <w:i/>
          <w:sz w:val="24"/>
          <w:szCs w:val="24"/>
          <w:lang w:eastAsia="it-IT"/>
        </w:rPr>
        <w:t xml:space="preserve">zione diagnostica del soggetto) e </w:t>
      </w:r>
      <w:r w:rsidR="0057707C" w:rsidRPr="00132B85">
        <w:rPr>
          <w:rFonts w:ascii="Times New Roman" w:hAnsi="Times New Roman" w:cs="Times New Roman"/>
          <w:i/>
          <w:sz w:val="24"/>
          <w:szCs w:val="24"/>
          <w:lang w:eastAsia="it-IT"/>
        </w:rPr>
        <w:t xml:space="preserve"> attività espressive di discrezionalità mista “tecnico/amministrativa” (</w:t>
      </w:r>
      <w:r w:rsidR="0057707C" w:rsidRPr="00132B85">
        <w:rPr>
          <w:rFonts w:ascii="Times New Roman" w:hAnsi="Times New Roman" w:cs="Times New Roman"/>
          <w:i/>
          <w:iCs/>
          <w:sz w:val="24"/>
          <w:szCs w:val="24"/>
          <w:lang w:eastAsia="it-IT"/>
        </w:rPr>
        <w:t>id est</w:t>
      </w:r>
      <w:r w:rsidR="00EF69E1"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la stesura del progetto individuale, con l’individuazione del percorso più adeguato ai bisogni del paziente)</w:t>
      </w:r>
      <w:r w:rsidR="00D9598B" w:rsidRPr="00132B85">
        <w:rPr>
          <w:rFonts w:ascii="Times New Roman" w:hAnsi="Times New Roman" w:cs="Times New Roman"/>
          <w:i/>
          <w:sz w:val="24"/>
          <w:szCs w:val="24"/>
          <w:lang w:eastAsia="it-IT"/>
        </w:rPr>
        <w:t xml:space="preserve"> </w:t>
      </w:r>
      <w:r w:rsidR="0057707C" w:rsidRPr="00132B85">
        <w:rPr>
          <w:rFonts w:ascii="Times New Roman" w:hAnsi="Times New Roman" w:cs="Times New Roman"/>
          <w:i/>
          <w:sz w:val="24"/>
          <w:szCs w:val="24"/>
          <w:lang w:eastAsia="it-IT"/>
        </w:rPr>
        <w:t xml:space="preserve"> ed infine attività materiali consequenziali (l’erogazione in concreto delle prestazioni di cura e riabilitazione e di servizi alla persona individuate nel progetto).</w:t>
      </w:r>
      <w:r w:rsidR="008378C6" w:rsidRPr="00132B85">
        <w:rPr>
          <w:rFonts w:ascii="Times New Roman" w:hAnsi="Times New Roman" w:cs="Times New Roman"/>
          <w:i/>
          <w:sz w:val="24"/>
          <w:szCs w:val="24"/>
          <w:lang w:eastAsia="it-IT"/>
        </w:rPr>
        <w:t>”</w:t>
      </w:r>
    </w:p>
    <w:p w14:paraId="3D4856F8" w14:textId="4542E8CF" w:rsidR="00CF115A" w:rsidRDefault="00405729" w:rsidP="00E65B62">
      <w:pPr>
        <w:jc w:val="both"/>
        <w:rPr>
          <w:rFonts w:ascii="Times New Roman" w:hAnsi="Times New Roman" w:cs="Times New Roman"/>
          <w:i/>
          <w:sz w:val="24"/>
          <w:szCs w:val="24"/>
          <w:lang w:eastAsia="it-IT"/>
        </w:rPr>
      </w:pPr>
      <w:r>
        <w:rPr>
          <w:rFonts w:ascii="Times New Roman" w:hAnsi="Times New Roman" w:cs="Times New Roman"/>
          <w:sz w:val="24"/>
          <w:szCs w:val="24"/>
          <w:lang w:eastAsia="it-IT"/>
        </w:rPr>
        <w:t>E</w:t>
      </w:r>
      <w:r w:rsidR="00CF115A" w:rsidRPr="00405729">
        <w:rPr>
          <w:rFonts w:ascii="Times New Roman" w:hAnsi="Times New Roman" w:cs="Times New Roman"/>
          <w:sz w:val="24"/>
          <w:szCs w:val="24"/>
          <w:lang w:eastAsia="it-IT"/>
        </w:rPr>
        <w:t xml:space="preserve">d ancora </w:t>
      </w:r>
      <w:r w:rsidR="00CF115A" w:rsidRPr="00132B85">
        <w:rPr>
          <w:rFonts w:ascii="Times New Roman" w:hAnsi="Times New Roman" w:cs="Times New Roman"/>
          <w:sz w:val="24"/>
          <w:szCs w:val="24"/>
          <w:lang w:eastAsia="it-IT"/>
        </w:rPr>
        <w:t>una parte della giurisprudenza ha osservato che “</w:t>
      </w:r>
      <w:r w:rsidR="00CF115A" w:rsidRPr="00132B85">
        <w:rPr>
          <w:rFonts w:ascii="Times New Roman" w:hAnsi="Times New Roman" w:cs="Times New Roman"/>
          <w:i/>
          <w:sz w:val="24"/>
          <w:szCs w:val="24"/>
          <w:lang w:eastAsia="it-IT"/>
        </w:rPr>
        <w:t xml:space="preserve">Il procedimento da cui promana l’elaborazione o, come nel </w:t>
      </w:r>
      <w:r w:rsidR="00CF115A" w:rsidRPr="007359D8">
        <w:rPr>
          <w:rFonts w:ascii="Times New Roman" w:hAnsi="Times New Roman" w:cs="Times New Roman"/>
          <w:i/>
          <w:sz w:val="24"/>
          <w:szCs w:val="24"/>
          <w:lang w:eastAsia="it-IT"/>
        </w:rPr>
        <w:t xml:space="preserve">caso di specie, la revisione del progetto individualizzato </w:t>
      </w:r>
      <w:r w:rsidR="00CF115A" w:rsidRPr="007359D8">
        <w:rPr>
          <w:rFonts w:ascii="Times New Roman" w:hAnsi="Times New Roman" w:cs="Times New Roman"/>
          <w:i/>
          <w:iCs/>
          <w:sz w:val="24"/>
          <w:szCs w:val="24"/>
          <w:lang w:eastAsia="it-IT"/>
        </w:rPr>
        <w:t>ex</w:t>
      </w:r>
      <w:r w:rsidR="00CF115A" w:rsidRPr="007359D8">
        <w:rPr>
          <w:rFonts w:ascii="Times New Roman" w:hAnsi="Times New Roman" w:cs="Times New Roman"/>
          <w:i/>
          <w:sz w:val="24"/>
          <w:szCs w:val="24"/>
          <w:lang w:eastAsia="it-IT"/>
        </w:rPr>
        <w:t xml:space="preserve"> art. 14 L. 328/2000, si snoda attraverso scelte che sono caratterizzate da un elevato grado di discrezionalità tecnica, volte a bilanciare interessi diversi e per certi versi contrapposti, ossia l'interesse pubblico alla salvaguardia dei livelli essenziali di assistenza, la razionale distribuzione delle risorse finanziarie e il contenimento della spesa, da un lato, il diritto degli assistiti alla fruizione di adeguate prestazioni sanitarie, dall’altro.</w:t>
      </w:r>
      <w:r w:rsidRPr="007359D8">
        <w:rPr>
          <w:rFonts w:ascii="Times New Roman" w:hAnsi="Times New Roman" w:cs="Times New Roman"/>
          <w:i/>
          <w:sz w:val="24"/>
          <w:szCs w:val="24"/>
          <w:lang w:eastAsia="it-IT"/>
        </w:rPr>
        <w:t xml:space="preserve"> </w:t>
      </w:r>
      <w:r w:rsidR="00CF115A" w:rsidRPr="007359D8">
        <w:rPr>
          <w:rFonts w:ascii="Times New Roman" w:hAnsi="Times New Roman" w:cs="Times New Roman"/>
          <w:i/>
          <w:sz w:val="24"/>
          <w:szCs w:val="24"/>
          <w:lang w:eastAsia="it-IT"/>
        </w:rPr>
        <w:t>Le valutazioni compiute dalle amministrazioni procedenti coinvolte nella definizione del progetto individualizzato</w:t>
      </w:r>
      <w:r w:rsidR="00CF115A" w:rsidRPr="00132B85">
        <w:rPr>
          <w:rFonts w:ascii="Times New Roman" w:hAnsi="Times New Roman" w:cs="Times New Roman"/>
          <w:i/>
          <w:sz w:val="24"/>
          <w:szCs w:val="24"/>
          <w:lang w:eastAsia="it-IT"/>
        </w:rPr>
        <w:t xml:space="preserve"> per le persone disabili e, in particolare, l’individuazione dei trattamenti terapeutici da erogare - quanto a tempi e modalità – rientrano nella sfera di discrezionalità tecnica demandata ai competenti uffici.</w:t>
      </w:r>
      <w:r>
        <w:rPr>
          <w:rFonts w:ascii="Times New Roman" w:hAnsi="Times New Roman" w:cs="Times New Roman"/>
          <w:i/>
          <w:sz w:val="24"/>
          <w:szCs w:val="24"/>
          <w:lang w:eastAsia="it-IT"/>
        </w:rPr>
        <w:t>”</w:t>
      </w:r>
      <w:r w:rsidR="007359D8">
        <w:rPr>
          <w:rStyle w:val="Rimandonotaapidipagina"/>
          <w:rFonts w:ascii="Times New Roman" w:hAnsi="Times New Roman" w:cs="Times New Roman"/>
          <w:i/>
          <w:sz w:val="24"/>
          <w:szCs w:val="24"/>
          <w:lang w:eastAsia="it-IT"/>
        </w:rPr>
        <w:footnoteReference w:id="42"/>
      </w:r>
    </w:p>
    <w:p w14:paraId="62B8DACB" w14:textId="7CF67AD0" w:rsidR="00245522" w:rsidRPr="00132B85" w:rsidRDefault="00245522" w:rsidP="0024552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Che si tratti di prestazioni necessariamente personalizzate e che non possano essere predeterminate in senso limitativo solo per necessità di rispetto dei vincoli finanziari è affermato </w:t>
      </w:r>
      <w:r>
        <w:rPr>
          <w:rFonts w:ascii="Times New Roman" w:hAnsi="Times New Roman" w:cs="Times New Roman"/>
          <w:sz w:val="24"/>
          <w:szCs w:val="24"/>
          <w:lang w:eastAsia="it-IT"/>
        </w:rPr>
        <w:t xml:space="preserve">altresì </w:t>
      </w:r>
      <w:r w:rsidRPr="00132B85">
        <w:rPr>
          <w:rFonts w:ascii="Times New Roman" w:hAnsi="Times New Roman" w:cs="Times New Roman"/>
          <w:sz w:val="24"/>
          <w:szCs w:val="24"/>
          <w:lang w:eastAsia="it-IT"/>
        </w:rPr>
        <w:t>da quella giurisprudenza</w:t>
      </w:r>
      <w:r w:rsidRPr="00132B85">
        <w:rPr>
          <w:rStyle w:val="Rimandonotaapidipagina"/>
          <w:rFonts w:ascii="Times New Roman" w:hAnsi="Times New Roman" w:cs="Times New Roman"/>
          <w:sz w:val="24"/>
          <w:szCs w:val="24"/>
          <w:lang w:eastAsia="it-IT"/>
        </w:rPr>
        <w:footnoteReference w:id="43"/>
      </w:r>
      <w:r w:rsidRPr="00132B85">
        <w:rPr>
          <w:rFonts w:ascii="Times New Roman" w:hAnsi="Times New Roman" w:cs="Times New Roman"/>
          <w:sz w:val="24"/>
          <w:szCs w:val="24"/>
          <w:lang w:eastAsia="it-IT"/>
        </w:rPr>
        <w:t xml:space="preserve"> che ha annullato gli atti regionali di programmazione che limitavano il riconoscimento di ore di terapia ad un massimo prefissato.</w:t>
      </w:r>
    </w:p>
    <w:p w14:paraId="6CB8704C" w14:textId="015AF128" w:rsidR="007359D8" w:rsidRDefault="007359D8" w:rsidP="007359D8">
      <w:pPr>
        <w:jc w:val="both"/>
        <w:rPr>
          <w:rFonts w:ascii="Times New Roman" w:hAnsi="Times New Roman" w:cs="Times New Roman"/>
          <w:sz w:val="24"/>
          <w:szCs w:val="24"/>
          <w:lang w:eastAsia="it-IT"/>
        </w:rPr>
      </w:pPr>
      <w:r w:rsidRPr="00132B85">
        <w:rPr>
          <w:rFonts w:ascii="Times New Roman" w:hAnsi="Times New Roman" w:cs="Times New Roman"/>
          <w:sz w:val="24"/>
          <w:szCs w:val="24"/>
        </w:rPr>
        <w:t xml:space="preserve">E tuttavia a fronte di procedimenti amministrativi complessi dove dall’indicazione o dalla proposta di prestazione “personalizzata”, frutto di discrezionalità tecnica, si giunge alla determinazione finale della prestazione erogabile, non sempre è chiaro, a livello legislativo, </w:t>
      </w:r>
      <w:r w:rsidRPr="00132B85">
        <w:rPr>
          <w:rFonts w:ascii="Times New Roman" w:hAnsi="Times New Roman" w:cs="Times New Roman"/>
          <w:sz w:val="24"/>
          <w:szCs w:val="24"/>
          <w:lang w:eastAsia="it-IT"/>
        </w:rPr>
        <w:t xml:space="preserve">quale sia il momento in cui si consumi </w:t>
      </w:r>
      <w:r w:rsidRPr="00132B85">
        <w:rPr>
          <w:rFonts w:ascii="Times New Roman" w:hAnsi="Times New Roman" w:cs="Times New Roman"/>
          <w:sz w:val="24"/>
          <w:szCs w:val="24"/>
        </w:rPr>
        <w:t>una valutazione di compatibilità finanziaria della prestazione</w:t>
      </w:r>
      <w:r w:rsidRPr="00132B85">
        <w:rPr>
          <w:rFonts w:ascii="Times New Roman" w:hAnsi="Times New Roman" w:cs="Times New Roman"/>
          <w:sz w:val="24"/>
          <w:szCs w:val="24"/>
          <w:lang w:eastAsia="it-IT"/>
        </w:rPr>
        <w:t>.</w:t>
      </w:r>
    </w:p>
    <w:p w14:paraId="5BC7F57A" w14:textId="77777777" w:rsidR="007359D8" w:rsidRPr="00132B85" w:rsidRDefault="007359D8" w:rsidP="007359D8">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Tale carenza normativa si riflette anche nelle decisioni del giudice amministrativo.</w:t>
      </w:r>
    </w:p>
    <w:p w14:paraId="6AFDE538" w14:textId="658FDF02" w:rsidR="007359D8" w:rsidRPr="00132B85" w:rsidRDefault="007359D8" w:rsidP="007359D8">
      <w:pPr>
        <w:jc w:val="both"/>
        <w:rPr>
          <w:rFonts w:ascii="Times New Roman" w:hAnsi="Times New Roman" w:cs="Times New Roman"/>
          <w:sz w:val="24"/>
          <w:szCs w:val="24"/>
        </w:rPr>
      </w:pPr>
      <w:r>
        <w:rPr>
          <w:rFonts w:ascii="Times New Roman" w:hAnsi="Times New Roman" w:cs="Times New Roman"/>
          <w:sz w:val="24"/>
          <w:szCs w:val="24"/>
        </w:rPr>
        <w:t xml:space="preserve">Nelle pronunce in materia, il giudice amministrativo, </w:t>
      </w:r>
      <w:r w:rsidRPr="00132B85">
        <w:rPr>
          <w:rFonts w:ascii="Times New Roman" w:hAnsi="Times New Roman" w:cs="Times New Roman"/>
          <w:sz w:val="24"/>
          <w:szCs w:val="24"/>
          <w:lang w:eastAsia="it-IT"/>
        </w:rPr>
        <w:t xml:space="preserve">avendo </w:t>
      </w:r>
      <w:r>
        <w:rPr>
          <w:rFonts w:ascii="Times New Roman" w:hAnsi="Times New Roman" w:cs="Times New Roman"/>
          <w:sz w:val="24"/>
          <w:szCs w:val="24"/>
          <w:lang w:eastAsia="it-IT"/>
        </w:rPr>
        <w:t xml:space="preserve">sempre </w:t>
      </w:r>
      <w:r w:rsidRPr="00132B85">
        <w:rPr>
          <w:rFonts w:ascii="Times New Roman" w:hAnsi="Times New Roman" w:cs="Times New Roman"/>
          <w:sz w:val="24"/>
          <w:szCs w:val="24"/>
          <w:lang w:eastAsia="it-IT"/>
        </w:rPr>
        <w:t>cura di specificare che</w:t>
      </w:r>
      <w:r w:rsidRPr="00132B85">
        <w:rPr>
          <w:rFonts w:ascii="Times New Roman" w:hAnsi="Times New Roman" w:cs="Times New Roman"/>
          <w:i/>
          <w:sz w:val="24"/>
          <w:szCs w:val="24"/>
          <w:lang w:eastAsia="it-IT"/>
        </w:rPr>
        <w:t xml:space="preserve"> </w:t>
      </w:r>
      <w:r w:rsidRPr="00132B85">
        <w:rPr>
          <w:rFonts w:ascii="Times New Roman" w:hAnsi="Times New Roman" w:cs="Times New Roman"/>
          <w:sz w:val="24"/>
          <w:szCs w:val="24"/>
        </w:rPr>
        <w:t xml:space="preserve">il sindacato giurisdizionale sugli apprezzamenti tecnici dell’Amministrazione va svolto non in base al </w:t>
      </w:r>
      <w:r w:rsidRPr="00132B85">
        <w:rPr>
          <w:rFonts w:ascii="Times New Roman" w:hAnsi="Times New Roman" w:cs="Times New Roman"/>
          <w:sz w:val="24"/>
          <w:szCs w:val="24"/>
        </w:rPr>
        <w:lastRenderedPageBreak/>
        <w:t>mero controllo formale ed estrinseco dell'iter logico seguito dall'autorità amministrativa, ma sulla scorta della verifica diretta dell'attendibilità delle operazioni tecniche sotto il profilo della loro coerenza e correttezza, quanto a criterio tecnico ed a procedimento applicativo</w:t>
      </w:r>
      <w:r w:rsidRPr="00132B85">
        <w:rPr>
          <w:rStyle w:val="Rimandonotaapidipagina"/>
          <w:rFonts w:ascii="Times New Roman" w:hAnsi="Times New Roman" w:cs="Times New Roman"/>
          <w:sz w:val="24"/>
          <w:szCs w:val="24"/>
        </w:rPr>
        <w:footnoteReference w:id="44"/>
      </w:r>
      <w:r>
        <w:rPr>
          <w:rFonts w:ascii="Times New Roman" w:hAnsi="Times New Roman" w:cs="Times New Roman"/>
          <w:sz w:val="24"/>
          <w:szCs w:val="24"/>
        </w:rPr>
        <w:t>, fa ricorso all’</w:t>
      </w:r>
      <w:r w:rsidRPr="00132B85">
        <w:rPr>
          <w:rFonts w:ascii="Times New Roman" w:hAnsi="Times New Roman" w:cs="Times New Roman"/>
          <w:sz w:val="24"/>
          <w:szCs w:val="24"/>
        </w:rPr>
        <w:t>utilizz</w:t>
      </w:r>
      <w:r>
        <w:rPr>
          <w:rFonts w:ascii="Times New Roman" w:hAnsi="Times New Roman" w:cs="Times New Roman"/>
          <w:sz w:val="24"/>
          <w:szCs w:val="24"/>
        </w:rPr>
        <w:t>o del</w:t>
      </w:r>
      <w:r w:rsidRPr="00132B85">
        <w:rPr>
          <w:rFonts w:ascii="Times New Roman" w:hAnsi="Times New Roman" w:cs="Times New Roman"/>
          <w:sz w:val="24"/>
          <w:szCs w:val="24"/>
        </w:rPr>
        <w:t>la verificazione</w:t>
      </w:r>
      <w:r w:rsidRPr="00132B85">
        <w:rPr>
          <w:rStyle w:val="Rimandonotaapidipagina"/>
          <w:rFonts w:ascii="Times New Roman" w:hAnsi="Times New Roman" w:cs="Times New Roman"/>
          <w:sz w:val="24"/>
          <w:szCs w:val="24"/>
        </w:rPr>
        <w:footnoteReference w:id="45"/>
      </w:r>
      <w:r>
        <w:rPr>
          <w:rFonts w:ascii="Times New Roman" w:hAnsi="Times New Roman" w:cs="Times New Roman"/>
          <w:sz w:val="24"/>
          <w:szCs w:val="24"/>
        </w:rPr>
        <w:t xml:space="preserve"> o della </w:t>
      </w:r>
      <w:r w:rsidRPr="00132B85">
        <w:rPr>
          <w:rFonts w:ascii="Times New Roman" w:hAnsi="Times New Roman" w:cs="Times New Roman"/>
          <w:sz w:val="24"/>
          <w:szCs w:val="24"/>
        </w:rPr>
        <w:t>consulenza tecnica d'ufficio</w:t>
      </w:r>
      <w:r w:rsidRPr="00132B85">
        <w:rPr>
          <w:rStyle w:val="Rimandonotaapidipagina"/>
          <w:rFonts w:ascii="Times New Roman" w:hAnsi="Times New Roman" w:cs="Times New Roman"/>
          <w:sz w:val="24"/>
          <w:szCs w:val="24"/>
        </w:rPr>
        <w:footnoteReference w:id="46"/>
      </w:r>
      <w:r w:rsidRPr="00132B85">
        <w:rPr>
          <w:rFonts w:ascii="Times New Roman" w:hAnsi="Times New Roman" w:cs="Times New Roman"/>
          <w:sz w:val="24"/>
          <w:szCs w:val="24"/>
        </w:rPr>
        <w:t>.</w:t>
      </w:r>
    </w:p>
    <w:p w14:paraId="21213CF0" w14:textId="1976CA2F" w:rsidR="007359D8" w:rsidRPr="00132B85" w:rsidRDefault="007359D8" w:rsidP="007359D8">
      <w:pPr>
        <w:jc w:val="both"/>
        <w:rPr>
          <w:rFonts w:ascii="Times New Roman" w:hAnsi="Times New Roman" w:cs="Times New Roman"/>
          <w:sz w:val="24"/>
          <w:szCs w:val="24"/>
        </w:rPr>
      </w:pPr>
      <w:r>
        <w:rPr>
          <w:rFonts w:ascii="Times New Roman" w:hAnsi="Times New Roman" w:cs="Times New Roman"/>
          <w:sz w:val="24"/>
          <w:szCs w:val="24"/>
        </w:rPr>
        <w:t>Tuttavia in tale modalità di verifica, l’aspetto relativo alla</w:t>
      </w:r>
      <w:r w:rsidRPr="00132B85">
        <w:rPr>
          <w:rFonts w:ascii="Times New Roman" w:hAnsi="Times New Roman" w:cs="Times New Roman"/>
          <w:sz w:val="24"/>
          <w:szCs w:val="24"/>
        </w:rPr>
        <w:t xml:space="preserve"> compatibilità finanziaria della prestazione, </w:t>
      </w:r>
      <w:r>
        <w:rPr>
          <w:rFonts w:ascii="Times New Roman" w:hAnsi="Times New Roman" w:cs="Times New Roman"/>
          <w:sz w:val="24"/>
          <w:szCs w:val="24"/>
        </w:rPr>
        <w:t xml:space="preserve">eventualmente anche ridefinita in sede di verificazione o di CTU, </w:t>
      </w:r>
      <w:r w:rsidRPr="00132B85">
        <w:rPr>
          <w:rFonts w:ascii="Times New Roman" w:hAnsi="Times New Roman" w:cs="Times New Roman"/>
          <w:sz w:val="24"/>
          <w:szCs w:val="24"/>
        </w:rPr>
        <w:t>finisce coll</w:t>
      </w:r>
      <w:r>
        <w:rPr>
          <w:rFonts w:ascii="Times New Roman" w:hAnsi="Times New Roman" w:cs="Times New Roman"/>
          <w:sz w:val="24"/>
          <w:szCs w:val="24"/>
        </w:rPr>
        <w:t>’essere completamente trascurato</w:t>
      </w:r>
      <w:r w:rsidRPr="00132B85">
        <w:rPr>
          <w:rFonts w:ascii="Times New Roman" w:hAnsi="Times New Roman" w:cs="Times New Roman"/>
          <w:sz w:val="24"/>
          <w:szCs w:val="24"/>
        </w:rPr>
        <w:t xml:space="preserve">. </w:t>
      </w:r>
    </w:p>
    <w:p w14:paraId="0BABFE7E" w14:textId="4884FAC4" w:rsidR="00620DF1" w:rsidRPr="00132B85" w:rsidRDefault="00620DF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Così in </w:t>
      </w:r>
      <w:r w:rsidR="00245522">
        <w:rPr>
          <w:rFonts w:ascii="Times New Roman" w:hAnsi="Times New Roman" w:cs="Times New Roman"/>
          <w:sz w:val="24"/>
          <w:szCs w:val="24"/>
          <w:lang w:eastAsia="it-IT"/>
        </w:rPr>
        <w:t>fattispecie dove si discute del riconoscimento di una specifica terapia con metodo A</w:t>
      </w:r>
      <w:r w:rsidR="00245522" w:rsidRPr="00245522">
        <w:rPr>
          <w:rFonts w:ascii="Times New Roman" w:hAnsi="Times New Roman" w:cs="Times New Roman"/>
          <w:i/>
          <w:iCs/>
          <w:sz w:val="24"/>
          <w:szCs w:val="24"/>
          <w:lang w:eastAsia="it-IT"/>
        </w:rPr>
        <w:t>pplied Behaviour Analysis</w:t>
      </w:r>
      <w:r w:rsid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ABA</w:t>
      </w:r>
      <w:r w:rsidR="00245522">
        <w:rPr>
          <w:rFonts w:ascii="Times New Roman" w:hAnsi="Times New Roman" w:cs="Times New Roman"/>
          <w:sz w:val="24"/>
          <w:szCs w:val="24"/>
          <w:lang w:eastAsia="it-IT"/>
        </w:rPr>
        <w:t xml:space="preserve">) per i minori affetti da autismo, </w:t>
      </w:r>
      <w:r w:rsidRPr="00132B85">
        <w:rPr>
          <w:rFonts w:ascii="Times New Roman" w:hAnsi="Times New Roman" w:cs="Times New Roman"/>
          <w:sz w:val="24"/>
          <w:szCs w:val="24"/>
          <w:lang w:eastAsia="it-IT"/>
        </w:rPr>
        <w:t>sempre più frequente è il ricorso alla CTU</w:t>
      </w:r>
      <w:r w:rsidR="000B79E4" w:rsidRPr="00132B85">
        <w:rPr>
          <w:rFonts w:ascii="Times New Roman" w:hAnsi="Times New Roman" w:cs="Times New Roman"/>
          <w:sz w:val="24"/>
          <w:szCs w:val="24"/>
          <w:lang w:eastAsia="it-IT"/>
        </w:rPr>
        <w:t>, con pronunce che concludono per il</w:t>
      </w:r>
      <w:r w:rsidRPr="00132B85">
        <w:rPr>
          <w:rFonts w:ascii="Times New Roman" w:hAnsi="Times New Roman" w:cs="Times New Roman"/>
          <w:sz w:val="24"/>
          <w:szCs w:val="24"/>
          <w:lang w:eastAsia="it-IT"/>
        </w:rPr>
        <w:t xml:space="preserve"> riconoscimento della terapia indicata dal CTU e condanna dell’Amministrazione all’erogazione della stessa</w:t>
      </w:r>
      <w:r w:rsidR="00245522">
        <w:rPr>
          <w:rFonts w:ascii="Times New Roman" w:hAnsi="Times New Roman" w:cs="Times New Roman"/>
          <w:sz w:val="24"/>
          <w:szCs w:val="24"/>
          <w:lang w:eastAsia="it-IT"/>
        </w:rPr>
        <w:t xml:space="preserve">, </w:t>
      </w:r>
      <w:r w:rsidR="000B79E4" w:rsidRPr="00132B85">
        <w:rPr>
          <w:rFonts w:ascii="Times New Roman" w:hAnsi="Times New Roman" w:cs="Times New Roman"/>
          <w:sz w:val="24"/>
          <w:szCs w:val="24"/>
          <w:lang w:eastAsia="it-IT"/>
        </w:rPr>
        <w:t xml:space="preserve">muovendo dal presupposto che, nei casi in questione si tratti </w:t>
      </w:r>
      <w:r w:rsidR="00245522">
        <w:rPr>
          <w:rFonts w:ascii="Times New Roman" w:hAnsi="Times New Roman" w:cs="Times New Roman"/>
          <w:sz w:val="24"/>
          <w:szCs w:val="24"/>
          <w:lang w:eastAsia="it-IT"/>
        </w:rPr>
        <w:t>di</w:t>
      </w:r>
      <w:r w:rsidR="000B79E4" w:rsidRPr="00132B85">
        <w:rPr>
          <w:rFonts w:ascii="Times New Roman" w:hAnsi="Times New Roman" w:cs="Times New Roman"/>
          <w:sz w:val="24"/>
          <w:szCs w:val="24"/>
          <w:lang w:eastAsia="it-IT"/>
        </w:rPr>
        <w:t xml:space="preserve"> prestazioni sanitarie e in particolar modo di LEA </w:t>
      </w:r>
      <w:r w:rsidR="000B79E4" w:rsidRPr="00132B85">
        <w:rPr>
          <w:rStyle w:val="Rimandonotaapidipagina"/>
          <w:rFonts w:ascii="Times New Roman" w:hAnsi="Times New Roman" w:cs="Times New Roman"/>
          <w:sz w:val="24"/>
          <w:szCs w:val="24"/>
          <w:lang w:eastAsia="it-IT"/>
        </w:rPr>
        <w:t xml:space="preserve"> </w:t>
      </w:r>
      <w:r w:rsidRPr="00132B85">
        <w:rPr>
          <w:rStyle w:val="Rimandonotaapidipagina"/>
          <w:rFonts w:ascii="Times New Roman" w:hAnsi="Times New Roman" w:cs="Times New Roman"/>
          <w:sz w:val="24"/>
          <w:szCs w:val="24"/>
          <w:lang w:eastAsia="it-IT"/>
        </w:rPr>
        <w:footnoteReference w:id="47"/>
      </w:r>
      <w:r w:rsidRPr="00132B85">
        <w:rPr>
          <w:rFonts w:ascii="Times New Roman" w:hAnsi="Times New Roman" w:cs="Times New Roman"/>
          <w:sz w:val="24"/>
          <w:szCs w:val="24"/>
          <w:lang w:eastAsia="it-IT"/>
        </w:rPr>
        <w:t>.</w:t>
      </w:r>
    </w:p>
    <w:p w14:paraId="53943047" w14:textId="5E358718" w:rsidR="00164D51" w:rsidRPr="00132B85" w:rsidRDefault="00620DF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Lo stesso </w:t>
      </w:r>
      <w:r w:rsidR="00164D51" w:rsidRPr="00132B85">
        <w:rPr>
          <w:rFonts w:ascii="Times New Roman" w:hAnsi="Times New Roman" w:cs="Times New Roman"/>
          <w:sz w:val="24"/>
          <w:szCs w:val="24"/>
          <w:lang w:eastAsia="it-IT"/>
        </w:rPr>
        <w:t>Consiglio di Stato</w:t>
      </w:r>
      <w:r w:rsidRPr="00132B85">
        <w:rPr>
          <w:rFonts w:ascii="Times New Roman" w:hAnsi="Times New Roman" w:cs="Times New Roman"/>
          <w:sz w:val="24"/>
          <w:szCs w:val="24"/>
          <w:lang w:eastAsia="it-IT"/>
        </w:rPr>
        <w:t xml:space="preserve"> ha affermato che</w:t>
      </w:r>
      <w:r w:rsidR="00164D51" w:rsidRPr="00132B85">
        <w:rPr>
          <w:rFonts w:ascii="Times New Roman" w:hAnsi="Times New Roman" w:cs="Times New Roman"/>
          <w:sz w:val="24"/>
          <w:szCs w:val="24"/>
          <w:lang w:eastAsia="it-IT"/>
        </w:rPr>
        <w:t xml:space="preserve"> “</w:t>
      </w:r>
      <w:r w:rsidR="00164D51" w:rsidRPr="00132B85">
        <w:rPr>
          <w:rFonts w:ascii="Times New Roman" w:hAnsi="Times New Roman" w:cs="Times New Roman"/>
          <w:i/>
          <w:sz w:val="24"/>
          <w:szCs w:val="24"/>
          <w:lang w:eastAsia="it-IT"/>
        </w:rPr>
        <w:t>non risulta ragionevole opporsi alla necessità - per vero irrinunciabile - di assicurare l'effettivo trattamento ABA - nella misura sufficiente prevista dalle Linee di indirizzo dell'Istituto superiore di sanità - dovendosi ritenere che tali prestazioni, anche attraverso l'erogazione indiretta e, dunque, strumentale, debbano concorrere a realizzare quella "prestazione di risultato" rappresentata dal visto riconoscimento del trattamento Aba nei Lea</w:t>
      </w:r>
      <w:r w:rsidR="00164D51" w:rsidRPr="00132B85">
        <w:rPr>
          <w:rFonts w:ascii="Times New Roman" w:hAnsi="Times New Roman" w:cs="Times New Roman"/>
          <w:sz w:val="24"/>
          <w:szCs w:val="24"/>
          <w:lang w:eastAsia="it-IT"/>
        </w:rPr>
        <w:t>"</w:t>
      </w:r>
      <w:r w:rsidR="002B0F9B">
        <w:rPr>
          <w:rStyle w:val="Rimandonotaapidipagina"/>
          <w:rFonts w:ascii="Times New Roman" w:hAnsi="Times New Roman" w:cs="Times New Roman"/>
          <w:sz w:val="24"/>
          <w:szCs w:val="24"/>
          <w:lang w:eastAsia="it-IT"/>
        </w:rPr>
        <w:footnoteReference w:id="48"/>
      </w:r>
      <w:r w:rsidR="00164D51" w:rsidRPr="00132B85">
        <w:rPr>
          <w:rFonts w:ascii="Times New Roman" w:hAnsi="Times New Roman" w:cs="Times New Roman"/>
          <w:sz w:val="24"/>
          <w:szCs w:val="24"/>
          <w:lang w:eastAsia="it-IT"/>
        </w:rPr>
        <w:t>.</w:t>
      </w:r>
    </w:p>
    <w:p w14:paraId="65B8B1A3" w14:textId="51734F37" w:rsidR="00F1639E" w:rsidRPr="00132B85" w:rsidRDefault="00EF38F0"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Q</w:t>
      </w:r>
      <w:r w:rsidR="00F1639E" w:rsidRPr="00132B85">
        <w:rPr>
          <w:rFonts w:ascii="Times New Roman" w:hAnsi="Times New Roman" w:cs="Times New Roman"/>
          <w:sz w:val="24"/>
          <w:szCs w:val="24"/>
          <w:lang w:eastAsia="it-IT"/>
        </w:rPr>
        <w:t>uel che emerge è che in tal modo i</w:t>
      </w:r>
      <w:r w:rsidR="00620DF1" w:rsidRPr="00132B85">
        <w:rPr>
          <w:rFonts w:ascii="Times New Roman" w:hAnsi="Times New Roman" w:cs="Times New Roman"/>
          <w:sz w:val="24"/>
          <w:szCs w:val="24"/>
          <w:lang w:eastAsia="it-IT"/>
        </w:rPr>
        <w:t>l momento del bilanciamento con i vincoli finanziari viene a sfumare del tutto</w:t>
      </w:r>
      <w:r w:rsidR="00F1639E" w:rsidRPr="00132B85">
        <w:rPr>
          <w:rFonts w:ascii="Times New Roman" w:hAnsi="Times New Roman" w:cs="Times New Roman"/>
          <w:sz w:val="24"/>
          <w:szCs w:val="24"/>
          <w:lang w:eastAsia="it-IT"/>
        </w:rPr>
        <w:t>, poiché nell’attività del CTU</w:t>
      </w:r>
      <w:r w:rsidR="000B79E4" w:rsidRPr="00132B85">
        <w:rPr>
          <w:rFonts w:ascii="Times New Roman" w:hAnsi="Times New Roman" w:cs="Times New Roman"/>
          <w:sz w:val="24"/>
          <w:szCs w:val="24"/>
          <w:lang w:eastAsia="it-IT"/>
        </w:rPr>
        <w:t xml:space="preserve"> o del verificatore </w:t>
      </w:r>
      <w:r w:rsidR="00F1639E" w:rsidRPr="00132B85">
        <w:rPr>
          <w:rFonts w:ascii="Times New Roman" w:hAnsi="Times New Roman" w:cs="Times New Roman"/>
          <w:sz w:val="24"/>
          <w:szCs w:val="24"/>
          <w:lang w:eastAsia="it-IT"/>
        </w:rPr>
        <w:t>viene doppiata solo la fase di discrezionalità tecnica riferita alla diagnosi ed individuazione degli interventi più appropriati, rimanendo del tutto estromessa quella più propriamente finanziaria di bilanciamento con le risorse disponibili.</w:t>
      </w:r>
    </w:p>
    <w:p w14:paraId="6B3146DA" w14:textId="08C25C10" w:rsidR="00164D51" w:rsidRPr="00132B85" w:rsidRDefault="000B79E4"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lastRenderedPageBreak/>
        <w:t>Quantomeno per le prestazioni ritenute</w:t>
      </w:r>
      <w:r w:rsidR="00EE26A2">
        <w:rPr>
          <w:rFonts w:ascii="Times New Roman" w:hAnsi="Times New Roman" w:cs="Times New Roman"/>
          <w:sz w:val="24"/>
          <w:szCs w:val="24"/>
          <w:lang w:eastAsia="it-IT"/>
        </w:rPr>
        <w:t xml:space="preserve"> rientranti nei LEA sembrerebbe</w:t>
      </w:r>
      <w:r w:rsidR="00ED2E7E">
        <w:rPr>
          <w:rFonts w:ascii="Times New Roman" w:hAnsi="Times New Roman" w:cs="Times New Roman"/>
          <w:sz w:val="24"/>
          <w:szCs w:val="24"/>
          <w:lang w:eastAsia="it-IT"/>
        </w:rPr>
        <w:t xml:space="preserve">, nelle pronunce del giudice amministrativo, </w:t>
      </w:r>
      <w:r w:rsidR="00EE26A2">
        <w:rPr>
          <w:rFonts w:ascii="Times New Roman" w:hAnsi="Times New Roman" w:cs="Times New Roman"/>
          <w:sz w:val="24"/>
          <w:szCs w:val="24"/>
          <w:lang w:eastAsia="it-IT"/>
        </w:rPr>
        <w:t xml:space="preserve">che </w:t>
      </w:r>
      <w:r w:rsidRPr="00132B85">
        <w:rPr>
          <w:rFonts w:ascii="Times New Roman" w:hAnsi="Times New Roman" w:cs="Times New Roman"/>
          <w:sz w:val="24"/>
          <w:szCs w:val="24"/>
          <w:lang w:eastAsia="it-IT"/>
        </w:rPr>
        <w:t xml:space="preserve">l’aspetto del bilanciamento con la scarsità delle risorse non </w:t>
      </w:r>
      <w:r w:rsidR="00BB7DB6" w:rsidRPr="00132B85">
        <w:rPr>
          <w:rFonts w:ascii="Times New Roman" w:hAnsi="Times New Roman" w:cs="Times New Roman"/>
          <w:sz w:val="24"/>
          <w:szCs w:val="24"/>
          <w:lang w:eastAsia="it-IT"/>
        </w:rPr>
        <w:t>emerg</w:t>
      </w:r>
      <w:r w:rsidR="00EE26A2">
        <w:rPr>
          <w:rFonts w:ascii="Times New Roman" w:hAnsi="Times New Roman" w:cs="Times New Roman"/>
          <w:sz w:val="24"/>
          <w:szCs w:val="24"/>
          <w:lang w:eastAsia="it-IT"/>
        </w:rPr>
        <w:t>a</w:t>
      </w:r>
      <w:r w:rsidR="00BB7DB6" w:rsidRPr="00132B85">
        <w:rPr>
          <w:rFonts w:ascii="Times New Roman" w:hAnsi="Times New Roman" w:cs="Times New Roman"/>
          <w:sz w:val="24"/>
          <w:szCs w:val="24"/>
          <w:lang w:eastAsia="it-IT"/>
        </w:rPr>
        <w:t xml:space="preserve"> in sede di determinazione della specifica prestazione </w:t>
      </w:r>
      <w:r w:rsidR="00BB7DB6" w:rsidRPr="00245522">
        <w:rPr>
          <w:rFonts w:ascii="Times New Roman" w:hAnsi="Times New Roman" w:cs="Times New Roman"/>
          <w:i/>
          <w:sz w:val="24"/>
          <w:szCs w:val="24"/>
          <w:lang w:eastAsia="it-IT"/>
        </w:rPr>
        <w:t>ad personam</w:t>
      </w:r>
      <w:r w:rsidR="00EB6292" w:rsidRPr="00132B85">
        <w:rPr>
          <w:rStyle w:val="Rimandonotaapidipagina"/>
          <w:rFonts w:ascii="Times New Roman" w:hAnsi="Times New Roman" w:cs="Times New Roman"/>
          <w:sz w:val="24"/>
          <w:szCs w:val="24"/>
          <w:lang w:eastAsia="it-IT"/>
        </w:rPr>
        <w:footnoteReference w:id="49"/>
      </w:r>
      <w:r w:rsidR="00BB7DB6" w:rsidRPr="00132B85">
        <w:rPr>
          <w:rFonts w:ascii="Times New Roman" w:hAnsi="Times New Roman" w:cs="Times New Roman"/>
          <w:sz w:val="24"/>
          <w:szCs w:val="24"/>
          <w:lang w:eastAsia="it-IT"/>
        </w:rPr>
        <w:t>.</w:t>
      </w:r>
    </w:p>
    <w:p w14:paraId="6592F16D" w14:textId="690577B4" w:rsidR="008B3C06" w:rsidRPr="00132B85" w:rsidRDefault="00245522"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Eppure il dettano normativo prevede , in </w:t>
      </w:r>
      <w:r w:rsidR="008B3C06" w:rsidRPr="00132B85">
        <w:rPr>
          <w:rFonts w:ascii="Times New Roman" w:hAnsi="Times New Roman" w:cs="Times New Roman"/>
          <w:sz w:val="24"/>
          <w:szCs w:val="24"/>
          <w:lang w:eastAsia="it-IT"/>
        </w:rPr>
        <w:t>tema di prestazioni sanitarie</w:t>
      </w:r>
      <w:r>
        <w:rPr>
          <w:rFonts w:ascii="Times New Roman" w:hAnsi="Times New Roman" w:cs="Times New Roman"/>
          <w:sz w:val="24"/>
          <w:szCs w:val="24"/>
          <w:lang w:eastAsia="it-IT"/>
        </w:rPr>
        <w:t>,</w:t>
      </w:r>
      <w:r w:rsidR="008B3C06"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che </w:t>
      </w:r>
      <w:r w:rsidR="008B3C06" w:rsidRPr="00132B85">
        <w:rPr>
          <w:rFonts w:ascii="Times New Roman" w:hAnsi="Times New Roman" w:cs="Times New Roman"/>
          <w:sz w:val="24"/>
          <w:szCs w:val="24"/>
          <w:lang w:eastAsia="it-IT"/>
        </w:rPr>
        <w:t xml:space="preserve">il bilanciamento </w:t>
      </w:r>
      <w:r>
        <w:rPr>
          <w:rFonts w:ascii="Times New Roman" w:hAnsi="Times New Roman" w:cs="Times New Roman"/>
          <w:sz w:val="24"/>
          <w:szCs w:val="24"/>
          <w:lang w:eastAsia="it-IT"/>
        </w:rPr>
        <w:t xml:space="preserve">in termini di maggiore economicità </w:t>
      </w:r>
      <w:r w:rsidR="008B3C06" w:rsidRPr="00132B85">
        <w:rPr>
          <w:rFonts w:ascii="Times New Roman" w:hAnsi="Times New Roman" w:cs="Times New Roman"/>
          <w:sz w:val="24"/>
          <w:szCs w:val="24"/>
          <w:lang w:eastAsia="it-IT"/>
        </w:rPr>
        <w:t>p</w:t>
      </w:r>
      <w:r>
        <w:rPr>
          <w:rFonts w:ascii="Times New Roman" w:hAnsi="Times New Roman" w:cs="Times New Roman"/>
          <w:sz w:val="24"/>
          <w:szCs w:val="24"/>
          <w:lang w:eastAsia="it-IT"/>
        </w:rPr>
        <w:t xml:space="preserve">ossa </w:t>
      </w:r>
      <w:r w:rsidR="008B3C06" w:rsidRPr="00132B85">
        <w:rPr>
          <w:rFonts w:ascii="Times New Roman" w:hAnsi="Times New Roman" w:cs="Times New Roman"/>
          <w:sz w:val="24"/>
          <w:szCs w:val="24"/>
          <w:lang w:eastAsia="it-IT"/>
        </w:rPr>
        <w:t xml:space="preserve">avvenire </w:t>
      </w:r>
      <w:r>
        <w:rPr>
          <w:rFonts w:ascii="Times New Roman" w:hAnsi="Times New Roman" w:cs="Times New Roman"/>
          <w:sz w:val="24"/>
          <w:szCs w:val="24"/>
          <w:lang w:eastAsia="it-IT"/>
        </w:rPr>
        <w:t xml:space="preserve">sia pure </w:t>
      </w:r>
      <w:r w:rsidR="008B3C06" w:rsidRPr="00132B85">
        <w:rPr>
          <w:rFonts w:ascii="Times New Roman" w:hAnsi="Times New Roman" w:cs="Times New Roman"/>
          <w:sz w:val="24"/>
          <w:szCs w:val="24"/>
          <w:lang w:eastAsia="it-IT"/>
        </w:rPr>
        <w:t>negli stringenti limiti in cui lo consente l’art. 1,</w:t>
      </w:r>
      <w:r>
        <w:rPr>
          <w:rFonts w:ascii="Times New Roman" w:hAnsi="Times New Roman" w:cs="Times New Roman"/>
          <w:sz w:val="24"/>
          <w:szCs w:val="24"/>
          <w:lang w:eastAsia="it-IT"/>
        </w:rPr>
        <w:t xml:space="preserve"> comma 7, </w:t>
      </w:r>
      <w:r w:rsidR="008B3C06" w:rsidRPr="00132B85">
        <w:rPr>
          <w:rFonts w:ascii="Times New Roman" w:hAnsi="Times New Roman" w:cs="Times New Roman"/>
          <w:sz w:val="24"/>
          <w:szCs w:val="24"/>
          <w:lang w:eastAsia="it-IT"/>
        </w:rPr>
        <w:t xml:space="preserve"> </w:t>
      </w:r>
      <w:r w:rsidR="00BB7DB6" w:rsidRPr="00132B85">
        <w:rPr>
          <w:rFonts w:ascii="Times New Roman" w:hAnsi="Times New Roman" w:cs="Times New Roman"/>
          <w:sz w:val="24"/>
          <w:szCs w:val="24"/>
          <w:lang w:eastAsia="it-IT"/>
        </w:rPr>
        <w:t xml:space="preserve">del </w:t>
      </w:r>
      <w:r w:rsidR="008B3C06" w:rsidRPr="00132B85">
        <w:rPr>
          <w:rFonts w:ascii="Times New Roman" w:hAnsi="Times New Roman" w:cs="Times New Roman"/>
          <w:sz w:val="24"/>
          <w:szCs w:val="24"/>
          <w:lang w:eastAsia="it-IT"/>
        </w:rPr>
        <w:t>d.</w:t>
      </w:r>
      <w:r w:rsidR="009D7DE3" w:rsidRP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008B3C06" w:rsidRPr="00132B85">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n. </w:t>
      </w:r>
      <w:r w:rsidR="008B3C06" w:rsidRPr="00132B85">
        <w:rPr>
          <w:rFonts w:ascii="Times New Roman" w:hAnsi="Times New Roman" w:cs="Times New Roman"/>
          <w:sz w:val="24"/>
          <w:szCs w:val="24"/>
          <w:lang w:eastAsia="it-IT"/>
        </w:rPr>
        <w:t>502 del 1992, ossia che “</w:t>
      </w:r>
      <w:r w:rsidR="008B3C06" w:rsidRPr="00132B85">
        <w:rPr>
          <w:rFonts w:ascii="Times New Roman" w:hAnsi="Times New Roman" w:cs="Times New Roman"/>
          <w:i/>
          <w:iCs/>
          <w:sz w:val="24"/>
          <w:szCs w:val="24"/>
          <w:lang w:eastAsia="it-IT"/>
        </w:rPr>
        <w:t>sono posti a carico del Servizio sanitario le tipologie di assistenza, i servizi e le prestazioni sanitarie che presentano, per specifiche condizioni cliniche o di rischio, evidenze scientifiche di un significativo beneficio in termini di salute, a livello individuale o collettivo, a fronte delle risorse impiegate. Sono esclusi dai livelli di assistenza erogati a carico del Servizio sanitario nazionale le tipologie di assistenza, i servizi e le prestazioni sanitarie che:</w:t>
      </w:r>
    </w:p>
    <w:p w14:paraId="5144E067"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a) non rispondono a necessità assistenziali tutelate in base ai principi ispiratori del Servizio sanitario nazionale di cui al comma 2;</w:t>
      </w:r>
    </w:p>
    <w:p w14:paraId="5A61A848"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b) non soddisfano il principio dell'efficacia e dell'appropriatezza, ovvero la cui efficacia non è dimostrabile in base alle evidenze scientifiche disponibili o sono utilizzati per soggetti le cui condizioni cliniche non corrispondono alle indicazioni raccomandate;</w:t>
      </w:r>
    </w:p>
    <w:p w14:paraId="6F81BC54" w14:textId="77777777" w:rsidR="008B3C06" w:rsidRPr="00132B85" w:rsidRDefault="008B3C06" w:rsidP="00E65B62">
      <w:pPr>
        <w:jc w:val="both"/>
        <w:rPr>
          <w:rFonts w:ascii="Times New Roman" w:hAnsi="Times New Roman" w:cs="Times New Roman"/>
          <w:sz w:val="24"/>
          <w:szCs w:val="24"/>
          <w:lang w:eastAsia="it-IT"/>
        </w:rPr>
      </w:pPr>
      <w:r w:rsidRPr="00132B85">
        <w:rPr>
          <w:rFonts w:ascii="Times New Roman" w:hAnsi="Times New Roman" w:cs="Times New Roman"/>
          <w:i/>
          <w:iCs/>
          <w:sz w:val="24"/>
          <w:szCs w:val="24"/>
          <w:lang w:eastAsia="it-IT"/>
        </w:rPr>
        <w:t>c) in presenza di altre forme di assistenza volte a soddisfare le medesime esigenze, non soddisfano il principio dell'economicità nell'impiego delle risorse, ovvero non garantiscono un uso efficiente delle risorse quanto a modalità di organizzazione ed erogazione dell'assistenza</w:t>
      </w:r>
      <w:r w:rsidRPr="00132B85">
        <w:rPr>
          <w:rFonts w:ascii="Times New Roman" w:hAnsi="Times New Roman" w:cs="Times New Roman"/>
          <w:sz w:val="24"/>
          <w:szCs w:val="24"/>
          <w:lang w:eastAsia="it-IT"/>
        </w:rPr>
        <w:t>”.</w:t>
      </w:r>
    </w:p>
    <w:p w14:paraId="38D5C867" w14:textId="3A6A3E13" w:rsidR="00BB7DB6" w:rsidRPr="00132B85" w:rsidRDefault="008B3C06" w:rsidP="00E65B62">
      <w:pPr>
        <w:jc w:val="both"/>
        <w:rPr>
          <w:rFonts w:ascii="Times New Roman" w:hAnsi="Times New Roman" w:cs="Times New Roman"/>
          <w:iCs/>
          <w:sz w:val="24"/>
          <w:szCs w:val="24"/>
          <w:lang w:eastAsia="it-IT"/>
        </w:rPr>
      </w:pPr>
      <w:r w:rsidRPr="00132B85">
        <w:rPr>
          <w:rFonts w:ascii="Times New Roman" w:hAnsi="Times New Roman" w:cs="Times New Roman"/>
          <w:sz w:val="24"/>
          <w:szCs w:val="24"/>
          <w:lang w:eastAsia="it-IT"/>
        </w:rPr>
        <w:t xml:space="preserve">In particolare viene in rilievo la lett. c), </w:t>
      </w:r>
      <w:r w:rsidR="00BB7DB6" w:rsidRPr="00132B85">
        <w:rPr>
          <w:rFonts w:ascii="Times New Roman" w:hAnsi="Times New Roman" w:cs="Times New Roman"/>
          <w:sz w:val="24"/>
          <w:szCs w:val="24"/>
          <w:lang w:eastAsia="it-IT"/>
        </w:rPr>
        <w:t xml:space="preserve">per cui </w:t>
      </w:r>
      <w:r w:rsidRPr="00132B85">
        <w:rPr>
          <w:rFonts w:ascii="Times New Roman" w:hAnsi="Times New Roman" w:cs="Times New Roman"/>
          <w:sz w:val="24"/>
          <w:szCs w:val="24"/>
          <w:lang w:eastAsia="it-IT"/>
        </w:rPr>
        <w:t>in presenza di altre forme di assistenza volte a soddisfare le medesime esigenze</w:t>
      </w:r>
      <w:r w:rsidR="00BB7DB6" w:rsidRPr="00132B85">
        <w:rPr>
          <w:rFonts w:ascii="Times New Roman" w:hAnsi="Times New Roman" w:cs="Times New Roman"/>
          <w:sz w:val="24"/>
          <w:szCs w:val="24"/>
          <w:lang w:eastAsia="it-IT"/>
        </w:rPr>
        <w:t xml:space="preserve">, le prestazioni sanitarie pure individuate come rispondenti all’esigenza del singolo, anche in termini di appropriatezza ed efficacia, sono da ritenersi non erogabili a carico del SSN poiché sostituibili con altre </w:t>
      </w:r>
      <w:r w:rsidR="00BB7DB6" w:rsidRPr="00132B85">
        <w:rPr>
          <w:rFonts w:ascii="Times New Roman" w:hAnsi="Times New Roman" w:cs="Times New Roman"/>
          <w:iCs/>
          <w:sz w:val="24"/>
          <w:szCs w:val="24"/>
          <w:lang w:eastAsia="it-IT"/>
        </w:rPr>
        <w:t>forme di assistenza più rispondenti ai principi di economicità ed uso efficiente delle risorse.</w:t>
      </w:r>
    </w:p>
    <w:p w14:paraId="5AA6D5A0" w14:textId="440A0717" w:rsidR="00BB7DB6" w:rsidRPr="00132B85" w:rsidRDefault="00DB6492" w:rsidP="00E65B62">
      <w:pPr>
        <w:jc w:val="both"/>
        <w:rPr>
          <w:rFonts w:ascii="Times New Roman" w:hAnsi="Times New Roman" w:cs="Times New Roman"/>
          <w:iCs/>
          <w:sz w:val="24"/>
          <w:szCs w:val="24"/>
          <w:lang w:eastAsia="it-IT"/>
        </w:rPr>
      </w:pPr>
      <w:r w:rsidRPr="00132B85">
        <w:rPr>
          <w:rFonts w:ascii="Times New Roman" w:hAnsi="Times New Roman" w:cs="Times New Roman"/>
          <w:iCs/>
          <w:sz w:val="24"/>
          <w:szCs w:val="24"/>
          <w:lang w:eastAsia="it-IT"/>
        </w:rPr>
        <w:t>In tal caso si tratta dunque di prestazioni che per tale loro caratteristica (“sostituibilità”)</w:t>
      </w:r>
      <w:r w:rsidR="00245522">
        <w:rPr>
          <w:rFonts w:ascii="Times New Roman" w:hAnsi="Times New Roman" w:cs="Times New Roman"/>
          <w:iCs/>
          <w:sz w:val="24"/>
          <w:szCs w:val="24"/>
          <w:lang w:eastAsia="it-IT"/>
        </w:rPr>
        <w:t xml:space="preserve"> finiscono per essere estromesse dai </w:t>
      </w:r>
      <w:r w:rsidRPr="00132B85">
        <w:rPr>
          <w:rFonts w:ascii="Times New Roman" w:hAnsi="Times New Roman" w:cs="Times New Roman"/>
          <w:iCs/>
          <w:sz w:val="24"/>
          <w:szCs w:val="24"/>
          <w:lang w:eastAsia="it-IT"/>
        </w:rPr>
        <w:t>LEA.</w:t>
      </w:r>
    </w:p>
    <w:p w14:paraId="28024B3D" w14:textId="01233CA6" w:rsidR="00C559B0" w:rsidRPr="00132B85" w:rsidRDefault="00DB6492"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Ed infatti una giurisprudenza più accorta ha avuto modo di affermare, sempre a proposito dei trattamenti con metodo ABA richiesti per minori affetti da autismo che: </w:t>
      </w:r>
      <w:r w:rsidR="00C559B0" w:rsidRPr="00132B85">
        <w:rPr>
          <w:rFonts w:ascii="Times New Roman" w:hAnsi="Times New Roman" w:cs="Times New Roman"/>
          <w:sz w:val="24"/>
          <w:szCs w:val="24"/>
          <w:lang w:eastAsia="it-IT"/>
        </w:rPr>
        <w:t>“</w:t>
      </w:r>
      <w:r w:rsidR="00C559B0" w:rsidRPr="00132B85">
        <w:rPr>
          <w:rFonts w:ascii="Times New Roman" w:hAnsi="Times New Roman" w:cs="Times New Roman"/>
          <w:i/>
          <w:iCs/>
          <w:sz w:val="24"/>
          <w:szCs w:val="24"/>
          <w:lang w:eastAsia="it-IT"/>
        </w:rPr>
        <w:t>L’inclusione del metodo dell’analisi comportamentale applicata (</w:t>
      </w:r>
      <w:r w:rsidR="002B0F9B">
        <w:rPr>
          <w:rFonts w:ascii="Times New Roman" w:hAnsi="Times New Roman" w:cs="Times New Roman"/>
          <w:i/>
          <w:iCs/>
          <w:sz w:val="24"/>
          <w:szCs w:val="24"/>
          <w:lang w:eastAsia="it-IT"/>
        </w:rPr>
        <w:t>Applied Behaviour Analysis</w:t>
      </w:r>
      <w:r w:rsidR="00C559B0" w:rsidRPr="00132B85">
        <w:rPr>
          <w:rFonts w:ascii="Times New Roman" w:hAnsi="Times New Roman" w:cs="Times New Roman"/>
          <w:i/>
          <w:iCs/>
          <w:sz w:val="24"/>
          <w:szCs w:val="24"/>
          <w:lang w:eastAsia="it-IT"/>
        </w:rPr>
        <w:t xml:space="preserve">–A.B.A.) per il trattamento del disturbo dello spettro autistico nell’ambito dei livelli essenziali di assistenza (LEA) implica che il diniego di tale trattamento può risultare giustificato solo a fronte dell’erogazione da parte dell’Amministrazione sanitaria di una diversa terapia che possa contrastare altrettanto efficacemente la disabilità di cui è portatore il minore, ai sensi dell’art. 1, comma 7, d.lgs. n. 502 del 1992. Ne consegue che se, </w:t>
      </w:r>
      <w:r w:rsidR="00C559B0" w:rsidRPr="00245522">
        <w:rPr>
          <w:rFonts w:ascii="Times New Roman" w:hAnsi="Times New Roman" w:cs="Times New Roman"/>
          <w:i/>
          <w:iCs/>
          <w:sz w:val="24"/>
          <w:szCs w:val="24"/>
          <w:lang w:eastAsia="it-IT"/>
        </w:rPr>
        <w:t>da un lato, l’inclusione nei LEA del metodo A.B.A. non comporta l’automatico riconoscimento in capo al richiedente di un diritto all’erogazione del trattamento nella misura richiesta sulla base di quanto indicato dai soggetti erogatori privati, dall’altro, l’ambito di discrezionalità tecnica riconosciuto all’Amministrazione sanitaria riguarda la scelta del trattamento terapeutico più adeguato in base alle specifiche condizioni di salute del minore e, tra più “forme di assistenza volte a soddisfare le medesime esigenze”, di quella che garantisce un “uso efficiente delle risorse quanto a modalità di organizzazione ed erogazione dell'assistenza</w:t>
      </w:r>
      <w:r w:rsidR="002B0F9B">
        <w:rPr>
          <w:rFonts w:ascii="Times New Roman" w:hAnsi="Times New Roman" w:cs="Times New Roman"/>
          <w:sz w:val="24"/>
          <w:szCs w:val="24"/>
          <w:lang w:eastAsia="it-IT"/>
        </w:rPr>
        <w:t>”</w:t>
      </w:r>
      <w:r w:rsidR="002B0F9B">
        <w:rPr>
          <w:rStyle w:val="Rimandonotaapidipagina"/>
          <w:rFonts w:ascii="Times New Roman" w:hAnsi="Times New Roman" w:cs="Times New Roman"/>
          <w:sz w:val="24"/>
          <w:szCs w:val="24"/>
          <w:lang w:eastAsia="it-IT"/>
        </w:rPr>
        <w:footnoteReference w:id="50"/>
      </w:r>
      <w:r w:rsidR="00C559B0" w:rsidRPr="00245522">
        <w:rPr>
          <w:rFonts w:ascii="Times New Roman" w:hAnsi="Times New Roman" w:cs="Times New Roman"/>
          <w:sz w:val="24"/>
          <w:szCs w:val="24"/>
          <w:lang w:eastAsia="it-IT"/>
        </w:rPr>
        <w:t>.</w:t>
      </w:r>
    </w:p>
    <w:p w14:paraId="3B0F5430" w14:textId="5FADCEEE" w:rsidR="00FD0D3E" w:rsidRPr="00132B85" w:rsidRDefault="00B80B76"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lastRenderedPageBreak/>
        <w:t xml:space="preserve">Se tuttavia in materia di prestazioni sanitarie appare stratificata </w:t>
      </w:r>
      <w:r w:rsidR="00FD0D3E" w:rsidRPr="00132B85">
        <w:rPr>
          <w:rFonts w:ascii="Times New Roman" w:hAnsi="Times New Roman" w:cs="Times New Roman"/>
          <w:sz w:val="24"/>
          <w:szCs w:val="24"/>
          <w:lang w:eastAsia="it-IT"/>
        </w:rPr>
        <w:t xml:space="preserve">nella giurisprudenza </w:t>
      </w:r>
      <w:r w:rsidRPr="00132B85">
        <w:rPr>
          <w:rFonts w:ascii="Times New Roman" w:hAnsi="Times New Roman" w:cs="Times New Roman"/>
          <w:sz w:val="24"/>
          <w:szCs w:val="24"/>
          <w:lang w:eastAsia="it-IT"/>
        </w:rPr>
        <w:t>la convinzione per cui i LEA soddisfino quel nucleo indefettibile del diritto alla salute, non bilanciabile con la scarsità delle risor</w:t>
      </w:r>
      <w:r w:rsidR="00C102EE">
        <w:rPr>
          <w:rFonts w:ascii="Times New Roman" w:hAnsi="Times New Roman" w:cs="Times New Roman"/>
          <w:sz w:val="24"/>
          <w:szCs w:val="24"/>
          <w:lang w:eastAsia="it-IT"/>
        </w:rPr>
        <w:t xml:space="preserve">se, se non nei limiti suddetti, non può sottacersi che </w:t>
      </w:r>
      <w:r w:rsidR="00FD0D3E" w:rsidRPr="00132B85">
        <w:rPr>
          <w:rFonts w:ascii="Times New Roman" w:hAnsi="Times New Roman" w:cs="Times New Roman"/>
          <w:sz w:val="24"/>
          <w:szCs w:val="24"/>
          <w:lang w:eastAsia="it-IT"/>
        </w:rPr>
        <w:t xml:space="preserve">per le altre prestazioni, pure strettamente funzionali al pieno sviluppo della persona con disabilità, </w:t>
      </w:r>
      <w:r w:rsidR="00B155DE" w:rsidRPr="00132B85">
        <w:rPr>
          <w:rFonts w:ascii="Times New Roman" w:hAnsi="Times New Roman" w:cs="Times New Roman"/>
          <w:sz w:val="24"/>
          <w:szCs w:val="24"/>
          <w:lang w:eastAsia="it-IT"/>
        </w:rPr>
        <w:t>ma</w:t>
      </w:r>
      <w:r w:rsidR="00FD0D3E" w:rsidRPr="00132B85">
        <w:rPr>
          <w:rFonts w:ascii="Times New Roman" w:hAnsi="Times New Roman" w:cs="Times New Roman"/>
          <w:sz w:val="24"/>
          <w:szCs w:val="24"/>
          <w:lang w:eastAsia="it-IT"/>
        </w:rPr>
        <w:t xml:space="preserve"> aventi più propriamente natura sociale</w:t>
      </w:r>
      <w:r w:rsidR="00B155DE" w:rsidRPr="00132B85">
        <w:rPr>
          <w:rFonts w:ascii="Times New Roman" w:hAnsi="Times New Roman" w:cs="Times New Roman"/>
          <w:sz w:val="24"/>
          <w:szCs w:val="24"/>
          <w:lang w:eastAsia="it-IT"/>
        </w:rPr>
        <w:t>,</w:t>
      </w:r>
      <w:r w:rsidR="00FD0D3E" w:rsidRPr="00132B85">
        <w:rPr>
          <w:rFonts w:ascii="Times New Roman" w:hAnsi="Times New Roman" w:cs="Times New Roman"/>
          <w:sz w:val="24"/>
          <w:szCs w:val="24"/>
          <w:lang w:eastAsia="it-IT"/>
        </w:rPr>
        <w:t xml:space="preserve"> l’individuazione del </w:t>
      </w:r>
      <w:r w:rsidR="00B155DE" w:rsidRPr="00132B85">
        <w:rPr>
          <w:rFonts w:ascii="Times New Roman" w:hAnsi="Times New Roman" w:cs="Times New Roman"/>
          <w:sz w:val="24"/>
          <w:szCs w:val="24"/>
          <w:lang w:eastAsia="it-IT"/>
        </w:rPr>
        <w:t xml:space="preserve">nucleo essenziale del diritto </w:t>
      </w:r>
      <w:r w:rsidR="00650D27" w:rsidRPr="00132B85">
        <w:rPr>
          <w:rFonts w:ascii="Times New Roman" w:hAnsi="Times New Roman" w:cs="Times New Roman"/>
          <w:sz w:val="24"/>
          <w:szCs w:val="24"/>
          <w:lang w:eastAsia="it-IT"/>
        </w:rPr>
        <w:t>diviene più difficile</w:t>
      </w:r>
      <w:r w:rsidR="00FD0D3E" w:rsidRPr="00132B85">
        <w:rPr>
          <w:rFonts w:ascii="Times New Roman" w:hAnsi="Times New Roman" w:cs="Times New Roman"/>
          <w:sz w:val="24"/>
          <w:szCs w:val="24"/>
          <w:lang w:eastAsia="it-IT"/>
        </w:rPr>
        <w:t>.</w:t>
      </w:r>
    </w:p>
    <w:p w14:paraId="27E60945" w14:textId="77777777" w:rsidR="00650D27"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Si è visto come a livello normativo sono contemplati </w:t>
      </w:r>
      <w:r w:rsidR="00663E73" w:rsidRPr="00132B85">
        <w:rPr>
          <w:rFonts w:ascii="Times New Roman" w:hAnsi="Times New Roman" w:cs="Times New Roman"/>
          <w:sz w:val="24"/>
          <w:szCs w:val="24"/>
          <w:lang w:eastAsia="it-IT"/>
        </w:rPr>
        <w:t xml:space="preserve">i </w:t>
      </w:r>
      <w:r w:rsidRPr="00132B85">
        <w:rPr>
          <w:rFonts w:ascii="Times New Roman" w:hAnsi="Times New Roman" w:cs="Times New Roman"/>
          <w:sz w:val="24"/>
          <w:szCs w:val="24"/>
          <w:lang w:eastAsia="it-IT"/>
        </w:rPr>
        <w:t xml:space="preserve">più svariati </w:t>
      </w:r>
      <w:r w:rsidR="00663E73" w:rsidRPr="00132B85">
        <w:rPr>
          <w:rFonts w:ascii="Times New Roman" w:hAnsi="Times New Roman" w:cs="Times New Roman"/>
          <w:sz w:val="24"/>
          <w:szCs w:val="24"/>
          <w:lang w:eastAsia="it-IT"/>
        </w:rPr>
        <w:t xml:space="preserve">interventi </w:t>
      </w:r>
      <w:r w:rsidRPr="00132B85">
        <w:rPr>
          <w:rFonts w:ascii="Times New Roman" w:hAnsi="Times New Roman" w:cs="Times New Roman"/>
          <w:sz w:val="24"/>
          <w:szCs w:val="24"/>
          <w:lang w:eastAsia="it-IT"/>
        </w:rPr>
        <w:t xml:space="preserve">nell’ambito della vita familiare e sociale, nonché nei percorsi dell’istruzione scolastica o professionale e del lavoro e come essi oggi trovino </w:t>
      </w:r>
      <w:r w:rsidR="00663E73" w:rsidRPr="00132B85">
        <w:rPr>
          <w:rFonts w:ascii="Times New Roman" w:hAnsi="Times New Roman" w:cs="Times New Roman"/>
          <w:sz w:val="24"/>
          <w:szCs w:val="24"/>
          <w:lang w:eastAsia="it-IT"/>
        </w:rPr>
        <w:t xml:space="preserve">un </w:t>
      </w:r>
      <w:r w:rsidRPr="00132B85">
        <w:rPr>
          <w:rFonts w:ascii="Times New Roman" w:hAnsi="Times New Roman" w:cs="Times New Roman"/>
          <w:sz w:val="24"/>
          <w:szCs w:val="24"/>
          <w:lang w:eastAsia="it-IT"/>
        </w:rPr>
        <w:t>luogo di raccordo nel c.d. Progetto di vita di cui all’ art. 14, comma 1, della L. 328 del 2000.</w:t>
      </w:r>
    </w:p>
    <w:p w14:paraId="3EC7780D" w14:textId="398A9417" w:rsidR="00663E73"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Alla varietà e complessità degli interventi corrispondono altresì una varietà e complessità dei soggetti pubblici coinvolti, poiché a </w:t>
      </w:r>
      <w:r w:rsidR="00663E73" w:rsidRPr="00132B85">
        <w:rPr>
          <w:rFonts w:ascii="Times New Roman" w:hAnsi="Times New Roman" w:cs="Times New Roman"/>
          <w:sz w:val="24"/>
          <w:szCs w:val="24"/>
          <w:lang w:eastAsia="it-IT"/>
        </w:rPr>
        <w:t xml:space="preserve">competenze </w:t>
      </w:r>
      <w:r w:rsidRPr="00132B85">
        <w:rPr>
          <w:rFonts w:ascii="Times New Roman" w:hAnsi="Times New Roman" w:cs="Times New Roman"/>
          <w:sz w:val="24"/>
          <w:szCs w:val="24"/>
          <w:lang w:eastAsia="it-IT"/>
        </w:rPr>
        <w:t xml:space="preserve">comunali (ad esempio in materia di assistenza sociale) </w:t>
      </w:r>
      <w:r w:rsidR="00663E73" w:rsidRPr="00132B85">
        <w:rPr>
          <w:rFonts w:ascii="Times New Roman" w:hAnsi="Times New Roman" w:cs="Times New Roman"/>
          <w:sz w:val="24"/>
          <w:szCs w:val="24"/>
          <w:lang w:eastAsia="it-IT"/>
        </w:rPr>
        <w:t xml:space="preserve">si intrecciano quelle </w:t>
      </w:r>
      <w:r w:rsidRPr="00132B85">
        <w:rPr>
          <w:rFonts w:ascii="Times New Roman" w:hAnsi="Times New Roman" w:cs="Times New Roman"/>
          <w:sz w:val="24"/>
          <w:szCs w:val="24"/>
          <w:lang w:eastAsia="it-IT"/>
        </w:rPr>
        <w:t xml:space="preserve">regionali </w:t>
      </w:r>
      <w:r w:rsidR="00663E73" w:rsidRPr="00132B85">
        <w:rPr>
          <w:rFonts w:ascii="Times New Roman" w:hAnsi="Times New Roman" w:cs="Times New Roman"/>
          <w:sz w:val="24"/>
          <w:szCs w:val="24"/>
          <w:lang w:eastAsia="it-IT"/>
        </w:rPr>
        <w:t xml:space="preserve">(sanità) e </w:t>
      </w:r>
      <w:r w:rsidRPr="00132B85">
        <w:rPr>
          <w:rFonts w:ascii="Times New Roman" w:hAnsi="Times New Roman" w:cs="Times New Roman"/>
          <w:sz w:val="24"/>
          <w:szCs w:val="24"/>
          <w:lang w:eastAsia="it-IT"/>
        </w:rPr>
        <w:t xml:space="preserve">statali </w:t>
      </w:r>
      <w:r w:rsidR="00663E73" w:rsidRPr="00132B85">
        <w:rPr>
          <w:rFonts w:ascii="Times New Roman" w:hAnsi="Times New Roman" w:cs="Times New Roman"/>
          <w:sz w:val="24"/>
          <w:szCs w:val="24"/>
          <w:lang w:eastAsia="it-IT"/>
        </w:rPr>
        <w:t>(istruzione –scuola)</w:t>
      </w:r>
      <w:r w:rsidRPr="00132B85">
        <w:rPr>
          <w:rFonts w:ascii="Times New Roman" w:hAnsi="Times New Roman" w:cs="Times New Roman"/>
          <w:sz w:val="24"/>
          <w:szCs w:val="24"/>
          <w:lang w:eastAsia="it-IT"/>
        </w:rPr>
        <w:t>.</w:t>
      </w:r>
    </w:p>
    <w:p w14:paraId="4BAF4869" w14:textId="571BAB3E" w:rsidR="00663E73" w:rsidRPr="00132B85" w:rsidRDefault="00650D27"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Per quel che rileva in questa sede i</w:t>
      </w:r>
      <w:r w:rsidR="00663E73" w:rsidRPr="00132B85">
        <w:rPr>
          <w:rFonts w:ascii="Times New Roman" w:hAnsi="Times New Roman" w:cs="Times New Roman"/>
          <w:sz w:val="24"/>
          <w:szCs w:val="24"/>
          <w:lang w:eastAsia="it-IT"/>
        </w:rPr>
        <w:t xml:space="preserve">l comma 2 dell’art. 14 </w:t>
      </w:r>
      <w:r w:rsidRPr="00132B85">
        <w:rPr>
          <w:rFonts w:ascii="Times New Roman" w:hAnsi="Times New Roman" w:cs="Times New Roman"/>
          <w:sz w:val="24"/>
          <w:szCs w:val="24"/>
          <w:lang w:eastAsia="it-IT"/>
        </w:rPr>
        <w:t>esplicitamente pone l’argine delle “</w:t>
      </w:r>
      <w:r w:rsidR="00663E73" w:rsidRPr="00132B85">
        <w:rPr>
          <w:rFonts w:ascii="Times New Roman" w:hAnsi="Times New Roman" w:cs="Times New Roman"/>
          <w:i/>
          <w:iCs/>
          <w:sz w:val="24"/>
          <w:szCs w:val="24"/>
          <w:lang w:eastAsia="it-IT"/>
        </w:rPr>
        <w:t>risorse disponib</w:t>
      </w:r>
      <w:r w:rsidRPr="00132B85">
        <w:rPr>
          <w:rFonts w:ascii="Times New Roman" w:hAnsi="Times New Roman" w:cs="Times New Roman"/>
          <w:i/>
          <w:iCs/>
          <w:sz w:val="24"/>
          <w:szCs w:val="24"/>
          <w:lang w:eastAsia="it-IT"/>
        </w:rPr>
        <w:t xml:space="preserve">ili” </w:t>
      </w:r>
      <w:r w:rsidRPr="00132B85">
        <w:rPr>
          <w:rFonts w:ascii="Times New Roman" w:hAnsi="Times New Roman" w:cs="Times New Roman"/>
          <w:iCs/>
          <w:sz w:val="24"/>
          <w:szCs w:val="24"/>
          <w:lang w:eastAsia="it-IT"/>
        </w:rPr>
        <w:t>e rinvia per individuare le risorse ai piani di cui ai precedenti a</w:t>
      </w:r>
      <w:r w:rsidR="00663E73" w:rsidRPr="00132B85">
        <w:rPr>
          <w:rFonts w:ascii="Times New Roman" w:hAnsi="Times New Roman" w:cs="Times New Roman"/>
          <w:iCs/>
          <w:sz w:val="24"/>
          <w:szCs w:val="24"/>
          <w:lang w:eastAsia="it-IT"/>
        </w:rPr>
        <w:t>rticoli 18 e 19,</w:t>
      </w:r>
      <w:r w:rsidRPr="00132B85">
        <w:rPr>
          <w:rFonts w:ascii="Times New Roman" w:hAnsi="Times New Roman" w:cs="Times New Roman"/>
          <w:iCs/>
          <w:sz w:val="24"/>
          <w:szCs w:val="24"/>
          <w:lang w:eastAsia="it-IT"/>
        </w:rPr>
        <w:t xml:space="preserve"> alle risorse</w:t>
      </w:r>
      <w:r w:rsidR="00663E73" w:rsidRPr="00132B85">
        <w:rPr>
          <w:rFonts w:ascii="Times New Roman" w:hAnsi="Times New Roman" w:cs="Times New Roman"/>
          <w:iCs/>
          <w:sz w:val="24"/>
          <w:szCs w:val="24"/>
          <w:lang w:eastAsia="it-IT"/>
        </w:rPr>
        <w:t xml:space="preserve"> assegnate </w:t>
      </w:r>
      <w:r w:rsidRPr="00132B85">
        <w:rPr>
          <w:rFonts w:ascii="Times New Roman" w:hAnsi="Times New Roman" w:cs="Times New Roman"/>
          <w:iCs/>
          <w:sz w:val="24"/>
          <w:szCs w:val="24"/>
          <w:lang w:eastAsia="it-IT"/>
        </w:rPr>
        <w:t>a Comuni e Regioni da</w:t>
      </w:r>
      <w:r w:rsidR="00663E73" w:rsidRPr="00132B85">
        <w:rPr>
          <w:rFonts w:ascii="Times New Roman" w:hAnsi="Times New Roman" w:cs="Times New Roman"/>
          <w:iCs/>
          <w:sz w:val="24"/>
          <w:szCs w:val="24"/>
          <w:lang w:eastAsia="it-IT"/>
        </w:rPr>
        <w:t xml:space="preserve">l Fondo nazionale per le politiche sociali di cui all'articolo 59, comma 44, della legge 27 dicembre 1997, n. 449, e </w:t>
      </w:r>
      <w:r w:rsidRPr="00132B85">
        <w:rPr>
          <w:rFonts w:ascii="Times New Roman" w:hAnsi="Times New Roman" w:cs="Times New Roman"/>
          <w:iCs/>
          <w:sz w:val="24"/>
          <w:szCs w:val="24"/>
          <w:lang w:eastAsia="it-IT"/>
        </w:rPr>
        <w:t>a</w:t>
      </w:r>
      <w:r w:rsidR="00663E73" w:rsidRPr="00132B85">
        <w:rPr>
          <w:rFonts w:ascii="Times New Roman" w:hAnsi="Times New Roman" w:cs="Times New Roman"/>
          <w:iCs/>
          <w:sz w:val="24"/>
          <w:szCs w:val="24"/>
          <w:lang w:eastAsia="it-IT"/>
        </w:rPr>
        <w:t>gli autonomi stanziamenti a carico dei propri bilanci</w:t>
      </w:r>
      <w:r w:rsidRPr="00132B85">
        <w:rPr>
          <w:rFonts w:ascii="Times New Roman" w:hAnsi="Times New Roman" w:cs="Times New Roman"/>
          <w:sz w:val="24"/>
          <w:szCs w:val="24"/>
          <w:lang w:eastAsia="it-IT"/>
        </w:rPr>
        <w:t xml:space="preserve"> (art. 4, co. 4 </w:t>
      </w:r>
      <w:r w:rsidR="00CF115A" w:rsidRPr="00132B85">
        <w:rPr>
          <w:rFonts w:ascii="Times New Roman" w:hAnsi="Times New Roman" w:cs="Times New Roman"/>
          <w:sz w:val="24"/>
          <w:szCs w:val="24"/>
          <w:lang w:eastAsia="it-IT"/>
        </w:rPr>
        <w:t>L. n. 328 del 2000)</w:t>
      </w:r>
      <w:r w:rsidR="00663E73" w:rsidRPr="00132B85">
        <w:rPr>
          <w:rFonts w:ascii="Times New Roman" w:hAnsi="Times New Roman" w:cs="Times New Roman"/>
          <w:sz w:val="24"/>
          <w:szCs w:val="24"/>
          <w:lang w:eastAsia="it-IT"/>
        </w:rPr>
        <w:t>.</w:t>
      </w:r>
    </w:p>
    <w:p w14:paraId="2A8B769F" w14:textId="3169AA99" w:rsidR="00CF115A" w:rsidRPr="00132B85" w:rsidRDefault="00CF115A"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Rispetto alle prestazioni di carattere </w:t>
      </w:r>
      <w:r w:rsidR="00775C40" w:rsidRPr="00132B85">
        <w:rPr>
          <w:rFonts w:ascii="Times New Roman" w:hAnsi="Times New Roman" w:cs="Times New Roman"/>
          <w:sz w:val="24"/>
          <w:szCs w:val="24"/>
          <w:lang w:eastAsia="it-IT"/>
        </w:rPr>
        <w:t xml:space="preserve">più propriamente </w:t>
      </w:r>
      <w:r w:rsidRPr="00132B85">
        <w:rPr>
          <w:rFonts w:ascii="Times New Roman" w:hAnsi="Times New Roman" w:cs="Times New Roman"/>
          <w:sz w:val="24"/>
          <w:szCs w:val="24"/>
          <w:lang w:eastAsia="it-IT"/>
        </w:rPr>
        <w:t>di carattere sociale</w:t>
      </w:r>
      <w:r w:rsidR="00775C40" w:rsidRPr="00132B85">
        <w:rPr>
          <w:rFonts w:ascii="Times New Roman" w:hAnsi="Times New Roman" w:cs="Times New Roman"/>
          <w:sz w:val="24"/>
          <w:szCs w:val="24"/>
          <w:lang w:eastAsia="it-IT"/>
        </w:rPr>
        <w:t xml:space="preserve">, </w:t>
      </w:r>
      <w:r w:rsidRPr="00132B85">
        <w:rPr>
          <w:rFonts w:ascii="Times New Roman" w:hAnsi="Times New Roman" w:cs="Times New Roman"/>
          <w:sz w:val="24"/>
          <w:szCs w:val="24"/>
          <w:lang w:eastAsia="it-IT"/>
        </w:rPr>
        <w:t xml:space="preserve">poste a carico dei Comuni e delle Regioni, </w:t>
      </w:r>
      <w:r w:rsidR="00775C40" w:rsidRPr="00132B85">
        <w:rPr>
          <w:rFonts w:ascii="Times New Roman" w:hAnsi="Times New Roman" w:cs="Times New Roman"/>
          <w:sz w:val="24"/>
          <w:szCs w:val="24"/>
          <w:lang w:eastAsia="it-IT"/>
        </w:rPr>
        <w:t xml:space="preserve">nella giurisprudenza amministrativa si registra una maggiore </w:t>
      </w:r>
      <w:r w:rsidRPr="00132B85">
        <w:rPr>
          <w:rFonts w:ascii="Times New Roman" w:hAnsi="Times New Roman" w:cs="Times New Roman"/>
          <w:sz w:val="24"/>
          <w:szCs w:val="24"/>
          <w:lang w:eastAsia="it-IT"/>
        </w:rPr>
        <w:t>attenzione al momento del bilanciamento con la scarsità delle risorse finanziarie.</w:t>
      </w:r>
    </w:p>
    <w:p w14:paraId="26F31E4E" w14:textId="021E49D4" w:rsidR="004744EF" w:rsidRPr="00245522" w:rsidRDefault="00CB6CB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Così </w:t>
      </w:r>
      <w:r w:rsidR="00BE1FCF">
        <w:rPr>
          <w:rFonts w:ascii="Times New Roman" w:hAnsi="Times New Roman" w:cs="Times New Roman"/>
          <w:sz w:val="24"/>
          <w:szCs w:val="24"/>
          <w:lang w:eastAsia="it-IT"/>
        </w:rPr>
        <w:t>p</w:t>
      </w:r>
      <w:r w:rsidRPr="00132B85">
        <w:rPr>
          <w:rFonts w:ascii="Times New Roman" w:hAnsi="Times New Roman" w:cs="Times New Roman"/>
          <w:sz w:val="24"/>
          <w:szCs w:val="24"/>
          <w:lang w:eastAsia="it-IT"/>
        </w:rPr>
        <w:t>arte della giurisprudenza</w:t>
      </w:r>
      <w:r w:rsidRPr="00132B85">
        <w:rPr>
          <w:rStyle w:val="Rimandonotaapidipagina"/>
          <w:rFonts w:ascii="Times New Roman" w:hAnsi="Times New Roman" w:cs="Times New Roman"/>
          <w:sz w:val="24"/>
          <w:szCs w:val="24"/>
          <w:lang w:eastAsia="it-IT"/>
        </w:rPr>
        <w:footnoteReference w:id="51"/>
      </w:r>
      <w:r w:rsidR="00A016C5">
        <w:rPr>
          <w:rFonts w:ascii="Times New Roman" w:hAnsi="Times New Roman" w:cs="Times New Roman"/>
          <w:sz w:val="24"/>
          <w:szCs w:val="24"/>
          <w:lang w:eastAsia="it-IT"/>
        </w:rPr>
        <w:t xml:space="preserve"> ritiene </w:t>
      </w:r>
      <w:r w:rsidRPr="00132B85">
        <w:rPr>
          <w:rFonts w:ascii="Times New Roman" w:hAnsi="Times New Roman" w:cs="Times New Roman"/>
          <w:sz w:val="24"/>
          <w:szCs w:val="24"/>
          <w:lang w:eastAsia="it-IT"/>
        </w:rPr>
        <w:t xml:space="preserve">pienamente legittima la subordinazione dell’effettiva erogazione delle prestazioni previste nel progetto </w:t>
      </w:r>
      <w:r w:rsidR="004744EF" w:rsidRPr="00132B85">
        <w:rPr>
          <w:rFonts w:ascii="Times New Roman" w:hAnsi="Times New Roman" w:cs="Times New Roman"/>
          <w:sz w:val="24"/>
          <w:szCs w:val="24"/>
          <w:lang w:eastAsia="it-IT"/>
        </w:rPr>
        <w:t xml:space="preserve">“Dopo di Noi” </w:t>
      </w:r>
      <w:r w:rsidR="004744EF" w:rsidRPr="00132B85">
        <w:rPr>
          <w:rFonts w:ascii="Times New Roman" w:hAnsi="Times New Roman" w:cs="Times New Roman"/>
          <w:i/>
          <w:iCs/>
          <w:sz w:val="24"/>
          <w:szCs w:val="24"/>
          <w:lang w:eastAsia="it-IT"/>
        </w:rPr>
        <w:t xml:space="preserve">alla programmazione e </w:t>
      </w:r>
      <w:r w:rsidRPr="00132B85">
        <w:rPr>
          <w:rFonts w:ascii="Times New Roman" w:hAnsi="Times New Roman" w:cs="Times New Roman"/>
          <w:i/>
          <w:iCs/>
          <w:sz w:val="24"/>
          <w:szCs w:val="24"/>
          <w:lang w:eastAsia="it-IT"/>
        </w:rPr>
        <w:t xml:space="preserve">al </w:t>
      </w:r>
      <w:r w:rsidR="004744EF" w:rsidRPr="00132B85">
        <w:rPr>
          <w:rFonts w:ascii="Times New Roman" w:hAnsi="Times New Roman" w:cs="Times New Roman"/>
          <w:i/>
          <w:iCs/>
          <w:sz w:val="24"/>
          <w:szCs w:val="24"/>
          <w:lang w:eastAsia="it-IT"/>
        </w:rPr>
        <w:t>relativo finanziamento, da parte della Regio</w:t>
      </w:r>
      <w:r w:rsidR="004744EF" w:rsidRPr="00245522">
        <w:rPr>
          <w:rFonts w:ascii="Times New Roman" w:hAnsi="Times New Roman" w:cs="Times New Roman"/>
          <w:i/>
          <w:iCs/>
          <w:sz w:val="24"/>
          <w:szCs w:val="24"/>
          <w:lang w:eastAsia="it-IT"/>
        </w:rPr>
        <w:t xml:space="preserve">ne </w:t>
      </w:r>
      <w:r w:rsidR="004744EF" w:rsidRPr="00245522">
        <w:rPr>
          <w:rFonts w:ascii="Times New Roman" w:hAnsi="Times New Roman" w:cs="Times New Roman"/>
          <w:sz w:val="24"/>
          <w:szCs w:val="24"/>
          <w:lang w:eastAsia="it-IT"/>
        </w:rPr>
        <w:t>dal momento che è lo stesso art. 14, punto 2), della l.n. 328/2000 a prevedere, in via generale, che il progetto individuale sia predisposto “</w:t>
      </w:r>
      <w:r w:rsidR="004744EF" w:rsidRPr="00245522">
        <w:rPr>
          <w:rFonts w:ascii="Times New Roman" w:hAnsi="Times New Roman" w:cs="Times New Roman"/>
          <w:i/>
          <w:iCs/>
          <w:sz w:val="24"/>
          <w:szCs w:val="24"/>
          <w:lang w:eastAsia="it-IT"/>
        </w:rPr>
        <w:t>nell’ambito delle risorse disponibili</w:t>
      </w:r>
      <w:r w:rsidR="004744EF" w:rsidRPr="00245522">
        <w:rPr>
          <w:rFonts w:ascii="Times New Roman" w:hAnsi="Times New Roman" w:cs="Times New Roman"/>
          <w:sz w:val="24"/>
          <w:szCs w:val="24"/>
          <w:lang w:eastAsia="it-IT"/>
        </w:rPr>
        <w:t>”, così come, avuto riguardo alle misure del “Dopo di Noi”, l’art. 3, co. 3, della l.n.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13AA82F0" w14:textId="682E9615" w:rsidR="00A14BEE" w:rsidRPr="00132B85" w:rsidRDefault="00CF115A" w:rsidP="00E65B62">
      <w:pPr>
        <w:jc w:val="both"/>
        <w:rPr>
          <w:rFonts w:ascii="Times New Roman" w:hAnsi="Times New Roman" w:cs="Times New Roman"/>
          <w:sz w:val="24"/>
          <w:szCs w:val="24"/>
          <w:lang w:eastAsia="it-IT"/>
        </w:rPr>
      </w:pPr>
      <w:r w:rsidRPr="00245522">
        <w:rPr>
          <w:rFonts w:ascii="Times New Roman" w:hAnsi="Times New Roman" w:cs="Times New Roman"/>
          <w:sz w:val="24"/>
          <w:szCs w:val="24"/>
          <w:lang w:eastAsia="it-IT"/>
        </w:rPr>
        <w:t>Dunque alla discrezionalità tecnica delle Amministrazioni coinvolte nella redazione del progetto è rimessa la determinazione ed individu</w:t>
      </w:r>
      <w:r w:rsidRPr="00132B85">
        <w:rPr>
          <w:rFonts w:ascii="Times New Roman" w:hAnsi="Times New Roman" w:cs="Times New Roman"/>
          <w:sz w:val="24"/>
          <w:szCs w:val="24"/>
          <w:lang w:eastAsia="it-IT"/>
        </w:rPr>
        <w:t xml:space="preserve">azione di prestazioni tese ad assicurare i diritti fondamentali </w:t>
      </w:r>
      <w:r w:rsidRPr="00132B85">
        <w:rPr>
          <w:rFonts w:ascii="Times New Roman" w:hAnsi="Times New Roman" w:cs="Times New Roman"/>
          <w:sz w:val="24"/>
          <w:szCs w:val="24"/>
          <w:lang w:eastAsia="it-IT"/>
        </w:rPr>
        <w:lastRenderedPageBreak/>
        <w:t xml:space="preserve">della persona con disabilità, salvo </w:t>
      </w:r>
      <w:r w:rsidR="00A14BEE" w:rsidRPr="00132B85">
        <w:rPr>
          <w:rFonts w:ascii="Times New Roman" w:hAnsi="Times New Roman" w:cs="Times New Roman"/>
          <w:sz w:val="24"/>
          <w:szCs w:val="24"/>
          <w:lang w:eastAsia="it-IT"/>
        </w:rPr>
        <w:t>che la loro effettiva erogazione sia poi legittimamente subordinata alla disponibilità di risorse secondo la programmazione regionale.</w:t>
      </w:r>
    </w:p>
    <w:p w14:paraId="041495B7" w14:textId="6E8CB594" w:rsidR="00585367" w:rsidRPr="00132B85" w:rsidRDefault="00585367" w:rsidP="00E65B62">
      <w:pPr>
        <w:jc w:val="both"/>
        <w:rPr>
          <w:rFonts w:ascii="Times New Roman" w:hAnsi="Times New Roman" w:cs="Times New Roman"/>
          <w:sz w:val="24"/>
          <w:szCs w:val="24"/>
        </w:rPr>
      </w:pPr>
      <w:r w:rsidRPr="00132B85">
        <w:rPr>
          <w:rFonts w:ascii="Times New Roman" w:hAnsi="Times New Roman" w:cs="Times New Roman"/>
          <w:sz w:val="24"/>
          <w:szCs w:val="24"/>
        </w:rPr>
        <w:t xml:space="preserve">Parimenti </w:t>
      </w:r>
      <w:r w:rsidRPr="00132B85">
        <w:rPr>
          <w:rFonts w:ascii="Times New Roman" w:hAnsi="Times New Roman" w:cs="Times New Roman"/>
          <w:sz w:val="24"/>
          <w:szCs w:val="24"/>
          <w:lang w:eastAsia="it-IT"/>
        </w:rPr>
        <w:t xml:space="preserve">a proposito dell’assistente </w:t>
      </w:r>
      <w:r w:rsidR="006A311E" w:rsidRPr="00245522">
        <w:rPr>
          <w:rFonts w:ascii="Times New Roman" w:hAnsi="Times New Roman" w:cs="Times New Roman"/>
          <w:sz w:val="24"/>
          <w:szCs w:val="24"/>
        </w:rPr>
        <w:t>all’autonomia e alla comunicazione</w:t>
      </w:r>
      <w:r w:rsidR="006A311E" w:rsidRP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la giurisprudenza</w:t>
      </w:r>
      <w:r w:rsidR="006A311E" w:rsidRPr="00245522">
        <w:rPr>
          <w:rStyle w:val="Rimandonotaapidipagina"/>
          <w:rFonts w:ascii="Times New Roman" w:eastAsia="Times New Roman" w:hAnsi="Times New Roman" w:cs="Times New Roman"/>
          <w:bCs/>
          <w:sz w:val="24"/>
          <w:szCs w:val="24"/>
          <w:lang w:eastAsia="it-IT"/>
        </w:rPr>
        <w:footnoteReference w:id="52"/>
      </w:r>
      <w:r w:rsidR="006A311E" w:rsidRPr="00245522">
        <w:rPr>
          <w:rFonts w:ascii="Times New Roman" w:hAnsi="Times New Roman" w:cs="Times New Roman"/>
          <w:sz w:val="24"/>
          <w:szCs w:val="24"/>
          <w:lang w:eastAsia="it-IT"/>
        </w:rPr>
        <w:t xml:space="preserve"> </w:t>
      </w:r>
      <w:r w:rsidRPr="00245522">
        <w:rPr>
          <w:rFonts w:ascii="Times New Roman" w:hAnsi="Times New Roman" w:cs="Times New Roman"/>
          <w:sz w:val="24"/>
          <w:szCs w:val="24"/>
          <w:lang w:eastAsia="it-IT"/>
        </w:rPr>
        <w:t>ha ritenuto che il PEI contenga proposte, essendo poi rimessa al comune la valutazione dell’effettiva erogabilità anche alla luce delle risorse finanziarie disponibili</w:t>
      </w:r>
      <w:r w:rsidR="006A311E" w:rsidRPr="00245522">
        <w:rPr>
          <w:rFonts w:ascii="Times New Roman" w:hAnsi="Times New Roman" w:cs="Times New Roman"/>
          <w:sz w:val="24"/>
          <w:szCs w:val="24"/>
          <w:lang w:eastAsia="it-IT"/>
        </w:rPr>
        <w:t>.</w:t>
      </w:r>
    </w:p>
    <w:p w14:paraId="4C7A0805" w14:textId="20BF38A3" w:rsidR="00CF115A" w:rsidRPr="00132B85" w:rsidRDefault="00A14BE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Secondo questa impostazione sembrerebbe che il vincolo di bilancio non partecipi alla individuazione della prestazione riconoscibile, ma operi dall’esterno quale condizione di efficacia (effettività) del Progetto. </w:t>
      </w:r>
    </w:p>
    <w:p w14:paraId="4173E756" w14:textId="58B2D0E3" w:rsidR="004A6242" w:rsidRPr="00132B85" w:rsidRDefault="00CF115A" w:rsidP="00E65B62">
      <w:pPr>
        <w:jc w:val="both"/>
        <w:rPr>
          <w:rFonts w:ascii="Times New Roman" w:hAnsi="Times New Roman" w:cs="Times New Roman"/>
          <w:sz w:val="24"/>
          <w:szCs w:val="24"/>
        </w:rPr>
      </w:pPr>
      <w:r w:rsidRPr="00245522">
        <w:rPr>
          <w:rFonts w:ascii="Times New Roman" w:hAnsi="Times New Roman" w:cs="Times New Roman"/>
          <w:sz w:val="24"/>
          <w:szCs w:val="24"/>
          <w:lang w:eastAsia="it-IT"/>
        </w:rPr>
        <w:t>Altre volte dall</w:t>
      </w:r>
      <w:r w:rsidR="00A14BEE" w:rsidRPr="00245522">
        <w:rPr>
          <w:rFonts w:ascii="Times New Roman" w:hAnsi="Times New Roman" w:cs="Times New Roman"/>
          <w:sz w:val="24"/>
          <w:szCs w:val="24"/>
          <w:lang w:eastAsia="it-IT"/>
        </w:rPr>
        <w:t>a</w:t>
      </w:r>
      <w:r w:rsidRPr="00245522">
        <w:rPr>
          <w:rFonts w:ascii="Times New Roman" w:hAnsi="Times New Roman" w:cs="Times New Roman"/>
          <w:sz w:val="24"/>
          <w:szCs w:val="24"/>
          <w:lang w:eastAsia="it-IT"/>
        </w:rPr>
        <w:t xml:space="preserve"> lettur</w:t>
      </w:r>
      <w:r w:rsidR="00A14BEE" w:rsidRPr="00245522">
        <w:rPr>
          <w:rFonts w:ascii="Times New Roman" w:hAnsi="Times New Roman" w:cs="Times New Roman"/>
          <w:sz w:val="24"/>
          <w:szCs w:val="24"/>
          <w:lang w:eastAsia="it-IT"/>
        </w:rPr>
        <w:t>a</w:t>
      </w:r>
      <w:r w:rsidRPr="00245522">
        <w:rPr>
          <w:rFonts w:ascii="Times New Roman" w:hAnsi="Times New Roman" w:cs="Times New Roman"/>
          <w:sz w:val="24"/>
          <w:szCs w:val="24"/>
          <w:lang w:eastAsia="it-IT"/>
        </w:rPr>
        <w:t xml:space="preserve"> delle pronunce del Giudice amministrativo</w:t>
      </w:r>
      <w:r w:rsidR="00CB6CB1" w:rsidRPr="00245522">
        <w:rPr>
          <w:rFonts w:ascii="Times New Roman" w:hAnsi="Times New Roman" w:cs="Times New Roman"/>
          <w:sz w:val="24"/>
          <w:szCs w:val="24"/>
          <w:lang w:eastAsia="it-IT"/>
        </w:rPr>
        <w:t xml:space="preserve"> </w:t>
      </w:r>
      <w:r w:rsidR="004A6242" w:rsidRPr="00245522">
        <w:rPr>
          <w:rFonts w:ascii="Times New Roman" w:hAnsi="Times New Roman" w:cs="Times New Roman"/>
          <w:sz w:val="24"/>
          <w:szCs w:val="24"/>
        </w:rPr>
        <w:t>sem</w:t>
      </w:r>
      <w:r w:rsidR="00CB6CB1" w:rsidRPr="00245522">
        <w:rPr>
          <w:rFonts w:ascii="Times New Roman" w:hAnsi="Times New Roman" w:cs="Times New Roman"/>
          <w:sz w:val="24"/>
          <w:szCs w:val="24"/>
        </w:rPr>
        <w:t xml:space="preserve">bra </w:t>
      </w:r>
      <w:r w:rsidR="00A14BEE" w:rsidRPr="00245522">
        <w:rPr>
          <w:rFonts w:ascii="Times New Roman" w:hAnsi="Times New Roman" w:cs="Times New Roman"/>
          <w:sz w:val="24"/>
          <w:szCs w:val="24"/>
        </w:rPr>
        <w:t xml:space="preserve">invece </w:t>
      </w:r>
      <w:r w:rsidR="00CB6CB1" w:rsidRPr="00245522">
        <w:rPr>
          <w:rFonts w:ascii="Times New Roman" w:hAnsi="Times New Roman" w:cs="Times New Roman"/>
          <w:sz w:val="24"/>
          <w:szCs w:val="24"/>
        </w:rPr>
        <w:t xml:space="preserve">che il vincolo finanziario debba essere </w:t>
      </w:r>
      <w:r w:rsidR="004A6242" w:rsidRPr="00245522">
        <w:rPr>
          <w:rFonts w:ascii="Times New Roman" w:hAnsi="Times New Roman" w:cs="Times New Roman"/>
          <w:sz w:val="24"/>
          <w:szCs w:val="24"/>
        </w:rPr>
        <w:t>valutato nell’istruttor</w:t>
      </w:r>
      <w:r w:rsidR="00245522">
        <w:rPr>
          <w:rFonts w:ascii="Times New Roman" w:hAnsi="Times New Roman" w:cs="Times New Roman"/>
          <w:sz w:val="24"/>
          <w:szCs w:val="24"/>
        </w:rPr>
        <w:t>ia allorché</w:t>
      </w:r>
      <w:r w:rsidR="004A6242" w:rsidRPr="00245522">
        <w:rPr>
          <w:rFonts w:ascii="Times New Roman" w:hAnsi="Times New Roman" w:cs="Times New Roman"/>
          <w:sz w:val="24"/>
          <w:szCs w:val="24"/>
        </w:rPr>
        <w:t xml:space="preserve"> l’A</w:t>
      </w:r>
      <w:r w:rsidR="00A14BEE" w:rsidRPr="00245522">
        <w:rPr>
          <w:rFonts w:ascii="Times New Roman" w:hAnsi="Times New Roman" w:cs="Times New Roman"/>
          <w:sz w:val="24"/>
          <w:szCs w:val="24"/>
        </w:rPr>
        <w:t xml:space="preserve">mministrazione </w:t>
      </w:r>
      <w:r w:rsidR="00585367" w:rsidRPr="00245522">
        <w:rPr>
          <w:rFonts w:ascii="Times New Roman" w:hAnsi="Times New Roman" w:cs="Times New Roman"/>
          <w:sz w:val="24"/>
          <w:szCs w:val="24"/>
        </w:rPr>
        <w:t>individua le prestazioni erogabili.</w:t>
      </w:r>
    </w:p>
    <w:p w14:paraId="779E2EE7" w14:textId="3D64086D" w:rsidR="001D5365" w:rsidRPr="00245522" w:rsidRDefault="00585367" w:rsidP="00E65B62">
      <w:pPr>
        <w:jc w:val="both"/>
        <w:rPr>
          <w:rFonts w:ascii="Times New Roman" w:hAnsi="Times New Roman" w:cs="Times New Roman"/>
          <w:sz w:val="24"/>
          <w:szCs w:val="24"/>
        </w:rPr>
      </w:pPr>
      <w:r w:rsidRPr="00132B85">
        <w:rPr>
          <w:rFonts w:ascii="Times New Roman" w:hAnsi="Times New Roman" w:cs="Times New Roman"/>
          <w:sz w:val="24"/>
          <w:szCs w:val="24"/>
          <w:lang w:eastAsia="it-IT"/>
        </w:rPr>
        <w:lastRenderedPageBreak/>
        <w:t>C</w:t>
      </w:r>
      <w:r w:rsidR="00250C56" w:rsidRPr="00132B85">
        <w:rPr>
          <w:rFonts w:ascii="Times New Roman" w:hAnsi="Times New Roman" w:cs="Times New Roman"/>
          <w:sz w:val="24"/>
          <w:szCs w:val="24"/>
          <w:lang w:eastAsia="it-IT"/>
        </w:rPr>
        <w:t xml:space="preserve">osì </w:t>
      </w:r>
      <w:r w:rsidR="004A6242" w:rsidRPr="00132B85">
        <w:rPr>
          <w:rFonts w:ascii="Times New Roman" w:hAnsi="Times New Roman" w:cs="Times New Roman"/>
          <w:sz w:val="24"/>
          <w:szCs w:val="24"/>
        </w:rPr>
        <w:t>Cons. St., sez. III,</w:t>
      </w:r>
      <w:r w:rsidR="004A6242" w:rsidRPr="00132B85">
        <w:rPr>
          <w:rFonts w:ascii="Times New Roman" w:eastAsia="Times New Roman" w:hAnsi="Times New Roman" w:cs="Times New Roman"/>
          <w:sz w:val="24"/>
          <w:szCs w:val="24"/>
          <w:lang w:eastAsia="it-IT"/>
        </w:rPr>
        <w:t xml:space="preserve"> 21</w:t>
      </w:r>
      <w:r w:rsidR="00245522">
        <w:rPr>
          <w:rFonts w:ascii="Times New Roman" w:eastAsia="Times New Roman" w:hAnsi="Times New Roman" w:cs="Times New Roman"/>
          <w:sz w:val="24"/>
          <w:szCs w:val="24"/>
          <w:lang w:eastAsia="it-IT"/>
        </w:rPr>
        <w:t xml:space="preserve"> gennaio 2025 </w:t>
      </w:r>
      <w:r w:rsidR="00CB6CB1" w:rsidRPr="00245522">
        <w:rPr>
          <w:rStyle w:val="Rimandonotaapidipagina"/>
          <w:rFonts w:ascii="Times New Roman" w:eastAsia="Times New Roman" w:hAnsi="Times New Roman" w:cs="Times New Roman"/>
          <w:sz w:val="24"/>
          <w:szCs w:val="24"/>
          <w:lang w:val="fr-FR" w:eastAsia="it-IT"/>
        </w:rPr>
        <w:footnoteReference w:id="53"/>
      </w:r>
      <w:r w:rsidR="00CB6CB1" w:rsidRPr="00245522">
        <w:rPr>
          <w:rFonts w:ascii="Times New Roman" w:eastAsia="Times New Roman" w:hAnsi="Times New Roman" w:cs="Times New Roman"/>
          <w:sz w:val="24"/>
          <w:szCs w:val="24"/>
          <w:lang w:eastAsia="it-IT"/>
        </w:rPr>
        <w:t xml:space="preserve"> secondo cui</w:t>
      </w:r>
      <w:r w:rsidR="00E8673E">
        <w:rPr>
          <w:rFonts w:ascii="Times New Roman" w:eastAsia="Times New Roman" w:hAnsi="Times New Roman" w:cs="Times New Roman"/>
          <w:sz w:val="24"/>
          <w:szCs w:val="24"/>
          <w:lang w:eastAsia="it-IT"/>
        </w:rPr>
        <w:t>,</w:t>
      </w:r>
      <w:r w:rsidR="00CB6CB1" w:rsidRPr="00245522">
        <w:rPr>
          <w:rFonts w:ascii="Times New Roman" w:eastAsia="Times New Roman" w:hAnsi="Times New Roman" w:cs="Times New Roman"/>
          <w:sz w:val="24"/>
          <w:szCs w:val="24"/>
          <w:lang w:eastAsia="it-IT"/>
        </w:rPr>
        <w:t xml:space="preserve"> </w:t>
      </w:r>
      <w:r w:rsidR="001A41B6" w:rsidRPr="00245522">
        <w:rPr>
          <w:rFonts w:ascii="Times New Roman" w:eastAsia="Times New Roman" w:hAnsi="Times New Roman" w:cs="Times New Roman"/>
          <w:sz w:val="24"/>
          <w:szCs w:val="24"/>
          <w:lang w:eastAsia="it-IT"/>
        </w:rPr>
        <w:t>a proposito del</w:t>
      </w:r>
      <w:r w:rsidR="004A6242" w:rsidRPr="00245522">
        <w:rPr>
          <w:rFonts w:ascii="Times New Roman" w:hAnsi="Times New Roman" w:cs="Times New Roman"/>
          <w:sz w:val="24"/>
          <w:szCs w:val="24"/>
        </w:rPr>
        <w:t xml:space="preserve">la presa in carico multidisciplinare realizzata mediante la predisposizione del Piano di assistenza integrato, </w:t>
      </w:r>
      <w:r w:rsidR="00B25591" w:rsidRPr="00245522">
        <w:rPr>
          <w:rFonts w:ascii="Times New Roman" w:hAnsi="Times New Roman" w:cs="Times New Roman"/>
          <w:sz w:val="24"/>
          <w:szCs w:val="24"/>
        </w:rPr>
        <w:t xml:space="preserve">correttamente l’Amministrazione nell’esercizio della sua discrezionalità tecnica tiene conto del contributo richiesto ai </w:t>
      </w:r>
      <w:r w:rsidR="00A14BEE" w:rsidRPr="00245522">
        <w:rPr>
          <w:rFonts w:ascii="Times New Roman" w:hAnsi="Times New Roman" w:cs="Times New Roman"/>
          <w:sz w:val="24"/>
          <w:szCs w:val="24"/>
        </w:rPr>
        <w:t xml:space="preserve"> familiari e </w:t>
      </w:r>
      <w:r w:rsidR="00B25591" w:rsidRPr="00245522">
        <w:rPr>
          <w:rFonts w:ascii="Times New Roman" w:hAnsi="Times New Roman" w:cs="Times New Roman"/>
          <w:sz w:val="24"/>
          <w:szCs w:val="24"/>
        </w:rPr>
        <w:t xml:space="preserve">ai </w:t>
      </w:r>
      <w:r w:rsidR="004A6242" w:rsidRPr="00245522">
        <w:rPr>
          <w:rFonts w:ascii="Times New Roman" w:hAnsi="Times New Roman" w:cs="Times New Roman"/>
          <w:i/>
          <w:iCs/>
          <w:sz w:val="24"/>
          <w:szCs w:val="24"/>
        </w:rPr>
        <w:t>caregiver</w:t>
      </w:r>
      <w:r w:rsidR="00B25591" w:rsidRPr="00245522">
        <w:rPr>
          <w:rFonts w:ascii="Times New Roman" w:hAnsi="Times New Roman" w:cs="Times New Roman"/>
          <w:sz w:val="24"/>
          <w:szCs w:val="24"/>
        </w:rPr>
        <w:t xml:space="preserve">, considerati </w:t>
      </w:r>
      <w:r w:rsidR="004A6242" w:rsidRPr="00245522">
        <w:rPr>
          <w:rFonts w:ascii="Times New Roman" w:hAnsi="Times New Roman" w:cs="Times New Roman"/>
          <w:sz w:val="24"/>
          <w:szCs w:val="24"/>
        </w:rPr>
        <w:t>come elementi fondanti del contesto familiare di assistenza</w:t>
      </w:r>
      <w:r w:rsidR="00B25591" w:rsidRPr="00245522">
        <w:rPr>
          <w:rFonts w:ascii="Times New Roman" w:hAnsi="Times New Roman" w:cs="Times New Roman"/>
          <w:sz w:val="24"/>
          <w:szCs w:val="24"/>
        </w:rPr>
        <w:t xml:space="preserve">, per </w:t>
      </w:r>
      <w:r w:rsidR="004A6242" w:rsidRPr="00245522">
        <w:rPr>
          <w:rFonts w:ascii="Times New Roman" w:hAnsi="Times New Roman" w:cs="Times New Roman"/>
          <w:sz w:val="24"/>
          <w:szCs w:val="24"/>
        </w:rPr>
        <w:t>modula</w:t>
      </w:r>
      <w:r w:rsidR="00B25591" w:rsidRPr="00245522">
        <w:rPr>
          <w:rFonts w:ascii="Times New Roman" w:hAnsi="Times New Roman" w:cs="Times New Roman"/>
          <w:sz w:val="24"/>
          <w:szCs w:val="24"/>
        </w:rPr>
        <w:t>re i</w:t>
      </w:r>
      <w:r w:rsidR="001D5365" w:rsidRPr="00245522">
        <w:rPr>
          <w:rFonts w:ascii="Times New Roman" w:hAnsi="Times New Roman" w:cs="Times New Roman"/>
          <w:sz w:val="24"/>
          <w:szCs w:val="24"/>
        </w:rPr>
        <w:t xml:space="preserve">l piano personalizzato onde garantire </w:t>
      </w:r>
      <w:r w:rsidR="004A6242" w:rsidRPr="00245522">
        <w:rPr>
          <w:rFonts w:ascii="Times New Roman" w:hAnsi="Times New Roman" w:cs="Times New Roman"/>
          <w:sz w:val="24"/>
          <w:szCs w:val="24"/>
        </w:rPr>
        <w:t xml:space="preserve">l’equilibrio finale nella distribuzione delle risorse assistenziali </w:t>
      </w:r>
      <w:r w:rsidR="001D5365" w:rsidRPr="00245522">
        <w:rPr>
          <w:rFonts w:ascii="Times New Roman" w:hAnsi="Times New Roman" w:cs="Times New Roman"/>
          <w:sz w:val="24"/>
          <w:szCs w:val="24"/>
        </w:rPr>
        <w:t>“</w:t>
      </w:r>
      <w:r w:rsidR="001D5365" w:rsidRPr="00245522">
        <w:rPr>
          <w:rFonts w:ascii="Times New Roman" w:hAnsi="Times New Roman" w:cs="Times New Roman"/>
          <w:i/>
          <w:sz w:val="24"/>
          <w:szCs w:val="24"/>
        </w:rPr>
        <w:t>in ossequio alle insopprimibili istanze solidaristiche ed equitative che informano la costruzione del P.A.I.</w:t>
      </w:r>
      <w:r w:rsidR="001D5365" w:rsidRPr="00245522">
        <w:rPr>
          <w:rFonts w:ascii="Times New Roman" w:hAnsi="Times New Roman" w:cs="Times New Roman"/>
          <w:sz w:val="24"/>
          <w:szCs w:val="24"/>
        </w:rPr>
        <w:t xml:space="preserve">” </w:t>
      </w:r>
    </w:p>
    <w:p w14:paraId="1B04EA5B" w14:textId="50D3AB0A" w:rsidR="00585367" w:rsidRPr="00132B85" w:rsidRDefault="001D5365" w:rsidP="00E65B62">
      <w:pPr>
        <w:jc w:val="both"/>
        <w:rPr>
          <w:rFonts w:ascii="Times New Roman" w:hAnsi="Times New Roman" w:cs="Times New Roman"/>
          <w:sz w:val="24"/>
          <w:szCs w:val="24"/>
        </w:rPr>
      </w:pPr>
      <w:r w:rsidRPr="00245522">
        <w:rPr>
          <w:rFonts w:ascii="Times New Roman" w:hAnsi="Times New Roman" w:cs="Times New Roman"/>
          <w:sz w:val="24"/>
          <w:szCs w:val="24"/>
        </w:rPr>
        <w:t xml:space="preserve">Di qui l’osservazione secondo cui </w:t>
      </w:r>
      <w:r w:rsidR="00585367" w:rsidRPr="00245522">
        <w:rPr>
          <w:rFonts w:ascii="Times New Roman" w:hAnsi="Times New Roman" w:cs="Times New Roman"/>
          <w:sz w:val="24"/>
          <w:szCs w:val="24"/>
        </w:rPr>
        <w:t xml:space="preserve">il </w:t>
      </w:r>
      <w:r w:rsidR="004A6242" w:rsidRPr="00245522">
        <w:rPr>
          <w:rFonts w:ascii="Times New Roman" w:hAnsi="Times New Roman" w:cs="Times New Roman"/>
          <w:sz w:val="24"/>
          <w:szCs w:val="24"/>
        </w:rPr>
        <w:t>Piano imp</w:t>
      </w:r>
      <w:r w:rsidR="004A6242" w:rsidRPr="00132B85">
        <w:rPr>
          <w:rFonts w:ascii="Times New Roman" w:hAnsi="Times New Roman" w:cs="Times New Roman"/>
          <w:sz w:val="24"/>
          <w:szCs w:val="24"/>
        </w:rPr>
        <w:t>ugnato</w:t>
      </w:r>
      <w:r w:rsidR="00585367" w:rsidRPr="00132B85">
        <w:rPr>
          <w:rFonts w:ascii="Times New Roman" w:hAnsi="Times New Roman" w:cs="Times New Roman"/>
          <w:sz w:val="24"/>
          <w:szCs w:val="24"/>
        </w:rPr>
        <w:t xml:space="preserve"> </w:t>
      </w:r>
      <w:r w:rsidR="004A6242" w:rsidRPr="00245522">
        <w:rPr>
          <w:rFonts w:ascii="Times New Roman" w:hAnsi="Times New Roman" w:cs="Times New Roman"/>
          <w:sz w:val="24"/>
          <w:szCs w:val="24"/>
        </w:rPr>
        <w:t>rappresenterebbe “</w:t>
      </w:r>
      <w:r w:rsidR="004A6242" w:rsidRPr="00245522">
        <w:rPr>
          <w:rFonts w:ascii="Times New Roman" w:hAnsi="Times New Roman" w:cs="Times New Roman"/>
          <w:i/>
          <w:iCs/>
          <w:sz w:val="24"/>
          <w:szCs w:val="24"/>
        </w:rPr>
        <w:t>il massimo sforzo possibile da parte del Servizio</w:t>
      </w:r>
      <w:r w:rsidR="004A6242" w:rsidRPr="00245522">
        <w:rPr>
          <w:rFonts w:ascii="Times New Roman" w:hAnsi="Times New Roman" w:cs="Times New Roman"/>
          <w:sz w:val="24"/>
          <w:szCs w:val="24"/>
        </w:rPr>
        <w:t xml:space="preserve">” </w:t>
      </w:r>
      <w:r w:rsidR="00E61E8B" w:rsidRPr="00245522">
        <w:rPr>
          <w:rFonts w:ascii="Times New Roman" w:hAnsi="Times New Roman" w:cs="Times New Roman"/>
          <w:sz w:val="24"/>
          <w:szCs w:val="24"/>
        </w:rPr>
        <w:t xml:space="preserve">tale da </w:t>
      </w:r>
      <w:r w:rsidR="004A6242" w:rsidRPr="00245522">
        <w:rPr>
          <w:rFonts w:ascii="Times New Roman" w:hAnsi="Times New Roman" w:cs="Times New Roman"/>
          <w:sz w:val="24"/>
          <w:szCs w:val="24"/>
        </w:rPr>
        <w:t xml:space="preserve">escludere la sussistenza del difetto istruttorio e motivazionale lamentato </w:t>
      </w:r>
      <w:r w:rsidR="00585367" w:rsidRPr="00245522">
        <w:rPr>
          <w:rFonts w:ascii="Times New Roman" w:hAnsi="Times New Roman" w:cs="Times New Roman"/>
          <w:sz w:val="24"/>
          <w:szCs w:val="24"/>
        </w:rPr>
        <w:t>dall’appellante.</w:t>
      </w:r>
    </w:p>
    <w:p w14:paraId="606014B9" w14:textId="1246C1D1" w:rsidR="004A6242" w:rsidRPr="00132B85" w:rsidRDefault="00E61E8B"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Vi è da </w:t>
      </w:r>
      <w:r w:rsidR="008270BE" w:rsidRPr="00132B85">
        <w:rPr>
          <w:rFonts w:ascii="Times New Roman" w:hAnsi="Times New Roman" w:cs="Times New Roman"/>
          <w:sz w:val="24"/>
          <w:szCs w:val="24"/>
          <w:lang w:eastAsia="it-IT"/>
        </w:rPr>
        <w:t>evidenziare</w:t>
      </w:r>
      <w:r w:rsidRPr="00132B85">
        <w:rPr>
          <w:rFonts w:ascii="Times New Roman" w:hAnsi="Times New Roman" w:cs="Times New Roman"/>
          <w:sz w:val="24"/>
          <w:szCs w:val="24"/>
          <w:lang w:eastAsia="it-IT"/>
        </w:rPr>
        <w:t xml:space="preserve">, di contro, </w:t>
      </w:r>
      <w:r w:rsidR="008270BE" w:rsidRPr="00132B85">
        <w:rPr>
          <w:rFonts w:ascii="Times New Roman" w:hAnsi="Times New Roman" w:cs="Times New Roman"/>
          <w:sz w:val="24"/>
          <w:szCs w:val="24"/>
          <w:lang w:eastAsia="it-IT"/>
        </w:rPr>
        <w:t xml:space="preserve">che con riferimento a prestazioni ritenute costituenti il nucleo indefettibile del diritto, ed in specie avuto riguardo al diritto all’istruzione dei minori con disabilità, </w:t>
      </w:r>
      <w:r w:rsidR="008270BE" w:rsidRPr="00132B85">
        <w:rPr>
          <w:rFonts w:ascii="Times New Roman" w:hAnsi="Times New Roman" w:cs="Times New Roman"/>
          <w:sz w:val="24"/>
          <w:szCs w:val="24"/>
          <w:lang w:eastAsia="it-IT"/>
        </w:rPr>
        <w:lastRenderedPageBreak/>
        <w:t>la giurisprudenza amministrativa</w:t>
      </w:r>
      <w:r w:rsidR="008270BE" w:rsidRPr="00132B85">
        <w:rPr>
          <w:rStyle w:val="Rimandonotaapidipagina"/>
          <w:rFonts w:ascii="Times New Roman" w:hAnsi="Times New Roman" w:cs="Times New Roman"/>
          <w:sz w:val="24"/>
          <w:szCs w:val="24"/>
          <w:lang w:eastAsia="it-IT"/>
        </w:rPr>
        <w:footnoteReference w:id="54"/>
      </w:r>
      <w:r w:rsidR="008270BE" w:rsidRPr="00132B85">
        <w:rPr>
          <w:rFonts w:ascii="Times New Roman" w:hAnsi="Times New Roman" w:cs="Times New Roman"/>
          <w:sz w:val="24"/>
          <w:szCs w:val="24"/>
          <w:lang w:eastAsia="it-IT"/>
        </w:rPr>
        <w:t xml:space="preserve">, richiamando </w:t>
      </w:r>
      <w:r w:rsidR="008270BE" w:rsidRPr="00132B85">
        <w:rPr>
          <w:rFonts w:ascii="Times New Roman" w:hAnsi="Times New Roman" w:cs="Times New Roman"/>
          <w:sz w:val="24"/>
          <w:szCs w:val="24"/>
        </w:rPr>
        <w:t>quella</w:t>
      </w:r>
      <w:r w:rsidR="00BB6283" w:rsidRPr="00132B85">
        <w:rPr>
          <w:rFonts w:ascii="Times New Roman" w:hAnsi="Times New Roman" w:cs="Times New Roman"/>
          <w:sz w:val="24"/>
          <w:szCs w:val="24"/>
        </w:rPr>
        <w:t xml:space="preserve"> costituzionale e in particolare la sentenza della Corte Costituzionale n. 275 del 2016, </w:t>
      </w:r>
      <w:r w:rsidR="008270BE" w:rsidRPr="00132B85">
        <w:rPr>
          <w:rFonts w:ascii="Times New Roman" w:hAnsi="Times New Roman" w:cs="Times New Roman"/>
          <w:sz w:val="24"/>
          <w:szCs w:val="24"/>
        </w:rPr>
        <w:t xml:space="preserve">ne </w:t>
      </w:r>
      <w:r w:rsidR="00BB6283" w:rsidRPr="00132B85">
        <w:rPr>
          <w:rFonts w:ascii="Times New Roman" w:hAnsi="Times New Roman" w:cs="Times New Roman"/>
          <w:sz w:val="24"/>
          <w:szCs w:val="24"/>
        </w:rPr>
        <w:t xml:space="preserve">ha </w:t>
      </w:r>
      <w:r w:rsidR="008270BE" w:rsidRPr="00132B85">
        <w:rPr>
          <w:rFonts w:ascii="Times New Roman" w:hAnsi="Times New Roman" w:cs="Times New Roman"/>
          <w:sz w:val="24"/>
          <w:szCs w:val="24"/>
        </w:rPr>
        <w:t>affermato l’incomprimibilità per ragioni finanziare.</w:t>
      </w:r>
    </w:p>
    <w:p w14:paraId="7B433199" w14:textId="47F7D5B7" w:rsidR="008270BE" w:rsidRPr="00132B85" w:rsidRDefault="000837EE" w:rsidP="00E65B62">
      <w:pPr>
        <w:jc w:val="both"/>
        <w:rPr>
          <w:rFonts w:ascii="Times New Roman" w:hAnsi="Times New Roman" w:cs="Times New Roman"/>
          <w:sz w:val="24"/>
          <w:szCs w:val="24"/>
          <w:lang w:eastAsia="it-IT"/>
        </w:rPr>
      </w:pPr>
      <w:r>
        <w:rPr>
          <w:rFonts w:ascii="Times New Roman" w:hAnsi="Times New Roman" w:cs="Times New Roman"/>
          <w:sz w:val="24"/>
          <w:szCs w:val="24"/>
          <w:lang w:eastAsia="it-IT"/>
        </w:rPr>
        <w:t>E tuttavia molto più ondivaga appare</w:t>
      </w:r>
      <w:r w:rsidR="008270BE" w:rsidRPr="00132B85">
        <w:rPr>
          <w:rFonts w:ascii="Times New Roman" w:hAnsi="Times New Roman" w:cs="Times New Roman"/>
          <w:sz w:val="24"/>
          <w:szCs w:val="24"/>
          <w:lang w:eastAsia="it-IT"/>
        </w:rPr>
        <w:t xml:space="preserve"> la giurisprudenza amministrativa laddove incerta è la qualificazione delle prestazioni da rendersi alla persona con disabilità. </w:t>
      </w:r>
    </w:p>
    <w:p w14:paraId="6B815EFE" w14:textId="4DEFD1C5" w:rsidR="00BB6283" w:rsidRPr="00132B85" w:rsidRDefault="008270BE"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E’ il caso ad esempio del ricovero in comunità alloggio che secondo una parte della giurisprudenza</w:t>
      </w:r>
      <w:r w:rsidRPr="00132B85">
        <w:rPr>
          <w:rStyle w:val="Rimandonotaapidipagina"/>
          <w:rFonts w:ascii="Times New Roman" w:hAnsi="Times New Roman" w:cs="Times New Roman"/>
          <w:sz w:val="24"/>
          <w:szCs w:val="24"/>
          <w:lang w:eastAsia="it-IT"/>
        </w:rPr>
        <w:footnoteReference w:id="55"/>
      </w:r>
      <w:r w:rsidRPr="00132B85">
        <w:rPr>
          <w:rFonts w:ascii="Times New Roman" w:hAnsi="Times New Roman" w:cs="Times New Roman"/>
          <w:sz w:val="24"/>
          <w:szCs w:val="24"/>
          <w:lang w:eastAsia="it-IT"/>
        </w:rPr>
        <w:t xml:space="preserve"> non rientrerebbe nei livelli essenziali di assistenza relativi alle prestazioni socio-sanitarie a carico del Servizio Sanitario, in quanto al più </w:t>
      </w:r>
      <w:r w:rsidR="00E8673E">
        <w:rPr>
          <w:rFonts w:ascii="Times New Roman" w:hAnsi="Times New Roman" w:cs="Times New Roman"/>
          <w:sz w:val="24"/>
          <w:szCs w:val="24"/>
          <w:lang w:eastAsia="it-IT"/>
        </w:rPr>
        <w:t xml:space="preserve">riconducibile a </w:t>
      </w:r>
      <w:r w:rsidRPr="00132B85">
        <w:rPr>
          <w:rFonts w:ascii="Times New Roman" w:hAnsi="Times New Roman" w:cs="Times New Roman"/>
          <w:sz w:val="24"/>
          <w:szCs w:val="24"/>
          <w:lang w:eastAsia="it-IT"/>
        </w:rPr>
        <w:t>livello essenziale di prestazione sociale</w:t>
      </w:r>
      <w:r w:rsidR="00AE6C91" w:rsidRPr="00132B85">
        <w:rPr>
          <w:rFonts w:ascii="Times New Roman" w:hAnsi="Times New Roman" w:cs="Times New Roman"/>
          <w:sz w:val="24"/>
          <w:szCs w:val="24"/>
          <w:lang w:eastAsia="it-IT"/>
        </w:rPr>
        <w:t>,</w:t>
      </w:r>
      <w:r w:rsidR="00E8673E">
        <w:rPr>
          <w:rFonts w:ascii="Times New Roman" w:hAnsi="Times New Roman" w:cs="Times New Roman"/>
          <w:sz w:val="24"/>
          <w:szCs w:val="24"/>
          <w:lang w:eastAsia="it-IT"/>
        </w:rPr>
        <w:t xml:space="preserve"> </w:t>
      </w:r>
      <w:r w:rsidR="00E8673E" w:rsidRPr="00132B85">
        <w:rPr>
          <w:rFonts w:ascii="Times New Roman" w:hAnsi="Times New Roman" w:cs="Times New Roman"/>
          <w:sz w:val="24"/>
          <w:szCs w:val="24"/>
          <w:lang w:eastAsia="it-IT"/>
        </w:rPr>
        <w:t>e pertanto</w:t>
      </w:r>
      <w:r w:rsidRPr="00132B85">
        <w:rPr>
          <w:rFonts w:ascii="Times New Roman" w:hAnsi="Times New Roman" w:cs="Times New Roman"/>
          <w:sz w:val="24"/>
          <w:szCs w:val="24"/>
          <w:lang w:eastAsia="it-IT"/>
        </w:rPr>
        <w:t xml:space="preserve"> rima</w:t>
      </w:r>
      <w:r w:rsidR="00AE6C91" w:rsidRPr="00132B85">
        <w:rPr>
          <w:rFonts w:ascii="Times New Roman" w:hAnsi="Times New Roman" w:cs="Times New Roman"/>
          <w:sz w:val="24"/>
          <w:szCs w:val="24"/>
          <w:lang w:eastAsia="it-IT"/>
        </w:rPr>
        <w:t>rrebbe</w:t>
      </w:r>
      <w:r w:rsidRPr="00132B85">
        <w:rPr>
          <w:rFonts w:ascii="Times New Roman" w:hAnsi="Times New Roman" w:cs="Times New Roman"/>
          <w:sz w:val="24"/>
          <w:szCs w:val="24"/>
          <w:lang w:eastAsia="it-IT"/>
        </w:rPr>
        <w:t xml:space="preserve"> subordinat</w:t>
      </w:r>
      <w:r w:rsidR="00AE6C91" w:rsidRPr="00132B85">
        <w:rPr>
          <w:rFonts w:ascii="Times New Roman" w:hAnsi="Times New Roman" w:cs="Times New Roman"/>
          <w:sz w:val="24"/>
          <w:szCs w:val="24"/>
          <w:lang w:eastAsia="it-IT"/>
        </w:rPr>
        <w:t>o</w:t>
      </w:r>
      <w:r w:rsidRPr="00132B85">
        <w:rPr>
          <w:rFonts w:ascii="Times New Roman" w:hAnsi="Times New Roman" w:cs="Times New Roman"/>
          <w:sz w:val="24"/>
          <w:szCs w:val="24"/>
          <w:lang w:eastAsia="it-IT"/>
        </w:rPr>
        <w:t xml:space="preserve"> alla disponibilità di risorse finanziarie da parte dei Comuni</w:t>
      </w:r>
      <w:r w:rsidR="00AE6C91" w:rsidRPr="00132B85">
        <w:rPr>
          <w:rFonts w:ascii="Times New Roman" w:hAnsi="Times New Roman" w:cs="Times New Roman"/>
          <w:sz w:val="24"/>
          <w:szCs w:val="24"/>
          <w:lang w:eastAsia="it-IT"/>
        </w:rPr>
        <w:t xml:space="preserve">, risultandone la legittimità del mero inserimento dell’interessato </w:t>
      </w:r>
      <w:r w:rsidR="00BB6283" w:rsidRPr="00132B85">
        <w:rPr>
          <w:rFonts w:ascii="Times New Roman" w:hAnsi="Times New Roman" w:cs="Times New Roman"/>
          <w:sz w:val="24"/>
          <w:szCs w:val="24"/>
          <w:lang w:eastAsia="it-IT"/>
        </w:rPr>
        <w:t xml:space="preserve">in </w:t>
      </w:r>
      <w:r w:rsidR="00AE6C91" w:rsidRPr="00132B85">
        <w:rPr>
          <w:rFonts w:ascii="Times New Roman" w:hAnsi="Times New Roman" w:cs="Times New Roman"/>
          <w:sz w:val="24"/>
          <w:szCs w:val="24"/>
          <w:lang w:eastAsia="it-IT"/>
        </w:rPr>
        <w:t xml:space="preserve">una </w:t>
      </w:r>
      <w:r w:rsidR="00BB6283" w:rsidRPr="00132B85">
        <w:rPr>
          <w:rFonts w:ascii="Times New Roman" w:hAnsi="Times New Roman" w:cs="Times New Roman"/>
          <w:sz w:val="24"/>
          <w:szCs w:val="24"/>
          <w:lang w:eastAsia="it-IT"/>
        </w:rPr>
        <w:t xml:space="preserve">lista di attesa </w:t>
      </w:r>
      <w:r w:rsidR="00AE6C91" w:rsidRPr="00132B85">
        <w:rPr>
          <w:rFonts w:ascii="Times New Roman" w:hAnsi="Times New Roman" w:cs="Times New Roman"/>
          <w:sz w:val="24"/>
          <w:szCs w:val="24"/>
          <w:lang w:eastAsia="it-IT"/>
        </w:rPr>
        <w:t xml:space="preserve">fino al </w:t>
      </w:r>
      <w:r w:rsidR="00BB6283" w:rsidRPr="00132B85">
        <w:rPr>
          <w:rFonts w:ascii="Times New Roman" w:hAnsi="Times New Roman" w:cs="Times New Roman"/>
          <w:sz w:val="24"/>
          <w:szCs w:val="24"/>
          <w:lang w:eastAsia="it-IT"/>
        </w:rPr>
        <w:t xml:space="preserve">reperimento </w:t>
      </w:r>
      <w:r w:rsidR="00AE6C91" w:rsidRPr="00132B85">
        <w:rPr>
          <w:rFonts w:ascii="Times New Roman" w:hAnsi="Times New Roman" w:cs="Times New Roman"/>
          <w:sz w:val="24"/>
          <w:szCs w:val="24"/>
          <w:lang w:eastAsia="it-IT"/>
        </w:rPr>
        <w:t>di adeguate risorse finanziarie.</w:t>
      </w:r>
    </w:p>
    <w:p w14:paraId="4D659AC6" w14:textId="2DC0A53F" w:rsidR="00EC45BD" w:rsidRPr="00132B85" w:rsidRDefault="00AE6C91" w:rsidP="00E65B62">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Di contro altra giurisprudenza</w:t>
      </w:r>
      <w:r w:rsidRPr="00132B85">
        <w:rPr>
          <w:rStyle w:val="Rimandonotaapidipagina"/>
          <w:rFonts w:ascii="Times New Roman" w:hAnsi="Times New Roman" w:cs="Times New Roman"/>
          <w:sz w:val="24"/>
          <w:szCs w:val="24"/>
          <w:lang w:eastAsia="it-IT"/>
        </w:rPr>
        <w:footnoteReference w:id="56"/>
      </w:r>
      <w:r w:rsidRPr="00132B85">
        <w:rPr>
          <w:rFonts w:ascii="Times New Roman" w:hAnsi="Times New Roman" w:cs="Times New Roman"/>
          <w:sz w:val="24"/>
          <w:szCs w:val="24"/>
          <w:lang w:eastAsia="it-IT"/>
        </w:rPr>
        <w:t xml:space="preserve"> </w:t>
      </w:r>
      <w:r w:rsidR="00EC45BD" w:rsidRPr="00132B85">
        <w:rPr>
          <w:rFonts w:ascii="Times New Roman" w:hAnsi="Times New Roman" w:cs="Times New Roman"/>
          <w:sz w:val="24"/>
          <w:szCs w:val="24"/>
          <w:lang w:eastAsia="it-IT"/>
        </w:rPr>
        <w:t xml:space="preserve">ritenendo </w:t>
      </w:r>
      <w:r w:rsidR="00F07E77" w:rsidRPr="00132B85">
        <w:rPr>
          <w:rFonts w:ascii="Times New Roman" w:hAnsi="Times New Roman" w:cs="Times New Roman"/>
          <w:sz w:val="24"/>
          <w:szCs w:val="24"/>
          <w:lang w:eastAsia="it-IT"/>
        </w:rPr>
        <w:t>che l’inserimento dei disabili psichici presso</w:t>
      </w:r>
      <w:r w:rsidR="00EC45BD" w:rsidRPr="00132B85">
        <w:rPr>
          <w:rFonts w:ascii="Times New Roman" w:hAnsi="Times New Roman" w:cs="Times New Roman"/>
          <w:sz w:val="24"/>
          <w:szCs w:val="24"/>
          <w:lang w:eastAsia="it-IT"/>
        </w:rPr>
        <w:t xml:space="preserve"> le Comunità alloggio si collochi</w:t>
      </w:r>
      <w:r w:rsidR="00F07E77" w:rsidRPr="00132B85">
        <w:rPr>
          <w:rFonts w:ascii="Times New Roman" w:hAnsi="Times New Roman" w:cs="Times New Roman"/>
          <w:sz w:val="24"/>
          <w:szCs w:val="24"/>
          <w:lang w:eastAsia="it-IT"/>
        </w:rPr>
        <w:t xml:space="preserve"> nei livelli essenziali di assistenza (c.d. LEA) </w:t>
      </w:r>
      <w:r w:rsidR="00EC45BD" w:rsidRPr="00132B85">
        <w:rPr>
          <w:rFonts w:ascii="Times New Roman" w:hAnsi="Times New Roman" w:cs="Times New Roman"/>
          <w:sz w:val="24"/>
          <w:szCs w:val="24"/>
          <w:lang w:eastAsia="it-IT"/>
        </w:rPr>
        <w:t>ha tratto l’</w:t>
      </w:r>
      <w:r w:rsidR="00F07E77" w:rsidRPr="00132B85">
        <w:rPr>
          <w:rFonts w:ascii="Times New Roman" w:hAnsi="Times New Roman" w:cs="Times New Roman"/>
          <w:sz w:val="24"/>
          <w:szCs w:val="24"/>
          <w:lang w:eastAsia="it-IT"/>
        </w:rPr>
        <w:t xml:space="preserve">obbligo dei </w:t>
      </w:r>
      <w:r w:rsidR="00EC45BD" w:rsidRPr="00132B85">
        <w:rPr>
          <w:rFonts w:ascii="Times New Roman" w:hAnsi="Times New Roman" w:cs="Times New Roman"/>
          <w:sz w:val="24"/>
          <w:szCs w:val="24"/>
          <w:lang w:eastAsia="it-IT"/>
        </w:rPr>
        <w:t>Comuni di residenza di garantirne la relativa prestazione</w:t>
      </w:r>
      <w:r w:rsidR="00F07E77" w:rsidRPr="00132B85">
        <w:rPr>
          <w:rFonts w:ascii="Times New Roman" w:hAnsi="Times New Roman" w:cs="Times New Roman"/>
          <w:sz w:val="24"/>
          <w:szCs w:val="24"/>
          <w:lang w:eastAsia="it-IT"/>
        </w:rPr>
        <w:t>,</w:t>
      </w:r>
      <w:r w:rsidR="00EC45BD" w:rsidRPr="00132B85">
        <w:rPr>
          <w:rFonts w:ascii="Times New Roman" w:hAnsi="Times New Roman" w:cs="Times New Roman"/>
          <w:sz w:val="24"/>
          <w:szCs w:val="24"/>
          <w:lang w:eastAsia="it-IT"/>
        </w:rPr>
        <w:t xml:space="preserve"> </w:t>
      </w:r>
      <w:r w:rsidR="00E8673E">
        <w:rPr>
          <w:rFonts w:ascii="Times New Roman" w:hAnsi="Times New Roman" w:cs="Times New Roman"/>
          <w:sz w:val="24"/>
          <w:szCs w:val="24"/>
          <w:lang w:eastAsia="it-IT"/>
        </w:rPr>
        <w:t xml:space="preserve">sebbene nella fattispecie sottoposta al giudice emerga -quale peculiarità- </w:t>
      </w:r>
      <w:r w:rsidR="00536E0E" w:rsidRPr="00132B85">
        <w:rPr>
          <w:rFonts w:ascii="Times New Roman" w:hAnsi="Times New Roman" w:cs="Times New Roman"/>
          <w:sz w:val="24"/>
          <w:szCs w:val="24"/>
          <w:lang w:eastAsia="it-IT"/>
        </w:rPr>
        <w:t>la delicata linea di confine della</w:t>
      </w:r>
      <w:r w:rsidR="00EC45BD" w:rsidRPr="00132B85">
        <w:rPr>
          <w:rFonts w:ascii="Times New Roman" w:hAnsi="Times New Roman" w:cs="Times New Roman"/>
          <w:sz w:val="24"/>
          <w:szCs w:val="24"/>
          <w:lang w:eastAsia="it-IT"/>
        </w:rPr>
        <w:t xml:space="preserve"> </w:t>
      </w:r>
      <w:r w:rsidR="00F07E77" w:rsidRPr="00132B85">
        <w:rPr>
          <w:rFonts w:ascii="Times New Roman" w:hAnsi="Times New Roman" w:cs="Times New Roman"/>
          <w:sz w:val="24"/>
          <w:szCs w:val="24"/>
          <w:lang w:eastAsia="it-IT"/>
        </w:rPr>
        <w:t xml:space="preserve">sussistenza di esigenze terapeutiche indifferibili </w:t>
      </w:r>
      <w:r w:rsidR="00E8673E">
        <w:rPr>
          <w:rFonts w:ascii="Times New Roman" w:hAnsi="Times New Roman" w:cs="Times New Roman"/>
          <w:sz w:val="24"/>
          <w:szCs w:val="24"/>
          <w:lang w:eastAsia="it-IT"/>
        </w:rPr>
        <w:t xml:space="preserve">in ragione della </w:t>
      </w:r>
      <w:r w:rsidR="00EC45BD" w:rsidRPr="00132B85">
        <w:rPr>
          <w:rFonts w:ascii="Times New Roman" w:hAnsi="Times New Roman" w:cs="Times New Roman"/>
          <w:sz w:val="24"/>
          <w:szCs w:val="24"/>
          <w:lang w:eastAsia="it-IT"/>
        </w:rPr>
        <w:t xml:space="preserve">disabilità </w:t>
      </w:r>
      <w:r w:rsidR="00F07E77" w:rsidRPr="00132B85">
        <w:rPr>
          <w:rFonts w:ascii="Times New Roman" w:hAnsi="Times New Roman" w:cs="Times New Roman"/>
          <w:sz w:val="24"/>
          <w:szCs w:val="24"/>
          <w:lang w:eastAsia="it-IT"/>
        </w:rPr>
        <w:t>psichica grave</w:t>
      </w:r>
      <w:r w:rsidR="00536E0E" w:rsidRPr="00132B85">
        <w:rPr>
          <w:rFonts w:ascii="Times New Roman" w:hAnsi="Times New Roman" w:cs="Times New Roman"/>
          <w:sz w:val="24"/>
          <w:szCs w:val="24"/>
          <w:lang w:eastAsia="it-IT"/>
        </w:rPr>
        <w:t xml:space="preserve"> o </w:t>
      </w:r>
      <w:r w:rsidR="00E8673E">
        <w:rPr>
          <w:rFonts w:ascii="Times New Roman" w:hAnsi="Times New Roman" w:cs="Times New Roman"/>
          <w:sz w:val="24"/>
          <w:szCs w:val="24"/>
          <w:lang w:eastAsia="it-IT"/>
        </w:rPr>
        <w:t xml:space="preserve">della </w:t>
      </w:r>
      <w:r w:rsidR="00536E0E" w:rsidRPr="00132B85">
        <w:rPr>
          <w:rFonts w:ascii="Times New Roman" w:hAnsi="Times New Roman" w:cs="Times New Roman"/>
          <w:sz w:val="24"/>
          <w:szCs w:val="24"/>
          <w:lang w:eastAsia="it-IT"/>
        </w:rPr>
        <w:t>minore età dell’assistito</w:t>
      </w:r>
      <w:r w:rsidR="00536E0E" w:rsidRPr="00132B85">
        <w:rPr>
          <w:rStyle w:val="Rimandonotaapidipagina"/>
          <w:rFonts w:ascii="Times New Roman" w:hAnsi="Times New Roman" w:cs="Times New Roman"/>
          <w:sz w:val="24"/>
          <w:szCs w:val="24"/>
          <w:lang w:eastAsia="it-IT"/>
        </w:rPr>
        <w:footnoteReference w:id="57"/>
      </w:r>
      <w:r w:rsidR="00536E0E" w:rsidRPr="00132B85">
        <w:rPr>
          <w:rFonts w:ascii="Times New Roman" w:hAnsi="Times New Roman" w:cs="Times New Roman"/>
          <w:sz w:val="24"/>
          <w:szCs w:val="24"/>
          <w:lang w:eastAsia="it-IT"/>
        </w:rPr>
        <w:t>.</w:t>
      </w:r>
    </w:p>
    <w:p w14:paraId="55DED8E0" w14:textId="5F38DF5D" w:rsidR="00536E0E" w:rsidRPr="00AF7018" w:rsidRDefault="00E8673E" w:rsidP="00E65B62">
      <w:pPr>
        <w:jc w:val="both"/>
        <w:rPr>
          <w:rFonts w:ascii="Times New Roman" w:hAnsi="Times New Roman" w:cs="Times New Roman"/>
          <w:sz w:val="24"/>
          <w:szCs w:val="24"/>
        </w:rPr>
      </w:pPr>
      <w:r w:rsidRPr="00AF7018">
        <w:rPr>
          <w:rFonts w:ascii="Times New Roman" w:hAnsi="Times New Roman" w:cs="Times New Roman"/>
          <w:sz w:val="24"/>
          <w:szCs w:val="24"/>
        </w:rPr>
        <w:t xml:space="preserve">Si delinea pertanto </w:t>
      </w:r>
      <w:r w:rsidR="00536E0E" w:rsidRPr="00AF7018">
        <w:rPr>
          <w:rFonts w:ascii="Times New Roman" w:hAnsi="Times New Roman" w:cs="Times New Roman"/>
          <w:sz w:val="24"/>
          <w:szCs w:val="24"/>
        </w:rPr>
        <w:t xml:space="preserve">una distinzione di orientamento basata sul presupposto che le prestazioni sanitarie costituiscano LEA (considerati “nucleo essenziale del diritto” e come tale non subordinato alla disponibilità finanziaria), e prestazioni sociali </w:t>
      </w:r>
      <w:r w:rsidR="000837EE" w:rsidRPr="00AF7018">
        <w:rPr>
          <w:rFonts w:ascii="Times New Roman" w:hAnsi="Times New Roman" w:cs="Times New Roman"/>
          <w:sz w:val="24"/>
          <w:szCs w:val="24"/>
        </w:rPr>
        <w:t xml:space="preserve">per le quali non vi sarebbe </w:t>
      </w:r>
      <w:r w:rsidR="00536E0E" w:rsidRPr="00AF7018">
        <w:rPr>
          <w:rFonts w:ascii="Times New Roman" w:hAnsi="Times New Roman" w:cs="Times New Roman"/>
          <w:sz w:val="24"/>
          <w:szCs w:val="24"/>
        </w:rPr>
        <w:t>coincidenza tra nucleo essenziale e LEP per cui</w:t>
      </w:r>
      <w:r w:rsidR="000957AB" w:rsidRPr="00AF7018">
        <w:rPr>
          <w:rFonts w:ascii="Times New Roman" w:hAnsi="Times New Roman" w:cs="Times New Roman"/>
          <w:sz w:val="24"/>
          <w:szCs w:val="24"/>
        </w:rPr>
        <w:t>,</w:t>
      </w:r>
      <w:r w:rsidR="00536E0E" w:rsidRPr="00AF7018">
        <w:rPr>
          <w:rFonts w:ascii="Times New Roman" w:hAnsi="Times New Roman" w:cs="Times New Roman"/>
          <w:sz w:val="24"/>
          <w:szCs w:val="24"/>
        </w:rPr>
        <w:t xml:space="preserve"> laddove la prestazione </w:t>
      </w:r>
      <w:r w:rsidR="000957AB" w:rsidRPr="00AF7018">
        <w:rPr>
          <w:rFonts w:ascii="Times New Roman" w:hAnsi="Times New Roman" w:cs="Times New Roman"/>
          <w:sz w:val="24"/>
          <w:szCs w:val="24"/>
        </w:rPr>
        <w:t>venga ritenuta</w:t>
      </w:r>
      <w:r w:rsidR="000837EE" w:rsidRPr="00AF7018">
        <w:rPr>
          <w:rFonts w:ascii="Times New Roman" w:hAnsi="Times New Roman" w:cs="Times New Roman"/>
          <w:sz w:val="24"/>
          <w:szCs w:val="24"/>
        </w:rPr>
        <w:t xml:space="preserve"> in sede erme</w:t>
      </w:r>
      <w:r w:rsidRPr="00AF7018">
        <w:rPr>
          <w:rFonts w:ascii="Times New Roman" w:hAnsi="Times New Roman" w:cs="Times New Roman"/>
          <w:sz w:val="24"/>
          <w:szCs w:val="24"/>
        </w:rPr>
        <w:t>neu</w:t>
      </w:r>
      <w:r w:rsidR="000837EE" w:rsidRPr="00AF7018">
        <w:rPr>
          <w:rFonts w:ascii="Times New Roman" w:hAnsi="Times New Roman" w:cs="Times New Roman"/>
          <w:sz w:val="24"/>
          <w:szCs w:val="24"/>
        </w:rPr>
        <w:t xml:space="preserve">tica </w:t>
      </w:r>
      <w:r w:rsidR="000957AB" w:rsidRPr="00AF7018">
        <w:rPr>
          <w:rFonts w:ascii="Times New Roman" w:hAnsi="Times New Roman" w:cs="Times New Roman"/>
          <w:sz w:val="24"/>
          <w:szCs w:val="24"/>
        </w:rPr>
        <w:t xml:space="preserve">non integrante il </w:t>
      </w:r>
      <w:r w:rsidR="00536E0E" w:rsidRPr="00AF7018">
        <w:rPr>
          <w:rFonts w:ascii="Times New Roman" w:hAnsi="Times New Roman" w:cs="Times New Roman"/>
          <w:sz w:val="24"/>
          <w:szCs w:val="24"/>
        </w:rPr>
        <w:t>nucleo indefettibile</w:t>
      </w:r>
      <w:r w:rsidR="000957AB" w:rsidRPr="00AF7018">
        <w:rPr>
          <w:rFonts w:ascii="Times New Roman" w:hAnsi="Times New Roman" w:cs="Times New Roman"/>
          <w:sz w:val="24"/>
          <w:szCs w:val="24"/>
        </w:rPr>
        <w:t xml:space="preserve"> del diritto</w:t>
      </w:r>
      <w:r w:rsidR="000837EE" w:rsidRPr="00AF7018">
        <w:rPr>
          <w:rFonts w:ascii="Times New Roman" w:hAnsi="Times New Roman" w:cs="Times New Roman"/>
          <w:sz w:val="24"/>
          <w:szCs w:val="24"/>
        </w:rPr>
        <w:t>,</w:t>
      </w:r>
      <w:r w:rsidR="000957AB" w:rsidRPr="00AF7018">
        <w:rPr>
          <w:rFonts w:ascii="Times New Roman" w:hAnsi="Times New Roman" w:cs="Times New Roman"/>
          <w:sz w:val="24"/>
          <w:szCs w:val="24"/>
        </w:rPr>
        <w:t xml:space="preserve"> </w:t>
      </w:r>
      <w:r w:rsidR="00536E0E" w:rsidRPr="00AF7018">
        <w:rPr>
          <w:rFonts w:ascii="Times New Roman" w:hAnsi="Times New Roman" w:cs="Times New Roman"/>
          <w:sz w:val="24"/>
          <w:szCs w:val="24"/>
        </w:rPr>
        <w:t>riemerge il bilanciamento con la scarsità delle risorse, bilanciamento affidato alla stessa Amministrazione competente ad individuare la prestazione erogabile</w:t>
      </w:r>
      <w:r w:rsidR="000837EE" w:rsidRPr="00AF7018">
        <w:rPr>
          <w:rStyle w:val="Rimandonotaapidipagina"/>
          <w:rFonts w:ascii="Times New Roman" w:hAnsi="Times New Roman" w:cs="Times New Roman"/>
          <w:sz w:val="24"/>
          <w:szCs w:val="24"/>
        </w:rPr>
        <w:footnoteReference w:id="58"/>
      </w:r>
      <w:r w:rsidR="00536E0E" w:rsidRPr="00AF7018">
        <w:rPr>
          <w:rFonts w:ascii="Times New Roman" w:hAnsi="Times New Roman" w:cs="Times New Roman"/>
          <w:sz w:val="24"/>
          <w:szCs w:val="24"/>
        </w:rPr>
        <w:t>.</w:t>
      </w:r>
    </w:p>
    <w:p w14:paraId="07CD95C7" w14:textId="4BBA83E0" w:rsidR="00663E73" w:rsidRPr="00132B85" w:rsidRDefault="009B5B2D" w:rsidP="00E65B62">
      <w:pPr>
        <w:jc w:val="both"/>
        <w:rPr>
          <w:rFonts w:ascii="Times New Roman" w:hAnsi="Times New Roman" w:cs="Times New Roman"/>
          <w:sz w:val="24"/>
          <w:szCs w:val="24"/>
        </w:rPr>
      </w:pPr>
      <w:r w:rsidRPr="00132B85">
        <w:rPr>
          <w:rFonts w:ascii="Times New Roman" w:hAnsi="Times New Roman" w:cs="Times New Roman"/>
          <w:sz w:val="24"/>
          <w:szCs w:val="24"/>
          <w:lang w:eastAsia="it-IT"/>
        </w:rPr>
        <w:lastRenderedPageBreak/>
        <w:t>Molto interessante è verificare come viene definita ed accertata l’</w:t>
      </w:r>
      <w:r w:rsidR="00663E73" w:rsidRPr="00132B85">
        <w:rPr>
          <w:rFonts w:ascii="Times New Roman" w:hAnsi="Times New Roman" w:cs="Times New Roman"/>
          <w:sz w:val="24"/>
          <w:szCs w:val="24"/>
        </w:rPr>
        <w:t xml:space="preserve">incapienza finanziaria </w:t>
      </w:r>
      <w:r w:rsidRPr="00132B85">
        <w:rPr>
          <w:rFonts w:ascii="Times New Roman" w:hAnsi="Times New Roman" w:cs="Times New Roman"/>
          <w:sz w:val="24"/>
          <w:szCs w:val="24"/>
        </w:rPr>
        <w:t xml:space="preserve">nella giurisprudenza </w:t>
      </w:r>
      <w:r w:rsidR="008C0092">
        <w:rPr>
          <w:rFonts w:ascii="Times New Roman" w:hAnsi="Times New Roman" w:cs="Times New Roman"/>
          <w:sz w:val="24"/>
          <w:szCs w:val="24"/>
        </w:rPr>
        <w:t>amministrativa, p</w:t>
      </w:r>
      <w:r w:rsidRPr="00132B85">
        <w:rPr>
          <w:rFonts w:ascii="Times New Roman" w:hAnsi="Times New Roman" w:cs="Times New Roman"/>
          <w:sz w:val="24"/>
          <w:szCs w:val="24"/>
        </w:rPr>
        <w:t xml:space="preserve">oiché </w:t>
      </w:r>
      <w:r w:rsidR="00663E73" w:rsidRPr="00132B85">
        <w:rPr>
          <w:rFonts w:ascii="Times New Roman" w:hAnsi="Times New Roman" w:cs="Times New Roman"/>
          <w:sz w:val="24"/>
          <w:szCs w:val="24"/>
        </w:rPr>
        <w:t xml:space="preserve">talvolta </w:t>
      </w:r>
      <w:r w:rsidRPr="00132B85">
        <w:rPr>
          <w:rFonts w:ascii="Times New Roman" w:hAnsi="Times New Roman" w:cs="Times New Roman"/>
          <w:sz w:val="24"/>
          <w:szCs w:val="24"/>
        </w:rPr>
        <w:t xml:space="preserve">essa è semplicemente </w:t>
      </w:r>
      <w:r w:rsidR="00663E73" w:rsidRPr="00132B85">
        <w:rPr>
          <w:rFonts w:ascii="Times New Roman" w:hAnsi="Times New Roman" w:cs="Times New Roman"/>
          <w:sz w:val="24"/>
          <w:szCs w:val="24"/>
        </w:rPr>
        <w:t>riferita allo specifico capitolo di bilancio, altre volte invece alla capacità finanziaria generale dell’Ente e alla corretta programmazione finanziaria</w:t>
      </w:r>
      <w:r w:rsidR="000964B6" w:rsidRPr="00132B85">
        <w:rPr>
          <w:rFonts w:ascii="Times New Roman" w:hAnsi="Times New Roman" w:cs="Times New Roman"/>
          <w:sz w:val="24"/>
          <w:szCs w:val="24"/>
        </w:rPr>
        <w:t>.</w:t>
      </w:r>
    </w:p>
    <w:p w14:paraId="0FA35EF0" w14:textId="0460613B" w:rsidR="00740B87" w:rsidRPr="008C0092" w:rsidRDefault="000964B6" w:rsidP="008C0092">
      <w:pPr>
        <w:jc w:val="both"/>
        <w:rPr>
          <w:rFonts w:ascii="Times New Roman" w:hAnsi="Times New Roman" w:cs="Times New Roman"/>
          <w:sz w:val="24"/>
          <w:szCs w:val="24"/>
        </w:rPr>
      </w:pPr>
      <w:r w:rsidRPr="008C0092">
        <w:rPr>
          <w:rFonts w:ascii="Times New Roman" w:hAnsi="Times New Roman" w:cs="Times New Roman"/>
          <w:sz w:val="24"/>
          <w:szCs w:val="24"/>
        </w:rPr>
        <w:t xml:space="preserve">Così in alcune pronunce </w:t>
      </w:r>
      <w:r w:rsidRPr="00132B85">
        <w:rPr>
          <w:rStyle w:val="Rimandonotaapidipagina"/>
          <w:rFonts w:ascii="Times New Roman" w:hAnsi="Times New Roman" w:cs="Times New Roman"/>
          <w:sz w:val="24"/>
          <w:szCs w:val="24"/>
        </w:rPr>
        <w:footnoteReference w:id="59"/>
      </w:r>
      <w:r w:rsidRPr="008C0092">
        <w:rPr>
          <w:rFonts w:ascii="Times New Roman" w:hAnsi="Times New Roman" w:cs="Times New Roman"/>
          <w:sz w:val="24"/>
          <w:szCs w:val="24"/>
        </w:rPr>
        <w:t xml:space="preserve"> </w:t>
      </w:r>
      <w:r w:rsidR="00740B87" w:rsidRPr="008C0092">
        <w:rPr>
          <w:rFonts w:ascii="Times New Roman" w:hAnsi="Times New Roman" w:cs="Times New Roman"/>
          <w:sz w:val="24"/>
          <w:szCs w:val="24"/>
        </w:rPr>
        <w:t xml:space="preserve">il rinvio è alla </w:t>
      </w:r>
      <w:r w:rsidR="00740B87" w:rsidRPr="008C0092">
        <w:rPr>
          <w:rFonts w:ascii="Times New Roman" w:hAnsi="Times New Roman" w:cs="Times New Roman"/>
          <w:sz w:val="24"/>
          <w:szCs w:val="24"/>
          <w:lang w:eastAsia="it-IT"/>
        </w:rPr>
        <w:t>copertura finanziaria non attestata in considerazione della assenza di copertura sul relativo</w:t>
      </w:r>
      <w:r w:rsidR="00E8673E">
        <w:rPr>
          <w:rFonts w:ascii="Times New Roman" w:hAnsi="Times New Roman" w:cs="Times New Roman"/>
          <w:sz w:val="24"/>
          <w:szCs w:val="24"/>
          <w:lang w:eastAsia="it-IT"/>
        </w:rPr>
        <w:t xml:space="preserve"> capitolo di bilancio dell’Ente;</w:t>
      </w:r>
      <w:r w:rsidR="00740B87" w:rsidRPr="008C0092">
        <w:rPr>
          <w:rFonts w:ascii="Times New Roman" w:hAnsi="Times New Roman" w:cs="Times New Roman"/>
          <w:sz w:val="24"/>
          <w:szCs w:val="24"/>
          <w:lang w:eastAsia="it-IT"/>
        </w:rPr>
        <w:t xml:space="preserve"> in altre</w:t>
      </w:r>
      <w:r w:rsidR="00E8673E" w:rsidRPr="00132B85">
        <w:rPr>
          <w:rStyle w:val="Rimandonotaapidipagina"/>
          <w:rFonts w:ascii="Times New Roman" w:hAnsi="Times New Roman" w:cs="Times New Roman"/>
          <w:sz w:val="24"/>
          <w:szCs w:val="24"/>
          <w:lang w:eastAsia="it-IT"/>
        </w:rPr>
        <w:footnoteReference w:id="60"/>
      </w:r>
      <w:r w:rsidR="00E8673E">
        <w:rPr>
          <w:rFonts w:ascii="Times New Roman" w:hAnsi="Times New Roman" w:cs="Times New Roman"/>
          <w:sz w:val="24"/>
          <w:szCs w:val="24"/>
          <w:lang w:eastAsia="it-IT"/>
        </w:rPr>
        <w:t>,</w:t>
      </w:r>
      <w:r w:rsidR="00740B87" w:rsidRPr="008C0092">
        <w:rPr>
          <w:rFonts w:ascii="Times New Roman" w:hAnsi="Times New Roman" w:cs="Times New Roman"/>
          <w:sz w:val="24"/>
          <w:szCs w:val="24"/>
          <w:lang w:eastAsia="it-IT"/>
        </w:rPr>
        <w:t xml:space="preserve"> invece</w:t>
      </w:r>
      <w:r w:rsidR="00E8673E">
        <w:rPr>
          <w:rFonts w:ascii="Times New Roman" w:hAnsi="Times New Roman" w:cs="Times New Roman"/>
          <w:sz w:val="24"/>
          <w:szCs w:val="24"/>
          <w:lang w:eastAsia="it-IT"/>
        </w:rPr>
        <w:t>,</w:t>
      </w:r>
      <w:r w:rsidR="00740B87" w:rsidRPr="008C0092">
        <w:rPr>
          <w:rFonts w:ascii="Times New Roman" w:hAnsi="Times New Roman" w:cs="Times New Roman"/>
          <w:sz w:val="24"/>
          <w:szCs w:val="24"/>
          <w:lang w:eastAsia="it-IT"/>
        </w:rPr>
        <w:t xml:space="preserve"> il rinvio è alla programmazione finanziaria da venire</w:t>
      </w:r>
      <w:r w:rsidR="00E8673E">
        <w:rPr>
          <w:rFonts w:ascii="Times New Roman" w:hAnsi="Times New Roman" w:cs="Times New Roman"/>
          <w:sz w:val="24"/>
          <w:szCs w:val="24"/>
          <w:lang w:eastAsia="it-IT"/>
        </w:rPr>
        <w:t xml:space="preserve">; </w:t>
      </w:r>
      <w:r w:rsidR="00740B87" w:rsidRPr="008C0092">
        <w:rPr>
          <w:rFonts w:ascii="Times New Roman" w:hAnsi="Times New Roman" w:cs="Times New Roman"/>
          <w:sz w:val="24"/>
          <w:szCs w:val="24"/>
          <w:lang w:eastAsia="it-IT"/>
        </w:rPr>
        <w:t>in altre</w:t>
      </w:r>
      <w:r w:rsidR="00E8673E" w:rsidRPr="00132B85">
        <w:rPr>
          <w:rStyle w:val="Rimandonotaapidipagina"/>
          <w:rFonts w:ascii="Times New Roman" w:hAnsi="Times New Roman" w:cs="Times New Roman"/>
          <w:sz w:val="24"/>
          <w:szCs w:val="24"/>
          <w:lang w:eastAsia="it-IT"/>
        </w:rPr>
        <w:footnoteReference w:id="61"/>
      </w:r>
      <w:r w:rsidR="00740B87" w:rsidRPr="008C0092">
        <w:rPr>
          <w:rFonts w:ascii="Times New Roman" w:hAnsi="Times New Roman" w:cs="Times New Roman"/>
          <w:sz w:val="24"/>
          <w:szCs w:val="24"/>
          <w:lang w:eastAsia="it-IT"/>
        </w:rPr>
        <w:t xml:space="preserve"> infine si fornisce una lettura </w:t>
      </w:r>
      <w:r w:rsidR="00EA263B" w:rsidRPr="008C0092">
        <w:rPr>
          <w:rFonts w:ascii="Times New Roman" w:hAnsi="Times New Roman" w:cs="Times New Roman"/>
          <w:sz w:val="24"/>
          <w:szCs w:val="24"/>
        </w:rPr>
        <w:t xml:space="preserve">dell’inciso </w:t>
      </w:r>
      <w:r w:rsidR="00740B87" w:rsidRPr="008C0092">
        <w:rPr>
          <w:rFonts w:ascii="Times New Roman" w:hAnsi="Times New Roman" w:cs="Times New Roman"/>
          <w:sz w:val="24"/>
          <w:szCs w:val="24"/>
        </w:rPr>
        <w:t xml:space="preserve">normativo </w:t>
      </w:r>
      <w:r w:rsidR="00740B87" w:rsidRPr="008C0092">
        <w:rPr>
          <w:rFonts w:ascii="Times New Roman" w:hAnsi="Times New Roman" w:cs="Times New Roman"/>
          <w:sz w:val="24"/>
          <w:szCs w:val="24"/>
        </w:rPr>
        <w:lastRenderedPageBreak/>
        <w:t>“</w:t>
      </w:r>
      <w:r w:rsidR="00EA263B" w:rsidRPr="008C0092">
        <w:rPr>
          <w:rFonts w:ascii="Times New Roman" w:hAnsi="Times New Roman" w:cs="Times New Roman"/>
          <w:sz w:val="24"/>
          <w:szCs w:val="24"/>
        </w:rPr>
        <w:t>nei limiti delle proprie disponibilità”</w:t>
      </w:r>
      <w:r w:rsidR="00740B87" w:rsidRPr="008C0092">
        <w:rPr>
          <w:rFonts w:ascii="Times New Roman" w:hAnsi="Times New Roman" w:cs="Times New Roman"/>
          <w:sz w:val="24"/>
          <w:szCs w:val="24"/>
        </w:rPr>
        <w:t xml:space="preserve"> </w:t>
      </w:r>
      <w:r w:rsidR="0077625E" w:rsidRPr="008C0092">
        <w:rPr>
          <w:rFonts w:ascii="Times New Roman" w:hAnsi="Times New Roman" w:cs="Times New Roman"/>
          <w:sz w:val="24"/>
          <w:szCs w:val="24"/>
        </w:rPr>
        <w:t>costituzionalmente orientata</w:t>
      </w:r>
      <w:r w:rsidR="00C13EFB">
        <w:rPr>
          <w:rFonts w:ascii="Times New Roman" w:hAnsi="Times New Roman" w:cs="Times New Roman"/>
          <w:sz w:val="24"/>
          <w:szCs w:val="24"/>
        </w:rPr>
        <w:t>,</w:t>
      </w:r>
      <w:r w:rsidR="0077625E" w:rsidRPr="008C0092">
        <w:rPr>
          <w:rFonts w:ascii="Times New Roman" w:hAnsi="Times New Roman" w:cs="Times New Roman"/>
          <w:sz w:val="24"/>
          <w:szCs w:val="24"/>
        </w:rPr>
        <w:t xml:space="preserve"> richiamandosi la pro</w:t>
      </w:r>
      <w:r w:rsidR="00146E78" w:rsidRPr="008C0092">
        <w:rPr>
          <w:rFonts w:ascii="Times New Roman" w:hAnsi="Times New Roman" w:cs="Times New Roman"/>
          <w:sz w:val="24"/>
          <w:szCs w:val="24"/>
        </w:rPr>
        <w:t xml:space="preserve">nuncia della corte costituzionale n. 80 del 2010. </w:t>
      </w:r>
    </w:p>
    <w:p w14:paraId="2B32CB39" w14:textId="2A8C2CE7" w:rsidR="00EA263B" w:rsidRPr="008C0092" w:rsidRDefault="000C1F34" w:rsidP="008C0092">
      <w:pPr>
        <w:jc w:val="both"/>
        <w:rPr>
          <w:rFonts w:ascii="Times New Roman" w:hAnsi="Times New Roman" w:cs="Times New Roman"/>
          <w:sz w:val="24"/>
          <w:szCs w:val="24"/>
        </w:rPr>
      </w:pPr>
      <w:r w:rsidRPr="008C0092">
        <w:rPr>
          <w:rFonts w:ascii="Times New Roman" w:hAnsi="Times New Roman" w:cs="Times New Roman"/>
          <w:sz w:val="24"/>
          <w:szCs w:val="24"/>
        </w:rPr>
        <w:t>È</w:t>
      </w:r>
      <w:r w:rsidR="00740B87" w:rsidRPr="008C0092">
        <w:rPr>
          <w:rFonts w:ascii="Times New Roman" w:hAnsi="Times New Roman" w:cs="Times New Roman"/>
          <w:sz w:val="24"/>
          <w:szCs w:val="24"/>
        </w:rPr>
        <w:t xml:space="preserve"> stato infatti </w:t>
      </w:r>
      <w:r w:rsidR="00DA5FA3" w:rsidRPr="008C0092">
        <w:rPr>
          <w:rFonts w:ascii="Times New Roman" w:hAnsi="Times New Roman" w:cs="Times New Roman"/>
          <w:sz w:val="24"/>
          <w:szCs w:val="24"/>
        </w:rPr>
        <w:t>r</w:t>
      </w:r>
      <w:r w:rsidR="00740B87" w:rsidRPr="008C0092">
        <w:rPr>
          <w:rFonts w:ascii="Times New Roman" w:hAnsi="Times New Roman" w:cs="Times New Roman"/>
          <w:sz w:val="24"/>
          <w:szCs w:val="24"/>
        </w:rPr>
        <w:t>ilevato che l</w:t>
      </w:r>
      <w:r w:rsidR="00EA263B" w:rsidRPr="008C0092">
        <w:rPr>
          <w:rFonts w:ascii="Times New Roman" w:hAnsi="Times New Roman" w:cs="Times New Roman"/>
          <w:sz w:val="24"/>
          <w:szCs w:val="24"/>
        </w:rPr>
        <w:t xml:space="preserve">a regola </w:t>
      </w:r>
      <w:r w:rsidR="0077625E" w:rsidRPr="008C0092">
        <w:rPr>
          <w:rFonts w:ascii="Times New Roman" w:hAnsi="Times New Roman" w:cs="Times New Roman"/>
          <w:sz w:val="24"/>
          <w:szCs w:val="24"/>
        </w:rPr>
        <w:t xml:space="preserve">legislativa </w:t>
      </w:r>
      <w:r w:rsidR="00EA263B" w:rsidRPr="008C0092">
        <w:rPr>
          <w:rFonts w:ascii="Times New Roman" w:hAnsi="Times New Roman" w:cs="Times New Roman"/>
          <w:sz w:val="24"/>
          <w:szCs w:val="24"/>
        </w:rPr>
        <w:t>che impone l</w:t>
      </w:r>
      <w:r w:rsidR="00740B87" w:rsidRPr="008C0092">
        <w:rPr>
          <w:rFonts w:ascii="Times New Roman" w:hAnsi="Times New Roman" w:cs="Times New Roman"/>
          <w:sz w:val="24"/>
          <w:szCs w:val="24"/>
        </w:rPr>
        <w:t xml:space="preserve">a </w:t>
      </w:r>
      <w:r w:rsidR="00EA263B" w:rsidRPr="008C0092">
        <w:rPr>
          <w:rFonts w:ascii="Times New Roman" w:hAnsi="Times New Roman" w:cs="Times New Roman"/>
          <w:sz w:val="24"/>
          <w:szCs w:val="24"/>
        </w:rPr>
        <w:t xml:space="preserve">necessità del contemperamento con la disponibilità finanziaria del Comune </w:t>
      </w:r>
      <w:r w:rsidR="0077625E" w:rsidRPr="008C0092">
        <w:rPr>
          <w:rFonts w:ascii="Times New Roman" w:hAnsi="Times New Roman" w:cs="Times New Roman"/>
          <w:sz w:val="24"/>
          <w:szCs w:val="24"/>
        </w:rPr>
        <w:t xml:space="preserve">deve essere letta secondo una interpretazione costituzionalmente </w:t>
      </w:r>
      <w:r w:rsidR="00EA263B" w:rsidRPr="008C0092">
        <w:rPr>
          <w:rFonts w:ascii="Times New Roman" w:hAnsi="Times New Roman" w:cs="Times New Roman"/>
          <w:sz w:val="24"/>
          <w:szCs w:val="24"/>
        </w:rPr>
        <w:t>orientata alla luce dei principi affermati</w:t>
      </w:r>
      <w:r w:rsidR="0077625E" w:rsidRPr="008C0092">
        <w:rPr>
          <w:rFonts w:ascii="Times New Roman" w:hAnsi="Times New Roman" w:cs="Times New Roman"/>
          <w:sz w:val="24"/>
          <w:szCs w:val="24"/>
        </w:rPr>
        <w:t xml:space="preserve"> dalla stessa Corte costituzionale che più volte, come nella sentenza n. 80 del </w:t>
      </w:r>
      <w:r w:rsidR="00EA263B" w:rsidRPr="008C0092">
        <w:rPr>
          <w:rFonts w:ascii="Times New Roman" w:hAnsi="Times New Roman" w:cs="Times New Roman"/>
          <w:sz w:val="24"/>
          <w:szCs w:val="24"/>
        </w:rPr>
        <w:t>2010</w:t>
      </w:r>
      <w:r w:rsidR="0077625E" w:rsidRPr="008C0092">
        <w:rPr>
          <w:rFonts w:ascii="Times New Roman" w:hAnsi="Times New Roman" w:cs="Times New Roman"/>
          <w:sz w:val="24"/>
          <w:szCs w:val="24"/>
        </w:rPr>
        <w:t>, ha</w:t>
      </w:r>
      <w:r w:rsidR="00EA263B" w:rsidRPr="008C0092">
        <w:rPr>
          <w:rFonts w:ascii="Times New Roman" w:hAnsi="Times New Roman" w:cs="Times New Roman"/>
          <w:sz w:val="24"/>
          <w:szCs w:val="24"/>
        </w:rPr>
        <w:t xml:space="preserve"> riconosciuto l’autonomia finanziaria dei Comuni.</w:t>
      </w:r>
    </w:p>
    <w:p w14:paraId="2F484E31" w14:textId="2130155D" w:rsidR="00EA263B" w:rsidRPr="00AF7018" w:rsidRDefault="0077625E" w:rsidP="006924C4">
      <w:pPr>
        <w:jc w:val="both"/>
        <w:rPr>
          <w:rFonts w:ascii="Times New Roman" w:hAnsi="Times New Roman" w:cs="Times New Roman"/>
          <w:sz w:val="24"/>
          <w:szCs w:val="24"/>
        </w:rPr>
      </w:pPr>
      <w:r w:rsidRPr="006924C4">
        <w:rPr>
          <w:rFonts w:ascii="Times New Roman" w:hAnsi="Times New Roman" w:cs="Times New Roman"/>
          <w:sz w:val="24"/>
          <w:szCs w:val="24"/>
        </w:rPr>
        <w:t>Per</w:t>
      </w:r>
      <w:r w:rsidR="006924C4">
        <w:rPr>
          <w:rFonts w:ascii="Times New Roman" w:hAnsi="Times New Roman" w:cs="Times New Roman"/>
          <w:sz w:val="24"/>
          <w:szCs w:val="24"/>
        </w:rPr>
        <w:t xml:space="preserve">tanto </w:t>
      </w:r>
      <w:r w:rsidRPr="006924C4">
        <w:rPr>
          <w:rFonts w:ascii="Times New Roman" w:hAnsi="Times New Roman" w:cs="Times New Roman"/>
          <w:sz w:val="24"/>
          <w:szCs w:val="24"/>
        </w:rPr>
        <w:t xml:space="preserve">a fronte della necessità di garantire il “nucleo invalicabile di garanzia minime” del diritto sociale all’integrazione scolastica (si trattava di riconoscere l’assistente alla </w:t>
      </w:r>
      <w:r w:rsidRPr="00AF7018">
        <w:rPr>
          <w:rFonts w:ascii="Times New Roman" w:hAnsi="Times New Roman" w:cs="Times New Roman"/>
          <w:sz w:val="24"/>
          <w:szCs w:val="24"/>
        </w:rPr>
        <w:t>comunicazione a minori privi dell’udito onde assicurare loro il diritto all’istruzione) il Comune non era legittimato “</w:t>
      </w:r>
      <w:r w:rsidR="00EA263B" w:rsidRPr="00AF7018">
        <w:rPr>
          <w:rFonts w:ascii="Times New Roman" w:hAnsi="Times New Roman" w:cs="Times New Roman"/>
          <w:i/>
          <w:sz w:val="24"/>
          <w:szCs w:val="24"/>
        </w:rPr>
        <w:t>a sottrarsi a quello che è la sua unica competenza in materia: reperire i fondi necessari a garantire le esigenze di assistenza individuate dal PEI in modo adeguato a consentire agli alunni sordi “l’accesso” alla formazione, che, come si è già più sopra evidenziato, non può essere limitato, nel caso di specie, da vincoli di bilancio, in quanto, a fronte della disabilità uditiva, la scarsità delle risorse finanziarie non può rappresentare un’adeguata motivazione della riduzione dell’assistenza.</w:t>
      </w:r>
      <w:r w:rsidRPr="00AF7018">
        <w:rPr>
          <w:rFonts w:ascii="Times New Roman" w:hAnsi="Times New Roman" w:cs="Times New Roman"/>
          <w:i/>
          <w:sz w:val="24"/>
          <w:szCs w:val="24"/>
        </w:rPr>
        <w:t>”</w:t>
      </w:r>
    </w:p>
    <w:p w14:paraId="08608C68" w14:textId="77777777" w:rsidR="006924C4" w:rsidRDefault="003C3D0B" w:rsidP="006924C4">
      <w:pPr>
        <w:jc w:val="both"/>
        <w:rPr>
          <w:rFonts w:ascii="Times New Roman" w:hAnsi="Times New Roman" w:cs="Times New Roman"/>
          <w:sz w:val="24"/>
          <w:szCs w:val="24"/>
        </w:rPr>
      </w:pPr>
      <w:r w:rsidRPr="00AF7018">
        <w:rPr>
          <w:rFonts w:ascii="Times New Roman" w:hAnsi="Times New Roman" w:cs="Times New Roman"/>
          <w:sz w:val="24"/>
          <w:szCs w:val="24"/>
        </w:rPr>
        <w:t>Tali esigenze inevitabilmente limitavano la pur esistente (e ribadita) discrezionalità del</w:t>
      </w:r>
      <w:r w:rsidRPr="006924C4">
        <w:rPr>
          <w:rFonts w:ascii="Times New Roman" w:hAnsi="Times New Roman" w:cs="Times New Roman"/>
          <w:sz w:val="24"/>
          <w:szCs w:val="24"/>
        </w:rPr>
        <w:t xml:space="preserve"> Comune nella scelta su come allocare le risorse a sua disposizione (così Consiglio di Stato VII n° 5094 del 12 giugno 2025).</w:t>
      </w:r>
    </w:p>
    <w:p w14:paraId="73A134C0" w14:textId="4DBBDB4C" w:rsidR="003C3D0B" w:rsidRPr="00132B85" w:rsidRDefault="00DA5FA3" w:rsidP="006924C4">
      <w:pPr>
        <w:jc w:val="both"/>
        <w:rPr>
          <w:rFonts w:ascii="Times New Roman" w:hAnsi="Times New Roman" w:cs="Times New Roman"/>
          <w:sz w:val="24"/>
          <w:szCs w:val="24"/>
        </w:rPr>
      </w:pPr>
      <w:r w:rsidRPr="00132B85">
        <w:rPr>
          <w:rFonts w:ascii="Times New Roman" w:hAnsi="Times New Roman" w:cs="Times New Roman"/>
          <w:sz w:val="24"/>
          <w:szCs w:val="24"/>
        </w:rPr>
        <w:t>S</w:t>
      </w:r>
      <w:r w:rsidR="00C13EFB">
        <w:rPr>
          <w:rFonts w:ascii="Times New Roman" w:hAnsi="Times New Roman" w:cs="Times New Roman"/>
          <w:sz w:val="24"/>
          <w:szCs w:val="24"/>
        </w:rPr>
        <w:t xml:space="preserve">embra trattarsi </w:t>
      </w:r>
      <w:r w:rsidRPr="00132B85">
        <w:rPr>
          <w:rFonts w:ascii="Times New Roman" w:hAnsi="Times New Roman" w:cs="Times New Roman"/>
          <w:sz w:val="24"/>
          <w:szCs w:val="24"/>
        </w:rPr>
        <w:t xml:space="preserve">di una lettura più conforme al dettato costituzionale, da cui emerge </w:t>
      </w:r>
      <w:r w:rsidR="00146E78" w:rsidRPr="00132B85">
        <w:rPr>
          <w:rFonts w:ascii="Times New Roman" w:hAnsi="Times New Roman" w:cs="Times New Roman"/>
          <w:sz w:val="24"/>
          <w:szCs w:val="24"/>
        </w:rPr>
        <w:t xml:space="preserve">una limitazione della riserva di amministrazione in materia di programmazione delle risorse finanziarie, sulla scia di quanto affermato </w:t>
      </w:r>
      <w:r w:rsidR="003C3D0B" w:rsidRPr="00132B85">
        <w:rPr>
          <w:rFonts w:ascii="Times New Roman" w:hAnsi="Times New Roman" w:cs="Times New Roman"/>
          <w:sz w:val="24"/>
          <w:szCs w:val="24"/>
        </w:rPr>
        <w:t>con la sentenza n.</w:t>
      </w:r>
      <w:r w:rsidR="00F421ED">
        <w:rPr>
          <w:rFonts w:ascii="Times New Roman" w:hAnsi="Times New Roman" w:cs="Times New Roman"/>
          <w:sz w:val="24"/>
          <w:szCs w:val="24"/>
        </w:rPr>
        <w:t xml:space="preserve"> </w:t>
      </w:r>
      <w:r w:rsidR="003C3D0B" w:rsidRPr="00132B85">
        <w:rPr>
          <w:rFonts w:ascii="Times New Roman" w:hAnsi="Times New Roman" w:cs="Times New Roman"/>
          <w:sz w:val="24"/>
          <w:szCs w:val="24"/>
        </w:rPr>
        <w:t xml:space="preserve">80 del 2010 la Corte Costituzionale </w:t>
      </w:r>
      <w:r w:rsidR="00C13EFB">
        <w:rPr>
          <w:rFonts w:ascii="Times New Roman" w:hAnsi="Times New Roman" w:cs="Times New Roman"/>
          <w:sz w:val="24"/>
          <w:szCs w:val="24"/>
        </w:rPr>
        <w:t xml:space="preserve">con cui si è </w:t>
      </w:r>
      <w:r w:rsidR="003C3D0B" w:rsidRPr="00132B85">
        <w:rPr>
          <w:rFonts w:ascii="Times New Roman" w:hAnsi="Times New Roman" w:cs="Times New Roman"/>
          <w:sz w:val="24"/>
          <w:szCs w:val="24"/>
        </w:rPr>
        <w:t>chiarito che l’autonomia finanziaria dei comuni giammai può giustificare una compressione dei diritti fondamentali e che l’assistenza scolastica e i servizi correlati a favore gli alunni disabili, devono essere garantiti; che i limiti di spesa non possono pregiudicare i diritti garantiti dalla legge, e tanto meno l’autonomia finanziaria degli enti locali può derogare, o comunque in altro modo comprimere, il diritto fondamentale all’inclusione ed al sostegno scolastico.</w:t>
      </w:r>
    </w:p>
    <w:p w14:paraId="6CE13E10" w14:textId="0CAA4745" w:rsidR="00146E78" w:rsidRPr="006924C4" w:rsidRDefault="00EA377C"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Il nucleo essenziale dei diritti fondamentali diviene così misura della discrezionalità dell’Amministrazione </w:t>
      </w:r>
      <w:r w:rsidR="00DA5FA3" w:rsidRPr="006924C4">
        <w:rPr>
          <w:rFonts w:ascii="Times New Roman" w:hAnsi="Times New Roman" w:cs="Times New Roman"/>
          <w:sz w:val="24"/>
          <w:szCs w:val="24"/>
        </w:rPr>
        <w:t xml:space="preserve">anche </w:t>
      </w:r>
      <w:r w:rsidRPr="006924C4">
        <w:rPr>
          <w:rFonts w:ascii="Times New Roman" w:hAnsi="Times New Roman" w:cs="Times New Roman"/>
          <w:sz w:val="24"/>
          <w:szCs w:val="24"/>
        </w:rPr>
        <w:t>nella programmazione delle risorse finanziarie.</w:t>
      </w:r>
    </w:p>
    <w:p w14:paraId="6319687A" w14:textId="42650A7B" w:rsidR="006924C4" w:rsidRDefault="00EA377C"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Sono i diritti fondamentali della persona a costituire il parametro cui va </w:t>
      </w:r>
      <w:r w:rsidR="003C3D0B" w:rsidRPr="006924C4">
        <w:rPr>
          <w:rFonts w:ascii="Times New Roman" w:hAnsi="Times New Roman" w:cs="Times New Roman"/>
          <w:sz w:val="24"/>
          <w:szCs w:val="24"/>
        </w:rPr>
        <w:t xml:space="preserve">conformata </w:t>
      </w:r>
      <w:r w:rsidR="00DA5FA3" w:rsidRPr="006924C4">
        <w:rPr>
          <w:rFonts w:ascii="Times New Roman" w:hAnsi="Times New Roman" w:cs="Times New Roman"/>
          <w:sz w:val="24"/>
          <w:szCs w:val="24"/>
        </w:rPr>
        <w:t>l’attività di programmazione e allocazione delle risorse finanziarie disponibili e non il contrario.</w:t>
      </w:r>
    </w:p>
    <w:p w14:paraId="6D00ED62" w14:textId="45EC426E" w:rsidR="003C3D0B" w:rsidRPr="006924C4" w:rsidRDefault="00DA5FA3" w:rsidP="006924C4">
      <w:pPr>
        <w:jc w:val="both"/>
        <w:rPr>
          <w:rFonts w:ascii="Times New Roman" w:hAnsi="Times New Roman" w:cs="Times New Roman"/>
          <w:sz w:val="24"/>
          <w:szCs w:val="24"/>
        </w:rPr>
      </w:pPr>
      <w:r w:rsidRPr="006924C4">
        <w:rPr>
          <w:rFonts w:ascii="Times New Roman" w:hAnsi="Times New Roman" w:cs="Times New Roman"/>
          <w:sz w:val="24"/>
          <w:szCs w:val="24"/>
        </w:rPr>
        <w:t>Nel reperimento delle risorse necessarie esiste</w:t>
      </w:r>
      <w:r w:rsidR="00C13EFB">
        <w:rPr>
          <w:rFonts w:ascii="Times New Roman" w:hAnsi="Times New Roman" w:cs="Times New Roman"/>
          <w:sz w:val="24"/>
          <w:szCs w:val="24"/>
        </w:rPr>
        <w:t xml:space="preserve"> pertanto</w:t>
      </w:r>
      <w:r w:rsidRPr="006924C4">
        <w:rPr>
          <w:rFonts w:ascii="Times New Roman" w:hAnsi="Times New Roman" w:cs="Times New Roman"/>
          <w:sz w:val="24"/>
          <w:szCs w:val="24"/>
        </w:rPr>
        <w:t xml:space="preserve"> un dovere dell’Amministrazione di attivarsi affinch</w:t>
      </w:r>
      <w:r w:rsidR="00CF1271" w:rsidRPr="006924C4">
        <w:rPr>
          <w:rFonts w:ascii="Times New Roman" w:hAnsi="Times New Roman" w:cs="Times New Roman"/>
          <w:sz w:val="24"/>
          <w:szCs w:val="24"/>
        </w:rPr>
        <w:t>é</w:t>
      </w:r>
      <w:r w:rsidRPr="006924C4">
        <w:rPr>
          <w:rFonts w:ascii="Times New Roman" w:hAnsi="Times New Roman" w:cs="Times New Roman"/>
          <w:sz w:val="24"/>
          <w:szCs w:val="24"/>
        </w:rPr>
        <w:t xml:space="preserve"> tutti i canali di finanziamento siano attinti</w:t>
      </w:r>
      <w:r w:rsidRPr="006924C4">
        <w:rPr>
          <w:rStyle w:val="Rimandonotaapidipagina"/>
          <w:rFonts w:ascii="Times New Roman" w:hAnsi="Times New Roman" w:cs="Times New Roman"/>
          <w:sz w:val="24"/>
          <w:szCs w:val="24"/>
        </w:rPr>
        <w:footnoteReference w:id="62"/>
      </w:r>
      <w:r w:rsidRPr="006924C4">
        <w:rPr>
          <w:rFonts w:ascii="Times New Roman" w:hAnsi="Times New Roman" w:cs="Times New Roman"/>
          <w:sz w:val="24"/>
          <w:szCs w:val="24"/>
        </w:rPr>
        <w:t>, sollecitando anche gli interventi statali a scopo perequativo e lo stanziamento di risorse aggiuntive</w:t>
      </w:r>
      <w:r w:rsidR="00AD3D9F" w:rsidRPr="006924C4">
        <w:rPr>
          <w:rStyle w:val="Rimandonotaapidipagina"/>
          <w:rFonts w:ascii="Times New Roman" w:hAnsi="Times New Roman" w:cs="Times New Roman"/>
          <w:sz w:val="24"/>
          <w:szCs w:val="24"/>
        </w:rPr>
        <w:footnoteReference w:id="63"/>
      </w:r>
      <w:r w:rsidRPr="006924C4">
        <w:rPr>
          <w:rFonts w:ascii="Times New Roman" w:hAnsi="Times New Roman" w:cs="Times New Roman"/>
          <w:sz w:val="24"/>
          <w:szCs w:val="24"/>
        </w:rPr>
        <w:t>.</w:t>
      </w:r>
    </w:p>
    <w:p w14:paraId="3A61ACDB" w14:textId="77777777" w:rsidR="007155FB" w:rsidRPr="006924C4" w:rsidRDefault="00CF1271" w:rsidP="006924C4">
      <w:pPr>
        <w:jc w:val="both"/>
        <w:rPr>
          <w:rFonts w:ascii="Times New Roman" w:hAnsi="Times New Roman" w:cs="Times New Roman"/>
          <w:sz w:val="24"/>
          <w:szCs w:val="24"/>
        </w:rPr>
      </w:pPr>
      <w:r w:rsidRPr="006924C4">
        <w:rPr>
          <w:rFonts w:ascii="Times New Roman" w:hAnsi="Times New Roman" w:cs="Times New Roman"/>
          <w:sz w:val="24"/>
          <w:szCs w:val="24"/>
        </w:rPr>
        <w:lastRenderedPageBreak/>
        <w:t>La reale questione diviene allora quella della giusta allocazione delle risorse pubbliche, che, per quanto giocoforza limitate, debbono pur sempre essere indirizzate a dare attuazione al disegno costituzionale</w:t>
      </w:r>
      <w:r w:rsidR="007155FB" w:rsidRPr="006924C4">
        <w:rPr>
          <w:rFonts w:ascii="Times New Roman" w:hAnsi="Times New Roman" w:cs="Times New Roman"/>
          <w:sz w:val="24"/>
          <w:szCs w:val="24"/>
        </w:rPr>
        <w:t xml:space="preserve"> e dunque alla centralità dei diritti fondamentali della persona.</w:t>
      </w:r>
    </w:p>
    <w:p w14:paraId="10D2D6E3" w14:textId="2A38FAAA" w:rsidR="007155FB" w:rsidRPr="006924C4" w:rsidRDefault="007155FB" w:rsidP="006924C4">
      <w:pPr>
        <w:jc w:val="both"/>
        <w:rPr>
          <w:rFonts w:ascii="Times New Roman" w:hAnsi="Times New Roman" w:cs="Times New Roman"/>
          <w:sz w:val="24"/>
          <w:szCs w:val="24"/>
        </w:rPr>
      </w:pPr>
      <w:r w:rsidRPr="006924C4">
        <w:rPr>
          <w:rFonts w:ascii="Times New Roman" w:hAnsi="Times New Roman" w:cs="Times New Roman"/>
          <w:sz w:val="24"/>
          <w:szCs w:val="24"/>
        </w:rPr>
        <w:t xml:space="preserve">Così </w:t>
      </w:r>
      <w:r w:rsidR="00C13EFB">
        <w:rPr>
          <w:rFonts w:ascii="Times New Roman" w:hAnsi="Times New Roman" w:cs="Times New Roman"/>
          <w:sz w:val="24"/>
          <w:szCs w:val="24"/>
        </w:rPr>
        <w:t>i</w:t>
      </w:r>
      <w:r w:rsidRPr="006924C4">
        <w:rPr>
          <w:rFonts w:ascii="Times New Roman" w:hAnsi="Times New Roman" w:cs="Times New Roman"/>
          <w:sz w:val="24"/>
          <w:szCs w:val="24"/>
        </w:rPr>
        <w:t>l giudizio di legittimità costituzionale sulle leggi, nazionali e regionali, di bilancio, co</w:t>
      </w:r>
      <w:r w:rsidR="00C13EFB">
        <w:rPr>
          <w:rFonts w:ascii="Times New Roman" w:hAnsi="Times New Roman" w:cs="Times New Roman"/>
          <w:sz w:val="24"/>
          <w:szCs w:val="24"/>
        </w:rPr>
        <w:t>incide con</w:t>
      </w:r>
      <w:r w:rsidRPr="006924C4">
        <w:rPr>
          <w:rFonts w:ascii="Times New Roman" w:hAnsi="Times New Roman" w:cs="Times New Roman"/>
          <w:sz w:val="24"/>
          <w:szCs w:val="24"/>
        </w:rPr>
        <w:t xml:space="preserve"> un giudizio di legittimità amministrativa delle scelte di programmazione finanziaria e allocazione delle risorse effettuate dagli enti locali o dalle Amministrazioni ministeriali e regionali, </w:t>
      </w:r>
      <w:r w:rsidR="00C13EFB">
        <w:rPr>
          <w:rFonts w:ascii="Times New Roman" w:hAnsi="Times New Roman" w:cs="Times New Roman"/>
          <w:sz w:val="24"/>
          <w:szCs w:val="24"/>
        </w:rPr>
        <w:t xml:space="preserve">allorquando </w:t>
      </w:r>
      <w:r w:rsidRPr="006924C4">
        <w:rPr>
          <w:rFonts w:ascii="Times New Roman" w:hAnsi="Times New Roman" w:cs="Times New Roman"/>
          <w:sz w:val="24"/>
          <w:szCs w:val="24"/>
        </w:rPr>
        <w:t>queste finiscano irragionevolmente per compromettere l’effettiva realizzazione di diritti fondamentali.</w:t>
      </w:r>
    </w:p>
    <w:p w14:paraId="5C45A9A1" w14:textId="4089DA3B" w:rsidR="007C5EBE" w:rsidRPr="00EA64CC" w:rsidRDefault="00C13EFB" w:rsidP="006924C4">
      <w:pPr>
        <w:jc w:val="both"/>
        <w:rPr>
          <w:rFonts w:ascii="Times New Roman" w:hAnsi="Times New Roman" w:cs="Times New Roman"/>
          <w:sz w:val="24"/>
          <w:szCs w:val="24"/>
          <w:lang w:eastAsia="it-IT"/>
        </w:rPr>
      </w:pPr>
      <w:r>
        <w:rPr>
          <w:rFonts w:ascii="Times New Roman" w:hAnsi="Times New Roman" w:cs="Times New Roman"/>
          <w:sz w:val="24"/>
          <w:szCs w:val="24"/>
        </w:rPr>
        <w:t xml:space="preserve">All’interno di tale solco interpretativo si pone quella </w:t>
      </w:r>
      <w:r w:rsidR="007155FB" w:rsidRPr="006924C4">
        <w:rPr>
          <w:rFonts w:ascii="Times New Roman" w:hAnsi="Times New Roman" w:cs="Times New Roman"/>
          <w:sz w:val="24"/>
          <w:szCs w:val="24"/>
        </w:rPr>
        <w:t>giurisprudenza</w:t>
      </w:r>
      <w:r w:rsidR="007155FB" w:rsidRPr="00132B85">
        <w:rPr>
          <w:rStyle w:val="Rimandonotaapidipagina"/>
          <w:rFonts w:ascii="Times New Roman" w:hAnsi="Times New Roman" w:cs="Times New Roman"/>
          <w:sz w:val="24"/>
          <w:szCs w:val="24"/>
        </w:rPr>
        <w:footnoteReference w:id="64"/>
      </w:r>
      <w:r w:rsidR="007155FB" w:rsidRPr="006924C4">
        <w:rPr>
          <w:rFonts w:ascii="Times New Roman" w:hAnsi="Times New Roman" w:cs="Times New Roman"/>
          <w:sz w:val="24"/>
          <w:szCs w:val="24"/>
        </w:rPr>
        <w:t xml:space="preserve"> </w:t>
      </w:r>
      <w:r>
        <w:rPr>
          <w:rFonts w:ascii="Times New Roman" w:hAnsi="Times New Roman" w:cs="Times New Roman"/>
          <w:sz w:val="24"/>
          <w:szCs w:val="24"/>
        </w:rPr>
        <w:t xml:space="preserve">secondo cui </w:t>
      </w:r>
      <w:r w:rsidR="007C5EBE" w:rsidRPr="006924C4">
        <w:rPr>
          <w:rFonts w:ascii="Times New Roman" w:hAnsi="Times New Roman" w:cs="Times New Roman"/>
          <w:sz w:val="24"/>
          <w:szCs w:val="24"/>
          <w:lang w:eastAsia="it-IT"/>
        </w:rPr>
        <w:t xml:space="preserve">la </w:t>
      </w:r>
      <w:r w:rsidR="007155FB" w:rsidRPr="006924C4">
        <w:rPr>
          <w:rFonts w:ascii="Times New Roman" w:hAnsi="Times New Roman" w:cs="Times New Roman"/>
          <w:sz w:val="24"/>
          <w:szCs w:val="24"/>
          <w:lang w:eastAsia="it-IT"/>
        </w:rPr>
        <w:t>possibilità per il Comune di addurre una scarsa disponibilità di risorse per sottrarsi in tutto o in parte all’obbligo di erogare le prestazioni socio-assistenziali</w:t>
      </w:r>
      <w:r w:rsidR="007C5EBE" w:rsidRPr="006924C4">
        <w:rPr>
          <w:rFonts w:ascii="Times New Roman" w:hAnsi="Times New Roman" w:cs="Times New Roman"/>
          <w:sz w:val="24"/>
          <w:szCs w:val="24"/>
          <w:lang w:eastAsia="it-IT"/>
        </w:rPr>
        <w:t xml:space="preserve"> non può </w:t>
      </w:r>
      <w:r>
        <w:rPr>
          <w:rFonts w:ascii="Times New Roman" w:hAnsi="Times New Roman" w:cs="Times New Roman"/>
          <w:sz w:val="24"/>
          <w:szCs w:val="24"/>
          <w:lang w:eastAsia="it-IT"/>
        </w:rPr>
        <w:t xml:space="preserve">avvalersi </w:t>
      </w:r>
      <w:r w:rsidR="007C5EBE" w:rsidRPr="006924C4">
        <w:rPr>
          <w:rFonts w:ascii="Times New Roman" w:hAnsi="Times New Roman" w:cs="Times New Roman"/>
          <w:sz w:val="24"/>
          <w:szCs w:val="24"/>
          <w:lang w:eastAsia="it-IT"/>
        </w:rPr>
        <w:t xml:space="preserve">di </w:t>
      </w:r>
      <w:r w:rsidR="007C5EBE" w:rsidRPr="00EA64CC">
        <w:rPr>
          <w:rFonts w:ascii="Times New Roman" w:hAnsi="Times New Roman" w:cs="Times New Roman"/>
          <w:sz w:val="24"/>
          <w:szCs w:val="24"/>
          <w:lang w:eastAsia="it-IT"/>
        </w:rPr>
        <w:t xml:space="preserve">un </w:t>
      </w:r>
      <w:r w:rsidR="007155FB" w:rsidRPr="00EA64CC">
        <w:rPr>
          <w:rFonts w:ascii="Times New Roman" w:hAnsi="Times New Roman" w:cs="Times New Roman"/>
          <w:sz w:val="24"/>
          <w:szCs w:val="24"/>
          <w:lang w:eastAsia="it-IT"/>
        </w:rPr>
        <w:t>preteso divieto di disporre stanziamenti di bil</w:t>
      </w:r>
      <w:r w:rsidR="007C5EBE" w:rsidRPr="00EA64CC">
        <w:rPr>
          <w:rFonts w:ascii="Times New Roman" w:hAnsi="Times New Roman" w:cs="Times New Roman"/>
          <w:sz w:val="24"/>
          <w:szCs w:val="24"/>
          <w:lang w:eastAsia="it-IT"/>
        </w:rPr>
        <w:t xml:space="preserve">ancio </w:t>
      </w:r>
      <w:r w:rsidR="007155FB" w:rsidRPr="00EA64CC">
        <w:rPr>
          <w:rFonts w:ascii="Times New Roman" w:hAnsi="Times New Roman" w:cs="Times New Roman"/>
          <w:i/>
          <w:iCs/>
          <w:sz w:val="24"/>
          <w:szCs w:val="24"/>
          <w:lang w:eastAsia="it-IT"/>
        </w:rPr>
        <w:t>ad hoc</w:t>
      </w:r>
      <w:r w:rsidR="007155FB" w:rsidRPr="00EA64CC">
        <w:rPr>
          <w:rFonts w:ascii="Times New Roman" w:hAnsi="Times New Roman" w:cs="Times New Roman"/>
          <w:sz w:val="24"/>
          <w:szCs w:val="24"/>
          <w:lang w:eastAsia="it-IT"/>
        </w:rPr>
        <w:t xml:space="preserve">, ma </w:t>
      </w:r>
      <w:r w:rsidR="007C5EBE" w:rsidRPr="00EA64CC">
        <w:rPr>
          <w:rFonts w:ascii="Times New Roman" w:hAnsi="Times New Roman" w:cs="Times New Roman"/>
          <w:sz w:val="24"/>
          <w:szCs w:val="24"/>
          <w:lang w:eastAsia="it-IT"/>
        </w:rPr>
        <w:t xml:space="preserve">occorre </w:t>
      </w:r>
      <w:r w:rsidR="007155FB" w:rsidRPr="00EA64CC">
        <w:rPr>
          <w:rFonts w:ascii="Times New Roman" w:hAnsi="Times New Roman" w:cs="Times New Roman"/>
          <w:sz w:val="24"/>
          <w:szCs w:val="24"/>
          <w:lang w:eastAsia="it-IT"/>
        </w:rPr>
        <w:t xml:space="preserve">dimostrare </w:t>
      </w:r>
      <w:r w:rsidR="007C5EBE" w:rsidRPr="00EA64CC">
        <w:rPr>
          <w:rFonts w:ascii="Times New Roman" w:hAnsi="Times New Roman" w:cs="Times New Roman"/>
          <w:sz w:val="24"/>
          <w:szCs w:val="24"/>
          <w:lang w:eastAsia="it-IT"/>
        </w:rPr>
        <w:t xml:space="preserve">–con onere a carico dello stesso Comune- </w:t>
      </w:r>
      <w:r w:rsidR="007155FB" w:rsidRPr="00EA64CC">
        <w:rPr>
          <w:rFonts w:ascii="Times New Roman" w:hAnsi="Times New Roman" w:cs="Times New Roman"/>
          <w:sz w:val="24"/>
          <w:szCs w:val="24"/>
          <w:lang w:eastAsia="it-IT"/>
        </w:rPr>
        <w:t>specificamente di non disporre in assoluto di risorse che p</w:t>
      </w:r>
      <w:r w:rsidR="007C5EBE" w:rsidRPr="00EA64CC">
        <w:rPr>
          <w:rFonts w:ascii="Times New Roman" w:hAnsi="Times New Roman" w:cs="Times New Roman"/>
          <w:sz w:val="24"/>
          <w:szCs w:val="24"/>
          <w:lang w:eastAsia="it-IT"/>
        </w:rPr>
        <w:t xml:space="preserve">ossano </w:t>
      </w:r>
      <w:r w:rsidR="007155FB" w:rsidRPr="00EA64CC">
        <w:rPr>
          <w:rFonts w:ascii="Times New Roman" w:hAnsi="Times New Roman" w:cs="Times New Roman"/>
          <w:sz w:val="24"/>
          <w:szCs w:val="24"/>
          <w:lang w:eastAsia="it-IT"/>
        </w:rPr>
        <w:t xml:space="preserve">essere “appostate” per tale finalità. </w:t>
      </w:r>
    </w:p>
    <w:p w14:paraId="1D56E983" w14:textId="68E6D052" w:rsidR="007C5EBE" w:rsidRPr="006924C4" w:rsidRDefault="007C5EBE" w:rsidP="006924C4">
      <w:pPr>
        <w:jc w:val="both"/>
        <w:rPr>
          <w:rFonts w:ascii="Times New Roman" w:hAnsi="Times New Roman" w:cs="Times New Roman"/>
          <w:sz w:val="24"/>
          <w:szCs w:val="24"/>
          <w:lang w:eastAsia="it-IT"/>
        </w:rPr>
      </w:pPr>
      <w:r w:rsidRPr="00EA64CC">
        <w:rPr>
          <w:rFonts w:ascii="Times New Roman" w:hAnsi="Times New Roman" w:cs="Times New Roman"/>
          <w:sz w:val="24"/>
          <w:szCs w:val="24"/>
          <w:lang w:eastAsia="it-IT"/>
        </w:rPr>
        <w:t>Ne consegue la stessa impugnabilità</w:t>
      </w:r>
      <w:r w:rsidRPr="00EA64CC">
        <w:rPr>
          <w:rStyle w:val="Rimandonotaapidipagina"/>
          <w:rFonts w:ascii="Times New Roman" w:hAnsi="Times New Roman" w:cs="Times New Roman"/>
          <w:sz w:val="24"/>
          <w:szCs w:val="24"/>
          <w:lang w:eastAsia="it-IT"/>
        </w:rPr>
        <w:footnoteReference w:id="65"/>
      </w:r>
      <w:r w:rsidRPr="00EA64CC">
        <w:rPr>
          <w:rFonts w:ascii="Times New Roman" w:hAnsi="Times New Roman" w:cs="Times New Roman"/>
          <w:sz w:val="24"/>
          <w:szCs w:val="24"/>
          <w:lang w:eastAsia="it-IT"/>
        </w:rPr>
        <w:t xml:space="preserve"> del </w:t>
      </w:r>
      <w:r w:rsidR="00426BF0" w:rsidRPr="00EA64CC">
        <w:rPr>
          <w:rFonts w:ascii="Times New Roman" w:hAnsi="Times New Roman" w:cs="Times New Roman"/>
          <w:sz w:val="24"/>
          <w:szCs w:val="24"/>
          <w:lang w:eastAsia="it-IT"/>
        </w:rPr>
        <w:t xml:space="preserve">parere di regolarità contabile </w:t>
      </w:r>
      <w:r w:rsidRPr="00EA64CC">
        <w:rPr>
          <w:rFonts w:ascii="Times New Roman" w:hAnsi="Times New Roman" w:cs="Times New Roman"/>
          <w:sz w:val="24"/>
          <w:szCs w:val="24"/>
          <w:lang w:eastAsia="it-IT"/>
        </w:rPr>
        <w:t xml:space="preserve">contrario </w:t>
      </w:r>
      <w:r w:rsidR="00426BF0" w:rsidRPr="00EA64CC">
        <w:rPr>
          <w:rFonts w:ascii="Times New Roman" w:hAnsi="Times New Roman" w:cs="Times New Roman"/>
          <w:sz w:val="24"/>
          <w:szCs w:val="24"/>
          <w:lang w:eastAsia="it-IT"/>
        </w:rPr>
        <w:t>in quanto incide</w:t>
      </w:r>
      <w:r w:rsidRPr="00EA64CC">
        <w:rPr>
          <w:rFonts w:ascii="Times New Roman" w:hAnsi="Times New Roman" w:cs="Times New Roman"/>
          <w:sz w:val="24"/>
          <w:szCs w:val="24"/>
          <w:lang w:eastAsia="it-IT"/>
        </w:rPr>
        <w:t>nte</w:t>
      </w:r>
      <w:r w:rsidR="00426BF0" w:rsidRPr="00EA64CC">
        <w:rPr>
          <w:rFonts w:ascii="Times New Roman" w:hAnsi="Times New Roman" w:cs="Times New Roman"/>
          <w:sz w:val="24"/>
          <w:szCs w:val="24"/>
          <w:lang w:eastAsia="it-IT"/>
        </w:rPr>
        <w:t xml:space="preserve"> sull’esecutività della determinazione di autorizzazione e</w:t>
      </w:r>
      <w:r w:rsidR="00426BF0" w:rsidRPr="006924C4">
        <w:rPr>
          <w:rFonts w:ascii="Times New Roman" w:hAnsi="Times New Roman" w:cs="Times New Roman"/>
          <w:sz w:val="24"/>
          <w:szCs w:val="24"/>
          <w:lang w:eastAsia="it-IT"/>
        </w:rPr>
        <w:t xml:space="preserve"> impegno del ricovero</w:t>
      </w:r>
      <w:r w:rsidRPr="006924C4">
        <w:rPr>
          <w:rFonts w:ascii="Times New Roman" w:hAnsi="Times New Roman" w:cs="Times New Roman"/>
          <w:sz w:val="24"/>
          <w:szCs w:val="24"/>
          <w:lang w:eastAsia="it-IT"/>
        </w:rPr>
        <w:t xml:space="preserve"> di un disabile psichico </w:t>
      </w:r>
      <w:r w:rsidRPr="006924C4">
        <w:rPr>
          <w:rFonts w:ascii="Times New Roman" w:hAnsi="Times New Roman" w:cs="Times New Roman"/>
          <w:sz w:val="24"/>
          <w:szCs w:val="24"/>
          <w:lang w:eastAsia="it-IT"/>
        </w:rPr>
        <w:lastRenderedPageBreak/>
        <w:t xml:space="preserve">presso le Comunità alloggio, </w:t>
      </w:r>
      <w:r w:rsidR="00426BF0" w:rsidRPr="006924C4">
        <w:rPr>
          <w:rFonts w:ascii="Times New Roman" w:hAnsi="Times New Roman" w:cs="Times New Roman"/>
          <w:sz w:val="24"/>
          <w:szCs w:val="24"/>
          <w:lang w:eastAsia="it-IT"/>
        </w:rPr>
        <w:t xml:space="preserve">motivato con riferimento </w:t>
      </w:r>
      <w:r w:rsidRPr="006924C4">
        <w:rPr>
          <w:rFonts w:ascii="Times New Roman" w:hAnsi="Times New Roman" w:cs="Times New Roman"/>
          <w:sz w:val="24"/>
          <w:szCs w:val="24"/>
          <w:lang w:eastAsia="it-IT"/>
        </w:rPr>
        <w:t xml:space="preserve">all’incapienza </w:t>
      </w:r>
      <w:r w:rsidR="00426BF0" w:rsidRPr="006924C4">
        <w:rPr>
          <w:rFonts w:ascii="Times New Roman" w:hAnsi="Times New Roman" w:cs="Times New Roman"/>
          <w:sz w:val="24"/>
          <w:szCs w:val="24"/>
          <w:lang w:eastAsia="it-IT"/>
        </w:rPr>
        <w:t>dello</w:t>
      </w:r>
      <w:r w:rsidRPr="006924C4">
        <w:rPr>
          <w:rFonts w:ascii="Times New Roman" w:hAnsi="Times New Roman" w:cs="Times New Roman"/>
          <w:sz w:val="24"/>
          <w:szCs w:val="24"/>
          <w:lang w:eastAsia="it-IT"/>
        </w:rPr>
        <w:t xml:space="preserve"> </w:t>
      </w:r>
      <w:r w:rsidR="00426BF0" w:rsidRPr="006924C4">
        <w:rPr>
          <w:rFonts w:ascii="Times New Roman" w:hAnsi="Times New Roman" w:cs="Times New Roman"/>
          <w:sz w:val="24"/>
          <w:szCs w:val="24"/>
          <w:lang w:eastAsia="it-IT"/>
        </w:rPr>
        <w:t xml:space="preserve">stanziamento del </w:t>
      </w:r>
      <w:r w:rsidRPr="006924C4">
        <w:rPr>
          <w:rFonts w:ascii="Times New Roman" w:hAnsi="Times New Roman" w:cs="Times New Roman"/>
          <w:sz w:val="24"/>
          <w:szCs w:val="24"/>
          <w:lang w:eastAsia="it-IT"/>
        </w:rPr>
        <w:t xml:space="preserve">relativo </w:t>
      </w:r>
      <w:r w:rsidR="00426BF0" w:rsidRPr="006924C4">
        <w:rPr>
          <w:rFonts w:ascii="Times New Roman" w:hAnsi="Times New Roman" w:cs="Times New Roman"/>
          <w:sz w:val="24"/>
          <w:szCs w:val="24"/>
          <w:lang w:eastAsia="it-IT"/>
        </w:rPr>
        <w:t>capitolo d</w:t>
      </w:r>
      <w:r w:rsidRPr="006924C4">
        <w:rPr>
          <w:rFonts w:ascii="Times New Roman" w:hAnsi="Times New Roman" w:cs="Times New Roman"/>
          <w:sz w:val="24"/>
          <w:szCs w:val="24"/>
          <w:lang w:eastAsia="it-IT"/>
        </w:rPr>
        <w:t xml:space="preserve">i </w:t>
      </w:r>
      <w:r w:rsidR="00426BF0" w:rsidRPr="006924C4">
        <w:rPr>
          <w:rFonts w:ascii="Times New Roman" w:hAnsi="Times New Roman" w:cs="Times New Roman"/>
          <w:sz w:val="24"/>
          <w:szCs w:val="24"/>
          <w:lang w:eastAsia="it-IT"/>
        </w:rPr>
        <w:t>bilancio</w:t>
      </w:r>
      <w:r w:rsidRPr="006924C4">
        <w:rPr>
          <w:rFonts w:ascii="Times New Roman" w:hAnsi="Times New Roman" w:cs="Times New Roman"/>
          <w:sz w:val="24"/>
          <w:szCs w:val="24"/>
          <w:lang w:eastAsia="it-IT"/>
        </w:rPr>
        <w:t>.</w:t>
      </w:r>
    </w:p>
    <w:p w14:paraId="6ACE1871" w14:textId="1A26EBB6" w:rsidR="00A637C4" w:rsidRDefault="00A637C4" w:rsidP="00E65B62">
      <w:pPr>
        <w:jc w:val="both"/>
        <w:rPr>
          <w:rFonts w:ascii="Times New Roman" w:hAnsi="Times New Roman" w:cs="Times New Roman"/>
          <w:sz w:val="24"/>
          <w:szCs w:val="24"/>
          <w:lang w:eastAsia="it-IT"/>
        </w:rPr>
      </w:pPr>
    </w:p>
    <w:p w14:paraId="20AA106C" w14:textId="5FC85651" w:rsidR="005548EF" w:rsidRPr="00EA64CC" w:rsidRDefault="00EA64CC" w:rsidP="006148BE">
      <w:pPr>
        <w:jc w:val="both"/>
        <w:rPr>
          <w:rFonts w:ascii="Times New Roman" w:hAnsi="Times New Roman" w:cs="Times New Roman"/>
          <w:b/>
          <w:sz w:val="24"/>
          <w:szCs w:val="24"/>
          <w:lang w:eastAsia="it-IT"/>
        </w:rPr>
      </w:pPr>
      <w:r w:rsidRPr="00EA64CC">
        <w:rPr>
          <w:rFonts w:ascii="Times New Roman" w:hAnsi="Times New Roman" w:cs="Times New Roman"/>
          <w:b/>
          <w:sz w:val="24"/>
          <w:szCs w:val="24"/>
          <w:lang w:eastAsia="it-IT"/>
        </w:rPr>
        <w:t>6. Riflessioni i</w:t>
      </w:r>
      <w:r>
        <w:rPr>
          <w:rFonts w:ascii="Times New Roman" w:hAnsi="Times New Roman" w:cs="Times New Roman"/>
          <w:b/>
          <w:sz w:val="24"/>
          <w:szCs w:val="24"/>
          <w:lang w:eastAsia="it-IT"/>
        </w:rPr>
        <w:t>n prospettiva</w:t>
      </w:r>
      <w:r w:rsidRPr="00EA64CC">
        <w:rPr>
          <w:rFonts w:ascii="Times New Roman" w:hAnsi="Times New Roman" w:cs="Times New Roman"/>
          <w:b/>
          <w:sz w:val="24"/>
          <w:szCs w:val="24"/>
          <w:lang w:eastAsia="it-IT"/>
        </w:rPr>
        <w:t xml:space="preserve"> dopo la sentenza della Corte costituzionale n. 192 del 2024</w:t>
      </w:r>
    </w:p>
    <w:p w14:paraId="3E484440" w14:textId="77777777" w:rsidR="00EA64CC" w:rsidRDefault="00EA64CC"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I margini della discrezionalità amministrativa nell’individuare la prestazione da rendersi in favore delle persone ed in particolare di quelle con disabilità per dare effettiva attuazione a diritti fondamentali costituzionalmente garantiti, con riferimento alla compatibilità finanziaria, sembrano destinati a restringersi ulteriormente dopo la recente sentenza della Corte costituzionale n.192 del 2024.</w:t>
      </w:r>
    </w:p>
    <w:p w14:paraId="31D51892" w14:textId="75E24F28" w:rsidR="00822426" w:rsidRPr="00132B85" w:rsidRDefault="00B325A2"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Corte, chiamata a pronunciarsi sulla legittimità della legge 26 giugno 2024, n. 86 (Disposizioni per l’attuazione dell’autonomia differenziata delle Regioni a statuto ordinario ai sensi dell’articolo 116, terzo comma, della Costituzione) ha avuto modo di chiarire che </w:t>
      </w:r>
      <w:r w:rsidR="00EA64CC">
        <w:rPr>
          <w:rFonts w:ascii="Times New Roman" w:hAnsi="Times New Roman" w:cs="Times New Roman"/>
          <w:sz w:val="24"/>
          <w:szCs w:val="24"/>
          <w:lang w:eastAsia="it-IT"/>
        </w:rPr>
        <w:t>i</w:t>
      </w:r>
      <w:r w:rsidR="00822426" w:rsidRPr="00132B85">
        <w:rPr>
          <w:rFonts w:ascii="Times New Roman" w:hAnsi="Times New Roman" w:cs="Times New Roman"/>
          <w:sz w:val="24"/>
          <w:szCs w:val="24"/>
          <w:lang w:eastAsia="it-IT"/>
        </w:rPr>
        <w:t xml:space="preserve"> LEP, comunque, una volta determinati dal legislatore statale, rappresentano una soglia vincolante che dev’essere rispettata dalle autonomie territoriali e garantita, in attuazione dei principi di solidarietà, di eguaglianza sostanziale e di unità di cui agli artt. 2, 3, secondo comma, e 5 Cost., su tutto il territorio nazionale.</w:t>
      </w:r>
    </w:p>
    <w:p w14:paraId="571C5A4D" w14:textId="3C36B333" w:rsidR="00822426" w:rsidRPr="00132B85" w:rsidRDefault="00EA64CC"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Si legge nella sentenza:</w:t>
      </w:r>
      <w:r w:rsidR="00822426" w:rsidRPr="00132B85">
        <w:rPr>
          <w:rFonts w:ascii="Times New Roman" w:hAnsi="Times New Roman" w:cs="Times New Roman"/>
          <w:sz w:val="24"/>
          <w:szCs w:val="24"/>
          <w:lang w:eastAsia="it-IT"/>
        </w:rPr>
        <w:t>“</w:t>
      </w:r>
      <w:r w:rsidR="00822426" w:rsidRPr="00132B85">
        <w:rPr>
          <w:rFonts w:ascii="Times New Roman" w:hAnsi="Times New Roman" w:cs="Times New Roman"/>
          <w:i/>
          <w:sz w:val="24"/>
          <w:szCs w:val="24"/>
          <w:lang w:eastAsia="it-IT"/>
        </w:rPr>
        <w:t>…i LEP implicano una delicata scelta politica, perché si tratta – fondamentalmente – di bilanciare uguaglianza dei privati e autonomia regionale, diritti e esigenze finanziarie e anche i diversi diritti fra loro. Si tratta, in definitiva, di decidere i livelli delle prestazioni relative ai diritti civili e sociali, con le risorse necessarie per garantire uno standard uniforme delle stesse prestazioni in tutto il territorio nazionale.</w:t>
      </w:r>
      <w:r w:rsidR="00822426" w:rsidRPr="00132B85">
        <w:rPr>
          <w:rFonts w:ascii="Times New Roman" w:hAnsi="Times New Roman" w:cs="Times New Roman"/>
          <w:sz w:val="24"/>
          <w:szCs w:val="24"/>
          <w:lang w:eastAsia="it-IT"/>
        </w:rPr>
        <w:t>”</w:t>
      </w:r>
    </w:p>
    <w:p w14:paraId="75C11DD3" w14:textId="25E3F671" w:rsidR="00822426" w:rsidRPr="00132B85" w:rsidRDefault="00B325A2"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w:t>
      </w:r>
      <w:r w:rsidR="004532C8">
        <w:rPr>
          <w:rFonts w:ascii="Times New Roman" w:hAnsi="Times New Roman" w:cs="Times New Roman"/>
          <w:sz w:val="24"/>
          <w:szCs w:val="24"/>
          <w:lang w:eastAsia="it-IT"/>
        </w:rPr>
        <w:t xml:space="preserve">riflessione che ne scaturisce è che la su riportata </w:t>
      </w:r>
      <w:r w:rsidRPr="00132B85">
        <w:rPr>
          <w:rFonts w:ascii="Times New Roman" w:hAnsi="Times New Roman" w:cs="Times New Roman"/>
          <w:sz w:val="24"/>
          <w:szCs w:val="24"/>
          <w:lang w:eastAsia="it-IT"/>
        </w:rPr>
        <w:t>differenza tra LEP e nucleo essenziale del diritto con riferimento ai vincoli di bilancio non opererebbe più sul piano amministrativo, ma si arresterebbe a</w:t>
      </w:r>
      <w:r w:rsidR="004532C8">
        <w:rPr>
          <w:rFonts w:ascii="Times New Roman" w:hAnsi="Times New Roman" w:cs="Times New Roman"/>
          <w:sz w:val="24"/>
          <w:szCs w:val="24"/>
          <w:lang w:eastAsia="it-IT"/>
        </w:rPr>
        <w:t>l</w:t>
      </w:r>
      <w:r w:rsidRPr="00132B85">
        <w:rPr>
          <w:rFonts w:ascii="Times New Roman" w:hAnsi="Times New Roman" w:cs="Times New Roman"/>
          <w:sz w:val="24"/>
          <w:szCs w:val="24"/>
          <w:lang w:eastAsia="it-IT"/>
        </w:rPr>
        <w:t xml:space="preserve"> livello legislativo.</w:t>
      </w:r>
    </w:p>
    <w:p w14:paraId="32561EB8" w14:textId="1E8E7F38" w:rsidR="00E8775C" w:rsidRPr="00132B85" w:rsidRDefault="00BB269A" w:rsidP="00E8775C">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La </w:t>
      </w:r>
      <w:r w:rsidR="004532C8">
        <w:rPr>
          <w:rFonts w:ascii="Times New Roman" w:hAnsi="Times New Roman" w:cs="Times New Roman"/>
          <w:sz w:val="24"/>
          <w:szCs w:val="24"/>
          <w:lang w:eastAsia="it-IT"/>
        </w:rPr>
        <w:t xml:space="preserve">Corte è stata chiara nell’affermare che la </w:t>
      </w:r>
      <w:r w:rsidRPr="00132B85">
        <w:rPr>
          <w:rFonts w:ascii="Times New Roman" w:hAnsi="Times New Roman" w:cs="Times New Roman"/>
          <w:sz w:val="24"/>
          <w:szCs w:val="24"/>
          <w:lang w:eastAsia="it-IT"/>
        </w:rPr>
        <w:t xml:space="preserve">determinazione dei </w:t>
      </w:r>
      <w:r w:rsidR="00F24AF9">
        <w:rPr>
          <w:rFonts w:ascii="Times New Roman" w:hAnsi="Times New Roman" w:cs="Times New Roman"/>
          <w:sz w:val="24"/>
          <w:szCs w:val="24"/>
          <w:lang w:eastAsia="it-IT"/>
        </w:rPr>
        <w:t xml:space="preserve">livelli essenziali delle prestazioni </w:t>
      </w:r>
      <w:r w:rsidR="00F24AF9" w:rsidRPr="00F24AF9">
        <w:rPr>
          <w:rFonts w:ascii="Times New Roman" w:hAnsi="Times New Roman" w:cs="Times New Roman"/>
          <w:sz w:val="24"/>
          <w:szCs w:val="24"/>
          <w:lang w:eastAsia="it-IT"/>
        </w:rPr>
        <w:t xml:space="preserve">concernenti i diritti civili e sociali </w:t>
      </w:r>
      <w:r w:rsidR="00F24AF9">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LEP</w:t>
      </w:r>
      <w:r w:rsidR="00F24AF9">
        <w:rPr>
          <w:rFonts w:ascii="Times New Roman" w:hAnsi="Times New Roman" w:cs="Times New Roman"/>
          <w:sz w:val="24"/>
          <w:szCs w:val="24"/>
          <w:lang w:eastAsia="it-IT"/>
        </w:rPr>
        <w:t>)</w:t>
      </w:r>
      <w:r w:rsidR="004532C8">
        <w:rPr>
          <w:rFonts w:ascii="Times New Roman" w:hAnsi="Times New Roman" w:cs="Times New Roman"/>
          <w:sz w:val="24"/>
          <w:szCs w:val="24"/>
          <w:lang w:eastAsia="it-IT"/>
        </w:rPr>
        <w:t xml:space="preserve"> </w:t>
      </w:r>
      <w:r w:rsidR="00E8775C">
        <w:rPr>
          <w:rFonts w:ascii="Times New Roman" w:hAnsi="Times New Roman" w:cs="Times New Roman"/>
          <w:sz w:val="24"/>
          <w:szCs w:val="24"/>
          <w:lang w:eastAsia="it-IT"/>
        </w:rPr>
        <w:t>rientranti nella competenza esc</w:t>
      </w:r>
      <w:r w:rsidR="00F24AF9">
        <w:rPr>
          <w:rFonts w:ascii="Times New Roman" w:hAnsi="Times New Roman" w:cs="Times New Roman"/>
          <w:sz w:val="24"/>
          <w:szCs w:val="24"/>
          <w:lang w:eastAsia="it-IT"/>
        </w:rPr>
        <w:t>l</w:t>
      </w:r>
      <w:r w:rsidR="00E8775C">
        <w:rPr>
          <w:rFonts w:ascii="Times New Roman" w:hAnsi="Times New Roman" w:cs="Times New Roman"/>
          <w:sz w:val="24"/>
          <w:szCs w:val="24"/>
          <w:lang w:eastAsia="it-IT"/>
        </w:rPr>
        <w:t xml:space="preserve">usiva dello Stato </w:t>
      </w:r>
      <w:r w:rsidR="00E8775C" w:rsidRPr="00F24AF9">
        <w:rPr>
          <w:rFonts w:ascii="Times New Roman" w:hAnsi="Times New Roman" w:cs="Times New Roman"/>
          <w:i/>
          <w:sz w:val="24"/>
          <w:szCs w:val="24"/>
          <w:lang w:eastAsia="it-IT"/>
        </w:rPr>
        <w:t>ex</w:t>
      </w:r>
      <w:r w:rsidR="00E8775C">
        <w:rPr>
          <w:rFonts w:ascii="Times New Roman" w:hAnsi="Times New Roman" w:cs="Times New Roman"/>
          <w:sz w:val="24"/>
          <w:szCs w:val="24"/>
          <w:lang w:eastAsia="it-IT"/>
        </w:rPr>
        <w:t xml:space="preserve"> art. 117, </w:t>
      </w:r>
      <w:r w:rsidR="00E8775C">
        <w:rPr>
          <w:rFonts w:ascii="Times New Roman" w:hAnsi="Times New Roman" w:cs="Times New Roman"/>
          <w:sz w:val="24"/>
          <w:szCs w:val="24"/>
          <w:lang w:eastAsia="it-IT"/>
        </w:rPr>
        <w:lastRenderedPageBreak/>
        <w:t>co.2 lett. m) Cost.,</w:t>
      </w:r>
      <w:r w:rsidR="00487795">
        <w:rPr>
          <w:rFonts w:ascii="Times New Roman" w:hAnsi="Times New Roman" w:cs="Times New Roman"/>
          <w:sz w:val="24"/>
          <w:szCs w:val="24"/>
          <w:lang w:eastAsia="it-IT"/>
        </w:rPr>
        <w:t xml:space="preserve"> </w:t>
      </w:r>
      <w:r w:rsidR="004532C8">
        <w:rPr>
          <w:rFonts w:ascii="Times New Roman" w:hAnsi="Times New Roman" w:cs="Times New Roman"/>
          <w:sz w:val="24"/>
          <w:szCs w:val="24"/>
          <w:lang w:eastAsia="it-IT"/>
        </w:rPr>
        <w:t xml:space="preserve">è </w:t>
      </w:r>
      <w:r w:rsidR="00E8775C">
        <w:rPr>
          <w:rFonts w:ascii="Times New Roman" w:hAnsi="Times New Roman" w:cs="Times New Roman"/>
          <w:sz w:val="24"/>
          <w:szCs w:val="24"/>
          <w:lang w:eastAsia="it-IT"/>
        </w:rPr>
        <w:t>rimessa a fonti</w:t>
      </w:r>
      <w:r w:rsidRPr="00132B85">
        <w:rPr>
          <w:rFonts w:ascii="Times New Roman" w:hAnsi="Times New Roman" w:cs="Times New Roman"/>
          <w:sz w:val="24"/>
          <w:szCs w:val="24"/>
          <w:lang w:eastAsia="it-IT"/>
        </w:rPr>
        <w:t xml:space="preserve"> di rango primario</w:t>
      </w:r>
      <w:r w:rsidRPr="00132B85">
        <w:rPr>
          <w:rStyle w:val="Rimandonotaapidipagina"/>
          <w:rFonts w:ascii="Times New Roman" w:hAnsi="Times New Roman" w:cs="Times New Roman"/>
          <w:sz w:val="24"/>
          <w:szCs w:val="24"/>
          <w:lang w:eastAsia="it-IT"/>
        </w:rPr>
        <w:footnoteReference w:id="66"/>
      </w:r>
      <w:r w:rsidRPr="00132B85">
        <w:rPr>
          <w:rFonts w:ascii="Times New Roman" w:hAnsi="Times New Roman" w:cs="Times New Roman"/>
          <w:sz w:val="24"/>
          <w:szCs w:val="24"/>
          <w:lang w:eastAsia="it-IT"/>
        </w:rPr>
        <w:t xml:space="preserve">, </w:t>
      </w:r>
      <w:r w:rsidR="00400E1A">
        <w:rPr>
          <w:rFonts w:ascii="Times New Roman" w:hAnsi="Times New Roman" w:cs="Times New Roman"/>
          <w:sz w:val="24"/>
          <w:szCs w:val="24"/>
          <w:lang w:eastAsia="it-IT"/>
        </w:rPr>
        <w:t xml:space="preserve">intestando il necessario </w:t>
      </w:r>
      <w:r w:rsidR="00B325A2" w:rsidRPr="00132B85">
        <w:rPr>
          <w:rFonts w:ascii="Times New Roman" w:hAnsi="Times New Roman" w:cs="Times New Roman"/>
          <w:sz w:val="24"/>
          <w:szCs w:val="24"/>
          <w:lang w:eastAsia="it-IT"/>
        </w:rPr>
        <w:t>bilanciamento</w:t>
      </w:r>
      <w:r w:rsidR="004532C8">
        <w:rPr>
          <w:rFonts w:ascii="Times New Roman" w:hAnsi="Times New Roman" w:cs="Times New Roman"/>
          <w:sz w:val="24"/>
          <w:szCs w:val="24"/>
          <w:lang w:eastAsia="it-IT"/>
        </w:rPr>
        <w:t xml:space="preserve"> con </w:t>
      </w:r>
      <w:r w:rsidR="00E8775C">
        <w:rPr>
          <w:rFonts w:ascii="Times New Roman" w:hAnsi="Times New Roman" w:cs="Times New Roman"/>
          <w:sz w:val="24"/>
          <w:szCs w:val="24"/>
          <w:lang w:eastAsia="it-IT"/>
        </w:rPr>
        <w:t>la limitatezza delle risorse finanziarie</w:t>
      </w:r>
      <w:r w:rsidR="00400E1A">
        <w:rPr>
          <w:rFonts w:ascii="Times New Roman" w:hAnsi="Times New Roman" w:cs="Times New Roman"/>
          <w:sz w:val="24"/>
          <w:szCs w:val="24"/>
          <w:lang w:eastAsia="it-IT"/>
        </w:rPr>
        <w:t xml:space="preserve"> alla</w:t>
      </w:r>
      <w:r w:rsidR="00E8775C">
        <w:rPr>
          <w:rFonts w:ascii="Times New Roman" w:hAnsi="Times New Roman" w:cs="Times New Roman"/>
          <w:sz w:val="24"/>
          <w:szCs w:val="24"/>
          <w:lang w:eastAsia="it-IT"/>
        </w:rPr>
        <w:t xml:space="preserve"> </w:t>
      </w:r>
      <w:r w:rsidR="00B325A2" w:rsidRPr="00132B85">
        <w:rPr>
          <w:rFonts w:ascii="Times New Roman" w:hAnsi="Times New Roman" w:cs="Times New Roman"/>
          <w:sz w:val="24"/>
          <w:szCs w:val="24"/>
          <w:lang w:eastAsia="it-IT"/>
        </w:rPr>
        <w:t>discrezio</w:t>
      </w:r>
      <w:r w:rsidR="00E8775C">
        <w:rPr>
          <w:rFonts w:ascii="Times New Roman" w:hAnsi="Times New Roman" w:cs="Times New Roman"/>
          <w:sz w:val="24"/>
          <w:szCs w:val="24"/>
          <w:lang w:eastAsia="it-IT"/>
        </w:rPr>
        <w:t xml:space="preserve">nalità politica del legislatore, quale </w:t>
      </w:r>
      <w:r w:rsidR="00E8775C" w:rsidRPr="00132B85">
        <w:rPr>
          <w:rFonts w:ascii="Times New Roman" w:hAnsi="Times New Roman" w:cs="Times New Roman"/>
          <w:sz w:val="24"/>
          <w:szCs w:val="24"/>
          <w:lang w:eastAsia="it-IT"/>
        </w:rPr>
        <w:t>necessario con</w:t>
      </w:r>
      <w:r w:rsidR="00400E1A">
        <w:rPr>
          <w:rFonts w:ascii="Times New Roman" w:hAnsi="Times New Roman" w:cs="Times New Roman"/>
          <w:sz w:val="24"/>
          <w:szCs w:val="24"/>
          <w:lang w:eastAsia="it-IT"/>
        </w:rPr>
        <w:t>trappeso della differenziazione e</w:t>
      </w:r>
      <w:r w:rsidR="00E8775C" w:rsidRPr="00132B85">
        <w:rPr>
          <w:rFonts w:ascii="Times New Roman" w:hAnsi="Times New Roman" w:cs="Times New Roman"/>
          <w:sz w:val="24"/>
          <w:szCs w:val="24"/>
          <w:lang w:eastAsia="it-IT"/>
        </w:rPr>
        <w:t xml:space="preserve"> </w:t>
      </w:r>
      <w:r w:rsidR="00E8775C">
        <w:rPr>
          <w:rFonts w:ascii="Times New Roman" w:hAnsi="Times New Roman" w:cs="Times New Roman"/>
          <w:sz w:val="24"/>
          <w:szCs w:val="24"/>
          <w:lang w:eastAsia="it-IT"/>
        </w:rPr>
        <w:t>assicurando così la salvaguardia di</w:t>
      </w:r>
      <w:r w:rsidR="00E8775C" w:rsidRPr="00132B85">
        <w:rPr>
          <w:rFonts w:ascii="Times New Roman" w:hAnsi="Times New Roman" w:cs="Times New Roman"/>
          <w:sz w:val="24"/>
          <w:szCs w:val="24"/>
          <w:lang w:eastAsia="it-IT"/>
        </w:rPr>
        <w:t xml:space="preserve"> condizioni di vita omogenee </w:t>
      </w:r>
      <w:r w:rsidR="00F24AF9">
        <w:rPr>
          <w:rFonts w:ascii="Times New Roman" w:hAnsi="Times New Roman" w:cs="Times New Roman"/>
          <w:sz w:val="24"/>
          <w:szCs w:val="24"/>
          <w:lang w:eastAsia="it-IT"/>
        </w:rPr>
        <w:t xml:space="preserve">e unitarie </w:t>
      </w:r>
      <w:r w:rsidR="00E8775C" w:rsidRPr="00132B85">
        <w:rPr>
          <w:rFonts w:ascii="Times New Roman" w:hAnsi="Times New Roman" w:cs="Times New Roman"/>
          <w:sz w:val="24"/>
          <w:szCs w:val="24"/>
          <w:lang w:eastAsia="it-IT"/>
        </w:rPr>
        <w:t>su</w:t>
      </w:r>
      <w:r w:rsidR="00E8775C">
        <w:rPr>
          <w:rFonts w:ascii="Times New Roman" w:hAnsi="Times New Roman" w:cs="Times New Roman"/>
          <w:sz w:val="24"/>
          <w:szCs w:val="24"/>
          <w:lang w:eastAsia="it-IT"/>
        </w:rPr>
        <w:t xml:space="preserve"> tutto i</w:t>
      </w:r>
      <w:r w:rsidR="00E8775C" w:rsidRPr="00132B85">
        <w:rPr>
          <w:rFonts w:ascii="Times New Roman" w:hAnsi="Times New Roman" w:cs="Times New Roman"/>
          <w:sz w:val="24"/>
          <w:szCs w:val="24"/>
          <w:lang w:eastAsia="it-IT"/>
        </w:rPr>
        <w:t>l territorio nazionale.</w:t>
      </w:r>
    </w:p>
    <w:p w14:paraId="36DADD92" w14:textId="5D23301A" w:rsidR="00B325A2" w:rsidRDefault="00487795"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È</w:t>
      </w:r>
      <w:r w:rsidR="00E8775C">
        <w:rPr>
          <w:rFonts w:ascii="Times New Roman" w:hAnsi="Times New Roman" w:cs="Times New Roman"/>
          <w:sz w:val="24"/>
          <w:szCs w:val="24"/>
          <w:lang w:eastAsia="it-IT"/>
        </w:rPr>
        <w:t xml:space="preserve"> dunque il legislatore </w:t>
      </w:r>
      <w:r w:rsidR="00400E1A">
        <w:rPr>
          <w:rFonts w:ascii="Times New Roman" w:hAnsi="Times New Roman" w:cs="Times New Roman"/>
          <w:sz w:val="24"/>
          <w:szCs w:val="24"/>
          <w:lang w:eastAsia="it-IT"/>
        </w:rPr>
        <w:t xml:space="preserve">a doversi confrontare con </w:t>
      </w:r>
      <w:r w:rsidR="00B325A2" w:rsidRPr="00132B85">
        <w:rPr>
          <w:rFonts w:ascii="Times New Roman" w:hAnsi="Times New Roman" w:cs="Times New Roman"/>
          <w:sz w:val="24"/>
          <w:szCs w:val="24"/>
          <w:lang w:eastAsia="it-IT"/>
        </w:rPr>
        <w:t xml:space="preserve">i limiti costituzionali tra cui </w:t>
      </w:r>
      <w:r w:rsidR="00B325A2" w:rsidRPr="004532C8">
        <w:rPr>
          <w:rFonts w:ascii="Times New Roman" w:hAnsi="Times New Roman" w:cs="Times New Roman"/>
          <w:i/>
          <w:sz w:val="24"/>
          <w:szCs w:val="24"/>
          <w:lang w:eastAsia="it-IT"/>
        </w:rPr>
        <w:t>in primis</w:t>
      </w:r>
      <w:r w:rsidR="00B325A2" w:rsidRPr="00132B85">
        <w:rPr>
          <w:rFonts w:ascii="Times New Roman" w:hAnsi="Times New Roman" w:cs="Times New Roman"/>
          <w:sz w:val="24"/>
          <w:szCs w:val="24"/>
          <w:lang w:eastAsia="it-IT"/>
        </w:rPr>
        <w:t xml:space="preserve"> quello della “ragionevolezza”</w:t>
      </w:r>
      <w:r w:rsidR="00E8775C">
        <w:rPr>
          <w:rFonts w:ascii="Times New Roman" w:hAnsi="Times New Roman" w:cs="Times New Roman"/>
          <w:sz w:val="24"/>
          <w:szCs w:val="24"/>
          <w:lang w:eastAsia="it-IT"/>
        </w:rPr>
        <w:t xml:space="preserve">. </w:t>
      </w:r>
      <w:r w:rsidR="00B325A2" w:rsidRPr="00132B85">
        <w:rPr>
          <w:rFonts w:ascii="Times New Roman" w:hAnsi="Times New Roman" w:cs="Times New Roman"/>
          <w:sz w:val="24"/>
          <w:szCs w:val="24"/>
          <w:lang w:eastAsia="it-IT"/>
        </w:rPr>
        <w:t xml:space="preserve">Nel senso che una normativa nazionale che negasse per ragioni di </w:t>
      </w:r>
      <w:r w:rsidR="00E8775C">
        <w:rPr>
          <w:rFonts w:ascii="Times New Roman" w:hAnsi="Times New Roman" w:cs="Times New Roman"/>
          <w:sz w:val="24"/>
          <w:szCs w:val="24"/>
          <w:lang w:eastAsia="it-IT"/>
        </w:rPr>
        <w:t xml:space="preserve">limitazione delle risorse finanziarie </w:t>
      </w:r>
      <w:r w:rsidR="00B325A2" w:rsidRPr="00132B85">
        <w:rPr>
          <w:rFonts w:ascii="Times New Roman" w:hAnsi="Times New Roman" w:cs="Times New Roman"/>
          <w:sz w:val="24"/>
          <w:szCs w:val="24"/>
          <w:lang w:eastAsia="it-IT"/>
        </w:rPr>
        <w:t>il riconoscimento del nucleo essenziale dei diritti fondamentali si porrebbe in contrasto con i principi e i diritti affer</w:t>
      </w:r>
      <w:r w:rsidR="00E8775C">
        <w:rPr>
          <w:rFonts w:ascii="Times New Roman" w:hAnsi="Times New Roman" w:cs="Times New Roman"/>
          <w:sz w:val="24"/>
          <w:szCs w:val="24"/>
          <w:lang w:eastAsia="it-IT"/>
        </w:rPr>
        <w:t xml:space="preserve">mati dalla Carta costituzionale, </w:t>
      </w:r>
      <w:r w:rsidR="00400E1A">
        <w:rPr>
          <w:rFonts w:ascii="Times New Roman" w:hAnsi="Times New Roman" w:cs="Times New Roman"/>
          <w:sz w:val="24"/>
          <w:szCs w:val="24"/>
          <w:lang w:eastAsia="it-IT"/>
        </w:rPr>
        <w:t xml:space="preserve">ma </w:t>
      </w:r>
      <w:r w:rsidR="00B325A2" w:rsidRPr="00132B85">
        <w:rPr>
          <w:rFonts w:ascii="Times New Roman" w:hAnsi="Times New Roman" w:cs="Times New Roman"/>
          <w:sz w:val="24"/>
          <w:szCs w:val="24"/>
          <w:lang w:eastAsia="it-IT"/>
        </w:rPr>
        <w:t xml:space="preserve">nel definire </w:t>
      </w:r>
      <w:r w:rsidR="00E8775C">
        <w:rPr>
          <w:rFonts w:ascii="Times New Roman" w:hAnsi="Times New Roman" w:cs="Times New Roman"/>
          <w:sz w:val="24"/>
          <w:szCs w:val="24"/>
          <w:lang w:eastAsia="it-IT"/>
        </w:rPr>
        <w:t>le ulteriori prestazioni</w:t>
      </w:r>
      <w:r w:rsidR="00400E1A">
        <w:rPr>
          <w:rFonts w:ascii="Times New Roman" w:hAnsi="Times New Roman" w:cs="Times New Roman"/>
          <w:sz w:val="24"/>
          <w:szCs w:val="24"/>
          <w:lang w:eastAsia="it-IT"/>
        </w:rPr>
        <w:t xml:space="preserve"> funzionali ad attribuire </w:t>
      </w:r>
      <w:r w:rsidR="00E8775C">
        <w:rPr>
          <w:rFonts w:ascii="Times New Roman" w:hAnsi="Times New Roman" w:cs="Times New Roman"/>
          <w:sz w:val="24"/>
          <w:szCs w:val="24"/>
          <w:lang w:eastAsia="it-IT"/>
        </w:rPr>
        <w:t>maggiore sostanza ai diritti fondamentali</w:t>
      </w:r>
      <w:r w:rsidR="00F24AF9">
        <w:rPr>
          <w:rFonts w:ascii="Times New Roman" w:hAnsi="Times New Roman" w:cs="Times New Roman"/>
          <w:sz w:val="24"/>
          <w:szCs w:val="24"/>
          <w:lang w:eastAsia="it-IT"/>
        </w:rPr>
        <w:t>,</w:t>
      </w:r>
      <w:r w:rsidR="00E8775C">
        <w:rPr>
          <w:rFonts w:ascii="Times New Roman" w:hAnsi="Times New Roman" w:cs="Times New Roman"/>
          <w:sz w:val="24"/>
          <w:szCs w:val="24"/>
          <w:lang w:eastAsia="it-IT"/>
        </w:rPr>
        <w:t xml:space="preserve"> il legislatore </w:t>
      </w:r>
      <w:r w:rsidR="00F24AF9">
        <w:rPr>
          <w:rFonts w:ascii="Times New Roman" w:hAnsi="Times New Roman" w:cs="Times New Roman"/>
          <w:sz w:val="24"/>
          <w:szCs w:val="24"/>
          <w:lang w:eastAsia="it-IT"/>
        </w:rPr>
        <w:t>ragionevolmente po</w:t>
      </w:r>
      <w:r w:rsidR="00E8775C">
        <w:rPr>
          <w:rFonts w:ascii="Times New Roman" w:hAnsi="Times New Roman" w:cs="Times New Roman"/>
          <w:sz w:val="24"/>
          <w:szCs w:val="24"/>
          <w:lang w:eastAsia="it-IT"/>
        </w:rPr>
        <w:t xml:space="preserve">trà </w:t>
      </w:r>
      <w:r w:rsidR="00B325A2" w:rsidRPr="00132B85">
        <w:rPr>
          <w:rFonts w:ascii="Times New Roman" w:hAnsi="Times New Roman" w:cs="Times New Roman"/>
          <w:sz w:val="24"/>
          <w:szCs w:val="24"/>
          <w:lang w:eastAsia="it-IT"/>
        </w:rPr>
        <w:t>considera</w:t>
      </w:r>
      <w:r w:rsidR="00F24AF9">
        <w:rPr>
          <w:rFonts w:ascii="Times New Roman" w:hAnsi="Times New Roman" w:cs="Times New Roman"/>
          <w:sz w:val="24"/>
          <w:szCs w:val="24"/>
          <w:lang w:eastAsia="it-IT"/>
        </w:rPr>
        <w:t xml:space="preserve">re anche i </w:t>
      </w:r>
      <w:r w:rsidR="00B325A2" w:rsidRPr="00132B85">
        <w:rPr>
          <w:rFonts w:ascii="Times New Roman" w:hAnsi="Times New Roman" w:cs="Times New Roman"/>
          <w:sz w:val="24"/>
          <w:szCs w:val="24"/>
          <w:lang w:eastAsia="it-IT"/>
        </w:rPr>
        <w:t>vincoli di natura finanziaria</w:t>
      </w:r>
      <w:r w:rsidR="00F24AF9">
        <w:rPr>
          <w:rFonts w:ascii="Times New Roman" w:hAnsi="Times New Roman" w:cs="Times New Roman"/>
          <w:sz w:val="24"/>
          <w:szCs w:val="24"/>
          <w:lang w:eastAsia="it-IT"/>
        </w:rPr>
        <w:t>.</w:t>
      </w:r>
    </w:p>
    <w:p w14:paraId="16B806C2" w14:textId="7992D0E3" w:rsidR="00F24AF9" w:rsidRDefault="00F24AF9"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Ma una volta determinati i LEP</w:t>
      </w:r>
      <w:r w:rsidR="00FF458F">
        <w:rPr>
          <w:rFonts w:ascii="Times New Roman" w:hAnsi="Times New Roman" w:cs="Times New Roman"/>
          <w:sz w:val="24"/>
          <w:szCs w:val="24"/>
          <w:lang w:eastAsia="it-IT"/>
        </w:rPr>
        <w:t>, senza distinzione di materia,</w:t>
      </w:r>
      <w:r>
        <w:rPr>
          <w:rFonts w:ascii="Times New Roman" w:hAnsi="Times New Roman" w:cs="Times New Roman"/>
          <w:sz w:val="24"/>
          <w:szCs w:val="24"/>
          <w:lang w:eastAsia="it-IT"/>
        </w:rPr>
        <w:t xml:space="preserve"> questi dovranno essere unitariamente assicurati dalle Amministrazioni sull’intero territorio nazionale.</w:t>
      </w:r>
    </w:p>
    <w:p w14:paraId="55E6B102" w14:textId="6F387841" w:rsidR="00FF458F" w:rsidRPr="00132B85" w:rsidRDefault="00FF458F" w:rsidP="00FF458F">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Occorre </w:t>
      </w:r>
      <w:r w:rsidR="00487795" w:rsidRPr="00A11309">
        <w:rPr>
          <w:rFonts w:ascii="Times New Roman" w:hAnsi="Times New Roman" w:cs="Times New Roman"/>
          <w:sz w:val="24"/>
          <w:szCs w:val="24"/>
          <w:lang w:eastAsia="it-IT"/>
        </w:rPr>
        <w:t>os</w:t>
      </w:r>
      <w:r w:rsidRPr="00A11309">
        <w:rPr>
          <w:rFonts w:ascii="Times New Roman" w:hAnsi="Times New Roman" w:cs="Times New Roman"/>
          <w:sz w:val="24"/>
          <w:szCs w:val="24"/>
          <w:lang w:eastAsia="it-IT"/>
        </w:rPr>
        <w:t>s</w:t>
      </w:r>
      <w:r>
        <w:rPr>
          <w:rFonts w:ascii="Times New Roman" w:hAnsi="Times New Roman" w:cs="Times New Roman"/>
          <w:sz w:val="24"/>
          <w:szCs w:val="24"/>
          <w:lang w:eastAsia="it-IT"/>
        </w:rPr>
        <w:t xml:space="preserve">ervare che la pronuncia sembra innovare quanto in passato affermato dalla stessa </w:t>
      </w:r>
      <w:r w:rsidRPr="00132B85">
        <w:rPr>
          <w:rFonts w:ascii="Times New Roman" w:hAnsi="Times New Roman" w:cs="Times New Roman"/>
          <w:sz w:val="24"/>
          <w:szCs w:val="24"/>
          <w:lang w:eastAsia="it-IT"/>
        </w:rPr>
        <w:t>Corte</w:t>
      </w:r>
      <w:r>
        <w:rPr>
          <w:rStyle w:val="Rimandonotaapidipagina"/>
          <w:rFonts w:ascii="Times New Roman" w:hAnsi="Times New Roman" w:cs="Times New Roman"/>
          <w:sz w:val="24"/>
          <w:szCs w:val="24"/>
          <w:lang w:eastAsia="it-IT"/>
        </w:rPr>
        <w:footnoteReference w:id="67"/>
      </w:r>
      <w:r w:rsidRPr="00132B85">
        <w:rPr>
          <w:rFonts w:ascii="Times New Roman" w:hAnsi="Times New Roman" w:cs="Times New Roman"/>
          <w:sz w:val="24"/>
          <w:szCs w:val="24"/>
          <w:lang w:eastAsia="it-IT"/>
        </w:rPr>
        <w:t xml:space="preserve"> </w:t>
      </w:r>
      <w:r w:rsidR="00487795">
        <w:rPr>
          <w:rFonts w:ascii="Times New Roman" w:hAnsi="Times New Roman" w:cs="Times New Roman"/>
          <w:sz w:val="24"/>
          <w:szCs w:val="24"/>
          <w:lang w:eastAsia="it-IT"/>
        </w:rPr>
        <w:t>allorché</w:t>
      </w:r>
      <w:r>
        <w:rPr>
          <w:rFonts w:ascii="Times New Roman" w:hAnsi="Times New Roman" w:cs="Times New Roman"/>
          <w:sz w:val="24"/>
          <w:szCs w:val="24"/>
          <w:lang w:eastAsia="it-IT"/>
        </w:rPr>
        <w:t xml:space="preserve"> </w:t>
      </w:r>
      <w:r w:rsidRPr="00FF458F">
        <w:rPr>
          <w:rFonts w:ascii="Times New Roman" w:hAnsi="Times New Roman" w:cs="Times New Roman"/>
          <w:sz w:val="24"/>
          <w:szCs w:val="24"/>
          <w:lang w:eastAsia="it-IT"/>
        </w:rPr>
        <w:t>aveva ritenuto che “</w:t>
      </w:r>
      <w:r w:rsidRPr="00FF458F">
        <w:rPr>
          <w:rFonts w:ascii="Times New Roman" w:hAnsi="Times New Roman" w:cs="Times New Roman"/>
          <w:i/>
          <w:sz w:val="24"/>
          <w:szCs w:val="24"/>
          <w:lang w:eastAsia="it-IT"/>
        </w:rPr>
        <w:t>mentre di regola la garanzia delle prestazioni sociali deve fare i conti con la disponibilità delle risorse pubbliche, dimensionando il livello della prestazione attraverso una ponderazione in termini di sostenibilità economica, tale ponderazione non può riguardare la dimensione finanziaria e attuativa dei LEA, la cui necessaria compatibilità con le risorse è già fissata attraverso la loro determinazione in sede normativa”.</w:t>
      </w:r>
    </w:p>
    <w:p w14:paraId="256DD4F5" w14:textId="03883DD9" w:rsidR="00FF458F" w:rsidRDefault="00FF458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Appare sempre più nitida, dunque, </w:t>
      </w:r>
      <w:r w:rsidR="00E61FA7">
        <w:rPr>
          <w:rFonts w:ascii="Times New Roman" w:hAnsi="Times New Roman" w:cs="Times New Roman"/>
          <w:sz w:val="24"/>
          <w:szCs w:val="24"/>
          <w:lang w:eastAsia="it-IT"/>
        </w:rPr>
        <w:t xml:space="preserve">nell’evoluzione delle pronunce della Corte </w:t>
      </w:r>
      <w:r>
        <w:rPr>
          <w:rFonts w:ascii="Times New Roman" w:hAnsi="Times New Roman" w:cs="Times New Roman"/>
          <w:sz w:val="24"/>
          <w:szCs w:val="24"/>
          <w:lang w:eastAsia="it-IT"/>
        </w:rPr>
        <w:t xml:space="preserve">la </w:t>
      </w:r>
      <w:r w:rsidR="00E61FA7">
        <w:rPr>
          <w:rFonts w:ascii="Times New Roman" w:hAnsi="Times New Roman" w:cs="Times New Roman"/>
          <w:sz w:val="24"/>
          <w:szCs w:val="24"/>
          <w:lang w:eastAsia="it-IT"/>
        </w:rPr>
        <w:t xml:space="preserve">volontà di dare evidenza e solidità </w:t>
      </w:r>
      <w:r>
        <w:rPr>
          <w:rFonts w:ascii="Times New Roman" w:hAnsi="Times New Roman" w:cs="Times New Roman"/>
          <w:sz w:val="24"/>
          <w:szCs w:val="24"/>
          <w:lang w:eastAsia="it-IT"/>
        </w:rPr>
        <w:t xml:space="preserve">alle fondamenta di eguaglianza </w:t>
      </w:r>
      <w:r w:rsidR="00E61FA7">
        <w:rPr>
          <w:rFonts w:ascii="Times New Roman" w:hAnsi="Times New Roman" w:cs="Times New Roman"/>
          <w:sz w:val="24"/>
          <w:szCs w:val="24"/>
          <w:lang w:eastAsia="it-IT"/>
        </w:rPr>
        <w:t>che reggono il nostro ordinamento costituzionale, che nel caso della pronuncia n. 192 del 2024 sono affermate con riferimento all’autonomia differenziata regionale, ma che –come sopra esposto- costituiscono la lente attraverso cui la Corte ha negli anni affermato l’incomprimibilità del nucleo essenziale dei diritti fondamentali e conseguentemente delle prestazioni da rendersi in favore delle persone con disabilità.</w:t>
      </w:r>
      <w:r>
        <w:rPr>
          <w:rFonts w:ascii="Times New Roman" w:hAnsi="Times New Roman" w:cs="Times New Roman"/>
          <w:sz w:val="24"/>
          <w:szCs w:val="24"/>
          <w:lang w:eastAsia="it-IT"/>
        </w:rPr>
        <w:t xml:space="preserve"> </w:t>
      </w:r>
    </w:p>
    <w:p w14:paraId="75651ED0" w14:textId="12B782A9" w:rsidR="00F24AF9" w:rsidRPr="00132B85" w:rsidRDefault="00F24AF9"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Per quanto la pronuncia della Corte </w:t>
      </w:r>
      <w:r w:rsidR="00E61FA7">
        <w:rPr>
          <w:rFonts w:ascii="Times New Roman" w:hAnsi="Times New Roman" w:cs="Times New Roman"/>
          <w:sz w:val="24"/>
          <w:szCs w:val="24"/>
          <w:lang w:eastAsia="it-IT"/>
        </w:rPr>
        <w:t xml:space="preserve">del 2024 </w:t>
      </w:r>
      <w:r>
        <w:rPr>
          <w:rFonts w:ascii="Times New Roman" w:hAnsi="Times New Roman" w:cs="Times New Roman"/>
          <w:sz w:val="24"/>
          <w:szCs w:val="24"/>
          <w:lang w:eastAsia="it-IT"/>
        </w:rPr>
        <w:t xml:space="preserve">sia </w:t>
      </w:r>
      <w:r w:rsidR="00E61FA7">
        <w:rPr>
          <w:rFonts w:ascii="Times New Roman" w:hAnsi="Times New Roman" w:cs="Times New Roman"/>
          <w:sz w:val="24"/>
          <w:szCs w:val="24"/>
          <w:lang w:eastAsia="it-IT"/>
        </w:rPr>
        <w:t xml:space="preserve">stata </w:t>
      </w:r>
      <w:r>
        <w:rPr>
          <w:rFonts w:ascii="Times New Roman" w:hAnsi="Times New Roman" w:cs="Times New Roman"/>
          <w:sz w:val="24"/>
          <w:szCs w:val="24"/>
          <w:lang w:eastAsia="it-IT"/>
        </w:rPr>
        <w:t xml:space="preserve">resa con riferimento alle condizioni </w:t>
      </w:r>
      <w:r w:rsidR="00E61FA7">
        <w:rPr>
          <w:rFonts w:ascii="Times New Roman" w:hAnsi="Times New Roman" w:cs="Times New Roman"/>
          <w:sz w:val="24"/>
          <w:szCs w:val="24"/>
          <w:lang w:eastAsia="it-IT"/>
        </w:rPr>
        <w:t xml:space="preserve">necessarie </w:t>
      </w:r>
      <w:r>
        <w:rPr>
          <w:rFonts w:ascii="Times New Roman" w:hAnsi="Times New Roman" w:cs="Times New Roman"/>
          <w:sz w:val="24"/>
          <w:szCs w:val="24"/>
          <w:lang w:eastAsia="it-IT"/>
        </w:rPr>
        <w:t>perché possano essere riconosciute forme di autonomia regionale differenziate ai sensi de</w:t>
      </w:r>
      <w:r w:rsidRPr="00F24AF9">
        <w:rPr>
          <w:rFonts w:ascii="Times New Roman" w:hAnsi="Times New Roman" w:cs="Times New Roman"/>
          <w:sz w:val="24"/>
          <w:szCs w:val="24"/>
          <w:lang w:eastAsia="it-IT"/>
        </w:rPr>
        <w:t xml:space="preserve">ll’art. 116, </w:t>
      </w:r>
      <w:r w:rsidRPr="00F24AF9">
        <w:rPr>
          <w:rFonts w:ascii="Times New Roman" w:hAnsi="Times New Roman" w:cs="Times New Roman"/>
          <w:sz w:val="24"/>
          <w:szCs w:val="24"/>
          <w:lang w:eastAsia="it-IT"/>
        </w:rPr>
        <w:lastRenderedPageBreak/>
        <w:t>terzo comma, Cost.</w:t>
      </w:r>
      <w:r>
        <w:rPr>
          <w:rFonts w:ascii="Times New Roman" w:hAnsi="Times New Roman" w:cs="Times New Roman"/>
          <w:sz w:val="24"/>
          <w:szCs w:val="24"/>
          <w:lang w:eastAsia="it-IT"/>
        </w:rPr>
        <w:t xml:space="preserve">, rileva il principio </w:t>
      </w:r>
      <w:r w:rsidR="00400E1A">
        <w:rPr>
          <w:rFonts w:ascii="Times New Roman" w:hAnsi="Times New Roman" w:cs="Times New Roman"/>
          <w:sz w:val="24"/>
          <w:szCs w:val="24"/>
          <w:lang w:eastAsia="it-IT"/>
        </w:rPr>
        <w:t xml:space="preserve">ivi </w:t>
      </w:r>
      <w:r>
        <w:rPr>
          <w:rFonts w:ascii="Times New Roman" w:hAnsi="Times New Roman" w:cs="Times New Roman"/>
          <w:sz w:val="24"/>
          <w:szCs w:val="24"/>
          <w:lang w:eastAsia="it-IT"/>
        </w:rPr>
        <w:t>affermato che porta a ritenere che non possano configurarsi LEP senza finanziamento e pertanto che una volta consumato a livello normativo il bilanciamento con i vincoli finanziari</w:t>
      </w:r>
      <w:r w:rsidR="00CF7B8F">
        <w:rPr>
          <w:rFonts w:ascii="Times New Roman" w:hAnsi="Times New Roman" w:cs="Times New Roman"/>
          <w:sz w:val="24"/>
          <w:szCs w:val="24"/>
          <w:lang w:eastAsia="it-IT"/>
        </w:rPr>
        <w:t>, questi ultimi non possano più trovare spazio nell’ambito del procedimento amministrativo a valle</w:t>
      </w:r>
      <w:r>
        <w:rPr>
          <w:rFonts w:ascii="Times New Roman" w:hAnsi="Times New Roman" w:cs="Times New Roman"/>
          <w:sz w:val="24"/>
          <w:szCs w:val="24"/>
          <w:lang w:eastAsia="it-IT"/>
        </w:rPr>
        <w:t>.</w:t>
      </w:r>
    </w:p>
    <w:p w14:paraId="0CA23066" w14:textId="10AC071B" w:rsidR="00822426" w:rsidRPr="00132B85" w:rsidRDefault="00822426"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Ne consegue che una volta determinati i LEP</w:t>
      </w:r>
      <w:r w:rsidR="00CF7B8F">
        <w:rPr>
          <w:rFonts w:ascii="Times New Roman" w:hAnsi="Times New Roman" w:cs="Times New Roman"/>
          <w:sz w:val="24"/>
          <w:szCs w:val="24"/>
          <w:lang w:eastAsia="it-IT"/>
        </w:rPr>
        <w:t xml:space="preserve"> a livello statale</w:t>
      </w:r>
      <w:r w:rsidRPr="00132B85">
        <w:rPr>
          <w:rFonts w:ascii="Times New Roman" w:hAnsi="Times New Roman" w:cs="Times New Roman"/>
          <w:sz w:val="24"/>
          <w:szCs w:val="24"/>
          <w:lang w:eastAsia="it-IT"/>
        </w:rPr>
        <w:t>, gli enti territoriali devono poter disporre delle necessarie risorse per assicurarli a</w:t>
      </w:r>
      <w:r w:rsidR="00CF7B8F">
        <w:rPr>
          <w:rFonts w:ascii="Times New Roman" w:hAnsi="Times New Roman" w:cs="Times New Roman"/>
          <w:sz w:val="24"/>
          <w:szCs w:val="24"/>
          <w:lang w:eastAsia="it-IT"/>
        </w:rPr>
        <w:t>gli interessati</w:t>
      </w:r>
      <w:r w:rsidRPr="00132B85">
        <w:rPr>
          <w:rFonts w:ascii="Times New Roman" w:hAnsi="Times New Roman" w:cs="Times New Roman"/>
          <w:sz w:val="24"/>
          <w:szCs w:val="24"/>
          <w:lang w:eastAsia="it-IT"/>
        </w:rPr>
        <w:t>.</w:t>
      </w:r>
    </w:p>
    <w:p w14:paraId="45277F90" w14:textId="43B2D2AC" w:rsidR="00822426" w:rsidRPr="00132B85" w:rsidRDefault="00822426" w:rsidP="006148BE">
      <w:pPr>
        <w:jc w:val="both"/>
        <w:rPr>
          <w:rFonts w:ascii="Times New Roman" w:hAnsi="Times New Roman" w:cs="Times New Roman"/>
          <w:sz w:val="24"/>
          <w:szCs w:val="24"/>
          <w:lang w:eastAsia="it-IT"/>
        </w:rPr>
      </w:pPr>
      <w:r w:rsidRPr="00132B85">
        <w:rPr>
          <w:rFonts w:ascii="Times New Roman" w:hAnsi="Times New Roman" w:cs="Times New Roman"/>
          <w:sz w:val="24"/>
          <w:szCs w:val="24"/>
          <w:lang w:eastAsia="it-IT"/>
        </w:rPr>
        <w:t xml:space="preserve">I canali attraverso cui assicurare tali risorse sono quelli previsti dall’art. 119 Cost. e dunque anche attraverso il fondo perequativo (artt. 8, comma 1, lettera </w:t>
      </w:r>
      <w:r w:rsidRPr="00132B85">
        <w:rPr>
          <w:rFonts w:ascii="Times New Roman" w:hAnsi="Times New Roman" w:cs="Times New Roman"/>
          <w:i/>
          <w:sz w:val="24"/>
          <w:szCs w:val="24"/>
          <w:lang w:eastAsia="it-IT"/>
        </w:rPr>
        <w:t>g</w:t>
      </w:r>
      <w:r w:rsidRPr="00132B85">
        <w:rPr>
          <w:rFonts w:ascii="Times New Roman" w:hAnsi="Times New Roman" w:cs="Times New Roman"/>
          <w:sz w:val="24"/>
          <w:szCs w:val="24"/>
          <w:lang w:eastAsia="it-IT"/>
        </w:rPr>
        <w:t>, e 9 della l</w:t>
      </w:r>
      <w:r w:rsidR="009D7DE3">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t xml:space="preserve"> n. 42 del 2009; art. 15 del d.</w:t>
      </w:r>
      <w:r w:rsidR="009D7DE3" w:rsidRPr="009D7DE3">
        <w:rPr>
          <w:rFonts w:ascii="Times New Roman" w:hAnsi="Times New Roman" w:cs="Times New Roman"/>
          <w:sz w:val="24"/>
          <w:szCs w:val="24"/>
        </w:rPr>
        <w:t xml:space="preserve"> </w:t>
      </w:r>
      <w:r w:rsidR="009D7DE3" w:rsidRPr="00132B85">
        <w:rPr>
          <w:rFonts w:ascii="Times New Roman" w:hAnsi="Times New Roman" w:cs="Times New Roman"/>
          <w:sz w:val="24"/>
          <w:szCs w:val="24"/>
        </w:rPr>
        <w:t>l</w:t>
      </w:r>
      <w:r w:rsidR="009D7DE3">
        <w:rPr>
          <w:rFonts w:ascii="Times New Roman" w:hAnsi="Times New Roman" w:cs="Times New Roman"/>
          <w:sz w:val="24"/>
          <w:szCs w:val="24"/>
        </w:rPr>
        <w:t>egisl.</w:t>
      </w:r>
      <w:r w:rsidRPr="00132B85">
        <w:rPr>
          <w:rFonts w:ascii="Times New Roman" w:hAnsi="Times New Roman" w:cs="Times New Roman"/>
          <w:sz w:val="24"/>
          <w:szCs w:val="24"/>
          <w:lang w:eastAsia="it-IT"/>
        </w:rPr>
        <w:t xml:space="preserve"> n. 68 del 2011)</w:t>
      </w:r>
      <w:r w:rsidR="00DB7FCF">
        <w:rPr>
          <w:rFonts w:ascii="Times New Roman" w:hAnsi="Times New Roman" w:cs="Times New Roman"/>
          <w:sz w:val="24"/>
          <w:szCs w:val="24"/>
          <w:lang w:eastAsia="it-IT"/>
        </w:rPr>
        <w:t>, tuttora inattuato</w:t>
      </w:r>
      <w:r w:rsidRPr="00132B85">
        <w:rPr>
          <w:rFonts w:ascii="Times New Roman" w:hAnsi="Times New Roman" w:cs="Times New Roman"/>
          <w:sz w:val="24"/>
          <w:szCs w:val="24"/>
          <w:lang w:eastAsia="it-IT"/>
        </w:rPr>
        <w:t>.</w:t>
      </w:r>
    </w:p>
    <w:p w14:paraId="3889AC7F" w14:textId="342DBF03" w:rsidR="00DB7FCF" w:rsidRDefault="00DB7FC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Perché vi sia poi una reale corrispondenza tra bisogni specifici delle persone che compongono la collettività e prestazioni ritenute essenziali dallo Stato, c</w:t>
      </w:r>
      <w:r w:rsidR="00CF7B8F">
        <w:rPr>
          <w:rFonts w:ascii="Times New Roman" w:hAnsi="Times New Roman" w:cs="Times New Roman"/>
          <w:sz w:val="24"/>
          <w:szCs w:val="24"/>
          <w:lang w:eastAsia="it-IT"/>
        </w:rPr>
        <w:t xml:space="preserve">entrale diviene la </w:t>
      </w:r>
      <w:r>
        <w:rPr>
          <w:rFonts w:ascii="Times New Roman" w:hAnsi="Times New Roman" w:cs="Times New Roman"/>
          <w:sz w:val="24"/>
          <w:szCs w:val="24"/>
          <w:lang w:eastAsia="it-IT"/>
        </w:rPr>
        <w:t>fase di costruzione e finanziamento dei LEP</w:t>
      </w:r>
      <w:r w:rsidR="007B4743">
        <w:rPr>
          <w:rFonts w:ascii="Times New Roman" w:hAnsi="Times New Roman" w:cs="Times New Roman"/>
          <w:sz w:val="24"/>
          <w:szCs w:val="24"/>
          <w:lang w:eastAsia="it-IT"/>
        </w:rPr>
        <w:t>, che ne richiede la loro “misurabilità” in termini di costi -per vero non sempre possibile- e la loro previsione in termini di quantificazione.</w:t>
      </w:r>
    </w:p>
    <w:p w14:paraId="7875B125" w14:textId="0352581B" w:rsidR="00822426" w:rsidRPr="00132B85" w:rsidRDefault="00DB7FCF"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Come è stato efficacemente osservato </w:t>
      </w:r>
      <w:r w:rsidRPr="00DB7FCF">
        <w:rPr>
          <w:rFonts w:ascii="Times New Roman" w:hAnsi="Times New Roman" w:cs="Times New Roman"/>
          <w:sz w:val="24"/>
          <w:szCs w:val="24"/>
          <w:lang w:eastAsia="it-IT"/>
        </w:rPr>
        <w:t>le risorse economico-finanziarie</w:t>
      </w:r>
      <w:r>
        <w:rPr>
          <w:rFonts w:ascii="Times New Roman" w:hAnsi="Times New Roman" w:cs="Times New Roman"/>
          <w:i/>
          <w:sz w:val="24"/>
          <w:szCs w:val="24"/>
          <w:lang w:eastAsia="it-IT"/>
        </w:rPr>
        <w:t xml:space="preserve"> “</w:t>
      </w:r>
      <w:r w:rsidRPr="00DB7FCF">
        <w:rPr>
          <w:rFonts w:ascii="Times New Roman" w:hAnsi="Times New Roman" w:cs="Times New Roman"/>
          <w:i/>
          <w:sz w:val="24"/>
          <w:szCs w:val="24"/>
          <w:lang w:eastAsia="it-IT"/>
        </w:rPr>
        <w:t>non sono un aliquid datum, ma una variabile legislativamente orientabile perché costituzionalmente orientata</w:t>
      </w:r>
      <w:r>
        <w:rPr>
          <w:rFonts w:ascii="Times New Roman" w:hAnsi="Times New Roman" w:cs="Times New Roman"/>
          <w:i/>
          <w:sz w:val="24"/>
          <w:szCs w:val="24"/>
          <w:lang w:eastAsia="it-IT"/>
        </w:rPr>
        <w:t>”</w:t>
      </w:r>
      <w:r w:rsidRPr="00DB7FCF">
        <w:rPr>
          <w:rStyle w:val="Rimandonotaapidipagina"/>
          <w:rFonts w:ascii="Times New Roman" w:hAnsi="Times New Roman" w:cs="Times New Roman"/>
          <w:i/>
          <w:sz w:val="24"/>
          <w:szCs w:val="24"/>
          <w:lang w:eastAsia="it-IT"/>
        </w:rPr>
        <w:footnoteReference w:id="68"/>
      </w:r>
      <w:r w:rsidRPr="00132B85">
        <w:rPr>
          <w:rFonts w:ascii="Times New Roman" w:hAnsi="Times New Roman" w:cs="Times New Roman"/>
          <w:sz w:val="24"/>
          <w:szCs w:val="24"/>
          <w:lang w:eastAsia="it-IT"/>
        </w:rPr>
        <w:t>.</w:t>
      </w:r>
      <w:r w:rsidRPr="00132B85">
        <w:rPr>
          <w:rFonts w:ascii="Times New Roman" w:hAnsi="Times New Roman" w:cs="Times New Roman"/>
          <w:sz w:val="24"/>
          <w:szCs w:val="24"/>
          <w:lang w:eastAsia="it-IT"/>
        </w:rPr>
        <w:cr/>
      </w:r>
      <w:r w:rsidR="007B4743">
        <w:rPr>
          <w:rFonts w:ascii="Times New Roman" w:hAnsi="Times New Roman" w:cs="Times New Roman"/>
          <w:sz w:val="24"/>
          <w:szCs w:val="24"/>
          <w:lang w:eastAsia="it-IT"/>
        </w:rPr>
        <w:t xml:space="preserve">In questo processo un ruolo fondamentale debbono assumere le Regioni e le Amministrazioni più prossime alla collettività, da cui attingere dati e informazioni per correttamente quantificare nella programmazione di bilancio le </w:t>
      </w:r>
      <w:r w:rsidR="00822426" w:rsidRPr="00132B85">
        <w:rPr>
          <w:rFonts w:ascii="Times New Roman" w:hAnsi="Times New Roman" w:cs="Times New Roman"/>
          <w:sz w:val="24"/>
          <w:szCs w:val="24"/>
          <w:lang w:eastAsia="it-IT"/>
        </w:rPr>
        <w:t>risorse finanziarie necessarie a garantir</w:t>
      </w:r>
      <w:r w:rsidR="007B4743">
        <w:rPr>
          <w:rFonts w:ascii="Times New Roman" w:hAnsi="Times New Roman" w:cs="Times New Roman"/>
          <w:sz w:val="24"/>
          <w:szCs w:val="24"/>
          <w:lang w:eastAsia="it-IT"/>
        </w:rPr>
        <w:t>e i LEP.</w:t>
      </w:r>
    </w:p>
    <w:p w14:paraId="0EDFA67A" w14:textId="736D6AE3" w:rsidR="00822426" w:rsidRPr="007B4743" w:rsidRDefault="007B4743"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L</w:t>
      </w:r>
      <w:r w:rsidR="00822426" w:rsidRPr="00132B85">
        <w:rPr>
          <w:rFonts w:ascii="Times New Roman" w:hAnsi="Times New Roman" w:cs="Times New Roman"/>
          <w:sz w:val="24"/>
          <w:szCs w:val="24"/>
          <w:lang w:eastAsia="it-IT"/>
        </w:rPr>
        <w:t xml:space="preserve">a determinazione previa dei costi (oltre che dei bisogni standard) finisce con l’assumere un ruolo decisivo poiché integra un elemento determinante per la individuazione delle risorse nazionali (in un sistema finanziario nazionale che è ancora </w:t>
      </w:r>
      <w:r w:rsidR="00822426" w:rsidRPr="007B4743">
        <w:rPr>
          <w:rFonts w:ascii="Times New Roman" w:hAnsi="Times New Roman" w:cs="Times New Roman"/>
          <w:sz w:val="24"/>
          <w:szCs w:val="24"/>
          <w:lang w:eastAsia="it-IT"/>
        </w:rPr>
        <w:t>prettamente di finanza derivata) da destinare alle singole Regioni perché queste siano messe nelle condizioni effettive di erogare i LEP.</w:t>
      </w:r>
    </w:p>
    <w:p w14:paraId="0DDA18F9" w14:textId="324589F3" w:rsidR="007B4743" w:rsidRDefault="00822426" w:rsidP="006148BE">
      <w:pPr>
        <w:jc w:val="both"/>
        <w:rPr>
          <w:rFonts w:ascii="Times New Roman" w:hAnsi="Times New Roman" w:cs="Times New Roman"/>
          <w:sz w:val="24"/>
          <w:szCs w:val="24"/>
          <w:lang w:eastAsia="it-IT"/>
        </w:rPr>
      </w:pPr>
      <w:r w:rsidRPr="007B4743">
        <w:rPr>
          <w:rFonts w:ascii="Times New Roman" w:hAnsi="Times New Roman" w:cs="Times New Roman"/>
          <w:sz w:val="24"/>
          <w:szCs w:val="24"/>
          <w:lang w:eastAsia="it-IT"/>
        </w:rPr>
        <w:t xml:space="preserve">Emblematica è la materia della sanità, per la quale la </w:t>
      </w:r>
      <w:r w:rsidR="005E140F">
        <w:rPr>
          <w:rFonts w:ascii="Times New Roman" w:hAnsi="Times New Roman" w:cs="Times New Roman"/>
          <w:sz w:val="24"/>
          <w:szCs w:val="24"/>
          <w:lang w:eastAsia="it-IT"/>
        </w:rPr>
        <w:t xml:space="preserve">quantificazione del finanziamento dei c.d. </w:t>
      </w:r>
      <w:r w:rsidRPr="007B4743">
        <w:rPr>
          <w:rFonts w:ascii="Times New Roman" w:hAnsi="Times New Roman" w:cs="Times New Roman"/>
          <w:sz w:val="24"/>
          <w:szCs w:val="24"/>
          <w:lang w:eastAsia="it-IT"/>
        </w:rPr>
        <w:t xml:space="preserve">LEA è avvenuta finora più su base capitaria e in ragione della c.d. spesa storica senza un reale collegamento diretto </w:t>
      </w:r>
      <w:r w:rsidRPr="00132B85">
        <w:rPr>
          <w:rFonts w:ascii="Times New Roman" w:hAnsi="Times New Roman" w:cs="Times New Roman"/>
          <w:sz w:val="24"/>
          <w:szCs w:val="24"/>
          <w:lang w:eastAsia="it-IT"/>
        </w:rPr>
        <w:t>con i livelli di servizio e i reali fabbisogni territoriali e di riflesso n</w:t>
      </w:r>
      <w:r w:rsidR="005E140F">
        <w:rPr>
          <w:rFonts w:ascii="Times New Roman" w:hAnsi="Times New Roman" w:cs="Times New Roman"/>
          <w:sz w:val="24"/>
          <w:szCs w:val="24"/>
          <w:lang w:eastAsia="it-IT"/>
        </w:rPr>
        <w:t>azionali</w:t>
      </w:r>
      <w:r w:rsidR="005E140F">
        <w:rPr>
          <w:rStyle w:val="Rimandonotaapidipagina"/>
          <w:rFonts w:ascii="Times New Roman" w:hAnsi="Times New Roman" w:cs="Times New Roman"/>
          <w:sz w:val="24"/>
          <w:szCs w:val="24"/>
          <w:lang w:eastAsia="it-IT"/>
        </w:rPr>
        <w:footnoteReference w:id="69"/>
      </w:r>
      <w:r w:rsidRPr="00132B85">
        <w:rPr>
          <w:rFonts w:ascii="Times New Roman" w:hAnsi="Times New Roman" w:cs="Times New Roman"/>
          <w:sz w:val="24"/>
          <w:szCs w:val="24"/>
          <w:lang w:eastAsia="it-IT"/>
        </w:rPr>
        <w:t xml:space="preserve">. </w:t>
      </w:r>
    </w:p>
    <w:p w14:paraId="59A13085" w14:textId="330AD8A3" w:rsidR="005E140F" w:rsidRDefault="00C21D73" w:rsidP="006148BE">
      <w:pPr>
        <w:jc w:val="both"/>
        <w:rPr>
          <w:rFonts w:ascii="Times New Roman" w:hAnsi="Times New Roman" w:cs="Times New Roman"/>
          <w:sz w:val="24"/>
          <w:szCs w:val="24"/>
          <w:lang w:eastAsia="it-IT"/>
        </w:rPr>
      </w:pPr>
      <w:r>
        <w:rPr>
          <w:rFonts w:ascii="Times New Roman" w:hAnsi="Times New Roman" w:cs="Times New Roman"/>
          <w:sz w:val="24"/>
          <w:szCs w:val="24"/>
          <w:lang w:eastAsia="it-IT"/>
        </w:rPr>
        <w:t>Pertanto è nelle sedi della programmazione finanziaria</w:t>
      </w:r>
      <w:r w:rsidR="008E4521">
        <w:rPr>
          <w:rFonts w:ascii="Times New Roman" w:hAnsi="Times New Roman" w:cs="Times New Roman"/>
          <w:sz w:val="24"/>
          <w:szCs w:val="24"/>
          <w:lang w:eastAsia="it-IT"/>
        </w:rPr>
        <w:t xml:space="preserve"> e</w:t>
      </w:r>
      <w:r>
        <w:rPr>
          <w:rFonts w:ascii="Times New Roman" w:hAnsi="Times New Roman" w:cs="Times New Roman"/>
          <w:sz w:val="24"/>
          <w:szCs w:val="24"/>
          <w:lang w:eastAsia="it-IT"/>
        </w:rPr>
        <w:t xml:space="preserve"> </w:t>
      </w:r>
      <w:r w:rsidR="00400E1A">
        <w:rPr>
          <w:rFonts w:ascii="Times New Roman" w:hAnsi="Times New Roman" w:cs="Times New Roman"/>
          <w:sz w:val="24"/>
          <w:szCs w:val="24"/>
          <w:lang w:eastAsia="it-IT"/>
        </w:rPr>
        <w:t xml:space="preserve">della </w:t>
      </w:r>
      <w:r>
        <w:rPr>
          <w:rFonts w:ascii="Times New Roman" w:hAnsi="Times New Roman" w:cs="Times New Roman"/>
          <w:sz w:val="24"/>
          <w:szCs w:val="24"/>
          <w:lang w:eastAsia="it-IT"/>
        </w:rPr>
        <w:t xml:space="preserve">ripartizione delle risorse </w:t>
      </w:r>
      <w:r w:rsidR="00400E1A">
        <w:rPr>
          <w:rFonts w:ascii="Times New Roman" w:hAnsi="Times New Roman" w:cs="Times New Roman"/>
          <w:sz w:val="24"/>
          <w:szCs w:val="24"/>
          <w:lang w:eastAsia="it-IT"/>
        </w:rPr>
        <w:t xml:space="preserve">idonee a </w:t>
      </w:r>
      <w:r>
        <w:rPr>
          <w:rFonts w:ascii="Times New Roman" w:hAnsi="Times New Roman" w:cs="Times New Roman"/>
          <w:sz w:val="24"/>
          <w:szCs w:val="24"/>
          <w:lang w:eastAsia="it-IT"/>
        </w:rPr>
        <w:t xml:space="preserve">dare attuazione ai LEP che si scorgono </w:t>
      </w:r>
      <w:r w:rsidR="008E4521">
        <w:rPr>
          <w:rFonts w:ascii="Times New Roman" w:hAnsi="Times New Roman" w:cs="Times New Roman"/>
          <w:sz w:val="24"/>
          <w:szCs w:val="24"/>
          <w:lang w:eastAsia="it-IT"/>
        </w:rPr>
        <w:t>gli ambiti di un’attività amministrativa di programmazione</w:t>
      </w:r>
      <w:r w:rsidR="00DC2CD3">
        <w:rPr>
          <w:rFonts w:ascii="Times New Roman" w:hAnsi="Times New Roman" w:cs="Times New Roman"/>
          <w:sz w:val="24"/>
          <w:szCs w:val="24"/>
          <w:lang w:eastAsia="it-IT"/>
        </w:rPr>
        <w:t xml:space="preserve"> suscettibile del </w:t>
      </w:r>
      <w:r w:rsidR="00DC2CD3" w:rsidRPr="00A11309">
        <w:rPr>
          <w:rFonts w:ascii="Times New Roman" w:hAnsi="Times New Roman" w:cs="Times New Roman"/>
          <w:sz w:val="24"/>
          <w:szCs w:val="24"/>
          <w:lang w:eastAsia="it-IT"/>
        </w:rPr>
        <w:t>sindacato del giudice amministrativo</w:t>
      </w:r>
      <w:r w:rsidR="00400E1A">
        <w:rPr>
          <w:rFonts w:ascii="Times New Roman" w:hAnsi="Times New Roman" w:cs="Times New Roman"/>
          <w:sz w:val="24"/>
          <w:szCs w:val="24"/>
          <w:lang w:eastAsia="it-IT"/>
        </w:rPr>
        <w:t xml:space="preserve">. Di contro </w:t>
      </w:r>
      <w:r w:rsidR="00DC2CD3" w:rsidRPr="00A11309">
        <w:rPr>
          <w:rFonts w:ascii="Times New Roman" w:hAnsi="Times New Roman" w:cs="Times New Roman"/>
          <w:sz w:val="24"/>
          <w:szCs w:val="24"/>
          <w:lang w:eastAsia="it-IT"/>
        </w:rPr>
        <w:t xml:space="preserve">il bilanciamento con i vincoli di bilancio, in prospettiva, non </w:t>
      </w:r>
      <w:r w:rsidR="00487795" w:rsidRPr="00A11309">
        <w:rPr>
          <w:rFonts w:ascii="Times New Roman" w:hAnsi="Times New Roman" w:cs="Times New Roman"/>
          <w:sz w:val="24"/>
          <w:szCs w:val="24"/>
          <w:lang w:eastAsia="it-IT"/>
        </w:rPr>
        <w:t>sembra</w:t>
      </w:r>
      <w:r w:rsidR="00DC2CD3" w:rsidRPr="00A11309">
        <w:rPr>
          <w:rFonts w:ascii="Times New Roman" w:hAnsi="Times New Roman" w:cs="Times New Roman"/>
          <w:sz w:val="24"/>
          <w:szCs w:val="24"/>
          <w:lang w:eastAsia="it-IT"/>
        </w:rPr>
        <w:t xml:space="preserve"> </w:t>
      </w:r>
      <w:r w:rsidR="00DC2CD3">
        <w:rPr>
          <w:rFonts w:ascii="Times New Roman" w:hAnsi="Times New Roman" w:cs="Times New Roman"/>
          <w:sz w:val="24"/>
          <w:szCs w:val="24"/>
          <w:lang w:eastAsia="it-IT"/>
        </w:rPr>
        <w:t xml:space="preserve">possa più trovare spazio nella determinazione provvedimentale che definisce la prestazione da riconoscersi alla singola persona, ed in particolare alla persona con disabilità. </w:t>
      </w:r>
    </w:p>
    <w:p w14:paraId="78BEC6A8" w14:textId="77777777" w:rsidR="00FA4483" w:rsidRDefault="00FA4483" w:rsidP="006148BE">
      <w:pPr>
        <w:jc w:val="both"/>
        <w:rPr>
          <w:rFonts w:ascii="Times New Roman" w:hAnsi="Times New Roman" w:cs="Times New Roman"/>
          <w:sz w:val="24"/>
          <w:szCs w:val="24"/>
          <w:lang w:eastAsia="it-IT"/>
        </w:rPr>
      </w:pPr>
    </w:p>
    <w:p w14:paraId="7F0D4768" w14:textId="77777777" w:rsidR="00FA4483" w:rsidRDefault="00FA4483" w:rsidP="006148BE">
      <w:pPr>
        <w:jc w:val="both"/>
        <w:rPr>
          <w:rFonts w:ascii="Times New Roman" w:hAnsi="Times New Roman" w:cs="Times New Roman"/>
          <w:sz w:val="24"/>
          <w:szCs w:val="24"/>
          <w:lang w:eastAsia="it-IT"/>
        </w:rPr>
      </w:pPr>
    </w:p>
    <w:p w14:paraId="56FFE606" w14:textId="6E2D80D3" w:rsidR="00FA4483" w:rsidRDefault="00FA4483" w:rsidP="00FA4483">
      <w:pPr>
        <w:spacing w:after="0"/>
        <w:rPr>
          <w:rFonts w:ascii="Times New Roman" w:hAnsi="Times New Roman" w:cs="Times New Roman"/>
          <w:i/>
          <w:iCs/>
        </w:rPr>
      </w:pPr>
      <w:r>
        <w:rPr>
          <w:rFonts w:ascii="Times New Roman" w:hAnsi="Times New Roman" w:cs="Times New Roman"/>
          <w:i/>
          <w:iCs/>
        </w:rPr>
        <w:lastRenderedPageBreak/>
        <w:t>Silvia Piemonte</w:t>
      </w:r>
      <w:r w:rsidRPr="005E1614">
        <w:rPr>
          <w:rFonts w:ascii="Times New Roman" w:hAnsi="Times New Roman" w:cs="Times New Roman"/>
          <w:i/>
          <w:iCs/>
        </w:rPr>
        <w:t xml:space="preserve">, </w:t>
      </w:r>
      <w:r>
        <w:rPr>
          <w:rFonts w:ascii="Times New Roman" w:hAnsi="Times New Roman" w:cs="Times New Roman"/>
          <w:i/>
          <w:iCs/>
        </w:rPr>
        <w:t>Primo Referendario Tar Lazio</w:t>
      </w:r>
    </w:p>
    <w:p w14:paraId="32285045" w14:textId="77777777" w:rsidR="00FA4483" w:rsidRPr="005E1614" w:rsidRDefault="00FA4483" w:rsidP="00FA4483">
      <w:pPr>
        <w:spacing w:after="0"/>
        <w:rPr>
          <w:rFonts w:ascii="Times New Roman" w:hAnsi="Times New Roman" w:cs="Times New Roman"/>
          <w:i/>
          <w:iCs/>
        </w:rPr>
      </w:pPr>
    </w:p>
    <w:p w14:paraId="4F9C239C" w14:textId="77777777" w:rsidR="00FA4483" w:rsidRPr="005E1614" w:rsidRDefault="00FA4483" w:rsidP="00FA4483">
      <w:pPr>
        <w:spacing w:after="0"/>
        <w:rPr>
          <w:rFonts w:ascii="Times New Roman" w:hAnsi="Times New Roman" w:cs="Times New Roman"/>
          <w:i/>
          <w:iCs/>
        </w:rPr>
      </w:pPr>
      <w:r w:rsidRPr="005E1614">
        <w:rPr>
          <w:rFonts w:ascii="Times New Roman" w:hAnsi="Times New Roman" w:cs="Times New Roman"/>
          <w:i/>
          <w:iCs/>
        </w:rPr>
        <w:t xml:space="preserve">Le opinioni di cui al presente contributo sono espresse dall’Autrice a titolo personale; esse non impegnano l'Ufficio studi della Giustizia amministrativa, né quest'ultima quale Istituzione. </w:t>
      </w:r>
    </w:p>
    <w:p w14:paraId="340EE885" w14:textId="77777777" w:rsidR="00FA4483" w:rsidRPr="003C0FF1" w:rsidRDefault="00FA4483" w:rsidP="00FA4483">
      <w:pPr>
        <w:spacing w:after="0"/>
        <w:rPr>
          <w:rFonts w:ascii="Times New Roman" w:hAnsi="Times New Roman" w:cs="Times New Roman"/>
        </w:rPr>
      </w:pPr>
    </w:p>
    <w:p w14:paraId="3B340DBD" w14:textId="77777777" w:rsidR="00FA4483" w:rsidRDefault="00FA4483" w:rsidP="006148BE">
      <w:pPr>
        <w:jc w:val="both"/>
        <w:rPr>
          <w:rFonts w:ascii="Times New Roman" w:hAnsi="Times New Roman" w:cs="Times New Roman"/>
          <w:sz w:val="24"/>
          <w:szCs w:val="24"/>
          <w:lang w:eastAsia="it-IT"/>
        </w:rPr>
      </w:pPr>
    </w:p>
    <w:sectPr w:rsidR="00FA448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54DA" w14:textId="77777777" w:rsidR="00C526E1" w:rsidRDefault="00C526E1" w:rsidP="00300FFD">
      <w:pPr>
        <w:spacing w:after="0" w:line="240" w:lineRule="auto"/>
      </w:pPr>
      <w:r>
        <w:separator/>
      </w:r>
    </w:p>
  </w:endnote>
  <w:endnote w:type="continuationSeparator" w:id="0">
    <w:p w14:paraId="6377A2B1" w14:textId="77777777" w:rsidR="00C526E1" w:rsidRDefault="00C526E1" w:rsidP="0030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74752"/>
      <w:docPartObj>
        <w:docPartGallery w:val="Page Numbers (Bottom of Page)"/>
        <w:docPartUnique/>
      </w:docPartObj>
    </w:sdtPr>
    <w:sdtEndPr/>
    <w:sdtContent>
      <w:p w14:paraId="441F38D6" w14:textId="126DA61D" w:rsidR="00263EC4" w:rsidRDefault="00263EC4">
        <w:pPr>
          <w:pStyle w:val="Pidipagina"/>
          <w:jc w:val="center"/>
        </w:pPr>
        <w:r>
          <w:fldChar w:fldCharType="begin"/>
        </w:r>
        <w:r>
          <w:instrText>PAGE   \* MERGEFORMAT</w:instrText>
        </w:r>
        <w:r>
          <w:fldChar w:fldCharType="separate"/>
        </w:r>
        <w:r w:rsidR="00E033F1">
          <w:rPr>
            <w:noProof/>
          </w:rPr>
          <w:t>27</w:t>
        </w:r>
        <w:r>
          <w:fldChar w:fldCharType="end"/>
        </w:r>
      </w:p>
    </w:sdtContent>
  </w:sdt>
  <w:p w14:paraId="6854E1C2" w14:textId="77777777" w:rsidR="00263EC4" w:rsidRDefault="00263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C6CF" w14:textId="77777777" w:rsidR="00C526E1" w:rsidRDefault="00C526E1" w:rsidP="00300FFD">
      <w:pPr>
        <w:spacing w:after="0" w:line="240" w:lineRule="auto"/>
      </w:pPr>
      <w:r>
        <w:separator/>
      </w:r>
    </w:p>
  </w:footnote>
  <w:footnote w:type="continuationSeparator" w:id="0">
    <w:p w14:paraId="674083C8" w14:textId="77777777" w:rsidR="00C526E1" w:rsidRDefault="00C526E1" w:rsidP="00300FFD">
      <w:pPr>
        <w:spacing w:after="0" w:line="240" w:lineRule="auto"/>
      </w:pPr>
      <w:r>
        <w:continuationSeparator/>
      </w:r>
    </w:p>
  </w:footnote>
  <w:footnote w:id="1">
    <w:p w14:paraId="13C14072" w14:textId="66A50B56"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*Il presente lavoro è frutto di riflessioni esposte in occasione della Relazione al convegno di Studi della Giustizia amministrativa in tema di “Ottemperanza ed esecuzione negli enti locali, tra scelte amministrative e poteri del giudice”, tenutosi a Siracusa il 3 e 4 ottobre 2025.</w:t>
      </w:r>
    </w:p>
    <w:p w14:paraId="06860B6D" w14:textId="2B1AB0A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Pr>
          <w:rFonts w:ascii="Times New Roman" w:hAnsi="Times New Roman" w:cs="Times New Roman"/>
        </w:rPr>
        <w:t xml:space="preserve"> L. Elia- G. Busia, </w:t>
      </w:r>
      <w:r w:rsidRPr="00315F41">
        <w:rPr>
          <w:rFonts w:ascii="Times New Roman" w:hAnsi="Times New Roman" w:cs="Times New Roman"/>
          <w:i/>
        </w:rPr>
        <w:t>Stato democratico</w:t>
      </w:r>
      <w:r>
        <w:rPr>
          <w:rFonts w:ascii="Times New Roman" w:hAnsi="Times New Roman" w:cs="Times New Roman"/>
        </w:rPr>
        <w:t xml:space="preserve"> (voce), in </w:t>
      </w:r>
      <w:r w:rsidRPr="00315F41">
        <w:rPr>
          <w:rFonts w:ascii="Times New Roman" w:hAnsi="Times New Roman" w:cs="Times New Roman"/>
          <w:i/>
        </w:rPr>
        <w:t>Dig</w:t>
      </w:r>
      <w:r>
        <w:rPr>
          <w:rFonts w:ascii="Times New Roman" w:hAnsi="Times New Roman" w:cs="Times New Roman"/>
          <w:i/>
        </w:rPr>
        <w:t xml:space="preserve">. </w:t>
      </w:r>
      <w:r w:rsidRPr="00315F41">
        <w:rPr>
          <w:rFonts w:ascii="Times New Roman" w:hAnsi="Times New Roman" w:cs="Times New Roman"/>
          <w:i/>
        </w:rPr>
        <w:t>pubbl.</w:t>
      </w:r>
      <w:r>
        <w:rPr>
          <w:rFonts w:ascii="Times New Roman" w:hAnsi="Times New Roman" w:cs="Times New Roman"/>
        </w:rPr>
        <w:t xml:space="preserve">, vol. XV, Torino, 1999, 72; </w:t>
      </w:r>
      <w:r w:rsidRPr="00DC03B9">
        <w:rPr>
          <w:rFonts w:ascii="Times New Roman" w:hAnsi="Times New Roman" w:cs="Times New Roman"/>
        </w:rPr>
        <w:t xml:space="preserve">M. Luciani, </w:t>
      </w:r>
      <w:r w:rsidRPr="00DC03B9">
        <w:rPr>
          <w:rFonts w:ascii="Times New Roman" w:hAnsi="Times New Roman" w:cs="Times New Roman"/>
          <w:i/>
        </w:rPr>
        <w:t>Diritti sociali e livelli essenziali delle prestazioni pubbliche nei sessant’anni della Corte costituzionale</w:t>
      </w:r>
      <w:r w:rsidRPr="00DC03B9">
        <w:rPr>
          <w:rFonts w:ascii="Times New Roman" w:hAnsi="Times New Roman" w:cs="Times New Roman"/>
        </w:rPr>
        <w:t xml:space="preserve">, in </w:t>
      </w:r>
      <w:r w:rsidRPr="00DC03B9">
        <w:rPr>
          <w:rFonts w:ascii="Times New Roman" w:hAnsi="Times New Roman" w:cs="Times New Roman"/>
          <w:i/>
        </w:rPr>
        <w:t>Rivista AIC</w:t>
      </w:r>
      <w:r w:rsidRPr="00DC03B9">
        <w:rPr>
          <w:rFonts w:ascii="Times New Roman" w:hAnsi="Times New Roman" w:cs="Times New Roman"/>
        </w:rPr>
        <w:t xml:space="preserve">, 3/2016; E. Cheli, </w:t>
      </w:r>
      <w:r w:rsidRPr="00DC03B9">
        <w:rPr>
          <w:rFonts w:ascii="Times New Roman" w:hAnsi="Times New Roman" w:cs="Times New Roman"/>
          <w:i/>
        </w:rPr>
        <w:t>Classificazione e protezione dei diritti economici e sociali nella Costituzione italiana</w:t>
      </w:r>
      <w:r w:rsidRPr="00DC03B9">
        <w:rPr>
          <w:rFonts w:ascii="Times New Roman" w:hAnsi="Times New Roman" w:cs="Times New Roman"/>
        </w:rPr>
        <w:t xml:space="preserve">, in </w:t>
      </w:r>
      <w:r w:rsidRPr="00DC03B9">
        <w:rPr>
          <w:rFonts w:ascii="Times New Roman" w:hAnsi="Times New Roman" w:cs="Times New Roman"/>
          <w:i/>
        </w:rPr>
        <w:t>Scritti in onore di L. Mengoni. Le ragioni del diritto</w:t>
      </w:r>
      <w:r w:rsidRPr="00DC03B9">
        <w:rPr>
          <w:rFonts w:ascii="Times New Roman" w:hAnsi="Times New Roman" w:cs="Times New Roman"/>
        </w:rPr>
        <w:t xml:space="preserve">, Milano 1995, 1773 ss. S. Holmes, </w:t>
      </w:r>
      <w:r w:rsidRPr="00DC03B9">
        <w:rPr>
          <w:rFonts w:ascii="Times New Roman" w:hAnsi="Times New Roman" w:cs="Times New Roman"/>
          <w:i/>
        </w:rPr>
        <w:t>Il costo dei diritti. Perché la libertà dipende dalle tasse</w:t>
      </w:r>
      <w:r w:rsidRPr="00DC03B9">
        <w:rPr>
          <w:rFonts w:ascii="Times New Roman" w:hAnsi="Times New Roman" w:cs="Times New Roman"/>
        </w:rPr>
        <w:t xml:space="preserve">, Bologna, 2000. </w:t>
      </w:r>
    </w:p>
  </w:footnote>
  <w:footnote w:id="2">
    <w:p w14:paraId="053FE9AE" w14:textId="07D96A7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Sui diritti sociali A. Baldassare, </w:t>
      </w:r>
      <w:r w:rsidRPr="00DC03B9">
        <w:rPr>
          <w:rFonts w:ascii="Times New Roman" w:hAnsi="Times New Roman" w:cs="Times New Roman"/>
          <w:i/>
        </w:rPr>
        <w:t>Diritti sociali</w:t>
      </w:r>
      <w:r w:rsidRPr="00DC03B9">
        <w:rPr>
          <w:rFonts w:ascii="Times New Roman" w:hAnsi="Times New Roman" w:cs="Times New Roman"/>
        </w:rPr>
        <w:t xml:space="preserve">, in </w:t>
      </w:r>
      <w:r w:rsidRPr="00DC03B9">
        <w:rPr>
          <w:rFonts w:ascii="Times New Roman" w:hAnsi="Times New Roman" w:cs="Times New Roman"/>
          <w:i/>
        </w:rPr>
        <w:t>Enc giur.</w:t>
      </w:r>
      <w:r w:rsidRPr="00DC03B9">
        <w:rPr>
          <w:rFonts w:ascii="Times New Roman" w:hAnsi="Times New Roman" w:cs="Times New Roman"/>
        </w:rPr>
        <w:t xml:space="preserve">, Roma, 1989, 1 </w:t>
      </w:r>
      <w:r>
        <w:rPr>
          <w:rFonts w:ascii="Times New Roman" w:hAnsi="Times New Roman" w:cs="Times New Roman"/>
        </w:rPr>
        <w:t xml:space="preserve">e </w:t>
      </w:r>
      <w:r w:rsidRPr="00DC03B9">
        <w:rPr>
          <w:rFonts w:ascii="Times New Roman" w:hAnsi="Times New Roman" w:cs="Times New Roman"/>
        </w:rPr>
        <w:t>ss.; M.</w:t>
      </w:r>
      <w:r>
        <w:rPr>
          <w:rFonts w:ascii="Times New Roman" w:hAnsi="Times New Roman" w:cs="Times New Roman"/>
        </w:rPr>
        <w:t xml:space="preserve"> </w:t>
      </w:r>
      <w:r w:rsidRPr="00DC03B9">
        <w:rPr>
          <w:rFonts w:ascii="Times New Roman" w:hAnsi="Times New Roman" w:cs="Times New Roman"/>
        </w:rPr>
        <w:t xml:space="preserve">Benvenuti, </w:t>
      </w:r>
      <w:r w:rsidRPr="00DC03B9">
        <w:rPr>
          <w:rFonts w:ascii="Times New Roman" w:hAnsi="Times New Roman" w:cs="Times New Roman"/>
          <w:i/>
        </w:rPr>
        <w:t>Diritti sociali</w:t>
      </w:r>
      <w:r w:rsidRPr="00DC03B9">
        <w:rPr>
          <w:rFonts w:ascii="Times New Roman" w:hAnsi="Times New Roman" w:cs="Times New Roman"/>
        </w:rPr>
        <w:t xml:space="preserve">, in </w:t>
      </w:r>
      <w:r w:rsidRPr="00315F41">
        <w:rPr>
          <w:rFonts w:ascii="Times New Roman" w:hAnsi="Times New Roman" w:cs="Times New Roman"/>
          <w:i/>
        </w:rPr>
        <w:t>Dig</w:t>
      </w:r>
      <w:r>
        <w:rPr>
          <w:rFonts w:ascii="Times New Roman" w:hAnsi="Times New Roman" w:cs="Times New Roman"/>
          <w:i/>
        </w:rPr>
        <w:t xml:space="preserve">. </w:t>
      </w:r>
      <w:r w:rsidRPr="00315F41">
        <w:rPr>
          <w:rFonts w:ascii="Times New Roman" w:hAnsi="Times New Roman" w:cs="Times New Roman"/>
          <w:i/>
        </w:rPr>
        <w:t>pubbl</w:t>
      </w:r>
      <w:r>
        <w:rPr>
          <w:rFonts w:ascii="Times New Roman" w:hAnsi="Times New Roman" w:cs="Times New Roman"/>
          <w:i/>
        </w:rPr>
        <w:t xml:space="preserve">,, </w:t>
      </w:r>
      <w:r w:rsidRPr="00DC03B9">
        <w:rPr>
          <w:rFonts w:ascii="Times New Roman" w:hAnsi="Times New Roman" w:cs="Times New Roman"/>
        </w:rPr>
        <w:t xml:space="preserve"> Torino, 2012, 219 e ss.</w:t>
      </w:r>
    </w:p>
  </w:footnote>
  <w:footnote w:id="3">
    <w:p w14:paraId="216845BA" w14:textId="50754FA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 Bobbio, </w:t>
      </w:r>
      <w:r w:rsidRPr="00DC03B9">
        <w:rPr>
          <w:rFonts w:ascii="Times New Roman" w:hAnsi="Times New Roman" w:cs="Times New Roman"/>
          <w:i/>
        </w:rPr>
        <w:t>L’età dei diritti</w:t>
      </w:r>
      <w:r w:rsidRPr="00DC03B9">
        <w:rPr>
          <w:rFonts w:ascii="Times New Roman" w:hAnsi="Times New Roman" w:cs="Times New Roman"/>
        </w:rPr>
        <w:t>, Torino, ult.ed. 2014, pp. 61-65.</w:t>
      </w:r>
    </w:p>
  </w:footnote>
  <w:footnote w:id="4">
    <w:p w14:paraId="38E3AA84" w14:textId="1CF163D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 Bobbio, ult. cit.</w:t>
      </w:r>
    </w:p>
  </w:footnote>
  <w:footnote w:id="5">
    <w:p w14:paraId="2C974074" w14:textId="2003F24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Merusi, </w:t>
      </w:r>
      <w:r w:rsidRPr="00DC03B9">
        <w:rPr>
          <w:rFonts w:ascii="Times New Roman" w:hAnsi="Times New Roman" w:cs="Times New Roman"/>
          <w:i/>
        </w:rPr>
        <w:t>I servizi pubblici negli anni 80</w:t>
      </w:r>
      <w:r w:rsidRPr="00DC03B9">
        <w:rPr>
          <w:rFonts w:ascii="Times New Roman" w:hAnsi="Times New Roman" w:cs="Times New Roman"/>
        </w:rPr>
        <w:t xml:space="preserve">, in AA.VV. </w:t>
      </w:r>
      <w:r w:rsidRPr="00DC03B9">
        <w:rPr>
          <w:rFonts w:ascii="Times New Roman" w:hAnsi="Times New Roman" w:cs="Times New Roman"/>
          <w:i/>
        </w:rPr>
        <w:t>Servizi pubblici instabili</w:t>
      </w:r>
      <w:r w:rsidRPr="00DC03B9">
        <w:rPr>
          <w:rFonts w:ascii="Times New Roman" w:hAnsi="Times New Roman" w:cs="Times New Roman"/>
        </w:rPr>
        <w:t>, Bologna, 1990, pp. 30-31.</w:t>
      </w:r>
    </w:p>
  </w:footnote>
  <w:footnote w:id="6">
    <w:p w14:paraId="4F136D0A" w14:textId="2804846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Modugno, </w:t>
      </w:r>
      <w:r w:rsidRPr="00DC03B9">
        <w:rPr>
          <w:rFonts w:ascii="Times New Roman" w:hAnsi="Times New Roman" w:cs="Times New Roman"/>
          <w:i/>
        </w:rPr>
        <w:t>I nuovi diritti nella Giurisprudenza costituzionale</w:t>
      </w:r>
      <w:r w:rsidRPr="00DC03B9">
        <w:rPr>
          <w:rFonts w:ascii="Times New Roman" w:hAnsi="Times New Roman" w:cs="Times New Roman"/>
        </w:rPr>
        <w:t xml:space="preserve">, Torino, 1995, 65 ss. C.Colapietro, </w:t>
      </w:r>
      <w:r w:rsidRPr="00DC03B9">
        <w:rPr>
          <w:rFonts w:ascii="Times New Roman" w:hAnsi="Times New Roman" w:cs="Times New Roman"/>
          <w:i/>
        </w:rPr>
        <w:t>La giurisprudenza costituzionale nella crisi dello stato sociale</w:t>
      </w:r>
      <w:r w:rsidRPr="00DC03B9">
        <w:rPr>
          <w:rFonts w:ascii="Times New Roman" w:hAnsi="Times New Roman" w:cs="Times New Roman"/>
        </w:rPr>
        <w:t>, Padova, 1996, 370 ss</w:t>
      </w:r>
    </w:p>
  </w:footnote>
  <w:footnote w:id="7">
    <w:p w14:paraId="05CD287C" w14:textId="596171D6" w:rsidR="00263EC4" w:rsidRPr="00DC03B9" w:rsidRDefault="00263EC4" w:rsidP="00B6273E">
      <w:pPr>
        <w:jc w:val="both"/>
        <w:rPr>
          <w:rFonts w:ascii="Times New Roman" w:hAnsi="Times New Roman" w:cs="Times New Roman"/>
          <w:i/>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Cons. St, </w:t>
      </w:r>
      <w:r w:rsidRPr="00DC03B9">
        <w:rPr>
          <w:rFonts w:ascii="Times New Roman" w:hAnsi="Times New Roman" w:cs="Times New Roman"/>
          <w:sz w:val="20"/>
          <w:szCs w:val="20"/>
          <w:lang w:eastAsia="it-IT"/>
        </w:rPr>
        <w:t>Ad pl., 12 aprile 2016, n. 7, ove proprio con riferimento al diritto di un alunno con disabilità ad avere un insegnante di sostegno per un numero di ore adeguate alla sua patologia, previa valutazione, da effettuarsi, anno per anno, in sede di PEI, delle concrete esigenze, sia per l’anno scolastico in corso, sia per quelli successivi, l’Adunanza Plenaria ha ritenuto estesa anche a tali fattispecie la giurisdizione esclusiva amministrativa in materia di servizio pubblico scolastico (per come descritta dall’art.133, comma 1, lett. c, del c.p.a.) trattandosi  come ritenuto da Sezioni Unite (n.25011 del 2014) di “</w:t>
      </w:r>
      <w:r w:rsidRPr="00DC03B9">
        <w:rPr>
          <w:rFonts w:ascii="Times New Roman" w:hAnsi="Times New Roman" w:cs="Times New Roman"/>
          <w:i/>
          <w:sz w:val="20"/>
          <w:szCs w:val="20"/>
          <w:lang w:eastAsia="it-IT"/>
        </w:rPr>
        <w:t>controversie aventi ad oggetto la declaratoria della consistenza dell’insegnamento di sostegno ed afferenti alla fase che precede la formalizzazione del PEI</w:t>
      </w:r>
      <w:r w:rsidRPr="00DC03B9">
        <w:rPr>
          <w:rFonts w:ascii="Times New Roman" w:hAnsi="Times New Roman" w:cs="Times New Roman"/>
          <w:sz w:val="20"/>
          <w:szCs w:val="20"/>
          <w:lang w:eastAsia="it-IT"/>
        </w:rPr>
        <w:t>” avendo modo di ribadire che “</w:t>
      </w:r>
      <w:r w:rsidRPr="00DC03B9">
        <w:rPr>
          <w:rFonts w:ascii="Times New Roman" w:hAnsi="Times New Roman" w:cs="Times New Roman"/>
          <w:i/>
          <w:sz w:val="20"/>
          <w:szCs w:val="20"/>
          <w:lang w:eastAsia="it-IT"/>
        </w:rPr>
        <w:t>Né, ovviamente, la pacifica natura di diritto soggettivo della posizione soggettiva azionata, quand’anche qualificato come “fondamentale”, esclude la sussistenza della giurisdizione amministrativa.”.</w:t>
      </w:r>
    </w:p>
    <w:p w14:paraId="14BE2562" w14:textId="320C16B5"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sz w:val="20"/>
          <w:szCs w:val="20"/>
          <w:lang w:eastAsia="it-IT"/>
        </w:rPr>
        <w:t>Si veda altresì C.g.a., 8 marzo 2018, n. 128 che estende i principi affermati dall’ad.pl. n. 7 del 2016 con riferimento al PEI anche al PAI, ossia al progetto di assistenza individuale nel quadro degli interventi di integrazione/inclusione delle persone con disabilità previsti dalla “Legge quadro per la realizzazione del sistema integrato di interventi e servizi sociali” n. 328 del 2000.</w:t>
      </w:r>
    </w:p>
  </w:footnote>
  <w:footnote w:id="8">
    <w:p w14:paraId="07C7DDBB" w14:textId="71E5E926" w:rsidR="00263EC4" w:rsidRPr="00DC03B9" w:rsidRDefault="00263EC4" w:rsidP="00B6273E">
      <w:pPr>
        <w:pStyle w:val="Testonotaapidipagina"/>
        <w:jc w:val="both"/>
        <w:rPr>
          <w:rFonts w:ascii="Times New Roman" w:hAnsi="Times New Roman" w:cs="Times New Roman"/>
          <w:lang w:val="fr-FR"/>
        </w:rPr>
      </w:pPr>
      <w:r w:rsidRPr="00DC03B9">
        <w:rPr>
          <w:rStyle w:val="Rimandonotaapidipagina"/>
          <w:rFonts w:ascii="Times New Roman" w:hAnsi="Times New Roman" w:cs="Times New Roman"/>
        </w:rPr>
        <w:footnoteRef/>
      </w:r>
      <w:r w:rsidRPr="00DC03B9">
        <w:rPr>
          <w:rFonts w:ascii="Times New Roman" w:hAnsi="Times New Roman" w:cs="Times New Roman"/>
          <w:lang w:val="fr-FR"/>
        </w:rPr>
        <w:t xml:space="preserve"> Cons. St. sez. III, 29 luglio 2024 n. </w:t>
      </w:r>
      <w:r w:rsidRPr="00DC03B9">
        <w:rPr>
          <w:rFonts w:ascii="Times New Roman" w:hAnsi="Times New Roman" w:cs="Times New Roman"/>
          <w:bCs/>
          <w:lang w:val="fr-FR"/>
        </w:rPr>
        <w:t>6785.</w:t>
      </w:r>
    </w:p>
  </w:footnote>
  <w:footnote w:id="9">
    <w:p w14:paraId="603B0CBC" w14:textId="21BA585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Introdotto, come è noto, in Italia con la legge costituzionale n. 1 del 2012.</w:t>
      </w:r>
    </w:p>
  </w:footnote>
  <w:footnote w:id="10">
    <w:p w14:paraId="5464728B" w14:textId="0E8E979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 Donati, </w:t>
      </w:r>
      <w:r w:rsidRPr="00DC03B9">
        <w:rPr>
          <w:rFonts w:ascii="Times New Roman" w:hAnsi="Times New Roman" w:cs="Times New Roman"/>
          <w:i/>
        </w:rPr>
        <w:t>Uguaglianza, diritti umani e vincoli di bilancio</w:t>
      </w:r>
      <w:r w:rsidRPr="00DC03B9">
        <w:rPr>
          <w:rFonts w:ascii="Times New Roman" w:hAnsi="Times New Roman" w:cs="Times New Roman"/>
        </w:rPr>
        <w:t xml:space="preserve">, in </w:t>
      </w:r>
      <w:r w:rsidRPr="00DC03B9">
        <w:rPr>
          <w:rFonts w:ascii="Times New Roman" w:hAnsi="Times New Roman" w:cs="Times New Roman"/>
          <w:i/>
        </w:rPr>
        <w:t>Federalismi</w:t>
      </w:r>
      <w:r w:rsidRPr="00DC03B9">
        <w:rPr>
          <w:rFonts w:ascii="Times New Roman" w:hAnsi="Times New Roman" w:cs="Times New Roman"/>
        </w:rPr>
        <w:t xml:space="preserve">, n. 21/2018 che richiama A.Morrone, </w:t>
      </w:r>
      <w:r w:rsidRPr="00DC03B9">
        <w:rPr>
          <w:rFonts w:ascii="Times New Roman" w:hAnsi="Times New Roman" w:cs="Times New Roman"/>
          <w:i/>
        </w:rPr>
        <w:t>Le conseguenze finanziarie della giustizia costituzionale</w:t>
      </w:r>
      <w:r w:rsidRPr="00DC03B9">
        <w:rPr>
          <w:rFonts w:ascii="Times New Roman" w:hAnsi="Times New Roman" w:cs="Times New Roman"/>
        </w:rPr>
        <w:t xml:space="preserve">, n </w:t>
      </w:r>
      <w:r w:rsidRPr="00DC03B9">
        <w:rPr>
          <w:rFonts w:ascii="Times New Roman" w:hAnsi="Times New Roman" w:cs="Times New Roman"/>
          <w:i/>
        </w:rPr>
        <w:t>Quaderni cost.</w:t>
      </w:r>
      <w:r w:rsidRPr="00DC03B9">
        <w:rPr>
          <w:rFonts w:ascii="Times New Roman" w:hAnsi="Times New Roman" w:cs="Times New Roman"/>
        </w:rPr>
        <w:t>, n.3/2015, pp. 595-598.</w:t>
      </w:r>
    </w:p>
  </w:footnote>
  <w:footnote w:id="11">
    <w:p w14:paraId="1D3D4313" w14:textId="5D5A8319" w:rsidR="00263EC4" w:rsidRDefault="00263EC4">
      <w:pPr>
        <w:pStyle w:val="Testonotaapidipagina"/>
      </w:pPr>
      <w:r>
        <w:rPr>
          <w:rStyle w:val="Rimandonotaapidipagina"/>
        </w:rPr>
        <w:footnoteRef/>
      </w:r>
      <w:r>
        <w:t xml:space="preserve"> </w:t>
      </w:r>
      <w:r w:rsidRPr="00AA6246">
        <w:rPr>
          <w:rFonts w:ascii="Times New Roman" w:hAnsi="Times New Roman" w:cs="Times New Roman"/>
        </w:rPr>
        <w:t xml:space="preserve">F.Donati, </w:t>
      </w:r>
      <w:r w:rsidRPr="00AA6246">
        <w:rPr>
          <w:rFonts w:ascii="Times New Roman" w:hAnsi="Times New Roman" w:cs="Times New Roman"/>
          <w:i/>
        </w:rPr>
        <w:t>Uguaglianza, diritti umani e vincoli di bilancio</w:t>
      </w:r>
      <w:r w:rsidRPr="00AA6246">
        <w:rPr>
          <w:rFonts w:ascii="Times New Roman" w:hAnsi="Times New Roman" w:cs="Times New Roman"/>
        </w:rPr>
        <w:t xml:space="preserve">, in </w:t>
      </w:r>
      <w:r w:rsidRPr="00AA6246">
        <w:rPr>
          <w:rFonts w:ascii="Times New Roman" w:hAnsi="Times New Roman" w:cs="Times New Roman"/>
          <w:i/>
        </w:rPr>
        <w:t>Federalismi</w:t>
      </w:r>
      <w:r w:rsidRPr="00AA6246">
        <w:rPr>
          <w:rFonts w:ascii="Times New Roman" w:hAnsi="Times New Roman" w:cs="Times New Roman"/>
        </w:rPr>
        <w:t>, 21/2018.</w:t>
      </w:r>
    </w:p>
  </w:footnote>
  <w:footnote w:id="12">
    <w:p w14:paraId="6FF1CBE4" w14:textId="293E882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Di origine anglosassone (</w:t>
      </w:r>
      <w:r w:rsidRPr="00DC03B9">
        <w:rPr>
          <w:rFonts w:ascii="Times New Roman" w:hAnsi="Times New Roman" w:cs="Times New Roman"/>
          <w:i/>
          <w:iCs/>
        </w:rPr>
        <w:t>hand in cap</w:t>
      </w:r>
      <w:r w:rsidRPr="00DC03B9">
        <w:rPr>
          <w:rFonts w:ascii="Times New Roman" w:hAnsi="Times New Roman" w:cs="Times New Roman"/>
        </w:rPr>
        <w:t xml:space="preserve">), risale al 600’ e fu poi trasposto nel linguaggio sportivo internazionale, ove indicò il fine di pareggiare le probabilità dei concorrenti, equilibrando i pesi in modo che, nelle corse ippiche, il cavallo più debole avesse le stesse probabilità di vincere la corsa rispetto al migliore G. MERONI, A. VANDELLI, M. RAGAINI, </w:t>
      </w:r>
      <w:r w:rsidRPr="00DC03B9">
        <w:rPr>
          <w:rFonts w:ascii="Times New Roman" w:hAnsi="Times New Roman" w:cs="Times New Roman"/>
          <w:i/>
          <w:iCs/>
        </w:rPr>
        <w:t>La mano nel cappello</w:t>
      </w:r>
      <w:r w:rsidRPr="00DC03B9">
        <w:rPr>
          <w:rFonts w:ascii="Times New Roman" w:hAnsi="Times New Roman" w:cs="Times New Roman"/>
        </w:rPr>
        <w:t xml:space="preserve">, Saronno, Varese, 2002 spiegano che il termine risale al 600, quando due uomini, che dovevano procedere al baratto tra beni di valore diverso, inserivano la compensazione monetaria proposta nel pugno chiuso all’interno di un cappello. M. COLANGELO, </w:t>
      </w:r>
      <w:r w:rsidRPr="00DC03B9">
        <w:rPr>
          <w:rFonts w:ascii="Times New Roman" w:hAnsi="Times New Roman" w:cs="Times New Roman"/>
          <w:i/>
          <w:iCs/>
        </w:rPr>
        <w:t>Handicap, storia di una parola morta</w:t>
      </w:r>
      <w:r w:rsidRPr="00DC03B9">
        <w:rPr>
          <w:rFonts w:ascii="Times New Roman" w:hAnsi="Times New Roman" w:cs="Times New Roman"/>
        </w:rPr>
        <w:t xml:space="preserve">, in </w:t>
      </w:r>
      <w:r w:rsidRPr="00DC03B9">
        <w:rPr>
          <w:rFonts w:ascii="Times New Roman" w:hAnsi="Times New Roman" w:cs="Times New Roman"/>
          <w:i/>
          <w:iCs/>
        </w:rPr>
        <w:t>Igiene e cultura medico-sanitaria</w:t>
      </w:r>
      <w:r w:rsidRPr="00DC03B9">
        <w:rPr>
          <w:rFonts w:ascii="Times New Roman" w:hAnsi="Times New Roman" w:cs="Times New Roman"/>
        </w:rPr>
        <w:t>, Bologna, 2014, p. 1.</w:t>
      </w:r>
    </w:p>
  </w:footnote>
  <w:footnote w:id="13">
    <w:p w14:paraId="41E3F6C7" w14:textId="4ECB73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Art. 4, comma 1, lett. a), b), c) e d), d.legisl. 3 maggio 2024, n. 62.</w:t>
      </w:r>
    </w:p>
  </w:footnote>
  <w:footnote w:id="14">
    <w:p w14:paraId="01D2732E" w14:textId="14E758A1"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Il riferimento è alla Classificazione Internazionale delle malattie (</w:t>
      </w:r>
      <w:r w:rsidRPr="00DC03B9">
        <w:rPr>
          <w:rFonts w:ascii="Times New Roman" w:hAnsi="Times New Roman" w:cs="Times New Roman"/>
          <w:i/>
          <w:iCs/>
        </w:rPr>
        <w:t xml:space="preserve">International Classification of Diseases </w:t>
      </w:r>
      <w:r w:rsidRPr="00DC03B9">
        <w:rPr>
          <w:rFonts w:ascii="Times New Roman" w:hAnsi="Times New Roman" w:cs="Times New Roman"/>
        </w:rPr>
        <w:t>- ICD).</w:t>
      </w:r>
    </w:p>
  </w:footnote>
  <w:footnote w:id="15">
    <w:p w14:paraId="562E79A7" w14:textId="16AB8BC1"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Nella “Classificazione Internazionale delle Menomazioni, delle Disabilità e degli Svantaggi Esistenziali” (</w:t>
      </w:r>
      <w:r w:rsidRPr="00DC03B9">
        <w:rPr>
          <w:rFonts w:ascii="Times New Roman" w:hAnsi="Times New Roman" w:cs="Times New Roman"/>
          <w:i/>
          <w:iCs/>
        </w:rPr>
        <w:t>International Classification of Impairement Disabilities and Handicaps</w:t>
      </w:r>
      <w:r w:rsidRPr="00DC03B9">
        <w:rPr>
          <w:rFonts w:ascii="Times New Roman" w:hAnsi="Times New Roman" w:cs="Times New Roman"/>
        </w:rPr>
        <w:t>: ICIDH-1 si forniscono le seguenti definizioni: “menomazione” è qualsiasi perdita o anomalia permanente a carico di una struttura anatomica o di una funzione psicologica, fisiologica o anatomica; “disabilità” è definita quale limitazione o perdita (conseguente a menomazione) della capacità di compiere un’attività di base nel modo o nell’ampiezza considerati normali per un essere umano; “</w:t>
      </w:r>
      <w:r w:rsidRPr="00DC03B9">
        <w:rPr>
          <w:rFonts w:ascii="Times New Roman" w:hAnsi="Times New Roman" w:cs="Times New Roman"/>
          <w:i/>
          <w:iCs/>
        </w:rPr>
        <w:t xml:space="preserve">handicap” </w:t>
      </w:r>
      <w:r w:rsidRPr="00DC03B9">
        <w:rPr>
          <w:rFonts w:ascii="Times New Roman" w:hAnsi="Times New Roman" w:cs="Times New Roman"/>
        </w:rPr>
        <w:t>la condizione di svantaggio, conseguente ad una menomazione o ad una disabilità, che in un certo soggetto limita o impedisce l’adempimento di un ruolo sociale considerato normale in relazione all’età, al sesso, al contesto socio-culturale della persona.</w:t>
      </w:r>
    </w:p>
    <w:p w14:paraId="2B223C88" w14:textId="49FE7141" w:rsidR="00263EC4" w:rsidRPr="00DC03B9" w:rsidRDefault="00263EC4" w:rsidP="00B6273E">
      <w:pPr>
        <w:pStyle w:val="Testonotaapidipagina"/>
        <w:jc w:val="both"/>
        <w:rPr>
          <w:rFonts w:ascii="Times New Roman" w:hAnsi="Times New Roman" w:cs="Times New Roman"/>
        </w:rPr>
      </w:pPr>
    </w:p>
  </w:footnote>
  <w:footnote w:id="16">
    <w:p w14:paraId="24322B01" w14:textId="53CB20E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Pr>
          <w:rFonts w:ascii="Times New Roman" w:hAnsi="Times New Roman" w:cs="Times New Roman"/>
        </w:rPr>
        <w:t xml:space="preserve"> A. Tamborrino</w:t>
      </w:r>
      <w:r w:rsidRPr="00DC03B9">
        <w:rPr>
          <w:rFonts w:ascii="Times New Roman" w:hAnsi="Times New Roman" w:cs="Times New Roman"/>
        </w:rPr>
        <w:t xml:space="preserve">, </w:t>
      </w:r>
      <w:r w:rsidRPr="00DC03B9">
        <w:rPr>
          <w:rFonts w:ascii="Times New Roman" w:hAnsi="Times New Roman" w:cs="Times New Roman"/>
          <w:i/>
          <w:iCs/>
        </w:rPr>
        <w:t>Tutela giuridica delle persone con disabilità. Diritti e libertà fondamentali delle persone diversabili</w:t>
      </w:r>
      <w:r w:rsidRPr="00DC03B9">
        <w:rPr>
          <w:rFonts w:ascii="Times New Roman" w:hAnsi="Times New Roman" w:cs="Times New Roman"/>
        </w:rPr>
        <w:t xml:space="preserve">, Milano, 2019, p. 26.  </w:t>
      </w:r>
    </w:p>
  </w:footnote>
  <w:footnote w:id="17">
    <w:p w14:paraId="3AAE053C" w14:textId="60374D4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rinvia al testo aggiornato dell’ICF disponibile sul sito: https://www.reteclassificazioni.it.</w:t>
      </w:r>
    </w:p>
  </w:footnote>
  <w:footnote w:id="18">
    <w:p w14:paraId="1923143A" w14:textId="7B8E660C"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Si legge ora “</w:t>
      </w:r>
      <w:r w:rsidRPr="00DC03B9">
        <w:rPr>
          <w:rFonts w:ascii="Times New Roman" w:hAnsi="Times New Roman" w:cs="Times New Roman"/>
          <w:i/>
          <w:sz w:val="20"/>
          <w:szCs w:val="20"/>
        </w:rPr>
        <w:t xml:space="preserve">Contestualmente all'accertamento previsto dall'articolo 4 per le bambine e i bambini, le 1alunne e gli alunni, le studentesse e gli studenti, le commissioni mediche di cui alla </w:t>
      </w:r>
      <w:hyperlink r:id="rId1" w:history="1">
        <w:r w:rsidRPr="00DC03B9">
          <w:rPr>
            <w:rStyle w:val="Collegamentoipertestuale"/>
            <w:rFonts w:ascii="Times New Roman" w:hAnsi="Times New Roman" w:cs="Times New Roman"/>
            <w:i/>
            <w:color w:val="auto"/>
            <w:sz w:val="20"/>
            <w:szCs w:val="20"/>
            <w:u w:val="none"/>
          </w:rPr>
          <w:t>legge 15 ottobre 1990, n. 295</w:t>
        </w:r>
      </w:hyperlink>
      <w:r w:rsidRPr="00DC03B9">
        <w:rPr>
          <w:rFonts w:ascii="Times New Roman" w:hAnsi="Times New Roman" w:cs="Times New Roman"/>
          <w:i/>
          <w:sz w:val="20"/>
          <w:szCs w:val="20"/>
        </w:rPr>
        <w:t>, effettuano, ove richiesto dai genitori della bambina o del bambino, dell'alunna o dell'alunno, della studentessa o dello studente certificati ai sensi del citato articolo 4, o da chi esercita la responsabilità genitoriale, l'accertamento della condizione di disabilità in età evolutiva ai fini dell'inclusione scolastica. Tale accertamento è propedeutico alla redazione del profilo di funzionamento, predisposto secondo i criteri del modello bio-psico-sociale della Classificazione internazionale del funzionamento, della disabilità e della salute (ICF) dell'Organizzazione mondiale della sanità (OMS), ai fini della formulazione del Piano educativo individualizzato (PEI) facente parte del progetto individuale di cui all'</w:t>
      </w:r>
      <w:hyperlink r:id="rId2" w:history="1">
        <w:r w:rsidRPr="00DC03B9">
          <w:rPr>
            <w:rStyle w:val="Collegamentoipertestuale"/>
            <w:rFonts w:ascii="Times New Roman" w:hAnsi="Times New Roman" w:cs="Times New Roman"/>
            <w:i/>
            <w:color w:val="auto"/>
            <w:sz w:val="20"/>
            <w:szCs w:val="20"/>
            <w:u w:val="none"/>
          </w:rPr>
          <w:t>articolo 14 della legge 8 novembre 2000, n. 328</w:t>
        </w:r>
      </w:hyperlink>
      <w:r w:rsidRPr="00DC03B9">
        <w:rPr>
          <w:rFonts w:ascii="Times New Roman" w:hAnsi="Times New Roman" w:cs="Times New Roman"/>
          <w:i/>
          <w:sz w:val="20"/>
          <w:szCs w:val="20"/>
        </w:rPr>
        <w:t>.</w:t>
      </w:r>
      <w:r w:rsidRPr="00DC03B9">
        <w:rPr>
          <w:rFonts w:ascii="Times New Roman" w:hAnsi="Times New Roman" w:cs="Times New Roman"/>
          <w:sz w:val="20"/>
          <w:szCs w:val="20"/>
        </w:rPr>
        <w:t>”</w:t>
      </w:r>
    </w:p>
  </w:footnote>
  <w:footnote w:id="19">
    <w:p w14:paraId="6D5545D6" w14:textId="5954743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Preambolo e) della Convenzione, su cui G. G</w:t>
      </w:r>
      <w:r w:rsidR="00A016C5">
        <w:rPr>
          <w:rFonts w:ascii="Times New Roman" w:hAnsi="Times New Roman" w:cs="Times New Roman"/>
        </w:rPr>
        <w:t>riffo</w:t>
      </w:r>
      <w:r w:rsidRPr="00DC03B9">
        <w:rPr>
          <w:rFonts w:ascii="Times New Roman" w:hAnsi="Times New Roman" w:cs="Times New Roman"/>
        </w:rPr>
        <w:t xml:space="preserve">, </w:t>
      </w:r>
      <w:r w:rsidRPr="00DC03B9">
        <w:rPr>
          <w:rFonts w:ascii="Times New Roman" w:hAnsi="Times New Roman" w:cs="Times New Roman"/>
          <w:i/>
          <w:iCs/>
        </w:rPr>
        <w:t>Persone con disabilità e diritti umani</w:t>
      </w:r>
      <w:r w:rsidRPr="00DC03B9">
        <w:rPr>
          <w:rFonts w:ascii="Times New Roman" w:hAnsi="Times New Roman" w:cs="Times New Roman"/>
        </w:rPr>
        <w:t>, in T. C</w:t>
      </w:r>
      <w:r w:rsidR="00A016C5">
        <w:rPr>
          <w:rFonts w:ascii="Times New Roman" w:hAnsi="Times New Roman" w:cs="Times New Roman"/>
        </w:rPr>
        <w:t>asadei</w:t>
      </w:r>
      <w:r w:rsidRPr="00DC03B9">
        <w:rPr>
          <w:rFonts w:ascii="Times New Roman" w:hAnsi="Times New Roman" w:cs="Times New Roman"/>
        </w:rPr>
        <w:t xml:space="preserve"> (a cura di), </w:t>
      </w:r>
      <w:r w:rsidRPr="00DC03B9">
        <w:rPr>
          <w:rFonts w:ascii="Times New Roman" w:hAnsi="Times New Roman" w:cs="Times New Roman"/>
          <w:i/>
          <w:iCs/>
        </w:rPr>
        <w:t>Diritti umani e soggetti vulnerabili. Violazioni, trasformazioni, aporie</w:t>
      </w:r>
      <w:r w:rsidRPr="00DC03B9">
        <w:rPr>
          <w:rFonts w:ascii="Times New Roman" w:hAnsi="Times New Roman" w:cs="Times New Roman"/>
        </w:rPr>
        <w:t>, Torino, 2012, p. 145.</w:t>
      </w:r>
    </w:p>
  </w:footnote>
  <w:footnote w:id="20">
    <w:p w14:paraId="47117FD8" w14:textId="577E59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A016C5">
        <w:rPr>
          <w:rFonts w:ascii="Times New Roman" w:hAnsi="Times New Roman" w:cs="Times New Roman"/>
        </w:rPr>
        <w:t xml:space="preserve"> E. Pariotti</w:t>
      </w:r>
      <w:r w:rsidRPr="00DC03B9">
        <w:rPr>
          <w:rFonts w:ascii="Times New Roman" w:hAnsi="Times New Roman" w:cs="Times New Roman"/>
        </w:rPr>
        <w:t xml:space="preserve">, </w:t>
      </w:r>
      <w:r w:rsidRPr="00DC03B9">
        <w:rPr>
          <w:rFonts w:ascii="Times New Roman" w:hAnsi="Times New Roman" w:cs="Times New Roman"/>
          <w:i/>
          <w:iCs/>
        </w:rPr>
        <w:t>Disabilità, diritti umani e azioni positive</w:t>
      </w:r>
      <w:r w:rsidRPr="00DC03B9">
        <w:rPr>
          <w:rFonts w:ascii="Times New Roman" w:hAnsi="Times New Roman" w:cs="Times New Roman"/>
        </w:rPr>
        <w:t xml:space="preserve">, in </w:t>
      </w:r>
      <w:r w:rsidRPr="00DC03B9">
        <w:rPr>
          <w:rFonts w:ascii="Times New Roman" w:hAnsi="Times New Roman" w:cs="Times New Roman"/>
          <w:i/>
          <w:iCs/>
        </w:rPr>
        <w:t>Lessico delle discriminazioni tra società, diritto e istituzioni</w:t>
      </w:r>
      <w:r w:rsidRPr="00DC03B9">
        <w:rPr>
          <w:rFonts w:ascii="Times New Roman" w:hAnsi="Times New Roman" w:cs="Times New Roman"/>
        </w:rPr>
        <w:t>, Reggio Emilia, 2008, p. 164.</w:t>
      </w:r>
    </w:p>
  </w:footnote>
  <w:footnote w:id="21">
    <w:p w14:paraId="6DEC510F" w14:textId="0562DA76"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Il Governo è stato delegato ad adottare, entro venti mesi dalla data di entrata in vigore della legge medesima, uno o più decreti legislativi per la revisione e il riordino delle disposizioni vigenti in materia di disabilità: “</w:t>
      </w:r>
      <w:r w:rsidRPr="00DC03B9">
        <w:rPr>
          <w:rFonts w:ascii="Times New Roman" w:hAnsi="Times New Roman" w:cs="Times New Roman"/>
          <w:i/>
          <w:sz w:val="20"/>
          <w:szCs w:val="20"/>
          <w:lang w:eastAsia="it-IT"/>
        </w:rPr>
        <w:t xml:space="preserve">Il Governo è delegato ad adottare, entro il 15 marzo 2024, nel rispetto dei princìpi e criteri direttivi di cui all'articolo 2, uno o più decreti legislativi per la revisione e il riordino delle disposizioni vigenti in materia di disabilità, in attuazione degli </w:t>
      </w:r>
      <w:hyperlink r:id="rId3" w:history="1">
        <w:r w:rsidRPr="00DC03B9">
          <w:rPr>
            <w:rStyle w:val="Collegamentoipertestuale"/>
            <w:rFonts w:ascii="Times New Roman" w:hAnsi="Times New Roman" w:cs="Times New Roman"/>
            <w:i/>
            <w:color w:val="auto"/>
            <w:sz w:val="20"/>
            <w:szCs w:val="20"/>
            <w:u w:val="none"/>
            <w:lang w:eastAsia="it-IT"/>
          </w:rPr>
          <w:t>articoli 2</w:t>
        </w:r>
      </w:hyperlink>
      <w:r w:rsidRPr="00DC03B9">
        <w:rPr>
          <w:rFonts w:ascii="Times New Roman" w:hAnsi="Times New Roman" w:cs="Times New Roman"/>
          <w:i/>
          <w:sz w:val="20"/>
          <w:szCs w:val="20"/>
          <w:lang w:eastAsia="it-IT"/>
        </w:rPr>
        <w:t xml:space="preserve">, </w:t>
      </w:r>
      <w:hyperlink r:id="rId4" w:history="1">
        <w:r w:rsidRPr="00DC03B9">
          <w:rPr>
            <w:rStyle w:val="Collegamentoipertestuale"/>
            <w:rFonts w:ascii="Times New Roman" w:hAnsi="Times New Roman" w:cs="Times New Roman"/>
            <w:i/>
            <w:color w:val="auto"/>
            <w:sz w:val="20"/>
            <w:szCs w:val="20"/>
            <w:u w:val="none"/>
            <w:lang w:eastAsia="it-IT"/>
          </w:rPr>
          <w:t>3</w:t>
        </w:r>
      </w:hyperlink>
      <w:r w:rsidRPr="00DC03B9">
        <w:rPr>
          <w:rFonts w:ascii="Times New Roman" w:hAnsi="Times New Roman" w:cs="Times New Roman"/>
          <w:i/>
          <w:sz w:val="20"/>
          <w:szCs w:val="20"/>
          <w:lang w:eastAsia="it-IT"/>
        </w:rPr>
        <w:t xml:space="preserve">, </w:t>
      </w:r>
      <w:hyperlink r:id="rId5" w:history="1">
        <w:r w:rsidRPr="00DC03B9">
          <w:rPr>
            <w:rStyle w:val="Collegamentoipertestuale"/>
            <w:rFonts w:ascii="Times New Roman" w:hAnsi="Times New Roman" w:cs="Times New Roman"/>
            <w:i/>
            <w:color w:val="auto"/>
            <w:sz w:val="20"/>
            <w:szCs w:val="20"/>
            <w:u w:val="none"/>
            <w:lang w:eastAsia="it-IT"/>
          </w:rPr>
          <w:t>31</w:t>
        </w:r>
      </w:hyperlink>
      <w:r w:rsidRPr="00DC03B9">
        <w:rPr>
          <w:rFonts w:ascii="Times New Roman" w:hAnsi="Times New Roman" w:cs="Times New Roman"/>
          <w:i/>
          <w:sz w:val="20"/>
          <w:szCs w:val="20"/>
          <w:lang w:eastAsia="it-IT"/>
        </w:rPr>
        <w:t xml:space="preserve"> e </w:t>
      </w:r>
      <w:hyperlink r:id="rId6" w:history="1">
        <w:r w:rsidRPr="00DC03B9">
          <w:rPr>
            <w:rStyle w:val="Collegamentoipertestuale"/>
            <w:rFonts w:ascii="Times New Roman" w:hAnsi="Times New Roman" w:cs="Times New Roman"/>
            <w:i/>
            <w:color w:val="auto"/>
            <w:sz w:val="20"/>
            <w:szCs w:val="20"/>
            <w:u w:val="none"/>
            <w:lang w:eastAsia="it-IT"/>
          </w:rPr>
          <w:t>38 della Costituzione</w:t>
        </w:r>
      </w:hyperlink>
      <w:r w:rsidRPr="00DC03B9">
        <w:rPr>
          <w:rFonts w:ascii="Times New Roman" w:hAnsi="Times New Roman" w:cs="Times New Roman"/>
          <w:i/>
          <w:sz w:val="20"/>
          <w:szCs w:val="20"/>
          <w:lang w:eastAsia="it-IT"/>
        </w:rPr>
        <w:t xml:space="preserve"> e in conformità alle disposizioni della </w:t>
      </w:r>
      <w:hyperlink r:id="rId7" w:history="1">
        <w:r w:rsidRPr="00DC03B9">
          <w:rPr>
            <w:rStyle w:val="Collegamentoipertestuale"/>
            <w:rFonts w:ascii="Times New Roman" w:hAnsi="Times New Roman" w:cs="Times New Roman"/>
            <w:i/>
            <w:color w:val="auto"/>
            <w:sz w:val="20"/>
            <w:szCs w:val="20"/>
            <w:u w:val="none"/>
            <w:lang w:eastAsia="it-IT"/>
          </w:rPr>
          <w:t>Convenzione delle Nazioni Unite sui diritti delle persone con disabilità e del relativo Protocollo opzionale, fatta a New York il 13 dicembre 2006</w:t>
        </w:r>
      </w:hyperlink>
      <w:r w:rsidRPr="00DC03B9">
        <w:rPr>
          <w:rFonts w:ascii="Times New Roman" w:hAnsi="Times New Roman" w:cs="Times New Roman"/>
          <w:i/>
          <w:sz w:val="20"/>
          <w:szCs w:val="20"/>
          <w:lang w:eastAsia="it-IT"/>
        </w:rPr>
        <w:t xml:space="preserve">, ratificata ai sensi della </w:t>
      </w:r>
      <w:hyperlink r:id="rId8" w:history="1">
        <w:r w:rsidRPr="00DC03B9">
          <w:rPr>
            <w:rStyle w:val="Collegamentoipertestuale"/>
            <w:rFonts w:ascii="Times New Roman" w:hAnsi="Times New Roman" w:cs="Times New Roman"/>
            <w:i/>
            <w:color w:val="auto"/>
            <w:sz w:val="20"/>
            <w:szCs w:val="20"/>
            <w:u w:val="none"/>
            <w:lang w:eastAsia="it-IT"/>
          </w:rPr>
          <w:t>legge 3 marzo 2009, n. 18</w:t>
        </w:r>
      </w:hyperlink>
      <w:r w:rsidRPr="00DC03B9">
        <w:rPr>
          <w:rFonts w:ascii="Times New Roman" w:hAnsi="Times New Roman" w:cs="Times New Roman"/>
          <w:i/>
          <w:sz w:val="20"/>
          <w:szCs w:val="20"/>
          <w:lang w:eastAsia="it-IT"/>
        </w:rPr>
        <w:t xml:space="preserve">, alla Strategia per i diritti delle persone con disabilità 2021-2030, di cui alla comunicazione della Commissione europea COM(2021) 101 final, del 3 marzo 2021, e alla risoluzione del Parlamento europeo del 7 ottobre 2021, sulla protezione delle persone con disabilità, al fine di garantire alla persona con disabilità di ottenere il riconoscimento della propria condizione, anche attraverso una valutazione della stessa congruente, trasparente e agevole che consenta il pieno esercizio dei suoi diritti civili e sociali, compresi il diritto alla vita indipendente e alla piena inclusione sociale e lavorativa, nonché l'effettivo e pieno accesso al sistema dei servizi, delle prestazioni, dei trasferimenti finanziari previsti e di ogni altra relativa agevolazione, e di promuovere l'autonomia della persona con disabilità e il suo vivere su base di pari opportunità con gli altri, nel rispetto dei princìpi di autodeterminazione e di non discriminazione.” </w:t>
      </w:r>
      <w:r w:rsidRPr="00DC03B9">
        <w:rPr>
          <w:rFonts w:ascii="Times New Roman" w:hAnsi="Times New Roman" w:cs="Times New Roman"/>
          <w:sz w:val="20"/>
          <w:szCs w:val="20"/>
          <w:lang w:eastAsia="it-IT"/>
        </w:rPr>
        <w:t>(art. 1 c.1).</w:t>
      </w:r>
    </w:p>
  </w:footnote>
  <w:footnote w:id="22">
    <w:p w14:paraId="76323F0A" w14:textId="2464C44B" w:rsidR="00263EC4" w:rsidRPr="00DC03B9" w:rsidRDefault="00263EC4" w:rsidP="00B6273E">
      <w:pPr>
        <w:pStyle w:val="wkit-indentation-level-0"/>
        <w:shd w:val="clear" w:color="auto" w:fill="FFFFFF"/>
        <w:spacing w:before="0" w:beforeAutospacing="0" w:after="120" w:afterAutospacing="0"/>
        <w:jc w:val="both"/>
        <w:rPr>
          <w:sz w:val="20"/>
          <w:szCs w:val="20"/>
        </w:rPr>
      </w:pPr>
      <w:r w:rsidRPr="00DC03B9">
        <w:rPr>
          <w:rStyle w:val="Rimandonotaapidipagina"/>
          <w:sz w:val="20"/>
          <w:szCs w:val="20"/>
        </w:rPr>
        <w:footnoteRef/>
      </w:r>
      <w:r w:rsidRPr="00DC03B9">
        <w:rPr>
          <w:sz w:val="20"/>
          <w:szCs w:val="20"/>
        </w:rPr>
        <w:t xml:space="preserve"> Il concetto è stato poi ripreso ed arricchito dalla l. 22 giugno 2016, n. 112, c.d. “Dopo di noi” con l’obiettivo di garantire una presa in carico dei soggetti fragili, nel momento in cui perderanno il sostegno degli ascendenti.</w:t>
      </w:r>
    </w:p>
  </w:footnote>
  <w:footnote w:id="23">
    <w:p w14:paraId="436F2E06" w14:textId="73D0421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Sentenza del 10 maggio 1999 n. 167</w:t>
      </w:r>
    </w:p>
  </w:footnote>
  <w:footnote w:id="24">
    <w:p w14:paraId="4821953E" w14:textId="62BD4C1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Sulla importanza della collaborazione tra Stato e Regioni anche ai fini di una corretta programmazione in sede di legge di bilancio delle risorse necessaria a garantire i LEA si veda Corte costituzionale  n. 62 del 2020 (“</w:t>
      </w:r>
      <w:r w:rsidRPr="00DC03B9">
        <w:rPr>
          <w:rFonts w:ascii="Times New Roman" w:hAnsi="Times New Roman" w:cs="Times New Roman"/>
          <w:i/>
        </w:rPr>
        <w:t>È bene ricordare «che la determinazione dei LEA è un obbligo del legislatore statale, ma che la sua proiezione in termini di fabbisogno regionale coinvolge necessariamente le Regioni, per cui la fisiologica dialettica tra questi soggetti deve essere improntata alla leale collaborazione che, nel caso di specie, si colora della doverosa cooperazione per assicurare il migliore servizio alla collettività» (sentenza n. 169 del 2017…”</w:t>
      </w:r>
      <w:r w:rsidRPr="00DC03B9">
        <w:rPr>
          <w:rFonts w:ascii="Times New Roman" w:hAnsi="Times New Roman" w:cs="Times New Roman"/>
          <w:color w:val="666666"/>
          <w:shd w:val="clear" w:color="auto" w:fill="FFFFFF"/>
        </w:rPr>
        <w:t xml:space="preserve"> </w:t>
      </w:r>
      <w:r w:rsidRPr="00DC03B9">
        <w:rPr>
          <w:rFonts w:ascii="Times New Roman" w:hAnsi="Times New Roman" w:cs="Times New Roman"/>
          <w:i/>
        </w:rPr>
        <w:t>È stato in proposito affermato che «la separazione e l’evidenziazione dei costi dei livelli essenziali di assistenza devono essere simmetricamente attuate, oltre che nel bilancio dello Stato, anche nei bilanci regionali ed in quelli delle aziende erogatrici secondo la direttiva contenuta [nell’] art. 8, comma 1, della legge n. 42 del 2009. […] Ciò al fine di garantire l’effettiva programmabilità e la reale copertura finanziaria dei servizi, la quale – data la natura delle situazioni da tutelare – deve riguardare non solo la quantità ma anche la qualità e la tempistica delle prestazioni costituzionalmente necessarie» (sentenza n. 169 del 2017).</w:t>
      </w:r>
      <w:r w:rsidRPr="00DC03B9">
        <w:rPr>
          <w:rFonts w:ascii="Times New Roman" w:hAnsi="Times New Roman" w:cs="Times New Roman"/>
          <w:color w:val="666666"/>
          <w:shd w:val="clear" w:color="auto" w:fill="FFFFFF"/>
        </w:rPr>
        <w:t xml:space="preserve"> </w:t>
      </w:r>
      <w:r w:rsidRPr="00DC03B9">
        <w:rPr>
          <w:rFonts w:ascii="Times New Roman" w:hAnsi="Times New Roman" w:cs="Times New Roman"/>
          <w:i/>
        </w:rPr>
        <w:t>In sostanza, la determinazione, il finanziamento e l’erogazione dei LEA compone un sistema articolato il cui equilibrio deve essere assicurato dalla sinergica coerenza dei comportamenti di tutti i soggetti coinvolti nella sua attuazione.”.</w:t>
      </w:r>
      <w:r w:rsidRPr="00DC03B9">
        <w:rPr>
          <w:rFonts w:ascii="Times New Roman" w:hAnsi="Times New Roman" w:cs="Times New Roman"/>
        </w:rPr>
        <w:t>”</w:t>
      </w:r>
    </w:p>
    <w:p w14:paraId="44EFE92C" w14:textId="6D73FF2A"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Centrale diviene la funzione della programmazione, sulla quale ancora attuali sono le riflessioni in G.Iacovone, </w:t>
      </w:r>
      <w:r w:rsidRPr="00DC03B9">
        <w:rPr>
          <w:rFonts w:ascii="Times New Roman" w:hAnsi="Times New Roman" w:cs="Times New Roman"/>
          <w:i/>
        </w:rPr>
        <w:t>Lineamenti della pianificazione strategica</w:t>
      </w:r>
      <w:r w:rsidRPr="00DC03B9">
        <w:rPr>
          <w:rFonts w:ascii="Times New Roman" w:hAnsi="Times New Roman" w:cs="Times New Roman"/>
        </w:rPr>
        <w:t>, 2010, Bari.</w:t>
      </w:r>
    </w:p>
  </w:footnote>
  <w:footnote w:id="25">
    <w:p w14:paraId="340C01FC" w14:textId="76B26595"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G. Tulumello, L’effettività della tutela dei diritti fondamentali dei disabili nello Stato sociale, fra vincoli di bilancio e amministrazione di risultato, in </w:t>
      </w:r>
      <w:r w:rsidRPr="00DC03B9">
        <w:rPr>
          <w:rFonts w:ascii="Times New Roman" w:hAnsi="Times New Roman" w:cs="Times New Roman"/>
          <w:i/>
        </w:rPr>
        <w:t>https://www.questionegiustizia.it/rivista.</w:t>
      </w:r>
    </w:p>
    <w:p w14:paraId="16967020" w14:textId="218FF18E"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 xml:space="preserve">In argomento si veda altresì la ricostruzione di R. Ursi, </w:t>
      </w:r>
      <w:r w:rsidRPr="00DC03B9">
        <w:rPr>
          <w:rFonts w:ascii="Times New Roman" w:hAnsi="Times New Roman" w:cs="Times New Roman"/>
          <w:i/>
          <w:iCs/>
        </w:rPr>
        <w:t>Le stagioni dell’efficienza. I paradigmi giuridici della buona amministrazione</w:t>
      </w:r>
      <w:r w:rsidRPr="00DC03B9">
        <w:rPr>
          <w:rFonts w:ascii="Times New Roman" w:hAnsi="Times New Roman" w:cs="Times New Roman"/>
        </w:rPr>
        <w:t>, Sant’Arcangelo di Romagna, 2016.</w:t>
      </w:r>
    </w:p>
  </w:footnote>
  <w:footnote w:id="26">
    <w:p w14:paraId="582B131D" w14:textId="5FD7A3F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Art. 5, par. 3 Convenzione ONU.</w:t>
      </w:r>
    </w:p>
  </w:footnote>
  <w:footnote w:id="27">
    <w:p w14:paraId="3D0B3170" w14:textId="36AB0CA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A016C5">
        <w:rPr>
          <w:rFonts w:ascii="Times New Roman" w:hAnsi="Times New Roman" w:cs="Times New Roman"/>
        </w:rPr>
        <w:t xml:space="preserve"> G. Arconzo</w:t>
      </w:r>
      <w:r w:rsidRPr="00DC03B9">
        <w:rPr>
          <w:rFonts w:ascii="Times New Roman" w:hAnsi="Times New Roman" w:cs="Times New Roman"/>
        </w:rPr>
        <w:t xml:space="preserve">, </w:t>
      </w:r>
      <w:r w:rsidRPr="00DC03B9">
        <w:rPr>
          <w:rFonts w:ascii="Times New Roman" w:hAnsi="Times New Roman" w:cs="Times New Roman"/>
          <w:i/>
          <w:iCs/>
        </w:rPr>
        <w:t>I diritti delle persone con disabilità</w:t>
      </w:r>
      <w:r w:rsidRPr="00DC03B9">
        <w:rPr>
          <w:rFonts w:ascii="Times New Roman" w:hAnsi="Times New Roman" w:cs="Times New Roman"/>
        </w:rPr>
        <w:t>, Milano, ult. ed. 2025.</w:t>
      </w:r>
    </w:p>
  </w:footnote>
  <w:footnote w:id="28">
    <w:p w14:paraId="6126470F" w14:textId="3030D87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 Corte cost. sentenza n. 455 del 1990. </w:t>
      </w:r>
    </w:p>
  </w:footnote>
  <w:footnote w:id="29">
    <w:p w14:paraId="1481009D" w14:textId="2A475DBE"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In argomento cfr. A.</w:t>
      </w:r>
      <w:r w:rsidR="00A016C5">
        <w:rPr>
          <w:rFonts w:ascii="Times New Roman" w:hAnsi="Times New Roman" w:cs="Times New Roman"/>
        </w:rPr>
        <w:t xml:space="preserve"> </w:t>
      </w:r>
      <w:r w:rsidRPr="00DC03B9">
        <w:rPr>
          <w:rFonts w:ascii="Times New Roman" w:hAnsi="Times New Roman" w:cs="Times New Roman"/>
        </w:rPr>
        <w:t xml:space="preserve">Morrone, </w:t>
      </w:r>
      <w:r w:rsidRPr="00DC03B9">
        <w:rPr>
          <w:rFonts w:ascii="Times New Roman" w:hAnsi="Times New Roman" w:cs="Times New Roman"/>
          <w:i/>
        </w:rPr>
        <w:t>Crisi economica e diritti. Appunti per lo stato costituzionale in Europa</w:t>
      </w:r>
      <w:r w:rsidRPr="00DC03B9">
        <w:rPr>
          <w:rFonts w:ascii="Times New Roman" w:hAnsi="Times New Roman" w:cs="Times New Roman"/>
        </w:rPr>
        <w:t xml:space="preserve">, in </w:t>
      </w:r>
      <w:r w:rsidRPr="00DC03B9">
        <w:rPr>
          <w:rFonts w:ascii="Times New Roman" w:hAnsi="Times New Roman" w:cs="Times New Roman"/>
          <w:i/>
        </w:rPr>
        <w:t>Quad.Cost.</w:t>
      </w:r>
      <w:r w:rsidRPr="00DC03B9">
        <w:rPr>
          <w:rFonts w:ascii="Times New Roman" w:hAnsi="Times New Roman" w:cs="Times New Roman"/>
        </w:rPr>
        <w:t>, 2014,86 ss.; M.</w:t>
      </w:r>
      <w:r w:rsidR="00A016C5">
        <w:rPr>
          <w:rFonts w:ascii="Times New Roman" w:hAnsi="Times New Roman" w:cs="Times New Roman"/>
        </w:rPr>
        <w:t xml:space="preserve"> </w:t>
      </w:r>
      <w:r w:rsidRPr="00DC03B9">
        <w:rPr>
          <w:rFonts w:ascii="Times New Roman" w:hAnsi="Times New Roman" w:cs="Times New Roman"/>
        </w:rPr>
        <w:t xml:space="preserve">Massa, </w:t>
      </w:r>
      <w:r w:rsidRPr="00DC03B9">
        <w:rPr>
          <w:rFonts w:ascii="Times New Roman" w:hAnsi="Times New Roman" w:cs="Times New Roman"/>
          <w:i/>
        </w:rPr>
        <w:t>Discrezionalità, sostenibilità, responsabilità nella giurisprudenza costituzionale sui diritti sociali</w:t>
      </w:r>
      <w:r w:rsidRPr="00DC03B9">
        <w:rPr>
          <w:rFonts w:ascii="Times New Roman" w:hAnsi="Times New Roman" w:cs="Times New Roman"/>
        </w:rPr>
        <w:t xml:space="preserve">, in </w:t>
      </w:r>
      <w:r w:rsidRPr="00DC03B9">
        <w:rPr>
          <w:rFonts w:ascii="Times New Roman" w:hAnsi="Times New Roman" w:cs="Times New Roman"/>
          <w:i/>
        </w:rPr>
        <w:t>Quad.</w:t>
      </w:r>
      <w:r w:rsidR="00A016C5">
        <w:rPr>
          <w:rFonts w:ascii="Times New Roman" w:hAnsi="Times New Roman" w:cs="Times New Roman"/>
          <w:i/>
        </w:rPr>
        <w:t xml:space="preserve"> </w:t>
      </w:r>
      <w:r w:rsidRPr="00DC03B9">
        <w:rPr>
          <w:rFonts w:ascii="Times New Roman" w:hAnsi="Times New Roman" w:cs="Times New Roman"/>
          <w:i/>
        </w:rPr>
        <w:t>cost.</w:t>
      </w:r>
      <w:r w:rsidRPr="00DC03B9">
        <w:rPr>
          <w:rFonts w:ascii="Times New Roman" w:hAnsi="Times New Roman" w:cs="Times New Roman"/>
        </w:rPr>
        <w:t>, 2017, 73 ss.</w:t>
      </w:r>
    </w:p>
  </w:footnote>
  <w:footnote w:id="30">
    <w:p w14:paraId="791A2298" w14:textId="1B3D5DFD"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Numerosi sono i commenti alla sentenza n. 10 del 2015 della Corte costituzionale sulla c.d. Robin Hood Tax, poiché in essa molti hanno visto l’attribuzione da parte della Corte di una primazia del principio costituzionale di equilibrio del bilancio, da poco introdotto, tale da potersi sacrificare “</w:t>
      </w:r>
      <w:r w:rsidRPr="00DC03B9">
        <w:rPr>
          <w:rFonts w:ascii="Times New Roman" w:hAnsi="Times New Roman" w:cs="Times New Roman"/>
          <w:i/>
        </w:rPr>
        <w:t>quello che la stessa Corte costituzionale ha in passato considerato come un diritto fondamentale ascrivibile ai “controlimiti” al primato del diritto dell’Unione europea: il diritto ad avvalersi degli effetti della pronuncia incidentale sulla validità della norma applicabile nel giudizio.”</w:t>
      </w:r>
      <w:r w:rsidRPr="00DC03B9">
        <w:rPr>
          <w:rFonts w:ascii="Times New Roman" w:hAnsi="Times New Roman" w:cs="Times New Roman"/>
        </w:rPr>
        <w:t xml:space="preserve">(F. Donati, </w:t>
      </w:r>
      <w:r w:rsidRPr="00DC03B9">
        <w:rPr>
          <w:rFonts w:ascii="Times New Roman" w:hAnsi="Times New Roman" w:cs="Times New Roman"/>
          <w:i/>
        </w:rPr>
        <w:t>Uguaglianza, diritti umani e vincoli di bilancio</w:t>
      </w:r>
      <w:r w:rsidRPr="00DC03B9">
        <w:rPr>
          <w:rFonts w:ascii="Times New Roman" w:hAnsi="Times New Roman" w:cs="Times New Roman"/>
        </w:rPr>
        <w:t xml:space="preserve">, in </w:t>
      </w:r>
      <w:r w:rsidRPr="00DC03B9">
        <w:rPr>
          <w:rFonts w:ascii="Times New Roman" w:hAnsi="Times New Roman" w:cs="Times New Roman"/>
          <w:i/>
        </w:rPr>
        <w:t>Federalismi.it</w:t>
      </w:r>
      <w:r w:rsidRPr="00DC03B9">
        <w:rPr>
          <w:rFonts w:ascii="Times New Roman" w:hAnsi="Times New Roman" w:cs="Times New Roman"/>
        </w:rPr>
        <w:t xml:space="preserve">, 21/2018). Più contenuto invece il commento di altri che vi hanno invece letto piuttosto una tutela di altri valori tradizionalmente affermati dalla Corte cost. in applicazione dei principi di cui agli artt. 2, 3 e 53 Cost. (M.Ruotolo – M.Caredda, </w:t>
      </w:r>
      <w:r w:rsidRPr="00DC03B9">
        <w:rPr>
          <w:rFonts w:ascii="Times New Roman" w:hAnsi="Times New Roman" w:cs="Times New Roman"/>
          <w:i/>
        </w:rPr>
        <w:t>Virtualità e limiti del potere di regolazione degli effetti temporali delle decisioni di costituzionalità. A proposito della pronuncia sulla c.d. Robin Tax</w:t>
      </w:r>
      <w:r w:rsidRPr="00DC03B9">
        <w:rPr>
          <w:rFonts w:ascii="Times New Roman" w:hAnsi="Times New Roman" w:cs="Times New Roman"/>
        </w:rPr>
        <w:t>, in Rivista AIC, 2/2015; R.</w:t>
      </w:r>
      <w:r w:rsidR="00A016C5">
        <w:rPr>
          <w:rFonts w:ascii="Times New Roman" w:hAnsi="Times New Roman" w:cs="Times New Roman"/>
        </w:rPr>
        <w:t xml:space="preserve"> </w:t>
      </w:r>
      <w:r w:rsidRPr="00DC03B9">
        <w:rPr>
          <w:rFonts w:ascii="Times New Roman" w:hAnsi="Times New Roman" w:cs="Times New Roman"/>
        </w:rPr>
        <w:t xml:space="preserve">Dickman, </w:t>
      </w:r>
      <w:r w:rsidRPr="00DC03B9">
        <w:rPr>
          <w:rFonts w:ascii="Times New Roman" w:hAnsi="Times New Roman" w:cs="Times New Roman"/>
          <w:i/>
        </w:rPr>
        <w:t>La Corte costituzionale torna a derogare al principio di retroattività</w:t>
      </w:r>
      <w:r w:rsidRPr="00DC03B9">
        <w:rPr>
          <w:rFonts w:ascii="Times New Roman" w:hAnsi="Times New Roman" w:cs="Times New Roman"/>
        </w:rPr>
        <w:t>, in Federalismi, 4/2015).</w:t>
      </w:r>
    </w:p>
  </w:footnote>
  <w:footnote w:id="31">
    <w:p w14:paraId="4F7F3DD4" w14:textId="1122497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Su tale decisione cfr., fra gli altri, A.</w:t>
      </w:r>
      <w:r w:rsidR="00A016C5">
        <w:rPr>
          <w:rFonts w:ascii="Times New Roman" w:hAnsi="Times New Roman" w:cs="Times New Roman"/>
        </w:rPr>
        <w:t xml:space="preserve"> </w:t>
      </w:r>
      <w:r w:rsidRPr="00DC03B9">
        <w:rPr>
          <w:rFonts w:ascii="Times New Roman" w:hAnsi="Times New Roman" w:cs="Times New Roman"/>
        </w:rPr>
        <w:t>Apostoli, I diritti fondamentali “visti” da vicino dal giudice amministrativo Una annotazione a “caldo” della sentenza della Corte costituzionale n. 275 del 2016, in Forum di Quaderni Costituzionali, 2016; E.</w:t>
      </w:r>
      <w:r w:rsidR="00A016C5">
        <w:rPr>
          <w:rFonts w:ascii="Times New Roman" w:hAnsi="Times New Roman" w:cs="Times New Roman"/>
        </w:rPr>
        <w:t xml:space="preserve"> </w:t>
      </w:r>
      <w:r w:rsidRPr="00DC03B9">
        <w:rPr>
          <w:rFonts w:ascii="Times New Roman" w:hAnsi="Times New Roman" w:cs="Times New Roman"/>
        </w:rPr>
        <w:t xml:space="preserve">Furno, Pareggio di bilancio e diritti sociali: la ridefinizione dei confini nella recente giurisprudenza costituzionale in tema di diritto all’istruzione dei disabili, in </w:t>
      </w:r>
      <w:r w:rsidRPr="00DC03B9">
        <w:rPr>
          <w:rFonts w:ascii="Times New Roman" w:hAnsi="Times New Roman" w:cs="Times New Roman"/>
          <w:i/>
        </w:rPr>
        <w:t>Consultaonline.it</w:t>
      </w:r>
      <w:r w:rsidRPr="00DC03B9">
        <w:rPr>
          <w:rFonts w:ascii="Times New Roman" w:hAnsi="Times New Roman" w:cs="Times New Roman"/>
        </w:rPr>
        <w:t>, 2017/I; L.</w:t>
      </w:r>
      <w:r w:rsidR="00A016C5">
        <w:rPr>
          <w:rFonts w:ascii="Times New Roman" w:hAnsi="Times New Roman" w:cs="Times New Roman"/>
        </w:rPr>
        <w:t xml:space="preserve"> </w:t>
      </w:r>
      <w:r w:rsidRPr="00DC03B9">
        <w:rPr>
          <w:rFonts w:ascii="Times New Roman" w:hAnsi="Times New Roman" w:cs="Times New Roman"/>
        </w:rPr>
        <w:t xml:space="preserve">Madau, </w:t>
      </w:r>
      <w:r w:rsidRPr="00DC03B9">
        <w:rPr>
          <w:rFonts w:ascii="Times New Roman" w:hAnsi="Times New Roman" w:cs="Times New Roman"/>
          <w:i/>
        </w:rPr>
        <w:t>È la garanzia dei diritti incomprimibili ad incidere sul bilancio, e non l’equilibrio di questo a condizionarne la doverosa erogazione</w:t>
      </w:r>
      <w:r w:rsidRPr="00DC03B9">
        <w:rPr>
          <w:rFonts w:ascii="Times New Roman" w:hAnsi="Times New Roman" w:cs="Times New Roman"/>
        </w:rPr>
        <w:t xml:space="preserve">, in </w:t>
      </w:r>
      <w:r w:rsidRPr="00DC03B9">
        <w:rPr>
          <w:rFonts w:ascii="Times New Roman" w:hAnsi="Times New Roman" w:cs="Times New Roman"/>
          <w:i/>
        </w:rPr>
        <w:t>Osservatorio AIC</w:t>
      </w:r>
      <w:r w:rsidRPr="00DC03B9">
        <w:rPr>
          <w:rFonts w:ascii="Times New Roman" w:hAnsi="Times New Roman" w:cs="Times New Roman"/>
        </w:rPr>
        <w:t>, 2016; A.</w:t>
      </w:r>
      <w:r w:rsidR="00A016C5">
        <w:rPr>
          <w:rFonts w:ascii="Times New Roman" w:hAnsi="Times New Roman" w:cs="Times New Roman"/>
        </w:rPr>
        <w:t xml:space="preserve"> </w:t>
      </w:r>
      <w:r w:rsidRPr="00DC03B9">
        <w:rPr>
          <w:rFonts w:ascii="Times New Roman" w:hAnsi="Times New Roman" w:cs="Times New Roman"/>
        </w:rPr>
        <w:t xml:space="preserve">Longo, </w:t>
      </w:r>
      <w:r w:rsidRPr="00DC03B9">
        <w:rPr>
          <w:rFonts w:ascii="Times New Roman" w:hAnsi="Times New Roman" w:cs="Times New Roman"/>
          <w:i/>
        </w:rPr>
        <w:t>Una concezione del bilancio costituzionalmente orientata: prime riflessioni sulla sentenza della Corte costituzionale n. 275 del 2016</w:t>
      </w:r>
      <w:r w:rsidRPr="00DC03B9">
        <w:rPr>
          <w:rFonts w:ascii="Times New Roman" w:hAnsi="Times New Roman" w:cs="Times New Roman"/>
        </w:rPr>
        <w:t xml:space="preserve">, in </w:t>
      </w:r>
      <w:r w:rsidRPr="00DC03B9">
        <w:rPr>
          <w:rFonts w:ascii="Times New Roman" w:hAnsi="Times New Roman" w:cs="Times New Roman"/>
          <w:i/>
        </w:rPr>
        <w:t>Federalismi.it</w:t>
      </w:r>
      <w:r w:rsidRPr="00DC03B9">
        <w:rPr>
          <w:rFonts w:ascii="Times New Roman" w:hAnsi="Times New Roman" w:cs="Times New Roman"/>
        </w:rPr>
        <w:t>, 2016</w:t>
      </w:r>
    </w:p>
  </w:footnote>
  <w:footnote w:id="32">
    <w:p w14:paraId="7A1396B8" w14:textId="75CBDA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vedano le sentenze n. 226 del 2000 sul diritto a misure di sostegno assistenziali in caso di malattia intervenuta a seguito di trattamenti sanitari effettuati nell'interesse pubblico di promozione della salute collettiva, n. 251 del 2008, sulla eliminazione delle barriere architettoniche; ed in particolare con riferimento al diritto ai trattamenti sanitari: Corte cost., 20 novembre 2000 n. 509, che richiama le sentenze n. 309 del 1999, n. 267 del 1998, n. 247 del 1992.</w:t>
      </w:r>
    </w:p>
  </w:footnote>
  <w:footnote w:id="33">
    <w:p w14:paraId="5D079CA7" w14:textId="2D8FC403" w:rsidR="00263EC4" w:rsidRPr="00DC03B9" w:rsidRDefault="00263EC4" w:rsidP="00B6273E">
      <w:pPr>
        <w:jc w:val="both"/>
        <w:rPr>
          <w:rFonts w:ascii="Times New Roman" w:hAnsi="Times New Roman" w:cs="Times New Roman"/>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 xml:space="preserve">Pronuncia resa nel caso </w:t>
      </w:r>
      <w:r w:rsidRPr="00DC03B9">
        <w:rPr>
          <w:rFonts w:ascii="Times New Roman" w:hAnsi="Times New Roman" w:cs="Times New Roman"/>
          <w:i/>
          <w:iCs/>
          <w:sz w:val="20"/>
          <w:szCs w:val="20"/>
          <w:lang w:eastAsia="it-IT"/>
        </w:rPr>
        <w:t xml:space="preserve">G.L. c. Italia </w:t>
      </w:r>
      <w:r w:rsidRPr="00DC03B9">
        <w:rPr>
          <w:rFonts w:ascii="Times New Roman" w:hAnsi="Times New Roman" w:cs="Times New Roman"/>
          <w:sz w:val="20"/>
          <w:szCs w:val="20"/>
          <w:lang w:eastAsia="it-IT"/>
        </w:rPr>
        <w:t xml:space="preserve">(Corte EDU, sez. I, 10 settembre 2020, ric. 59751/15). Nel caso di specie, ad una cittadina italiana minorenne affetta da autismo non verbale, era stata negata la possibilità di fruire di un insegnante di sostegno per i primi due anni del percorso d’istruzione elementare, ausilio di cui invece aveva beneficiato, ai sensi della legge 5 febbraio 1992, n. 104, durante la scuola materna. </w:t>
      </w:r>
    </w:p>
    <w:p w14:paraId="08119367" w14:textId="0BFB8BF0" w:rsidR="00263EC4" w:rsidRPr="00DC03B9" w:rsidRDefault="00263EC4" w:rsidP="00B6273E">
      <w:pPr>
        <w:jc w:val="both"/>
        <w:rPr>
          <w:rFonts w:ascii="Times New Roman" w:hAnsi="Times New Roman" w:cs="Times New Roman"/>
          <w:sz w:val="20"/>
          <w:szCs w:val="20"/>
          <w:lang w:eastAsia="it-IT"/>
        </w:rPr>
      </w:pPr>
      <w:r w:rsidRPr="00DC03B9">
        <w:rPr>
          <w:rFonts w:ascii="Times New Roman" w:hAnsi="Times New Roman" w:cs="Times New Roman"/>
          <w:sz w:val="20"/>
          <w:szCs w:val="20"/>
          <w:lang w:eastAsia="it-IT"/>
        </w:rPr>
        <w:t xml:space="preserve">Nonostante le iniziative giudiziarie intraprese dai genitori dell’interessata volte all’accertamento del diritto all’assistenza specialistica ed al conseguente risarcimento dei danni subiti, i giudici nazionali avevano accolto le osservazioni dell’amministrazione nazionale che aveva giustificato il mancato soddisfacimento della richiesta di assistenza scolastica della minore in considerazione di un ingente contenimento delle risorse finanziarie statali a tal fine preposte. </w:t>
      </w:r>
    </w:p>
    <w:p w14:paraId="4ADD5CCB" w14:textId="5AE56EDF" w:rsidR="00263EC4" w:rsidRPr="00DC03B9" w:rsidRDefault="00263EC4" w:rsidP="00DC03B9">
      <w:pPr>
        <w:jc w:val="both"/>
        <w:rPr>
          <w:rFonts w:ascii="Times New Roman" w:hAnsi="Times New Roman" w:cs="Times New Roman"/>
          <w:sz w:val="20"/>
          <w:szCs w:val="20"/>
        </w:rPr>
      </w:pPr>
      <w:r w:rsidRPr="00DC03B9">
        <w:rPr>
          <w:rFonts w:ascii="Times New Roman" w:hAnsi="Times New Roman" w:cs="Times New Roman"/>
          <w:sz w:val="20"/>
          <w:szCs w:val="20"/>
          <w:lang w:eastAsia="it-IT"/>
        </w:rPr>
        <w:t xml:space="preserve">Pertanto, la Corte EDU ha concluso nel senso della violazione delle disposizioni convenzionali sopra evocate, rimarcando che la discriminazione subita dall’interessata dovesse ritenersi tanto più grave in quanto realizzatasi in una fase particolarmente delicata per lo sviluppo individuale, qual è il contesto d’istruzione primaria. </w:t>
      </w:r>
    </w:p>
  </w:footnote>
  <w:footnote w:id="34">
    <w:p w14:paraId="332D923B" w14:textId="192D662F" w:rsidR="00263EC4" w:rsidRPr="00DC03B9" w:rsidRDefault="00263EC4">
      <w:pPr>
        <w:pStyle w:val="Testonotaapidipagina"/>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Pr>
          <w:rFonts w:ascii="Times New Roman" w:hAnsi="Times New Roman" w:cs="Times New Roman"/>
        </w:rPr>
        <w:t>Per un confronto</w:t>
      </w:r>
      <w:r w:rsidRPr="00DC03B9">
        <w:rPr>
          <w:rFonts w:ascii="Times New Roman" w:hAnsi="Times New Roman" w:cs="Times New Roman"/>
        </w:rPr>
        <w:t xml:space="preserve">: A.Patti, </w:t>
      </w:r>
      <w:r w:rsidRPr="00DC03B9">
        <w:rPr>
          <w:rFonts w:ascii="Times New Roman" w:hAnsi="Times New Roman" w:cs="Times New Roman"/>
          <w:i/>
        </w:rPr>
        <w:t xml:space="preserve">Il diritto all’istruzione delle persone con disabilità: le pronunce Dupin contro </w:t>
      </w:r>
      <w:r>
        <w:rPr>
          <w:rFonts w:ascii="Times New Roman" w:hAnsi="Times New Roman" w:cs="Times New Roman"/>
          <w:i/>
        </w:rPr>
        <w:t>F</w:t>
      </w:r>
      <w:r w:rsidRPr="00DC03B9">
        <w:rPr>
          <w:rFonts w:ascii="Times New Roman" w:hAnsi="Times New Roman" w:cs="Times New Roman"/>
          <w:i/>
        </w:rPr>
        <w:t>rancia e Stoian contro Romania alla luce della normativa italian</w:t>
      </w:r>
      <w:r w:rsidRPr="00DC03B9">
        <w:rPr>
          <w:rFonts w:ascii="Times New Roman" w:hAnsi="Times New Roman" w:cs="Times New Roman"/>
        </w:rPr>
        <w:t xml:space="preserve">a, in </w:t>
      </w:r>
      <w:r w:rsidRPr="00DC03B9">
        <w:rPr>
          <w:rFonts w:ascii="Times New Roman" w:hAnsi="Times New Roman" w:cs="Times New Roman"/>
          <w:i/>
        </w:rPr>
        <w:t>Quaderni cost.</w:t>
      </w:r>
      <w:r w:rsidRPr="00DC03B9">
        <w:rPr>
          <w:rFonts w:ascii="Times New Roman" w:hAnsi="Times New Roman" w:cs="Times New Roman"/>
        </w:rPr>
        <w:t>, 1/2020.</w:t>
      </w:r>
    </w:p>
  </w:footnote>
  <w:footnote w:id="35">
    <w:p w14:paraId="35687521" w14:textId="58681ED0"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Di recente il Comitato tecnico scientifico è stato istituito per l’individuazione dei Livelli Essenziali delle Prestazioni (CLEP) istituito con decreto del Presidente del Consiglio dei ministri del 23 marzo 2023 nell’ambito del processo per l’attribuzione di ulteriori forme e condizioni particolari di autonomia di cui all'articolo 116, terzo comma, della Costituzione, ha individuato nel proprio rapporto finale (pubblicato su </w:t>
      </w:r>
      <w:r w:rsidRPr="00AA6C8D">
        <w:rPr>
          <w:rFonts w:ascii="Times New Roman" w:hAnsi="Times New Roman" w:cs="Times New Roman"/>
          <w:i/>
          <w:sz w:val="20"/>
          <w:szCs w:val="20"/>
        </w:rPr>
        <w:t>https://www.autonomia.gov.it/it/organismi-e-competenze/clep/documenti/2023-rapporto-finale-clep/</w:t>
      </w:r>
      <w:r w:rsidRPr="00DC03B9">
        <w:rPr>
          <w:rFonts w:ascii="Times New Roman" w:hAnsi="Times New Roman" w:cs="Times New Roman"/>
          <w:sz w:val="20"/>
          <w:szCs w:val="20"/>
        </w:rPr>
        <w:t xml:space="preserve">) una molteplicità di norme </w:t>
      </w:r>
      <w:r w:rsidRPr="00DC03B9">
        <w:rPr>
          <w:rFonts w:ascii="Times New Roman" w:hAnsi="Times New Roman" w:cs="Times New Roman"/>
          <w:sz w:val="20"/>
          <w:szCs w:val="20"/>
          <w:lang w:eastAsia="it-IT"/>
        </w:rPr>
        <w:t>che determinano i LEP in maniera generica o specifica come è per i livelli essenziali di assistenza (LEA) in materia sanitaria, individuati dal d.P.C.M. 29 novembre 2001, aggiornato e modificato con d.P.C.M. 12 gennaio 2017 e fattispecie in cui pur in assenza di una espressa configurazione per legge, sia stata la Corte costituzionale in sede ermeneutica a riconoscerne l’esistenza (sentenza n. 121 del 2010).</w:t>
      </w:r>
    </w:p>
  </w:footnote>
  <w:footnote w:id="36">
    <w:p w14:paraId="2FEF4A2B" w14:textId="4C7DECE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cfr. </w:t>
      </w:r>
      <w:r w:rsidRPr="00DC03B9">
        <w:rPr>
          <w:rFonts w:ascii="Times New Roman" w:hAnsi="Times New Roman" w:cs="Times New Roman"/>
          <w:lang w:eastAsia="it-IT"/>
        </w:rPr>
        <w:t>Corte cost. nn. 197 del 2019, 132 del 2021 e 233 del 2022.</w:t>
      </w:r>
    </w:p>
  </w:footnote>
  <w:footnote w:id="37">
    <w:p w14:paraId="08DAE7E0" w14:textId="3D734C58"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w:t>
      </w:r>
      <w:r w:rsidRPr="00DC03B9">
        <w:rPr>
          <w:rFonts w:ascii="Times New Roman" w:hAnsi="Times New Roman" w:cs="Times New Roman"/>
          <w:lang w:eastAsia="it-IT"/>
        </w:rPr>
        <w:t>ome gli interventi, i servizi, le attività e le prestazioni integrate che la Repubblica assicura con carattere di universalità su tutto il territorio nazionale per garantire qualità della vita, pari opportunità, non discriminazione, prevenzione, eliminazione o riduzione delle condizioni di svantaggio e di vulnerabilità</w:t>
      </w:r>
    </w:p>
  </w:footnote>
  <w:footnote w:id="38">
    <w:p w14:paraId="60ECBCCF" w14:textId="772751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Per una ricostruzione critica e aggiornata si rinvia a F.</w:t>
      </w:r>
      <w:r w:rsidR="00A016C5">
        <w:rPr>
          <w:rFonts w:ascii="Times New Roman" w:hAnsi="Times New Roman" w:cs="Times New Roman"/>
        </w:rPr>
        <w:t xml:space="preserve"> </w:t>
      </w:r>
      <w:r w:rsidRPr="00DC03B9">
        <w:rPr>
          <w:rFonts w:ascii="Times New Roman" w:hAnsi="Times New Roman" w:cs="Times New Roman"/>
        </w:rPr>
        <w:t xml:space="preserve">Masci, </w:t>
      </w:r>
      <w:r w:rsidRPr="00DC03B9">
        <w:rPr>
          <w:rFonts w:ascii="Times New Roman" w:hAnsi="Times New Roman" w:cs="Times New Roman"/>
          <w:i/>
        </w:rPr>
        <w:t>I livelli essenziali delle prestazioni: appunti per una ricostruzione</w:t>
      </w:r>
      <w:r w:rsidRPr="00DC03B9">
        <w:rPr>
          <w:rFonts w:ascii="Times New Roman" w:hAnsi="Times New Roman" w:cs="Times New Roman"/>
        </w:rPr>
        <w:t>, Napoli, 2025.</w:t>
      </w:r>
    </w:p>
  </w:footnote>
  <w:footnote w:id="39">
    <w:p w14:paraId="2D119A30" w14:textId="17C65E33"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hAnsi="Times New Roman" w:cs="Times New Roman"/>
          <w:lang w:eastAsia="it-IT"/>
        </w:rPr>
        <w:t>La Corte ha ribadito anche di recente (sent. n. 190 del 2022) che «</w:t>
      </w:r>
      <w:r w:rsidRPr="00DC03B9">
        <w:rPr>
          <w:rFonts w:ascii="Times New Roman" w:hAnsi="Times New Roman" w:cs="Times New Roman"/>
          <w:i/>
          <w:lang w:eastAsia="it-IT"/>
        </w:rPr>
        <w:t>La competenza esclusiva dello Stato di determinazione dei livelli essenziali non preclude […] alle Regioni di erogare livelli di tutela più elevati, ossia ulteriori, rispetto a quelli da esso stabiliti, purché le risorse a ciò destinate ricevano una evidenziazione distinta rispetto a quelle afferenti ai LEA</w:t>
      </w:r>
      <w:r w:rsidRPr="00DC03B9">
        <w:rPr>
          <w:rFonts w:ascii="Times New Roman" w:hAnsi="Times New Roman" w:cs="Times New Roman"/>
          <w:lang w:eastAsia="it-IT"/>
        </w:rPr>
        <w:t>”</w:t>
      </w:r>
    </w:p>
  </w:footnote>
  <w:footnote w:id="40">
    <w:p w14:paraId="1516DC06" w14:textId="270FAC44"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vedano in particolare le sentenze n. 275 del 2016; n. 152 del 2020, e n. 309 del 1999 e n. 80 del 2010 della Corte Costituzionale ove si afferma che è “</w:t>
      </w:r>
      <w:r w:rsidRPr="00DC03B9">
        <w:rPr>
          <w:rFonts w:ascii="Times New Roman" w:hAnsi="Times New Roman" w:cs="Times New Roman"/>
          <w:i/>
        </w:rPr>
        <w:t>la garanzia dei diritti incomprimibili ad incidere sul bilancio, e non l’equilibrio di questo a condizionarne la doverosa erogazione</w:t>
      </w:r>
      <w:r w:rsidRPr="00DC03B9">
        <w:rPr>
          <w:rFonts w:ascii="Times New Roman" w:hAnsi="Times New Roman" w:cs="Times New Roman"/>
        </w:rPr>
        <w:t>”.</w:t>
      </w:r>
    </w:p>
  </w:footnote>
  <w:footnote w:id="41">
    <w:p w14:paraId="525F7E2B" w14:textId="242C933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20 gennaio 2025, n. 182; TAR Lazio, Roma, sez. II, 24 luglio 2023, n. 12403; TAR, Emilia Romagna, Parma, sez. I, 24 luglio 2023, n. 236. </w:t>
      </w:r>
    </w:p>
  </w:footnote>
  <w:footnote w:id="42">
    <w:p w14:paraId="11E4A5FF" w14:textId="3FA64D6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20 gennaio 2025 n. 182.</w:t>
      </w:r>
    </w:p>
  </w:footnote>
  <w:footnote w:id="43">
    <w:p w14:paraId="4821E77B" w14:textId="42F59DCD"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Si vedano T.A.R. Campania, Napoli, sez.</w:t>
      </w:r>
      <w:r w:rsidR="00A016C5">
        <w:rPr>
          <w:rFonts w:ascii="Times New Roman" w:hAnsi="Times New Roman" w:cs="Times New Roman"/>
          <w:sz w:val="20"/>
          <w:szCs w:val="20"/>
          <w:lang w:eastAsia="it-IT"/>
        </w:rPr>
        <w:t xml:space="preserve"> </w:t>
      </w:r>
      <w:r w:rsidRPr="00DC03B9">
        <w:rPr>
          <w:rFonts w:ascii="Times New Roman" w:hAnsi="Times New Roman" w:cs="Times New Roman"/>
          <w:sz w:val="20"/>
          <w:szCs w:val="20"/>
          <w:lang w:eastAsia="it-IT"/>
        </w:rPr>
        <w:t>V, 16 novembre 2023, n. 6305 e 26 luglio 2023 n. 4508, nonché Cons. St., sez. III, 4 dicembre 2023, n. 10491.</w:t>
      </w:r>
    </w:p>
  </w:footnote>
  <w:footnote w:id="44">
    <w:p w14:paraId="294F86DD" w14:textId="26D1B04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hAnsi="Times New Roman" w:cs="Times New Roman"/>
          <w:i/>
        </w:rPr>
        <w:t xml:space="preserve">Ex multis, </w:t>
      </w:r>
      <w:r w:rsidRPr="00DC03B9">
        <w:rPr>
          <w:rFonts w:ascii="Times New Roman" w:hAnsi="Times New Roman" w:cs="Times New Roman"/>
        </w:rPr>
        <w:t>Cons. St., sez. IV, 27 dicembre 2023, n. 11219; id., 4 maggio 2007, n. 4635; sez. VI, 3 giugno 2022, n. 4522; id., 24 aprile 2019, n. 2625; id., 6 maggio 2014, n. 2295; id., 8 agosto 2009, n. 4960; Sez. III, 11 dicembre 2020, n. 7097.</w:t>
      </w:r>
    </w:p>
  </w:footnote>
  <w:footnote w:id="45">
    <w:p w14:paraId="5EB9193A" w14:textId="748E3E4F"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Campania, Napoli, s</w:t>
      </w:r>
      <w:r w:rsidRPr="00DC03B9">
        <w:rPr>
          <w:rFonts w:ascii="Times New Roman" w:hAnsi="Times New Roman" w:cs="Times New Roman"/>
          <w:lang w:eastAsia="it-IT"/>
        </w:rPr>
        <w:t>ez. V, sentenza 20 maggio 2025, n. 3896</w:t>
      </w:r>
    </w:p>
  </w:footnote>
  <w:footnote w:id="46">
    <w:p w14:paraId="6AF586F4" w14:textId="06EFA649"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Cons. St., sez. V, 23 giugno 2011, n. 3807; sez. VI, 9 novembre 2006, n. 6607; id., 11 aprile 2006, n. 2001.</w:t>
      </w:r>
    </w:p>
  </w:footnote>
  <w:footnote w:id="47">
    <w:p w14:paraId="68FC4F10" w14:textId="3D2E2F11" w:rsidR="00263EC4" w:rsidRPr="00DC03B9" w:rsidRDefault="00263EC4" w:rsidP="00B6273E">
      <w:pPr>
        <w:jc w:val="both"/>
        <w:rPr>
          <w:rFonts w:ascii="Times New Roman" w:hAnsi="Times New Roman" w:cs="Times New Roman"/>
          <w:i/>
          <w:sz w:val="20"/>
          <w:szCs w:val="20"/>
          <w:lang w:eastAsia="it-IT"/>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Cons. St., sez. III, 6 ottobre 2023, n. 8708 ha osservato: "</w:t>
      </w:r>
      <w:r w:rsidRPr="00DC03B9">
        <w:rPr>
          <w:rFonts w:ascii="Times New Roman" w:hAnsi="Times New Roman" w:cs="Times New Roman"/>
          <w:i/>
          <w:sz w:val="20"/>
          <w:szCs w:val="20"/>
          <w:lang w:eastAsia="it-IT"/>
        </w:rPr>
        <w:t>la Corte costituzionale, con sentenza n. 5 del 31 gennaio 2018, ha avuto modo di chiarire che l'ambito in cui si inscrivono gli interventi previsti dalla legge regionale (…) è appunto quello dei livelli essenziali di assistenza, poiché il decreto del Presidente del Consiglio dei ministri 12 gennaio 2017 (Definizione e aggiornamento dei livelli essenziali di assistenza, di cui all'articolo 1, comma 7, del decreto legislativo 30 dicembre 1992, n. 502), nell'aggiornare i livelli essenziali di assistenza, ha ricompreso in essi l'assistenza sociosanitaria, tra l'altro, alle persone con disturbi mentali e disabilità".</w:t>
      </w:r>
    </w:p>
    <w:p w14:paraId="3271F99F" w14:textId="1213B473" w:rsidR="00263EC4" w:rsidRPr="00DC03B9" w:rsidRDefault="00263EC4" w:rsidP="00B6273E">
      <w:pPr>
        <w:jc w:val="both"/>
        <w:rPr>
          <w:rFonts w:ascii="Times New Roman" w:hAnsi="Times New Roman" w:cs="Times New Roman"/>
          <w:i/>
          <w:sz w:val="20"/>
          <w:szCs w:val="20"/>
          <w:lang w:eastAsia="it-IT"/>
        </w:rPr>
      </w:pPr>
      <w:r w:rsidRPr="00DC03B9">
        <w:rPr>
          <w:rFonts w:ascii="Times New Roman" w:hAnsi="Times New Roman" w:cs="Times New Roman"/>
          <w:i/>
          <w:sz w:val="20"/>
          <w:szCs w:val="20"/>
          <w:lang w:eastAsia="it-IT"/>
        </w:rPr>
        <w:t>Analogamente, il menzionato d.P.C.M., agli artt. 25, 26, 27 e 32, ricomprende, in particolare, tra i LEA, rispettivamente, l'assistenza sociosanitaria ai minori con disturbi in ambito neuropsichiatrico e del neurosviluppo, l'assistenza sociosanitaria alle persone con disturbi mentali, l'assistenza sociosanitaria alle persone con disabilità, l'assistenza sociosanitaria semiresidenziale e residenziale ai minori con disturbi in ambito neuropsichiatrico e del neurosviluppo.</w:t>
      </w:r>
    </w:p>
    <w:p w14:paraId="20E58965" w14:textId="24A07FC4" w:rsidR="00263EC4" w:rsidRPr="00DC03B9" w:rsidRDefault="00263EC4" w:rsidP="00B6273E">
      <w:pPr>
        <w:pStyle w:val="Testonotaapidipagina"/>
        <w:jc w:val="both"/>
        <w:rPr>
          <w:rFonts w:ascii="Times New Roman" w:hAnsi="Times New Roman" w:cs="Times New Roman"/>
          <w:i/>
          <w:lang w:eastAsia="it-IT"/>
        </w:rPr>
      </w:pPr>
      <w:r w:rsidRPr="00DC03B9">
        <w:rPr>
          <w:rFonts w:ascii="Times New Roman" w:hAnsi="Times New Roman" w:cs="Times New Roman"/>
          <w:i/>
          <w:lang w:eastAsia="it-IT"/>
        </w:rPr>
        <w:t>È stato, quindi, ribadito che il trattamento “ABA” rientra certamente tra i livelli essenziali di assistenza (LEA) a norma dell'articolo 60 del d.P.C.M. 12 gennaio 2017 e delle conseguenti Linee di indirizzo dell'Istituto superiore di sanità, da ultimo approvate in Conferenza unificata in data 10 maggio 2018, in attuazione della legge 18 agosto 2015, n. 134 (cfr. sent. n. 2129/2022)”.</w:t>
      </w:r>
    </w:p>
    <w:p w14:paraId="3C525440" w14:textId="6F12C401"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Numerose le pronunce che si sino occupate di fattispecie in cui i ricorrenti chiedevano l’erogazione della specifica terapia con metodo A</w:t>
      </w:r>
      <w:r w:rsidRPr="00DC03B9">
        <w:rPr>
          <w:rFonts w:ascii="Times New Roman" w:hAnsi="Times New Roman" w:cs="Times New Roman"/>
          <w:i/>
          <w:iCs/>
        </w:rPr>
        <w:t>pplied Behaviour Analysis</w:t>
      </w:r>
      <w:r w:rsidRPr="00DC03B9">
        <w:rPr>
          <w:rFonts w:ascii="Times New Roman" w:hAnsi="Times New Roman" w:cs="Times New Roman"/>
        </w:rPr>
        <w:t xml:space="preserve"> (ABA) tra cui solo per citarne alcune TAR Lazio, Roma, sez. III </w:t>
      </w:r>
      <w:r w:rsidRPr="00DC03B9">
        <w:rPr>
          <w:rFonts w:ascii="Times New Roman" w:hAnsi="Times New Roman" w:cs="Times New Roman"/>
          <w:i/>
        </w:rPr>
        <w:t>quater</w:t>
      </w:r>
      <w:r w:rsidRPr="00DC03B9">
        <w:rPr>
          <w:rFonts w:ascii="Times New Roman" w:hAnsi="Times New Roman" w:cs="Times New Roman"/>
        </w:rPr>
        <w:t xml:space="preserve">, 4 giugno 2025, n. 10786; </w:t>
      </w:r>
      <w:r w:rsidRPr="00DC03B9">
        <w:rPr>
          <w:rFonts w:ascii="Times New Roman" w:hAnsi="Times New Roman" w:cs="Times New Roman"/>
          <w:i/>
        </w:rPr>
        <w:t>id.</w:t>
      </w:r>
      <w:r w:rsidRPr="00DC03B9">
        <w:rPr>
          <w:rFonts w:ascii="Times New Roman" w:hAnsi="Times New Roman" w:cs="Times New Roman"/>
        </w:rPr>
        <w:t xml:space="preserve"> 30 maggio 2025 n. 10588; </w:t>
      </w:r>
      <w:r w:rsidRPr="00DC03B9">
        <w:rPr>
          <w:rFonts w:ascii="Times New Roman" w:hAnsi="Times New Roman" w:cs="Times New Roman"/>
          <w:i/>
        </w:rPr>
        <w:t>id.</w:t>
      </w:r>
      <w:r w:rsidRPr="00DC03B9">
        <w:rPr>
          <w:rFonts w:ascii="Times New Roman" w:hAnsi="Times New Roman" w:cs="Times New Roman"/>
        </w:rPr>
        <w:t xml:space="preserve"> 20 maggio 2025, n. 9642; TAR Campania, Napoli, sez. V, 14 luglio 2025, n. 5282; TAR Calabria, sez. II, 11 agosto 2025, n. 1376.</w:t>
      </w:r>
    </w:p>
  </w:footnote>
  <w:footnote w:id="48">
    <w:p w14:paraId="468C8965" w14:textId="31DB9DFE" w:rsidR="00263EC4" w:rsidRPr="00DC03B9" w:rsidRDefault="00263EC4" w:rsidP="00B6273E">
      <w:pPr>
        <w:pStyle w:val="Testonotaapidipagina"/>
        <w:jc w:val="both"/>
        <w:rPr>
          <w:rFonts w:ascii="Times New Roman" w:hAnsi="Times New Roman" w:cs="Times New Roman"/>
          <w:lang w:val="fr-FR"/>
        </w:rPr>
      </w:pPr>
      <w:r w:rsidRPr="00DC03B9">
        <w:rPr>
          <w:rStyle w:val="Rimandonotaapidipagina"/>
          <w:rFonts w:ascii="Times New Roman" w:hAnsi="Times New Roman" w:cs="Times New Roman"/>
        </w:rPr>
        <w:footnoteRef/>
      </w:r>
      <w:r w:rsidRPr="00DC03B9">
        <w:rPr>
          <w:rFonts w:ascii="Times New Roman" w:hAnsi="Times New Roman" w:cs="Times New Roman"/>
          <w:lang w:val="fr-FR"/>
        </w:rPr>
        <w:t xml:space="preserve"> </w:t>
      </w:r>
      <w:r w:rsidRPr="00DC03B9">
        <w:rPr>
          <w:rFonts w:ascii="Times New Roman" w:hAnsi="Times New Roman" w:cs="Times New Roman"/>
          <w:lang w:val="fr-FR" w:eastAsia="it-IT"/>
        </w:rPr>
        <w:t>Cons. St., sez. III, 6 ottobre 2023, n. 8708.</w:t>
      </w:r>
    </w:p>
  </w:footnote>
  <w:footnote w:id="49">
    <w:p w14:paraId="4DE466F2" w14:textId="5B64549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773FFE">
        <w:rPr>
          <w:rFonts w:ascii="Times New Roman" w:hAnsi="Times New Roman" w:cs="Times New Roman"/>
        </w:rPr>
        <w:t xml:space="preserve"> Cons. </w:t>
      </w:r>
      <w:r w:rsidRPr="00DC03B9">
        <w:rPr>
          <w:rFonts w:ascii="Times New Roman" w:hAnsi="Times New Roman" w:cs="Times New Roman"/>
        </w:rPr>
        <w:t>St., sez. III, 2 gennaio 2020, n. 1 e, più di recente, 11 gennaio 2021, n. 316.</w:t>
      </w:r>
    </w:p>
  </w:footnote>
  <w:footnote w:id="50">
    <w:p w14:paraId="1CF6970F" w14:textId="23DB1B4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Lombardia, Brescia, sez. I, 2 maggio 2024 n. 365; TAR Campania, Napoli, Sez. V, 7 giugno 2023 n. 3511.</w:t>
      </w:r>
    </w:p>
  </w:footnote>
  <w:footnote w:id="51">
    <w:p w14:paraId="3B696431" w14:textId="675E7BF9"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10 aprile 2024 n. 1357 secondo cui: “</w:t>
      </w:r>
      <w:r w:rsidRPr="00DC03B9">
        <w:rPr>
          <w:rFonts w:ascii="Times New Roman" w:hAnsi="Times New Roman" w:cs="Times New Roman"/>
          <w:i/>
        </w:rPr>
        <w:t>Le contestazioni sull’asserita lacunosità della Sezione “Dopo di Noi” del progetto sono anch’esse prive di pregio,  tenuto conto che sono le stesse Amministrazioni, nel documento gravato, a precisare come la struttura residenziale presso cui effettuare i soggiorni temporanei per tre giorni mensili deve ancora essere individuata, in quanto subordinata “alla nuova programmazione del Piano “Dopo di Noi” e suo relativo finanziamento, da parte della Regione Sicilia” (pag. 5 del progetto individuale) e alla scelta dell’utente finale che, invero, non sarebbe stata ancora effettuata.</w:t>
      </w:r>
    </w:p>
    <w:p w14:paraId="55358FAE" w14:textId="575E570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Tale clausola, pertanto, non può essere ritenuta illegittima, dal momento che è lo stesso art. 14, punto 2), della l.n. 328/2000 a prevedere, in via generale, che il progetto individuale sia predisposto “nell’ambito delle risorse disponibili”, così come, avuto riguardo alle misure del “Dopo di Noi”, l’art. 3, co. 3, della l.n.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43A301A5" w14:textId="6284B58D"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un contesto di tal fatta è evidente, dunque, che gli Enti intimati non avrebbero potuto far altro se non inserire la misura nel progetto individuale e interessare la Regione per i successivi adempimenti di sua competenza, essendo dunque fisiologico che la specifica Sezione del “Dopo di Noi”, così come peraltro espressamente indicato nel documento impugnato, sia incompleta, in quanto in attesa di elementi informativi riconducibili a soggetti terzi, tra i quali pare rientrare anche parte ricorrente che, secondo la prospettazione dell’Amministrazione comunale, non avrebbe ancora espresso alcuna preferenza sulla struttura dove soggiornare.”</w:t>
      </w:r>
    </w:p>
  </w:footnote>
  <w:footnote w:id="52">
    <w:p w14:paraId="62560B08" w14:textId="5145F2E8"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eastAsia="Times New Roman" w:hAnsi="Times New Roman" w:cs="Times New Roman"/>
          <w:lang w:eastAsia="it-IT"/>
        </w:rPr>
        <w:t xml:space="preserve">Cons. St., sez. III, 12 agosto 2024 n. </w:t>
      </w:r>
      <w:r w:rsidRPr="00DC03B9">
        <w:rPr>
          <w:rFonts w:ascii="Times New Roman" w:eastAsia="Times New Roman" w:hAnsi="Times New Roman" w:cs="Times New Roman"/>
          <w:bCs/>
          <w:lang w:eastAsia="it-IT"/>
        </w:rPr>
        <w:t xml:space="preserve">7089 sulla </w:t>
      </w:r>
      <w:r w:rsidRPr="00DC03B9">
        <w:rPr>
          <w:rFonts w:ascii="Times New Roman" w:hAnsi="Times New Roman" w:cs="Times New Roman"/>
        </w:rPr>
        <w:t>incomprimibilità del diritto all’inclusione scolastica delle persone con disabilità anche rispetto alle ore di assistenza all’autonomia e alla comunicazione, richiamando la Convenzione ONU sulle persone con disabilità, approvata dall’Assemblea generale delle Nazioni Unite in data 12 dicembre 2006 e ratificata poi dall’Italia con la legge 3 marzo 2009, n. 18 sostiene che: “</w:t>
      </w:r>
      <w:r w:rsidRPr="00DC03B9">
        <w:rPr>
          <w:rFonts w:ascii="Times New Roman" w:hAnsi="Times New Roman" w:cs="Times New Roman"/>
          <w:i/>
        </w:rPr>
        <w:t>la disciplina convenzionale, da un lato, conia il concetto di “</w:t>
      </w:r>
      <w:r w:rsidRPr="00DC03B9">
        <w:rPr>
          <w:rFonts w:ascii="Times New Roman" w:hAnsi="Times New Roman" w:cs="Times New Roman"/>
          <w:i/>
          <w:iCs/>
        </w:rPr>
        <w:t>accomodamento ragionevole</w:t>
      </w:r>
      <w:r w:rsidRPr="00DC03B9">
        <w:rPr>
          <w:rFonts w:ascii="Times New Roman" w:hAnsi="Times New Roman" w:cs="Times New Roman"/>
          <w:i/>
        </w:rPr>
        <w:t xml:space="preserve">” intendendosi le modifiche e gli adattamenti necessari ed appropriati che non impongano un onere sproporzionato o eccessivo adottati, ove ve ne sia necessità in casi particolari, per garantire alle persone con disabilità il godimento e l’esercizio, su base di uguaglianza con gli altri, di tutti i diritti umani e delle libertà fondamentali (art. 3 Conv.), dall’altro, nell’onerare gli Stati parti del riconoscimento del diritto all’istruzione delle persone con disabilità li impegna a garantire un sistema di istruzione inclusivo a tutti i livelli ed un apprendimento continuo lungo tutto l’arco della vita che realizzi tale diritto senza discriminazioni e su base di pari opportunità. </w:t>
      </w:r>
    </w:p>
    <w:p w14:paraId="180C7F13" w14:textId="3891B88E"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In particolare, nell’attuazione di questo diritto gli Stati parti devono assicurare sia che le persone con disabilità non siano escluse dal sistema di istruzione generale in ragione della disabilità e che i minori con disabilità non siano esclusi in ragione della disabilità da una istruzione primaria gratuita libera ed obbligatoria o dall’istruzione secondaria, sia che venga fornito un accomodamento ragionevole in funzione dei bisogni di ciascuno e che le persone con disabilità ricevano il sostegno necessario, all’interno del sistema educativo generale, al fine di agevolare la loro effettiva istruzione</w:t>
      </w:r>
      <w:r w:rsidRPr="00DC03B9">
        <w:rPr>
          <w:rFonts w:ascii="Times New Roman" w:hAnsi="Times New Roman" w:cs="Times New Roman"/>
        </w:rPr>
        <w:t>….</w:t>
      </w:r>
      <w:r w:rsidRPr="00DC03B9">
        <w:rPr>
          <w:rFonts w:ascii="Times New Roman" w:hAnsi="Times New Roman" w:cs="Times New Roman"/>
          <w:i/>
        </w:rPr>
        <w:t>Il quadro regolatorio nazionale tratteggia nitidamente gli strumenti e gli istituti cui l’ordinamento si rivolge allo scopo della massima realizzazione dell’inclusione scolastica in favore dei minori disabili, tra i quali spicca il piano educativo individualizzato (</w:t>
      </w:r>
      <w:r w:rsidRPr="00DC03B9">
        <w:rPr>
          <w:rFonts w:ascii="Times New Roman" w:hAnsi="Times New Roman" w:cs="Times New Roman"/>
          <w:i/>
          <w:iCs/>
        </w:rPr>
        <w:t>breviter</w:t>
      </w:r>
      <w:r w:rsidRPr="00DC03B9">
        <w:rPr>
          <w:rFonts w:ascii="Times New Roman" w:hAnsi="Times New Roman" w:cs="Times New Roman"/>
          <w:i/>
        </w:rPr>
        <w:t>, P.E.I.), facente parte del progetto individuale per le persone disabili di cui all’art. 14 legge n. 328 del 2000. Il P.E.I. è elaborato e approvato dal Gruppo di lavoro operativo per l'inclusione (</w:t>
      </w:r>
      <w:r w:rsidRPr="00DC03B9">
        <w:rPr>
          <w:rFonts w:ascii="Times New Roman" w:hAnsi="Times New Roman" w:cs="Times New Roman"/>
          <w:i/>
          <w:iCs/>
        </w:rPr>
        <w:t>breviter</w:t>
      </w:r>
      <w:r w:rsidRPr="00DC03B9">
        <w:rPr>
          <w:rFonts w:ascii="Times New Roman" w:hAnsi="Times New Roman" w:cs="Times New Roman"/>
          <w:i/>
        </w:rPr>
        <w:t>, GLO) a sua volta composto dal team dei docenti contitolari o dal consiglio di classe, con la partecipazione dei genitori della bambina o del bambino, dell’alunna o dell’alunno, della studentessa o dello studente con disabilità, o di chi esercita la responsabilità genitoriale, delle figure professionali specifiche, interne ed esterne all'istituzione scolastica che interagiscono con la classe e con la bambina o il bambino, l’alunna o l’alunno, la studentessa o lo studente con disabilità nonché con il necessario supporto dell’unità di valutazione multidisciplinare (v. art. 9, co. 10, d.lgs. 66/2017); tra i molteplici contenuti normativamente previsti il PEI “</w:t>
      </w:r>
      <w:r w:rsidRPr="00DC03B9">
        <w:rPr>
          <w:rFonts w:ascii="Times New Roman" w:hAnsi="Times New Roman" w:cs="Times New Roman"/>
          <w:i/>
          <w:iCs/>
        </w:rPr>
        <w:t>esplicita le modalità di sostegno didattico, compresa la proposta del numero di ore di sostegno alla classe, le modalità di verifica, i criteri di valutazione, gli interventi di inclusione svolti dal personale docente nell'ambito della classe e in progetti specifici, la valutazione in relazione alla programmazione individualizzata, nonché gli interventi di assistenza igienica e di base, svolti dal personale ausiliario nell'ambito del plesso scolastico e la proposta delle risorse professionali da destinare all'assistenza, all'autonomia e alla comunicazione</w:t>
      </w:r>
      <w:r w:rsidRPr="00DC03B9">
        <w:rPr>
          <w:rFonts w:ascii="Times New Roman" w:hAnsi="Times New Roman" w:cs="Times New Roman"/>
          <w:i/>
        </w:rPr>
        <w:t>” (v. art. 7, co. 2, lett. d) d.lgs. 66/2017).</w:t>
      </w:r>
    </w:p>
    <w:p w14:paraId="6211DF52" w14:textId="46C9A81A"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 xml:space="preserve">Una volta predisposto il PEI, si attiva la fase di individuazione e assegnazione delle misure di sostegno che, conformemente al disegno dicotomico tra funzioni scolastiche </w:t>
      </w:r>
      <w:r w:rsidRPr="00DC03B9">
        <w:rPr>
          <w:rFonts w:ascii="Times New Roman" w:hAnsi="Times New Roman" w:cs="Times New Roman"/>
          <w:i/>
          <w:iCs/>
        </w:rPr>
        <w:t>stricto sensu</w:t>
      </w:r>
      <w:r w:rsidRPr="00DC03B9">
        <w:rPr>
          <w:rFonts w:ascii="Times New Roman" w:hAnsi="Times New Roman" w:cs="Times New Roman"/>
          <w:i/>
        </w:rPr>
        <w:t xml:space="preserve"> e assistenza scolastica, sono individuate dal dirigente scolastico che, rispettivamente, invia all'ufficio scolastico regionale la richiesta complessiva dei posti di sostegno (art. 10, co. 1 d.lgs. 66/2017), di tal ché l’USR possa assegnare le risorse nell'ambito di quelle dell'organico dell'autonomia per i posti di sostegno, e parallelamente in tempo utile per l'ordinario avvio dell'anno scolastico, trasmette, sulla base dei PEI, di cui all'articolo 7, co. 2, la richiesta complessiva delle misure di sostegno ulteriori rispetto a quelle didattiche agli enti preposti, i quali, relativamente all'assegnazione di dette misure, attribuiscono le risorse complessive secondo le modalità attuative e gli standard qualitativi previsti nell’apposito accordo concluso in sede di Conferenza unificata (art. 10, co. 3 d.lgs. 66/2017).”</w:t>
      </w:r>
    </w:p>
  </w:footnote>
  <w:footnote w:id="53">
    <w:p w14:paraId="7910E603" w14:textId="7CE3C1C6"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Secondo Cons. St., sez. III, 21 gennaio 2025 “…</w:t>
      </w:r>
      <w:r w:rsidRPr="00DC03B9">
        <w:rPr>
          <w:rFonts w:ascii="Times New Roman" w:hAnsi="Times New Roman" w:cs="Times New Roman"/>
          <w:i/>
        </w:rPr>
        <w:t>Il dato normativo di partenza deve essere rappresentato dall’art. 27 del d.P.C.M. 12 gennaio 2017 sui livelli essenziali delle prestazioni alla stregua del quale “</w:t>
      </w:r>
      <w:r w:rsidRPr="00DC03B9">
        <w:rPr>
          <w:rFonts w:ascii="Times New Roman" w:hAnsi="Times New Roman" w:cs="Times New Roman"/>
          <w:i/>
          <w:iCs/>
        </w:rPr>
        <w:t>Nell’ambito dell'assistenza distrettuale e territoriale ad accesso diretto, il Servizio sanitario nazionale garantisce alle persone con disabilità complesse, la presa in carico multidisciplinare e lo svolgimento di un programma terapeutico e riabilitativo individualizzato differenziato per intensità, complessità e durata, che include le prestazioni, anche domiciliari, mediche specialistiche, diagnostiche e terapeutiche, psicologiche e psicoterapeutiche, e riabilitative, mediante l'impiego di metodi e strumenti basati sulle più avanzate evidenze scientifiche, necessarie e appropriate</w:t>
      </w:r>
      <w:r w:rsidRPr="00DC03B9">
        <w:rPr>
          <w:rFonts w:ascii="Times New Roman" w:hAnsi="Times New Roman" w:cs="Times New Roman"/>
          <w:i/>
        </w:rPr>
        <w:t>”.</w:t>
      </w:r>
    </w:p>
    <w:p w14:paraId="1854EC04" w14:textId="7D5F8335"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Indi, i LEA di pertinenza non specificano inderogabilmente l’erogazione dell’assistenza domiciliare, bensì la presa in carico multidisciplinare che è realizzata mediante la predisposizione del Piano di assistenza integrato, paradigmatica espressione della discrezionalità tecnica dell’Azienda sanitaria.</w:t>
      </w:r>
    </w:p>
    <w:p w14:paraId="13474A5F" w14:textId="429DCE21"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Conseguentemente, la pretesa della famiglia ricorrente deve essere inquadrata non tanto sotto il segno della spettanza in assoluto del monte ore di assistenza domiciliare, bensì della ragionevolezza e fondatezza della rimodulazione dell’assistenza infermieristica in ambiente preminentemente extradomiciliare (scolastico e campi estivi) con riduzione dell’assistenza domiciliare a sole cinque ore settimanali.</w:t>
      </w:r>
    </w:p>
    <w:p w14:paraId="30FCED56" w14:textId="1EFDA309"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…Dalla disamina della relazione istruttoria depositata da -OMISSIS- in ottemperanza all’incombente istruttorio si evince che la riduzione dell’assistenza domiciliare in favore di quella extradomiciliare (scolastica e centri estivi) poggerebbe su un quadro organizzativo complesso contrassegnato da risorse limitate, in termini relativi (organico ridotto della ASL) e assoluti (indisponibilità degli infermieri qualificati anche in via di esternalizzazione, mediante il ricorso a cooperative attivate a valere sul cd. budget di salute), nonché su un razionale di fondo secondo cui le risorse pubbliche vengono concentrate sulle attività in cui è indispensabile la presenza infermieristica (attività scolastica e di socializzazione esterna), contenendo invece l’assistenza domiciliare in ragione della presenza di familiari e </w:t>
      </w:r>
      <w:r w:rsidRPr="00DC03B9">
        <w:rPr>
          <w:rFonts w:ascii="Times New Roman" w:hAnsi="Times New Roman" w:cs="Times New Roman"/>
          <w:i/>
          <w:iCs/>
        </w:rPr>
        <w:t>caregiver</w:t>
      </w:r>
      <w:r w:rsidRPr="00DC03B9">
        <w:rPr>
          <w:rFonts w:ascii="Times New Roman" w:hAnsi="Times New Roman" w:cs="Times New Roman"/>
          <w:i/>
        </w:rPr>
        <w:t xml:space="preserve"> (fermi restando gli interventi specialistici per i quali è imprescindibile l’assistenza qualificata). Tale impostazione pare porsi in sintonia con il livello di assistenza sociosanitaria alle persone con disabilità tipizzato dall’ordinamento in termini di “</w:t>
      </w:r>
      <w:r w:rsidRPr="00DC03B9">
        <w:rPr>
          <w:rFonts w:ascii="Times New Roman" w:hAnsi="Times New Roman" w:cs="Times New Roman"/>
          <w:i/>
          <w:iCs/>
        </w:rPr>
        <w:t>presa in carico multidisciplinare e svolgimento di un programma terapeutico e riabilitativo individualizzato differenziato per intensità, complessità e durata, che include le prestazioni, anche domiciliari, mediche specialistiche, diagnostiche e terapeutiche, psicologiche e psicoterapeutiche, e riabilitative, mediante l'impiego di metodi e strumenti basati sulle più avanzate evidenze scientifiche</w:t>
      </w:r>
      <w:r w:rsidRPr="00DC03B9">
        <w:rPr>
          <w:rFonts w:ascii="Times New Roman" w:hAnsi="Times New Roman" w:cs="Times New Roman"/>
          <w:i/>
        </w:rPr>
        <w:t>..</w:t>
      </w:r>
    </w:p>
    <w:p w14:paraId="7229D960" w14:textId="0A6D8166"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4. – In definitiva, pur a fronte delle comprensibili istanze di sostegno nei confronto di familiari e </w:t>
      </w:r>
      <w:r w:rsidRPr="00DC03B9">
        <w:rPr>
          <w:rFonts w:ascii="Times New Roman" w:hAnsi="Times New Roman" w:cs="Times New Roman"/>
          <w:i/>
          <w:iCs/>
        </w:rPr>
        <w:t>caregiver</w:t>
      </w:r>
      <w:r w:rsidRPr="00DC03B9">
        <w:rPr>
          <w:rFonts w:ascii="Times New Roman" w:hAnsi="Times New Roman" w:cs="Times New Roman"/>
          <w:i/>
        </w:rPr>
        <w:t xml:space="preserve"> principale (che hanno comunque ricevuto attenzione, sotto forma del riconoscimento di un monte di cinque ore settimanali domiciliari e dell’assistenza infermieristica presso centri diurni e campi estivi, di fatto non fruiti dalla famiglia appellante), essi non possono non essere considerati come elementi fondanti del contesto familiare di assistenza di cui l’Azienda sanitaria può (e deve) tenere conto nella modulazione del piano personalizzato in ossequio alle insopprimibili istanze solidaristiche ed equitative che informano la costruzione del P.A.I.. Nel caso di specie, l’equilibrio finale nella distribuzione delle risorse assistenziali di -OMISSIS- non pare prestarsi alle dedotte censure, essendo stato operato un prudente contemperamento degli interessi confliggenti in gioco nell’ottica di assicurare all’assistito un elevato livello di assistenza compatibilmente col quadro globale dei fabbisogni assistenziali cui -OMISSIS- è stata chiamata a far fronte.</w:t>
      </w:r>
    </w:p>
    <w:p w14:paraId="4A852F9C" w14:textId="05DB2CE4"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Tutto ciò porta a concludere che le risultanze istruttorie appena esaminate corroborano l’affermazione resa dall’Azienda Sanitaria a corredo del Piano impugnato, per cui esso rappresenterebbe “</w:t>
      </w:r>
      <w:r w:rsidRPr="00DC03B9">
        <w:rPr>
          <w:rFonts w:ascii="Times New Roman" w:hAnsi="Times New Roman" w:cs="Times New Roman"/>
          <w:i/>
          <w:iCs/>
        </w:rPr>
        <w:t>il massimo sforzo possibile da parte del Servizio</w:t>
      </w:r>
      <w:r w:rsidRPr="00DC03B9">
        <w:rPr>
          <w:rFonts w:ascii="Times New Roman" w:hAnsi="Times New Roman" w:cs="Times New Roman"/>
          <w:i/>
        </w:rPr>
        <w:t>” in guisa da escludere la sussistenza del difetto istruttorio e motivazionale lamentato nel primo motivo di appello.”</w:t>
      </w:r>
    </w:p>
    <w:p w14:paraId="176F7778" w14:textId="0051A667" w:rsidR="00263EC4" w:rsidRPr="00DC03B9" w:rsidRDefault="00263EC4" w:rsidP="00B6273E">
      <w:pPr>
        <w:pStyle w:val="Testonotaapidipagina"/>
        <w:jc w:val="both"/>
        <w:rPr>
          <w:rFonts w:ascii="Times New Roman" w:hAnsi="Times New Roman" w:cs="Times New Roman"/>
        </w:rPr>
      </w:pPr>
    </w:p>
  </w:footnote>
  <w:footnote w:id="54">
    <w:p w14:paraId="340D2DCF" w14:textId="1B4494FB"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Si veda la Consiglio di Stato sin dalla ‘sentenza pilota’ n. 2023 del 2017, che ha condotto ad una costante giurisprudenza</w:t>
      </w:r>
    </w:p>
  </w:footnote>
  <w:footnote w:id="55">
    <w:p w14:paraId="3D138CDA" w14:textId="706E06E7" w:rsidR="00263EC4" w:rsidRPr="00DC03B9" w:rsidRDefault="00263EC4" w:rsidP="00A016C5">
      <w:pPr>
        <w:jc w:val="both"/>
        <w:rPr>
          <w:rFonts w:ascii="Times New Roman" w:hAnsi="Times New Roman" w:cs="Times New Roman"/>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Sulla questione dei v</w:t>
      </w:r>
      <w:r w:rsidRPr="00DC03B9">
        <w:rPr>
          <w:rFonts w:ascii="Times New Roman" w:hAnsi="Times New Roman" w:cs="Times New Roman"/>
          <w:sz w:val="20"/>
          <w:szCs w:val="20"/>
          <w:lang w:eastAsia="it-IT"/>
        </w:rPr>
        <w:t xml:space="preserve">incoli di bilancio con riferimento a prestazioni sociali a rilevanza sanitaria </w:t>
      </w:r>
      <w:r w:rsidRPr="00DC03B9">
        <w:rPr>
          <w:rFonts w:ascii="Times New Roman" w:hAnsi="Times New Roman" w:cs="Times New Roman"/>
          <w:i/>
          <w:sz w:val="20"/>
          <w:szCs w:val="20"/>
          <w:lang w:eastAsia="it-IT"/>
        </w:rPr>
        <w:t>ex</w:t>
      </w:r>
      <w:r w:rsidRPr="00DC03B9">
        <w:rPr>
          <w:rFonts w:ascii="Times New Roman" w:hAnsi="Times New Roman" w:cs="Times New Roman"/>
          <w:sz w:val="20"/>
          <w:szCs w:val="20"/>
          <w:lang w:eastAsia="it-IT"/>
        </w:rPr>
        <w:t xml:space="preserve"> art. 3-septies, comma 2, lett. b), d. legisl.n. 502 del 1992 si vedano: TAR Sicilia, Palermo, sez. III, 20 maggio 2025 n. 1090, id. 21 luglio 2023 n. 2428, id. 21 febbraio 2024 n. 657, id. 29 maggio 2025 n. 1204, secondo cui “</w:t>
      </w:r>
      <w:r w:rsidRPr="00DC03B9">
        <w:rPr>
          <w:rFonts w:ascii="Times New Roman" w:hAnsi="Times New Roman" w:cs="Times New Roman"/>
          <w:i/>
          <w:sz w:val="20"/>
          <w:szCs w:val="20"/>
          <w:lang w:eastAsia="it-IT"/>
        </w:rPr>
        <w:t>il ricovero in comunità alloggio non rientra nei livelli essenziali di assistenza relativi alle prestazioni socio-sanitarie a carico del Servizio Sanitario</w:t>
      </w:r>
      <w:r w:rsidRPr="00DC03B9">
        <w:rPr>
          <w:rFonts w:ascii="Times New Roman" w:hAnsi="Times New Roman" w:cs="Times New Roman"/>
          <w:sz w:val="20"/>
          <w:szCs w:val="20"/>
          <w:lang w:eastAsia="it-IT"/>
        </w:rPr>
        <w:t>”, trattandosi di prestazioni sanitarie a rilevanza sociale di competenza dell’A.S.P., finanziate dalla Regione “</w:t>
      </w:r>
      <w:r w:rsidRPr="00DC03B9">
        <w:rPr>
          <w:rFonts w:ascii="Times New Roman" w:hAnsi="Times New Roman" w:cs="Times New Roman"/>
          <w:i/>
          <w:iCs/>
          <w:sz w:val="20"/>
          <w:szCs w:val="20"/>
          <w:lang w:eastAsia="it-IT"/>
        </w:rPr>
        <w:t>sulla base di quote capitarie correlate ai livelli essenziali di assistenza</w:t>
      </w:r>
      <w:r w:rsidRPr="00DC03B9">
        <w:rPr>
          <w:rFonts w:ascii="Times New Roman" w:hAnsi="Times New Roman" w:cs="Times New Roman"/>
          <w:i/>
          <w:sz w:val="20"/>
          <w:szCs w:val="20"/>
          <w:lang w:eastAsia="it-IT"/>
        </w:rPr>
        <w:t>” (art. 3-</w:t>
      </w:r>
      <w:r w:rsidRPr="00DC03B9">
        <w:rPr>
          <w:rFonts w:ascii="Times New Roman" w:hAnsi="Times New Roman" w:cs="Times New Roman"/>
          <w:i/>
          <w:iCs/>
          <w:sz w:val="20"/>
          <w:szCs w:val="20"/>
          <w:lang w:eastAsia="it-IT"/>
        </w:rPr>
        <w:t>septies</w:t>
      </w:r>
      <w:r w:rsidRPr="00DC03B9">
        <w:rPr>
          <w:rFonts w:ascii="Times New Roman" w:hAnsi="Times New Roman" w:cs="Times New Roman"/>
          <w:i/>
          <w:sz w:val="20"/>
          <w:szCs w:val="20"/>
          <w:lang w:eastAsia="it-IT"/>
        </w:rPr>
        <w:t>, comma 6, secondo periodo).</w:t>
      </w:r>
    </w:p>
  </w:footnote>
  <w:footnote w:id="56">
    <w:p w14:paraId="0C2B5F5B" w14:textId="03D6FDA9"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w:t>
      </w:r>
      <w:r w:rsidRPr="00DC03B9">
        <w:rPr>
          <w:rFonts w:ascii="Times New Roman" w:hAnsi="Times New Roman" w:cs="Times New Roman"/>
          <w:sz w:val="20"/>
          <w:szCs w:val="20"/>
          <w:lang w:eastAsia="it-IT"/>
        </w:rPr>
        <w:t xml:space="preserve">C.g.a., ordinanza 17 giugno 2021 n. 418, </w:t>
      </w:r>
      <w:r w:rsidRPr="00DC03B9">
        <w:rPr>
          <w:rFonts w:ascii="Times New Roman" w:hAnsi="Times New Roman" w:cs="Times New Roman"/>
          <w:sz w:val="20"/>
          <w:szCs w:val="20"/>
        </w:rPr>
        <w:t>TAR</w:t>
      </w:r>
      <w:r w:rsidRPr="00DC03B9">
        <w:rPr>
          <w:rFonts w:ascii="Times New Roman" w:hAnsi="Times New Roman" w:cs="Times New Roman"/>
          <w:sz w:val="20"/>
          <w:szCs w:val="20"/>
          <w:lang w:eastAsia="it-IT"/>
        </w:rPr>
        <w:t xml:space="preserve"> Sicilia, sez. III, 25 maggio 2022 n. 1716, id.9 febbraio 2022 n. 440, secondo cui “</w:t>
      </w:r>
      <w:r w:rsidRPr="00DC03B9">
        <w:rPr>
          <w:rFonts w:ascii="Times New Roman" w:hAnsi="Times New Roman" w:cs="Times New Roman"/>
          <w:i/>
          <w:sz w:val="20"/>
          <w:szCs w:val="20"/>
          <w:lang w:eastAsia="it-IT"/>
        </w:rPr>
        <w:t>l’inserimento dei disabili psichici presso le Comunità alloggio si colloca nei livelli essenziali di assistenza (c.d. LEA) con conseguente obbligo dei Comuni di residenza di garantire”.</w:t>
      </w:r>
    </w:p>
  </w:footnote>
  <w:footnote w:id="57">
    <w:p w14:paraId="6E254270" w14:textId="5272790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Cons. St. sez. III, 19 giugno 2024 n. 5493 sulla compartecipazione comunale alla retta alberghiera, relativa all’inserimento del minore, affetto da problematiche di carattere paranoide, in una Comunità alloggio insistente nel territorio comunale.</w:t>
      </w:r>
    </w:p>
  </w:footnote>
  <w:footnote w:id="58">
    <w:p w14:paraId="0BBDD48F" w14:textId="53C87FE0"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Frequente è nelle sentenze del giudice amministrativo il rinvio alla sentenza n. 62 del 2010  della Corte costituzionale che nel ribadire “</w:t>
      </w:r>
      <w:r w:rsidRPr="00DC03B9">
        <w:rPr>
          <w:rFonts w:ascii="Times New Roman" w:hAnsi="Times New Roman" w:cs="Times New Roman"/>
          <w:i/>
        </w:rPr>
        <w:t>il principio secondo cui, «una volta normativamente identificato, il nucleo invalicabile di garanzie minime per rendere effettivo [il diritto alla prestazione sociale di natura fondamentale, esso] non può essere finanziariamente condizionato in termini assoluti e generali» (sentenza n. 275 del 2016 )</w:t>
      </w:r>
      <w:r w:rsidRPr="00DC03B9">
        <w:rPr>
          <w:rFonts w:ascii="Times New Roman" w:hAnsi="Times New Roman" w:cs="Times New Roman"/>
        </w:rPr>
        <w:t>” ha altresì affermato che “</w:t>
      </w:r>
      <w:r w:rsidRPr="00DC03B9">
        <w:rPr>
          <w:rFonts w:ascii="Times New Roman" w:hAnsi="Times New Roman" w:cs="Times New Roman"/>
          <w:i/>
        </w:rPr>
        <w:t>In definitiva, l’intreccio tra profili costituzionali e organizzativi comporta che la funzione sanitaria pubblica venga esercitata su due livelli di governo: quello statale, il quale definisce le prestazioni che il Servizio sanitario nazionale è tenuto a fornire ai cittadini – cioè i livelli essenziali di assistenza – e l’ammontare complessivo delle risorse economiche necessarie al loro finanziamento; quello regionale, cui pertiene il compito di organizzare sul territorio il rispettivo servizio e garantire l’erogazione delle prestazioni nel rispetto degli standard costituzionalmente conformi. La presenza di due livelli di governo rende necessaria la definizione di un sistema di regole che ne disciplini i rapporti di collaborazione, nel rispetto delle reciproche competenze. Ciò al fine di realizzare una gestione della funzione sanitaria pubblica efficiente e capace di rispondere alle istanze dei cittadini coerentemente con le regole di bilancio, le quali prevedono la separazione dei costi “necessari”, inerenti alla prestazione dei LEA, dalle altre spese sanitarie, assoggettate invece al principio della sostenibilità economica</w:t>
      </w:r>
      <w:r w:rsidRPr="00DC03B9">
        <w:rPr>
          <w:rFonts w:ascii="Times New Roman" w:hAnsi="Times New Roman" w:cs="Times New Roman"/>
        </w:rPr>
        <w:t>.”</w:t>
      </w:r>
    </w:p>
  </w:footnote>
  <w:footnote w:id="59">
    <w:p w14:paraId="77C27960" w14:textId="5C1A85EA"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w:t>
      </w:r>
      <w:r w:rsidRPr="00DC03B9">
        <w:rPr>
          <w:rFonts w:ascii="Times New Roman" w:hAnsi="Times New Roman" w:cs="Times New Roman"/>
          <w:lang w:eastAsia="it-IT"/>
        </w:rPr>
        <w:t>C.g.a., ordinanza 17 giugno 2021 n. 418.</w:t>
      </w:r>
    </w:p>
  </w:footnote>
  <w:footnote w:id="60">
    <w:p w14:paraId="75207FBC" w14:textId="77777777"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Catania, sez. III, 10 aprile 2024 n. 1357, secondo cui: “</w:t>
      </w:r>
      <w:r w:rsidRPr="00DC03B9">
        <w:rPr>
          <w:rFonts w:ascii="Times New Roman" w:hAnsi="Times New Roman" w:cs="Times New Roman"/>
          <w:i/>
        </w:rPr>
        <w:t>Le contestazioni sull’asserita lacunosità della Sezione “Dopo di Noi” del progetto sono anch’esse prive di pregio, tenuto conto che sono le stesse Amministrazioni, nel documento gravato, a precisare come la struttura residenziale presso cui effettuare i soggiorni temporanei per tre giorni mensili deve ancora essere individuata, in quanto subordinata “</w:t>
      </w:r>
      <w:r w:rsidRPr="00DC03B9">
        <w:rPr>
          <w:rFonts w:ascii="Times New Roman" w:hAnsi="Times New Roman" w:cs="Times New Roman"/>
          <w:i/>
          <w:iCs/>
        </w:rPr>
        <w:t>alla nuova programmazione del Piano “Dopo di Noi” e suo relativo finanziamento, da parte della Regione Sicilia</w:t>
      </w:r>
      <w:r w:rsidRPr="00DC03B9">
        <w:rPr>
          <w:rFonts w:ascii="Times New Roman" w:hAnsi="Times New Roman" w:cs="Times New Roman"/>
          <w:i/>
        </w:rPr>
        <w:t>” (pag. 5 del progetto individuale) e alla scelta dell’utente finale che, invero, non sarebbe stata ancora effettuata.</w:t>
      </w:r>
    </w:p>
    <w:p w14:paraId="7AD144B5" w14:textId="777777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Tale clausola, pertanto, non può essere ritenuta illegittima, dal momento che è lo stesso art. 14, punto 2), della l.n. 328/2000 a prevedere, in via generale, che il progetto individuale sia predisposto “</w:t>
      </w:r>
      <w:r w:rsidRPr="00DC03B9">
        <w:rPr>
          <w:rFonts w:ascii="Times New Roman" w:hAnsi="Times New Roman" w:cs="Times New Roman"/>
          <w:i/>
          <w:iCs/>
        </w:rPr>
        <w:t>nell’ambito delle risorse disponibili</w:t>
      </w:r>
      <w:r w:rsidRPr="00DC03B9">
        <w:rPr>
          <w:rFonts w:ascii="Times New Roman" w:hAnsi="Times New Roman" w:cs="Times New Roman"/>
          <w:i/>
        </w:rPr>
        <w:t>”, così come, avuto riguardo alle misure del “Dopo di Noi”, l’art. 3, co. 3, della l.n. 112/2016 affida alle Regioni il compito di adottare la programmazione e di definire i criteri e le modalità per l’erogazione dei finanziamenti, riservando alla competenza esclusiva dello Stato centrale la sola determinazione dei livelli essenziali delle prestazioni.</w:t>
      </w:r>
    </w:p>
    <w:p w14:paraId="4945C5DF" w14:textId="77777777"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un contesto di tal fatta è evidente, dunque, che gli Enti intimati non avrebbero potuto far altro se non inserire la misura nel progetto individuale e interessare la Regione per i successivi adempimenti di sua competenza, essendo dunque fisiologico che la specifica Sezione del “Dopo di Noi”, così come peraltro espressamente indicato nel documento impugnato, sia incompleta, in quanto in attesa di elementi informativi riconducibili a soggetti terzi, tra i quali pare rientrare anche parte ricorrente che, secondo la prospettazione dell’Amministrazione comunale, non avrebbe ancora espresso alcuna preferenza sulla struttura dove soggiornare.”</w:t>
      </w:r>
    </w:p>
  </w:footnote>
  <w:footnote w:id="61">
    <w:p w14:paraId="3436FD45" w14:textId="29ABDD93"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Cons. St. sez. VII, 9 luglio 2025 n. 5965 in tema di Assistente alla Comunicazione con competenze in Lingua dei Segni Italiana (LIS) c</w:t>
      </w:r>
      <w:r w:rsidR="00A016C5">
        <w:rPr>
          <w:rFonts w:ascii="Times New Roman" w:hAnsi="Times New Roman" w:cs="Times New Roman"/>
        </w:rPr>
        <w:t xml:space="preserve">he conferma TAR Emilia Romagna </w:t>
      </w:r>
      <w:r w:rsidRPr="00DC03B9">
        <w:rPr>
          <w:rFonts w:ascii="Times New Roman" w:hAnsi="Times New Roman" w:cs="Times New Roman"/>
        </w:rPr>
        <w:t xml:space="preserve">e richiamando propri precedenti </w:t>
      </w:r>
      <w:r w:rsidR="00A016C5" w:rsidRPr="00A016C5">
        <w:rPr>
          <w:rFonts w:ascii="Times New Roman" w:hAnsi="Times New Roman" w:cs="Times New Roman"/>
        </w:rPr>
        <w:t>(Cons</w:t>
      </w:r>
      <w:r w:rsidR="00A016C5">
        <w:rPr>
          <w:rFonts w:ascii="Times New Roman" w:hAnsi="Times New Roman" w:cs="Times New Roman"/>
        </w:rPr>
        <w:t>.</w:t>
      </w:r>
      <w:r w:rsidR="00A016C5" w:rsidRPr="00A016C5">
        <w:rPr>
          <w:rFonts w:ascii="Times New Roman" w:hAnsi="Times New Roman" w:cs="Times New Roman"/>
        </w:rPr>
        <w:t xml:space="preserve"> St</w:t>
      </w:r>
      <w:r w:rsidR="00A016C5">
        <w:rPr>
          <w:rFonts w:ascii="Times New Roman" w:hAnsi="Times New Roman" w:cs="Times New Roman"/>
        </w:rPr>
        <w:t>., sez.</w:t>
      </w:r>
      <w:r w:rsidR="00A016C5" w:rsidRPr="00A016C5">
        <w:rPr>
          <w:rFonts w:ascii="Times New Roman" w:hAnsi="Times New Roman" w:cs="Times New Roman"/>
        </w:rPr>
        <w:t xml:space="preserve">VII n. 5094 del 2025) </w:t>
      </w:r>
      <w:r w:rsidRPr="00DC03B9">
        <w:rPr>
          <w:rFonts w:ascii="Times New Roman" w:hAnsi="Times New Roman" w:cs="Times New Roman"/>
        </w:rPr>
        <w:t>afferma che “</w:t>
      </w:r>
      <w:r w:rsidRPr="00DC03B9">
        <w:rPr>
          <w:rFonts w:ascii="Times New Roman" w:hAnsi="Times New Roman" w:cs="Times New Roman"/>
          <w:i/>
        </w:rPr>
        <w:t>il diritto del disabile all’istruzione si configura come un diritto fondamentale», per cui deve essere assicurato attraverso «misure di integrazione e sostegno idonee a garantire ai portatori di handicaps la frequenza degli istituti d’istruzione» che tengano conto che «i disabili non costituiscono un gruppo omogeneo. Vi sono, infatti, forme diverse di disabilità: alcune hanno carattere lieve ed altre gravi. Per ognuna di esse è necessario … individuare meccanismi di rimozione degli ostacoli che tengano conto della tipologia di handicap da cui risulti essere affetta in concreto una persona».</w:t>
      </w:r>
    </w:p>
    <w:p w14:paraId="3C9F0EAB" w14:textId="0A2474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Ne deriva il riconoscimento della legittimità della norma che attribuisce al Comune il potere discrezionale nell’allocazione delle risorse (con conseguente esclusione della natura vincolante del PEI nei confronti del Comune), il quale deve, però, essere esercitato coniugando l’aspetto finanziario con la necessità del rispetto dell’obbligo dell’ente di garantire quel “nucleo invalicabile di garanzia minime” (come definito dalla Corte Costituzionale nella sentenza n. 62/2020) che rende effettivo il diritto tutelato ovvero il diritto sociale all’integrazione scolastica che non può essere finanziariamente condizionato in termini assoluti e generali, ma deve tenere conto che il diritto al supporto scolastico non si estende in egual modo a tutti i disabili a prescindere dal grado di disabilità degli stessi. Si impone, dunque, un bilanciamento degli interessi che richiede, però, all’ente di garantire quell’assistenza che consente l’accesso allo studio, come nel caso dell’assistenza del traduttore LIS, in quanto in sua assenza la possibilità di fruire dell’istruzione scolastica sarebbe completamente preclusa. In altre parole, la presenza a scuola degli alunni in assenza dell’assistente alla comunicazione risulterebbe essere del tutto inutile rispetto all’attività scolastica svolta nelle ore in cui il traduttore non è presente</w:t>
      </w:r>
      <w:r w:rsidR="00A016C5">
        <w:rPr>
          <w:rFonts w:ascii="Times New Roman" w:hAnsi="Times New Roman" w:cs="Times New Roman"/>
          <w:i/>
        </w:rPr>
        <w:t>….</w:t>
      </w:r>
    </w:p>
    <w:p w14:paraId="1D06FEB8" w14:textId="2F2821AF"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…non legittima il Comune a sottrarsi a quello che è la sua unica competenza in materia: reperire i fondi necessari a garantire le esigenze di assistenza individuate dal PEI in modo adeguato a consentire agli alunni sordi “l’accesso” alla formazione, che, come si è già più sopra evidenziato, non può essere limitato, nel caso di specie, da vincoli di bilancio, in quanto, a fronte della disabilità uditiva, la scarsità delle risorse finanziarie non può rappresentare un’adeguata motivazione della riduzione dell’assistenza.</w:t>
      </w:r>
    </w:p>
    <w:p w14:paraId="107AD2CF" w14:textId="02FDF2F1" w:rsidR="00263EC4" w:rsidRPr="00DC03B9" w:rsidRDefault="00E37AF9" w:rsidP="00B6273E">
      <w:pPr>
        <w:pStyle w:val="Testonotaapidipagina"/>
        <w:jc w:val="both"/>
        <w:rPr>
          <w:rFonts w:ascii="Times New Roman" w:hAnsi="Times New Roman" w:cs="Times New Roman"/>
          <w:i/>
        </w:rPr>
      </w:pPr>
      <w:r>
        <w:rPr>
          <w:rFonts w:ascii="Times New Roman" w:hAnsi="Times New Roman" w:cs="Times New Roman"/>
          <w:i/>
        </w:rPr>
        <w:t>…</w:t>
      </w:r>
      <w:r w:rsidR="00263EC4" w:rsidRPr="00DC03B9">
        <w:rPr>
          <w:rFonts w:ascii="Times New Roman" w:hAnsi="Times New Roman" w:cs="Times New Roman"/>
          <w:i/>
        </w:rPr>
        <w:t>Il Comune appellante ha omesso di considerare che la stessa Costituzione, al comma 5 dell’art.119, disciplinando il principio di sussidiarietà, prevede la possibilità che, con interventi statali a scopo perequativo, siano stanziate risorse aggiuntive nel bilancio statale, anche a vantaggio dei Comuni, per promuovere e favorire l’esercizio dei diritti della persona.</w:t>
      </w:r>
    </w:p>
    <w:p w14:paraId="52F5FABB" w14:textId="77777777"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Disposizione che, da un lato, conferma l’opzione costituzionale che dà prevalenza ai diritti fondamentali rispetto alle esigenze connesse al contenimento della spesa pubblica, e, dall’altro, rende maggiormente critica la posizione della parte appellante, che non risulta essersi attivata in tal senso, come verosimilmente avrebbe potuto, chiedendo eventualmente allo Stato di assegnargli somme aggiuntive per fronteggiare la situazione di significativa gravità oggetto dell’odierna controversia.”</w:t>
      </w:r>
    </w:p>
    <w:p w14:paraId="41A0C63A" w14:textId="77777777" w:rsidR="00263EC4" w:rsidRPr="00DC03B9" w:rsidRDefault="00263EC4" w:rsidP="00B6273E">
      <w:pPr>
        <w:pStyle w:val="Testonotaapidipagina"/>
        <w:jc w:val="both"/>
        <w:rPr>
          <w:rFonts w:ascii="Times New Roman" w:hAnsi="Times New Roman" w:cs="Times New Roman"/>
        </w:rPr>
      </w:pPr>
    </w:p>
  </w:footnote>
  <w:footnote w:id="62">
    <w:p w14:paraId="31A1A21D" w14:textId="26EC32BB" w:rsidR="00263EC4" w:rsidRPr="00DC03B9" w:rsidRDefault="00263EC4" w:rsidP="00D903BD">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Soccorrendo al riguardo tutte le fonti di finanziamento tra cui il fondo perequativo di cui all’art. 119 Cost.</w:t>
      </w:r>
    </w:p>
  </w:footnote>
  <w:footnote w:id="63">
    <w:p w14:paraId="48EEDA0A" w14:textId="26E77C9C"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Calabria, 18 febbraio 2025 n. 128, secondo cui: “</w:t>
      </w:r>
      <w:r w:rsidRPr="00DC03B9">
        <w:rPr>
          <w:rFonts w:ascii="Times New Roman" w:hAnsi="Times New Roman" w:cs="Times New Roman"/>
          <w:i/>
        </w:rPr>
        <w:t>Considerata la rilevanza costituzionale della situazione giuridica soggettiva oggetto di tutela ex art. 14 L. 328/00, il mancato completamento dell’attività afferente alla valutazione delle condizioni sanitarie e all’individuazione delle risorse di budget non possono ritenersi ostative alla predisposizione del progetto individuale di assistenza a favore del minore, ben potendo il Comune intimato compulsare l’ASP per le valutazioni sanitarie del caso specifico e ricorrere ad altre fonti per finanziare il progetto stesso (avanzo di amministrazione, riduzione di programmi di spesa aventi natura discrezionale ecc…), procedendo alla conseguente allocazione della relativa somma in bilancio (ove mancasse un apposito stanziamento).</w:t>
      </w:r>
      <w:r w:rsidR="00E033F1">
        <w:rPr>
          <w:rFonts w:ascii="Times New Roman" w:hAnsi="Times New Roman" w:cs="Times New Roman"/>
          <w:i/>
        </w:rPr>
        <w:t>”</w:t>
      </w:r>
    </w:p>
    <w:p w14:paraId="56ECC732" w14:textId="458115BE"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rPr>
        <w:t>Si veda altresì TAR Campania, Napoli, 3 ottobre 2022 n. 2521, in tema di insegnante di sostegno e commissario ada acta per mancata esecuzione: “</w:t>
      </w:r>
      <w:r w:rsidRPr="00DC03B9">
        <w:rPr>
          <w:rFonts w:ascii="Times New Roman" w:hAnsi="Times New Roman" w:cs="Times New Roman"/>
          <w:i/>
        </w:rPr>
        <w:t>È inoltre utile soggiungere che il Commissario ad acta dovrà procedere sia alla allocazione della somma in bilancio (ove manchi un apposito stanziamento), all’espletamento delle fasi di impegno, liquidazione, ordinazione e pagamento della spesa, nonché al reperimento materiale della somma; con la precisazione che l’esaurimento dei fondi di bilancio o la mancanza di disponibilità di cassa non costituiscono legittima causa di impedimento all’esecuzione del giudicato, dovendo il predetto organo straordinario porre in essere tutte le iniziative necessarie per rendere possibile il pagamento.”</w:t>
      </w:r>
    </w:p>
  </w:footnote>
  <w:footnote w:id="64">
    <w:p w14:paraId="6837ED9A" w14:textId="55676333"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Cons. St. sez. III, 19 giugno 2024 n. 5493 che in ordine all’interpretazione del comma 6 dell’articolo 2-</w:t>
      </w:r>
      <w:r w:rsidRPr="00DC03B9">
        <w:rPr>
          <w:rFonts w:ascii="Times New Roman" w:hAnsi="Times New Roman" w:cs="Times New Roman"/>
          <w:i/>
          <w:iCs/>
        </w:rPr>
        <w:t>sexies</w:t>
      </w:r>
      <w:r w:rsidRPr="00DC03B9">
        <w:rPr>
          <w:rFonts w:ascii="Times New Roman" w:hAnsi="Times New Roman" w:cs="Times New Roman"/>
        </w:rPr>
        <w:t xml:space="preserve"> del d.l. 29 marzo 2016, n. 42, convertito, con modificazioni, dalla legge 26 maggio 2016, n. 89, rileva che “</w:t>
      </w:r>
      <w:r w:rsidRPr="00DC03B9">
        <w:rPr>
          <w:rFonts w:ascii="Times New Roman" w:hAnsi="Times New Roman" w:cs="Times New Roman"/>
          <w:i/>
        </w:rPr>
        <w:t>quando tale disposizione normativa fa riferimento agli “</w:t>
      </w:r>
      <w:r w:rsidRPr="00DC03B9">
        <w:rPr>
          <w:rFonts w:ascii="Times New Roman" w:hAnsi="Times New Roman" w:cs="Times New Roman"/>
          <w:i/>
          <w:iCs/>
        </w:rPr>
        <w:t>adempimenti derivanti dal presente articolo</w:t>
      </w:r>
      <w:r w:rsidRPr="00DC03B9">
        <w:rPr>
          <w:rFonts w:ascii="Times New Roman" w:hAnsi="Times New Roman" w:cs="Times New Roman"/>
          <w:i/>
        </w:rPr>
        <w:t>”, che devono essere posti in essere “</w:t>
      </w:r>
      <w:r w:rsidRPr="00DC03B9">
        <w:rPr>
          <w:rFonts w:ascii="Times New Roman" w:hAnsi="Times New Roman" w:cs="Times New Roman"/>
          <w:i/>
          <w:iCs/>
        </w:rPr>
        <w:t>con le risorse umane, strumentali e finanziarie disponibili a legislazione vigente e senza nuovi o maggiori oneri a carico della finanza pubblica</w:t>
      </w:r>
      <w:r w:rsidRPr="00DC03B9">
        <w:rPr>
          <w:rFonts w:ascii="Times New Roman" w:hAnsi="Times New Roman" w:cs="Times New Roman"/>
          <w:i/>
        </w:rPr>
        <w:t>”, non si riferisce, invero, come adombra l’appellante, in linea generale all’erogazione delle prestazioni sociali (queste non solo derivano dal citato articolo 2-</w:t>
      </w:r>
      <w:r w:rsidRPr="00DC03B9">
        <w:rPr>
          <w:rFonts w:ascii="Times New Roman" w:hAnsi="Times New Roman" w:cs="Times New Roman"/>
          <w:i/>
          <w:iCs/>
        </w:rPr>
        <w:t>sexies</w:t>
      </w:r>
      <w:r w:rsidRPr="00DC03B9">
        <w:rPr>
          <w:rFonts w:ascii="Times New Roman" w:hAnsi="Times New Roman" w:cs="Times New Roman"/>
          <w:i/>
        </w:rPr>
        <w:t xml:space="preserve">, ma erano già previste dalla legislazione anteriore, </w:t>
      </w:r>
      <w:r w:rsidRPr="00DC03B9">
        <w:rPr>
          <w:rFonts w:ascii="Times New Roman" w:hAnsi="Times New Roman" w:cs="Times New Roman"/>
          <w:i/>
          <w:iCs/>
        </w:rPr>
        <w:t>in primis</w:t>
      </w:r>
      <w:r w:rsidRPr="00DC03B9">
        <w:rPr>
          <w:rFonts w:ascii="Times New Roman" w:hAnsi="Times New Roman" w:cs="Times New Roman"/>
          <w:i/>
        </w:rPr>
        <w:t xml:space="preserve"> dalla legge n. 328/2000), ma ai soli “</w:t>
      </w:r>
      <w:r w:rsidRPr="00DC03B9">
        <w:rPr>
          <w:rFonts w:ascii="Times New Roman" w:hAnsi="Times New Roman" w:cs="Times New Roman"/>
          <w:i/>
          <w:iCs/>
        </w:rPr>
        <w:t>adempimenti</w:t>
      </w:r>
      <w:r w:rsidRPr="00DC03B9">
        <w:rPr>
          <w:rFonts w:ascii="Times New Roman" w:hAnsi="Times New Roman" w:cs="Times New Roman"/>
          <w:i/>
        </w:rPr>
        <w:t>” resi necessari dalle nuove previsioni, come ad esempio quelli di cui al comma 3 del medesimo articolo.</w:t>
      </w:r>
    </w:p>
    <w:p w14:paraId="44A30F7A" w14:textId="662EBB4D"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7.1. Ritiene il Collegio che l’invocata norma non riguardi, infatti, la possibilità per il Comune di addurre una scarsa disponibilità di risorse per sottrarsi in tutto o in parte all’obbligo di erogare le prestazioni socio-assistenziali: al riguardo, resta dunque maggiormente valido l’indirizzo giurisprudenziale secondo cui il detto obbligo debba essere contemperato con il disposto degli articoli 183 e 191 del d.lgs. 18 agosto 2000, n. 267; sicché, l’obbligo del Comune è subordinato all’attestazione della relativa copertura finanziaria, in quanto è vietata qualsiasi spesa in assenza di impegno contabile registrato sul competente capitolo di bilancio di previsione; tale obbligo di assistenza, infatti, non è incondizionato, ma postula un bilanciamento con altri interessi costituzionalmente protetti, ravvisabili nelle effettive risorse organizzative e finanziarie di cui l’ente dispone (cfr. Cass. civ., sez. I, 2 dicembre 2016 n. 24655; id., 10 giugno 2010, n. 14006).</w:t>
      </w:r>
    </w:p>
    <w:p w14:paraId="32C470FB" w14:textId="60BDE350"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 xml:space="preserve">7.2. Dal che discende che il Comune, per dimostrare di non disporre delle risorse necessarie per sostenere la retta di ricovero del disabile per cui è causa, non avrebbe potuto invocare un preteso divieto di disporre stanziamenti di bilancio </w:t>
      </w:r>
      <w:r w:rsidRPr="00DC03B9">
        <w:rPr>
          <w:rFonts w:ascii="Times New Roman" w:hAnsi="Times New Roman" w:cs="Times New Roman"/>
          <w:i/>
          <w:iCs/>
        </w:rPr>
        <w:t>ad hoc</w:t>
      </w:r>
      <w:r w:rsidRPr="00DC03B9">
        <w:rPr>
          <w:rFonts w:ascii="Times New Roman" w:hAnsi="Times New Roman" w:cs="Times New Roman"/>
          <w:i/>
        </w:rPr>
        <w:t>, ma avrebbe dovuto dimostrare specificamente di non disporre in assoluto di risorse che potessero essere “appostate” per tale finalità. Sul punto è pienamente condivisibile quanto affermato dal primo giudice là dove ha ritenuto che tale dimostrazione non è stata peraltro fornita dal Comune di -OMISSIS-.”</w:t>
      </w:r>
    </w:p>
  </w:footnote>
  <w:footnote w:id="65">
    <w:p w14:paraId="0777EE23" w14:textId="54220356" w:rsidR="00263EC4" w:rsidRPr="00DC03B9" w:rsidRDefault="00263EC4" w:rsidP="00B6273E">
      <w:pPr>
        <w:pStyle w:val="Testonotaapidipagina"/>
        <w:jc w:val="both"/>
        <w:rPr>
          <w:rFonts w:ascii="Times New Roman" w:hAnsi="Times New Roman" w:cs="Times New Roman"/>
          <w:i/>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TAR Sicilia, sez. III, 9 febbraio 2022 n. 440 secondo cui: “</w:t>
      </w:r>
      <w:r w:rsidRPr="00DC03B9">
        <w:rPr>
          <w:rFonts w:ascii="Times New Roman" w:hAnsi="Times New Roman" w:cs="Times New Roman"/>
          <w:i/>
        </w:rPr>
        <w:t>Va, altresì, precisato che il parere di regolarità contabile contrario è sicuramente impugnabile in quanto incide sull’esecutività della determinazione di autorizzazione e impegno del ricovero in forza dell’art. 183, comma 7, del d.lgs. n. 267 del 2000 secondo cui l’esecutività dei provvedimenti dei responsabili dei servizi che comportano impegni di spesa sono esecutivi solo con l’apposizione del visto di regolarità contabile attestante la copertura finanziaria.</w:t>
      </w:r>
    </w:p>
    <w:p w14:paraId="1EF76712" w14:textId="58B8842C"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3. Tutto ciò posto in rito, prima di procedere all’esame del merito va precisato che il contestato parere di regolarità contabile contrario è stato motivato con riferimento a due ragioni: la prima è che l’incapienza dello stanziamento del capitolo 1043101 del bilancio corrente non consentiva l’assunzione dell’impegno di spesa; la seconda è che la decorrenza del ricovero non poteva, comunque, partire da data antecedente al rilascio dell’attestazione di copertura finanziaria.</w:t>
      </w:r>
    </w:p>
    <w:p w14:paraId="1439D36A" w14:textId="0D8F87A0"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Precisato che la ricorrente contesta solo la prima ragione, ma che la seconda non è da sola adeguata a sorreggere sotto il profilo motivazionale il parere, in quanto incide esclusivamente sulla decorrenza dell’autorizzazione al ricovero, va esaminato il primo motivo con cui si sostiene che l’inserimento dei disabili psichici presso le Comunità alloggio si colloca nei livelli essenziali di assistenza (c.d. LEA) con conseguente obbligo dei Comuni di residenza di garantire, ove ricorrano i relativi presupposti, l’integrazione della retta, la quale non può essere negata, facendo riferimento all’incapienza del relativo capitolo di bilancio e ad asserite difficoltà finanziarie, in quanto il diritto alla salute è prevalente sui profili di natura finanziaria, quanto meno laddove sussistono esigenze terapeutiche indifferibili.</w:t>
      </w:r>
    </w:p>
    <w:p w14:paraId="097053FD" w14:textId="055B6F06"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 xml:space="preserve">Il collegio, </w:t>
      </w:r>
      <w:r w:rsidRPr="00DC03B9">
        <w:rPr>
          <w:rFonts w:ascii="Times New Roman" w:hAnsi="Times New Roman" w:cs="Times New Roman"/>
          <w:i/>
          <w:iCs/>
        </w:rPr>
        <w:t>melius re perpensa</w:t>
      </w:r>
      <w:r w:rsidRPr="00DC03B9">
        <w:rPr>
          <w:rFonts w:ascii="Times New Roman" w:hAnsi="Times New Roman" w:cs="Times New Roman"/>
          <w:i/>
        </w:rPr>
        <w:t>, tenuto conto dell’accoglimento dell’appello cautelare, ritiene la censura fondata alla luce della nota sentenza n. 275 del 16 dicembre 2016 (in materia di trasporto scolastico dei disabili) nella quale la Corte Costituzionale ha affermato che è la garanzia dei diritti incomprimibili a incidere sul bilancio e non l’equilibrio di questo a condizionarne la doverosa erogazione.</w:t>
      </w:r>
    </w:p>
    <w:p w14:paraId="3552D984" w14:textId="076FE864" w:rsidR="00263EC4" w:rsidRPr="00DC03B9" w:rsidRDefault="00263EC4" w:rsidP="00B6273E">
      <w:pPr>
        <w:pStyle w:val="Testonotaapidipagina"/>
        <w:jc w:val="both"/>
        <w:rPr>
          <w:rFonts w:ascii="Times New Roman" w:hAnsi="Times New Roman" w:cs="Times New Roman"/>
          <w:i/>
        </w:rPr>
      </w:pPr>
      <w:r w:rsidRPr="00DC03B9">
        <w:rPr>
          <w:rFonts w:ascii="Times New Roman" w:hAnsi="Times New Roman" w:cs="Times New Roman"/>
          <w:i/>
        </w:rPr>
        <w:t>Tale principio (che era contenuto già nella sentenza n. 80 del 26 febbraio 2010) è stato affermato con riferimento al diritto all’istruzione dei disabili tutelato dall’art. 38 Cost. e dall’art. 24 della Convenzione delle nazioni unite sui diritti delle persone con disabilità, ma va applicato anche al diritto alla salute di tali soggetti tutelato, rispettivamente, dall’art. 32 e dall’art. 25 delle suindicate fonti normative.</w:t>
      </w:r>
    </w:p>
    <w:p w14:paraId="466F772B" w14:textId="589013E0" w:rsidR="00263EC4" w:rsidRPr="00DC03B9" w:rsidRDefault="00263EC4" w:rsidP="00B6273E">
      <w:pPr>
        <w:pStyle w:val="Testonotaapidipagina"/>
        <w:jc w:val="both"/>
        <w:rPr>
          <w:rFonts w:ascii="Times New Roman" w:hAnsi="Times New Roman" w:cs="Times New Roman"/>
        </w:rPr>
      </w:pPr>
      <w:r w:rsidRPr="00DC03B9">
        <w:rPr>
          <w:rFonts w:ascii="Times New Roman" w:hAnsi="Times New Roman" w:cs="Times New Roman"/>
          <w:i/>
        </w:rPr>
        <w:t>In tal senso si è espresso il Consiglio di Stato il quale ha più volte affermato che il principio secondo cui le posizioni soggettive delle persone disabili devono prevalere sulle esigenze di natura finanziaria si applica non soltanto al diritto all’educazione e al sostegno scolastico, per cui è stato coniato il concetto di “diritto al sostegno in deroga”, ma deve trovare applicazione anche nell’ambito dell’assistenza socio-sanitaria mediante erogazione delle prestazioni di volta in volta necessarie (in termini Consiglio di Stato, III, 2 gennaio 2020, n. 1 e più di recente 11 gennaio 2021, n. 316).”</w:t>
      </w:r>
    </w:p>
    <w:p w14:paraId="05B73638" w14:textId="1D3927FD" w:rsidR="00263EC4" w:rsidRPr="00DC03B9" w:rsidRDefault="00263EC4" w:rsidP="00B6273E">
      <w:pPr>
        <w:pStyle w:val="Testonotaapidipagina"/>
        <w:jc w:val="both"/>
        <w:rPr>
          <w:rFonts w:ascii="Times New Roman" w:hAnsi="Times New Roman" w:cs="Times New Roman"/>
        </w:rPr>
      </w:pPr>
    </w:p>
  </w:footnote>
  <w:footnote w:id="66">
    <w:p w14:paraId="0BF33D70" w14:textId="3250F16F" w:rsidR="00263EC4" w:rsidRPr="00DC03B9" w:rsidRDefault="00263EC4" w:rsidP="00B6273E">
      <w:pPr>
        <w:jc w:val="both"/>
        <w:rPr>
          <w:rFonts w:ascii="Times New Roman" w:hAnsi="Times New Roman" w:cs="Times New Roman"/>
          <w:sz w:val="20"/>
          <w:szCs w:val="20"/>
        </w:rPr>
      </w:pPr>
      <w:r w:rsidRPr="00DC03B9">
        <w:rPr>
          <w:rStyle w:val="Rimandonotaapidipagina"/>
          <w:rFonts w:ascii="Times New Roman" w:hAnsi="Times New Roman" w:cs="Times New Roman"/>
          <w:sz w:val="20"/>
          <w:szCs w:val="20"/>
        </w:rPr>
        <w:footnoteRef/>
      </w:r>
      <w:r w:rsidRPr="00DC03B9">
        <w:rPr>
          <w:rFonts w:ascii="Times New Roman" w:hAnsi="Times New Roman" w:cs="Times New Roman"/>
          <w:sz w:val="20"/>
          <w:szCs w:val="20"/>
        </w:rPr>
        <w:t xml:space="preserve"> Con la sentenza</w:t>
      </w:r>
      <w:r w:rsidR="00E033F1">
        <w:rPr>
          <w:rFonts w:ascii="Times New Roman" w:hAnsi="Times New Roman" w:cs="Times New Roman"/>
          <w:sz w:val="20"/>
          <w:szCs w:val="20"/>
        </w:rPr>
        <w:t xml:space="preserve"> n.</w:t>
      </w:r>
      <w:r w:rsidRPr="00DC03B9">
        <w:rPr>
          <w:rFonts w:ascii="Times New Roman" w:hAnsi="Times New Roman" w:cs="Times New Roman"/>
          <w:sz w:val="20"/>
          <w:szCs w:val="20"/>
        </w:rPr>
        <w:t xml:space="preserve"> 192 del 2024 la Corte costituzionale ha ribadito a proposito della competenza statale nella determinazione dei livelli essenziali delle prestazioni che “</w:t>
      </w:r>
      <w:r w:rsidRPr="00DC03B9">
        <w:rPr>
          <w:rFonts w:ascii="Times New Roman" w:hAnsi="Times New Roman" w:cs="Times New Roman"/>
          <w:i/>
          <w:sz w:val="20"/>
          <w:szCs w:val="20"/>
        </w:rPr>
        <w:t>si tratta di un potere attribuito dalla Costituzione allo Stato al fine di conciliare l’uguaglianza delle persone con l’autonomia degli enti territoriali</w:t>
      </w:r>
      <w:r w:rsidRPr="00DC03B9">
        <w:rPr>
          <w:rFonts w:ascii="Times New Roman" w:hAnsi="Times New Roman" w:cs="Times New Roman"/>
          <w:sz w:val="20"/>
          <w:szCs w:val="20"/>
        </w:rPr>
        <w:t>…</w:t>
      </w:r>
      <w:r w:rsidRPr="00DC03B9">
        <w:rPr>
          <w:rFonts w:ascii="Times New Roman" w:hAnsi="Times New Roman" w:cs="Times New Roman"/>
          <w:i/>
          <w:sz w:val="20"/>
          <w:szCs w:val="20"/>
        </w:rPr>
        <w:t xml:space="preserve"> Il legislatore statale ha il compito di garantire uno standard uniforme delle prestazioni relative ai diritti in tutta Italia, tenendo conto delle risorse disponibili.</w:t>
      </w:r>
    </w:p>
    <w:p w14:paraId="4EC4C776" w14:textId="0AA3770F"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i/>
          <w:sz w:val="20"/>
          <w:szCs w:val="20"/>
        </w:rPr>
        <w:t>Dai lavori preparatori della legge cost. n. 3 del 2001 risulta che l’inciso «livelli minimi di garanzia» (contenuto nel testo unificato della I Commissione della Camera) fu sostituito dall’Aula con la formula attuale («livelli essenziali delle prestazioni»), proprio per assicurare «uniformità dei diritti fondamentali in tutto il paese» (seduta n. 774 del 20 settembre 2000). Lo scopo era assicurare, se possibile, uno standard di tutela superiore al nucleo minimo del diritto, in collegamento (per quel che riguarda i diritti sociali) con l’art. 3, secondo comma, Cost., che affida alla Repubblica il compito – di più ampio respiro rispetto all’erogazione delle prestazioni minime – di «rimuovere gli ostacoli di ordine economico e sociale, che, limitando di fatto la libertà e l’eguaglianza dei cittadini, impediscono il pieno sviluppo della persona umana». Che l’orizzonte concettuale dei LEP sia l’eguaglianza e non il nucleo minimo del diritto risulta anche dall’art. 120, secondo comma, Cost., nell’ambito del quale la garanzia dei LEP rientra nella «tutela dell’unità giuridica o dell’unità economica»</w:t>
      </w:r>
      <w:r w:rsidRPr="00DC03B9">
        <w:rPr>
          <w:rFonts w:ascii="Times New Roman" w:hAnsi="Times New Roman" w:cs="Times New Roman"/>
          <w:sz w:val="20"/>
          <w:szCs w:val="20"/>
        </w:rPr>
        <w:t>.</w:t>
      </w:r>
    </w:p>
    <w:p w14:paraId="423BCDE3" w14:textId="3F7C2BF2" w:rsidR="00263EC4" w:rsidRPr="00DC03B9" w:rsidRDefault="00263EC4" w:rsidP="00B6273E">
      <w:pPr>
        <w:jc w:val="both"/>
        <w:rPr>
          <w:rFonts w:ascii="Times New Roman" w:hAnsi="Times New Roman" w:cs="Times New Roman"/>
          <w:sz w:val="20"/>
          <w:szCs w:val="20"/>
        </w:rPr>
      </w:pPr>
      <w:r w:rsidRPr="00DC03B9">
        <w:rPr>
          <w:rFonts w:ascii="Times New Roman" w:hAnsi="Times New Roman" w:cs="Times New Roman"/>
          <w:sz w:val="20"/>
          <w:szCs w:val="20"/>
          <w:lang w:eastAsia="it-IT"/>
        </w:rPr>
        <w:t>Il Giudice delle leggi ha inoltre premesso che l’individuazione dei princìpi e dei criteri direttivi funzionali alla definizione delle soglie prestazionali «</w:t>
      </w:r>
      <w:r w:rsidRPr="00DC03B9">
        <w:rPr>
          <w:rFonts w:ascii="Times New Roman" w:hAnsi="Times New Roman" w:cs="Times New Roman"/>
          <w:i/>
          <w:iCs/>
          <w:sz w:val="20"/>
          <w:szCs w:val="20"/>
          <w:lang w:eastAsia="it-IT"/>
        </w:rPr>
        <w:t>può avvenire per relationem</w:t>
      </w:r>
      <w:r w:rsidRPr="00DC03B9">
        <w:rPr>
          <w:rFonts w:ascii="Times New Roman" w:hAnsi="Times New Roman" w:cs="Times New Roman"/>
          <w:sz w:val="20"/>
          <w:szCs w:val="20"/>
          <w:lang w:eastAsia="it-IT"/>
        </w:rPr>
        <w:t>», e cioè con riferimento «</w:t>
      </w:r>
      <w:r w:rsidRPr="00DC03B9">
        <w:rPr>
          <w:rFonts w:ascii="Times New Roman" w:hAnsi="Times New Roman" w:cs="Times New Roman"/>
          <w:i/>
          <w:iCs/>
          <w:sz w:val="20"/>
          <w:szCs w:val="20"/>
          <w:lang w:eastAsia="it-IT"/>
        </w:rPr>
        <w:t>ad altri atti normativi</w:t>
      </w:r>
      <w:r w:rsidRPr="00DC03B9">
        <w:rPr>
          <w:rFonts w:ascii="Times New Roman" w:hAnsi="Times New Roman" w:cs="Times New Roman"/>
          <w:sz w:val="20"/>
          <w:szCs w:val="20"/>
          <w:lang w:eastAsia="it-IT"/>
        </w:rPr>
        <w:t>», soltanto se tali atti sono «</w:t>
      </w:r>
      <w:r w:rsidRPr="00DC03B9">
        <w:rPr>
          <w:rFonts w:ascii="Times New Roman" w:hAnsi="Times New Roman" w:cs="Times New Roman"/>
          <w:i/>
          <w:iCs/>
          <w:sz w:val="20"/>
          <w:szCs w:val="20"/>
          <w:lang w:eastAsia="it-IT"/>
        </w:rPr>
        <w:t>sufficientemente specifici</w:t>
      </w:r>
      <w:r w:rsidRPr="00DC03B9">
        <w:rPr>
          <w:rFonts w:ascii="Times New Roman" w:hAnsi="Times New Roman" w:cs="Times New Roman"/>
          <w:sz w:val="20"/>
          <w:szCs w:val="20"/>
          <w:lang w:eastAsia="it-IT"/>
        </w:rPr>
        <w:t>».</w:t>
      </w:r>
    </w:p>
  </w:footnote>
  <w:footnote w:id="67">
    <w:p w14:paraId="19CF8041" w14:textId="2BD82C16"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Corte cost. 21 luglio 2020 n. 157, che richiama Corte cost. sentenza n. 62 del 2020. </w:t>
      </w:r>
    </w:p>
  </w:footnote>
  <w:footnote w:id="68">
    <w:p w14:paraId="3CD3F007" w14:textId="61642172"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00E033F1">
        <w:rPr>
          <w:rFonts w:ascii="Times New Roman" w:hAnsi="Times New Roman" w:cs="Times New Roman"/>
        </w:rPr>
        <w:t>M. Benvenuti</w:t>
      </w:r>
      <w:r w:rsidRPr="00DC03B9">
        <w:rPr>
          <w:rFonts w:ascii="Times New Roman" w:hAnsi="Times New Roman" w:cs="Times New Roman"/>
        </w:rPr>
        <w:t xml:space="preserve">, (voce) </w:t>
      </w:r>
      <w:r w:rsidRPr="00DC03B9">
        <w:rPr>
          <w:rFonts w:ascii="Times New Roman" w:hAnsi="Times New Roman" w:cs="Times New Roman"/>
          <w:i/>
        </w:rPr>
        <w:t>Diritti sociali</w:t>
      </w:r>
      <w:r w:rsidRPr="00DC03B9">
        <w:rPr>
          <w:rFonts w:ascii="Times New Roman" w:hAnsi="Times New Roman" w:cs="Times New Roman"/>
        </w:rPr>
        <w:t xml:space="preserve">, </w:t>
      </w:r>
      <w:r w:rsidRPr="00DC03B9">
        <w:rPr>
          <w:rFonts w:ascii="Times New Roman" w:hAnsi="Times New Roman" w:cs="Times New Roman"/>
          <w:i/>
        </w:rPr>
        <w:t>cit.</w:t>
      </w:r>
      <w:r w:rsidRPr="00DC03B9">
        <w:rPr>
          <w:rFonts w:ascii="Times New Roman" w:hAnsi="Times New Roman" w:cs="Times New Roman"/>
        </w:rPr>
        <w:t>, p. 243.</w:t>
      </w:r>
    </w:p>
  </w:footnote>
  <w:footnote w:id="69">
    <w:p w14:paraId="61C4ABD9" w14:textId="11354945" w:rsidR="00263EC4" w:rsidRPr="00DC03B9" w:rsidRDefault="00263EC4" w:rsidP="00B6273E">
      <w:pPr>
        <w:pStyle w:val="Testonotaapidipagina"/>
        <w:jc w:val="both"/>
        <w:rPr>
          <w:rFonts w:ascii="Times New Roman" w:hAnsi="Times New Roman" w:cs="Times New Roman"/>
        </w:rPr>
      </w:pPr>
      <w:r w:rsidRPr="00DC03B9">
        <w:rPr>
          <w:rStyle w:val="Rimandonotaapidipagina"/>
          <w:rFonts w:ascii="Times New Roman" w:hAnsi="Times New Roman" w:cs="Times New Roman"/>
        </w:rPr>
        <w:footnoteRef/>
      </w:r>
      <w:r w:rsidRPr="00DC03B9">
        <w:rPr>
          <w:rFonts w:ascii="Times New Roman" w:hAnsi="Times New Roman" w:cs="Times New Roman"/>
        </w:rPr>
        <w:t xml:space="preserve"> La stessa Corte costituzionale, difatti, in passato ha avuto modo di chiarire che la determinazione, il finanziamento e l’erogazione dei LEA compongono un sistema articolato il cui equilibrio deve essere assicurato “</w:t>
      </w:r>
      <w:r w:rsidRPr="00DC03B9">
        <w:rPr>
          <w:rFonts w:ascii="Times New Roman" w:hAnsi="Times New Roman" w:cs="Times New Roman"/>
          <w:i/>
        </w:rPr>
        <w:t>dalla sinergica coerenza dei comportamenti di tutti i soggetti coinvolti nella sua attuazione….In tale prospettiva, in sede di programmazione finanziaria, i costi unitari fissati dal d.P.C.m. del 12 gennaio 2017 sono funzionali alla determinazione quantitativa e qualitativa in sede previsionale sulla base del fabbisogno storico delle singole realtà regionali e sulle altre circostanze, normative e fattuali, che incidono sulla dinamica della spesa per le prestazioni sanitarie. Successivamente tale proiezione estimatoria [viene] aggiornata in corso di esercizio sulla base delle risultanze del monitoraggio del Tavolo tecnico di verifica</w:t>
      </w:r>
      <w:r w:rsidRPr="00DC03B9">
        <w:rPr>
          <w:rFonts w:ascii="Times New Roman" w:hAnsi="Times New Roman" w:cs="Times New Roman"/>
        </w:rPr>
        <w:t>” (sentenza n. 62 del 2020).</w:t>
      </w:r>
    </w:p>
    <w:p w14:paraId="7A785264" w14:textId="455770EE" w:rsidR="00263EC4" w:rsidRPr="00DC03B9" w:rsidRDefault="00263EC4" w:rsidP="00B6273E">
      <w:pPr>
        <w:pStyle w:val="Testonotaapidipagina"/>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09F"/>
    <w:multiLevelType w:val="multilevel"/>
    <w:tmpl w:val="DCA09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559C"/>
    <w:multiLevelType w:val="multilevel"/>
    <w:tmpl w:val="0672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763D"/>
    <w:multiLevelType w:val="hybridMultilevel"/>
    <w:tmpl w:val="C9EE4E8A"/>
    <w:lvl w:ilvl="0" w:tplc="04100011">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C05C04"/>
    <w:multiLevelType w:val="hybridMultilevel"/>
    <w:tmpl w:val="B07E4D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FC7265"/>
    <w:multiLevelType w:val="multilevel"/>
    <w:tmpl w:val="DDDAB7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7C4691"/>
    <w:multiLevelType w:val="hybridMultilevel"/>
    <w:tmpl w:val="FD8A570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0F26AC9"/>
    <w:multiLevelType w:val="multilevel"/>
    <w:tmpl w:val="D6E0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81FCA"/>
    <w:multiLevelType w:val="multilevel"/>
    <w:tmpl w:val="88E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243DB"/>
    <w:multiLevelType w:val="multilevel"/>
    <w:tmpl w:val="E31E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A453D1"/>
    <w:multiLevelType w:val="hybridMultilevel"/>
    <w:tmpl w:val="A6FED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BF45A9"/>
    <w:multiLevelType w:val="multilevel"/>
    <w:tmpl w:val="44C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A61A2"/>
    <w:multiLevelType w:val="hybridMultilevel"/>
    <w:tmpl w:val="8248A3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1C786F"/>
    <w:multiLevelType w:val="multilevel"/>
    <w:tmpl w:val="0D3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34D69"/>
    <w:multiLevelType w:val="multilevel"/>
    <w:tmpl w:val="FB72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BE306C"/>
    <w:multiLevelType w:val="multilevel"/>
    <w:tmpl w:val="A252A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A2169"/>
    <w:multiLevelType w:val="hybridMultilevel"/>
    <w:tmpl w:val="1B1673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8FC0158"/>
    <w:multiLevelType w:val="multilevel"/>
    <w:tmpl w:val="8AA0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9034C"/>
    <w:multiLevelType w:val="multilevel"/>
    <w:tmpl w:val="5D9E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1802F3"/>
    <w:multiLevelType w:val="multilevel"/>
    <w:tmpl w:val="A39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52FB3"/>
    <w:multiLevelType w:val="multilevel"/>
    <w:tmpl w:val="47D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C64DC"/>
    <w:multiLevelType w:val="multilevel"/>
    <w:tmpl w:val="4D3C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C50EB"/>
    <w:multiLevelType w:val="multilevel"/>
    <w:tmpl w:val="2A2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26CC7"/>
    <w:multiLevelType w:val="hybridMultilevel"/>
    <w:tmpl w:val="926A59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927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160933">
    <w:abstractNumId w:val="3"/>
  </w:num>
  <w:num w:numId="3" w16cid:durableId="598103991">
    <w:abstractNumId w:val="11"/>
  </w:num>
  <w:num w:numId="4" w16cid:durableId="1788885026">
    <w:abstractNumId w:val="2"/>
  </w:num>
  <w:num w:numId="5" w16cid:durableId="184758384">
    <w:abstractNumId w:val="22"/>
  </w:num>
  <w:num w:numId="6" w16cid:durableId="1399016676">
    <w:abstractNumId w:val="13"/>
  </w:num>
  <w:num w:numId="7" w16cid:durableId="752050518">
    <w:abstractNumId w:val="8"/>
  </w:num>
  <w:num w:numId="8" w16cid:durableId="1323195158">
    <w:abstractNumId w:val="14"/>
  </w:num>
  <w:num w:numId="9" w16cid:durableId="944508165">
    <w:abstractNumId w:val="17"/>
  </w:num>
  <w:num w:numId="10" w16cid:durableId="1513302115">
    <w:abstractNumId w:val="10"/>
  </w:num>
  <w:num w:numId="11" w16cid:durableId="224142948">
    <w:abstractNumId w:val="7"/>
  </w:num>
  <w:num w:numId="12" w16cid:durableId="155340513">
    <w:abstractNumId w:val="0"/>
  </w:num>
  <w:num w:numId="13" w16cid:durableId="2130660487">
    <w:abstractNumId w:val="20"/>
  </w:num>
  <w:num w:numId="14" w16cid:durableId="295599709">
    <w:abstractNumId w:val="1"/>
  </w:num>
  <w:num w:numId="15" w16cid:durableId="1725525154">
    <w:abstractNumId w:val="12"/>
  </w:num>
  <w:num w:numId="16" w16cid:durableId="885410974">
    <w:abstractNumId w:val="16"/>
  </w:num>
  <w:num w:numId="17" w16cid:durableId="1444962079">
    <w:abstractNumId w:val="19"/>
  </w:num>
  <w:num w:numId="18" w16cid:durableId="856190685">
    <w:abstractNumId w:val="21"/>
  </w:num>
  <w:num w:numId="19" w16cid:durableId="160584398">
    <w:abstractNumId w:val="18"/>
  </w:num>
  <w:num w:numId="20" w16cid:durableId="118187941">
    <w:abstractNumId w:val="6"/>
  </w:num>
  <w:num w:numId="21" w16cid:durableId="1355495056">
    <w:abstractNumId w:val="9"/>
  </w:num>
  <w:num w:numId="22" w16cid:durableId="959074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464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93"/>
    <w:rsid w:val="000047DF"/>
    <w:rsid w:val="000065E0"/>
    <w:rsid w:val="00010E73"/>
    <w:rsid w:val="000120F0"/>
    <w:rsid w:val="00020DBF"/>
    <w:rsid w:val="00022EFD"/>
    <w:rsid w:val="0004333D"/>
    <w:rsid w:val="000509B7"/>
    <w:rsid w:val="0005700C"/>
    <w:rsid w:val="000837EE"/>
    <w:rsid w:val="00083A09"/>
    <w:rsid w:val="00094A78"/>
    <w:rsid w:val="000957AB"/>
    <w:rsid w:val="000964B6"/>
    <w:rsid w:val="000A1F27"/>
    <w:rsid w:val="000A6B3D"/>
    <w:rsid w:val="000B39CF"/>
    <w:rsid w:val="000B79E4"/>
    <w:rsid w:val="000C1F34"/>
    <w:rsid w:val="000E40A9"/>
    <w:rsid w:val="000F0889"/>
    <w:rsid w:val="000F48BE"/>
    <w:rsid w:val="001028E0"/>
    <w:rsid w:val="00103EA5"/>
    <w:rsid w:val="00117055"/>
    <w:rsid w:val="0013178A"/>
    <w:rsid w:val="00132B85"/>
    <w:rsid w:val="00135DEB"/>
    <w:rsid w:val="00143817"/>
    <w:rsid w:val="00144C42"/>
    <w:rsid w:val="00146E78"/>
    <w:rsid w:val="001545C9"/>
    <w:rsid w:val="0015770F"/>
    <w:rsid w:val="001601FB"/>
    <w:rsid w:val="00160F63"/>
    <w:rsid w:val="00164D51"/>
    <w:rsid w:val="00174ACE"/>
    <w:rsid w:val="00196AB5"/>
    <w:rsid w:val="001A41B6"/>
    <w:rsid w:val="001B64AE"/>
    <w:rsid w:val="001D5365"/>
    <w:rsid w:val="001E3712"/>
    <w:rsid w:val="001F2593"/>
    <w:rsid w:val="00204AA8"/>
    <w:rsid w:val="0021016E"/>
    <w:rsid w:val="0021254E"/>
    <w:rsid w:val="00217898"/>
    <w:rsid w:val="00220B3F"/>
    <w:rsid w:val="0022578F"/>
    <w:rsid w:val="00231BD6"/>
    <w:rsid w:val="00233F45"/>
    <w:rsid w:val="00233F50"/>
    <w:rsid w:val="00234376"/>
    <w:rsid w:val="00241403"/>
    <w:rsid w:val="00243F7B"/>
    <w:rsid w:val="00245522"/>
    <w:rsid w:val="00250C56"/>
    <w:rsid w:val="00251493"/>
    <w:rsid w:val="00263EC4"/>
    <w:rsid w:val="00264C0E"/>
    <w:rsid w:val="00265598"/>
    <w:rsid w:val="00270F64"/>
    <w:rsid w:val="00280800"/>
    <w:rsid w:val="00286D4C"/>
    <w:rsid w:val="0029003B"/>
    <w:rsid w:val="00292C06"/>
    <w:rsid w:val="00293FE4"/>
    <w:rsid w:val="002A152B"/>
    <w:rsid w:val="002A2BF3"/>
    <w:rsid w:val="002B0F9B"/>
    <w:rsid w:val="002C417C"/>
    <w:rsid w:val="002C5C4C"/>
    <w:rsid w:val="002D0CAD"/>
    <w:rsid w:val="002D4627"/>
    <w:rsid w:val="002D5165"/>
    <w:rsid w:val="002D57F9"/>
    <w:rsid w:val="002D6B22"/>
    <w:rsid w:val="002E16F8"/>
    <w:rsid w:val="002E69F0"/>
    <w:rsid w:val="00300FFD"/>
    <w:rsid w:val="00310C3A"/>
    <w:rsid w:val="00311C54"/>
    <w:rsid w:val="00315F41"/>
    <w:rsid w:val="003211CB"/>
    <w:rsid w:val="00322C3B"/>
    <w:rsid w:val="00326390"/>
    <w:rsid w:val="00332108"/>
    <w:rsid w:val="00332910"/>
    <w:rsid w:val="00332C5F"/>
    <w:rsid w:val="00334D53"/>
    <w:rsid w:val="003376BE"/>
    <w:rsid w:val="00343C4B"/>
    <w:rsid w:val="0034483F"/>
    <w:rsid w:val="00344B86"/>
    <w:rsid w:val="00373DC9"/>
    <w:rsid w:val="00381392"/>
    <w:rsid w:val="00382C1B"/>
    <w:rsid w:val="003924CF"/>
    <w:rsid w:val="003943EF"/>
    <w:rsid w:val="00397275"/>
    <w:rsid w:val="003A0B2F"/>
    <w:rsid w:val="003A35A8"/>
    <w:rsid w:val="003A7059"/>
    <w:rsid w:val="003A7F6E"/>
    <w:rsid w:val="003C3D0B"/>
    <w:rsid w:val="003D0303"/>
    <w:rsid w:val="003D1525"/>
    <w:rsid w:val="003D1C17"/>
    <w:rsid w:val="003D30BA"/>
    <w:rsid w:val="003E2FC4"/>
    <w:rsid w:val="00400E1A"/>
    <w:rsid w:val="00405729"/>
    <w:rsid w:val="00412614"/>
    <w:rsid w:val="00412877"/>
    <w:rsid w:val="004166E8"/>
    <w:rsid w:val="00426BF0"/>
    <w:rsid w:val="00426C8C"/>
    <w:rsid w:val="00431E97"/>
    <w:rsid w:val="004532C8"/>
    <w:rsid w:val="00461C1D"/>
    <w:rsid w:val="004744EF"/>
    <w:rsid w:val="00475316"/>
    <w:rsid w:val="00487795"/>
    <w:rsid w:val="00494F15"/>
    <w:rsid w:val="004A2077"/>
    <w:rsid w:val="004A6242"/>
    <w:rsid w:val="004B08E2"/>
    <w:rsid w:val="004B3702"/>
    <w:rsid w:val="004B479C"/>
    <w:rsid w:val="004B4CC2"/>
    <w:rsid w:val="004B6266"/>
    <w:rsid w:val="004C0F58"/>
    <w:rsid w:val="004C1623"/>
    <w:rsid w:val="004C58BA"/>
    <w:rsid w:val="004C6D4C"/>
    <w:rsid w:val="004D2E40"/>
    <w:rsid w:val="004E109D"/>
    <w:rsid w:val="004F7295"/>
    <w:rsid w:val="0050140C"/>
    <w:rsid w:val="00503BE9"/>
    <w:rsid w:val="00512EDA"/>
    <w:rsid w:val="00536E0E"/>
    <w:rsid w:val="005423FC"/>
    <w:rsid w:val="0054768F"/>
    <w:rsid w:val="005548EF"/>
    <w:rsid w:val="005619A0"/>
    <w:rsid w:val="00563089"/>
    <w:rsid w:val="00564891"/>
    <w:rsid w:val="005741CB"/>
    <w:rsid w:val="0057707C"/>
    <w:rsid w:val="0058306A"/>
    <w:rsid w:val="00585367"/>
    <w:rsid w:val="0058628A"/>
    <w:rsid w:val="005A15A2"/>
    <w:rsid w:val="005A258D"/>
    <w:rsid w:val="005C2A6E"/>
    <w:rsid w:val="005C35F5"/>
    <w:rsid w:val="005D5549"/>
    <w:rsid w:val="005E140F"/>
    <w:rsid w:val="005E78E7"/>
    <w:rsid w:val="005F74DC"/>
    <w:rsid w:val="00607903"/>
    <w:rsid w:val="00612729"/>
    <w:rsid w:val="0061278E"/>
    <w:rsid w:val="00614483"/>
    <w:rsid w:val="006148BE"/>
    <w:rsid w:val="0061664B"/>
    <w:rsid w:val="00620DF1"/>
    <w:rsid w:val="00634CA7"/>
    <w:rsid w:val="00635FD9"/>
    <w:rsid w:val="0063797D"/>
    <w:rsid w:val="00642016"/>
    <w:rsid w:val="00650D27"/>
    <w:rsid w:val="00652732"/>
    <w:rsid w:val="006633D1"/>
    <w:rsid w:val="00663E73"/>
    <w:rsid w:val="00663FE0"/>
    <w:rsid w:val="006709CA"/>
    <w:rsid w:val="00673046"/>
    <w:rsid w:val="0067399E"/>
    <w:rsid w:val="006924C4"/>
    <w:rsid w:val="006A0166"/>
    <w:rsid w:val="006A28FB"/>
    <w:rsid w:val="006A311E"/>
    <w:rsid w:val="006A6224"/>
    <w:rsid w:val="006B0404"/>
    <w:rsid w:val="006B4F9D"/>
    <w:rsid w:val="006C0A68"/>
    <w:rsid w:val="006C1BAD"/>
    <w:rsid w:val="006C4CC7"/>
    <w:rsid w:val="006C75BF"/>
    <w:rsid w:val="006D24BB"/>
    <w:rsid w:val="006D40F6"/>
    <w:rsid w:val="006E35C0"/>
    <w:rsid w:val="006F63E5"/>
    <w:rsid w:val="006F6E40"/>
    <w:rsid w:val="00700481"/>
    <w:rsid w:val="00701369"/>
    <w:rsid w:val="0070638C"/>
    <w:rsid w:val="00706E38"/>
    <w:rsid w:val="007105BC"/>
    <w:rsid w:val="00711473"/>
    <w:rsid w:val="00713EA0"/>
    <w:rsid w:val="007147A8"/>
    <w:rsid w:val="007155FB"/>
    <w:rsid w:val="0072735E"/>
    <w:rsid w:val="007275D4"/>
    <w:rsid w:val="00731334"/>
    <w:rsid w:val="007359D8"/>
    <w:rsid w:val="00740803"/>
    <w:rsid w:val="00740B87"/>
    <w:rsid w:val="00742424"/>
    <w:rsid w:val="007463EB"/>
    <w:rsid w:val="0074679D"/>
    <w:rsid w:val="00747474"/>
    <w:rsid w:val="0077307D"/>
    <w:rsid w:val="00773FFE"/>
    <w:rsid w:val="00775C40"/>
    <w:rsid w:val="0077625E"/>
    <w:rsid w:val="0078193E"/>
    <w:rsid w:val="007908F3"/>
    <w:rsid w:val="00790A1A"/>
    <w:rsid w:val="007A2252"/>
    <w:rsid w:val="007A29D3"/>
    <w:rsid w:val="007B4743"/>
    <w:rsid w:val="007C3CCC"/>
    <w:rsid w:val="007C5E7A"/>
    <w:rsid w:val="007C5EBE"/>
    <w:rsid w:val="007D04CF"/>
    <w:rsid w:val="007E43C3"/>
    <w:rsid w:val="00803E24"/>
    <w:rsid w:val="00807212"/>
    <w:rsid w:val="008222D6"/>
    <w:rsid w:val="00822426"/>
    <w:rsid w:val="008270BE"/>
    <w:rsid w:val="00834F81"/>
    <w:rsid w:val="008378C6"/>
    <w:rsid w:val="008452FB"/>
    <w:rsid w:val="00846557"/>
    <w:rsid w:val="00850A1B"/>
    <w:rsid w:val="00852984"/>
    <w:rsid w:val="00863755"/>
    <w:rsid w:val="00875F7D"/>
    <w:rsid w:val="00883486"/>
    <w:rsid w:val="0088647F"/>
    <w:rsid w:val="00886DD9"/>
    <w:rsid w:val="008961D5"/>
    <w:rsid w:val="008B3C06"/>
    <w:rsid w:val="008B4182"/>
    <w:rsid w:val="008B4C32"/>
    <w:rsid w:val="008C0092"/>
    <w:rsid w:val="008D6C54"/>
    <w:rsid w:val="008E4521"/>
    <w:rsid w:val="008F2E7C"/>
    <w:rsid w:val="008F4262"/>
    <w:rsid w:val="00903026"/>
    <w:rsid w:val="00912544"/>
    <w:rsid w:val="00912F0F"/>
    <w:rsid w:val="00920520"/>
    <w:rsid w:val="009255CC"/>
    <w:rsid w:val="00932E26"/>
    <w:rsid w:val="009341AA"/>
    <w:rsid w:val="00934412"/>
    <w:rsid w:val="00946D6C"/>
    <w:rsid w:val="009549FA"/>
    <w:rsid w:val="00967323"/>
    <w:rsid w:val="00973F32"/>
    <w:rsid w:val="00993DFA"/>
    <w:rsid w:val="00995082"/>
    <w:rsid w:val="009A27BD"/>
    <w:rsid w:val="009A3192"/>
    <w:rsid w:val="009A6DD2"/>
    <w:rsid w:val="009B5B2D"/>
    <w:rsid w:val="009B64A7"/>
    <w:rsid w:val="009C20D2"/>
    <w:rsid w:val="009C2697"/>
    <w:rsid w:val="009C6A45"/>
    <w:rsid w:val="009D275A"/>
    <w:rsid w:val="009D6601"/>
    <w:rsid w:val="009D7DE3"/>
    <w:rsid w:val="009E11D8"/>
    <w:rsid w:val="009F02E8"/>
    <w:rsid w:val="009F1900"/>
    <w:rsid w:val="009F591E"/>
    <w:rsid w:val="00A016C5"/>
    <w:rsid w:val="00A018C6"/>
    <w:rsid w:val="00A056ED"/>
    <w:rsid w:val="00A075CD"/>
    <w:rsid w:val="00A11309"/>
    <w:rsid w:val="00A14BEE"/>
    <w:rsid w:val="00A273A8"/>
    <w:rsid w:val="00A337A1"/>
    <w:rsid w:val="00A37C94"/>
    <w:rsid w:val="00A413B9"/>
    <w:rsid w:val="00A42F22"/>
    <w:rsid w:val="00A45614"/>
    <w:rsid w:val="00A51536"/>
    <w:rsid w:val="00A51C9A"/>
    <w:rsid w:val="00A52F11"/>
    <w:rsid w:val="00A53A9D"/>
    <w:rsid w:val="00A637C4"/>
    <w:rsid w:val="00A637CC"/>
    <w:rsid w:val="00A73D83"/>
    <w:rsid w:val="00A74FBB"/>
    <w:rsid w:val="00A763ED"/>
    <w:rsid w:val="00A91EB1"/>
    <w:rsid w:val="00AA4FE8"/>
    <w:rsid w:val="00AA50AB"/>
    <w:rsid w:val="00AA6246"/>
    <w:rsid w:val="00AA6C8D"/>
    <w:rsid w:val="00AC4929"/>
    <w:rsid w:val="00AD3D9F"/>
    <w:rsid w:val="00AD6CEC"/>
    <w:rsid w:val="00AE1FDC"/>
    <w:rsid w:val="00AE3838"/>
    <w:rsid w:val="00AE479C"/>
    <w:rsid w:val="00AE6947"/>
    <w:rsid w:val="00AE6C91"/>
    <w:rsid w:val="00AF1CD7"/>
    <w:rsid w:val="00AF7018"/>
    <w:rsid w:val="00B14ECB"/>
    <w:rsid w:val="00B155DE"/>
    <w:rsid w:val="00B25591"/>
    <w:rsid w:val="00B30CC7"/>
    <w:rsid w:val="00B325A2"/>
    <w:rsid w:val="00B3308B"/>
    <w:rsid w:val="00B34327"/>
    <w:rsid w:val="00B54E9C"/>
    <w:rsid w:val="00B6273E"/>
    <w:rsid w:val="00B63392"/>
    <w:rsid w:val="00B65089"/>
    <w:rsid w:val="00B65545"/>
    <w:rsid w:val="00B759FA"/>
    <w:rsid w:val="00B80B76"/>
    <w:rsid w:val="00BB1FF9"/>
    <w:rsid w:val="00BB269A"/>
    <w:rsid w:val="00BB34DC"/>
    <w:rsid w:val="00BB3C9F"/>
    <w:rsid w:val="00BB6283"/>
    <w:rsid w:val="00BB7DB6"/>
    <w:rsid w:val="00BC1AD0"/>
    <w:rsid w:val="00BC446A"/>
    <w:rsid w:val="00BE1FCF"/>
    <w:rsid w:val="00BE644F"/>
    <w:rsid w:val="00BF49B0"/>
    <w:rsid w:val="00C0042E"/>
    <w:rsid w:val="00C067FF"/>
    <w:rsid w:val="00C07386"/>
    <w:rsid w:val="00C102EE"/>
    <w:rsid w:val="00C13EFB"/>
    <w:rsid w:val="00C14397"/>
    <w:rsid w:val="00C1477F"/>
    <w:rsid w:val="00C15D30"/>
    <w:rsid w:val="00C21D73"/>
    <w:rsid w:val="00C25530"/>
    <w:rsid w:val="00C276AF"/>
    <w:rsid w:val="00C322A6"/>
    <w:rsid w:val="00C41AD5"/>
    <w:rsid w:val="00C4516F"/>
    <w:rsid w:val="00C46A1D"/>
    <w:rsid w:val="00C51AA8"/>
    <w:rsid w:val="00C526E1"/>
    <w:rsid w:val="00C559B0"/>
    <w:rsid w:val="00C65FFC"/>
    <w:rsid w:val="00C7024D"/>
    <w:rsid w:val="00C710B0"/>
    <w:rsid w:val="00C72E58"/>
    <w:rsid w:val="00C9744B"/>
    <w:rsid w:val="00CA1A4B"/>
    <w:rsid w:val="00CB30E9"/>
    <w:rsid w:val="00CB30FD"/>
    <w:rsid w:val="00CB5529"/>
    <w:rsid w:val="00CB6142"/>
    <w:rsid w:val="00CB6CB1"/>
    <w:rsid w:val="00CC4482"/>
    <w:rsid w:val="00CC65D3"/>
    <w:rsid w:val="00CE724A"/>
    <w:rsid w:val="00CF115A"/>
    <w:rsid w:val="00CF1271"/>
    <w:rsid w:val="00CF7B8F"/>
    <w:rsid w:val="00D05105"/>
    <w:rsid w:val="00D117F8"/>
    <w:rsid w:val="00D13451"/>
    <w:rsid w:val="00D135BF"/>
    <w:rsid w:val="00D17CB6"/>
    <w:rsid w:val="00D20511"/>
    <w:rsid w:val="00D23D2E"/>
    <w:rsid w:val="00D35ABA"/>
    <w:rsid w:val="00D45076"/>
    <w:rsid w:val="00D47EFE"/>
    <w:rsid w:val="00D676CC"/>
    <w:rsid w:val="00D81181"/>
    <w:rsid w:val="00D8467C"/>
    <w:rsid w:val="00D903BD"/>
    <w:rsid w:val="00D92999"/>
    <w:rsid w:val="00D9598B"/>
    <w:rsid w:val="00D973D5"/>
    <w:rsid w:val="00DA5FA3"/>
    <w:rsid w:val="00DB6492"/>
    <w:rsid w:val="00DB7FCF"/>
    <w:rsid w:val="00DC03B9"/>
    <w:rsid w:val="00DC2CD3"/>
    <w:rsid w:val="00DD3B62"/>
    <w:rsid w:val="00DE3BB5"/>
    <w:rsid w:val="00DE7ED0"/>
    <w:rsid w:val="00E03113"/>
    <w:rsid w:val="00E033F1"/>
    <w:rsid w:val="00E07138"/>
    <w:rsid w:val="00E10FFA"/>
    <w:rsid w:val="00E11D8E"/>
    <w:rsid w:val="00E120D2"/>
    <w:rsid w:val="00E132DE"/>
    <w:rsid w:val="00E160ED"/>
    <w:rsid w:val="00E203AA"/>
    <w:rsid w:val="00E25183"/>
    <w:rsid w:val="00E35BD0"/>
    <w:rsid w:val="00E37AF9"/>
    <w:rsid w:val="00E41E1B"/>
    <w:rsid w:val="00E422D4"/>
    <w:rsid w:val="00E46BAF"/>
    <w:rsid w:val="00E4740F"/>
    <w:rsid w:val="00E56332"/>
    <w:rsid w:val="00E61E8B"/>
    <w:rsid w:val="00E61FA7"/>
    <w:rsid w:val="00E634CC"/>
    <w:rsid w:val="00E65B62"/>
    <w:rsid w:val="00E6765E"/>
    <w:rsid w:val="00E70F0D"/>
    <w:rsid w:val="00E7683D"/>
    <w:rsid w:val="00E85A20"/>
    <w:rsid w:val="00E8673E"/>
    <w:rsid w:val="00E86B33"/>
    <w:rsid w:val="00E8775C"/>
    <w:rsid w:val="00E877A7"/>
    <w:rsid w:val="00E92787"/>
    <w:rsid w:val="00EA263B"/>
    <w:rsid w:val="00EA2A78"/>
    <w:rsid w:val="00EA377C"/>
    <w:rsid w:val="00EA566F"/>
    <w:rsid w:val="00EA64CC"/>
    <w:rsid w:val="00EB2A69"/>
    <w:rsid w:val="00EB4D08"/>
    <w:rsid w:val="00EB6292"/>
    <w:rsid w:val="00EB6C82"/>
    <w:rsid w:val="00EC2334"/>
    <w:rsid w:val="00EC45BD"/>
    <w:rsid w:val="00ED2463"/>
    <w:rsid w:val="00ED250C"/>
    <w:rsid w:val="00ED2E7E"/>
    <w:rsid w:val="00EE26A2"/>
    <w:rsid w:val="00EE49B6"/>
    <w:rsid w:val="00EF38F0"/>
    <w:rsid w:val="00EF5E2C"/>
    <w:rsid w:val="00EF69E1"/>
    <w:rsid w:val="00F03809"/>
    <w:rsid w:val="00F07E77"/>
    <w:rsid w:val="00F12461"/>
    <w:rsid w:val="00F1639E"/>
    <w:rsid w:val="00F24AF9"/>
    <w:rsid w:val="00F25A8C"/>
    <w:rsid w:val="00F261BC"/>
    <w:rsid w:val="00F35220"/>
    <w:rsid w:val="00F421ED"/>
    <w:rsid w:val="00F43708"/>
    <w:rsid w:val="00F44775"/>
    <w:rsid w:val="00F44D6B"/>
    <w:rsid w:val="00F60237"/>
    <w:rsid w:val="00F800A9"/>
    <w:rsid w:val="00F8161A"/>
    <w:rsid w:val="00F82A33"/>
    <w:rsid w:val="00F832B3"/>
    <w:rsid w:val="00F8591C"/>
    <w:rsid w:val="00F8693A"/>
    <w:rsid w:val="00F921D1"/>
    <w:rsid w:val="00F92C0F"/>
    <w:rsid w:val="00F9513D"/>
    <w:rsid w:val="00FA1C7A"/>
    <w:rsid w:val="00FA3A89"/>
    <w:rsid w:val="00FA4483"/>
    <w:rsid w:val="00FA7CA8"/>
    <w:rsid w:val="00FB415E"/>
    <w:rsid w:val="00FD0D3E"/>
    <w:rsid w:val="00FE3D67"/>
    <w:rsid w:val="00FE5EFE"/>
    <w:rsid w:val="00FF1319"/>
    <w:rsid w:val="00FF4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492D"/>
  <w15:chartTrackingRefBased/>
  <w15:docId w15:val="{93EB134E-2069-49C5-AE5A-67CA2D4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70BE"/>
  </w:style>
  <w:style w:type="paragraph" w:styleId="Titolo1">
    <w:name w:val="heading 1"/>
    <w:basedOn w:val="Normale"/>
    <w:next w:val="Normale"/>
    <w:link w:val="Titolo1Carattere"/>
    <w:uiPriority w:val="9"/>
    <w:qFormat/>
    <w:rsid w:val="00412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5E78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8F2E7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F25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B08E2"/>
    <w:rPr>
      <w:color w:val="0563C1" w:themeColor="hyperlink"/>
      <w:u w:val="single"/>
    </w:rPr>
  </w:style>
  <w:style w:type="character" w:customStyle="1" w:styleId="Menzionenonrisolta1">
    <w:name w:val="Menzione non risolta1"/>
    <w:basedOn w:val="Carpredefinitoparagrafo"/>
    <w:uiPriority w:val="99"/>
    <w:semiHidden/>
    <w:unhideWhenUsed/>
    <w:rsid w:val="004B08E2"/>
    <w:rPr>
      <w:color w:val="605E5C"/>
      <w:shd w:val="clear" w:color="auto" w:fill="E1DFDD"/>
    </w:rPr>
  </w:style>
  <w:style w:type="paragraph" w:styleId="Paragrafoelenco">
    <w:name w:val="List Paragraph"/>
    <w:basedOn w:val="Normale"/>
    <w:uiPriority w:val="34"/>
    <w:qFormat/>
    <w:rsid w:val="00A37C94"/>
    <w:pPr>
      <w:ind w:left="720"/>
      <w:contextualSpacing/>
    </w:pPr>
  </w:style>
  <w:style w:type="paragraph" w:customStyle="1" w:styleId="registri">
    <w:name w:val="registri"/>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34C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E132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F124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5548EF"/>
    <w:rPr>
      <w:sz w:val="16"/>
      <w:szCs w:val="16"/>
    </w:rPr>
  </w:style>
  <w:style w:type="paragraph" w:styleId="Testocommento">
    <w:name w:val="annotation text"/>
    <w:basedOn w:val="Normale"/>
    <w:link w:val="TestocommentoCarattere"/>
    <w:uiPriority w:val="99"/>
    <w:semiHidden/>
    <w:unhideWhenUsed/>
    <w:rsid w:val="005548E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548EF"/>
    <w:rPr>
      <w:sz w:val="20"/>
      <w:szCs w:val="20"/>
    </w:rPr>
  </w:style>
  <w:style w:type="paragraph" w:styleId="Soggettocommento">
    <w:name w:val="annotation subject"/>
    <w:basedOn w:val="Testocommento"/>
    <w:next w:val="Testocommento"/>
    <w:link w:val="SoggettocommentoCarattere"/>
    <w:uiPriority w:val="99"/>
    <w:semiHidden/>
    <w:unhideWhenUsed/>
    <w:rsid w:val="005548EF"/>
    <w:rPr>
      <w:b/>
      <w:bCs/>
    </w:rPr>
  </w:style>
  <w:style w:type="character" w:customStyle="1" w:styleId="SoggettocommentoCarattere">
    <w:name w:val="Soggetto commento Carattere"/>
    <w:basedOn w:val="TestocommentoCarattere"/>
    <w:link w:val="Soggettocommento"/>
    <w:uiPriority w:val="99"/>
    <w:semiHidden/>
    <w:rsid w:val="005548EF"/>
    <w:rPr>
      <w:b/>
      <w:bCs/>
      <w:sz w:val="20"/>
      <w:szCs w:val="20"/>
    </w:rPr>
  </w:style>
  <w:style w:type="paragraph" w:styleId="Testofumetto">
    <w:name w:val="Balloon Text"/>
    <w:basedOn w:val="Normale"/>
    <w:link w:val="TestofumettoCarattere"/>
    <w:uiPriority w:val="99"/>
    <w:semiHidden/>
    <w:unhideWhenUsed/>
    <w:rsid w:val="005548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48EF"/>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300FF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00FFD"/>
    <w:rPr>
      <w:sz w:val="20"/>
      <w:szCs w:val="20"/>
    </w:rPr>
  </w:style>
  <w:style w:type="character" w:styleId="Rimandonotadichiusura">
    <w:name w:val="endnote reference"/>
    <w:basedOn w:val="Carpredefinitoparagrafo"/>
    <w:uiPriority w:val="99"/>
    <w:semiHidden/>
    <w:unhideWhenUsed/>
    <w:rsid w:val="00300FFD"/>
    <w:rPr>
      <w:vertAlign w:val="superscript"/>
    </w:rPr>
  </w:style>
  <w:style w:type="paragraph" w:styleId="Testonotaapidipagina">
    <w:name w:val="footnote text"/>
    <w:basedOn w:val="Normale"/>
    <w:link w:val="TestonotaapidipaginaCarattere"/>
    <w:uiPriority w:val="99"/>
    <w:unhideWhenUsed/>
    <w:rsid w:val="00300F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00FFD"/>
    <w:rPr>
      <w:sz w:val="20"/>
      <w:szCs w:val="20"/>
    </w:rPr>
  </w:style>
  <w:style w:type="character" w:styleId="Rimandonotaapidipagina">
    <w:name w:val="footnote reference"/>
    <w:basedOn w:val="Carpredefinitoparagrafo"/>
    <w:uiPriority w:val="99"/>
    <w:semiHidden/>
    <w:unhideWhenUsed/>
    <w:rsid w:val="00300FFD"/>
    <w:rPr>
      <w:vertAlign w:val="superscript"/>
    </w:rPr>
  </w:style>
  <w:style w:type="character" w:styleId="Enfasigrassetto">
    <w:name w:val="Strong"/>
    <w:basedOn w:val="Carpredefinitoparagrafo"/>
    <w:uiPriority w:val="22"/>
    <w:qFormat/>
    <w:rsid w:val="008F2E7C"/>
    <w:rPr>
      <w:b/>
      <w:bCs/>
    </w:rPr>
  </w:style>
  <w:style w:type="character" w:customStyle="1" w:styleId="stylemarkdownhilighted2cp-h">
    <w:name w:val="style__markdownhilighted___2cp-h"/>
    <w:basedOn w:val="Carpredefinitoparagrafo"/>
    <w:rsid w:val="008F2E7C"/>
  </w:style>
  <w:style w:type="character" w:styleId="Enfasicorsivo">
    <w:name w:val="Emphasis"/>
    <w:basedOn w:val="Carpredefinitoparagrafo"/>
    <w:uiPriority w:val="20"/>
    <w:qFormat/>
    <w:rsid w:val="008F2E7C"/>
    <w:rPr>
      <w:i/>
      <w:iCs/>
    </w:rPr>
  </w:style>
  <w:style w:type="character" w:customStyle="1" w:styleId="Titolo3Carattere">
    <w:name w:val="Titolo 3 Carattere"/>
    <w:basedOn w:val="Carpredefinitoparagrafo"/>
    <w:link w:val="Titolo3"/>
    <w:uiPriority w:val="9"/>
    <w:rsid w:val="008F2E7C"/>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unhideWhenUsed/>
    <w:rsid w:val="00C702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24D"/>
  </w:style>
  <w:style w:type="paragraph" w:styleId="Pidipagina">
    <w:name w:val="footer"/>
    <w:basedOn w:val="Normale"/>
    <w:link w:val="PidipaginaCarattere"/>
    <w:uiPriority w:val="99"/>
    <w:unhideWhenUsed/>
    <w:rsid w:val="00C702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24D"/>
  </w:style>
  <w:style w:type="paragraph" w:customStyle="1" w:styleId="Default">
    <w:name w:val="Default"/>
    <w:rsid w:val="006B0404"/>
    <w:pPr>
      <w:autoSpaceDE w:val="0"/>
      <w:autoSpaceDN w:val="0"/>
      <w:adjustRightInd w:val="0"/>
      <w:spacing w:after="0" w:line="240" w:lineRule="auto"/>
    </w:pPr>
    <w:rPr>
      <w:rFonts w:ascii="Garamond" w:hAnsi="Garamond" w:cs="Garamond"/>
      <w:color w:val="000000"/>
      <w:sz w:val="24"/>
      <w:szCs w:val="24"/>
    </w:rPr>
  </w:style>
  <w:style w:type="character" w:customStyle="1" w:styleId="Titolo2Carattere">
    <w:name w:val="Titolo 2 Carattere"/>
    <w:basedOn w:val="Carpredefinitoparagrafo"/>
    <w:link w:val="Titolo2"/>
    <w:uiPriority w:val="9"/>
    <w:semiHidden/>
    <w:rsid w:val="005E78E7"/>
    <w:rPr>
      <w:rFonts w:asciiTheme="majorHAnsi" w:eastAsiaTheme="majorEastAsia" w:hAnsiTheme="majorHAnsi" w:cstheme="majorBidi"/>
      <w:color w:val="2E74B5" w:themeColor="accent1" w:themeShade="BF"/>
      <w:sz w:val="26"/>
      <w:szCs w:val="26"/>
    </w:rPr>
  </w:style>
  <w:style w:type="paragraph" w:customStyle="1" w:styleId="wkit-indentation-level-0">
    <w:name w:val="wkit-indentation-level-0"/>
    <w:basedOn w:val="Normale"/>
    <w:rsid w:val="005E78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k-tooltip-wrapper">
    <w:name w:val="wk-tooltip-wrapper"/>
    <w:basedOn w:val="Carpredefinitoparagrafo"/>
    <w:rsid w:val="005E78E7"/>
  </w:style>
  <w:style w:type="character" w:customStyle="1" w:styleId="wkit-italic">
    <w:name w:val="wkit-italic"/>
    <w:basedOn w:val="Carpredefinitoparagrafo"/>
    <w:rsid w:val="005E78E7"/>
  </w:style>
  <w:style w:type="paragraph" w:customStyle="1" w:styleId="dt">
    <w:name w:val="dt"/>
    <w:basedOn w:val="Normale"/>
    <w:rsid w:val="00A337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4128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463">
      <w:bodyDiv w:val="1"/>
      <w:marLeft w:val="0"/>
      <w:marRight w:val="0"/>
      <w:marTop w:val="0"/>
      <w:marBottom w:val="0"/>
      <w:divBdr>
        <w:top w:val="none" w:sz="0" w:space="0" w:color="auto"/>
        <w:left w:val="none" w:sz="0" w:space="0" w:color="auto"/>
        <w:bottom w:val="none" w:sz="0" w:space="0" w:color="auto"/>
        <w:right w:val="none" w:sz="0" w:space="0" w:color="auto"/>
      </w:divBdr>
      <w:divsChild>
        <w:div w:id="75713344">
          <w:marLeft w:val="0"/>
          <w:marRight w:val="0"/>
          <w:marTop w:val="0"/>
          <w:marBottom w:val="0"/>
          <w:divBdr>
            <w:top w:val="none" w:sz="0" w:space="0" w:color="auto"/>
            <w:left w:val="none" w:sz="0" w:space="0" w:color="auto"/>
            <w:bottom w:val="none" w:sz="0" w:space="0" w:color="auto"/>
            <w:right w:val="none" w:sz="0" w:space="0" w:color="auto"/>
          </w:divBdr>
          <w:divsChild>
            <w:div w:id="2983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929">
      <w:bodyDiv w:val="1"/>
      <w:marLeft w:val="0"/>
      <w:marRight w:val="0"/>
      <w:marTop w:val="0"/>
      <w:marBottom w:val="0"/>
      <w:divBdr>
        <w:top w:val="none" w:sz="0" w:space="0" w:color="auto"/>
        <w:left w:val="none" w:sz="0" w:space="0" w:color="auto"/>
        <w:bottom w:val="none" w:sz="0" w:space="0" w:color="auto"/>
        <w:right w:val="none" w:sz="0" w:space="0" w:color="auto"/>
      </w:divBdr>
    </w:div>
    <w:div w:id="43065040">
      <w:bodyDiv w:val="1"/>
      <w:marLeft w:val="0"/>
      <w:marRight w:val="0"/>
      <w:marTop w:val="0"/>
      <w:marBottom w:val="0"/>
      <w:divBdr>
        <w:top w:val="none" w:sz="0" w:space="0" w:color="auto"/>
        <w:left w:val="none" w:sz="0" w:space="0" w:color="auto"/>
        <w:bottom w:val="none" w:sz="0" w:space="0" w:color="auto"/>
        <w:right w:val="none" w:sz="0" w:space="0" w:color="auto"/>
      </w:divBdr>
    </w:div>
    <w:div w:id="57821337">
      <w:bodyDiv w:val="1"/>
      <w:marLeft w:val="0"/>
      <w:marRight w:val="0"/>
      <w:marTop w:val="0"/>
      <w:marBottom w:val="0"/>
      <w:divBdr>
        <w:top w:val="none" w:sz="0" w:space="0" w:color="auto"/>
        <w:left w:val="none" w:sz="0" w:space="0" w:color="auto"/>
        <w:bottom w:val="none" w:sz="0" w:space="0" w:color="auto"/>
        <w:right w:val="none" w:sz="0" w:space="0" w:color="auto"/>
      </w:divBdr>
    </w:div>
    <w:div w:id="153879133">
      <w:bodyDiv w:val="1"/>
      <w:marLeft w:val="0"/>
      <w:marRight w:val="0"/>
      <w:marTop w:val="0"/>
      <w:marBottom w:val="0"/>
      <w:divBdr>
        <w:top w:val="none" w:sz="0" w:space="0" w:color="auto"/>
        <w:left w:val="none" w:sz="0" w:space="0" w:color="auto"/>
        <w:bottom w:val="none" w:sz="0" w:space="0" w:color="auto"/>
        <w:right w:val="none" w:sz="0" w:space="0" w:color="auto"/>
      </w:divBdr>
    </w:div>
    <w:div w:id="164588420">
      <w:bodyDiv w:val="1"/>
      <w:marLeft w:val="0"/>
      <w:marRight w:val="0"/>
      <w:marTop w:val="0"/>
      <w:marBottom w:val="0"/>
      <w:divBdr>
        <w:top w:val="none" w:sz="0" w:space="0" w:color="auto"/>
        <w:left w:val="none" w:sz="0" w:space="0" w:color="auto"/>
        <w:bottom w:val="none" w:sz="0" w:space="0" w:color="auto"/>
        <w:right w:val="none" w:sz="0" w:space="0" w:color="auto"/>
      </w:divBdr>
    </w:div>
    <w:div w:id="165899708">
      <w:bodyDiv w:val="1"/>
      <w:marLeft w:val="0"/>
      <w:marRight w:val="0"/>
      <w:marTop w:val="0"/>
      <w:marBottom w:val="0"/>
      <w:divBdr>
        <w:top w:val="none" w:sz="0" w:space="0" w:color="auto"/>
        <w:left w:val="none" w:sz="0" w:space="0" w:color="auto"/>
        <w:bottom w:val="none" w:sz="0" w:space="0" w:color="auto"/>
        <w:right w:val="none" w:sz="0" w:space="0" w:color="auto"/>
      </w:divBdr>
      <w:divsChild>
        <w:div w:id="720246022">
          <w:marLeft w:val="0"/>
          <w:marRight w:val="0"/>
          <w:marTop w:val="0"/>
          <w:marBottom w:val="0"/>
          <w:divBdr>
            <w:top w:val="none" w:sz="0" w:space="0" w:color="auto"/>
            <w:left w:val="none" w:sz="0" w:space="0" w:color="auto"/>
            <w:bottom w:val="none" w:sz="0" w:space="0" w:color="auto"/>
            <w:right w:val="none" w:sz="0" w:space="0" w:color="auto"/>
          </w:divBdr>
          <w:divsChild>
            <w:div w:id="5281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0935">
      <w:bodyDiv w:val="1"/>
      <w:marLeft w:val="0"/>
      <w:marRight w:val="0"/>
      <w:marTop w:val="0"/>
      <w:marBottom w:val="0"/>
      <w:divBdr>
        <w:top w:val="none" w:sz="0" w:space="0" w:color="auto"/>
        <w:left w:val="none" w:sz="0" w:space="0" w:color="auto"/>
        <w:bottom w:val="none" w:sz="0" w:space="0" w:color="auto"/>
        <w:right w:val="none" w:sz="0" w:space="0" w:color="auto"/>
      </w:divBdr>
    </w:div>
    <w:div w:id="213390600">
      <w:bodyDiv w:val="1"/>
      <w:marLeft w:val="0"/>
      <w:marRight w:val="0"/>
      <w:marTop w:val="0"/>
      <w:marBottom w:val="0"/>
      <w:divBdr>
        <w:top w:val="none" w:sz="0" w:space="0" w:color="auto"/>
        <w:left w:val="none" w:sz="0" w:space="0" w:color="auto"/>
        <w:bottom w:val="none" w:sz="0" w:space="0" w:color="auto"/>
        <w:right w:val="none" w:sz="0" w:space="0" w:color="auto"/>
      </w:divBdr>
    </w:div>
    <w:div w:id="219563826">
      <w:bodyDiv w:val="1"/>
      <w:marLeft w:val="0"/>
      <w:marRight w:val="0"/>
      <w:marTop w:val="0"/>
      <w:marBottom w:val="0"/>
      <w:divBdr>
        <w:top w:val="none" w:sz="0" w:space="0" w:color="auto"/>
        <w:left w:val="none" w:sz="0" w:space="0" w:color="auto"/>
        <w:bottom w:val="none" w:sz="0" w:space="0" w:color="auto"/>
        <w:right w:val="none" w:sz="0" w:space="0" w:color="auto"/>
      </w:divBdr>
    </w:div>
    <w:div w:id="304899105">
      <w:bodyDiv w:val="1"/>
      <w:marLeft w:val="0"/>
      <w:marRight w:val="0"/>
      <w:marTop w:val="0"/>
      <w:marBottom w:val="0"/>
      <w:divBdr>
        <w:top w:val="none" w:sz="0" w:space="0" w:color="auto"/>
        <w:left w:val="none" w:sz="0" w:space="0" w:color="auto"/>
        <w:bottom w:val="none" w:sz="0" w:space="0" w:color="auto"/>
        <w:right w:val="none" w:sz="0" w:space="0" w:color="auto"/>
      </w:divBdr>
    </w:div>
    <w:div w:id="400560898">
      <w:bodyDiv w:val="1"/>
      <w:marLeft w:val="0"/>
      <w:marRight w:val="0"/>
      <w:marTop w:val="0"/>
      <w:marBottom w:val="0"/>
      <w:divBdr>
        <w:top w:val="none" w:sz="0" w:space="0" w:color="auto"/>
        <w:left w:val="none" w:sz="0" w:space="0" w:color="auto"/>
        <w:bottom w:val="none" w:sz="0" w:space="0" w:color="auto"/>
        <w:right w:val="none" w:sz="0" w:space="0" w:color="auto"/>
      </w:divBdr>
    </w:div>
    <w:div w:id="408308087">
      <w:bodyDiv w:val="1"/>
      <w:marLeft w:val="0"/>
      <w:marRight w:val="0"/>
      <w:marTop w:val="0"/>
      <w:marBottom w:val="0"/>
      <w:divBdr>
        <w:top w:val="none" w:sz="0" w:space="0" w:color="auto"/>
        <w:left w:val="none" w:sz="0" w:space="0" w:color="auto"/>
        <w:bottom w:val="none" w:sz="0" w:space="0" w:color="auto"/>
        <w:right w:val="none" w:sz="0" w:space="0" w:color="auto"/>
      </w:divBdr>
    </w:div>
    <w:div w:id="514685758">
      <w:bodyDiv w:val="1"/>
      <w:marLeft w:val="0"/>
      <w:marRight w:val="0"/>
      <w:marTop w:val="0"/>
      <w:marBottom w:val="0"/>
      <w:divBdr>
        <w:top w:val="none" w:sz="0" w:space="0" w:color="auto"/>
        <w:left w:val="none" w:sz="0" w:space="0" w:color="auto"/>
        <w:bottom w:val="none" w:sz="0" w:space="0" w:color="auto"/>
        <w:right w:val="none" w:sz="0" w:space="0" w:color="auto"/>
      </w:divBdr>
    </w:div>
    <w:div w:id="525219916">
      <w:bodyDiv w:val="1"/>
      <w:marLeft w:val="0"/>
      <w:marRight w:val="0"/>
      <w:marTop w:val="0"/>
      <w:marBottom w:val="0"/>
      <w:divBdr>
        <w:top w:val="none" w:sz="0" w:space="0" w:color="auto"/>
        <w:left w:val="none" w:sz="0" w:space="0" w:color="auto"/>
        <w:bottom w:val="none" w:sz="0" w:space="0" w:color="auto"/>
        <w:right w:val="none" w:sz="0" w:space="0" w:color="auto"/>
      </w:divBdr>
    </w:div>
    <w:div w:id="549416643">
      <w:bodyDiv w:val="1"/>
      <w:marLeft w:val="0"/>
      <w:marRight w:val="0"/>
      <w:marTop w:val="0"/>
      <w:marBottom w:val="0"/>
      <w:divBdr>
        <w:top w:val="none" w:sz="0" w:space="0" w:color="auto"/>
        <w:left w:val="none" w:sz="0" w:space="0" w:color="auto"/>
        <w:bottom w:val="none" w:sz="0" w:space="0" w:color="auto"/>
        <w:right w:val="none" w:sz="0" w:space="0" w:color="auto"/>
      </w:divBdr>
    </w:div>
    <w:div w:id="550116525">
      <w:bodyDiv w:val="1"/>
      <w:marLeft w:val="0"/>
      <w:marRight w:val="0"/>
      <w:marTop w:val="0"/>
      <w:marBottom w:val="0"/>
      <w:divBdr>
        <w:top w:val="none" w:sz="0" w:space="0" w:color="auto"/>
        <w:left w:val="none" w:sz="0" w:space="0" w:color="auto"/>
        <w:bottom w:val="none" w:sz="0" w:space="0" w:color="auto"/>
        <w:right w:val="none" w:sz="0" w:space="0" w:color="auto"/>
      </w:divBdr>
    </w:div>
    <w:div w:id="553395879">
      <w:bodyDiv w:val="1"/>
      <w:marLeft w:val="0"/>
      <w:marRight w:val="0"/>
      <w:marTop w:val="0"/>
      <w:marBottom w:val="0"/>
      <w:divBdr>
        <w:top w:val="none" w:sz="0" w:space="0" w:color="auto"/>
        <w:left w:val="none" w:sz="0" w:space="0" w:color="auto"/>
        <w:bottom w:val="none" w:sz="0" w:space="0" w:color="auto"/>
        <w:right w:val="none" w:sz="0" w:space="0" w:color="auto"/>
      </w:divBdr>
    </w:div>
    <w:div w:id="605892916">
      <w:bodyDiv w:val="1"/>
      <w:marLeft w:val="0"/>
      <w:marRight w:val="0"/>
      <w:marTop w:val="0"/>
      <w:marBottom w:val="0"/>
      <w:divBdr>
        <w:top w:val="none" w:sz="0" w:space="0" w:color="auto"/>
        <w:left w:val="none" w:sz="0" w:space="0" w:color="auto"/>
        <w:bottom w:val="none" w:sz="0" w:space="0" w:color="auto"/>
        <w:right w:val="none" w:sz="0" w:space="0" w:color="auto"/>
      </w:divBdr>
    </w:div>
    <w:div w:id="629626640">
      <w:bodyDiv w:val="1"/>
      <w:marLeft w:val="0"/>
      <w:marRight w:val="0"/>
      <w:marTop w:val="0"/>
      <w:marBottom w:val="0"/>
      <w:divBdr>
        <w:top w:val="none" w:sz="0" w:space="0" w:color="auto"/>
        <w:left w:val="none" w:sz="0" w:space="0" w:color="auto"/>
        <w:bottom w:val="none" w:sz="0" w:space="0" w:color="auto"/>
        <w:right w:val="none" w:sz="0" w:space="0" w:color="auto"/>
      </w:divBdr>
    </w:div>
    <w:div w:id="635598899">
      <w:bodyDiv w:val="1"/>
      <w:marLeft w:val="0"/>
      <w:marRight w:val="0"/>
      <w:marTop w:val="0"/>
      <w:marBottom w:val="0"/>
      <w:divBdr>
        <w:top w:val="none" w:sz="0" w:space="0" w:color="auto"/>
        <w:left w:val="none" w:sz="0" w:space="0" w:color="auto"/>
        <w:bottom w:val="none" w:sz="0" w:space="0" w:color="auto"/>
        <w:right w:val="none" w:sz="0" w:space="0" w:color="auto"/>
      </w:divBdr>
    </w:div>
    <w:div w:id="652442057">
      <w:bodyDiv w:val="1"/>
      <w:marLeft w:val="0"/>
      <w:marRight w:val="0"/>
      <w:marTop w:val="0"/>
      <w:marBottom w:val="0"/>
      <w:divBdr>
        <w:top w:val="none" w:sz="0" w:space="0" w:color="auto"/>
        <w:left w:val="none" w:sz="0" w:space="0" w:color="auto"/>
        <w:bottom w:val="none" w:sz="0" w:space="0" w:color="auto"/>
        <w:right w:val="none" w:sz="0" w:space="0" w:color="auto"/>
      </w:divBdr>
    </w:div>
    <w:div w:id="684595718">
      <w:bodyDiv w:val="1"/>
      <w:marLeft w:val="0"/>
      <w:marRight w:val="0"/>
      <w:marTop w:val="0"/>
      <w:marBottom w:val="0"/>
      <w:divBdr>
        <w:top w:val="none" w:sz="0" w:space="0" w:color="auto"/>
        <w:left w:val="none" w:sz="0" w:space="0" w:color="auto"/>
        <w:bottom w:val="none" w:sz="0" w:space="0" w:color="auto"/>
        <w:right w:val="none" w:sz="0" w:space="0" w:color="auto"/>
      </w:divBdr>
    </w:div>
    <w:div w:id="718632868">
      <w:bodyDiv w:val="1"/>
      <w:marLeft w:val="0"/>
      <w:marRight w:val="0"/>
      <w:marTop w:val="0"/>
      <w:marBottom w:val="0"/>
      <w:divBdr>
        <w:top w:val="none" w:sz="0" w:space="0" w:color="auto"/>
        <w:left w:val="none" w:sz="0" w:space="0" w:color="auto"/>
        <w:bottom w:val="none" w:sz="0" w:space="0" w:color="auto"/>
        <w:right w:val="none" w:sz="0" w:space="0" w:color="auto"/>
      </w:divBdr>
      <w:divsChild>
        <w:div w:id="2100834569">
          <w:marLeft w:val="0"/>
          <w:marRight w:val="0"/>
          <w:marTop w:val="0"/>
          <w:marBottom w:val="0"/>
          <w:divBdr>
            <w:top w:val="none" w:sz="0" w:space="0" w:color="auto"/>
            <w:left w:val="none" w:sz="0" w:space="0" w:color="auto"/>
            <w:bottom w:val="none" w:sz="0" w:space="0" w:color="auto"/>
            <w:right w:val="none" w:sz="0" w:space="0" w:color="auto"/>
          </w:divBdr>
          <w:divsChild>
            <w:div w:id="21339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4589">
      <w:bodyDiv w:val="1"/>
      <w:marLeft w:val="0"/>
      <w:marRight w:val="0"/>
      <w:marTop w:val="0"/>
      <w:marBottom w:val="0"/>
      <w:divBdr>
        <w:top w:val="none" w:sz="0" w:space="0" w:color="auto"/>
        <w:left w:val="none" w:sz="0" w:space="0" w:color="auto"/>
        <w:bottom w:val="none" w:sz="0" w:space="0" w:color="auto"/>
        <w:right w:val="none" w:sz="0" w:space="0" w:color="auto"/>
      </w:divBdr>
    </w:div>
    <w:div w:id="726801741">
      <w:bodyDiv w:val="1"/>
      <w:marLeft w:val="0"/>
      <w:marRight w:val="0"/>
      <w:marTop w:val="0"/>
      <w:marBottom w:val="0"/>
      <w:divBdr>
        <w:top w:val="none" w:sz="0" w:space="0" w:color="auto"/>
        <w:left w:val="none" w:sz="0" w:space="0" w:color="auto"/>
        <w:bottom w:val="none" w:sz="0" w:space="0" w:color="auto"/>
        <w:right w:val="none" w:sz="0" w:space="0" w:color="auto"/>
      </w:divBdr>
    </w:div>
    <w:div w:id="812019317">
      <w:bodyDiv w:val="1"/>
      <w:marLeft w:val="0"/>
      <w:marRight w:val="0"/>
      <w:marTop w:val="0"/>
      <w:marBottom w:val="0"/>
      <w:divBdr>
        <w:top w:val="none" w:sz="0" w:space="0" w:color="auto"/>
        <w:left w:val="none" w:sz="0" w:space="0" w:color="auto"/>
        <w:bottom w:val="none" w:sz="0" w:space="0" w:color="auto"/>
        <w:right w:val="none" w:sz="0" w:space="0" w:color="auto"/>
      </w:divBdr>
      <w:divsChild>
        <w:div w:id="451478374">
          <w:marLeft w:val="0"/>
          <w:marRight w:val="0"/>
          <w:marTop w:val="0"/>
          <w:marBottom w:val="120"/>
          <w:divBdr>
            <w:top w:val="none" w:sz="0" w:space="0" w:color="auto"/>
            <w:left w:val="none" w:sz="0" w:space="0" w:color="auto"/>
            <w:bottom w:val="none" w:sz="0" w:space="0" w:color="auto"/>
            <w:right w:val="none" w:sz="0" w:space="0" w:color="auto"/>
          </w:divBdr>
        </w:div>
        <w:div w:id="1629968742">
          <w:marLeft w:val="0"/>
          <w:marRight w:val="0"/>
          <w:marTop w:val="0"/>
          <w:marBottom w:val="120"/>
          <w:divBdr>
            <w:top w:val="none" w:sz="0" w:space="0" w:color="auto"/>
            <w:left w:val="none" w:sz="0" w:space="0" w:color="auto"/>
            <w:bottom w:val="none" w:sz="0" w:space="0" w:color="auto"/>
            <w:right w:val="none" w:sz="0" w:space="0" w:color="auto"/>
          </w:divBdr>
        </w:div>
      </w:divsChild>
    </w:div>
    <w:div w:id="865019487">
      <w:bodyDiv w:val="1"/>
      <w:marLeft w:val="0"/>
      <w:marRight w:val="0"/>
      <w:marTop w:val="0"/>
      <w:marBottom w:val="0"/>
      <w:divBdr>
        <w:top w:val="none" w:sz="0" w:space="0" w:color="auto"/>
        <w:left w:val="none" w:sz="0" w:space="0" w:color="auto"/>
        <w:bottom w:val="none" w:sz="0" w:space="0" w:color="auto"/>
        <w:right w:val="none" w:sz="0" w:space="0" w:color="auto"/>
      </w:divBdr>
    </w:div>
    <w:div w:id="871769062">
      <w:bodyDiv w:val="1"/>
      <w:marLeft w:val="0"/>
      <w:marRight w:val="0"/>
      <w:marTop w:val="0"/>
      <w:marBottom w:val="0"/>
      <w:divBdr>
        <w:top w:val="none" w:sz="0" w:space="0" w:color="auto"/>
        <w:left w:val="none" w:sz="0" w:space="0" w:color="auto"/>
        <w:bottom w:val="none" w:sz="0" w:space="0" w:color="auto"/>
        <w:right w:val="none" w:sz="0" w:space="0" w:color="auto"/>
      </w:divBdr>
    </w:div>
    <w:div w:id="884760914">
      <w:bodyDiv w:val="1"/>
      <w:marLeft w:val="0"/>
      <w:marRight w:val="0"/>
      <w:marTop w:val="0"/>
      <w:marBottom w:val="0"/>
      <w:divBdr>
        <w:top w:val="none" w:sz="0" w:space="0" w:color="auto"/>
        <w:left w:val="none" w:sz="0" w:space="0" w:color="auto"/>
        <w:bottom w:val="none" w:sz="0" w:space="0" w:color="auto"/>
        <w:right w:val="none" w:sz="0" w:space="0" w:color="auto"/>
      </w:divBdr>
    </w:div>
    <w:div w:id="893008679">
      <w:bodyDiv w:val="1"/>
      <w:marLeft w:val="0"/>
      <w:marRight w:val="0"/>
      <w:marTop w:val="0"/>
      <w:marBottom w:val="0"/>
      <w:divBdr>
        <w:top w:val="none" w:sz="0" w:space="0" w:color="auto"/>
        <w:left w:val="none" w:sz="0" w:space="0" w:color="auto"/>
        <w:bottom w:val="none" w:sz="0" w:space="0" w:color="auto"/>
        <w:right w:val="none" w:sz="0" w:space="0" w:color="auto"/>
      </w:divBdr>
    </w:div>
    <w:div w:id="898588936">
      <w:bodyDiv w:val="1"/>
      <w:marLeft w:val="0"/>
      <w:marRight w:val="0"/>
      <w:marTop w:val="0"/>
      <w:marBottom w:val="0"/>
      <w:divBdr>
        <w:top w:val="none" w:sz="0" w:space="0" w:color="auto"/>
        <w:left w:val="none" w:sz="0" w:space="0" w:color="auto"/>
        <w:bottom w:val="none" w:sz="0" w:space="0" w:color="auto"/>
        <w:right w:val="none" w:sz="0" w:space="0" w:color="auto"/>
      </w:divBdr>
      <w:divsChild>
        <w:div w:id="1926187247">
          <w:marLeft w:val="0"/>
          <w:marRight w:val="0"/>
          <w:marTop w:val="0"/>
          <w:marBottom w:val="0"/>
          <w:divBdr>
            <w:top w:val="single" w:sz="8" w:space="1" w:color="auto"/>
            <w:left w:val="single" w:sz="8" w:space="4" w:color="auto"/>
            <w:bottom w:val="single" w:sz="8" w:space="1" w:color="auto"/>
            <w:right w:val="single" w:sz="8" w:space="4" w:color="auto"/>
          </w:divBdr>
        </w:div>
        <w:div w:id="458301427">
          <w:marLeft w:val="0"/>
          <w:marRight w:val="0"/>
          <w:marTop w:val="0"/>
          <w:marBottom w:val="0"/>
          <w:divBdr>
            <w:top w:val="single" w:sz="8" w:space="1" w:color="auto"/>
            <w:left w:val="single" w:sz="8" w:space="4" w:color="auto"/>
            <w:bottom w:val="single" w:sz="8" w:space="1" w:color="auto"/>
            <w:right w:val="single" w:sz="8" w:space="4" w:color="auto"/>
          </w:divBdr>
        </w:div>
      </w:divsChild>
    </w:div>
    <w:div w:id="925189654">
      <w:bodyDiv w:val="1"/>
      <w:marLeft w:val="0"/>
      <w:marRight w:val="0"/>
      <w:marTop w:val="0"/>
      <w:marBottom w:val="0"/>
      <w:divBdr>
        <w:top w:val="none" w:sz="0" w:space="0" w:color="auto"/>
        <w:left w:val="none" w:sz="0" w:space="0" w:color="auto"/>
        <w:bottom w:val="none" w:sz="0" w:space="0" w:color="auto"/>
        <w:right w:val="none" w:sz="0" w:space="0" w:color="auto"/>
      </w:divBdr>
    </w:div>
    <w:div w:id="983703332">
      <w:bodyDiv w:val="1"/>
      <w:marLeft w:val="0"/>
      <w:marRight w:val="0"/>
      <w:marTop w:val="0"/>
      <w:marBottom w:val="0"/>
      <w:divBdr>
        <w:top w:val="none" w:sz="0" w:space="0" w:color="auto"/>
        <w:left w:val="none" w:sz="0" w:space="0" w:color="auto"/>
        <w:bottom w:val="none" w:sz="0" w:space="0" w:color="auto"/>
        <w:right w:val="none" w:sz="0" w:space="0" w:color="auto"/>
      </w:divBdr>
      <w:divsChild>
        <w:div w:id="602152966">
          <w:marLeft w:val="0"/>
          <w:marRight w:val="0"/>
          <w:marTop w:val="0"/>
          <w:marBottom w:val="120"/>
          <w:divBdr>
            <w:top w:val="none" w:sz="0" w:space="0" w:color="auto"/>
            <w:left w:val="none" w:sz="0" w:space="0" w:color="auto"/>
            <w:bottom w:val="none" w:sz="0" w:space="0" w:color="auto"/>
            <w:right w:val="none" w:sz="0" w:space="0" w:color="auto"/>
          </w:divBdr>
        </w:div>
        <w:div w:id="643240802">
          <w:marLeft w:val="0"/>
          <w:marRight w:val="0"/>
          <w:marTop w:val="0"/>
          <w:marBottom w:val="120"/>
          <w:divBdr>
            <w:top w:val="none" w:sz="0" w:space="0" w:color="auto"/>
            <w:left w:val="none" w:sz="0" w:space="0" w:color="auto"/>
            <w:bottom w:val="none" w:sz="0" w:space="0" w:color="auto"/>
            <w:right w:val="none" w:sz="0" w:space="0" w:color="auto"/>
          </w:divBdr>
        </w:div>
        <w:div w:id="455677952">
          <w:marLeft w:val="0"/>
          <w:marRight w:val="0"/>
          <w:marTop w:val="0"/>
          <w:marBottom w:val="120"/>
          <w:divBdr>
            <w:top w:val="none" w:sz="0" w:space="0" w:color="auto"/>
            <w:left w:val="none" w:sz="0" w:space="0" w:color="auto"/>
            <w:bottom w:val="none" w:sz="0" w:space="0" w:color="auto"/>
            <w:right w:val="none" w:sz="0" w:space="0" w:color="auto"/>
          </w:divBdr>
        </w:div>
        <w:div w:id="1465079957">
          <w:marLeft w:val="0"/>
          <w:marRight w:val="0"/>
          <w:marTop w:val="0"/>
          <w:marBottom w:val="120"/>
          <w:divBdr>
            <w:top w:val="none" w:sz="0" w:space="0" w:color="auto"/>
            <w:left w:val="none" w:sz="0" w:space="0" w:color="auto"/>
            <w:bottom w:val="none" w:sz="0" w:space="0" w:color="auto"/>
            <w:right w:val="none" w:sz="0" w:space="0" w:color="auto"/>
          </w:divBdr>
        </w:div>
        <w:div w:id="2041466414">
          <w:marLeft w:val="0"/>
          <w:marRight w:val="0"/>
          <w:marTop w:val="0"/>
          <w:marBottom w:val="120"/>
          <w:divBdr>
            <w:top w:val="none" w:sz="0" w:space="0" w:color="auto"/>
            <w:left w:val="none" w:sz="0" w:space="0" w:color="auto"/>
            <w:bottom w:val="none" w:sz="0" w:space="0" w:color="auto"/>
            <w:right w:val="none" w:sz="0" w:space="0" w:color="auto"/>
          </w:divBdr>
        </w:div>
        <w:div w:id="1756128036">
          <w:marLeft w:val="0"/>
          <w:marRight w:val="0"/>
          <w:marTop w:val="0"/>
          <w:marBottom w:val="120"/>
          <w:divBdr>
            <w:top w:val="none" w:sz="0" w:space="0" w:color="auto"/>
            <w:left w:val="none" w:sz="0" w:space="0" w:color="auto"/>
            <w:bottom w:val="none" w:sz="0" w:space="0" w:color="auto"/>
            <w:right w:val="none" w:sz="0" w:space="0" w:color="auto"/>
          </w:divBdr>
        </w:div>
        <w:div w:id="626393569">
          <w:marLeft w:val="0"/>
          <w:marRight w:val="0"/>
          <w:marTop w:val="0"/>
          <w:marBottom w:val="120"/>
          <w:divBdr>
            <w:top w:val="none" w:sz="0" w:space="0" w:color="auto"/>
            <w:left w:val="none" w:sz="0" w:space="0" w:color="auto"/>
            <w:bottom w:val="none" w:sz="0" w:space="0" w:color="auto"/>
            <w:right w:val="none" w:sz="0" w:space="0" w:color="auto"/>
          </w:divBdr>
          <w:divsChild>
            <w:div w:id="21451939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3094311">
      <w:bodyDiv w:val="1"/>
      <w:marLeft w:val="0"/>
      <w:marRight w:val="0"/>
      <w:marTop w:val="0"/>
      <w:marBottom w:val="0"/>
      <w:divBdr>
        <w:top w:val="none" w:sz="0" w:space="0" w:color="auto"/>
        <w:left w:val="none" w:sz="0" w:space="0" w:color="auto"/>
        <w:bottom w:val="none" w:sz="0" w:space="0" w:color="auto"/>
        <w:right w:val="none" w:sz="0" w:space="0" w:color="auto"/>
      </w:divBdr>
    </w:div>
    <w:div w:id="1024672492">
      <w:bodyDiv w:val="1"/>
      <w:marLeft w:val="0"/>
      <w:marRight w:val="0"/>
      <w:marTop w:val="0"/>
      <w:marBottom w:val="0"/>
      <w:divBdr>
        <w:top w:val="none" w:sz="0" w:space="0" w:color="auto"/>
        <w:left w:val="none" w:sz="0" w:space="0" w:color="auto"/>
        <w:bottom w:val="none" w:sz="0" w:space="0" w:color="auto"/>
        <w:right w:val="none" w:sz="0" w:space="0" w:color="auto"/>
      </w:divBdr>
    </w:div>
    <w:div w:id="1051003121">
      <w:bodyDiv w:val="1"/>
      <w:marLeft w:val="0"/>
      <w:marRight w:val="0"/>
      <w:marTop w:val="0"/>
      <w:marBottom w:val="0"/>
      <w:divBdr>
        <w:top w:val="none" w:sz="0" w:space="0" w:color="auto"/>
        <w:left w:val="none" w:sz="0" w:space="0" w:color="auto"/>
        <w:bottom w:val="none" w:sz="0" w:space="0" w:color="auto"/>
        <w:right w:val="none" w:sz="0" w:space="0" w:color="auto"/>
      </w:divBdr>
    </w:div>
    <w:div w:id="1080832169">
      <w:bodyDiv w:val="1"/>
      <w:marLeft w:val="0"/>
      <w:marRight w:val="0"/>
      <w:marTop w:val="0"/>
      <w:marBottom w:val="0"/>
      <w:divBdr>
        <w:top w:val="none" w:sz="0" w:space="0" w:color="auto"/>
        <w:left w:val="none" w:sz="0" w:space="0" w:color="auto"/>
        <w:bottom w:val="none" w:sz="0" w:space="0" w:color="auto"/>
        <w:right w:val="none" w:sz="0" w:space="0" w:color="auto"/>
      </w:divBdr>
    </w:div>
    <w:div w:id="1093014896">
      <w:bodyDiv w:val="1"/>
      <w:marLeft w:val="0"/>
      <w:marRight w:val="0"/>
      <w:marTop w:val="0"/>
      <w:marBottom w:val="0"/>
      <w:divBdr>
        <w:top w:val="none" w:sz="0" w:space="0" w:color="auto"/>
        <w:left w:val="none" w:sz="0" w:space="0" w:color="auto"/>
        <w:bottom w:val="none" w:sz="0" w:space="0" w:color="auto"/>
        <w:right w:val="none" w:sz="0" w:space="0" w:color="auto"/>
      </w:divBdr>
    </w:div>
    <w:div w:id="1094324229">
      <w:bodyDiv w:val="1"/>
      <w:marLeft w:val="0"/>
      <w:marRight w:val="0"/>
      <w:marTop w:val="0"/>
      <w:marBottom w:val="0"/>
      <w:divBdr>
        <w:top w:val="none" w:sz="0" w:space="0" w:color="auto"/>
        <w:left w:val="none" w:sz="0" w:space="0" w:color="auto"/>
        <w:bottom w:val="none" w:sz="0" w:space="0" w:color="auto"/>
        <w:right w:val="none" w:sz="0" w:space="0" w:color="auto"/>
      </w:divBdr>
    </w:div>
    <w:div w:id="1105730755">
      <w:bodyDiv w:val="1"/>
      <w:marLeft w:val="0"/>
      <w:marRight w:val="0"/>
      <w:marTop w:val="0"/>
      <w:marBottom w:val="0"/>
      <w:divBdr>
        <w:top w:val="none" w:sz="0" w:space="0" w:color="auto"/>
        <w:left w:val="none" w:sz="0" w:space="0" w:color="auto"/>
        <w:bottom w:val="none" w:sz="0" w:space="0" w:color="auto"/>
        <w:right w:val="none" w:sz="0" w:space="0" w:color="auto"/>
      </w:divBdr>
    </w:div>
    <w:div w:id="1132211357">
      <w:bodyDiv w:val="1"/>
      <w:marLeft w:val="0"/>
      <w:marRight w:val="0"/>
      <w:marTop w:val="0"/>
      <w:marBottom w:val="0"/>
      <w:divBdr>
        <w:top w:val="none" w:sz="0" w:space="0" w:color="auto"/>
        <w:left w:val="none" w:sz="0" w:space="0" w:color="auto"/>
        <w:bottom w:val="none" w:sz="0" w:space="0" w:color="auto"/>
        <w:right w:val="none" w:sz="0" w:space="0" w:color="auto"/>
      </w:divBdr>
    </w:div>
    <w:div w:id="1151867698">
      <w:bodyDiv w:val="1"/>
      <w:marLeft w:val="0"/>
      <w:marRight w:val="0"/>
      <w:marTop w:val="0"/>
      <w:marBottom w:val="0"/>
      <w:divBdr>
        <w:top w:val="none" w:sz="0" w:space="0" w:color="auto"/>
        <w:left w:val="none" w:sz="0" w:space="0" w:color="auto"/>
        <w:bottom w:val="none" w:sz="0" w:space="0" w:color="auto"/>
        <w:right w:val="none" w:sz="0" w:space="0" w:color="auto"/>
      </w:divBdr>
    </w:div>
    <w:div w:id="1218129796">
      <w:bodyDiv w:val="1"/>
      <w:marLeft w:val="0"/>
      <w:marRight w:val="0"/>
      <w:marTop w:val="0"/>
      <w:marBottom w:val="0"/>
      <w:divBdr>
        <w:top w:val="none" w:sz="0" w:space="0" w:color="auto"/>
        <w:left w:val="none" w:sz="0" w:space="0" w:color="auto"/>
        <w:bottom w:val="none" w:sz="0" w:space="0" w:color="auto"/>
        <w:right w:val="none" w:sz="0" w:space="0" w:color="auto"/>
      </w:divBdr>
    </w:div>
    <w:div w:id="1249264997">
      <w:bodyDiv w:val="1"/>
      <w:marLeft w:val="0"/>
      <w:marRight w:val="0"/>
      <w:marTop w:val="0"/>
      <w:marBottom w:val="0"/>
      <w:divBdr>
        <w:top w:val="none" w:sz="0" w:space="0" w:color="auto"/>
        <w:left w:val="none" w:sz="0" w:space="0" w:color="auto"/>
        <w:bottom w:val="none" w:sz="0" w:space="0" w:color="auto"/>
        <w:right w:val="none" w:sz="0" w:space="0" w:color="auto"/>
      </w:divBdr>
    </w:div>
    <w:div w:id="1276592478">
      <w:bodyDiv w:val="1"/>
      <w:marLeft w:val="0"/>
      <w:marRight w:val="0"/>
      <w:marTop w:val="0"/>
      <w:marBottom w:val="0"/>
      <w:divBdr>
        <w:top w:val="none" w:sz="0" w:space="0" w:color="auto"/>
        <w:left w:val="none" w:sz="0" w:space="0" w:color="auto"/>
        <w:bottom w:val="none" w:sz="0" w:space="0" w:color="auto"/>
        <w:right w:val="none" w:sz="0" w:space="0" w:color="auto"/>
      </w:divBdr>
    </w:div>
    <w:div w:id="1278216563">
      <w:bodyDiv w:val="1"/>
      <w:marLeft w:val="0"/>
      <w:marRight w:val="0"/>
      <w:marTop w:val="0"/>
      <w:marBottom w:val="0"/>
      <w:divBdr>
        <w:top w:val="none" w:sz="0" w:space="0" w:color="auto"/>
        <w:left w:val="none" w:sz="0" w:space="0" w:color="auto"/>
        <w:bottom w:val="none" w:sz="0" w:space="0" w:color="auto"/>
        <w:right w:val="none" w:sz="0" w:space="0" w:color="auto"/>
      </w:divBdr>
    </w:div>
    <w:div w:id="1403679661">
      <w:bodyDiv w:val="1"/>
      <w:marLeft w:val="0"/>
      <w:marRight w:val="0"/>
      <w:marTop w:val="0"/>
      <w:marBottom w:val="0"/>
      <w:divBdr>
        <w:top w:val="none" w:sz="0" w:space="0" w:color="auto"/>
        <w:left w:val="none" w:sz="0" w:space="0" w:color="auto"/>
        <w:bottom w:val="none" w:sz="0" w:space="0" w:color="auto"/>
        <w:right w:val="none" w:sz="0" w:space="0" w:color="auto"/>
      </w:divBdr>
    </w:div>
    <w:div w:id="1494951160">
      <w:bodyDiv w:val="1"/>
      <w:marLeft w:val="0"/>
      <w:marRight w:val="0"/>
      <w:marTop w:val="0"/>
      <w:marBottom w:val="0"/>
      <w:divBdr>
        <w:top w:val="none" w:sz="0" w:space="0" w:color="auto"/>
        <w:left w:val="none" w:sz="0" w:space="0" w:color="auto"/>
        <w:bottom w:val="none" w:sz="0" w:space="0" w:color="auto"/>
        <w:right w:val="none" w:sz="0" w:space="0" w:color="auto"/>
      </w:divBdr>
    </w:div>
    <w:div w:id="1539967733">
      <w:bodyDiv w:val="1"/>
      <w:marLeft w:val="0"/>
      <w:marRight w:val="0"/>
      <w:marTop w:val="0"/>
      <w:marBottom w:val="0"/>
      <w:divBdr>
        <w:top w:val="none" w:sz="0" w:space="0" w:color="auto"/>
        <w:left w:val="none" w:sz="0" w:space="0" w:color="auto"/>
        <w:bottom w:val="none" w:sz="0" w:space="0" w:color="auto"/>
        <w:right w:val="none" w:sz="0" w:space="0" w:color="auto"/>
      </w:divBdr>
      <w:divsChild>
        <w:div w:id="1750037291">
          <w:marLeft w:val="0"/>
          <w:marRight w:val="0"/>
          <w:marTop w:val="0"/>
          <w:marBottom w:val="0"/>
          <w:divBdr>
            <w:top w:val="none" w:sz="0" w:space="0" w:color="auto"/>
            <w:left w:val="none" w:sz="0" w:space="0" w:color="auto"/>
            <w:bottom w:val="none" w:sz="0" w:space="0" w:color="auto"/>
            <w:right w:val="none" w:sz="0" w:space="0" w:color="auto"/>
          </w:divBdr>
          <w:divsChild>
            <w:div w:id="5501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61536">
      <w:bodyDiv w:val="1"/>
      <w:marLeft w:val="0"/>
      <w:marRight w:val="0"/>
      <w:marTop w:val="0"/>
      <w:marBottom w:val="0"/>
      <w:divBdr>
        <w:top w:val="none" w:sz="0" w:space="0" w:color="auto"/>
        <w:left w:val="none" w:sz="0" w:space="0" w:color="auto"/>
        <w:bottom w:val="none" w:sz="0" w:space="0" w:color="auto"/>
        <w:right w:val="none" w:sz="0" w:space="0" w:color="auto"/>
      </w:divBdr>
    </w:div>
    <w:div w:id="1588418783">
      <w:bodyDiv w:val="1"/>
      <w:marLeft w:val="0"/>
      <w:marRight w:val="0"/>
      <w:marTop w:val="0"/>
      <w:marBottom w:val="0"/>
      <w:divBdr>
        <w:top w:val="none" w:sz="0" w:space="0" w:color="auto"/>
        <w:left w:val="none" w:sz="0" w:space="0" w:color="auto"/>
        <w:bottom w:val="none" w:sz="0" w:space="0" w:color="auto"/>
        <w:right w:val="none" w:sz="0" w:space="0" w:color="auto"/>
      </w:divBdr>
    </w:div>
    <w:div w:id="1589928118">
      <w:bodyDiv w:val="1"/>
      <w:marLeft w:val="0"/>
      <w:marRight w:val="0"/>
      <w:marTop w:val="0"/>
      <w:marBottom w:val="0"/>
      <w:divBdr>
        <w:top w:val="none" w:sz="0" w:space="0" w:color="auto"/>
        <w:left w:val="none" w:sz="0" w:space="0" w:color="auto"/>
        <w:bottom w:val="none" w:sz="0" w:space="0" w:color="auto"/>
        <w:right w:val="none" w:sz="0" w:space="0" w:color="auto"/>
      </w:divBdr>
    </w:div>
    <w:div w:id="1620183151">
      <w:bodyDiv w:val="1"/>
      <w:marLeft w:val="0"/>
      <w:marRight w:val="0"/>
      <w:marTop w:val="0"/>
      <w:marBottom w:val="0"/>
      <w:divBdr>
        <w:top w:val="none" w:sz="0" w:space="0" w:color="auto"/>
        <w:left w:val="none" w:sz="0" w:space="0" w:color="auto"/>
        <w:bottom w:val="none" w:sz="0" w:space="0" w:color="auto"/>
        <w:right w:val="none" w:sz="0" w:space="0" w:color="auto"/>
      </w:divBdr>
    </w:div>
    <w:div w:id="1683975915">
      <w:bodyDiv w:val="1"/>
      <w:marLeft w:val="0"/>
      <w:marRight w:val="0"/>
      <w:marTop w:val="0"/>
      <w:marBottom w:val="0"/>
      <w:divBdr>
        <w:top w:val="none" w:sz="0" w:space="0" w:color="auto"/>
        <w:left w:val="none" w:sz="0" w:space="0" w:color="auto"/>
        <w:bottom w:val="none" w:sz="0" w:space="0" w:color="auto"/>
        <w:right w:val="none" w:sz="0" w:space="0" w:color="auto"/>
      </w:divBdr>
    </w:div>
    <w:div w:id="1722439454">
      <w:bodyDiv w:val="1"/>
      <w:marLeft w:val="0"/>
      <w:marRight w:val="0"/>
      <w:marTop w:val="0"/>
      <w:marBottom w:val="0"/>
      <w:divBdr>
        <w:top w:val="none" w:sz="0" w:space="0" w:color="auto"/>
        <w:left w:val="none" w:sz="0" w:space="0" w:color="auto"/>
        <w:bottom w:val="none" w:sz="0" w:space="0" w:color="auto"/>
        <w:right w:val="none" w:sz="0" w:space="0" w:color="auto"/>
      </w:divBdr>
    </w:div>
    <w:div w:id="1762097089">
      <w:bodyDiv w:val="1"/>
      <w:marLeft w:val="0"/>
      <w:marRight w:val="0"/>
      <w:marTop w:val="0"/>
      <w:marBottom w:val="0"/>
      <w:divBdr>
        <w:top w:val="none" w:sz="0" w:space="0" w:color="auto"/>
        <w:left w:val="none" w:sz="0" w:space="0" w:color="auto"/>
        <w:bottom w:val="none" w:sz="0" w:space="0" w:color="auto"/>
        <w:right w:val="none" w:sz="0" w:space="0" w:color="auto"/>
      </w:divBdr>
      <w:divsChild>
        <w:div w:id="295375095">
          <w:marLeft w:val="0"/>
          <w:marRight w:val="0"/>
          <w:marTop w:val="0"/>
          <w:marBottom w:val="0"/>
          <w:divBdr>
            <w:top w:val="none" w:sz="0" w:space="0" w:color="auto"/>
            <w:left w:val="none" w:sz="0" w:space="0" w:color="auto"/>
            <w:bottom w:val="none" w:sz="0" w:space="0" w:color="auto"/>
            <w:right w:val="none" w:sz="0" w:space="0" w:color="auto"/>
          </w:divBdr>
          <w:divsChild>
            <w:div w:id="358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4432">
      <w:bodyDiv w:val="1"/>
      <w:marLeft w:val="0"/>
      <w:marRight w:val="0"/>
      <w:marTop w:val="0"/>
      <w:marBottom w:val="0"/>
      <w:divBdr>
        <w:top w:val="none" w:sz="0" w:space="0" w:color="auto"/>
        <w:left w:val="none" w:sz="0" w:space="0" w:color="auto"/>
        <w:bottom w:val="none" w:sz="0" w:space="0" w:color="auto"/>
        <w:right w:val="none" w:sz="0" w:space="0" w:color="auto"/>
      </w:divBdr>
    </w:div>
    <w:div w:id="1803113024">
      <w:bodyDiv w:val="1"/>
      <w:marLeft w:val="0"/>
      <w:marRight w:val="0"/>
      <w:marTop w:val="0"/>
      <w:marBottom w:val="0"/>
      <w:divBdr>
        <w:top w:val="none" w:sz="0" w:space="0" w:color="auto"/>
        <w:left w:val="none" w:sz="0" w:space="0" w:color="auto"/>
        <w:bottom w:val="none" w:sz="0" w:space="0" w:color="auto"/>
        <w:right w:val="none" w:sz="0" w:space="0" w:color="auto"/>
      </w:divBdr>
      <w:divsChild>
        <w:div w:id="1148322369">
          <w:marLeft w:val="0"/>
          <w:marRight w:val="0"/>
          <w:marTop w:val="0"/>
          <w:marBottom w:val="120"/>
          <w:divBdr>
            <w:top w:val="none" w:sz="0" w:space="0" w:color="auto"/>
            <w:left w:val="none" w:sz="0" w:space="0" w:color="auto"/>
            <w:bottom w:val="none" w:sz="0" w:space="0" w:color="auto"/>
            <w:right w:val="none" w:sz="0" w:space="0" w:color="auto"/>
          </w:divBdr>
        </w:div>
        <w:div w:id="2063164268">
          <w:marLeft w:val="0"/>
          <w:marRight w:val="0"/>
          <w:marTop w:val="0"/>
          <w:marBottom w:val="120"/>
          <w:divBdr>
            <w:top w:val="none" w:sz="0" w:space="0" w:color="auto"/>
            <w:left w:val="none" w:sz="0" w:space="0" w:color="auto"/>
            <w:bottom w:val="none" w:sz="0" w:space="0" w:color="auto"/>
            <w:right w:val="none" w:sz="0" w:space="0" w:color="auto"/>
          </w:divBdr>
        </w:div>
        <w:div w:id="1380782738">
          <w:marLeft w:val="0"/>
          <w:marRight w:val="0"/>
          <w:marTop w:val="0"/>
          <w:marBottom w:val="120"/>
          <w:divBdr>
            <w:top w:val="none" w:sz="0" w:space="0" w:color="auto"/>
            <w:left w:val="none" w:sz="0" w:space="0" w:color="auto"/>
            <w:bottom w:val="none" w:sz="0" w:space="0" w:color="auto"/>
            <w:right w:val="none" w:sz="0" w:space="0" w:color="auto"/>
          </w:divBdr>
        </w:div>
        <w:div w:id="1817144001">
          <w:marLeft w:val="0"/>
          <w:marRight w:val="0"/>
          <w:marTop w:val="0"/>
          <w:marBottom w:val="120"/>
          <w:divBdr>
            <w:top w:val="none" w:sz="0" w:space="0" w:color="auto"/>
            <w:left w:val="none" w:sz="0" w:space="0" w:color="auto"/>
            <w:bottom w:val="none" w:sz="0" w:space="0" w:color="auto"/>
            <w:right w:val="none" w:sz="0" w:space="0" w:color="auto"/>
          </w:divBdr>
        </w:div>
        <w:div w:id="113377546">
          <w:marLeft w:val="0"/>
          <w:marRight w:val="0"/>
          <w:marTop w:val="0"/>
          <w:marBottom w:val="120"/>
          <w:divBdr>
            <w:top w:val="none" w:sz="0" w:space="0" w:color="auto"/>
            <w:left w:val="none" w:sz="0" w:space="0" w:color="auto"/>
            <w:bottom w:val="none" w:sz="0" w:space="0" w:color="auto"/>
            <w:right w:val="none" w:sz="0" w:space="0" w:color="auto"/>
          </w:divBdr>
        </w:div>
        <w:div w:id="1453399959">
          <w:marLeft w:val="0"/>
          <w:marRight w:val="0"/>
          <w:marTop w:val="0"/>
          <w:marBottom w:val="120"/>
          <w:divBdr>
            <w:top w:val="none" w:sz="0" w:space="0" w:color="auto"/>
            <w:left w:val="none" w:sz="0" w:space="0" w:color="auto"/>
            <w:bottom w:val="none" w:sz="0" w:space="0" w:color="auto"/>
            <w:right w:val="none" w:sz="0" w:space="0" w:color="auto"/>
          </w:divBdr>
        </w:div>
        <w:div w:id="402531397">
          <w:marLeft w:val="0"/>
          <w:marRight w:val="0"/>
          <w:marTop w:val="0"/>
          <w:marBottom w:val="120"/>
          <w:divBdr>
            <w:top w:val="none" w:sz="0" w:space="0" w:color="auto"/>
            <w:left w:val="none" w:sz="0" w:space="0" w:color="auto"/>
            <w:bottom w:val="none" w:sz="0" w:space="0" w:color="auto"/>
            <w:right w:val="none" w:sz="0" w:space="0" w:color="auto"/>
          </w:divBdr>
          <w:divsChild>
            <w:div w:id="21441068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10244587">
      <w:bodyDiv w:val="1"/>
      <w:marLeft w:val="0"/>
      <w:marRight w:val="0"/>
      <w:marTop w:val="0"/>
      <w:marBottom w:val="0"/>
      <w:divBdr>
        <w:top w:val="none" w:sz="0" w:space="0" w:color="auto"/>
        <w:left w:val="none" w:sz="0" w:space="0" w:color="auto"/>
        <w:bottom w:val="none" w:sz="0" w:space="0" w:color="auto"/>
        <w:right w:val="none" w:sz="0" w:space="0" w:color="auto"/>
      </w:divBdr>
    </w:div>
    <w:div w:id="1851334258">
      <w:bodyDiv w:val="1"/>
      <w:marLeft w:val="0"/>
      <w:marRight w:val="0"/>
      <w:marTop w:val="0"/>
      <w:marBottom w:val="0"/>
      <w:divBdr>
        <w:top w:val="none" w:sz="0" w:space="0" w:color="auto"/>
        <w:left w:val="none" w:sz="0" w:space="0" w:color="auto"/>
        <w:bottom w:val="none" w:sz="0" w:space="0" w:color="auto"/>
        <w:right w:val="none" w:sz="0" w:space="0" w:color="auto"/>
      </w:divBdr>
    </w:div>
    <w:div w:id="1867133314">
      <w:bodyDiv w:val="1"/>
      <w:marLeft w:val="0"/>
      <w:marRight w:val="0"/>
      <w:marTop w:val="0"/>
      <w:marBottom w:val="0"/>
      <w:divBdr>
        <w:top w:val="none" w:sz="0" w:space="0" w:color="auto"/>
        <w:left w:val="none" w:sz="0" w:space="0" w:color="auto"/>
        <w:bottom w:val="none" w:sz="0" w:space="0" w:color="auto"/>
        <w:right w:val="none" w:sz="0" w:space="0" w:color="auto"/>
      </w:divBdr>
    </w:div>
    <w:div w:id="1889337360">
      <w:bodyDiv w:val="1"/>
      <w:marLeft w:val="0"/>
      <w:marRight w:val="0"/>
      <w:marTop w:val="0"/>
      <w:marBottom w:val="0"/>
      <w:divBdr>
        <w:top w:val="none" w:sz="0" w:space="0" w:color="auto"/>
        <w:left w:val="none" w:sz="0" w:space="0" w:color="auto"/>
        <w:bottom w:val="none" w:sz="0" w:space="0" w:color="auto"/>
        <w:right w:val="none" w:sz="0" w:space="0" w:color="auto"/>
      </w:divBdr>
    </w:div>
    <w:div w:id="1901165764">
      <w:bodyDiv w:val="1"/>
      <w:marLeft w:val="0"/>
      <w:marRight w:val="0"/>
      <w:marTop w:val="0"/>
      <w:marBottom w:val="0"/>
      <w:divBdr>
        <w:top w:val="none" w:sz="0" w:space="0" w:color="auto"/>
        <w:left w:val="none" w:sz="0" w:space="0" w:color="auto"/>
        <w:bottom w:val="none" w:sz="0" w:space="0" w:color="auto"/>
        <w:right w:val="none" w:sz="0" w:space="0" w:color="auto"/>
      </w:divBdr>
    </w:div>
    <w:div w:id="1908177662">
      <w:bodyDiv w:val="1"/>
      <w:marLeft w:val="0"/>
      <w:marRight w:val="0"/>
      <w:marTop w:val="0"/>
      <w:marBottom w:val="0"/>
      <w:divBdr>
        <w:top w:val="none" w:sz="0" w:space="0" w:color="auto"/>
        <w:left w:val="none" w:sz="0" w:space="0" w:color="auto"/>
        <w:bottom w:val="none" w:sz="0" w:space="0" w:color="auto"/>
        <w:right w:val="none" w:sz="0" w:space="0" w:color="auto"/>
      </w:divBdr>
    </w:div>
    <w:div w:id="1968706673">
      <w:bodyDiv w:val="1"/>
      <w:marLeft w:val="0"/>
      <w:marRight w:val="0"/>
      <w:marTop w:val="0"/>
      <w:marBottom w:val="0"/>
      <w:divBdr>
        <w:top w:val="none" w:sz="0" w:space="0" w:color="auto"/>
        <w:left w:val="none" w:sz="0" w:space="0" w:color="auto"/>
        <w:bottom w:val="none" w:sz="0" w:space="0" w:color="auto"/>
        <w:right w:val="none" w:sz="0" w:space="0" w:color="auto"/>
      </w:divBdr>
    </w:div>
    <w:div w:id="2013142993">
      <w:bodyDiv w:val="1"/>
      <w:marLeft w:val="0"/>
      <w:marRight w:val="0"/>
      <w:marTop w:val="0"/>
      <w:marBottom w:val="0"/>
      <w:divBdr>
        <w:top w:val="none" w:sz="0" w:space="0" w:color="auto"/>
        <w:left w:val="none" w:sz="0" w:space="0" w:color="auto"/>
        <w:bottom w:val="none" w:sz="0" w:space="0" w:color="auto"/>
        <w:right w:val="none" w:sz="0" w:space="0" w:color="auto"/>
      </w:divBdr>
    </w:div>
    <w:div w:id="2042126766">
      <w:bodyDiv w:val="1"/>
      <w:marLeft w:val="0"/>
      <w:marRight w:val="0"/>
      <w:marTop w:val="0"/>
      <w:marBottom w:val="0"/>
      <w:divBdr>
        <w:top w:val="none" w:sz="0" w:space="0" w:color="auto"/>
        <w:left w:val="none" w:sz="0" w:space="0" w:color="auto"/>
        <w:bottom w:val="none" w:sz="0" w:space="0" w:color="auto"/>
        <w:right w:val="none" w:sz="0" w:space="0" w:color="auto"/>
      </w:divBdr>
    </w:div>
    <w:div w:id="2068841509">
      <w:bodyDiv w:val="1"/>
      <w:marLeft w:val="0"/>
      <w:marRight w:val="0"/>
      <w:marTop w:val="0"/>
      <w:marBottom w:val="0"/>
      <w:divBdr>
        <w:top w:val="none" w:sz="0" w:space="0" w:color="auto"/>
        <w:left w:val="none" w:sz="0" w:space="0" w:color="auto"/>
        <w:bottom w:val="none" w:sz="0" w:space="0" w:color="auto"/>
        <w:right w:val="none" w:sz="0" w:space="0" w:color="auto"/>
      </w:divBdr>
    </w:div>
    <w:div w:id="2098749098">
      <w:bodyDiv w:val="1"/>
      <w:marLeft w:val="0"/>
      <w:marRight w:val="0"/>
      <w:marTop w:val="0"/>
      <w:marBottom w:val="0"/>
      <w:divBdr>
        <w:top w:val="none" w:sz="0" w:space="0" w:color="auto"/>
        <w:left w:val="none" w:sz="0" w:space="0" w:color="auto"/>
        <w:bottom w:val="none" w:sz="0" w:space="0" w:color="auto"/>
        <w:right w:val="none" w:sz="0" w:space="0" w:color="auto"/>
      </w:divBdr>
    </w:div>
    <w:div w:id="21423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a.wolterskluwer.it/normativa/10LX0000816296ART13?pathId=63bb9bbfec4bb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pa.wolterskluwer.it/normativa/10LX0000816296SOMM?pathId=63bb9bbfec4bb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nepa.wolterskluwer.it/normativa/10LX0000641115SOMM?pathId=63ce38882501f" TargetMode="External"/><Relationship Id="rId3" Type="http://schemas.openxmlformats.org/officeDocument/2006/relationships/hyperlink" Target="https://onepa.wolterskluwer.it/document/05AC00009911?pathId=63ce38882501f" TargetMode="External"/><Relationship Id="rId7" Type="http://schemas.openxmlformats.org/officeDocument/2006/relationships/hyperlink" Target="https://onepa.wolterskluwer.it/normativa/10LX0000641122SOMM?pathId=63ce38882501f" TargetMode="External"/><Relationship Id="rId2" Type="http://schemas.openxmlformats.org/officeDocument/2006/relationships/hyperlink" Target="https://onepa.wolterskluwer.it/normativa/10LX0000144010ART14?pathId=b3f876f19e7fb8" TargetMode="External"/><Relationship Id="rId1" Type="http://schemas.openxmlformats.org/officeDocument/2006/relationships/hyperlink" Target="https://onepa.wolterskluwer.it/normativa/10LX0000102277SOMM?pathId=b3f876f19e7fb8" TargetMode="External"/><Relationship Id="rId6" Type="http://schemas.openxmlformats.org/officeDocument/2006/relationships/hyperlink" Target="https://onepa.wolterskluwer.it/document/05AC00009902?pathId=63ce38882501f" TargetMode="External"/><Relationship Id="rId5" Type="http://schemas.openxmlformats.org/officeDocument/2006/relationships/hyperlink" Target="https://onepa.wolterskluwer.it/document/05AC00009909?pathId=63ce38882501f" TargetMode="External"/><Relationship Id="rId4" Type="http://schemas.openxmlformats.org/officeDocument/2006/relationships/hyperlink" Target="https://onepa.wolterskluwer.it/document/05AC00009900?pathId=63ce38882501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700A-2EEC-4861-830C-631D6BF7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10202</Words>
  <Characters>58157</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MEZZACAPO Salvatore</dc:creator>
  <cp:keywords/>
  <dc:description/>
  <cp:lastModifiedBy>COZZOLI Pamela</cp:lastModifiedBy>
  <cp:revision>3</cp:revision>
  <dcterms:created xsi:type="dcterms:W3CDTF">2026-05-18T09:04:00Z</dcterms:created>
  <dcterms:modified xsi:type="dcterms:W3CDTF">2026-05-25T16:14:00Z</dcterms:modified>
</cp:coreProperties>
</file>