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4378" w14:textId="3E05253E" w:rsidR="00A02E5A" w:rsidRPr="007E64F4" w:rsidRDefault="00A02E5A" w:rsidP="00A02E5A">
      <w:pPr>
        <w:spacing w:line="360" w:lineRule="auto"/>
        <w:ind w:firstLine="567"/>
        <w:jc w:val="center"/>
        <w:rPr>
          <w:rFonts w:ascii="Palatino Linotype" w:hAnsi="Palatino Linotype"/>
        </w:rPr>
      </w:pPr>
      <w:r w:rsidRPr="007E64F4">
        <w:rPr>
          <w:rFonts w:ascii="Palatino Linotype" w:hAnsi="Palatino Linotype"/>
        </w:rPr>
        <w:t>L</w:t>
      </w:r>
      <w:r w:rsidR="0014766F">
        <w:rPr>
          <w:rFonts w:ascii="Palatino Linotype" w:hAnsi="Palatino Linotype"/>
        </w:rPr>
        <w:t>o stato dell</w:t>
      </w:r>
      <w:r w:rsidRPr="007E64F4">
        <w:rPr>
          <w:rFonts w:ascii="Palatino Linotype" w:hAnsi="Palatino Linotype"/>
        </w:rPr>
        <w:t>e concessioni idroelettriche</w:t>
      </w:r>
      <w:r w:rsidR="0014766F">
        <w:rPr>
          <w:rFonts w:ascii="Palatino Linotype" w:hAnsi="Palatino Linotype"/>
        </w:rPr>
        <w:t xml:space="preserve"> *</w:t>
      </w:r>
    </w:p>
    <w:p w14:paraId="2D59527B" w14:textId="77777777" w:rsidR="00A02E5A" w:rsidRPr="007E64F4" w:rsidRDefault="00A02E5A" w:rsidP="00A02E5A">
      <w:pPr>
        <w:spacing w:line="360" w:lineRule="auto"/>
        <w:ind w:firstLine="567"/>
        <w:jc w:val="center"/>
        <w:rPr>
          <w:rFonts w:ascii="Palatino Linotype" w:hAnsi="Palatino Linotype"/>
        </w:rPr>
      </w:pPr>
    </w:p>
    <w:p w14:paraId="6F583B40" w14:textId="38102BA6"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 xml:space="preserve">Inquadramento </w:t>
      </w:r>
      <w:r w:rsidR="003B728F" w:rsidRPr="007E64F4">
        <w:rPr>
          <w:rFonts w:ascii="Palatino Linotype" w:hAnsi="Palatino Linotype"/>
          <w:b/>
          <w:bCs/>
          <w:i/>
          <w:iCs/>
        </w:rPr>
        <w:t>d</w:t>
      </w:r>
      <w:r w:rsidRPr="007E64F4">
        <w:rPr>
          <w:rFonts w:ascii="Palatino Linotype" w:hAnsi="Palatino Linotype"/>
          <w:b/>
          <w:bCs/>
          <w:i/>
          <w:iCs/>
        </w:rPr>
        <w:t>elle concessioni.</w:t>
      </w:r>
    </w:p>
    <w:p w14:paraId="022475F9" w14:textId="77777777" w:rsid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Vorrei iniziare con una banale provocazione ed il tentativo di dare una piccola scossa – ispirata a quella data dalla giurisprudenza ad un altro tema che è stato a lungo caldo e controverso, quello delle occupazioni senza titolo o espropriazioni illegittime – </w:t>
      </w:r>
      <w:r w:rsidR="003B728F" w:rsidRPr="007E64F4">
        <w:rPr>
          <w:rFonts w:ascii="Palatino Linotype" w:hAnsi="Palatino Linotype"/>
        </w:rPr>
        <w:t>dicendo</w:t>
      </w:r>
      <w:r w:rsidRPr="007E64F4">
        <w:rPr>
          <w:rFonts w:ascii="Palatino Linotype" w:hAnsi="Palatino Linotype"/>
        </w:rPr>
        <w:t xml:space="preserve"> che lo stato delle concessioni in Italia può essere qualificato o affrontato in termini di “privatizzazione invertita”, in quanto ci troviamo dinanzi a</w:t>
      </w:r>
      <w:r w:rsidR="00882829" w:rsidRPr="007E64F4">
        <w:rPr>
          <w:rFonts w:ascii="Palatino Linotype" w:hAnsi="Palatino Linotype"/>
        </w:rPr>
        <w:t>lla necessità di dare una risposta a</w:t>
      </w:r>
      <w:r w:rsidRPr="007E64F4">
        <w:rPr>
          <w:rFonts w:ascii="Palatino Linotype" w:hAnsi="Palatino Linotype"/>
        </w:rPr>
        <w:t xml:space="preserve">d una sorta di privatizzazione strisciante di </w:t>
      </w:r>
      <w:r w:rsidRPr="007E64F4">
        <w:rPr>
          <w:rFonts w:ascii="Palatino Linotype" w:hAnsi="Palatino Linotype"/>
          <w:i/>
          <w:iCs/>
        </w:rPr>
        <w:t>asset</w:t>
      </w:r>
      <w:r w:rsidR="003B728F" w:rsidRPr="007E64F4">
        <w:rPr>
          <w:rFonts w:ascii="Palatino Linotype" w:hAnsi="Palatino Linotype"/>
          <w:i/>
          <w:iCs/>
        </w:rPr>
        <w:t>s</w:t>
      </w:r>
      <w:r w:rsidRPr="007E64F4">
        <w:rPr>
          <w:rFonts w:ascii="Palatino Linotype" w:hAnsi="Palatino Linotype"/>
        </w:rPr>
        <w:t xml:space="preserve"> formalmente pubblici ma che da tempo son divenuti consolidate fonti di sostentamento (più che di investimento) di soggetti economici privati, dalla famiglia che gestisce il piccolo bagno in riviera, ai soggetti che sfruttano gli impianti di risalita per lo sci o le autostrade, fino all’azienda che produce energia elettrica e qui tocchiamo il tema assegnatomi, delle concessioni idroelettriche. </w:t>
      </w:r>
    </w:p>
    <w:p w14:paraId="26E5F91E" w14:textId="5E12611D"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Privatizzazione strisciante in cui è mancato soprattutto l’ambito regolatorio. Eh già, ci siamo tanto preoccupati di regolare i mercati privati (il ruolo dell’antitrust</w:t>
      </w:r>
      <w:r w:rsidR="003B728F" w:rsidRPr="007E64F4">
        <w:rPr>
          <w:rFonts w:ascii="Palatino Linotype" w:hAnsi="Palatino Linotype"/>
        </w:rPr>
        <w:t>, ad esempio</w:t>
      </w:r>
      <w:r w:rsidRPr="007E64F4">
        <w:rPr>
          <w:rFonts w:ascii="Palatino Linotype" w:hAnsi="Palatino Linotype"/>
        </w:rPr>
        <w:t xml:space="preserve"> è sotto gli occhi di tutti) e ci siamo a volte dimenticati di occuparci di quelli basati su beni pubblici (le comunicazioni son state poi forzatamente oggetto di attenzione per la forza con cui internet e telefonini si sono imposti).</w:t>
      </w:r>
    </w:p>
    <w:p w14:paraId="5F92B8E8" w14:textId="3DE281D5"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Lo stato delle concessioni idroelettriche appare una sorta di “non stato”, che per certi versi ricorda quello in cui versavano le tanto dibattute concessioni balneari non molti anni fa. Ma forse è ancora peggio, come dimostrano le conclusioni dell’avvocato generale rese sulla causa rimessa dalla Corte Cost</w:t>
      </w:r>
      <w:r w:rsidR="003B728F" w:rsidRPr="007E64F4">
        <w:rPr>
          <w:rFonts w:ascii="Palatino Linotype" w:hAnsi="Palatino Linotype"/>
        </w:rPr>
        <w:t>ituzionale nel 2024.</w:t>
      </w:r>
    </w:p>
    <w:p w14:paraId="1ACC814A" w14:textId="4AF8632F"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Abituati al linguaggio da social e ad un dibattito politico che segue il primo, inseguendo i temi caldi in perenne ricerca del consenso e con la conseguente enorme difficoltà – volente o nolente – </w:t>
      </w:r>
      <w:r w:rsidR="00882829" w:rsidRPr="007E64F4">
        <w:rPr>
          <w:rFonts w:ascii="Palatino Linotype" w:hAnsi="Palatino Linotype"/>
        </w:rPr>
        <w:t>nel</w:t>
      </w:r>
      <w:r w:rsidRPr="007E64F4">
        <w:rPr>
          <w:rFonts w:ascii="Palatino Linotype" w:hAnsi="Palatino Linotype"/>
        </w:rPr>
        <w:t xml:space="preserve"> risolvere problemi così profondi come quello in esame, si stenta ad inquadrare la situazione in atto (di strisciante mantenimento dello status quo) e le prospettive</w:t>
      </w:r>
      <w:r w:rsidR="00882829" w:rsidRPr="007E64F4">
        <w:rPr>
          <w:rFonts w:ascii="Palatino Linotype" w:hAnsi="Palatino Linotype"/>
        </w:rPr>
        <w:t>,</w:t>
      </w:r>
      <w:r w:rsidRPr="007E64F4">
        <w:rPr>
          <w:rFonts w:ascii="Palatino Linotype" w:hAnsi="Palatino Linotype"/>
        </w:rPr>
        <w:t xml:space="preserve"> attuali e future. </w:t>
      </w:r>
    </w:p>
    <w:p w14:paraId="3288A1AA"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Il tutto viene reso sempre più arduo anche a cagione di due fattori generali concorrenti (specie in materia ambientale), pur se intimamente legati fra loro: </w:t>
      </w:r>
    </w:p>
    <w:p w14:paraId="3EAECFEC" w14:textId="5F24B9B8"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lastRenderedPageBreak/>
        <w:t xml:space="preserve">- l’assenza di una pianificazione a lungo termine (quando le sentenze parlano di piani, che siano urbanistici ambientali portuali ecc., </w:t>
      </w:r>
      <w:r w:rsidR="007E64F4">
        <w:rPr>
          <w:rFonts w:ascii="Palatino Linotype" w:hAnsi="Palatino Linotype"/>
        </w:rPr>
        <w:t>vengono spesso criticate</w:t>
      </w:r>
      <w:r w:rsidRPr="007E64F4">
        <w:rPr>
          <w:rFonts w:ascii="Palatino Linotype" w:hAnsi="Palatino Linotype"/>
        </w:rPr>
        <w:t xml:space="preserve">, per non parlare delle prime pronunce su quel mostro a suo tempo sconosciuto di nome Vas); </w:t>
      </w:r>
    </w:p>
    <w:p w14:paraId="536B706B" w14:textId="618F541E"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la frammentazione delle competenze (sia normative che amministrative, sia regolatorie che gestorie), laddove sullo stesso tema intervengono</w:t>
      </w:r>
      <w:r w:rsidR="003B728F" w:rsidRPr="007E64F4">
        <w:rPr>
          <w:rFonts w:ascii="Palatino Linotype" w:hAnsi="Palatino Linotype"/>
        </w:rPr>
        <w:t xml:space="preserve"> (o possono intervenire)</w:t>
      </w:r>
      <w:r w:rsidRPr="007E64F4">
        <w:rPr>
          <w:rFonts w:ascii="Palatino Linotype" w:hAnsi="Palatino Linotype"/>
        </w:rPr>
        <w:t xml:space="preserve"> più enti e più discipline, dalla Ue al piccolo Comune.</w:t>
      </w:r>
    </w:p>
    <w:p w14:paraId="5BC490FC"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E la materia delle concessioni idroelettriche, poco nota al dibattito pubblico ma estremamente rilevante, si presta perfettamente all’analisi.</w:t>
      </w:r>
    </w:p>
    <w:p w14:paraId="1EFB04C4" w14:textId="00E6E62D" w:rsidR="00BD59FD" w:rsidRPr="007E64F4" w:rsidRDefault="003B728F" w:rsidP="00BD59FD">
      <w:pPr>
        <w:spacing w:line="360" w:lineRule="auto"/>
        <w:ind w:firstLine="567"/>
        <w:jc w:val="both"/>
        <w:rPr>
          <w:rFonts w:ascii="Palatino Linotype" w:hAnsi="Palatino Linotype"/>
        </w:rPr>
      </w:pPr>
      <w:r w:rsidRPr="007E64F4">
        <w:rPr>
          <w:rFonts w:ascii="Palatino Linotype" w:hAnsi="Palatino Linotype"/>
        </w:rPr>
        <w:t>Materia che ha assunto particolare r</w:t>
      </w:r>
      <w:r w:rsidR="00BD59FD" w:rsidRPr="007E64F4">
        <w:rPr>
          <w:rFonts w:ascii="Palatino Linotype" w:hAnsi="Palatino Linotype"/>
        </w:rPr>
        <w:t>ilevanza</w:t>
      </w:r>
      <w:r w:rsidRPr="007E64F4">
        <w:rPr>
          <w:rFonts w:ascii="Palatino Linotype" w:hAnsi="Palatino Linotype"/>
        </w:rPr>
        <w:t>,</w:t>
      </w:r>
      <w:r w:rsidR="00BD59FD" w:rsidRPr="007E64F4">
        <w:rPr>
          <w:rFonts w:ascii="Palatino Linotype" w:hAnsi="Palatino Linotype"/>
        </w:rPr>
        <w:t xml:space="preserve"> non solo perché l’energia è il tema del momento, causa guerre reiterate e conseguenti crisi di rifornimento, ma anche per il non limitato impatto quantitativo dell’energia prodotta</w:t>
      </w:r>
      <w:r w:rsidRPr="007E64F4">
        <w:rPr>
          <w:rFonts w:ascii="Palatino Linotype" w:hAnsi="Palatino Linotype"/>
        </w:rPr>
        <w:t>, tenuto conto che c</w:t>
      </w:r>
      <w:r w:rsidR="00BD59FD" w:rsidRPr="007E64F4">
        <w:rPr>
          <w:rFonts w:ascii="Palatino Linotype" w:hAnsi="Palatino Linotype"/>
        </w:rPr>
        <w:t>irca il 15 per cento di tutta l’energia elettrica prodotta in Italia dipende dall’acqua che muove le turbine delle centrali idroelettriche. Le aziende energetiche usano l’acqua per produrre energia in cambio di un canone (cioè soldi) pagato alla pubblica amministrazione, in particolare alle regioni.</w:t>
      </w:r>
    </w:p>
    <w:p w14:paraId="1EF2984A" w14:textId="77777777"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Le concessioni idroelettriche</w:t>
      </w:r>
    </w:p>
    <w:p w14:paraId="5BC9147D" w14:textId="70433415"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Per noi opera</w:t>
      </w:r>
      <w:r w:rsidR="003B728F" w:rsidRPr="007E64F4">
        <w:rPr>
          <w:rFonts w:ascii="Palatino Linotype" w:hAnsi="Palatino Linotype"/>
        </w:rPr>
        <w:t>tor</w:t>
      </w:r>
      <w:r w:rsidRPr="007E64F4">
        <w:rPr>
          <w:rFonts w:ascii="Palatino Linotype" w:hAnsi="Palatino Linotype"/>
        </w:rPr>
        <w:t>i del diritto, in Italia le concessioni idroelettriche sono atti amministrativi che permettono a soggetti pubblici o privati di utilizzare l'acqua pubblica per produrre energia.</w:t>
      </w:r>
    </w:p>
    <w:p w14:paraId="4C23F5CC" w14:textId="62F81306"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Poiché l</w:t>
      </w:r>
      <w:r w:rsidR="003B728F" w:rsidRPr="007E64F4">
        <w:rPr>
          <w:rFonts w:ascii="Palatino Linotype" w:hAnsi="Palatino Linotype"/>
        </w:rPr>
        <w:t>’</w:t>
      </w:r>
      <w:r w:rsidRPr="007E64F4">
        <w:rPr>
          <w:rFonts w:ascii="Palatino Linotype" w:hAnsi="Palatino Linotype"/>
        </w:rPr>
        <w:t>acqua è un bene demaniale, la sua gestione è regolata da norme rigorose che bilanciano lo sfruttamento energetico con la tutela ambientale e i benefici per il territorio</w:t>
      </w:r>
    </w:p>
    <w:p w14:paraId="1A996CA7"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Lo stato di incertezza che emerge appare giustificato da tanti elementi ed aggravato da una giurisprudenza che in definitiva fatica a mettere dei punti fermi.</w:t>
      </w:r>
    </w:p>
    <w:p w14:paraId="0AE9F878" w14:textId="77777777"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Inquadramento costituzionale.</w:t>
      </w:r>
    </w:p>
    <w:p w14:paraId="4CEDD71B" w14:textId="0D38D593"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La confusione appare anche un effetto del concorso di competenze costituzionali: la materia complessiva delle derivazioni per usi idroelettrici tocca trasversalmente competenze statali e competenze concorrenti statali e regionali. Si tratta di</w:t>
      </w:r>
      <w:r w:rsidR="001648E8" w:rsidRPr="007E64F4">
        <w:rPr>
          <w:rFonts w:ascii="Palatino Linotype" w:hAnsi="Palatino Linotype"/>
        </w:rPr>
        <w:t xml:space="preserve"> atti di</w:t>
      </w:r>
      <w:r w:rsidRPr="007E64F4">
        <w:rPr>
          <w:rFonts w:ascii="Palatino Linotype" w:hAnsi="Palatino Linotype"/>
        </w:rPr>
        <w:t xml:space="preserve"> concessione di utilizzo di un bene demaniale quale l'acqua (cfr. art. 822 cod. civ.; art. 144 decreto legislativo n. 152/2006), la cui titolarità è dello Stato.</w:t>
      </w:r>
    </w:p>
    <w:p w14:paraId="5B61F389"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lastRenderedPageBreak/>
        <w:t>Ai sensi dell'articolo 117, secondo comma, della Costituzione, allo Stato compete, in via esclusiva, la potestà legislativa per la "tutela dell'ambiente, dell'ecosistema" e l'art. 144 del decreto legislativo 152/2006 esplicitamente inquadra in questo contesto la disciplina degli usi delle acque.</w:t>
      </w:r>
    </w:p>
    <w:p w14:paraId="57C8A89C"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Appartiene invece alla potestà legislativa concorrente tra Stato e regioni, ai sensi dell'articolo 117, terzo comma Cost., la materia della "produzione, trasporto e distribuzione nazionale dell'energia". Quindi, banalmente, l’uno può dar sempre torto all’altro.</w:t>
      </w:r>
    </w:p>
    <w:p w14:paraId="5EFD4E8B" w14:textId="2B99BF00" w:rsidR="00171843" w:rsidRPr="007E64F4" w:rsidRDefault="00171843" w:rsidP="00BD59FD">
      <w:pPr>
        <w:spacing w:line="360" w:lineRule="auto"/>
        <w:ind w:firstLine="567"/>
        <w:jc w:val="both"/>
        <w:rPr>
          <w:rFonts w:ascii="Palatino Linotype" w:hAnsi="Palatino Linotype"/>
        </w:rPr>
      </w:pPr>
      <w:r w:rsidRPr="007E64F4">
        <w:rPr>
          <w:rFonts w:ascii="Palatino Linotype" w:hAnsi="Palatino Linotype"/>
        </w:rPr>
        <w:t>La regionalizzazione della materia ha portato</w:t>
      </w:r>
      <w:r w:rsidR="007E64F4">
        <w:rPr>
          <w:rFonts w:ascii="Palatino Linotype" w:hAnsi="Palatino Linotype"/>
        </w:rPr>
        <w:t xml:space="preserve"> poi</w:t>
      </w:r>
      <w:r w:rsidRPr="007E64F4">
        <w:rPr>
          <w:rFonts w:ascii="Palatino Linotype" w:hAnsi="Palatino Linotype"/>
        </w:rPr>
        <w:t xml:space="preserve"> a 21 diverse discipline di assegnazione delle concessioni idro (19 regioni </w:t>
      </w:r>
      <w:r w:rsidR="007E64F4">
        <w:rPr>
          <w:rFonts w:ascii="Palatino Linotype" w:hAnsi="Palatino Linotype"/>
        </w:rPr>
        <w:t>più</w:t>
      </w:r>
      <w:r w:rsidRPr="007E64F4">
        <w:rPr>
          <w:rFonts w:ascii="Palatino Linotype" w:hAnsi="Palatino Linotype"/>
        </w:rPr>
        <w:t xml:space="preserve"> 2 per le province autonome di Trento e Bolzano) e a diversi contenziosi che, di fatto, contribuiscono </w:t>
      </w:r>
      <w:r w:rsidR="00215DB7" w:rsidRPr="007E64F4">
        <w:rPr>
          <w:rFonts w:ascii="Palatino Linotype" w:hAnsi="Palatino Linotype"/>
        </w:rPr>
        <w:t>al blocco del</w:t>
      </w:r>
      <w:r w:rsidRPr="007E64F4">
        <w:rPr>
          <w:rFonts w:ascii="Palatino Linotype" w:hAnsi="Palatino Linotype"/>
        </w:rPr>
        <w:t>le assegnazioni de</w:t>
      </w:r>
      <w:r w:rsidR="00215DB7" w:rsidRPr="007E64F4">
        <w:rPr>
          <w:rFonts w:ascii="Palatino Linotype" w:hAnsi="Palatino Linotype"/>
        </w:rPr>
        <w:t>lle</w:t>
      </w:r>
      <w:r w:rsidRPr="007E64F4">
        <w:rPr>
          <w:rFonts w:ascii="Palatino Linotype" w:hAnsi="Palatino Linotype"/>
        </w:rPr>
        <w:t xml:space="preserve"> concessioni scadute</w:t>
      </w:r>
      <w:r w:rsidR="001C5C47" w:rsidRPr="007E64F4">
        <w:rPr>
          <w:rFonts w:ascii="Palatino Linotype" w:hAnsi="Palatino Linotype"/>
        </w:rPr>
        <w:t xml:space="preserve"> </w:t>
      </w:r>
      <w:r w:rsidR="001C5C47" w:rsidRPr="007E64F4">
        <w:rPr>
          <w:rStyle w:val="Rimandonotaapidipagina"/>
          <w:rFonts w:ascii="Palatino Linotype" w:hAnsi="Palatino Linotype"/>
        </w:rPr>
        <w:footnoteReference w:id="1"/>
      </w:r>
      <w:r w:rsidR="001C5C47" w:rsidRPr="007E64F4">
        <w:rPr>
          <w:rFonts w:ascii="Palatino Linotype" w:hAnsi="Palatino Linotype"/>
        </w:rPr>
        <w:t>.</w:t>
      </w:r>
    </w:p>
    <w:p w14:paraId="47F93A58" w14:textId="77777777"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Inquadramento europeo</w:t>
      </w:r>
    </w:p>
    <w:p w14:paraId="3F401B5C"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Per il diritto dell'UE, la gestione di centrali idroelettriche per la generazione di energia idroelettrica costituisce un servizio fornito dietro retribuzione ai sensi della direttiva sui servizi 2006/123/UE (cd. direttiva Bolkestein) e del Trattato sul funzionamento dell'UE (TFUE), articolo 49, sulla libertà di stabilimento e articolo 57, sulla definizione di servizi.</w:t>
      </w:r>
    </w:p>
    <w:p w14:paraId="196666A6"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Il servizio di gestione di centrali idroelettriche per la generazione di energia idroelettrica figura nel regolamento (CE) n. 213/2008 relativo al vocabolario comune per gli appalti pubblici (CPV), con il codice 65410000 (gestione di una centrale elettrica).</w:t>
      </w:r>
    </w:p>
    <w:p w14:paraId="087CBA10"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L'articolo 12 della direttiva servizi stabilisce, in particolare, che «</w:t>
      </w:r>
      <w:r w:rsidRPr="007E64F4">
        <w:rPr>
          <w:rFonts w:ascii="Palatino Linotype" w:hAnsi="Palatino Linotype"/>
          <w:i/>
          <w:iCs/>
        </w:rPr>
        <w:t xml:space="preserve">Qualora il numero di autorizzazioni disponibili per una determinata attività sia limitato per via della scarsità delle risorse naturali </w:t>
      </w:r>
      <w:r w:rsidRPr="007E64F4">
        <w:rPr>
          <w:rFonts w:ascii="Palatino Linotype" w:hAnsi="Palatino Linotype"/>
          <w:i/>
          <w:iCs/>
        </w:rPr>
        <w:lastRenderedPageBreak/>
        <w:t>o delle capacità tecniche utilizzabili, gli Stati membri applicano una procedura di selezione tra i candidati potenziali, con garanzie di imparzialità e di trasparenza e, in particolare, un'adeguata pubblicità circa l'avvio, svolgimento e completamento della procedura. L'autorizzazione deve essere rilasciata per una durata limitata adeguata e non può prevedere la procedura di rinnovo automatico né accordare altri vantaggi al prestatore uscente o a persone che con tale prestatore abbiano particolari legami</w:t>
      </w:r>
      <w:r w:rsidRPr="007E64F4">
        <w:rPr>
          <w:rFonts w:ascii="Palatino Linotype" w:hAnsi="Palatino Linotype"/>
        </w:rPr>
        <w:t>».</w:t>
      </w:r>
    </w:p>
    <w:p w14:paraId="33FA9D6D"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L'articolo 12 della direttiva servizi è stato recepito dall'articolo 16 del decreto legislativo n. 59/2010, che ricalca la normativa europea.</w:t>
      </w:r>
    </w:p>
    <w:p w14:paraId="30763F7B" w14:textId="426F9398"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Ma da alcun</w:t>
      </w:r>
      <w:r w:rsidR="007E64F4">
        <w:rPr>
          <w:rFonts w:ascii="Palatino Linotype" w:hAnsi="Palatino Linotype"/>
        </w:rPr>
        <w:t xml:space="preserve">i elementi anche sovranazionali </w:t>
      </w:r>
      <w:r w:rsidRPr="007E64F4">
        <w:rPr>
          <w:rFonts w:ascii="Palatino Linotype" w:hAnsi="Palatino Linotype"/>
        </w:rPr>
        <w:t>sembrerebbe potersi trarre la considerazione per cui il bene energia sia un prodotto e che quindi le piccole concessioni idroelettriche siano impianti di produzione di un bene (cfr. Corte cost. n. 161 del 2024).</w:t>
      </w:r>
    </w:p>
    <w:p w14:paraId="7226D54C" w14:textId="3EE30803" w:rsidR="00171843" w:rsidRPr="007E64F4" w:rsidRDefault="00171843" w:rsidP="00171843">
      <w:pPr>
        <w:spacing w:line="360" w:lineRule="auto"/>
        <w:ind w:firstLine="567"/>
        <w:jc w:val="both"/>
        <w:rPr>
          <w:rFonts w:ascii="Palatino Linotype" w:hAnsi="Palatino Linotype"/>
        </w:rPr>
      </w:pPr>
      <w:r w:rsidRPr="007E64F4">
        <w:rPr>
          <w:rFonts w:ascii="Palatino Linotype" w:hAnsi="Palatino Linotype"/>
        </w:rPr>
        <w:t>Resta a livello europeo il rischio di una sostanziale disparità di trattamento nella disciplina dell’affidamento delle concessioni idroelettriche. Pochi Paesi prevedono concessioni limitate nel tempo e procedure di rinnovo competitive, la maggior parte garantisce agli operatori nazionali rinnovi senza alcuna gara o, addirittura, concessioni illimitate.</w:t>
      </w:r>
    </w:p>
    <w:p w14:paraId="56D1CABB" w14:textId="77777777" w:rsidR="00171843" w:rsidRPr="007E64F4" w:rsidRDefault="00171843" w:rsidP="00171843">
      <w:pPr>
        <w:spacing w:line="360" w:lineRule="auto"/>
        <w:ind w:firstLine="567"/>
        <w:jc w:val="both"/>
        <w:rPr>
          <w:rFonts w:ascii="Palatino Linotype" w:hAnsi="Palatino Linotype"/>
        </w:rPr>
      </w:pPr>
      <w:r w:rsidRPr="007E64F4">
        <w:rPr>
          <w:rFonts w:ascii="Palatino Linotype" w:hAnsi="Palatino Linotype"/>
        </w:rPr>
        <w:t xml:space="preserve">La disciplina italiana, sin dall’adozione del </w:t>
      </w:r>
      <w:proofErr w:type="spellStart"/>
      <w:r w:rsidRPr="007E64F4">
        <w:rPr>
          <w:rFonts w:ascii="Palatino Linotype" w:hAnsi="Palatino Linotype"/>
        </w:rPr>
        <w:t>D.Lgs</w:t>
      </w:r>
      <w:proofErr w:type="spellEnd"/>
      <w:r w:rsidRPr="007E64F4">
        <w:rPr>
          <w:rFonts w:ascii="Palatino Linotype" w:hAnsi="Palatino Linotype"/>
        </w:rPr>
        <w:t xml:space="preserve"> 79/99 di liberalizzazione del settore elettrico, è quella maggiormente pro-concorrenziale, sia in termini di durata delle concessioni, sia in termini di modalità di affidamento.</w:t>
      </w:r>
    </w:p>
    <w:p w14:paraId="5122D68D" w14:textId="3064D262" w:rsidR="00171843" w:rsidRPr="007E64F4" w:rsidRDefault="00171843" w:rsidP="00171843">
      <w:pPr>
        <w:spacing w:line="360" w:lineRule="auto"/>
        <w:ind w:firstLine="567"/>
        <w:jc w:val="both"/>
        <w:rPr>
          <w:rFonts w:ascii="Palatino Linotype" w:hAnsi="Palatino Linotype"/>
        </w:rPr>
      </w:pPr>
      <w:r w:rsidRPr="007E64F4">
        <w:rPr>
          <w:rFonts w:ascii="Palatino Linotype" w:hAnsi="Palatino Linotype"/>
        </w:rPr>
        <w:t>Le concessioni idroelettriche non sono contendibili in Europa, in alcuni casi perché sono senza scadenza (</w:t>
      </w:r>
      <w:r w:rsidR="00EA041A" w:rsidRPr="007E64F4">
        <w:rPr>
          <w:rFonts w:ascii="Palatino Linotype" w:hAnsi="Palatino Linotype"/>
        </w:rPr>
        <w:t xml:space="preserve">ad </w:t>
      </w:r>
      <w:r w:rsidRPr="007E64F4">
        <w:rPr>
          <w:rFonts w:ascii="Palatino Linotype" w:hAnsi="Palatino Linotype"/>
        </w:rPr>
        <w:t>es</w:t>
      </w:r>
      <w:r w:rsidR="00EA041A" w:rsidRPr="007E64F4">
        <w:rPr>
          <w:rFonts w:ascii="Palatino Linotype" w:hAnsi="Palatino Linotype"/>
        </w:rPr>
        <w:t>empio in Inghilterra</w:t>
      </w:r>
      <w:r w:rsidRPr="007E64F4">
        <w:rPr>
          <w:rFonts w:ascii="Palatino Linotype" w:hAnsi="Palatino Linotype"/>
        </w:rPr>
        <w:t xml:space="preserve">, Svezia e Finlandia), in altri casi perché le amministrazioni e i giudici ritengono che i diritti scaduti possano essere rinnovati solamente ai concessionari uscenti (Germania, Austria, Bulgaria, Grecia), in altri casi in quanto gli </w:t>
      </w:r>
      <w:r w:rsidR="00EA041A" w:rsidRPr="007E64F4">
        <w:rPr>
          <w:rFonts w:ascii="Palatino Linotype" w:hAnsi="Palatino Linotype"/>
        </w:rPr>
        <w:t>S</w:t>
      </w:r>
      <w:r w:rsidRPr="007E64F4">
        <w:rPr>
          <w:rFonts w:ascii="Palatino Linotype" w:hAnsi="Palatino Linotype"/>
        </w:rPr>
        <w:t>tati hanno proceduto a proroghe (Francia e Portogallo)</w:t>
      </w:r>
      <w:r w:rsidR="00EA041A" w:rsidRPr="007E64F4">
        <w:rPr>
          <w:rFonts w:ascii="Palatino Linotype" w:hAnsi="Palatino Linotype"/>
        </w:rPr>
        <w:t>; resta quindi</w:t>
      </w:r>
      <w:r w:rsidRPr="007E64F4">
        <w:rPr>
          <w:rFonts w:ascii="Palatino Linotype" w:hAnsi="Palatino Linotype"/>
        </w:rPr>
        <w:t xml:space="preserve"> un problema </w:t>
      </w:r>
      <w:r w:rsidR="00EA041A" w:rsidRPr="007E64F4">
        <w:rPr>
          <w:rFonts w:ascii="Palatino Linotype" w:hAnsi="Palatino Linotype"/>
        </w:rPr>
        <w:t xml:space="preserve">di fondo </w:t>
      </w:r>
      <w:r w:rsidRPr="007E64F4">
        <w:rPr>
          <w:rFonts w:ascii="Palatino Linotype" w:hAnsi="Palatino Linotype"/>
        </w:rPr>
        <w:t>di disparità di trattamento</w:t>
      </w:r>
      <w:r w:rsidR="00EA041A" w:rsidRPr="007E64F4">
        <w:rPr>
          <w:rFonts w:ascii="Palatino Linotype" w:hAnsi="Palatino Linotype"/>
        </w:rPr>
        <w:t>.</w:t>
      </w:r>
    </w:p>
    <w:p w14:paraId="436E2634" w14:textId="77777777"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Disciplina italiana e rapporti tesi con il diritto unionale</w:t>
      </w:r>
    </w:p>
    <w:p w14:paraId="73BC6E88"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Sulla disciplina italiana relativa all'affidamento delle concessioni idroelettriche, contenuta, principalmente, nell'articolo 12 del decreto legislativo n. 79 del 16 marzo 1999 (cosiddetto "decreto Bersani"), la Commissione UE, per diversi anni, ha espresso i suoi rilievi, evidenziando problemi di compatibilità con l'articolo 12 della direttiva servizi e con il diritto alla libertà di stabilimento garantito dall'articolo 49 e 57 del TFUE.</w:t>
      </w:r>
    </w:p>
    <w:p w14:paraId="1EE948DA"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lastRenderedPageBreak/>
        <w:t>La normativa nazionale è stata pertanto, più volte, modificata. La procedura di infrazione UE 2011/2026 è stata chiusa il 23 settembre 2021. Il Ministro competente in materia ratione temporis, in risposta ad una interrogazione parlamentare presentata presso l'Assemblea della Camera dei deputati il 6 aprile 2022, ebbe modo di evidenziare come l'archiviazione sia scaturita dalla considerazione per cui le "</w:t>
      </w:r>
      <w:r w:rsidRPr="007E64F4">
        <w:rPr>
          <w:rFonts w:ascii="Palatino Linotype" w:hAnsi="Palatino Linotype"/>
          <w:i/>
          <w:iCs/>
        </w:rPr>
        <w:t>caratteristiche peculiari del settore in Italia non giustificavano il proseguimento di detta procedura</w:t>
      </w:r>
      <w:r w:rsidRPr="007E64F4">
        <w:rPr>
          <w:rFonts w:ascii="Palatino Linotype" w:hAnsi="Palatino Linotype"/>
        </w:rPr>
        <w:t>". Il Ministro ha anche osservato che l'opportunità di giungere alla definizione di una disciplina armonizzata a livello europeo riguardo all'assegnazione delle concessioni è oggetto di un dibattito molto complesso, non solo nel nostro Paese ma anche in Europa ed è particolarmente avvertito, dal momento che questa fonte di energia, oltre a essere rinnovabile, è anche un asset strategico almeno dei Paesi più grandi, con grandi sorgenti d'acqua. Il Ministro ha ricordato come in passato Paesi stranieri si siano tutelati con lo strumento del golden power, osservando, per reciprocità, l'utilizzabilità dello strumento in questione. Il D.L. n. 21/2022, è intervenuto su tale aspetto.</w:t>
      </w:r>
    </w:p>
    <w:p w14:paraId="769C86F8"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In sede di elaborazione del Piano nazionale di ripresa e resilienza, poi approvato il 13 luglio 2021, il Governo italiano ha indicato le misure da inserire nella legge annuale sulla concorrenza da adottare per ciascun anno del periodo 2021-2024, concordando con le Istituzioni UE, tra le riforme da includere, la revisione del quadro normativo sulle concessioni idroelettriche.</w:t>
      </w:r>
    </w:p>
    <w:p w14:paraId="6DF2C5A3"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La revisione del quadro normativo nazionale è stata operata dal legislatore con la legge sulla concorrenza 2021, legge n. 118/2022 (articolo 7).</w:t>
      </w:r>
    </w:p>
    <w:p w14:paraId="1594EDA3" w14:textId="5C5E8DEF"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Con il decreto-legge n. 21/2022, quasi contestualmente all'adozione della citata legge sulla concorrenza, la disciplina delle concessioni idroelettriche viene connessa a quella della "</w:t>
      </w:r>
      <w:r w:rsidRPr="007E64F4">
        <w:rPr>
          <w:rFonts w:ascii="Palatino Linotype" w:hAnsi="Palatino Linotype"/>
          <w:i/>
          <w:iCs/>
        </w:rPr>
        <w:t>golden power</w:t>
      </w:r>
      <w:r w:rsidRPr="007E64F4">
        <w:rPr>
          <w:rFonts w:ascii="Palatino Linotype" w:hAnsi="Palatino Linotype"/>
        </w:rPr>
        <w:t>". All'interno dei beni e i rapporti di rilevanza strategica per l'interesse nazionale, sono state fatte rientrare anche le concessioni, comunque affidate, incluse le concessioni di grande derivazione idroelettrica (quelle per produzione di forza motrice con potenza nominale annua &gt; 3000 kW).  Con tale decreto, si è messo a regime, a decorrere dal 1° gennaio 2023, l'obbligo di notifica anche degli acquisti, a qualsiasi titolo, di partecipazioni di controllo anche da parte di soggetti appartenenti all'Unione europea nei settori strategici energetici, tale da determinare l'insediamento stabile dell'acquirente</w:t>
      </w:r>
      <w:r w:rsidR="001C5C47" w:rsidRPr="007E64F4">
        <w:rPr>
          <w:rFonts w:ascii="Palatino Linotype" w:hAnsi="Palatino Linotype"/>
        </w:rPr>
        <w:t xml:space="preserve"> </w:t>
      </w:r>
      <w:r w:rsidR="001C5C47" w:rsidRPr="007E64F4">
        <w:rPr>
          <w:rStyle w:val="Rimandonotaapidipagina"/>
          <w:rFonts w:ascii="Palatino Linotype" w:hAnsi="Palatino Linotype"/>
        </w:rPr>
        <w:footnoteReference w:id="2"/>
      </w:r>
      <w:r w:rsidRPr="007E64F4">
        <w:rPr>
          <w:rFonts w:ascii="Palatino Linotype" w:hAnsi="Palatino Linotype"/>
        </w:rPr>
        <w:t>.</w:t>
      </w:r>
    </w:p>
    <w:p w14:paraId="0D6D3D97" w14:textId="2D0E91FA"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lastRenderedPageBreak/>
        <w:t>La Consulta</w:t>
      </w:r>
      <w:r w:rsidR="007E64F4" w:rsidRPr="007E64F4">
        <w:rPr>
          <w:rFonts w:ascii="Palatino Linotype" w:hAnsi="Palatino Linotype"/>
          <w:b/>
          <w:bCs/>
          <w:i/>
          <w:iCs/>
        </w:rPr>
        <w:t xml:space="preserve"> ha</w:t>
      </w:r>
      <w:r w:rsidRPr="007E64F4">
        <w:rPr>
          <w:rFonts w:ascii="Palatino Linotype" w:hAnsi="Palatino Linotype"/>
          <w:b/>
          <w:bCs/>
          <w:i/>
          <w:iCs/>
        </w:rPr>
        <w:t xml:space="preserve"> </w:t>
      </w:r>
      <w:r w:rsidR="007E64F4" w:rsidRPr="007E64F4">
        <w:rPr>
          <w:rFonts w:ascii="Palatino Linotype" w:hAnsi="Palatino Linotype"/>
          <w:b/>
          <w:bCs/>
          <w:i/>
          <w:iCs/>
        </w:rPr>
        <w:t>coinvolto</w:t>
      </w:r>
      <w:r w:rsidRPr="007E64F4">
        <w:rPr>
          <w:rFonts w:ascii="Palatino Linotype" w:hAnsi="Palatino Linotype"/>
          <w:b/>
          <w:bCs/>
          <w:i/>
          <w:iCs/>
        </w:rPr>
        <w:t xml:space="preserve"> la Corte di giustizia.</w:t>
      </w:r>
    </w:p>
    <w:p w14:paraId="32E08640"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In tale contesto anche la Consulta ha dato il suo contributo, rimettendo alla Corte di giustizia UE alcune questioni pregiudiziali in merito all’applicabilità della direttiva Bolkestein agli impianti di produzione di energia elettrica: “</w:t>
      </w:r>
      <w:r w:rsidRPr="007E64F4">
        <w:rPr>
          <w:rFonts w:ascii="Palatino Linotype" w:hAnsi="Palatino Linotype"/>
          <w:i/>
          <w:iCs/>
        </w:rPr>
        <w:t>Vanno rimesse alla Corte di giustizia dell'Unione europea le seguenti questioni pregiudiziali: a) se l'art. 12, par. 1 e 2, direttiva 2006/123/Ce debba essere interpretato nel senso della sua applicabilità anche a impianti che svolgono attività di mera produzione di energia elettrica, quali gli impianti di piccole derivazioni idroelettriche; b) in caso di risposta affermativa al primo quesito, se l'art. 12, par. 1 e 2, direttiva 2006/123/Ce debba essere interpretato nel senso che il riferimento al requisito della scarsità delle risorse osti a una disciplina di uno Stato membro che si avvalga, quale criterio generale e astratto per distinguere l'attitudine o meno degli impianti di derivazione a rendere scarsa la risorsa idroelettrica, della differenza fra grandi e piccoli impianti (che rispettivamente producono una forza motrice con potenza nominale media annua maggiore o, viceversa, pari o inferiore a 3000 kW); c) infine, in caso di risposta affermativa al primo e al secondo quesito, se l'art. 12, par. 2, direttiva 2006/123/Ce debba essere interpretato nel senso che esso osti a una disciplina di uno Stato membro che preveda una proroga della durata della concessione, motivata dall'esigenza di consentire al concessionario l'utilizzo integrale degli incentivi ottenuti per la produzione di energia da fonti rinnovabili, fermo restando il rispetto della durata massima (trent'anni) che sin dall'inizio può essere assegnata a una concessione per piccola derivazione idroelettrica</w:t>
      </w:r>
      <w:r w:rsidRPr="007E64F4">
        <w:rPr>
          <w:rFonts w:ascii="Palatino Linotype" w:hAnsi="Palatino Linotype"/>
        </w:rPr>
        <w:t>”.</w:t>
      </w:r>
    </w:p>
    <w:p w14:paraId="6A8B0829"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La Corte costituzionale ritiene incerta l'</w:t>
      </w:r>
      <w:proofErr w:type="spellStart"/>
      <w:r w:rsidRPr="007E64F4">
        <w:rPr>
          <w:rFonts w:ascii="Palatino Linotype" w:hAnsi="Palatino Linotype"/>
        </w:rPr>
        <w:t>ascrivibilità</w:t>
      </w:r>
      <w:proofErr w:type="spellEnd"/>
      <w:r w:rsidRPr="007E64F4">
        <w:rPr>
          <w:rFonts w:ascii="Palatino Linotype" w:hAnsi="Palatino Linotype"/>
        </w:rPr>
        <w:t xml:space="preserve"> alla nozione di vantaggio al prestatore uscente, di cui all'art. 12, par. 2, della direttiva 2006/123/CE, della proroga legale disposta dal nel caso di specie da un legislatore regionale (in specie art. 3 della </w:t>
      </w:r>
      <w:proofErr w:type="spellStart"/>
      <w:r w:rsidRPr="007E64F4">
        <w:rPr>
          <w:rFonts w:ascii="Palatino Linotype" w:hAnsi="Palatino Linotype"/>
        </w:rPr>
        <w:t>l.r</w:t>
      </w:r>
      <w:proofErr w:type="spellEnd"/>
      <w:r w:rsidRPr="007E64F4">
        <w:rPr>
          <w:rFonts w:ascii="Palatino Linotype" w:hAnsi="Palatino Linotype"/>
        </w:rPr>
        <w:t xml:space="preserve">. Emilia-Romagna 28 dicembre 2023 n. 17). Con riguardo alle disposizioni della “Direttiva servizi”, la stessa Corte di giustizia (cfr. sentenza 14 luglio 2016, in cause riunite C-458/14 e C-67/15, </w:t>
      </w:r>
      <w:proofErr w:type="spellStart"/>
      <w:r w:rsidRPr="007E64F4">
        <w:rPr>
          <w:rFonts w:ascii="Palatino Linotype" w:hAnsi="Palatino Linotype"/>
        </w:rPr>
        <w:t>Promoimpresa</w:t>
      </w:r>
      <w:proofErr w:type="spellEnd"/>
      <w:r w:rsidRPr="007E64F4">
        <w:rPr>
          <w:rFonts w:ascii="Palatino Linotype" w:hAnsi="Palatino Linotype"/>
        </w:rPr>
        <w:t xml:space="preserve">) la disposizione eurounitaria de qua osta a una disciplina nazionale che preveda “la proroga automatica delle autorizzazioni”, con ciò non consentendo di esperire una procedura selettiva trasparente ed imparziale. Rileva, peraltro, la Corte costituzionale nella decisione di rinvio richiamata che la proroga prevista dalla norma regionale impugnata dal Presidente del Consiglio dei Ministri, “per </w:t>
      </w:r>
      <w:r w:rsidRPr="007E64F4">
        <w:rPr>
          <w:rFonts w:ascii="Palatino Linotype" w:hAnsi="Palatino Linotype"/>
        </w:rPr>
        <w:lastRenderedPageBreak/>
        <w:t>un verso serve ad allineare la durata della concessione a quella necessaria a fruire integralmente degli incentivi statali ottenuti dal concessionario per la produzione di energia da fonti rinnovabili, il che sembra differenziare la condizione del concessionario rispetto a quella del prestatore uscente che consegue un immotivato vantaggio. Per un altro verso, la medesima proroga incontra il limite di non poter superare, sommata alla durata originariamente fissata per la concessione, il termine massimo (pari a trenta anni, n.d.r.) che sin dall'inizio poteva essere assegnato, in base alla legislazione statale, per una concessione di piccola derivazione idroelettrica”.</w:t>
      </w:r>
    </w:p>
    <w:p w14:paraId="72C4EE99" w14:textId="3601DB77" w:rsidR="00BD59FD" w:rsidRPr="007E64F4" w:rsidRDefault="00BD59FD" w:rsidP="00BD59FD">
      <w:pPr>
        <w:spacing w:line="360" w:lineRule="auto"/>
        <w:ind w:firstLine="567"/>
        <w:jc w:val="both"/>
        <w:rPr>
          <w:rFonts w:ascii="Palatino Linotype" w:hAnsi="Palatino Linotype"/>
          <w:i/>
          <w:iCs/>
        </w:rPr>
      </w:pPr>
      <w:r w:rsidRPr="007E64F4">
        <w:rPr>
          <w:rFonts w:ascii="Palatino Linotype" w:hAnsi="Palatino Linotype"/>
        </w:rPr>
        <w:t>Nella causa incardinata presso la Corte UE col numero 653 del 2024, nel dicembre 2025 risultano depositate le conclusioni avvocato generale: “</w:t>
      </w:r>
      <w:r w:rsidRPr="007E64F4">
        <w:rPr>
          <w:rFonts w:ascii="Palatino Linotype" w:hAnsi="Palatino Linotype"/>
          <w:i/>
          <w:iCs/>
        </w:rPr>
        <w:t>L’articolo 12, paragrafi 1 e 2, della direttiva 2006/123/CE direttiva servizi deve essere interpretato nel senso che: esso non si applica agli impianti che svolgono attività di mera produzione di energia elettrica, quali gli impianti di piccole derivazioni idroelettriche.</w:t>
      </w:r>
    </w:p>
    <w:p w14:paraId="08025E65"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i/>
          <w:iCs/>
        </w:rPr>
        <w:t>L’articolo 49 TFUE deve essere interpretato nel senso che: esso osta, in linea di principio, a una normativa di uno Stato membro in virtù della quale, senza che sia necessario avviare una procedura concorrenziale, le concessioni idriche per l’utilizzo nella produzione di energia mediante una piccola derivazione idroelettrica sono prorogate, al termine della loro durata, per il tempo necessario a consentire al concessionario di fruire degli incentivi per la produzione di energia elettrica; per contro, esso non osta a una normativa nazionale che presenti tali caratteristiche, nella misura in cui essa sia giustificata da motivi imperativi di interesse generale o consenta di istituire un regime specifico, né sproporzionato né discriminatorio, per le piccole derivazioni idroelettriche destinate all’autoconsumo dei loro titolari</w:t>
      </w:r>
      <w:r w:rsidRPr="007E64F4">
        <w:rPr>
          <w:rFonts w:ascii="Palatino Linotype" w:hAnsi="Palatino Linotype"/>
        </w:rPr>
        <w:t>»)</w:t>
      </w:r>
    </w:p>
    <w:p w14:paraId="5DEBF114" w14:textId="322E1C9C"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Ulteriori fonti di incertezza derivano dal riparto di giurisdizione</w:t>
      </w:r>
      <w:r w:rsidR="007E64F4" w:rsidRPr="007E64F4">
        <w:rPr>
          <w:rFonts w:ascii="Palatino Linotype" w:hAnsi="Palatino Linotype"/>
          <w:b/>
          <w:bCs/>
          <w:i/>
          <w:iCs/>
        </w:rPr>
        <w:t>.</w:t>
      </w:r>
    </w:p>
    <w:p w14:paraId="3F8C626F"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Peraltro le incertezze in materia trovano solide basi anche nel tradizionale campo del riparto di giurisdizione, in quanto in tema di acque pubbliche oltre all’ordinario riparto </w:t>
      </w:r>
      <w:proofErr w:type="spellStart"/>
      <w:r w:rsidRPr="007E64F4">
        <w:rPr>
          <w:rFonts w:ascii="Palatino Linotype" w:hAnsi="Palatino Linotype"/>
        </w:rPr>
        <w:t>g.o</w:t>
      </w:r>
      <w:proofErr w:type="spellEnd"/>
      <w:r w:rsidRPr="007E64F4">
        <w:rPr>
          <w:rFonts w:ascii="Palatino Linotype" w:hAnsi="Palatino Linotype"/>
        </w:rPr>
        <w:t xml:space="preserve">. </w:t>
      </w:r>
      <w:proofErr w:type="spellStart"/>
      <w:r w:rsidRPr="007E64F4">
        <w:rPr>
          <w:rFonts w:ascii="Palatino Linotype" w:hAnsi="Palatino Linotype"/>
        </w:rPr>
        <w:t>g.a</w:t>
      </w:r>
      <w:proofErr w:type="spellEnd"/>
      <w:r w:rsidRPr="007E64F4">
        <w:rPr>
          <w:rFonts w:ascii="Palatino Linotype" w:hAnsi="Palatino Linotype"/>
        </w:rPr>
        <w:t>. viene in rilievo anche la cognizione facente capo ai tribunali delle acque pubbliche.</w:t>
      </w:r>
    </w:p>
    <w:p w14:paraId="07A911D2"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A titolo esemplificativo dell’estensione delle pronunce e dei connessi rischi di incertezza possono richiamarsi alcuni pronunciamenti. </w:t>
      </w:r>
    </w:p>
    <w:p w14:paraId="7C1D626D"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Ad esempio la decisione (Cassazione civile sez. III, 5/02/2025, n. 2868) secondo cui rientrano nella competenza del Tribunale Regionale delle Acque Pubbliche le controversie il cui oggetto involge questioni sulla demanialità delle acque ovvero sulla legittimità, sul contenuto e sulla portata dell'atto con cui la P.A. ha concesso o negato ad un privato la facoltà di derivare ed utilizzare acque pubbliche, mentre sono attribuite al tribunale ordinario quelle che, pur presupponendo la </w:t>
      </w:r>
      <w:r w:rsidRPr="007E64F4">
        <w:rPr>
          <w:rFonts w:ascii="Palatino Linotype" w:hAnsi="Palatino Linotype"/>
        </w:rPr>
        <w:lastRenderedPageBreak/>
        <w:t>sussistenza di una concessione, non investono la legittimità e la portata della medesima, ma solo le modalità di attuazione e di esercizio dei diritti di uso delle acque, nonché gli obblighi che ne derivano</w:t>
      </w:r>
    </w:p>
    <w:p w14:paraId="0E55F832"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Di interesse al riguardo sono diverse decisioni di primo grado amministrativo, fra cui mi permetto di segnalare quella (T.A.R. Brescia sez. I, 14/11/2024, n. 916) che ha dichiarato inammissibile l'azione di accertamento della decadenza dalla titolarità di una concessione idroelettrica, ai sensi dell' articolo 55 </w:t>
      </w:r>
      <w:proofErr w:type="spellStart"/>
      <w:r w:rsidRPr="007E64F4">
        <w:rPr>
          <w:rFonts w:ascii="Palatino Linotype" w:hAnsi="Palatino Linotype"/>
        </w:rPr>
        <w:t>r.d.</w:t>
      </w:r>
      <w:proofErr w:type="spellEnd"/>
      <w:r w:rsidRPr="007E64F4">
        <w:rPr>
          <w:rFonts w:ascii="Palatino Linotype" w:hAnsi="Palatino Linotype"/>
        </w:rPr>
        <w:t xml:space="preserve"> n. 1775/1933 , poiché, riguardando una situazione di interesse legittimo, è esperibile solo in via residuale, laddove cioè tale forma di tutela risulti l'unica idonea a garantire in concreto una protezione adeguata e immediata della sfera giuridica dell'interessato</w:t>
      </w:r>
    </w:p>
    <w:p w14:paraId="131F4EBD"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Anche sulla competenza di recente la Suprema Corte (cfr. Cassazione civile sez. un., 11/02/2026, n. 2995 In tema di "canone binomio" e cessione gratuita di energia, il disposto dell’articolo 12, comma 1-quinquies, del d.lgs. n. 79 del 1999, introdotto dal </w:t>
      </w:r>
      <w:proofErr w:type="spellStart"/>
      <w:r w:rsidRPr="007E64F4">
        <w:rPr>
          <w:rFonts w:ascii="Palatino Linotype" w:hAnsi="Palatino Linotype"/>
        </w:rPr>
        <w:t>d.l.</w:t>
      </w:r>
      <w:proofErr w:type="spellEnd"/>
      <w:r w:rsidRPr="007E64F4">
        <w:rPr>
          <w:rFonts w:ascii="Palatino Linotype" w:hAnsi="Palatino Linotype"/>
        </w:rPr>
        <w:t xml:space="preserve"> n. 135 del </w:t>
      </w:r>
      <w:proofErr w:type="gramStart"/>
      <w:r w:rsidRPr="007E64F4">
        <w:rPr>
          <w:rFonts w:ascii="Palatino Linotype" w:hAnsi="Palatino Linotype"/>
        </w:rPr>
        <w:t>2018 ,</w:t>
      </w:r>
      <w:proofErr w:type="gramEnd"/>
      <w:r w:rsidRPr="007E64F4">
        <w:rPr>
          <w:rFonts w:ascii="Palatino Linotype" w:hAnsi="Palatino Linotype"/>
        </w:rPr>
        <w:t xml:space="preserve"> </w:t>
      </w:r>
      <w:proofErr w:type="spellStart"/>
      <w:r w:rsidRPr="007E64F4">
        <w:rPr>
          <w:rFonts w:ascii="Palatino Linotype" w:hAnsi="Palatino Linotype"/>
        </w:rPr>
        <w:t>conv</w:t>
      </w:r>
      <w:proofErr w:type="spellEnd"/>
      <w:r w:rsidRPr="007E64F4">
        <w:rPr>
          <w:rFonts w:ascii="Palatino Linotype" w:hAnsi="Palatino Linotype"/>
        </w:rPr>
        <w:t xml:space="preserve">. con </w:t>
      </w:r>
      <w:proofErr w:type="spellStart"/>
      <w:r w:rsidRPr="007E64F4">
        <w:rPr>
          <w:rFonts w:ascii="Palatino Linotype" w:hAnsi="Palatino Linotype"/>
        </w:rPr>
        <w:t>modif</w:t>
      </w:r>
      <w:proofErr w:type="spellEnd"/>
      <w:r w:rsidRPr="007E64F4">
        <w:rPr>
          <w:rFonts w:ascii="Palatino Linotype" w:hAnsi="Palatino Linotype"/>
        </w:rPr>
        <w:t>. dalla l. n. 12 del 2019, si applica a tutte le concessioni di grande derivazione ad uso idroelettrico, indipendentemente dal loro stato e dunque anche a quelle in corso di validità, non contenendo la norma alcuna distinzione e dovendo essa essere letta unitariamente alle altre disposizioni del citato articolo 12, che disciplinano anche concessioni prorogate o tuttora vigenti e, pertanto, le Regioni possono, con propria legge, determinare il canone di concessione secondo il criterio binomio e imporre ai concessionari l'obbligo di cessione gratuita di una quota dell'energia prodotta, anche per i rapporti concessori in corso, in attuazione del principio di onerosità e proporzionalità del corrispettivo dovuto per l'uso di un bene demaniale.</w:t>
      </w:r>
    </w:p>
    <w:p w14:paraId="331C6175" w14:textId="77777777"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Aspetti base della disciplina.</w:t>
      </w:r>
    </w:p>
    <w:p w14:paraId="62D39334" w14:textId="3ABD0754"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In questo stato di estrema confusione cerchiamo di mettere</w:t>
      </w:r>
      <w:r w:rsidR="007E64F4">
        <w:rPr>
          <w:rFonts w:ascii="Palatino Linotype" w:hAnsi="Palatino Linotype"/>
        </w:rPr>
        <w:t xml:space="preserve"> un minimo</w:t>
      </w:r>
      <w:r w:rsidRPr="007E64F4">
        <w:rPr>
          <w:rFonts w:ascii="Palatino Linotype" w:hAnsi="Palatino Linotype"/>
        </w:rPr>
        <w:t xml:space="preserve"> ordine</w:t>
      </w:r>
      <w:r w:rsidR="007E64F4">
        <w:rPr>
          <w:rFonts w:ascii="Palatino Linotype" w:hAnsi="Palatino Linotype"/>
        </w:rPr>
        <w:t>.</w:t>
      </w:r>
    </w:p>
    <w:p w14:paraId="69C31997"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Secondo i dati diffusi da Terna, l’operatore che si occupa della gestione delle reti per la trasmissione dell’energia elettrica, in Italia ci sono 4.935 tra piccole e grandi centrali idroelettriche. Le regioni che ne hanno di più sono Piemonte, Lombardia, Trentino-Alto Adige e Veneto. Nella sola Lombardia è concentrato quasi un terzo della potenza idroelettrica installata italiana.</w:t>
      </w:r>
    </w:p>
    <w:p w14:paraId="7CB99EAD"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Il settore venne regolamentato una prima volta nel 1933, una quarantina d’anni dopo la costruzione delle prime centrali. All’epoca lo Stato firmò concessioni di 60 anni, una durata lunga per dare la possibilità alle aziende di ammortizzare gli investimenti fatti per costruire centrali e dighe.</w:t>
      </w:r>
    </w:p>
    <w:p w14:paraId="78095778"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lastRenderedPageBreak/>
        <w:t xml:space="preserve">Il quadro normativo attuale distingue tra grandi e piccole derivazioni, con una gestione sempre più delegata alle Regioni </w:t>
      </w:r>
    </w:p>
    <w:p w14:paraId="196D83EB"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Le nuove concessioni hanno solitamente una durata compresa tra 20 e 40 anni. Questo termine può essere esteso fino a un massimo di ulteriori 10 anni in base alla complessità dei progetti e all'entità degli investimenti previsti </w:t>
      </w:r>
    </w:p>
    <w:p w14:paraId="196A8273"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Per partecipare alle procedure di assegnazione, le aziende devono dimostrare capacità tecnica (almeno 5 anni di gestione di impianti simili) e solidità finanziaria tramite referenze bancarie </w:t>
      </w:r>
    </w:p>
    <w:p w14:paraId="261B3279"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Chi ottiene la concessione deve garantire interventi di miglioramento energetico e risanamento ambientale delle strutture (obblighi di investimento)</w:t>
      </w:r>
    </w:p>
    <w:p w14:paraId="7C6C0460"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Molte grandi concessioni sono scadute o in scadenza, portando a frequenti proroghe temporanee che sollevano critiche (anche) per la mancanza di ritorni economici diretti ai territori montani.</w:t>
      </w:r>
    </w:p>
    <w:p w14:paraId="56F0CE76"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L'Unione Europea e diversi organismi nazionali premono per l'adozione di gare pubbliche per l'assegnazione delle concessioni, al fine di favorire la concorrenza e allinearsi agli obiettivi del PNRR, ma neppure questo grande moloch è riuscito a scalfire più di tanto la </w:t>
      </w:r>
      <w:proofErr w:type="spellStart"/>
      <w:r w:rsidRPr="007E64F4">
        <w:rPr>
          <w:rFonts w:ascii="Palatino Linotype" w:hAnsi="Palatino Linotype"/>
        </w:rPr>
        <w:t>situazioe</w:t>
      </w:r>
      <w:proofErr w:type="spellEnd"/>
      <w:r w:rsidRPr="007E64F4">
        <w:rPr>
          <w:rFonts w:ascii="Palatino Linotype" w:hAnsi="Palatino Linotype"/>
        </w:rPr>
        <w:t>…e questo la dice lunga…</w:t>
      </w:r>
    </w:p>
    <w:p w14:paraId="6F2D5ACF"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Alcune regioni (come la Lombardia o la Valle d'Aosta) stanno cercando di definire norme autonome per sbloccare l'impasse e trattenere una quota maggiore dei proventi energetici localmente prodotti.</w:t>
      </w:r>
    </w:p>
    <w:p w14:paraId="3A019E27"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Negli ultimi anni, la normativa si sta orientando verso un equilibrio tra produzione energetica e tutela ambientale. Le nuove concessioni devono garantire il rispetto dei Piani di gestione delle acque (ai sensi della Direttiva 2000/60/CE), la continuità fluviale e l’adozione di tecnologie per ridurre l’impatto sugli ecosistemi acquatici. Molte regioni hanno introdotto punteggi premianti per chi propone interventi di efficientamento, monitoraggio ambientale e rinaturalizzazione dei siti idroelettrici.</w:t>
      </w:r>
    </w:p>
    <w:p w14:paraId="6B1D07D2"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Il canone dovuto dalle aziende energetiche è formato da una componente fissa, calcolata sulla potenza della centrale, e da una componente variabile, in sostanza una percentuale sui ricavi dell’energia prodotta e venduta. In molte regioni le aziende devono anche fornire un po’ di energia </w:t>
      </w:r>
      <w:r w:rsidRPr="007E64F4">
        <w:rPr>
          <w:rFonts w:ascii="Palatino Linotype" w:hAnsi="Palatino Linotype"/>
        </w:rPr>
        <w:lastRenderedPageBreak/>
        <w:t>gratis, ma siccome non è facile calcolare e trasferirne una quota precisa, nella maggior parte dei casi questa fornitura viene monetizzata, cioè pagata come se fosse un canone aggiuntivo.</w:t>
      </w:r>
    </w:p>
    <w:p w14:paraId="53C1F255"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Peraltro, in materia si pongono anche diverse questioni in ordine al rapporto con le incentivazioni e con le altre fonti di energia cc.dd. pulite o rinnovabili.</w:t>
      </w:r>
    </w:p>
    <w:p w14:paraId="527A8836" w14:textId="3D29269B"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Anche in questo ambito occorre attendere la </w:t>
      </w:r>
      <w:proofErr w:type="spellStart"/>
      <w:r w:rsidRPr="007E64F4">
        <w:rPr>
          <w:rFonts w:ascii="Palatino Linotype" w:hAnsi="Palatino Linotype"/>
        </w:rPr>
        <w:t>C</w:t>
      </w:r>
      <w:r w:rsidR="007E64F4">
        <w:rPr>
          <w:rFonts w:ascii="Palatino Linotype" w:hAnsi="Palatino Linotype"/>
        </w:rPr>
        <w:t>.</w:t>
      </w:r>
      <w:r w:rsidRPr="007E64F4">
        <w:rPr>
          <w:rFonts w:ascii="Palatino Linotype" w:hAnsi="Palatino Linotype"/>
        </w:rPr>
        <w:t>g</w:t>
      </w:r>
      <w:r w:rsidR="007E64F4">
        <w:rPr>
          <w:rFonts w:ascii="Palatino Linotype" w:hAnsi="Palatino Linotype"/>
        </w:rPr>
        <w:t>.</w:t>
      </w:r>
      <w:r w:rsidRPr="007E64F4">
        <w:rPr>
          <w:rFonts w:ascii="Palatino Linotype" w:hAnsi="Palatino Linotype"/>
        </w:rPr>
        <w:t>e</w:t>
      </w:r>
      <w:proofErr w:type="spellEnd"/>
      <w:r w:rsidR="007E64F4">
        <w:rPr>
          <w:rFonts w:ascii="Palatino Linotype" w:hAnsi="Palatino Linotype"/>
        </w:rPr>
        <w:t>.</w:t>
      </w:r>
      <w:r w:rsidRPr="007E64F4">
        <w:rPr>
          <w:rFonts w:ascii="Palatino Linotype" w:hAnsi="Palatino Linotype"/>
        </w:rPr>
        <w:t>, che si pronuncerà sulla ordinanza 5 marzo 2026, n. 1733 della sezione II del Consiglio di Stato, sulla compatibilità del sistema a due vie e sulla disparità di trattamento rispetto ad altri settori a partire dall’eolico. La Corte UE invero si è già espressa a gennaio 2026 ma su di una disciplina previgente e il Consiglio di Stato ne ha quindi chiesto la verifica.</w:t>
      </w:r>
    </w:p>
    <w:p w14:paraId="41C85795" w14:textId="77777777"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 xml:space="preserve">Proroghe </w:t>
      </w:r>
    </w:p>
    <w:p w14:paraId="3DD4D269"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Un capitolo a parte meritano le tanto discusse proroghe. Dal 1933 e fino a oggi le concessioni idroelettriche sono state prorogate otto volte. La prima volta nel 1982 con la legge 529, la seconda nel 1991. Una delle proroghe più importanti è la terza: fu concessa nel 1999 con il “decreto Bersani” che da una parte liberalizzava il settore dell’energia e dall’altra prorogava fino al 2010 le concessioni idroelettriche scadute o in scadenza, e fino al 2029 quelle assegnate a Enel. La legge finanziaria del 2006 introdusse una nuova proroga decennale spostando la scadenza dal 2010 al 2020, a fronte di canoni aggiuntivi minimi. Altri rinvii furono approvati nel 2010, nel 2018 con il “decreto semplificazioni”, nel 2020 con il “decreto Covid” e infine nel 2022.</w:t>
      </w:r>
    </w:p>
    <w:p w14:paraId="2898D379"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Grazie a tutte queste proroghe in Italia la durata media delle concessioni è di circa 70 anni. Alcune hanno superato i cento anni. Il 17 per cento delle concessioni è scaduto nel 2023, l’1 per cento scadrà entro il 2028, il 68 per cento nel 2029 (sono per la maggior parte di Enel) e il 14 per cento negli anni successivi.</w:t>
      </w:r>
    </w:p>
    <w:p w14:paraId="09F58DD2"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Come visto, il periodo del Governo Draghi è stato quello più attivo nel tentativo di dare avvio alle gare.</w:t>
      </w:r>
    </w:p>
    <w:p w14:paraId="2C4E61FE" w14:textId="77777777" w:rsidR="00BD59FD" w:rsidRPr="007E64F4" w:rsidRDefault="00BD59FD" w:rsidP="00BD59FD">
      <w:pPr>
        <w:spacing w:line="360" w:lineRule="auto"/>
        <w:ind w:firstLine="567"/>
        <w:jc w:val="both"/>
        <w:rPr>
          <w:rFonts w:ascii="Palatino Linotype" w:hAnsi="Palatino Linotype"/>
          <w:b/>
          <w:bCs/>
          <w:i/>
          <w:iCs/>
        </w:rPr>
      </w:pPr>
      <w:r w:rsidRPr="007E64F4">
        <w:rPr>
          <w:rFonts w:ascii="Palatino Linotype" w:hAnsi="Palatino Linotype"/>
          <w:b/>
          <w:bCs/>
          <w:i/>
          <w:iCs/>
        </w:rPr>
        <w:t>Possibili soluzioni alternative</w:t>
      </w:r>
    </w:p>
    <w:p w14:paraId="561229A9" w14:textId="61FEA89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In questa situazione di stallo sono emerse alcune ipotesi ulteriori di soluzione dei problemi.</w:t>
      </w:r>
    </w:p>
    <w:p w14:paraId="11D510D0" w14:textId="6EBAEEC5"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Ad esempio</w:t>
      </w:r>
      <w:r w:rsidR="007E64F4">
        <w:rPr>
          <w:rFonts w:ascii="Palatino Linotype" w:hAnsi="Palatino Linotype"/>
        </w:rPr>
        <w:t>,</w:t>
      </w:r>
      <w:r w:rsidRPr="007E64F4">
        <w:rPr>
          <w:rFonts w:ascii="Palatino Linotype" w:hAnsi="Palatino Linotype"/>
        </w:rPr>
        <w:t xml:space="preserve"> la Francia si è accordata con la Commissione Europea per passare da un sistema di concessioni a un regime di autorizzazioni, evitando le gare. I concessionari uscenti, su tutti la società statale EDF, potranno così mantenere la gestione degli impianti a condizione che facciano </w:t>
      </w:r>
      <w:r w:rsidRPr="007E64F4">
        <w:rPr>
          <w:rFonts w:ascii="Palatino Linotype" w:hAnsi="Palatino Linotype"/>
        </w:rPr>
        <w:lastRenderedPageBreak/>
        <w:t>investimenti significativi per ammodernare le infrastrutture e aumentare la produzione di energia. Questo modello non esclude del tutto la concorrenza: l’accordo stabilisce che una parte della capacità idroelettrica, circa 6 GW, sarà resa disponibile attraverso aste. Questa parziale apertura al mercato pare abbia convinto la Commissione Europea.</w:t>
      </w:r>
    </w:p>
    <w:p w14:paraId="35F2BBED" w14:textId="7002FBB1"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In alternativa è stata ipotizzata – in specie da alcune regioni la c.d. “quarta via”, simile alla soluzione francese, che consiste in una trattativa tra le regioni e le aziende energetiche per riassegnare le concessioni senza una gara, a fronte di un aumento dei canoni e di un preciso piano di investimenti. </w:t>
      </w:r>
      <w:r w:rsidR="00BE5546" w:rsidRPr="007E64F4">
        <w:rPr>
          <w:rFonts w:ascii="Palatino Linotype" w:hAnsi="Palatino Linotype"/>
        </w:rPr>
        <w:t>Soluzione bocciata dalle strutture ministeriali, senza adeguate garanzie per la concorrenza del mercato.</w:t>
      </w:r>
    </w:p>
    <w:p w14:paraId="3C204E10" w14:textId="77777777" w:rsidR="00BD59FD" w:rsidRPr="0014766F" w:rsidRDefault="00BD59FD" w:rsidP="00BD59FD">
      <w:pPr>
        <w:spacing w:line="360" w:lineRule="auto"/>
        <w:ind w:firstLine="567"/>
        <w:jc w:val="both"/>
        <w:rPr>
          <w:rFonts w:ascii="Palatino Linotype" w:hAnsi="Palatino Linotype"/>
          <w:b/>
          <w:bCs/>
          <w:i/>
          <w:iCs/>
        </w:rPr>
      </w:pPr>
      <w:r w:rsidRPr="0014766F">
        <w:rPr>
          <w:rFonts w:ascii="Palatino Linotype" w:hAnsi="Palatino Linotype"/>
          <w:b/>
          <w:bCs/>
          <w:i/>
          <w:iCs/>
        </w:rPr>
        <w:t>Qualche considerazione di chiusura.</w:t>
      </w:r>
    </w:p>
    <w:p w14:paraId="2ADDF6EE" w14:textId="77777777" w:rsidR="00CE6D61"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Siamo partiti da quella che voleva essere una provocazione ma forse è una fotografia: una privatizzazione invertita. Perché appare – anche alla luce della soluzione francese – di possibile acquisizione</w:t>
      </w:r>
      <w:r w:rsidR="00BE5546" w:rsidRPr="007E64F4">
        <w:rPr>
          <w:rFonts w:ascii="Palatino Linotype" w:hAnsi="Palatino Linotype"/>
        </w:rPr>
        <w:t xml:space="preserve">, </w:t>
      </w:r>
      <w:r w:rsidRPr="007E64F4">
        <w:rPr>
          <w:rFonts w:ascii="Palatino Linotype" w:hAnsi="Palatino Linotype"/>
        </w:rPr>
        <w:t>de facto</w:t>
      </w:r>
      <w:r w:rsidR="00BE5546" w:rsidRPr="007E64F4">
        <w:rPr>
          <w:rFonts w:ascii="Palatino Linotype" w:hAnsi="Palatino Linotype"/>
        </w:rPr>
        <w:t xml:space="preserve">, </w:t>
      </w:r>
      <w:r w:rsidRPr="007E64F4">
        <w:rPr>
          <w:rFonts w:ascii="Palatino Linotype" w:hAnsi="Palatino Linotype"/>
        </w:rPr>
        <w:t xml:space="preserve">la titolarità di quanto oggetto di concessione, </w:t>
      </w:r>
      <w:r w:rsidR="00BE5546" w:rsidRPr="007E64F4">
        <w:rPr>
          <w:rFonts w:ascii="Palatino Linotype" w:hAnsi="Palatino Linotype"/>
        </w:rPr>
        <w:t>che sia a cagione della</w:t>
      </w:r>
      <w:r w:rsidRPr="007E64F4">
        <w:rPr>
          <w:rFonts w:ascii="Palatino Linotype" w:hAnsi="Palatino Linotype"/>
        </w:rPr>
        <w:t xml:space="preserve"> durata </w:t>
      </w:r>
      <w:r w:rsidR="00BE5546" w:rsidRPr="007E64F4">
        <w:rPr>
          <w:rFonts w:ascii="Palatino Linotype" w:hAnsi="Palatino Linotype"/>
        </w:rPr>
        <w:t>delle</w:t>
      </w:r>
      <w:r w:rsidRPr="007E64F4">
        <w:rPr>
          <w:rFonts w:ascii="Palatino Linotype" w:hAnsi="Palatino Linotype"/>
        </w:rPr>
        <w:t xml:space="preserve"> proroghe e </w:t>
      </w:r>
      <w:r w:rsidR="00BE5546" w:rsidRPr="007E64F4">
        <w:rPr>
          <w:rFonts w:ascii="Palatino Linotype" w:hAnsi="Palatino Linotype"/>
        </w:rPr>
        <w:t>dell’</w:t>
      </w:r>
      <w:r w:rsidRPr="007E64F4">
        <w:rPr>
          <w:rFonts w:ascii="Palatino Linotype" w:hAnsi="Palatino Linotype"/>
        </w:rPr>
        <w:t xml:space="preserve">assenza di gara competitiva. E intanto l’energia costa e gli impianti sono sempre più vecchi e da manutenere. E forse anche la strada segnata dalla Consulta qualche elemento in tale direzione lo offre. </w:t>
      </w:r>
    </w:p>
    <w:p w14:paraId="657F9900" w14:textId="626AEB90" w:rsidR="00BE5546"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Restiamo in attesa</w:t>
      </w:r>
      <w:r w:rsidR="00BE5546" w:rsidRPr="007E64F4">
        <w:rPr>
          <w:rFonts w:ascii="Palatino Linotype" w:hAnsi="Palatino Linotype"/>
        </w:rPr>
        <w:t xml:space="preserve"> delle risposte della </w:t>
      </w:r>
      <w:proofErr w:type="spellStart"/>
      <w:r w:rsidRPr="007E64F4">
        <w:rPr>
          <w:rFonts w:ascii="Palatino Linotype" w:hAnsi="Palatino Linotype"/>
        </w:rPr>
        <w:t>C</w:t>
      </w:r>
      <w:r w:rsidR="007E64F4">
        <w:rPr>
          <w:rFonts w:ascii="Palatino Linotype" w:hAnsi="Palatino Linotype"/>
        </w:rPr>
        <w:t>.</w:t>
      </w:r>
      <w:r w:rsidRPr="007E64F4">
        <w:rPr>
          <w:rFonts w:ascii="Palatino Linotype" w:hAnsi="Palatino Linotype"/>
        </w:rPr>
        <w:t>g</w:t>
      </w:r>
      <w:r w:rsidR="007E64F4">
        <w:rPr>
          <w:rFonts w:ascii="Palatino Linotype" w:hAnsi="Palatino Linotype"/>
        </w:rPr>
        <w:t>.</w:t>
      </w:r>
      <w:r w:rsidRPr="007E64F4">
        <w:rPr>
          <w:rFonts w:ascii="Palatino Linotype" w:hAnsi="Palatino Linotype"/>
        </w:rPr>
        <w:t>e</w:t>
      </w:r>
      <w:proofErr w:type="spellEnd"/>
      <w:r w:rsidR="007E64F4">
        <w:rPr>
          <w:rFonts w:ascii="Palatino Linotype" w:hAnsi="Palatino Linotype"/>
        </w:rPr>
        <w:t>.</w:t>
      </w:r>
      <w:r w:rsidR="00BE5546" w:rsidRPr="007E64F4">
        <w:rPr>
          <w:rFonts w:ascii="Palatino Linotype" w:hAnsi="Palatino Linotype"/>
        </w:rPr>
        <w:t>, anche se allo stato la stessa Corte ha aggiunto una ulteriore crepa nelle opportunità delle concessioni in esame, togliendo sostanzialmente di mezzo il diritto di prelazione ed il conseguente appeal per la maggio</w:t>
      </w:r>
      <w:r w:rsidR="00CE6D61" w:rsidRPr="007E64F4">
        <w:rPr>
          <w:rFonts w:ascii="Palatino Linotype" w:hAnsi="Palatino Linotype"/>
        </w:rPr>
        <w:t>r</w:t>
      </w:r>
      <w:r w:rsidR="00BE5546" w:rsidRPr="007E64F4">
        <w:rPr>
          <w:rFonts w:ascii="Palatino Linotype" w:hAnsi="Palatino Linotype"/>
        </w:rPr>
        <w:t xml:space="preserve"> parte dei project financing</w:t>
      </w:r>
      <w:r w:rsidRPr="007E64F4">
        <w:rPr>
          <w:rFonts w:ascii="Palatino Linotype" w:hAnsi="Palatino Linotype"/>
        </w:rPr>
        <w:t xml:space="preserve">. </w:t>
      </w:r>
    </w:p>
    <w:p w14:paraId="3E5F82EB" w14:textId="7203D2D4"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Quello che preme evidenziare – ma che dovrebbe valere per tutte le concessioni – è la necessità di garantire un forte nesso fra i titoli rilasciati e gli obblighi di investimento; ciò che manca</w:t>
      </w:r>
      <w:r w:rsidR="00BE5546" w:rsidRPr="007E64F4">
        <w:rPr>
          <w:rFonts w:ascii="Palatino Linotype" w:hAnsi="Palatino Linotype"/>
        </w:rPr>
        <w:t xml:space="preserve">, </w:t>
      </w:r>
      <w:r w:rsidR="00E214A2" w:rsidRPr="007E64F4">
        <w:rPr>
          <w:rFonts w:ascii="Palatino Linotype" w:hAnsi="Palatino Linotype"/>
        </w:rPr>
        <w:t>in generale in tema di concessioni</w:t>
      </w:r>
      <w:r w:rsidR="00BE5546" w:rsidRPr="007E64F4">
        <w:rPr>
          <w:rFonts w:ascii="Palatino Linotype" w:hAnsi="Palatino Linotype"/>
        </w:rPr>
        <w:t>,</w:t>
      </w:r>
      <w:r w:rsidRPr="007E64F4">
        <w:rPr>
          <w:rFonts w:ascii="Palatino Linotype" w:hAnsi="Palatino Linotype"/>
        </w:rPr>
        <w:t xml:space="preserve"> risulta essere </w:t>
      </w:r>
      <w:r w:rsidR="00BE5546" w:rsidRPr="007E64F4">
        <w:rPr>
          <w:rFonts w:ascii="Palatino Linotype" w:hAnsi="Palatino Linotype"/>
        </w:rPr>
        <w:t>la garanzia dell’</w:t>
      </w:r>
      <w:r w:rsidRPr="007E64F4">
        <w:rPr>
          <w:rFonts w:ascii="Palatino Linotype" w:hAnsi="Palatino Linotype"/>
        </w:rPr>
        <w:t>obbligo di investimento periodico, cui ricollegare il rischio di decadenza anticipata.</w:t>
      </w:r>
    </w:p>
    <w:p w14:paraId="712E59AB" w14:textId="77777777"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Ma la “colpa” dell’incertezza e dello stallo e delle conseguenti occasioni perse di chi è?</w:t>
      </w:r>
    </w:p>
    <w:p w14:paraId="1A32EF55" w14:textId="66650EB4" w:rsidR="00BD59FD" w:rsidRPr="007E64F4" w:rsidRDefault="00BD59FD" w:rsidP="00BD59FD">
      <w:pPr>
        <w:spacing w:line="360" w:lineRule="auto"/>
        <w:ind w:firstLine="567"/>
        <w:jc w:val="both"/>
        <w:rPr>
          <w:rFonts w:ascii="Palatino Linotype" w:hAnsi="Palatino Linotype"/>
        </w:rPr>
      </w:pPr>
      <w:proofErr w:type="gramStart"/>
      <w:r w:rsidRPr="007E64F4">
        <w:rPr>
          <w:rFonts w:ascii="Palatino Linotype" w:hAnsi="Palatino Linotype"/>
        </w:rPr>
        <w:t>E’</w:t>
      </w:r>
      <w:proofErr w:type="gramEnd"/>
      <w:r w:rsidRPr="007E64F4">
        <w:rPr>
          <w:rFonts w:ascii="Palatino Linotype" w:hAnsi="Palatino Linotype"/>
        </w:rPr>
        <w:t xml:space="preserve"> “colpa” dell’Europa? O piuttosto l’Unione</w:t>
      </w:r>
      <w:r w:rsidR="007E64F4">
        <w:rPr>
          <w:rFonts w:ascii="Palatino Linotype" w:hAnsi="Palatino Linotype"/>
        </w:rPr>
        <w:t xml:space="preserve"> europea</w:t>
      </w:r>
      <w:r w:rsidRPr="007E64F4">
        <w:rPr>
          <w:rFonts w:ascii="Palatino Linotype" w:hAnsi="Palatino Linotype"/>
        </w:rPr>
        <w:t xml:space="preserve"> è la nostra scusa per giustificare ritardi e inadempienze? In tema di espropri e occupazioni </w:t>
      </w:r>
      <w:r w:rsidRPr="007E64F4">
        <w:rPr>
          <w:rFonts w:ascii="Palatino Linotype" w:hAnsi="Palatino Linotype"/>
          <w:i/>
          <w:iCs/>
        </w:rPr>
        <w:t xml:space="preserve">sine </w:t>
      </w:r>
      <w:proofErr w:type="spellStart"/>
      <w:r w:rsidRPr="007E64F4">
        <w:rPr>
          <w:rFonts w:ascii="Palatino Linotype" w:hAnsi="Palatino Linotype"/>
          <w:i/>
          <w:iCs/>
        </w:rPr>
        <w:t>titulo</w:t>
      </w:r>
      <w:proofErr w:type="spellEnd"/>
      <w:r w:rsidRPr="007E64F4">
        <w:rPr>
          <w:rFonts w:ascii="Palatino Linotype" w:hAnsi="Palatino Linotype"/>
        </w:rPr>
        <w:t xml:space="preserve"> la giurisprudenza ha svolto un ruolo fondamentale (prima il </w:t>
      </w:r>
      <w:proofErr w:type="spellStart"/>
      <w:r w:rsidRPr="007E64F4">
        <w:rPr>
          <w:rFonts w:ascii="Palatino Linotype" w:hAnsi="Palatino Linotype"/>
        </w:rPr>
        <w:t>g.o</w:t>
      </w:r>
      <w:proofErr w:type="spellEnd"/>
      <w:r w:rsidRPr="007E64F4">
        <w:rPr>
          <w:rFonts w:ascii="Palatino Linotype" w:hAnsi="Palatino Linotype"/>
        </w:rPr>
        <w:t xml:space="preserve">. con la nota sentenza delle Sezioni unite del 1983 in tema di accessione invertita e tutto ciò che ne è seguito, poi la </w:t>
      </w:r>
      <w:proofErr w:type="spellStart"/>
      <w:r w:rsidRPr="007E64F4">
        <w:rPr>
          <w:rFonts w:ascii="Palatino Linotype" w:hAnsi="Palatino Linotype"/>
        </w:rPr>
        <w:t>g.a</w:t>
      </w:r>
      <w:proofErr w:type="spellEnd"/>
      <w:r w:rsidRPr="007E64F4">
        <w:rPr>
          <w:rFonts w:ascii="Palatino Linotype" w:hAnsi="Palatino Linotype"/>
        </w:rPr>
        <w:t xml:space="preserve">. che ha dato un fondamentale contributo nello scrivere il d.P.R. 327 del 2001, provvedendo poi a rimediare al vulnus formale con l’applicazione del nuovo </w:t>
      </w:r>
      <w:r w:rsidRPr="007E64F4">
        <w:rPr>
          <w:rFonts w:ascii="Palatino Linotype" w:hAnsi="Palatino Linotype"/>
        </w:rPr>
        <w:lastRenderedPageBreak/>
        <w:t xml:space="preserve">art. 42 bis del medesimo d.P.R.), può farlo anche qua? Sulle concessioni cc.dd. balneari lo ha fatto e lo sta facendo ancora; nel campo idroelettrico la situazione appare ben più indietro e sul punto non può tacersi che il livello di interessi e di somme in gioco </w:t>
      </w:r>
      <w:r w:rsidR="00E214A2" w:rsidRPr="007E64F4">
        <w:rPr>
          <w:rFonts w:ascii="Palatino Linotype" w:hAnsi="Palatino Linotype"/>
        </w:rPr>
        <w:t>sia</w:t>
      </w:r>
      <w:r w:rsidRPr="007E64F4">
        <w:rPr>
          <w:rFonts w:ascii="Palatino Linotype" w:hAnsi="Palatino Linotype"/>
        </w:rPr>
        <w:t xml:space="preserve"> indubitabilmente diverso (si ricorderà la scena finale del film sulla crisi finanziaria del 2007 2008 – “la grande scommessa” - con il finanziere Michel Burry che inizia a scommettere sull’acqua…).</w:t>
      </w:r>
    </w:p>
    <w:p w14:paraId="2F144D3F" w14:textId="7229EA5E"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 xml:space="preserve">Forse aveva ragione Buckminster Fuller (noto inventore e architetto americano, ideatore della cupola geodetica): “non c'è alcuna crisi energetica, </w:t>
      </w:r>
      <w:r w:rsidR="00CE6D61" w:rsidRPr="007E64F4">
        <w:rPr>
          <w:rFonts w:ascii="Palatino Linotype" w:hAnsi="Palatino Linotype"/>
        </w:rPr>
        <w:t xml:space="preserve">ma </w:t>
      </w:r>
      <w:r w:rsidRPr="007E64F4">
        <w:rPr>
          <w:rFonts w:ascii="Palatino Linotype" w:hAnsi="Palatino Linotype"/>
        </w:rPr>
        <w:t>solo una crisi di ignoranza”.</w:t>
      </w:r>
    </w:p>
    <w:p w14:paraId="38E43AA9" w14:textId="24C3F795" w:rsidR="00BD59FD" w:rsidRPr="007E64F4" w:rsidRDefault="00BD59FD" w:rsidP="00BD59FD">
      <w:pPr>
        <w:spacing w:line="360" w:lineRule="auto"/>
        <w:ind w:firstLine="567"/>
        <w:jc w:val="both"/>
        <w:rPr>
          <w:rFonts w:ascii="Palatino Linotype" w:hAnsi="Palatino Linotype"/>
        </w:rPr>
      </w:pPr>
      <w:r w:rsidRPr="007E64F4">
        <w:rPr>
          <w:rFonts w:ascii="Palatino Linotype" w:hAnsi="Palatino Linotype"/>
        </w:rPr>
        <w:t>Più prosaicamente per concludere mi rifaccio alla saggezza sarda: “</w:t>
      </w:r>
      <w:r w:rsidRPr="007E64F4">
        <w:rPr>
          <w:rFonts w:ascii="Palatino Linotype" w:hAnsi="Palatino Linotype"/>
          <w:i/>
          <w:iCs/>
        </w:rPr>
        <w:t xml:space="preserve">Abba </w:t>
      </w:r>
      <w:proofErr w:type="spellStart"/>
      <w:r w:rsidRPr="007E64F4">
        <w:rPr>
          <w:rFonts w:ascii="Palatino Linotype" w:hAnsi="Palatino Linotype"/>
          <w:i/>
          <w:iCs/>
        </w:rPr>
        <w:t>colada</w:t>
      </w:r>
      <w:proofErr w:type="spellEnd"/>
      <w:r w:rsidRPr="007E64F4">
        <w:rPr>
          <w:rFonts w:ascii="Palatino Linotype" w:hAnsi="Palatino Linotype"/>
          <w:i/>
          <w:iCs/>
        </w:rPr>
        <w:t xml:space="preserve"> non </w:t>
      </w:r>
      <w:proofErr w:type="spellStart"/>
      <w:r w:rsidRPr="007E64F4">
        <w:rPr>
          <w:rFonts w:ascii="Palatino Linotype" w:hAnsi="Palatino Linotype"/>
          <w:i/>
          <w:iCs/>
        </w:rPr>
        <w:t>tirat</w:t>
      </w:r>
      <w:proofErr w:type="spellEnd"/>
      <w:r w:rsidRPr="007E64F4">
        <w:rPr>
          <w:rFonts w:ascii="Palatino Linotype" w:hAnsi="Palatino Linotype"/>
          <w:i/>
          <w:iCs/>
        </w:rPr>
        <w:t xml:space="preserve"> </w:t>
      </w:r>
      <w:proofErr w:type="spellStart"/>
      <w:r w:rsidRPr="007E64F4">
        <w:rPr>
          <w:rFonts w:ascii="Palatino Linotype" w:hAnsi="Palatino Linotype"/>
          <w:i/>
          <w:iCs/>
        </w:rPr>
        <w:t>molinu</w:t>
      </w:r>
      <w:proofErr w:type="spellEnd"/>
      <w:r w:rsidRPr="007E64F4">
        <w:rPr>
          <w:rFonts w:ascii="Palatino Linotype" w:hAnsi="Palatino Linotype"/>
        </w:rPr>
        <w:t>" (l’acqua passata non fa girare il mulino).</w:t>
      </w:r>
    </w:p>
    <w:p w14:paraId="0F2C43DA" w14:textId="77777777" w:rsidR="00BE5546" w:rsidRPr="007E64F4" w:rsidRDefault="00BE5546" w:rsidP="00BD59FD">
      <w:pPr>
        <w:spacing w:line="360" w:lineRule="auto"/>
        <w:ind w:firstLine="567"/>
        <w:jc w:val="both"/>
        <w:rPr>
          <w:rFonts w:ascii="Palatino Linotype" w:hAnsi="Palatino Linotype"/>
        </w:rPr>
      </w:pPr>
    </w:p>
    <w:p w14:paraId="0100022D" w14:textId="77777777" w:rsidR="00BE5546" w:rsidRPr="007E64F4" w:rsidRDefault="00BD59FD" w:rsidP="00BE5546">
      <w:pPr>
        <w:spacing w:line="360" w:lineRule="auto"/>
        <w:ind w:left="4956" w:firstLine="567"/>
        <w:jc w:val="both"/>
        <w:rPr>
          <w:rFonts w:ascii="Palatino Linotype" w:hAnsi="Palatino Linotype"/>
        </w:rPr>
      </w:pPr>
      <w:r w:rsidRPr="007E64F4">
        <w:rPr>
          <w:rFonts w:ascii="Palatino Linotype" w:hAnsi="Palatino Linotype"/>
        </w:rPr>
        <w:t>Davide Ponte</w:t>
      </w:r>
    </w:p>
    <w:p w14:paraId="118BFF25" w14:textId="60081AD7" w:rsidR="00BD59FD" w:rsidRPr="007E64F4" w:rsidRDefault="00BE5546" w:rsidP="00BE5546">
      <w:pPr>
        <w:spacing w:line="360" w:lineRule="auto"/>
        <w:ind w:left="4248" w:firstLine="708"/>
        <w:jc w:val="both"/>
        <w:rPr>
          <w:rFonts w:ascii="Palatino Linotype" w:hAnsi="Palatino Linotype"/>
        </w:rPr>
      </w:pPr>
      <w:r w:rsidRPr="007E64F4">
        <w:rPr>
          <w:rFonts w:ascii="Palatino Linotype" w:hAnsi="Palatino Linotype"/>
        </w:rPr>
        <w:t xml:space="preserve">    </w:t>
      </w:r>
      <w:r w:rsidR="00BD59FD" w:rsidRPr="007E64F4">
        <w:rPr>
          <w:rFonts w:ascii="Palatino Linotype" w:hAnsi="Palatino Linotype"/>
        </w:rPr>
        <w:t xml:space="preserve"> Consigliere di Stato</w:t>
      </w:r>
    </w:p>
    <w:p w14:paraId="4BA63D7E" w14:textId="77777777" w:rsidR="0014766F" w:rsidRDefault="0014766F" w:rsidP="0014766F">
      <w:pPr>
        <w:pStyle w:val="Paragrafoelenco"/>
        <w:spacing w:line="360" w:lineRule="auto"/>
        <w:ind w:left="927"/>
      </w:pPr>
    </w:p>
    <w:p w14:paraId="745DDB04" w14:textId="1A806B6F" w:rsidR="00392B28" w:rsidRDefault="0014766F" w:rsidP="0014766F">
      <w:pPr>
        <w:pStyle w:val="Paragrafoelenco"/>
        <w:spacing w:line="360" w:lineRule="auto"/>
        <w:ind w:left="927"/>
      </w:pPr>
      <w:r>
        <w:t>* relazione al convegno “I regimi concessori fra Stato e mercato”, tenutosi a Genova nei giorni 15 e 16 maggio 2026</w:t>
      </w:r>
    </w:p>
    <w:p w14:paraId="4E24B7FA" w14:textId="77777777" w:rsidR="00417F40" w:rsidRDefault="00417F40" w:rsidP="0014766F">
      <w:pPr>
        <w:pStyle w:val="Paragrafoelenco"/>
        <w:spacing w:line="360" w:lineRule="auto"/>
        <w:ind w:left="927"/>
      </w:pPr>
    </w:p>
    <w:p w14:paraId="75CE2673" w14:textId="77777777" w:rsidR="00417F40" w:rsidRDefault="00417F40" w:rsidP="0014766F">
      <w:pPr>
        <w:pStyle w:val="Paragrafoelenco"/>
        <w:spacing w:line="360" w:lineRule="auto"/>
        <w:ind w:left="927"/>
      </w:pPr>
    </w:p>
    <w:p w14:paraId="7958DC47" w14:textId="77777777" w:rsidR="00417F40" w:rsidRDefault="00417F40" w:rsidP="0014766F">
      <w:pPr>
        <w:pStyle w:val="Paragrafoelenco"/>
        <w:spacing w:line="360" w:lineRule="auto"/>
        <w:ind w:left="927"/>
      </w:pPr>
    </w:p>
    <w:p w14:paraId="785D3BAA" w14:textId="77777777" w:rsidR="00417F40" w:rsidRDefault="00417F40" w:rsidP="0014766F">
      <w:pPr>
        <w:pStyle w:val="Paragrafoelenco"/>
        <w:spacing w:line="360" w:lineRule="auto"/>
        <w:ind w:left="927"/>
      </w:pPr>
    </w:p>
    <w:p w14:paraId="0A5C8640" w14:textId="77777777" w:rsidR="00417F40" w:rsidRDefault="00417F40" w:rsidP="0014766F">
      <w:pPr>
        <w:pStyle w:val="Paragrafoelenco"/>
        <w:spacing w:line="360" w:lineRule="auto"/>
        <w:ind w:left="927"/>
      </w:pPr>
    </w:p>
    <w:p w14:paraId="366A049F" w14:textId="77777777" w:rsidR="00417F40" w:rsidRPr="00417F40" w:rsidRDefault="00417F40" w:rsidP="00417F40">
      <w:pPr>
        <w:pStyle w:val="Paragrafoelenco"/>
        <w:spacing w:line="360" w:lineRule="auto"/>
        <w:ind w:left="927"/>
        <w:jc w:val="both"/>
        <w:rPr>
          <w:i/>
          <w:iCs/>
        </w:rPr>
      </w:pPr>
      <w:r w:rsidRPr="00417F40">
        <w:rPr>
          <w:i/>
          <w:iCs/>
        </w:rPr>
        <w:t>Davide Ponte, Consigliere di Stato</w:t>
      </w:r>
    </w:p>
    <w:p w14:paraId="1C4008F4" w14:textId="77777777" w:rsidR="00417F40" w:rsidRPr="00417F40" w:rsidRDefault="00417F40" w:rsidP="00417F40">
      <w:pPr>
        <w:pStyle w:val="Paragrafoelenco"/>
        <w:spacing w:line="360" w:lineRule="auto"/>
        <w:ind w:left="927"/>
        <w:jc w:val="both"/>
        <w:rPr>
          <w:i/>
          <w:iCs/>
        </w:rPr>
      </w:pPr>
      <w:r w:rsidRPr="00417F40">
        <w:rPr>
          <w:i/>
          <w:iCs/>
        </w:rPr>
        <w:t xml:space="preserve">Le opinioni di cui al presente contributo sono espresse dall’Autore a titolo personale; esse non impegnano l'Ufficio studi della Giustizia amministrativa, né quest'ultima quale Istituzione. </w:t>
      </w:r>
    </w:p>
    <w:p w14:paraId="2E6BD6C0" w14:textId="77777777" w:rsidR="00417F40" w:rsidRPr="007E64F4" w:rsidRDefault="00417F40" w:rsidP="00417F40">
      <w:pPr>
        <w:pStyle w:val="Paragrafoelenco"/>
        <w:spacing w:line="360" w:lineRule="auto"/>
        <w:ind w:left="927"/>
        <w:jc w:val="both"/>
      </w:pPr>
    </w:p>
    <w:sectPr w:rsidR="00417F40" w:rsidRPr="007E64F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056E" w14:textId="77777777" w:rsidR="008C1D0D" w:rsidRDefault="008C1D0D" w:rsidP="001C5C47">
      <w:pPr>
        <w:spacing w:after="0" w:line="240" w:lineRule="auto"/>
      </w:pPr>
      <w:r>
        <w:separator/>
      </w:r>
    </w:p>
  </w:endnote>
  <w:endnote w:type="continuationSeparator" w:id="0">
    <w:p w14:paraId="02F32125" w14:textId="77777777" w:rsidR="008C1D0D" w:rsidRDefault="008C1D0D" w:rsidP="001C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49DD" w14:textId="77777777" w:rsidR="008C1D0D" w:rsidRDefault="008C1D0D" w:rsidP="001C5C47">
      <w:pPr>
        <w:spacing w:after="0" w:line="240" w:lineRule="auto"/>
      </w:pPr>
      <w:r>
        <w:separator/>
      </w:r>
    </w:p>
  </w:footnote>
  <w:footnote w:type="continuationSeparator" w:id="0">
    <w:p w14:paraId="58B75E4B" w14:textId="77777777" w:rsidR="008C1D0D" w:rsidRDefault="008C1D0D" w:rsidP="001C5C47">
      <w:pPr>
        <w:spacing w:after="0" w:line="240" w:lineRule="auto"/>
      </w:pPr>
      <w:r>
        <w:continuationSeparator/>
      </w:r>
    </w:p>
  </w:footnote>
  <w:footnote w:id="1">
    <w:p w14:paraId="45C97491" w14:textId="77777777" w:rsidR="001C5C47" w:rsidRPr="007E64F4" w:rsidRDefault="001C5C47" w:rsidP="001C5C47">
      <w:pPr>
        <w:pStyle w:val="Testonotaapidipagina"/>
        <w:jc w:val="both"/>
        <w:rPr>
          <w:rFonts w:ascii="Times New Roman" w:hAnsi="Times New Roman" w:cs="Times New Roman"/>
          <w:sz w:val="22"/>
          <w:szCs w:val="22"/>
        </w:rPr>
      </w:pPr>
      <w:r>
        <w:rPr>
          <w:rStyle w:val="Rimandonotaapidipagina"/>
        </w:rPr>
        <w:footnoteRef/>
      </w:r>
      <w:r>
        <w:t xml:space="preserve"> </w:t>
      </w:r>
      <w:r w:rsidRPr="007E64F4">
        <w:rPr>
          <w:rFonts w:ascii="Times New Roman" w:hAnsi="Times New Roman" w:cs="Times New Roman"/>
          <w:sz w:val="22"/>
          <w:szCs w:val="22"/>
        </w:rPr>
        <w:t>La Regione Piemonte ha adottato una soluzione basata sul partenariato pubblico privato accogliendo nell’aprile 2023, la proposta di partenariato industriale di IREN. Questa scelta è stata impugnata da un operatore altoatesino. Ciò ha bloccato la procedura. A valle di un aggiornamento della normativa regionale coerentemente con i profili contestati, a fine 2025 Regione Piemonte ha pubblicato un nuovo bando per l’assegnazione di una concessione di IREN.</w:t>
      </w:r>
    </w:p>
    <w:p w14:paraId="5C89C7F3" w14:textId="424FB4C1" w:rsidR="001C5C47" w:rsidRPr="007E64F4" w:rsidRDefault="001C5C47" w:rsidP="001C5C47">
      <w:pPr>
        <w:pStyle w:val="Testonotaapidipagina"/>
        <w:jc w:val="both"/>
        <w:rPr>
          <w:rFonts w:ascii="Times New Roman" w:hAnsi="Times New Roman" w:cs="Times New Roman"/>
          <w:sz w:val="22"/>
          <w:szCs w:val="22"/>
        </w:rPr>
      </w:pPr>
      <w:r w:rsidRPr="007E64F4">
        <w:rPr>
          <w:rFonts w:ascii="Times New Roman" w:hAnsi="Times New Roman" w:cs="Times New Roman"/>
          <w:sz w:val="22"/>
          <w:szCs w:val="22"/>
        </w:rPr>
        <w:t xml:space="preserve">Un nuovo stop è intervenuto a seguito della </w:t>
      </w:r>
      <w:r w:rsidR="00EA041A" w:rsidRPr="007E64F4">
        <w:rPr>
          <w:rFonts w:ascii="Times New Roman" w:hAnsi="Times New Roman" w:cs="Times New Roman"/>
          <w:sz w:val="22"/>
          <w:szCs w:val="22"/>
        </w:rPr>
        <w:t xml:space="preserve">sopravvenuta </w:t>
      </w:r>
      <w:r w:rsidRPr="007E64F4">
        <w:rPr>
          <w:rFonts w:ascii="Times New Roman" w:hAnsi="Times New Roman" w:cs="Times New Roman"/>
          <w:sz w:val="22"/>
          <w:szCs w:val="22"/>
        </w:rPr>
        <w:t>inapplicabilità del diritto di prelazione a vantaggio del proponente del Project Financing che ha imposto la revisione del bando.</w:t>
      </w:r>
    </w:p>
    <w:p w14:paraId="2CC896FC" w14:textId="06D62A1B" w:rsidR="001C5C47" w:rsidRPr="007E64F4" w:rsidRDefault="001C5C47" w:rsidP="001C5C47">
      <w:pPr>
        <w:pStyle w:val="Testonotaapidipagina"/>
        <w:jc w:val="both"/>
        <w:rPr>
          <w:rFonts w:ascii="Times New Roman" w:hAnsi="Times New Roman" w:cs="Times New Roman"/>
          <w:sz w:val="22"/>
          <w:szCs w:val="22"/>
        </w:rPr>
      </w:pPr>
      <w:r w:rsidRPr="007E64F4">
        <w:rPr>
          <w:rFonts w:ascii="Times New Roman" w:hAnsi="Times New Roman" w:cs="Times New Roman"/>
          <w:sz w:val="22"/>
          <w:szCs w:val="22"/>
        </w:rPr>
        <w:t>La Regione Lombardia ha pubblicato, nell’aprile 2024, due bandi di gara per l’assegnazione con procedura ad evidenza pubblica di due concessioni idroelettriche di grande derivazione scadute. I bandi di gara sono stati impugnati da alcuni operatori (fra gli altri A2A e Edison). Hanno fatto richiesta di partecipazione alle gare operatori svizzeri e della repubblica ceca, Paesi nei quali il settore idroelettrico non è aperto alla concorrenza. Nel 2026 è attesa l’aggiudicazione delle prime gare e la pubblicazione di nuovi bandi.</w:t>
      </w:r>
    </w:p>
    <w:p w14:paraId="265515FE" w14:textId="77777777" w:rsidR="001C5C47" w:rsidRPr="007E64F4" w:rsidRDefault="001C5C47" w:rsidP="001C5C47">
      <w:pPr>
        <w:pStyle w:val="Testonotaapidipagina"/>
        <w:jc w:val="both"/>
        <w:rPr>
          <w:rFonts w:ascii="Times New Roman" w:hAnsi="Times New Roman" w:cs="Times New Roman"/>
          <w:sz w:val="22"/>
          <w:szCs w:val="22"/>
        </w:rPr>
      </w:pPr>
      <w:r w:rsidRPr="007E64F4">
        <w:rPr>
          <w:rFonts w:ascii="Times New Roman" w:hAnsi="Times New Roman" w:cs="Times New Roman"/>
          <w:sz w:val="22"/>
          <w:szCs w:val="22"/>
        </w:rPr>
        <w:t>La Regione Abruzzo, il 5 gennaio 2024, ha indetto una gara per la riassegnazione di 3 grandi derivazioni idroelettriche. Il bando di gara è stato impugnato da Enel, A2A, dalla Società Chimica Bussi e da Burgo. A seguito dei ricorsi, nel marzo scorso, la stessa Regione ha disposto la sospensione della procedura di gara.</w:t>
      </w:r>
    </w:p>
    <w:p w14:paraId="3479493E" w14:textId="29397FF3" w:rsidR="001C5C47" w:rsidRDefault="001C5C47" w:rsidP="001C5C47">
      <w:pPr>
        <w:pStyle w:val="Testonotaapidipagina"/>
        <w:jc w:val="both"/>
      </w:pPr>
      <w:r w:rsidRPr="007E64F4">
        <w:rPr>
          <w:rFonts w:ascii="Times New Roman" w:hAnsi="Times New Roman" w:cs="Times New Roman"/>
          <w:sz w:val="22"/>
          <w:szCs w:val="22"/>
        </w:rPr>
        <w:t>E’ prevedibile che questa situazione di incertezza si ripeterà puntualmente in tutte le regioni nel momento in cui si proverà ad indire gare, ad esempio, la norma della Provincia autonoma di Trento è stata impugnata in Corte Costituzionale dal Governo</w:t>
      </w:r>
      <w:r>
        <w:t>.</w:t>
      </w:r>
    </w:p>
  </w:footnote>
  <w:footnote w:id="2">
    <w:p w14:paraId="1B57D263" w14:textId="77777777" w:rsidR="001C5C47" w:rsidRPr="007E64F4" w:rsidRDefault="001C5C47" w:rsidP="001C5C47">
      <w:pPr>
        <w:pStyle w:val="Testonotaapidipagina"/>
        <w:jc w:val="both"/>
        <w:rPr>
          <w:rFonts w:ascii="Times New Roman" w:hAnsi="Times New Roman" w:cs="Times New Roman"/>
          <w:sz w:val="22"/>
          <w:szCs w:val="22"/>
        </w:rPr>
      </w:pPr>
      <w:r>
        <w:rPr>
          <w:rStyle w:val="Rimandonotaapidipagina"/>
        </w:rPr>
        <w:footnoteRef/>
      </w:r>
      <w:r>
        <w:t xml:space="preserve"> </w:t>
      </w:r>
      <w:r w:rsidRPr="007E64F4">
        <w:rPr>
          <w:rFonts w:ascii="Times New Roman" w:hAnsi="Times New Roman" w:cs="Times New Roman"/>
          <w:sz w:val="22"/>
          <w:szCs w:val="22"/>
        </w:rPr>
        <w:t>La messa a gara delle concessioni idroelettriche è stata inclusa fra gli impegni assunti dall’Italia per accedere ai fondi del Recovery and Resilience Facility. L’impegno è stato adempiuto con la “legge sulla concorrenza 2021” (art. 7 della Legge 118/2022).</w:t>
      </w:r>
    </w:p>
    <w:p w14:paraId="3277ECF5" w14:textId="14E6B071" w:rsidR="001C5C47" w:rsidRDefault="001C5C47" w:rsidP="001C5C47">
      <w:pPr>
        <w:pStyle w:val="Testonotaapidipagina"/>
        <w:jc w:val="both"/>
      </w:pPr>
      <w:r w:rsidRPr="007E64F4">
        <w:rPr>
          <w:rFonts w:ascii="Times New Roman" w:hAnsi="Times New Roman" w:cs="Times New Roman"/>
          <w:sz w:val="22"/>
          <w:szCs w:val="22"/>
        </w:rPr>
        <w:t>Ogni tentativo successivo di modificare l’attuale normativa è stato forse accantonato dal Governo anche per evitare il rischio di dover restituire le rate dei fondi RRF percepite dallo Stato sino ad ora. Infatti, in base all’articolo 24, comma 3 del Regolamento RRF (Regolamento UE 2021/241) la Commissione valuta “se i pertinenti traguardi e obiettivi indicati nella decisione di esecuzione del Consiglio di cui all'articolo 20, paragrafo 1, siano stati conseguiti in misura soddisfacente. Il conseguimento soddisfacente dei traguardi e degli obiettivi presuppone che le misure relative ai traguardi e agli obiettivi conseguiti in misura soddisfacente in precedenza non siano state annullate dallo Stato membro interessato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4FA1"/>
    <w:multiLevelType w:val="hybridMultilevel"/>
    <w:tmpl w:val="34C6075A"/>
    <w:lvl w:ilvl="0" w:tplc="5E7E9492">
      <w:numFmt w:val="bullet"/>
      <w:lvlText w:val=""/>
      <w:lvlJc w:val="left"/>
      <w:pPr>
        <w:ind w:left="927" w:hanging="360"/>
      </w:pPr>
      <w:rPr>
        <w:rFonts w:ascii="Symbol" w:eastAsiaTheme="minorHAnsi" w:hAnsi="Symbol" w:cstheme="minorBid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184327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FD"/>
    <w:rsid w:val="0014766F"/>
    <w:rsid w:val="001648E8"/>
    <w:rsid w:val="00171843"/>
    <w:rsid w:val="001C5C47"/>
    <w:rsid w:val="00215DB7"/>
    <w:rsid w:val="00287AA3"/>
    <w:rsid w:val="002E3670"/>
    <w:rsid w:val="003527F0"/>
    <w:rsid w:val="00392B28"/>
    <w:rsid w:val="003B728F"/>
    <w:rsid w:val="00417F40"/>
    <w:rsid w:val="004426D1"/>
    <w:rsid w:val="00454DC3"/>
    <w:rsid w:val="00596281"/>
    <w:rsid w:val="00664997"/>
    <w:rsid w:val="007B4FE3"/>
    <w:rsid w:val="007D5308"/>
    <w:rsid w:val="007E64F4"/>
    <w:rsid w:val="00882829"/>
    <w:rsid w:val="008C1D0D"/>
    <w:rsid w:val="00A02E5A"/>
    <w:rsid w:val="00AD3865"/>
    <w:rsid w:val="00B06C96"/>
    <w:rsid w:val="00BC3A4C"/>
    <w:rsid w:val="00BD1552"/>
    <w:rsid w:val="00BD59FD"/>
    <w:rsid w:val="00BE5546"/>
    <w:rsid w:val="00C432A8"/>
    <w:rsid w:val="00CE6D61"/>
    <w:rsid w:val="00D52DC7"/>
    <w:rsid w:val="00DD735B"/>
    <w:rsid w:val="00E214A2"/>
    <w:rsid w:val="00EA041A"/>
    <w:rsid w:val="00FE2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5F1A"/>
  <w15:chartTrackingRefBased/>
  <w15:docId w15:val="{B8276C98-B49D-4BA4-A9C1-5B522650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9FD"/>
  </w:style>
  <w:style w:type="paragraph" w:styleId="Titolo1">
    <w:name w:val="heading 1"/>
    <w:basedOn w:val="Normale"/>
    <w:next w:val="Normale"/>
    <w:link w:val="Titolo1Carattere"/>
    <w:uiPriority w:val="9"/>
    <w:qFormat/>
    <w:rsid w:val="00BD59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D59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D59FD"/>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D59FD"/>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D59FD"/>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BD59F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59F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59F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59F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59FD"/>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D59F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D59FD"/>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D59FD"/>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BD59FD"/>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BD59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59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59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59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5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59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59F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59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59F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59FD"/>
    <w:rPr>
      <w:i/>
      <w:iCs/>
      <w:color w:val="404040" w:themeColor="text1" w:themeTint="BF"/>
    </w:rPr>
  </w:style>
  <w:style w:type="paragraph" w:styleId="Paragrafoelenco">
    <w:name w:val="List Paragraph"/>
    <w:basedOn w:val="Normale"/>
    <w:uiPriority w:val="34"/>
    <w:qFormat/>
    <w:rsid w:val="00BD59FD"/>
    <w:pPr>
      <w:ind w:left="720"/>
      <w:contextualSpacing/>
    </w:pPr>
  </w:style>
  <w:style w:type="character" w:styleId="Enfasiintensa">
    <w:name w:val="Intense Emphasis"/>
    <w:basedOn w:val="Carpredefinitoparagrafo"/>
    <w:uiPriority w:val="21"/>
    <w:qFormat/>
    <w:rsid w:val="00BD59FD"/>
    <w:rPr>
      <w:i/>
      <w:iCs/>
      <w:color w:val="2E74B5" w:themeColor="accent1" w:themeShade="BF"/>
    </w:rPr>
  </w:style>
  <w:style w:type="paragraph" w:styleId="Citazioneintensa">
    <w:name w:val="Intense Quote"/>
    <w:basedOn w:val="Normale"/>
    <w:next w:val="Normale"/>
    <w:link w:val="CitazioneintensaCarattere"/>
    <w:uiPriority w:val="30"/>
    <w:qFormat/>
    <w:rsid w:val="00BD59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D59FD"/>
    <w:rPr>
      <w:i/>
      <w:iCs/>
      <w:color w:val="2E74B5" w:themeColor="accent1" w:themeShade="BF"/>
    </w:rPr>
  </w:style>
  <w:style w:type="character" w:styleId="Riferimentointenso">
    <w:name w:val="Intense Reference"/>
    <w:basedOn w:val="Carpredefinitoparagrafo"/>
    <w:uiPriority w:val="32"/>
    <w:qFormat/>
    <w:rsid w:val="00BD59FD"/>
    <w:rPr>
      <w:b/>
      <w:bCs/>
      <w:smallCaps/>
      <w:color w:val="2E74B5" w:themeColor="accent1" w:themeShade="BF"/>
      <w:spacing w:val="5"/>
    </w:rPr>
  </w:style>
  <w:style w:type="paragraph" w:styleId="Testonotaapidipagina">
    <w:name w:val="footnote text"/>
    <w:basedOn w:val="Normale"/>
    <w:link w:val="TestonotaapidipaginaCarattere"/>
    <w:uiPriority w:val="99"/>
    <w:semiHidden/>
    <w:unhideWhenUsed/>
    <w:rsid w:val="001C5C4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C5C47"/>
    <w:rPr>
      <w:sz w:val="20"/>
      <w:szCs w:val="20"/>
    </w:rPr>
  </w:style>
  <w:style w:type="character" w:styleId="Rimandonotaapidipagina">
    <w:name w:val="footnote reference"/>
    <w:basedOn w:val="Carpredefinitoparagrafo"/>
    <w:uiPriority w:val="99"/>
    <w:semiHidden/>
    <w:unhideWhenUsed/>
    <w:rsid w:val="001C5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27D9-247E-4B2A-B64F-56517303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4123</Words>
  <Characters>23504</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PONTE Davide</dc:creator>
  <cp:keywords/>
  <dc:description/>
  <cp:lastModifiedBy>COZZOLI Pamela</cp:lastModifiedBy>
  <cp:revision>3</cp:revision>
  <dcterms:created xsi:type="dcterms:W3CDTF">2026-05-17T20:37:00Z</dcterms:created>
  <dcterms:modified xsi:type="dcterms:W3CDTF">2026-05-25T16:21:00Z</dcterms:modified>
</cp:coreProperties>
</file>