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2D9E" w14:textId="3764A271" w:rsidR="00C123EE" w:rsidRPr="00186819" w:rsidRDefault="00C123EE" w:rsidP="009C09A6">
      <w:pPr>
        <w:jc w:val="both"/>
        <w:rPr>
          <w:rFonts w:ascii="Times New Roman" w:hAnsi="Times New Roman" w:cs="Times New Roman"/>
          <w:b/>
          <w:bCs/>
          <w:sz w:val="28"/>
          <w:szCs w:val="28"/>
        </w:rPr>
      </w:pPr>
      <w:r w:rsidRPr="00186819">
        <w:rPr>
          <w:rFonts w:ascii="Times New Roman" w:hAnsi="Times New Roman" w:cs="Times New Roman"/>
          <w:b/>
          <w:bCs/>
          <w:sz w:val="28"/>
          <w:szCs w:val="28"/>
        </w:rPr>
        <w:t xml:space="preserve">Autonomia </w:t>
      </w:r>
      <w:r w:rsidR="009511DB" w:rsidRPr="00186819">
        <w:rPr>
          <w:rFonts w:ascii="Times New Roman" w:hAnsi="Times New Roman" w:cs="Times New Roman"/>
          <w:b/>
          <w:bCs/>
          <w:sz w:val="28"/>
          <w:szCs w:val="28"/>
        </w:rPr>
        <w:t xml:space="preserve">privata </w:t>
      </w:r>
      <w:r w:rsidRPr="00186819">
        <w:rPr>
          <w:rFonts w:ascii="Times New Roman" w:hAnsi="Times New Roman" w:cs="Times New Roman"/>
          <w:b/>
          <w:bCs/>
          <w:sz w:val="28"/>
          <w:szCs w:val="28"/>
        </w:rPr>
        <w:t>e libera circolazione dei beni culturali</w:t>
      </w:r>
      <w:r w:rsidR="001F57B5" w:rsidRPr="00186819">
        <w:rPr>
          <w:rFonts w:ascii="Times New Roman" w:hAnsi="Times New Roman" w:cs="Times New Roman"/>
          <w:b/>
          <w:bCs/>
          <w:sz w:val="28"/>
          <w:szCs w:val="28"/>
        </w:rPr>
        <w:t xml:space="preserve">: il dialogo </w:t>
      </w:r>
      <w:r w:rsidR="00A36998" w:rsidRPr="00186819">
        <w:rPr>
          <w:rFonts w:ascii="Times New Roman" w:hAnsi="Times New Roman" w:cs="Times New Roman"/>
          <w:b/>
          <w:bCs/>
          <w:sz w:val="28"/>
          <w:szCs w:val="28"/>
        </w:rPr>
        <w:t xml:space="preserve">tra </w:t>
      </w:r>
      <w:r w:rsidR="001F57B5" w:rsidRPr="00186819">
        <w:rPr>
          <w:rFonts w:ascii="Times New Roman" w:hAnsi="Times New Roman" w:cs="Times New Roman"/>
          <w:b/>
          <w:bCs/>
          <w:sz w:val="28"/>
          <w:szCs w:val="28"/>
        </w:rPr>
        <w:t>giudice amministrativo</w:t>
      </w:r>
      <w:r w:rsidR="00B820B9" w:rsidRPr="00186819">
        <w:rPr>
          <w:rFonts w:ascii="Times New Roman" w:hAnsi="Times New Roman" w:cs="Times New Roman"/>
          <w:b/>
          <w:bCs/>
          <w:sz w:val="28"/>
          <w:szCs w:val="28"/>
        </w:rPr>
        <w:t>,</w:t>
      </w:r>
      <w:r w:rsidR="001F57B5" w:rsidRPr="00186819">
        <w:rPr>
          <w:rFonts w:ascii="Times New Roman" w:hAnsi="Times New Roman" w:cs="Times New Roman"/>
          <w:b/>
          <w:bCs/>
          <w:sz w:val="28"/>
          <w:szCs w:val="28"/>
        </w:rPr>
        <w:t xml:space="preserve"> </w:t>
      </w:r>
      <w:r w:rsidR="00A36998" w:rsidRPr="00186819">
        <w:rPr>
          <w:rFonts w:ascii="Times New Roman" w:hAnsi="Times New Roman" w:cs="Times New Roman"/>
          <w:b/>
          <w:bCs/>
          <w:sz w:val="28"/>
          <w:szCs w:val="28"/>
        </w:rPr>
        <w:t>Consulta e Legislatore</w:t>
      </w:r>
      <w:r w:rsidR="00EB7D01" w:rsidRPr="00186819">
        <w:rPr>
          <w:rFonts w:ascii="Times New Roman" w:hAnsi="Times New Roman" w:cs="Times New Roman"/>
          <w:b/>
          <w:bCs/>
          <w:sz w:val="28"/>
          <w:szCs w:val="28"/>
        </w:rPr>
        <w:t>.</w:t>
      </w:r>
    </w:p>
    <w:p w14:paraId="297E17E3" w14:textId="5984E82D" w:rsidR="00DB5981" w:rsidRPr="00186819" w:rsidRDefault="00DB5981" w:rsidP="009C09A6">
      <w:pPr>
        <w:jc w:val="both"/>
        <w:rPr>
          <w:rFonts w:ascii="Times New Roman" w:hAnsi="Times New Roman" w:cs="Times New Roman"/>
          <w:i/>
          <w:iCs/>
          <w:sz w:val="28"/>
          <w:szCs w:val="28"/>
        </w:rPr>
      </w:pPr>
      <w:r w:rsidRPr="00186819">
        <w:rPr>
          <w:rFonts w:ascii="Times New Roman" w:hAnsi="Times New Roman" w:cs="Times New Roman"/>
          <w:i/>
          <w:iCs/>
          <w:sz w:val="28"/>
          <w:szCs w:val="28"/>
        </w:rPr>
        <w:t>Giovanni Caputi, magistrato TAR Lazio*</w:t>
      </w:r>
    </w:p>
    <w:p w14:paraId="60FEB800" w14:textId="10F813F9" w:rsidR="002C332E" w:rsidRPr="00186819" w:rsidRDefault="002C332E" w:rsidP="00651407">
      <w:pPr>
        <w:pStyle w:val="Paragrafoelenco"/>
        <w:numPr>
          <w:ilvl w:val="0"/>
          <w:numId w:val="6"/>
        </w:numPr>
        <w:jc w:val="both"/>
        <w:rPr>
          <w:rFonts w:ascii="Times New Roman" w:hAnsi="Times New Roman" w:cs="Times New Roman"/>
          <w:b/>
          <w:bCs/>
          <w:i/>
          <w:iCs/>
          <w:sz w:val="28"/>
          <w:szCs w:val="28"/>
        </w:rPr>
      </w:pPr>
      <w:r w:rsidRPr="00186819">
        <w:rPr>
          <w:rFonts w:ascii="Times New Roman" w:hAnsi="Times New Roman" w:cs="Times New Roman"/>
          <w:b/>
          <w:bCs/>
          <w:i/>
          <w:iCs/>
          <w:sz w:val="28"/>
          <w:szCs w:val="28"/>
        </w:rPr>
        <w:t>Premessa.</w:t>
      </w:r>
    </w:p>
    <w:p w14:paraId="68B3976F" w14:textId="0BD65609" w:rsidR="003153AD" w:rsidRPr="00186819" w:rsidRDefault="003153AD" w:rsidP="00E33A60">
      <w:pPr>
        <w:jc w:val="both"/>
        <w:rPr>
          <w:rFonts w:ascii="Times New Roman" w:hAnsi="Times New Roman" w:cs="Times New Roman"/>
          <w:sz w:val="28"/>
          <w:szCs w:val="28"/>
        </w:rPr>
      </w:pPr>
      <w:r w:rsidRPr="00186819">
        <w:rPr>
          <w:rFonts w:ascii="Times New Roman" w:hAnsi="Times New Roman" w:cs="Times New Roman"/>
          <w:sz w:val="28"/>
          <w:szCs w:val="28"/>
        </w:rPr>
        <w:t>C</w:t>
      </w:r>
      <w:r w:rsidR="00F12C3E" w:rsidRPr="00186819">
        <w:rPr>
          <w:rFonts w:ascii="Times New Roman" w:hAnsi="Times New Roman" w:cs="Times New Roman"/>
          <w:sz w:val="28"/>
          <w:szCs w:val="28"/>
        </w:rPr>
        <w:t xml:space="preserve">on </w:t>
      </w:r>
      <w:r w:rsidRPr="00186819">
        <w:rPr>
          <w:rFonts w:ascii="Times New Roman" w:hAnsi="Times New Roman" w:cs="Times New Roman"/>
          <w:sz w:val="28"/>
          <w:szCs w:val="28"/>
        </w:rPr>
        <w:t xml:space="preserve">alcune </w:t>
      </w:r>
      <w:r w:rsidR="00F12C3E" w:rsidRPr="00186819">
        <w:rPr>
          <w:rFonts w:ascii="Times New Roman" w:hAnsi="Times New Roman" w:cs="Times New Roman"/>
          <w:sz w:val="28"/>
          <w:szCs w:val="28"/>
        </w:rPr>
        <w:t>pronunzie</w:t>
      </w:r>
      <w:r w:rsidR="00F43969" w:rsidRPr="00186819">
        <w:rPr>
          <w:rFonts w:ascii="Times New Roman" w:hAnsi="Times New Roman" w:cs="Times New Roman"/>
          <w:sz w:val="28"/>
          <w:szCs w:val="28"/>
        </w:rPr>
        <w:t xml:space="preserve"> del </w:t>
      </w:r>
      <w:r w:rsidR="00F12C3E" w:rsidRPr="00186819">
        <w:rPr>
          <w:rFonts w:ascii="Times New Roman" w:hAnsi="Times New Roman" w:cs="Times New Roman"/>
          <w:sz w:val="28"/>
          <w:szCs w:val="28"/>
        </w:rPr>
        <w:t xml:space="preserve">2025 e </w:t>
      </w:r>
      <w:r w:rsidR="00F43969" w:rsidRPr="00186819">
        <w:rPr>
          <w:rFonts w:ascii="Times New Roman" w:hAnsi="Times New Roman" w:cs="Times New Roman"/>
          <w:sz w:val="28"/>
          <w:szCs w:val="28"/>
        </w:rPr>
        <w:t>d</w:t>
      </w:r>
      <w:r w:rsidR="00F12C3E" w:rsidRPr="00186819">
        <w:rPr>
          <w:rFonts w:ascii="Times New Roman" w:hAnsi="Times New Roman" w:cs="Times New Roman"/>
          <w:sz w:val="28"/>
          <w:szCs w:val="28"/>
        </w:rPr>
        <w:t>el 2026</w:t>
      </w:r>
      <w:r w:rsidR="00B820B9" w:rsidRPr="00186819">
        <w:rPr>
          <w:rFonts w:ascii="Times New Roman" w:hAnsi="Times New Roman" w:cs="Times New Roman"/>
          <w:sz w:val="28"/>
          <w:szCs w:val="28"/>
        </w:rPr>
        <w:t xml:space="preserve"> (</w:t>
      </w:r>
      <w:r w:rsidR="00A4280F" w:rsidRPr="00186819">
        <w:rPr>
          <w:rFonts w:ascii="Times New Roman" w:hAnsi="Times New Roman" w:cs="Times New Roman"/>
          <w:i/>
          <w:iCs/>
          <w:sz w:val="28"/>
          <w:szCs w:val="28"/>
        </w:rPr>
        <w:t>i.e.</w:t>
      </w:r>
      <w:r w:rsidR="00A4280F" w:rsidRPr="00186819">
        <w:rPr>
          <w:rFonts w:ascii="Times New Roman" w:hAnsi="Times New Roman" w:cs="Times New Roman"/>
          <w:sz w:val="28"/>
          <w:szCs w:val="28"/>
        </w:rPr>
        <w:t xml:space="preserve"> </w:t>
      </w:r>
      <w:r w:rsidR="00B820B9" w:rsidRPr="00186819">
        <w:rPr>
          <w:rFonts w:ascii="Times New Roman" w:hAnsi="Times New Roman" w:cs="Times New Roman"/>
          <w:sz w:val="28"/>
          <w:szCs w:val="28"/>
        </w:rPr>
        <w:t>26 giugno 2025, n. 88</w:t>
      </w:r>
      <w:r w:rsidR="00A4280F" w:rsidRPr="00186819">
        <w:rPr>
          <w:rFonts w:ascii="Times New Roman" w:hAnsi="Times New Roman" w:cs="Times New Roman"/>
          <w:sz w:val="28"/>
          <w:szCs w:val="28"/>
        </w:rPr>
        <w:t>; 24 settembre 2025, n. 160</w:t>
      </w:r>
      <w:r w:rsidR="00F43969" w:rsidRPr="00186819">
        <w:rPr>
          <w:rFonts w:ascii="Times New Roman" w:hAnsi="Times New Roman" w:cs="Times New Roman"/>
          <w:sz w:val="28"/>
          <w:szCs w:val="28"/>
        </w:rPr>
        <w:t>;</w:t>
      </w:r>
      <w:r w:rsidR="00436370" w:rsidRPr="00186819">
        <w:rPr>
          <w:rFonts w:ascii="Times New Roman" w:hAnsi="Times New Roman" w:cs="Times New Roman"/>
          <w:sz w:val="28"/>
          <w:szCs w:val="28"/>
        </w:rPr>
        <w:t xml:space="preserve"> 14 aprile 2026, n. 51)</w:t>
      </w:r>
      <w:r w:rsidR="00B820B9" w:rsidRPr="00186819">
        <w:rPr>
          <w:rFonts w:ascii="Times New Roman" w:hAnsi="Times New Roman" w:cs="Times New Roman"/>
          <w:sz w:val="28"/>
          <w:szCs w:val="28"/>
        </w:rPr>
        <w:t>,</w:t>
      </w:r>
      <w:r w:rsidR="00F12C3E" w:rsidRPr="00186819">
        <w:rPr>
          <w:rFonts w:ascii="Times New Roman" w:hAnsi="Times New Roman" w:cs="Times New Roman"/>
          <w:sz w:val="28"/>
          <w:szCs w:val="28"/>
        </w:rPr>
        <w:t xml:space="preserve"> </w:t>
      </w:r>
      <w:r w:rsidR="0090690F" w:rsidRPr="00186819">
        <w:rPr>
          <w:rFonts w:ascii="Times New Roman" w:hAnsi="Times New Roman" w:cs="Times New Roman"/>
          <w:sz w:val="28"/>
          <w:szCs w:val="28"/>
        </w:rPr>
        <w:t xml:space="preserve">a seguito di rimessioni </w:t>
      </w:r>
      <w:r w:rsidR="00F43969" w:rsidRPr="00186819">
        <w:rPr>
          <w:rFonts w:ascii="Times New Roman" w:hAnsi="Times New Roman" w:cs="Times New Roman"/>
          <w:sz w:val="28"/>
          <w:szCs w:val="28"/>
        </w:rPr>
        <w:t xml:space="preserve">operate </w:t>
      </w:r>
      <w:r w:rsidR="001F57B5" w:rsidRPr="00186819">
        <w:rPr>
          <w:rFonts w:ascii="Times New Roman" w:hAnsi="Times New Roman" w:cs="Times New Roman"/>
          <w:sz w:val="28"/>
          <w:szCs w:val="28"/>
        </w:rPr>
        <w:t>d</w:t>
      </w:r>
      <w:r w:rsidR="00F43969" w:rsidRPr="00186819">
        <w:rPr>
          <w:rFonts w:ascii="Times New Roman" w:hAnsi="Times New Roman" w:cs="Times New Roman"/>
          <w:sz w:val="28"/>
          <w:szCs w:val="28"/>
        </w:rPr>
        <w:t>a</w:t>
      </w:r>
      <w:r w:rsidR="001F57B5" w:rsidRPr="00186819">
        <w:rPr>
          <w:rFonts w:ascii="Times New Roman" w:hAnsi="Times New Roman" w:cs="Times New Roman"/>
          <w:sz w:val="28"/>
          <w:szCs w:val="28"/>
        </w:rPr>
        <w:t>l Consiglio di Stato e d</w:t>
      </w:r>
      <w:r w:rsidR="00F43969" w:rsidRPr="00186819">
        <w:rPr>
          <w:rFonts w:ascii="Times New Roman" w:hAnsi="Times New Roman" w:cs="Times New Roman"/>
          <w:sz w:val="28"/>
          <w:szCs w:val="28"/>
        </w:rPr>
        <w:t>a</w:t>
      </w:r>
      <w:r w:rsidR="001F57B5" w:rsidRPr="00186819">
        <w:rPr>
          <w:rFonts w:ascii="Times New Roman" w:hAnsi="Times New Roman" w:cs="Times New Roman"/>
          <w:sz w:val="28"/>
          <w:szCs w:val="28"/>
        </w:rPr>
        <w:t>l TAR per il Lazio</w:t>
      </w:r>
      <w:r w:rsidRPr="00186819">
        <w:rPr>
          <w:rFonts w:ascii="Times New Roman" w:hAnsi="Times New Roman" w:cs="Times New Roman"/>
          <w:sz w:val="28"/>
          <w:szCs w:val="28"/>
        </w:rPr>
        <w:t>, la Corte costituzionale ha avuto modo di risolvere alcune questioni</w:t>
      </w:r>
      <w:r w:rsidR="004E4E78" w:rsidRPr="00186819">
        <w:rPr>
          <w:rFonts w:ascii="Times New Roman" w:hAnsi="Times New Roman" w:cs="Times New Roman"/>
          <w:sz w:val="28"/>
          <w:szCs w:val="28"/>
        </w:rPr>
        <w:t xml:space="preserve"> interessanti</w:t>
      </w:r>
      <w:r w:rsidRPr="00186819">
        <w:rPr>
          <w:rFonts w:ascii="Times New Roman" w:hAnsi="Times New Roman" w:cs="Times New Roman"/>
          <w:sz w:val="28"/>
          <w:szCs w:val="28"/>
        </w:rPr>
        <w:t xml:space="preserve"> in tema di </w:t>
      </w:r>
      <w:r w:rsidR="00651407" w:rsidRPr="00186819">
        <w:rPr>
          <w:rFonts w:ascii="Times New Roman" w:hAnsi="Times New Roman" w:cs="Times New Roman"/>
          <w:sz w:val="28"/>
          <w:szCs w:val="28"/>
        </w:rPr>
        <w:t xml:space="preserve">circolazione dei </w:t>
      </w:r>
      <w:r w:rsidRPr="00186819">
        <w:rPr>
          <w:rFonts w:ascii="Times New Roman" w:hAnsi="Times New Roman" w:cs="Times New Roman"/>
          <w:sz w:val="28"/>
          <w:szCs w:val="28"/>
        </w:rPr>
        <w:t>beni culturali</w:t>
      </w:r>
      <w:r w:rsidR="00651407" w:rsidRPr="00186819">
        <w:rPr>
          <w:rStyle w:val="Rimandonotaapidipagina"/>
          <w:rFonts w:ascii="Times New Roman" w:hAnsi="Times New Roman" w:cs="Times New Roman"/>
          <w:sz w:val="28"/>
          <w:szCs w:val="28"/>
        </w:rPr>
        <w:footnoteReference w:id="1"/>
      </w:r>
      <w:r w:rsidRPr="00186819">
        <w:rPr>
          <w:rFonts w:ascii="Times New Roman" w:hAnsi="Times New Roman" w:cs="Times New Roman"/>
          <w:sz w:val="28"/>
          <w:szCs w:val="28"/>
        </w:rPr>
        <w:t>.</w:t>
      </w:r>
    </w:p>
    <w:p w14:paraId="5BA746CC" w14:textId="2D938482" w:rsidR="00E33A60" w:rsidRPr="00186819" w:rsidRDefault="00F12C3E" w:rsidP="00E33A60">
      <w:pPr>
        <w:jc w:val="both"/>
        <w:rPr>
          <w:rFonts w:ascii="Times New Roman" w:hAnsi="Times New Roman" w:cs="Times New Roman"/>
          <w:sz w:val="28"/>
          <w:szCs w:val="28"/>
        </w:rPr>
      </w:pPr>
      <w:r w:rsidRPr="00186819">
        <w:rPr>
          <w:rFonts w:ascii="Times New Roman" w:hAnsi="Times New Roman" w:cs="Times New Roman"/>
          <w:sz w:val="28"/>
          <w:szCs w:val="28"/>
        </w:rPr>
        <w:t xml:space="preserve">Le </w:t>
      </w:r>
      <w:r w:rsidR="00B820B9" w:rsidRPr="00186819">
        <w:rPr>
          <w:rFonts w:ascii="Times New Roman" w:hAnsi="Times New Roman" w:cs="Times New Roman"/>
          <w:sz w:val="28"/>
          <w:szCs w:val="28"/>
        </w:rPr>
        <w:t xml:space="preserve">decisioni </w:t>
      </w:r>
      <w:r w:rsidRPr="00186819">
        <w:rPr>
          <w:rFonts w:ascii="Times New Roman" w:hAnsi="Times New Roman" w:cs="Times New Roman"/>
          <w:sz w:val="28"/>
          <w:szCs w:val="28"/>
        </w:rPr>
        <w:t xml:space="preserve">appaiono di un certo </w:t>
      </w:r>
      <w:r w:rsidR="004E4E78" w:rsidRPr="00186819">
        <w:rPr>
          <w:rFonts w:ascii="Times New Roman" w:hAnsi="Times New Roman" w:cs="Times New Roman"/>
          <w:sz w:val="28"/>
          <w:szCs w:val="28"/>
        </w:rPr>
        <w:t>rilievo</w:t>
      </w:r>
      <w:r w:rsidRPr="00186819">
        <w:rPr>
          <w:rFonts w:ascii="Times New Roman" w:hAnsi="Times New Roman" w:cs="Times New Roman"/>
          <w:sz w:val="28"/>
          <w:szCs w:val="28"/>
        </w:rPr>
        <w:t xml:space="preserve">, oltre che per i profili </w:t>
      </w:r>
      <w:r w:rsidR="00C97284" w:rsidRPr="00186819">
        <w:rPr>
          <w:rFonts w:ascii="Times New Roman" w:hAnsi="Times New Roman" w:cs="Times New Roman"/>
          <w:sz w:val="28"/>
          <w:szCs w:val="28"/>
        </w:rPr>
        <w:t>inerenti alla specifica materia</w:t>
      </w:r>
      <w:r w:rsidR="00436370" w:rsidRPr="00186819">
        <w:rPr>
          <w:rFonts w:ascii="Times New Roman" w:hAnsi="Times New Roman" w:cs="Times New Roman"/>
          <w:sz w:val="28"/>
          <w:szCs w:val="28"/>
        </w:rPr>
        <w:t xml:space="preserve"> in parola</w:t>
      </w:r>
      <w:r w:rsidR="003153AD" w:rsidRPr="00186819">
        <w:rPr>
          <w:rStyle w:val="Rimandonotaapidipagina"/>
          <w:rFonts w:ascii="Times New Roman" w:hAnsi="Times New Roman" w:cs="Times New Roman"/>
          <w:sz w:val="28"/>
          <w:szCs w:val="28"/>
        </w:rPr>
        <w:footnoteReference w:id="2"/>
      </w:r>
      <w:r w:rsidRPr="00186819">
        <w:rPr>
          <w:rFonts w:ascii="Times New Roman" w:hAnsi="Times New Roman" w:cs="Times New Roman"/>
          <w:sz w:val="28"/>
          <w:szCs w:val="28"/>
        </w:rPr>
        <w:t>,</w:t>
      </w:r>
      <w:r w:rsidR="00C97284" w:rsidRPr="00186819">
        <w:rPr>
          <w:rFonts w:ascii="Times New Roman" w:hAnsi="Times New Roman" w:cs="Times New Roman"/>
          <w:sz w:val="28"/>
          <w:szCs w:val="28"/>
        </w:rPr>
        <w:t xml:space="preserve"> anche</w:t>
      </w:r>
      <w:r w:rsidRPr="00186819">
        <w:rPr>
          <w:rFonts w:ascii="Times New Roman" w:hAnsi="Times New Roman" w:cs="Times New Roman"/>
          <w:sz w:val="28"/>
          <w:szCs w:val="28"/>
        </w:rPr>
        <w:t xml:space="preserve"> </w:t>
      </w:r>
      <w:r w:rsidR="004E4E78" w:rsidRPr="00186819">
        <w:rPr>
          <w:rFonts w:ascii="Times New Roman" w:hAnsi="Times New Roman" w:cs="Times New Roman"/>
          <w:sz w:val="28"/>
          <w:szCs w:val="28"/>
        </w:rPr>
        <w:t xml:space="preserve">riguardo </w:t>
      </w:r>
      <w:r w:rsidRPr="00186819">
        <w:rPr>
          <w:rFonts w:ascii="Times New Roman" w:hAnsi="Times New Roman" w:cs="Times New Roman"/>
          <w:sz w:val="28"/>
          <w:szCs w:val="28"/>
        </w:rPr>
        <w:t>a diverse tematiche “trasversali”</w:t>
      </w:r>
      <w:r w:rsidR="003153AD" w:rsidRPr="00186819">
        <w:rPr>
          <w:rFonts w:ascii="Times New Roman" w:hAnsi="Times New Roman" w:cs="Times New Roman"/>
          <w:sz w:val="28"/>
          <w:szCs w:val="28"/>
        </w:rPr>
        <w:t>,</w:t>
      </w:r>
      <w:r w:rsidRPr="00186819">
        <w:rPr>
          <w:rFonts w:ascii="Times New Roman" w:hAnsi="Times New Roman" w:cs="Times New Roman"/>
          <w:sz w:val="28"/>
          <w:szCs w:val="28"/>
        </w:rPr>
        <w:t xml:space="preserve"> quali </w:t>
      </w:r>
      <w:r w:rsidR="00E33A60" w:rsidRPr="00186819">
        <w:rPr>
          <w:rFonts w:ascii="Times New Roman" w:hAnsi="Times New Roman" w:cs="Times New Roman"/>
          <w:sz w:val="28"/>
          <w:szCs w:val="28"/>
        </w:rPr>
        <w:t>il bilanciamento</w:t>
      </w:r>
      <w:r w:rsidR="00C640FD">
        <w:rPr>
          <w:rFonts w:ascii="Times New Roman" w:hAnsi="Times New Roman" w:cs="Times New Roman"/>
          <w:sz w:val="28"/>
          <w:szCs w:val="28"/>
        </w:rPr>
        <w:t xml:space="preserve"> de</w:t>
      </w:r>
      <w:r w:rsidR="006265C1">
        <w:rPr>
          <w:rFonts w:ascii="Times New Roman" w:hAnsi="Times New Roman" w:cs="Times New Roman"/>
          <w:sz w:val="28"/>
          <w:szCs w:val="28"/>
        </w:rPr>
        <w:t xml:space="preserve">gli interessi </w:t>
      </w:r>
      <w:r w:rsidR="00E33A60" w:rsidRPr="00186819">
        <w:rPr>
          <w:rFonts w:ascii="Times New Roman" w:hAnsi="Times New Roman" w:cs="Times New Roman"/>
          <w:sz w:val="28"/>
          <w:szCs w:val="28"/>
        </w:rPr>
        <w:t xml:space="preserve">tra proprietà, autonomia </w:t>
      </w:r>
      <w:r w:rsidR="00877271" w:rsidRPr="00186819">
        <w:rPr>
          <w:rFonts w:ascii="Times New Roman" w:hAnsi="Times New Roman" w:cs="Times New Roman"/>
          <w:sz w:val="28"/>
          <w:szCs w:val="28"/>
        </w:rPr>
        <w:t xml:space="preserve">privata </w:t>
      </w:r>
      <w:r w:rsidR="00E33A60" w:rsidRPr="00186819">
        <w:rPr>
          <w:rFonts w:ascii="Times New Roman" w:hAnsi="Times New Roman" w:cs="Times New Roman"/>
          <w:sz w:val="28"/>
          <w:szCs w:val="28"/>
        </w:rPr>
        <w:t>e intervento pubblico,</w:t>
      </w:r>
      <w:r w:rsidR="00877271" w:rsidRPr="00186819">
        <w:rPr>
          <w:rFonts w:ascii="Times New Roman" w:hAnsi="Times New Roman" w:cs="Times New Roman"/>
          <w:sz w:val="28"/>
          <w:szCs w:val="28"/>
        </w:rPr>
        <w:t xml:space="preserve"> </w:t>
      </w:r>
      <w:r w:rsidR="00E33A60" w:rsidRPr="00186819">
        <w:rPr>
          <w:rFonts w:ascii="Times New Roman" w:hAnsi="Times New Roman" w:cs="Times New Roman"/>
          <w:sz w:val="28"/>
          <w:szCs w:val="28"/>
        </w:rPr>
        <w:t>la dicotomia tra regime pubblicistico e “liberalizzazione giuridica” di un settore,</w:t>
      </w:r>
      <w:r w:rsidR="00877271" w:rsidRPr="00186819">
        <w:rPr>
          <w:rFonts w:ascii="Times New Roman" w:hAnsi="Times New Roman" w:cs="Times New Roman"/>
          <w:sz w:val="28"/>
          <w:szCs w:val="28"/>
        </w:rPr>
        <w:t xml:space="preserve"> </w:t>
      </w:r>
      <w:r w:rsidR="00E670DC">
        <w:rPr>
          <w:rFonts w:ascii="Times New Roman" w:hAnsi="Times New Roman" w:cs="Times New Roman"/>
          <w:sz w:val="28"/>
          <w:szCs w:val="28"/>
        </w:rPr>
        <w:t xml:space="preserve">nonché </w:t>
      </w:r>
      <w:r w:rsidR="00E33A60" w:rsidRPr="00186819">
        <w:rPr>
          <w:rFonts w:ascii="Times New Roman" w:hAnsi="Times New Roman" w:cs="Times New Roman"/>
          <w:sz w:val="28"/>
          <w:szCs w:val="28"/>
        </w:rPr>
        <w:t>il rapporto tra Costituzione e diritto UE.</w:t>
      </w:r>
    </w:p>
    <w:p w14:paraId="2B73434D" w14:textId="084E167D" w:rsidR="00F43969" w:rsidRPr="00186819" w:rsidRDefault="001F57B5" w:rsidP="00F12C3E">
      <w:pPr>
        <w:jc w:val="both"/>
        <w:rPr>
          <w:rFonts w:ascii="Times New Roman" w:hAnsi="Times New Roman" w:cs="Times New Roman"/>
          <w:sz w:val="28"/>
          <w:szCs w:val="28"/>
        </w:rPr>
      </w:pPr>
      <w:r w:rsidRPr="00186819">
        <w:rPr>
          <w:rFonts w:ascii="Times New Roman" w:hAnsi="Times New Roman" w:cs="Times New Roman"/>
          <w:sz w:val="28"/>
          <w:szCs w:val="28"/>
        </w:rPr>
        <w:t xml:space="preserve">Con la legge </w:t>
      </w:r>
      <w:r w:rsidR="00B820B9" w:rsidRPr="00186819">
        <w:rPr>
          <w:rFonts w:ascii="Times New Roman" w:hAnsi="Times New Roman" w:cs="Times New Roman"/>
          <w:sz w:val="28"/>
          <w:szCs w:val="28"/>
        </w:rPr>
        <w:t xml:space="preserve">17 marzo 2026, n. 40, </w:t>
      </w:r>
      <w:r w:rsidRPr="00186819">
        <w:rPr>
          <w:rFonts w:ascii="Times New Roman" w:hAnsi="Times New Roman" w:cs="Times New Roman"/>
          <w:sz w:val="28"/>
          <w:szCs w:val="28"/>
        </w:rPr>
        <w:t xml:space="preserve">è stata </w:t>
      </w:r>
      <w:r w:rsidR="00B820B9" w:rsidRPr="00186819">
        <w:rPr>
          <w:rFonts w:ascii="Times New Roman" w:hAnsi="Times New Roman" w:cs="Times New Roman"/>
          <w:sz w:val="28"/>
          <w:szCs w:val="28"/>
        </w:rPr>
        <w:t xml:space="preserve">invece </w:t>
      </w:r>
      <w:r w:rsidRPr="00186819">
        <w:rPr>
          <w:rFonts w:ascii="Times New Roman" w:hAnsi="Times New Roman" w:cs="Times New Roman"/>
          <w:sz w:val="28"/>
          <w:szCs w:val="28"/>
        </w:rPr>
        <w:t>apportata una</w:t>
      </w:r>
      <w:r w:rsidR="00E670DC" w:rsidRPr="00E670DC">
        <w:rPr>
          <w:rFonts w:ascii="Times New Roman" w:hAnsi="Times New Roman" w:cs="Times New Roman"/>
          <w:sz w:val="28"/>
          <w:szCs w:val="28"/>
        </w:rPr>
        <w:t xml:space="preserve"> </w:t>
      </w:r>
      <w:r w:rsidR="00E670DC" w:rsidRPr="00186819">
        <w:rPr>
          <w:rFonts w:ascii="Times New Roman" w:hAnsi="Times New Roman" w:cs="Times New Roman"/>
          <w:sz w:val="28"/>
          <w:szCs w:val="28"/>
        </w:rPr>
        <w:t>novella</w:t>
      </w:r>
      <w:r w:rsidR="0002458F" w:rsidRPr="00186819">
        <w:rPr>
          <w:rFonts w:ascii="Times New Roman" w:hAnsi="Times New Roman" w:cs="Times New Roman"/>
          <w:sz w:val="28"/>
          <w:szCs w:val="28"/>
        </w:rPr>
        <w:t>, per certi versi</w:t>
      </w:r>
      <w:r w:rsidRPr="00186819">
        <w:rPr>
          <w:rFonts w:ascii="Times New Roman" w:hAnsi="Times New Roman" w:cs="Times New Roman"/>
          <w:sz w:val="28"/>
          <w:szCs w:val="28"/>
        </w:rPr>
        <w:t xml:space="preserve"> organica</w:t>
      </w:r>
      <w:r w:rsidR="0002458F" w:rsidRPr="00186819">
        <w:rPr>
          <w:rFonts w:ascii="Times New Roman" w:hAnsi="Times New Roman" w:cs="Times New Roman"/>
          <w:sz w:val="28"/>
          <w:szCs w:val="28"/>
        </w:rPr>
        <w:t>,</w:t>
      </w:r>
      <w:r w:rsidRPr="00186819">
        <w:rPr>
          <w:rFonts w:ascii="Times New Roman" w:hAnsi="Times New Roman" w:cs="Times New Roman"/>
          <w:sz w:val="28"/>
          <w:szCs w:val="28"/>
        </w:rPr>
        <w:t xml:space="preserve"> al </w:t>
      </w:r>
      <w:r w:rsidR="00E82426" w:rsidRPr="00186819">
        <w:rPr>
          <w:rFonts w:ascii="Times New Roman" w:hAnsi="Times New Roman" w:cs="Times New Roman"/>
          <w:sz w:val="28"/>
          <w:szCs w:val="28"/>
        </w:rPr>
        <w:t>d.lgs. n. 42/2004 (c.d. Codice dei beni culturali</w:t>
      </w:r>
      <w:r w:rsidR="00651407" w:rsidRPr="00186819">
        <w:rPr>
          <w:rFonts w:ascii="Times New Roman" w:hAnsi="Times New Roman" w:cs="Times New Roman"/>
          <w:sz w:val="28"/>
          <w:szCs w:val="28"/>
        </w:rPr>
        <w:t xml:space="preserve">, </w:t>
      </w:r>
      <w:r w:rsidR="00651407" w:rsidRPr="00186819">
        <w:rPr>
          <w:rFonts w:ascii="Times New Roman" w:hAnsi="Times New Roman" w:cs="Times New Roman"/>
          <w:i/>
          <w:iCs/>
          <w:sz w:val="28"/>
          <w:szCs w:val="28"/>
        </w:rPr>
        <w:t>infra</w:t>
      </w:r>
      <w:r w:rsidR="00651407" w:rsidRPr="00186819">
        <w:rPr>
          <w:rFonts w:ascii="Times New Roman" w:hAnsi="Times New Roman" w:cs="Times New Roman"/>
          <w:sz w:val="28"/>
          <w:szCs w:val="28"/>
        </w:rPr>
        <w:t xml:space="preserve"> indicato semplicemente con “Codice”</w:t>
      </w:r>
      <w:r w:rsidR="00E82426" w:rsidRPr="00186819">
        <w:rPr>
          <w:rFonts w:ascii="Times New Roman" w:hAnsi="Times New Roman" w:cs="Times New Roman"/>
          <w:sz w:val="28"/>
          <w:szCs w:val="28"/>
        </w:rPr>
        <w:t>)</w:t>
      </w:r>
      <w:r w:rsidR="00651407" w:rsidRPr="00186819">
        <w:rPr>
          <w:rStyle w:val="Rimandonotaapidipagina"/>
          <w:rFonts w:ascii="Times New Roman" w:hAnsi="Times New Roman" w:cs="Times New Roman"/>
          <w:sz w:val="28"/>
          <w:szCs w:val="28"/>
        </w:rPr>
        <w:footnoteReference w:id="3"/>
      </w:r>
      <w:r w:rsidR="00E82426" w:rsidRPr="00186819">
        <w:rPr>
          <w:rFonts w:ascii="Times New Roman" w:hAnsi="Times New Roman" w:cs="Times New Roman"/>
          <w:sz w:val="28"/>
          <w:szCs w:val="28"/>
        </w:rPr>
        <w:t xml:space="preserve">, </w:t>
      </w:r>
      <w:r w:rsidR="00F43969" w:rsidRPr="00186819">
        <w:rPr>
          <w:rFonts w:ascii="Times New Roman" w:hAnsi="Times New Roman" w:cs="Times New Roman"/>
          <w:sz w:val="28"/>
          <w:szCs w:val="28"/>
        </w:rPr>
        <w:t xml:space="preserve">che in </w:t>
      </w:r>
      <w:r w:rsidRPr="00186819">
        <w:rPr>
          <w:rFonts w:ascii="Times New Roman" w:hAnsi="Times New Roman" w:cs="Times New Roman"/>
          <w:sz w:val="28"/>
          <w:szCs w:val="28"/>
        </w:rPr>
        <w:t xml:space="preserve">parte </w:t>
      </w:r>
      <w:r w:rsidR="00F43969" w:rsidRPr="00186819">
        <w:rPr>
          <w:rFonts w:ascii="Times New Roman" w:hAnsi="Times New Roman" w:cs="Times New Roman"/>
          <w:sz w:val="28"/>
          <w:szCs w:val="28"/>
        </w:rPr>
        <w:t xml:space="preserve">riguarda </w:t>
      </w:r>
      <w:r w:rsidR="00B820B9" w:rsidRPr="00186819">
        <w:rPr>
          <w:rFonts w:ascii="Times New Roman" w:hAnsi="Times New Roman" w:cs="Times New Roman"/>
          <w:sz w:val="28"/>
          <w:szCs w:val="28"/>
        </w:rPr>
        <w:t>anche</w:t>
      </w:r>
      <w:r w:rsidR="00F43969" w:rsidRPr="00186819">
        <w:rPr>
          <w:rFonts w:ascii="Times New Roman" w:hAnsi="Times New Roman" w:cs="Times New Roman"/>
          <w:sz w:val="28"/>
          <w:szCs w:val="28"/>
        </w:rPr>
        <w:t xml:space="preserve"> alcune del</w:t>
      </w:r>
      <w:r w:rsidR="00B820B9" w:rsidRPr="00186819">
        <w:rPr>
          <w:rFonts w:ascii="Times New Roman" w:hAnsi="Times New Roman" w:cs="Times New Roman"/>
          <w:sz w:val="28"/>
          <w:szCs w:val="28"/>
        </w:rPr>
        <w:t xml:space="preserve">le disposizioni </w:t>
      </w:r>
      <w:r w:rsidR="0090690F" w:rsidRPr="00186819">
        <w:rPr>
          <w:rFonts w:ascii="Times New Roman" w:hAnsi="Times New Roman" w:cs="Times New Roman"/>
          <w:sz w:val="28"/>
          <w:szCs w:val="28"/>
        </w:rPr>
        <w:t>oggetto di rimessione e poi esaminate dalla Consulta</w:t>
      </w:r>
      <w:r w:rsidRPr="00186819">
        <w:rPr>
          <w:rFonts w:ascii="Times New Roman" w:hAnsi="Times New Roman" w:cs="Times New Roman"/>
          <w:sz w:val="28"/>
          <w:szCs w:val="28"/>
        </w:rPr>
        <w:t>.</w:t>
      </w:r>
    </w:p>
    <w:p w14:paraId="0AE3C902" w14:textId="2591AF44" w:rsidR="00877271" w:rsidRPr="00186819" w:rsidRDefault="00436370" w:rsidP="00F12C3E">
      <w:pPr>
        <w:jc w:val="both"/>
        <w:rPr>
          <w:rFonts w:ascii="Times New Roman" w:hAnsi="Times New Roman" w:cs="Times New Roman"/>
          <w:sz w:val="28"/>
          <w:szCs w:val="28"/>
        </w:rPr>
      </w:pPr>
      <w:r w:rsidRPr="00186819">
        <w:rPr>
          <w:rFonts w:ascii="Times New Roman" w:hAnsi="Times New Roman" w:cs="Times New Roman"/>
          <w:sz w:val="28"/>
          <w:szCs w:val="28"/>
        </w:rPr>
        <w:lastRenderedPageBreak/>
        <w:t xml:space="preserve">Nel presente contributo si </w:t>
      </w:r>
      <w:r w:rsidR="004B0F30" w:rsidRPr="00186819">
        <w:rPr>
          <w:rFonts w:ascii="Times New Roman" w:hAnsi="Times New Roman" w:cs="Times New Roman"/>
          <w:sz w:val="28"/>
          <w:szCs w:val="28"/>
        </w:rPr>
        <w:t>ripercorrer</w:t>
      </w:r>
      <w:r w:rsidR="00E670DC">
        <w:rPr>
          <w:rFonts w:ascii="Times New Roman" w:hAnsi="Times New Roman" w:cs="Times New Roman"/>
          <w:sz w:val="28"/>
          <w:szCs w:val="28"/>
        </w:rPr>
        <w:t xml:space="preserve">anno </w:t>
      </w:r>
      <w:r w:rsidR="004B0F30" w:rsidRPr="00186819">
        <w:rPr>
          <w:rFonts w:ascii="Times New Roman" w:hAnsi="Times New Roman" w:cs="Times New Roman"/>
          <w:sz w:val="28"/>
          <w:szCs w:val="28"/>
        </w:rPr>
        <w:t xml:space="preserve">i </w:t>
      </w:r>
      <w:r w:rsidR="00645FBB">
        <w:rPr>
          <w:rFonts w:ascii="Times New Roman" w:hAnsi="Times New Roman" w:cs="Times New Roman"/>
          <w:sz w:val="28"/>
          <w:szCs w:val="28"/>
        </w:rPr>
        <w:t>p</w:t>
      </w:r>
      <w:r w:rsidR="008F6CFE">
        <w:rPr>
          <w:rFonts w:ascii="Times New Roman" w:hAnsi="Times New Roman" w:cs="Times New Roman"/>
          <w:sz w:val="28"/>
          <w:szCs w:val="28"/>
        </w:rPr>
        <w:t>assagg</w:t>
      </w:r>
      <w:r w:rsidR="00645FBB">
        <w:rPr>
          <w:rFonts w:ascii="Times New Roman" w:hAnsi="Times New Roman" w:cs="Times New Roman"/>
          <w:sz w:val="28"/>
          <w:szCs w:val="28"/>
        </w:rPr>
        <w:t xml:space="preserve">i essenziali dei </w:t>
      </w:r>
      <w:r w:rsidR="004B0F30" w:rsidRPr="00186819">
        <w:rPr>
          <w:rFonts w:ascii="Times New Roman" w:hAnsi="Times New Roman" w:cs="Times New Roman"/>
          <w:sz w:val="28"/>
          <w:szCs w:val="28"/>
        </w:rPr>
        <w:t>menzionati interventi giurisprudenziali e normativi</w:t>
      </w:r>
      <w:r w:rsidR="00F43969" w:rsidRPr="00186819">
        <w:rPr>
          <w:rFonts w:ascii="Times New Roman" w:hAnsi="Times New Roman" w:cs="Times New Roman"/>
          <w:sz w:val="28"/>
          <w:szCs w:val="28"/>
        </w:rPr>
        <w:t xml:space="preserve"> cercando di </w:t>
      </w:r>
      <w:r w:rsidR="00651407" w:rsidRPr="00186819">
        <w:rPr>
          <w:rFonts w:ascii="Times New Roman" w:hAnsi="Times New Roman" w:cs="Times New Roman"/>
          <w:sz w:val="28"/>
          <w:szCs w:val="28"/>
        </w:rPr>
        <w:t>individuare i nessi che li caratterizzano</w:t>
      </w:r>
      <w:r w:rsidR="004B0F30" w:rsidRPr="00186819">
        <w:rPr>
          <w:rFonts w:ascii="Times New Roman" w:hAnsi="Times New Roman" w:cs="Times New Roman"/>
          <w:sz w:val="28"/>
          <w:szCs w:val="28"/>
        </w:rPr>
        <w:t>.</w:t>
      </w:r>
    </w:p>
    <w:p w14:paraId="6DA1FC03" w14:textId="5E4E421F" w:rsidR="00F12C3E" w:rsidRPr="00186819" w:rsidRDefault="00F12C3E" w:rsidP="00651407">
      <w:pPr>
        <w:pStyle w:val="Paragrafoelenco"/>
        <w:numPr>
          <w:ilvl w:val="0"/>
          <w:numId w:val="6"/>
        </w:numPr>
        <w:jc w:val="both"/>
        <w:rPr>
          <w:rFonts w:ascii="Times New Roman" w:hAnsi="Times New Roman" w:cs="Times New Roman"/>
          <w:b/>
          <w:bCs/>
          <w:i/>
          <w:iCs/>
          <w:sz w:val="28"/>
          <w:szCs w:val="28"/>
        </w:rPr>
      </w:pPr>
      <w:r w:rsidRPr="00186819">
        <w:rPr>
          <w:rFonts w:ascii="Times New Roman" w:hAnsi="Times New Roman" w:cs="Times New Roman"/>
          <w:b/>
          <w:bCs/>
          <w:i/>
          <w:iCs/>
          <w:sz w:val="28"/>
          <w:szCs w:val="28"/>
        </w:rPr>
        <w:t xml:space="preserve">La sentenza del </w:t>
      </w:r>
      <w:bookmarkStart w:id="0" w:name="_Hlk228259672"/>
      <w:r w:rsidRPr="00186819">
        <w:rPr>
          <w:rFonts w:ascii="Times New Roman" w:hAnsi="Times New Roman" w:cs="Times New Roman"/>
          <w:b/>
          <w:bCs/>
          <w:i/>
          <w:iCs/>
          <w:sz w:val="28"/>
          <w:szCs w:val="28"/>
        </w:rPr>
        <w:t>26 giugno 202</w:t>
      </w:r>
      <w:r w:rsidR="001F57B5" w:rsidRPr="00186819">
        <w:rPr>
          <w:rFonts w:ascii="Times New Roman" w:hAnsi="Times New Roman" w:cs="Times New Roman"/>
          <w:b/>
          <w:bCs/>
          <w:i/>
          <w:iCs/>
          <w:sz w:val="28"/>
          <w:szCs w:val="28"/>
        </w:rPr>
        <w:t>5</w:t>
      </w:r>
      <w:r w:rsidRPr="00186819">
        <w:rPr>
          <w:rFonts w:ascii="Times New Roman" w:hAnsi="Times New Roman" w:cs="Times New Roman"/>
          <w:b/>
          <w:bCs/>
          <w:i/>
          <w:iCs/>
          <w:sz w:val="28"/>
          <w:szCs w:val="28"/>
        </w:rPr>
        <w:t>, n. 88</w:t>
      </w:r>
      <w:r w:rsidR="003153AD" w:rsidRPr="00186819">
        <w:rPr>
          <w:rStyle w:val="Rimandonotaapidipagina"/>
          <w:rFonts w:ascii="Times New Roman" w:hAnsi="Times New Roman" w:cs="Times New Roman"/>
          <w:sz w:val="28"/>
          <w:szCs w:val="28"/>
        </w:rPr>
        <w:footnoteReference w:id="4"/>
      </w:r>
      <w:r w:rsidRPr="00186819">
        <w:rPr>
          <w:rFonts w:ascii="Times New Roman" w:hAnsi="Times New Roman" w:cs="Times New Roman"/>
          <w:b/>
          <w:bCs/>
          <w:i/>
          <w:iCs/>
          <w:sz w:val="28"/>
          <w:szCs w:val="28"/>
        </w:rPr>
        <w:t xml:space="preserve">. </w:t>
      </w:r>
    </w:p>
    <w:bookmarkEnd w:id="0"/>
    <w:p w14:paraId="581CA07D" w14:textId="1A3F48FE" w:rsidR="0090690F" w:rsidRPr="00186819" w:rsidRDefault="0090690F" w:rsidP="00F12C3E">
      <w:pPr>
        <w:jc w:val="both"/>
        <w:rPr>
          <w:rFonts w:ascii="Times New Roman" w:hAnsi="Times New Roman" w:cs="Times New Roman"/>
          <w:sz w:val="28"/>
          <w:szCs w:val="28"/>
        </w:rPr>
      </w:pPr>
      <w:r w:rsidRPr="00186819">
        <w:rPr>
          <w:rFonts w:ascii="Times New Roman" w:hAnsi="Times New Roman" w:cs="Times New Roman"/>
          <w:sz w:val="28"/>
          <w:szCs w:val="28"/>
        </w:rPr>
        <w:t xml:space="preserve">La prima questione di cui si è fatto cenno </w:t>
      </w:r>
      <w:r w:rsidR="002B099A">
        <w:rPr>
          <w:rFonts w:ascii="Times New Roman" w:hAnsi="Times New Roman" w:cs="Times New Roman"/>
          <w:sz w:val="28"/>
          <w:szCs w:val="28"/>
        </w:rPr>
        <w:t xml:space="preserve">nella </w:t>
      </w:r>
      <w:r w:rsidRPr="00186819">
        <w:rPr>
          <w:rFonts w:ascii="Times New Roman" w:hAnsi="Times New Roman" w:cs="Times New Roman"/>
          <w:sz w:val="28"/>
          <w:szCs w:val="28"/>
        </w:rPr>
        <w:t xml:space="preserve">premessa, </w:t>
      </w:r>
      <w:r w:rsidR="00B820B9" w:rsidRPr="00186819">
        <w:rPr>
          <w:rFonts w:ascii="Times New Roman" w:hAnsi="Times New Roman" w:cs="Times New Roman"/>
          <w:sz w:val="28"/>
          <w:szCs w:val="28"/>
        </w:rPr>
        <w:t xml:space="preserve">sollevata dal Consiglio di Stato, </w:t>
      </w:r>
      <w:r w:rsidRPr="00186819">
        <w:rPr>
          <w:rFonts w:ascii="Times New Roman" w:hAnsi="Times New Roman" w:cs="Times New Roman"/>
          <w:sz w:val="28"/>
          <w:szCs w:val="28"/>
        </w:rPr>
        <w:t xml:space="preserve">riguardava </w:t>
      </w:r>
      <w:r w:rsidR="00B820B9" w:rsidRPr="00186819">
        <w:rPr>
          <w:rFonts w:ascii="Times New Roman" w:hAnsi="Times New Roman" w:cs="Times New Roman"/>
          <w:sz w:val="28"/>
          <w:szCs w:val="28"/>
        </w:rPr>
        <w:t>l’applicazione dell</w:t>
      </w:r>
      <w:r w:rsidR="00F12C3E" w:rsidRPr="00186819">
        <w:rPr>
          <w:rFonts w:ascii="Times New Roman" w:hAnsi="Times New Roman" w:cs="Times New Roman"/>
          <w:sz w:val="28"/>
          <w:szCs w:val="28"/>
        </w:rPr>
        <w:t>’art. 21-</w:t>
      </w:r>
      <w:r w:rsidR="00F12C3E" w:rsidRPr="00186819">
        <w:rPr>
          <w:rFonts w:ascii="Times New Roman" w:hAnsi="Times New Roman" w:cs="Times New Roman"/>
          <w:i/>
          <w:iCs/>
          <w:sz w:val="28"/>
          <w:szCs w:val="28"/>
        </w:rPr>
        <w:t>nonies</w:t>
      </w:r>
      <w:r w:rsidR="00F12C3E" w:rsidRPr="00186819">
        <w:rPr>
          <w:rFonts w:ascii="Times New Roman" w:hAnsi="Times New Roman" w:cs="Times New Roman"/>
          <w:sz w:val="28"/>
          <w:szCs w:val="28"/>
        </w:rPr>
        <w:t>, comma 1, legge 241/1990</w:t>
      </w:r>
      <w:r w:rsidR="00B820B9" w:rsidRPr="00186819">
        <w:rPr>
          <w:rFonts w:ascii="Times New Roman" w:hAnsi="Times New Roman" w:cs="Times New Roman"/>
          <w:sz w:val="28"/>
          <w:szCs w:val="28"/>
        </w:rPr>
        <w:t xml:space="preserve"> al settore dei beni culturali</w:t>
      </w:r>
      <w:r w:rsidR="00F12C3E"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p>
    <w:p w14:paraId="63E8E0A2" w14:textId="77777777" w:rsidR="004E406E" w:rsidRPr="00186819" w:rsidRDefault="00B820B9" w:rsidP="00F12C3E">
      <w:pPr>
        <w:jc w:val="both"/>
        <w:rPr>
          <w:rFonts w:ascii="Times New Roman" w:hAnsi="Times New Roman" w:cs="Times New Roman"/>
          <w:sz w:val="28"/>
          <w:szCs w:val="28"/>
        </w:rPr>
      </w:pPr>
      <w:r w:rsidRPr="00186819">
        <w:rPr>
          <w:rFonts w:ascii="Times New Roman" w:hAnsi="Times New Roman" w:cs="Times New Roman"/>
          <w:sz w:val="28"/>
          <w:szCs w:val="28"/>
        </w:rPr>
        <w:t xml:space="preserve">Come noto, la disposizione menzionata consente </w:t>
      </w:r>
      <w:r w:rsidR="00F12C3E" w:rsidRPr="00186819">
        <w:rPr>
          <w:rFonts w:ascii="Times New Roman" w:hAnsi="Times New Roman" w:cs="Times New Roman"/>
          <w:sz w:val="28"/>
          <w:szCs w:val="28"/>
        </w:rPr>
        <w:t>l’annullamento d’ufficio</w:t>
      </w:r>
      <w:r w:rsidRPr="00186819">
        <w:rPr>
          <w:rFonts w:ascii="Times New Roman" w:hAnsi="Times New Roman" w:cs="Times New Roman"/>
          <w:sz w:val="28"/>
          <w:szCs w:val="28"/>
        </w:rPr>
        <w:t xml:space="preserve"> di un provvedimento amministrativo</w:t>
      </w:r>
      <w:r w:rsidR="00F43969"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entro un termine ragionevole,</w:t>
      </w:r>
      <w:r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 xml:space="preserve">ma per gli atti favorevoli </w:t>
      </w:r>
      <w:r w:rsidR="00F43969" w:rsidRPr="00186819">
        <w:rPr>
          <w:rFonts w:ascii="Times New Roman" w:hAnsi="Times New Roman" w:cs="Times New Roman"/>
          <w:sz w:val="28"/>
          <w:szCs w:val="28"/>
        </w:rPr>
        <w:t xml:space="preserve">per il destinatario </w:t>
      </w:r>
      <w:r w:rsidR="00F12C3E" w:rsidRPr="00186819">
        <w:rPr>
          <w:rFonts w:ascii="Times New Roman" w:hAnsi="Times New Roman" w:cs="Times New Roman"/>
          <w:sz w:val="28"/>
          <w:szCs w:val="28"/>
        </w:rPr>
        <w:t>(</w:t>
      </w:r>
      <w:r w:rsidRPr="00186819">
        <w:rPr>
          <w:rFonts w:ascii="Times New Roman" w:hAnsi="Times New Roman" w:cs="Times New Roman"/>
          <w:i/>
          <w:iCs/>
          <w:sz w:val="28"/>
          <w:szCs w:val="28"/>
        </w:rPr>
        <w:t>i.a.</w:t>
      </w:r>
      <w:r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 xml:space="preserve">autorizzazioni, </w:t>
      </w:r>
      <w:r w:rsidR="00F43969" w:rsidRPr="00186819">
        <w:rPr>
          <w:rFonts w:ascii="Times New Roman" w:hAnsi="Times New Roman" w:cs="Times New Roman"/>
          <w:sz w:val="28"/>
          <w:szCs w:val="28"/>
        </w:rPr>
        <w:t xml:space="preserve">concessioni, </w:t>
      </w:r>
      <w:r w:rsidR="00F12C3E" w:rsidRPr="00186819">
        <w:rPr>
          <w:rFonts w:ascii="Times New Roman" w:hAnsi="Times New Roman" w:cs="Times New Roman"/>
          <w:sz w:val="28"/>
          <w:szCs w:val="28"/>
        </w:rPr>
        <w:t>vantaggi economici) introduce un termine massimo di 12 mesi</w:t>
      </w:r>
      <w:r w:rsidR="00254589" w:rsidRPr="00186819">
        <w:rPr>
          <w:rFonts w:ascii="Times New Roman" w:hAnsi="Times New Roman" w:cs="Times New Roman"/>
          <w:sz w:val="28"/>
          <w:szCs w:val="28"/>
        </w:rPr>
        <w:t xml:space="preserve"> (ora 6 mesi)</w:t>
      </w:r>
      <w:r w:rsidR="00F43969" w:rsidRPr="00186819">
        <w:rPr>
          <w:rFonts w:ascii="Times New Roman" w:hAnsi="Times New Roman" w:cs="Times New Roman"/>
          <w:sz w:val="28"/>
          <w:szCs w:val="28"/>
        </w:rPr>
        <w:t xml:space="preserve"> per esercitare questo potere</w:t>
      </w:r>
      <w:r w:rsidR="00F12C3E" w:rsidRPr="00186819">
        <w:rPr>
          <w:rFonts w:ascii="Times New Roman" w:hAnsi="Times New Roman" w:cs="Times New Roman"/>
          <w:sz w:val="28"/>
          <w:szCs w:val="28"/>
        </w:rPr>
        <w:t>.</w:t>
      </w:r>
    </w:p>
    <w:p w14:paraId="285719F6" w14:textId="6ADA3529" w:rsidR="003B35D3" w:rsidRPr="00186819" w:rsidRDefault="00B820B9" w:rsidP="00F12C3E">
      <w:pPr>
        <w:jc w:val="both"/>
        <w:rPr>
          <w:rFonts w:ascii="Times New Roman" w:hAnsi="Times New Roman" w:cs="Times New Roman"/>
          <w:sz w:val="28"/>
          <w:szCs w:val="28"/>
        </w:rPr>
      </w:pPr>
      <w:r w:rsidRPr="00186819">
        <w:rPr>
          <w:rFonts w:ascii="Times New Roman" w:hAnsi="Times New Roman" w:cs="Times New Roman"/>
          <w:sz w:val="28"/>
          <w:szCs w:val="28"/>
        </w:rPr>
        <w:lastRenderedPageBreak/>
        <w:t xml:space="preserve">Ai sensi del </w:t>
      </w:r>
      <w:r w:rsidR="00F12C3E" w:rsidRPr="00186819">
        <w:rPr>
          <w:rFonts w:ascii="Times New Roman" w:hAnsi="Times New Roman" w:cs="Times New Roman"/>
          <w:sz w:val="28"/>
          <w:szCs w:val="28"/>
        </w:rPr>
        <w:t>comma 2-bis</w:t>
      </w:r>
      <w:r w:rsidRPr="00186819">
        <w:rPr>
          <w:rFonts w:ascii="Times New Roman" w:hAnsi="Times New Roman" w:cs="Times New Roman"/>
          <w:sz w:val="28"/>
          <w:szCs w:val="28"/>
        </w:rPr>
        <w:t xml:space="preserve"> della medesima </w:t>
      </w:r>
      <w:r w:rsidR="003B35D3" w:rsidRPr="00186819">
        <w:rPr>
          <w:rFonts w:ascii="Times New Roman" w:hAnsi="Times New Roman" w:cs="Times New Roman"/>
          <w:sz w:val="28"/>
          <w:szCs w:val="28"/>
        </w:rPr>
        <w:t xml:space="preserve">norma, </w:t>
      </w:r>
      <w:r w:rsidR="00F12C3E" w:rsidRPr="00186819">
        <w:rPr>
          <w:rFonts w:ascii="Times New Roman" w:hAnsi="Times New Roman" w:cs="Times New Roman"/>
          <w:sz w:val="28"/>
          <w:szCs w:val="28"/>
        </w:rPr>
        <w:t xml:space="preserve">il </w:t>
      </w:r>
      <w:r w:rsidR="003B35D3" w:rsidRPr="00186819">
        <w:rPr>
          <w:rFonts w:ascii="Times New Roman" w:hAnsi="Times New Roman" w:cs="Times New Roman"/>
          <w:sz w:val="28"/>
          <w:szCs w:val="28"/>
        </w:rPr>
        <w:t xml:space="preserve">predetto </w:t>
      </w:r>
      <w:r w:rsidR="00F12C3E" w:rsidRPr="00186819">
        <w:rPr>
          <w:rFonts w:ascii="Times New Roman" w:hAnsi="Times New Roman" w:cs="Times New Roman"/>
          <w:sz w:val="28"/>
          <w:szCs w:val="28"/>
        </w:rPr>
        <w:t>termine non si applica in caso di</w:t>
      </w:r>
      <w:r w:rsidR="001C75A9" w:rsidRPr="00186819">
        <w:rPr>
          <w:rFonts w:ascii="Times New Roman" w:hAnsi="Times New Roman" w:cs="Times New Roman"/>
          <w:sz w:val="28"/>
          <w:szCs w:val="28"/>
        </w:rPr>
        <w:t xml:space="preserve"> </w:t>
      </w:r>
      <w:r w:rsidR="004E406E" w:rsidRPr="00186819">
        <w:rPr>
          <w:rFonts w:ascii="Times New Roman" w:hAnsi="Times New Roman" w:cs="Times New Roman"/>
          <w:sz w:val="28"/>
          <w:szCs w:val="28"/>
        </w:rPr>
        <w:t>false</w:t>
      </w:r>
      <w:r w:rsidR="001C75A9" w:rsidRPr="00186819">
        <w:rPr>
          <w:rFonts w:ascii="Times New Roman" w:hAnsi="Times New Roman" w:cs="Times New Roman"/>
          <w:sz w:val="28"/>
          <w:szCs w:val="28"/>
        </w:rPr>
        <w:t xml:space="preserve"> </w:t>
      </w:r>
      <w:r w:rsidR="004E406E" w:rsidRPr="00186819">
        <w:rPr>
          <w:rFonts w:ascii="Times New Roman" w:hAnsi="Times New Roman" w:cs="Times New Roman"/>
          <w:sz w:val="28"/>
          <w:szCs w:val="28"/>
        </w:rPr>
        <w:t>rappresentazioni</w:t>
      </w:r>
      <w:r w:rsidR="001C75A9" w:rsidRPr="00186819">
        <w:rPr>
          <w:rFonts w:ascii="Times New Roman" w:hAnsi="Times New Roman" w:cs="Times New Roman"/>
          <w:sz w:val="28"/>
          <w:szCs w:val="28"/>
        </w:rPr>
        <w:t xml:space="preserve"> </w:t>
      </w:r>
      <w:r w:rsidR="004E406E" w:rsidRPr="00186819">
        <w:rPr>
          <w:rFonts w:ascii="Times New Roman" w:hAnsi="Times New Roman" w:cs="Times New Roman"/>
          <w:sz w:val="28"/>
          <w:szCs w:val="28"/>
        </w:rPr>
        <w:t>dei</w:t>
      </w:r>
      <w:r w:rsidR="001C75A9" w:rsidRPr="00186819">
        <w:rPr>
          <w:rFonts w:ascii="Times New Roman" w:hAnsi="Times New Roman" w:cs="Times New Roman"/>
          <w:sz w:val="28"/>
          <w:szCs w:val="28"/>
        </w:rPr>
        <w:t xml:space="preserve"> </w:t>
      </w:r>
      <w:r w:rsidR="004E406E" w:rsidRPr="00186819">
        <w:rPr>
          <w:rFonts w:ascii="Times New Roman" w:hAnsi="Times New Roman" w:cs="Times New Roman"/>
          <w:sz w:val="28"/>
          <w:szCs w:val="28"/>
        </w:rPr>
        <w:t>fatti</w:t>
      </w:r>
      <w:r w:rsidR="003B35D3" w:rsidRPr="00186819">
        <w:rPr>
          <w:rFonts w:ascii="Times New Roman" w:hAnsi="Times New Roman" w:cs="Times New Roman"/>
          <w:sz w:val="28"/>
          <w:szCs w:val="28"/>
        </w:rPr>
        <w:t>,</w:t>
      </w:r>
      <w:r w:rsidR="001C75A9" w:rsidRPr="00186819">
        <w:rPr>
          <w:rFonts w:ascii="Times New Roman" w:hAnsi="Times New Roman" w:cs="Times New Roman"/>
          <w:sz w:val="28"/>
          <w:szCs w:val="28"/>
        </w:rPr>
        <w:t xml:space="preserve"> </w:t>
      </w:r>
      <w:r w:rsidR="003B35D3" w:rsidRPr="00186819">
        <w:rPr>
          <w:rFonts w:ascii="Times New Roman" w:hAnsi="Times New Roman" w:cs="Times New Roman"/>
          <w:sz w:val="28"/>
          <w:szCs w:val="28"/>
        </w:rPr>
        <w:t>o</w:t>
      </w:r>
      <w:r w:rsidR="001C75A9" w:rsidRPr="00186819">
        <w:rPr>
          <w:rFonts w:ascii="Times New Roman" w:hAnsi="Times New Roman" w:cs="Times New Roman"/>
          <w:sz w:val="28"/>
          <w:szCs w:val="28"/>
        </w:rPr>
        <w:t xml:space="preserve"> </w:t>
      </w:r>
      <w:r w:rsidR="003B35D3" w:rsidRPr="00186819">
        <w:rPr>
          <w:rFonts w:ascii="Times New Roman" w:hAnsi="Times New Roman" w:cs="Times New Roman"/>
          <w:sz w:val="28"/>
          <w:szCs w:val="28"/>
        </w:rPr>
        <w:t>comunque</w:t>
      </w:r>
      <w:r w:rsidR="001C75A9" w:rsidRPr="00186819">
        <w:rPr>
          <w:rFonts w:ascii="Times New Roman" w:hAnsi="Times New Roman" w:cs="Times New Roman"/>
          <w:sz w:val="28"/>
          <w:szCs w:val="28"/>
        </w:rPr>
        <w:t xml:space="preserve"> </w:t>
      </w:r>
      <w:r w:rsidR="004E406E" w:rsidRPr="00186819">
        <w:rPr>
          <w:rFonts w:ascii="Times New Roman" w:hAnsi="Times New Roman" w:cs="Times New Roman"/>
          <w:sz w:val="28"/>
          <w:szCs w:val="28"/>
        </w:rPr>
        <w:t>in</w:t>
      </w:r>
      <w:r w:rsidR="001C75A9" w:rsidRPr="00186819">
        <w:rPr>
          <w:rFonts w:ascii="Times New Roman" w:hAnsi="Times New Roman" w:cs="Times New Roman"/>
          <w:sz w:val="28"/>
          <w:szCs w:val="28"/>
        </w:rPr>
        <w:t xml:space="preserve"> </w:t>
      </w:r>
      <w:r w:rsidR="004E406E" w:rsidRPr="00186819">
        <w:rPr>
          <w:rFonts w:ascii="Times New Roman" w:hAnsi="Times New Roman" w:cs="Times New Roman"/>
          <w:sz w:val="28"/>
          <w:szCs w:val="28"/>
        </w:rPr>
        <w:t xml:space="preserve">presenza </w:t>
      </w:r>
      <w:r w:rsidR="00F43969" w:rsidRPr="00186819">
        <w:rPr>
          <w:rFonts w:ascii="Times New Roman" w:hAnsi="Times New Roman" w:cs="Times New Roman"/>
          <w:sz w:val="28"/>
          <w:szCs w:val="28"/>
        </w:rPr>
        <w:t xml:space="preserve">di </w:t>
      </w:r>
      <w:r w:rsidR="003B35D3" w:rsidRPr="00186819">
        <w:rPr>
          <w:rFonts w:ascii="Times New Roman" w:hAnsi="Times New Roman" w:cs="Times New Roman"/>
          <w:sz w:val="28"/>
          <w:szCs w:val="28"/>
        </w:rPr>
        <w:t>dichiarazioni</w:t>
      </w:r>
      <w:r w:rsidR="004E406E" w:rsidRPr="00186819">
        <w:rPr>
          <w:rFonts w:ascii="Times New Roman" w:hAnsi="Times New Roman" w:cs="Times New Roman"/>
          <w:sz w:val="28"/>
          <w:szCs w:val="28"/>
        </w:rPr>
        <w:t xml:space="preserve"> sostitutive di certificazione e dell'atto di notorietà false o</w:t>
      </w:r>
      <w:r w:rsidR="001C75A9" w:rsidRPr="00186819">
        <w:rPr>
          <w:rFonts w:ascii="Times New Roman" w:hAnsi="Times New Roman" w:cs="Times New Roman"/>
          <w:sz w:val="28"/>
          <w:szCs w:val="28"/>
        </w:rPr>
        <w:t>vvero</w:t>
      </w:r>
      <w:r w:rsidR="004E406E" w:rsidRPr="00186819">
        <w:rPr>
          <w:rFonts w:ascii="Times New Roman" w:hAnsi="Times New Roman" w:cs="Times New Roman"/>
          <w:sz w:val="28"/>
          <w:szCs w:val="28"/>
        </w:rPr>
        <w:t xml:space="preserve"> mendaci per effetto di condotte costituenti reato, accertate con sentenza passata in giudicato</w:t>
      </w:r>
      <w:r w:rsidR="003B35D3" w:rsidRPr="00186819">
        <w:rPr>
          <w:rFonts w:ascii="Times New Roman" w:hAnsi="Times New Roman" w:cs="Times New Roman"/>
          <w:sz w:val="28"/>
          <w:szCs w:val="28"/>
        </w:rPr>
        <w:t>.</w:t>
      </w:r>
    </w:p>
    <w:p w14:paraId="2B00D6BD" w14:textId="5BE99EA5" w:rsidR="003B35D3" w:rsidRPr="00186819" w:rsidRDefault="00F12C3E" w:rsidP="00F12C3E">
      <w:pPr>
        <w:jc w:val="both"/>
        <w:rPr>
          <w:rFonts w:ascii="Times New Roman" w:hAnsi="Times New Roman" w:cs="Times New Roman"/>
          <w:sz w:val="28"/>
          <w:szCs w:val="28"/>
        </w:rPr>
      </w:pPr>
      <w:r w:rsidRPr="00186819">
        <w:rPr>
          <w:rFonts w:ascii="Times New Roman" w:hAnsi="Times New Roman" w:cs="Times New Roman"/>
          <w:sz w:val="28"/>
          <w:szCs w:val="28"/>
        </w:rPr>
        <w:t>Il dubbio</w:t>
      </w:r>
      <w:r w:rsidR="003B35D3" w:rsidRPr="00186819">
        <w:rPr>
          <w:rFonts w:ascii="Times New Roman" w:hAnsi="Times New Roman" w:cs="Times New Roman"/>
          <w:sz w:val="28"/>
          <w:szCs w:val="28"/>
        </w:rPr>
        <w:t xml:space="preserve"> di costituzionalità riguardava la compatibilità costituzionale di tale </w:t>
      </w:r>
      <w:r w:rsidRPr="00186819">
        <w:rPr>
          <w:rFonts w:ascii="Times New Roman" w:hAnsi="Times New Roman" w:cs="Times New Roman"/>
          <w:sz w:val="28"/>
          <w:szCs w:val="28"/>
        </w:rPr>
        <w:t>termine rigido</w:t>
      </w:r>
      <w:r w:rsidR="003B35D3" w:rsidRPr="00186819">
        <w:rPr>
          <w:rFonts w:ascii="Times New Roman" w:hAnsi="Times New Roman" w:cs="Times New Roman"/>
          <w:sz w:val="28"/>
          <w:szCs w:val="28"/>
        </w:rPr>
        <w:t xml:space="preserve"> </w:t>
      </w:r>
      <w:r w:rsidRPr="00186819">
        <w:rPr>
          <w:rFonts w:ascii="Times New Roman" w:hAnsi="Times New Roman" w:cs="Times New Roman"/>
          <w:sz w:val="28"/>
          <w:szCs w:val="28"/>
        </w:rPr>
        <w:t>quando s</w:t>
      </w:r>
      <w:r w:rsidR="00006FC9" w:rsidRPr="00186819">
        <w:rPr>
          <w:rFonts w:ascii="Times New Roman" w:hAnsi="Times New Roman" w:cs="Times New Roman"/>
          <w:sz w:val="28"/>
          <w:szCs w:val="28"/>
        </w:rPr>
        <w:t xml:space="preserve">iano </w:t>
      </w:r>
      <w:r w:rsidRPr="00186819">
        <w:rPr>
          <w:rFonts w:ascii="Times New Roman" w:hAnsi="Times New Roman" w:cs="Times New Roman"/>
          <w:sz w:val="28"/>
          <w:szCs w:val="28"/>
        </w:rPr>
        <w:t>coinvolti interessi costituzionali “sensibili”</w:t>
      </w:r>
      <w:r w:rsidR="003B35D3" w:rsidRPr="00186819">
        <w:rPr>
          <w:rFonts w:ascii="Times New Roman" w:hAnsi="Times New Roman" w:cs="Times New Roman"/>
          <w:sz w:val="28"/>
          <w:szCs w:val="28"/>
        </w:rPr>
        <w:t xml:space="preserve">, come </w:t>
      </w:r>
      <w:r w:rsidR="000F6ED9" w:rsidRPr="00186819">
        <w:rPr>
          <w:rFonts w:ascii="Times New Roman" w:hAnsi="Times New Roman" w:cs="Times New Roman"/>
          <w:sz w:val="28"/>
          <w:szCs w:val="28"/>
        </w:rPr>
        <w:t xml:space="preserve">avviene </w:t>
      </w:r>
      <w:r w:rsidR="003B35D3" w:rsidRPr="00186819">
        <w:rPr>
          <w:rFonts w:ascii="Times New Roman" w:hAnsi="Times New Roman" w:cs="Times New Roman"/>
          <w:sz w:val="28"/>
          <w:szCs w:val="28"/>
        </w:rPr>
        <w:t xml:space="preserve">nel caso della tutela del </w:t>
      </w:r>
      <w:r w:rsidRPr="00186819">
        <w:rPr>
          <w:rFonts w:ascii="Times New Roman" w:hAnsi="Times New Roman" w:cs="Times New Roman"/>
          <w:sz w:val="28"/>
          <w:szCs w:val="28"/>
        </w:rPr>
        <w:t>patrimonio culturale.</w:t>
      </w:r>
    </w:p>
    <w:p w14:paraId="0FCD6F3E" w14:textId="007B4CDB" w:rsidR="003B35D3" w:rsidRPr="00186819" w:rsidRDefault="00DC418C" w:rsidP="00F12C3E">
      <w:pPr>
        <w:jc w:val="both"/>
        <w:rPr>
          <w:rFonts w:ascii="Times New Roman" w:hAnsi="Times New Roman" w:cs="Times New Roman"/>
          <w:sz w:val="28"/>
          <w:szCs w:val="28"/>
        </w:rPr>
      </w:pPr>
      <w:r w:rsidRPr="00186819">
        <w:rPr>
          <w:rFonts w:ascii="Times New Roman" w:hAnsi="Times New Roman" w:cs="Times New Roman"/>
          <w:sz w:val="28"/>
          <w:szCs w:val="28"/>
        </w:rPr>
        <w:t xml:space="preserve">La fattispecie </w:t>
      </w:r>
      <w:r w:rsidR="003B35D3" w:rsidRPr="00186819">
        <w:rPr>
          <w:rFonts w:ascii="Times New Roman" w:hAnsi="Times New Roman" w:cs="Times New Roman"/>
          <w:sz w:val="28"/>
          <w:szCs w:val="28"/>
        </w:rPr>
        <w:t xml:space="preserve">all’esame del giudice </w:t>
      </w:r>
      <w:r w:rsidR="003B35D3" w:rsidRPr="00186819">
        <w:rPr>
          <w:rFonts w:ascii="Times New Roman" w:hAnsi="Times New Roman" w:cs="Times New Roman"/>
          <w:i/>
          <w:iCs/>
          <w:sz w:val="28"/>
          <w:szCs w:val="28"/>
        </w:rPr>
        <w:t>a quo</w:t>
      </w:r>
      <w:r w:rsidR="003B35D3" w:rsidRPr="00186819">
        <w:rPr>
          <w:rFonts w:ascii="Times New Roman" w:hAnsi="Times New Roman" w:cs="Times New Roman"/>
          <w:sz w:val="28"/>
          <w:szCs w:val="28"/>
        </w:rPr>
        <w:t xml:space="preserve"> riguardava l’a</w:t>
      </w:r>
      <w:r w:rsidR="00F12C3E" w:rsidRPr="00186819">
        <w:rPr>
          <w:rFonts w:ascii="Times New Roman" w:hAnsi="Times New Roman" w:cs="Times New Roman"/>
          <w:sz w:val="28"/>
          <w:szCs w:val="28"/>
        </w:rPr>
        <w:t xml:space="preserve">nnullamento </w:t>
      </w:r>
      <w:r w:rsidR="003B35D3" w:rsidRPr="00186819">
        <w:rPr>
          <w:rFonts w:ascii="Times New Roman" w:hAnsi="Times New Roman" w:cs="Times New Roman"/>
          <w:sz w:val="28"/>
          <w:szCs w:val="28"/>
        </w:rPr>
        <w:t>d’ufficio</w:t>
      </w:r>
      <w:r w:rsidR="00F43969" w:rsidRPr="00186819">
        <w:rPr>
          <w:rFonts w:ascii="Times New Roman" w:hAnsi="Times New Roman" w:cs="Times New Roman"/>
          <w:sz w:val="28"/>
          <w:szCs w:val="28"/>
        </w:rPr>
        <w:t>,</w:t>
      </w:r>
      <w:r w:rsidR="003B35D3"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nel 2021</w:t>
      </w:r>
      <w:r w:rsidR="00F43969" w:rsidRPr="00186819">
        <w:rPr>
          <w:rFonts w:ascii="Times New Roman" w:hAnsi="Times New Roman" w:cs="Times New Roman"/>
          <w:sz w:val="28"/>
          <w:szCs w:val="28"/>
        </w:rPr>
        <w:t>,</w:t>
      </w:r>
      <w:r w:rsidR="00F12C3E" w:rsidRPr="00186819">
        <w:rPr>
          <w:rFonts w:ascii="Times New Roman" w:hAnsi="Times New Roman" w:cs="Times New Roman"/>
          <w:sz w:val="28"/>
          <w:szCs w:val="28"/>
        </w:rPr>
        <w:t xml:space="preserve"> di un’autorizzazione all’esportazione rilasciata nel 2015</w:t>
      </w:r>
      <w:r w:rsidR="003B35D3" w:rsidRPr="00186819">
        <w:rPr>
          <w:rFonts w:ascii="Times New Roman" w:hAnsi="Times New Roman" w:cs="Times New Roman"/>
          <w:sz w:val="28"/>
          <w:szCs w:val="28"/>
        </w:rPr>
        <w:t xml:space="preserve">, in relazione ad un </w:t>
      </w:r>
      <w:r w:rsidR="00F12C3E" w:rsidRPr="00186819">
        <w:rPr>
          <w:rFonts w:ascii="Times New Roman" w:hAnsi="Times New Roman" w:cs="Times New Roman"/>
          <w:sz w:val="28"/>
          <w:szCs w:val="28"/>
        </w:rPr>
        <w:t xml:space="preserve">quadro, inizialmente </w:t>
      </w:r>
      <w:r w:rsidR="003B35D3" w:rsidRPr="00186819">
        <w:rPr>
          <w:rFonts w:ascii="Times New Roman" w:hAnsi="Times New Roman" w:cs="Times New Roman"/>
          <w:sz w:val="28"/>
          <w:szCs w:val="28"/>
        </w:rPr>
        <w:t xml:space="preserve">di incerta </w:t>
      </w:r>
      <w:r w:rsidR="00F12C3E" w:rsidRPr="00186819">
        <w:rPr>
          <w:rFonts w:ascii="Times New Roman" w:hAnsi="Times New Roman" w:cs="Times New Roman"/>
          <w:sz w:val="28"/>
          <w:szCs w:val="28"/>
        </w:rPr>
        <w:t>attribu</w:t>
      </w:r>
      <w:r w:rsidR="003B35D3" w:rsidRPr="00186819">
        <w:rPr>
          <w:rFonts w:ascii="Times New Roman" w:hAnsi="Times New Roman" w:cs="Times New Roman"/>
          <w:sz w:val="28"/>
          <w:szCs w:val="28"/>
        </w:rPr>
        <w:t>zione</w:t>
      </w:r>
      <w:r w:rsidR="00F12C3E" w:rsidRPr="00186819">
        <w:rPr>
          <w:rFonts w:ascii="Times New Roman" w:hAnsi="Times New Roman" w:cs="Times New Roman"/>
          <w:sz w:val="28"/>
          <w:szCs w:val="28"/>
        </w:rPr>
        <w:t xml:space="preserve">, </w:t>
      </w:r>
      <w:r w:rsidR="003B35D3" w:rsidRPr="00186819">
        <w:rPr>
          <w:rFonts w:ascii="Times New Roman" w:hAnsi="Times New Roman" w:cs="Times New Roman"/>
          <w:sz w:val="28"/>
          <w:szCs w:val="28"/>
        </w:rPr>
        <w:t xml:space="preserve">ma </w:t>
      </w:r>
      <w:r w:rsidR="00F12C3E" w:rsidRPr="00186819">
        <w:rPr>
          <w:rFonts w:ascii="Times New Roman" w:hAnsi="Times New Roman" w:cs="Times New Roman"/>
          <w:sz w:val="28"/>
          <w:szCs w:val="28"/>
        </w:rPr>
        <w:t>poi</w:t>
      </w:r>
      <w:r w:rsidR="003B35D3"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attribuito a Giorgio Vasari</w:t>
      </w:r>
      <w:r w:rsidR="00F43969" w:rsidRPr="00186819">
        <w:rPr>
          <w:rFonts w:ascii="Times New Roman" w:hAnsi="Times New Roman" w:cs="Times New Roman"/>
          <w:sz w:val="28"/>
          <w:szCs w:val="28"/>
        </w:rPr>
        <w:t>,</w:t>
      </w:r>
      <w:r w:rsidR="003B35D3" w:rsidRPr="00186819">
        <w:rPr>
          <w:rFonts w:ascii="Times New Roman" w:hAnsi="Times New Roman" w:cs="Times New Roman"/>
          <w:sz w:val="28"/>
          <w:szCs w:val="28"/>
        </w:rPr>
        <w:t xml:space="preserve"> </w:t>
      </w:r>
      <w:r w:rsidR="00F43969" w:rsidRPr="00186819">
        <w:rPr>
          <w:rFonts w:ascii="Times New Roman" w:hAnsi="Times New Roman" w:cs="Times New Roman"/>
          <w:sz w:val="28"/>
          <w:szCs w:val="28"/>
        </w:rPr>
        <w:t xml:space="preserve">restaurato </w:t>
      </w:r>
      <w:r w:rsidR="003B35D3" w:rsidRPr="00186819">
        <w:rPr>
          <w:rFonts w:ascii="Times New Roman" w:hAnsi="Times New Roman" w:cs="Times New Roman"/>
          <w:sz w:val="28"/>
          <w:szCs w:val="28"/>
        </w:rPr>
        <w:t xml:space="preserve">ed </w:t>
      </w:r>
      <w:r w:rsidR="00F12C3E" w:rsidRPr="00186819">
        <w:rPr>
          <w:rFonts w:ascii="Times New Roman" w:hAnsi="Times New Roman" w:cs="Times New Roman"/>
          <w:sz w:val="28"/>
          <w:szCs w:val="28"/>
        </w:rPr>
        <w:t xml:space="preserve">esposto alla </w:t>
      </w:r>
      <w:r w:rsidR="00F12C3E" w:rsidRPr="00186819">
        <w:rPr>
          <w:rFonts w:ascii="Times New Roman" w:hAnsi="Times New Roman" w:cs="Times New Roman"/>
          <w:i/>
          <w:iCs/>
          <w:sz w:val="28"/>
          <w:szCs w:val="28"/>
        </w:rPr>
        <w:t>National Gallery</w:t>
      </w:r>
      <w:r w:rsidR="00F12C3E" w:rsidRPr="00186819">
        <w:rPr>
          <w:rFonts w:ascii="Times New Roman" w:hAnsi="Times New Roman" w:cs="Times New Roman"/>
          <w:sz w:val="28"/>
          <w:szCs w:val="28"/>
        </w:rPr>
        <w:t>.</w:t>
      </w:r>
    </w:p>
    <w:p w14:paraId="455B1787" w14:textId="0CEB3C53" w:rsidR="003B35D3" w:rsidRPr="00186819" w:rsidRDefault="00F12C3E" w:rsidP="003B35D3">
      <w:pPr>
        <w:jc w:val="both"/>
        <w:rPr>
          <w:rFonts w:ascii="Times New Roman" w:hAnsi="Times New Roman" w:cs="Times New Roman"/>
          <w:sz w:val="28"/>
          <w:szCs w:val="28"/>
        </w:rPr>
      </w:pPr>
      <w:r w:rsidRPr="00186819">
        <w:rPr>
          <w:rFonts w:ascii="Times New Roman" w:hAnsi="Times New Roman" w:cs="Times New Roman"/>
          <w:sz w:val="28"/>
          <w:szCs w:val="28"/>
        </w:rPr>
        <w:t>Il Consiglio di Stato</w:t>
      </w:r>
      <w:r w:rsidR="003B35D3"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riconosce la tardività </w:t>
      </w:r>
      <w:r w:rsidR="003B35D3" w:rsidRPr="00186819">
        <w:rPr>
          <w:rFonts w:ascii="Times New Roman" w:hAnsi="Times New Roman" w:cs="Times New Roman"/>
          <w:sz w:val="28"/>
          <w:szCs w:val="28"/>
        </w:rPr>
        <w:t xml:space="preserve">del provvedimento di autotutela </w:t>
      </w:r>
      <w:r w:rsidRPr="00186819">
        <w:rPr>
          <w:rFonts w:ascii="Times New Roman" w:hAnsi="Times New Roman" w:cs="Times New Roman"/>
          <w:sz w:val="28"/>
          <w:szCs w:val="28"/>
        </w:rPr>
        <w:t>(</w:t>
      </w:r>
      <w:r w:rsidR="003B35D3" w:rsidRPr="00186819">
        <w:rPr>
          <w:rFonts w:ascii="Times New Roman" w:hAnsi="Times New Roman" w:cs="Times New Roman"/>
          <w:sz w:val="28"/>
          <w:szCs w:val="28"/>
        </w:rPr>
        <w:t xml:space="preserve">perché intervenuto </w:t>
      </w:r>
      <w:r w:rsidRPr="00186819">
        <w:rPr>
          <w:rFonts w:ascii="Times New Roman" w:hAnsi="Times New Roman" w:cs="Times New Roman"/>
          <w:sz w:val="28"/>
          <w:szCs w:val="28"/>
        </w:rPr>
        <w:t xml:space="preserve">oltre </w:t>
      </w:r>
      <w:r w:rsidR="003B35D3" w:rsidRPr="00186819">
        <w:rPr>
          <w:rFonts w:ascii="Times New Roman" w:hAnsi="Times New Roman" w:cs="Times New Roman"/>
          <w:sz w:val="28"/>
          <w:szCs w:val="28"/>
        </w:rPr>
        <w:t xml:space="preserve">i </w:t>
      </w:r>
      <w:r w:rsidRPr="00186819">
        <w:rPr>
          <w:rFonts w:ascii="Times New Roman" w:hAnsi="Times New Roman" w:cs="Times New Roman"/>
          <w:sz w:val="28"/>
          <w:szCs w:val="28"/>
        </w:rPr>
        <w:t>12 mesi</w:t>
      </w:r>
      <w:r w:rsidR="003B35D3" w:rsidRPr="00186819">
        <w:rPr>
          <w:rFonts w:ascii="Times New Roman" w:hAnsi="Times New Roman" w:cs="Times New Roman"/>
          <w:sz w:val="28"/>
          <w:szCs w:val="28"/>
        </w:rPr>
        <w:t xml:space="preserve"> normativamente previsti</w:t>
      </w:r>
      <w:r w:rsidRPr="00186819">
        <w:rPr>
          <w:rFonts w:ascii="Times New Roman" w:hAnsi="Times New Roman" w:cs="Times New Roman"/>
          <w:sz w:val="28"/>
          <w:szCs w:val="28"/>
        </w:rPr>
        <w:t>)</w:t>
      </w:r>
      <w:r w:rsidR="003B35D3" w:rsidRPr="00186819">
        <w:rPr>
          <w:rFonts w:ascii="Times New Roman" w:hAnsi="Times New Roman" w:cs="Times New Roman"/>
          <w:sz w:val="28"/>
          <w:szCs w:val="28"/>
        </w:rPr>
        <w:t xml:space="preserve"> e quindi la relativa (almeno potenziale) illegittimità, </w:t>
      </w:r>
      <w:r w:rsidRPr="00186819">
        <w:rPr>
          <w:rFonts w:ascii="Times New Roman" w:hAnsi="Times New Roman" w:cs="Times New Roman"/>
          <w:sz w:val="28"/>
          <w:szCs w:val="28"/>
        </w:rPr>
        <w:t xml:space="preserve">ma ritiene che </w:t>
      </w:r>
      <w:r w:rsidR="003B35D3" w:rsidRPr="00186819">
        <w:rPr>
          <w:rFonts w:ascii="Times New Roman" w:hAnsi="Times New Roman" w:cs="Times New Roman"/>
          <w:sz w:val="28"/>
          <w:szCs w:val="28"/>
        </w:rPr>
        <w:t xml:space="preserve">in caso di dichiarazione di incostituzionalità del menzionato </w:t>
      </w:r>
      <w:r w:rsidRPr="00186819">
        <w:rPr>
          <w:rFonts w:ascii="Times New Roman" w:hAnsi="Times New Roman" w:cs="Times New Roman"/>
          <w:sz w:val="28"/>
          <w:szCs w:val="28"/>
        </w:rPr>
        <w:t>limite rigido</w:t>
      </w:r>
      <w:r w:rsidR="003B35D3"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l’esito </w:t>
      </w:r>
      <w:r w:rsidR="003B35D3" w:rsidRPr="00186819">
        <w:rPr>
          <w:rFonts w:ascii="Times New Roman" w:hAnsi="Times New Roman" w:cs="Times New Roman"/>
          <w:sz w:val="28"/>
          <w:szCs w:val="28"/>
        </w:rPr>
        <w:t xml:space="preserve">della causa </w:t>
      </w:r>
      <w:r w:rsidRPr="00186819">
        <w:rPr>
          <w:rFonts w:ascii="Times New Roman" w:hAnsi="Times New Roman" w:cs="Times New Roman"/>
          <w:sz w:val="28"/>
          <w:szCs w:val="28"/>
        </w:rPr>
        <w:t xml:space="preserve">potrebbe </w:t>
      </w:r>
      <w:r w:rsidR="0090690F" w:rsidRPr="00186819">
        <w:rPr>
          <w:rFonts w:ascii="Times New Roman" w:hAnsi="Times New Roman" w:cs="Times New Roman"/>
          <w:sz w:val="28"/>
          <w:szCs w:val="28"/>
        </w:rPr>
        <w:t>essere diverso</w:t>
      </w:r>
      <w:r w:rsidRPr="00186819">
        <w:rPr>
          <w:rFonts w:ascii="Times New Roman" w:hAnsi="Times New Roman" w:cs="Times New Roman"/>
          <w:sz w:val="28"/>
          <w:szCs w:val="28"/>
        </w:rPr>
        <w:t>.</w:t>
      </w:r>
    </w:p>
    <w:p w14:paraId="77219D3C" w14:textId="08DFE7EE" w:rsidR="003B35D3" w:rsidRPr="00186819" w:rsidRDefault="003B35D3" w:rsidP="00F12C3E">
      <w:pPr>
        <w:jc w:val="both"/>
        <w:rPr>
          <w:rFonts w:ascii="Times New Roman" w:hAnsi="Times New Roman" w:cs="Times New Roman"/>
          <w:sz w:val="28"/>
          <w:szCs w:val="28"/>
        </w:rPr>
      </w:pPr>
      <w:r w:rsidRPr="00186819">
        <w:rPr>
          <w:rFonts w:ascii="Times New Roman" w:hAnsi="Times New Roman" w:cs="Times New Roman"/>
          <w:sz w:val="28"/>
          <w:szCs w:val="28"/>
        </w:rPr>
        <w:t>Le r</w:t>
      </w:r>
      <w:r w:rsidR="00F12C3E" w:rsidRPr="00186819">
        <w:rPr>
          <w:rFonts w:ascii="Times New Roman" w:hAnsi="Times New Roman" w:cs="Times New Roman"/>
          <w:sz w:val="28"/>
          <w:szCs w:val="28"/>
        </w:rPr>
        <w:t>agioni di incostituzionalità</w:t>
      </w:r>
      <w:r w:rsidRPr="00186819">
        <w:rPr>
          <w:rFonts w:ascii="Times New Roman" w:hAnsi="Times New Roman" w:cs="Times New Roman"/>
          <w:sz w:val="28"/>
          <w:szCs w:val="28"/>
        </w:rPr>
        <w:t>, se</w:t>
      </w:r>
      <w:r w:rsidR="00F12C3E" w:rsidRPr="00186819">
        <w:rPr>
          <w:rFonts w:ascii="Times New Roman" w:hAnsi="Times New Roman" w:cs="Times New Roman"/>
          <w:sz w:val="28"/>
          <w:szCs w:val="28"/>
        </w:rPr>
        <w:t xml:space="preserve">condo il rimettente, </w:t>
      </w:r>
      <w:r w:rsidRPr="00186819">
        <w:rPr>
          <w:rFonts w:ascii="Times New Roman" w:hAnsi="Times New Roman" w:cs="Times New Roman"/>
          <w:sz w:val="28"/>
          <w:szCs w:val="28"/>
        </w:rPr>
        <w:t>sarebbero da individuarsi nella irragionevolezza de</w:t>
      </w:r>
      <w:r w:rsidR="00F12C3E" w:rsidRPr="00186819">
        <w:rPr>
          <w:rFonts w:ascii="Times New Roman" w:hAnsi="Times New Roman" w:cs="Times New Roman"/>
          <w:sz w:val="28"/>
          <w:szCs w:val="28"/>
        </w:rPr>
        <w:t>l termine fisso</w:t>
      </w:r>
      <w:r w:rsidRPr="00186819">
        <w:rPr>
          <w:rFonts w:ascii="Times New Roman" w:hAnsi="Times New Roman" w:cs="Times New Roman"/>
          <w:sz w:val="28"/>
          <w:szCs w:val="28"/>
        </w:rPr>
        <w:t xml:space="preserve">, che si porrebbe in violazione degli </w:t>
      </w:r>
      <w:r w:rsidR="00F12C3E" w:rsidRPr="00186819">
        <w:rPr>
          <w:rFonts w:ascii="Times New Roman" w:hAnsi="Times New Roman" w:cs="Times New Roman"/>
          <w:sz w:val="28"/>
          <w:szCs w:val="28"/>
        </w:rPr>
        <w:t>art</w:t>
      </w:r>
      <w:r w:rsidR="002B099A">
        <w:rPr>
          <w:rFonts w:ascii="Times New Roman" w:hAnsi="Times New Roman" w:cs="Times New Roman"/>
          <w:sz w:val="28"/>
          <w:szCs w:val="28"/>
        </w:rPr>
        <w:t>t</w:t>
      </w:r>
      <w:r w:rsidR="00F12C3E" w:rsidRPr="00186819">
        <w:rPr>
          <w:rFonts w:ascii="Times New Roman" w:hAnsi="Times New Roman" w:cs="Times New Roman"/>
          <w:sz w:val="28"/>
          <w:szCs w:val="28"/>
        </w:rPr>
        <w:t>. 3</w:t>
      </w:r>
      <w:r w:rsidRPr="00186819">
        <w:rPr>
          <w:rFonts w:ascii="Times New Roman" w:hAnsi="Times New Roman" w:cs="Times New Roman"/>
          <w:sz w:val="28"/>
          <w:szCs w:val="28"/>
        </w:rPr>
        <w:t xml:space="preserve">, 9, 97 e 117 </w:t>
      </w:r>
      <w:r w:rsidR="00F12C3E" w:rsidRPr="00186819">
        <w:rPr>
          <w:rFonts w:ascii="Times New Roman" w:hAnsi="Times New Roman" w:cs="Times New Roman"/>
          <w:sz w:val="28"/>
          <w:szCs w:val="28"/>
        </w:rPr>
        <w:t>Cost.</w:t>
      </w:r>
      <w:r w:rsidRPr="00186819">
        <w:rPr>
          <w:rFonts w:ascii="Times New Roman" w:hAnsi="Times New Roman" w:cs="Times New Roman"/>
          <w:sz w:val="28"/>
          <w:szCs w:val="28"/>
        </w:rPr>
        <w:t xml:space="preserve"> (con riguardo al limite posto dal diritto internazionale di cui alla Convenzione di Faro).</w:t>
      </w:r>
    </w:p>
    <w:p w14:paraId="6F62F344" w14:textId="77777777" w:rsidR="008E4E8F" w:rsidRPr="00186819" w:rsidRDefault="003B35D3" w:rsidP="00F12C3E">
      <w:pPr>
        <w:jc w:val="both"/>
        <w:rPr>
          <w:rFonts w:ascii="Times New Roman" w:hAnsi="Times New Roman" w:cs="Times New Roman"/>
          <w:sz w:val="28"/>
          <w:szCs w:val="28"/>
        </w:rPr>
      </w:pPr>
      <w:r w:rsidRPr="00186819">
        <w:rPr>
          <w:rFonts w:ascii="Times New Roman" w:hAnsi="Times New Roman" w:cs="Times New Roman"/>
          <w:sz w:val="28"/>
          <w:szCs w:val="28"/>
        </w:rPr>
        <w:t xml:space="preserve">La criticità principale (intuitiva) sarebbe da rinvenirsi nella prevalenza automatica dell’affidamento del privato dopo il decorso dei </w:t>
      </w:r>
      <w:r w:rsidR="00F12C3E" w:rsidRPr="00186819">
        <w:rPr>
          <w:rFonts w:ascii="Times New Roman" w:hAnsi="Times New Roman" w:cs="Times New Roman"/>
          <w:sz w:val="28"/>
          <w:szCs w:val="28"/>
        </w:rPr>
        <w:t>12 mesi</w:t>
      </w:r>
      <w:r w:rsidRPr="00186819">
        <w:rPr>
          <w:rFonts w:ascii="Times New Roman" w:hAnsi="Times New Roman" w:cs="Times New Roman"/>
          <w:sz w:val="28"/>
          <w:szCs w:val="28"/>
        </w:rPr>
        <w:t xml:space="preserve"> di cui alla menzionata norma, che andrebbe ad impedire </w:t>
      </w:r>
      <w:r w:rsidR="00F12C3E" w:rsidRPr="00186819">
        <w:rPr>
          <w:rFonts w:ascii="Times New Roman" w:hAnsi="Times New Roman" w:cs="Times New Roman"/>
          <w:sz w:val="28"/>
          <w:szCs w:val="28"/>
        </w:rPr>
        <w:t>la tutela di un interesse “super-primario”</w:t>
      </w:r>
      <w:r w:rsidRPr="00186819">
        <w:rPr>
          <w:rFonts w:ascii="Times New Roman" w:hAnsi="Times New Roman" w:cs="Times New Roman"/>
          <w:sz w:val="28"/>
          <w:szCs w:val="28"/>
        </w:rPr>
        <w:t xml:space="preserve"> quale quello alla conservazione del patrimonio culturale nazionale</w:t>
      </w:r>
      <w:r w:rsidR="00F12C3E" w:rsidRPr="00186819">
        <w:rPr>
          <w:rFonts w:ascii="Times New Roman" w:hAnsi="Times New Roman" w:cs="Times New Roman"/>
          <w:sz w:val="28"/>
          <w:szCs w:val="28"/>
        </w:rPr>
        <w:t>.</w:t>
      </w:r>
    </w:p>
    <w:p w14:paraId="6A1C1084" w14:textId="4805A080" w:rsidR="00FF26A1" w:rsidRPr="00186819" w:rsidRDefault="008E4E8F" w:rsidP="00F12C3E">
      <w:pPr>
        <w:jc w:val="both"/>
        <w:rPr>
          <w:rFonts w:ascii="Times New Roman" w:hAnsi="Times New Roman" w:cs="Times New Roman"/>
          <w:sz w:val="28"/>
          <w:szCs w:val="28"/>
        </w:rPr>
      </w:pPr>
      <w:r w:rsidRPr="00186819">
        <w:rPr>
          <w:rFonts w:ascii="Times New Roman" w:hAnsi="Times New Roman" w:cs="Times New Roman"/>
          <w:sz w:val="28"/>
          <w:szCs w:val="28"/>
        </w:rPr>
        <w:t>Tra le qu</w:t>
      </w:r>
      <w:r w:rsidR="00F12C3E" w:rsidRPr="00186819">
        <w:rPr>
          <w:rFonts w:ascii="Times New Roman" w:hAnsi="Times New Roman" w:cs="Times New Roman"/>
          <w:sz w:val="28"/>
          <w:szCs w:val="28"/>
        </w:rPr>
        <w:t>estioni preliminari</w:t>
      </w:r>
      <w:r w:rsidR="0090690F" w:rsidRPr="00186819">
        <w:rPr>
          <w:rFonts w:ascii="Times New Roman" w:hAnsi="Times New Roman" w:cs="Times New Roman"/>
          <w:sz w:val="28"/>
          <w:szCs w:val="28"/>
        </w:rPr>
        <w:t xml:space="preserve"> risolte dalla Corte</w:t>
      </w:r>
      <w:r w:rsidR="000F6ED9" w:rsidRPr="00186819">
        <w:rPr>
          <w:rFonts w:ascii="Times New Roman" w:hAnsi="Times New Roman" w:cs="Times New Roman"/>
          <w:sz w:val="28"/>
          <w:szCs w:val="28"/>
        </w:rPr>
        <w:t xml:space="preserve"> che interessano nella presente sede</w:t>
      </w:r>
      <w:r w:rsidRPr="00186819">
        <w:rPr>
          <w:rFonts w:ascii="Times New Roman" w:hAnsi="Times New Roman" w:cs="Times New Roman"/>
          <w:sz w:val="28"/>
          <w:szCs w:val="28"/>
        </w:rPr>
        <w:t>, si segnala l</w:t>
      </w:r>
      <w:r w:rsidR="000F6ED9" w:rsidRPr="00186819">
        <w:rPr>
          <w:rFonts w:ascii="Times New Roman" w:hAnsi="Times New Roman" w:cs="Times New Roman"/>
          <w:sz w:val="28"/>
          <w:szCs w:val="28"/>
        </w:rPr>
        <w:t>’</w:t>
      </w:r>
      <w:r w:rsidRPr="00186819">
        <w:rPr>
          <w:rFonts w:ascii="Times New Roman" w:hAnsi="Times New Roman" w:cs="Times New Roman"/>
          <w:sz w:val="28"/>
          <w:szCs w:val="28"/>
        </w:rPr>
        <w:t>eccezione di man</w:t>
      </w:r>
      <w:r w:rsidR="00F12C3E" w:rsidRPr="00186819">
        <w:rPr>
          <w:rFonts w:ascii="Times New Roman" w:hAnsi="Times New Roman" w:cs="Times New Roman"/>
          <w:sz w:val="28"/>
          <w:szCs w:val="28"/>
        </w:rPr>
        <w:t>cata interpretazione conforme</w:t>
      </w:r>
      <w:r w:rsidRPr="00186819">
        <w:rPr>
          <w:rFonts w:ascii="Times New Roman" w:hAnsi="Times New Roman" w:cs="Times New Roman"/>
          <w:sz w:val="28"/>
          <w:szCs w:val="28"/>
        </w:rPr>
        <w:t xml:space="preserve"> da parte del giudice </w:t>
      </w:r>
      <w:r w:rsidRPr="00186819">
        <w:rPr>
          <w:rFonts w:ascii="Times New Roman" w:hAnsi="Times New Roman" w:cs="Times New Roman"/>
          <w:i/>
          <w:iCs/>
          <w:sz w:val="28"/>
          <w:szCs w:val="28"/>
        </w:rPr>
        <w:t>a quo</w:t>
      </w:r>
      <w:r w:rsidRPr="00186819">
        <w:rPr>
          <w:rFonts w:ascii="Times New Roman" w:hAnsi="Times New Roman" w:cs="Times New Roman"/>
          <w:sz w:val="28"/>
          <w:szCs w:val="28"/>
        </w:rPr>
        <w:t xml:space="preserve">, che viene respinta in quanto il testo della norma viene ritenuto univoco e </w:t>
      </w:r>
      <w:r w:rsidR="00F12C3E" w:rsidRPr="00186819">
        <w:rPr>
          <w:rFonts w:ascii="Times New Roman" w:hAnsi="Times New Roman" w:cs="Times New Roman"/>
          <w:sz w:val="28"/>
          <w:szCs w:val="28"/>
        </w:rPr>
        <w:t>non interpretabile diversamente</w:t>
      </w:r>
      <w:r w:rsidRPr="00186819">
        <w:rPr>
          <w:rFonts w:ascii="Times New Roman" w:hAnsi="Times New Roman" w:cs="Times New Roman"/>
          <w:sz w:val="28"/>
          <w:szCs w:val="28"/>
        </w:rPr>
        <w:t>; e quella di d</w:t>
      </w:r>
      <w:r w:rsidR="00F12C3E" w:rsidRPr="00186819">
        <w:rPr>
          <w:rFonts w:ascii="Times New Roman" w:hAnsi="Times New Roman" w:cs="Times New Roman"/>
          <w:sz w:val="28"/>
          <w:szCs w:val="28"/>
        </w:rPr>
        <w:t>ifetto di motivazione</w:t>
      </w:r>
      <w:r w:rsidRPr="00186819">
        <w:rPr>
          <w:rFonts w:ascii="Times New Roman" w:hAnsi="Times New Roman" w:cs="Times New Roman"/>
          <w:sz w:val="28"/>
          <w:szCs w:val="28"/>
        </w:rPr>
        <w:t xml:space="preserve"> circa la rilevanza ed il merito della questione</w:t>
      </w:r>
      <w:r w:rsidR="0090690F" w:rsidRPr="00186819">
        <w:rPr>
          <w:rFonts w:ascii="Times New Roman" w:hAnsi="Times New Roman" w:cs="Times New Roman"/>
          <w:sz w:val="28"/>
          <w:szCs w:val="28"/>
        </w:rPr>
        <w:t>,</w:t>
      </w:r>
      <w:r w:rsidRPr="00186819">
        <w:rPr>
          <w:rFonts w:ascii="Times New Roman" w:hAnsi="Times New Roman" w:cs="Times New Roman"/>
          <w:sz w:val="28"/>
          <w:szCs w:val="28"/>
        </w:rPr>
        <w:t xml:space="preserve"> che viene accolta </w:t>
      </w:r>
      <w:r w:rsidR="00F12C3E" w:rsidRPr="00186819">
        <w:rPr>
          <w:rFonts w:ascii="Times New Roman" w:hAnsi="Times New Roman" w:cs="Times New Roman"/>
          <w:sz w:val="28"/>
          <w:szCs w:val="28"/>
        </w:rPr>
        <w:t xml:space="preserve">solo </w:t>
      </w:r>
      <w:r w:rsidR="004E406E" w:rsidRPr="00186819">
        <w:rPr>
          <w:rFonts w:ascii="Times New Roman" w:hAnsi="Times New Roman" w:cs="Times New Roman"/>
          <w:sz w:val="28"/>
          <w:szCs w:val="28"/>
        </w:rPr>
        <w:t xml:space="preserve">per ciò che concerne </w:t>
      </w:r>
      <w:r w:rsidRPr="00186819">
        <w:rPr>
          <w:rFonts w:ascii="Times New Roman" w:hAnsi="Times New Roman" w:cs="Times New Roman"/>
          <w:sz w:val="28"/>
          <w:szCs w:val="28"/>
        </w:rPr>
        <w:t>l’</w:t>
      </w:r>
      <w:r w:rsidR="00F12C3E" w:rsidRPr="00186819">
        <w:rPr>
          <w:rFonts w:ascii="Times New Roman" w:hAnsi="Times New Roman" w:cs="Times New Roman"/>
          <w:sz w:val="28"/>
          <w:szCs w:val="28"/>
        </w:rPr>
        <w:t>art. 117 Cost. (</w:t>
      </w:r>
      <w:r w:rsidR="004E406E" w:rsidRPr="00186819">
        <w:rPr>
          <w:rFonts w:ascii="Times New Roman" w:hAnsi="Times New Roman" w:cs="Times New Roman"/>
          <w:sz w:val="28"/>
          <w:szCs w:val="28"/>
        </w:rPr>
        <w:t>in rapporto con la “</w:t>
      </w:r>
      <w:r w:rsidR="00F12C3E" w:rsidRPr="00186819">
        <w:rPr>
          <w:rFonts w:ascii="Times New Roman" w:hAnsi="Times New Roman" w:cs="Times New Roman"/>
          <w:sz w:val="28"/>
          <w:szCs w:val="28"/>
        </w:rPr>
        <w:t>Convenzione di Faro</w:t>
      </w:r>
      <w:r w:rsidR="004E406E" w:rsidRPr="00186819">
        <w:rPr>
          <w:rFonts w:ascii="Times New Roman" w:hAnsi="Times New Roman" w:cs="Times New Roman"/>
          <w:sz w:val="28"/>
          <w:szCs w:val="28"/>
        </w:rPr>
        <w:t>”</w:t>
      </w:r>
      <w:r w:rsidR="00F12C3E" w:rsidRPr="00186819">
        <w:rPr>
          <w:rFonts w:ascii="Times New Roman" w:hAnsi="Times New Roman" w:cs="Times New Roman"/>
          <w:sz w:val="28"/>
          <w:szCs w:val="28"/>
        </w:rPr>
        <w:t>)</w:t>
      </w:r>
      <w:r w:rsidR="004E406E" w:rsidRPr="00186819">
        <w:rPr>
          <w:rFonts w:ascii="Times New Roman" w:hAnsi="Times New Roman" w:cs="Times New Roman"/>
          <w:sz w:val="28"/>
          <w:szCs w:val="28"/>
        </w:rPr>
        <w:t>,</w:t>
      </w:r>
      <w:r w:rsidRPr="00186819">
        <w:rPr>
          <w:rFonts w:ascii="Times New Roman" w:hAnsi="Times New Roman" w:cs="Times New Roman"/>
          <w:sz w:val="28"/>
          <w:szCs w:val="28"/>
        </w:rPr>
        <w:t xml:space="preserve"> perché il rimettente avrebbe omesso qualsiasi illustrazione delle ragioni </w:t>
      </w:r>
      <w:r w:rsidR="00FF26A1" w:rsidRPr="00186819">
        <w:rPr>
          <w:rFonts w:ascii="Times New Roman" w:hAnsi="Times New Roman" w:cs="Times New Roman"/>
          <w:sz w:val="28"/>
          <w:szCs w:val="28"/>
        </w:rPr>
        <w:t xml:space="preserve">specifiche </w:t>
      </w:r>
      <w:r w:rsidRPr="00186819">
        <w:rPr>
          <w:rFonts w:ascii="Times New Roman" w:hAnsi="Times New Roman" w:cs="Times New Roman"/>
          <w:sz w:val="28"/>
          <w:szCs w:val="28"/>
        </w:rPr>
        <w:t>per le quali la normativa censurata integrerebbe una violazione del parametro costituzionale evocato.</w:t>
      </w:r>
    </w:p>
    <w:p w14:paraId="1E95D375" w14:textId="77777777" w:rsidR="004E406E" w:rsidRPr="00186819" w:rsidRDefault="00FF26A1" w:rsidP="00F12C3E">
      <w:pPr>
        <w:jc w:val="both"/>
        <w:rPr>
          <w:rFonts w:ascii="Times New Roman" w:hAnsi="Times New Roman" w:cs="Times New Roman"/>
          <w:sz w:val="28"/>
          <w:szCs w:val="28"/>
        </w:rPr>
      </w:pPr>
      <w:r w:rsidRPr="00186819">
        <w:rPr>
          <w:rFonts w:ascii="Times New Roman" w:hAnsi="Times New Roman" w:cs="Times New Roman"/>
          <w:sz w:val="28"/>
          <w:szCs w:val="28"/>
        </w:rPr>
        <w:t>Venendo al merito, la Consulta</w:t>
      </w:r>
      <w:r w:rsidR="0090690F" w:rsidRPr="00186819">
        <w:rPr>
          <w:rFonts w:ascii="Times New Roman" w:hAnsi="Times New Roman" w:cs="Times New Roman"/>
          <w:sz w:val="28"/>
          <w:szCs w:val="28"/>
        </w:rPr>
        <w:t xml:space="preserve"> anzitutto </w:t>
      </w:r>
      <w:r w:rsidRPr="00186819">
        <w:rPr>
          <w:rFonts w:ascii="Times New Roman" w:hAnsi="Times New Roman" w:cs="Times New Roman"/>
          <w:sz w:val="28"/>
          <w:szCs w:val="28"/>
        </w:rPr>
        <w:t>ripercorre il q</w:t>
      </w:r>
      <w:r w:rsidR="00F12C3E" w:rsidRPr="00186819">
        <w:rPr>
          <w:rFonts w:ascii="Times New Roman" w:hAnsi="Times New Roman" w:cs="Times New Roman"/>
          <w:sz w:val="28"/>
          <w:szCs w:val="28"/>
        </w:rPr>
        <w:t>uadro normativo</w:t>
      </w:r>
      <w:r w:rsidRPr="00186819">
        <w:rPr>
          <w:rFonts w:ascii="Times New Roman" w:hAnsi="Times New Roman" w:cs="Times New Roman"/>
          <w:sz w:val="28"/>
          <w:szCs w:val="28"/>
        </w:rPr>
        <w:t xml:space="preserve"> nella sua evoluzione storica.</w:t>
      </w:r>
    </w:p>
    <w:p w14:paraId="2481B78D" w14:textId="55F87DD2" w:rsidR="00FF26A1" w:rsidRPr="00186819" w:rsidRDefault="00FF26A1" w:rsidP="00F12C3E">
      <w:pPr>
        <w:jc w:val="both"/>
        <w:rPr>
          <w:rFonts w:ascii="Times New Roman" w:hAnsi="Times New Roman" w:cs="Times New Roman"/>
          <w:sz w:val="28"/>
          <w:szCs w:val="28"/>
        </w:rPr>
      </w:pPr>
      <w:r w:rsidRPr="00186819">
        <w:rPr>
          <w:rFonts w:ascii="Times New Roman" w:hAnsi="Times New Roman" w:cs="Times New Roman"/>
          <w:sz w:val="28"/>
          <w:szCs w:val="28"/>
        </w:rPr>
        <w:t>In particolare viene notato c</w:t>
      </w:r>
      <w:r w:rsidR="00BF627C">
        <w:rPr>
          <w:rFonts w:ascii="Times New Roman" w:hAnsi="Times New Roman" w:cs="Times New Roman"/>
          <w:sz w:val="28"/>
          <w:szCs w:val="28"/>
        </w:rPr>
        <w:t>he n</w:t>
      </w:r>
      <w:r w:rsidRPr="00186819">
        <w:rPr>
          <w:rFonts w:ascii="Times New Roman" w:hAnsi="Times New Roman" w:cs="Times New Roman"/>
          <w:sz w:val="28"/>
          <w:szCs w:val="28"/>
        </w:rPr>
        <w:t xml:space="preserve">ell’impostazione più risalente e tradizionale il </w:t>
      </w:r>
      <w:r w:rsidR="00F12C3E" w:rsidRPr="00186819">
        <w:rPr>
          <w:rFonts w:ascii="Times New Roman" w:hAnsi="Times New Roman" w:cs="Times New Roman"/>
          <w:sz w:val="28"/>
          <w:szCs w:val="28"/>
        </w:rPr>
        <w:t xml:space="preserve">potere di annullamento </w:t>
      </w:r>
      <w:r w:rsidR="00DC418C" w:rsidRPr="00186819">
        <w:rPr>
          <w:rFonts w:ascii="Times New Roman" w:hAnsi="Times New Roman" w:cs="Times New Roman"/>
          <w:sz w:val="28"/>
          <w:szCs w:val="28"/>
        </w:rPr>
        <w:t xml:space="preserve">in parola </w:t>
      </w:r>
      <w:r w:rsidRPr="00186819">
        <w:rPr>
          <w:rFonts w:ascii="Times New Roman" w:hAnsi="Times New Roman" w:cs="Times New Roman"/>
          <w:sz w:val="28"/>
          <w:szCs w:val="28"/>
        </w:rPr>
        <w:t xml:space="preserve">sarebbe </w:t>
      </w:r>
      <w:r w:rsidR="00F12C3E" w:rsidRPr="00186819">
        <w:rPr>
          <w:rFonts w:ascii="Times New Roman" w:hAnsi="Times New Roman" w:cs="Times New Roman"/>
          <w:sz w:val="28"/>
          <w:szCs w:val="28"/>
        </w:rPr>
        <w:t>inesauribile,</w:t>
      </w:r>
      <w:r w:rsidRPr="00186819">
        <w:rPr>
          <w:rFonts w:ascii="Times New Roman" w:hAnsi="Times New Roman" w:cs="Times New Roman"/>
          <w:sz w:val="28"/>
          <w:szCs w:val="28"/>
        </w:rPr>
        <w:t xml:space="preserve"> con il solo limite dell’</w:t>
      </w:r>
      <w:r w:rsidR="00F12C3E" w:rsidRPr="00186819">
        <w:rPr>
          <w:rFonts w:ascii="Times New Roman" w:hAnsi="Times New Roman" w:cs="Times New Roman"/>
          <w:sz w:val="28"/>
          <w:szCs w:val="28"/>
        </w:rPr>
        <w:t xml:space="preserve">interesse </w:t>
      </w:r>
      <w:r w:rsidRPr="00186819">
        <w:rPr>
          <w:rFonts w:ascii="Times New Roman" w:hAnsi="Times New Roman" w:cs="Times New Roman"/>
          <w:sz w:val="28"/>
          <w:szCs w:val="28"/>
        </w:rPr>
        <w:t xml:space="preserve">pubblico </w:t>
      </w:r>
      <w:r w:rsidR="00F12C3E" w:rsidRPr="00186819">
        <w:rPr>
          <w:rFonts w:ascii="Times New Roman" w:hAnsi="Times New Roman" w:cs="Times New Roman"/>
          <w:sz w:val="28"/>
          <w:szCs w:val="28"/>
        </w:rPr>
        <w:lastRenderedPageBreak/>
        <w:t xml:space="preserve">attuale </w:t>
      </w:r>
      <w:r w:rsidRPr="00186819">
        <w:rPr>
          <w:rFonts w:ascii="Times New Roman" w:hAnsi="Times New Roman" w:cs="Times New Roman"/>
          <w:sz w:val="28"/>
          <w:szCs w:val="28"/>
        </w:rPr>
        <w:t>e</w:t>
      </w:r>
      <w:r w:rsidR="00C97284" w:rsidRPr="00186819">
        <w:rPr>
          <w:rFonts w:ascii="Times New Roman" w:hAnsi="Times New Roman" w:cs="Times New Roman"/>
          <w:sz w:val="28"/>
          <w:szCs w:val="28"/>
        </w:rPr>
        <w:t>,</w:t>
      </w:r>
      <w:r w:rsidR="00033760" w:rsidRPr="00186819">
        <w:rPr>
          <w:rFonts w:ascii="Times New Roman" w:hAnsi="Times New Roman" w:cs="Times New Roman"/>
          <w:sz w:val="28"/>
          <w:szCs w:val="28"/>
        </w:rPr>
        <w:t xml:space="preserve"> almeno </w:t>
      </w:r>
      <w:r w:rsidR="00C97284" w:rsidRPr="00186819">
        <w:rPr>
          <w:rFonts w:ascii="Times New Roman" w:hAnsi="Times New Roman" w:cs="Times New Roman"/>
          <w:sz w:val="28"/>
          <w:szCs w:val="28"/>
        </w:rPr>
        <w:t>in base ad una interpretazione giurisprudenziale,</w:t>
      </w:r>
      <w:r w:rsidRPr="00186819">
        <w:rPr>
          <w:rFonts w:ascii="Times New Roman" w:hAnsi="Times New Roman" w:cs="Times New Roman"/>
          <w:sz w:val="28"/>
          <w:szCs w:val="28"/>
        </w:rPr>
        <w:t xml:space="preserve"> del </w:t>
      </w:r>
      <w:r w:rsidR="00F12C3E" w:rsidRPr="00186819">
        <w:rPr>
          <w:rFonts w:ascii="Times New Roman" w:hAnsi="Times New Roman" w:cs="Times New Roman"/>
          <w:sz w:val="28"/>
          <w:szCs w:val="28"/>
        </w:rPr>
        <w:t>termine ragionevole.</w:t>
      </w:r>
    </w:p>
    <w:p w14:paraId="37C742CF" w14:textId="7D2EFF91" w:rsidR="00F12C3E" w:rsidRPr="00186819" w:rsidRDefault="0090690F" w:rsidP="00F12C3E">
      <w:pPr>
        <w:jc w:val="both"/>
        <w:rPr>
          <w:rFonts w:ascii="Times New Roman" w:hAnsi="Times New Roman" w:cs="Times New Roman"/>
          <w:sz w:val="28"/>
          <w:szCs w:val="28"/>
        </w:rPr>
      </w:pPr>
      <w:r w:rsidRPr="00186819">
        <w:rPr>
          <w:rFonts w:ascii="Times New Roman" w:hAnsi="Times New Roman" w:cs="Times New Roman"/>
          <w:sz w:val="28"/>
          <w:szCs w:val="28"/>
        </w:rPr>
        <w:t>C</w:t>
      </w:r>
      <w:r w:rsidR="00FF26A1" w:rsidRPr="00186819">
        <w:rPr>
          <w:rFonts w:ascii="Times New Roman" w:hAnsi="Times New Roman" w:cs="Times New Roman"/>
          <w:sz w:val="28"/>
          <w:szCs w:val="28"/>
        </w:rPr>
        <w:t xml:space="preserve">on la riforma del </w:t>
      </w:r>
      <w:r w:rsidR="00F12C3E" w:rsidRPr="00186819">
        <w:rPr>
          <w:rFonts w:ascii="Times New Roman" w:hAnsi="Times New Roman" w:cs="Times New Roman"/>
          <w:sz w:val="28"/>
          <w:szCs w:val="28"/>
        </w:rPr>
        <w:t>2005</w:t>
      </w:r>
      <w:r w:rsidR="00FF26A1" w:rsidRPr="00186819">
        <w:rPr>
          <w:rFonts w:ascii="Times New Roman" w:hAnsi="Times New Roman" w:cs="Times New Roman"/>
          <w:sz w:val="28"/>
          <w:szCs w:val="28"/>
        </w:rPr>
        <w:t xml:space="preserve"> della legge 241/90, a tutela del legittimo affidamento del privato, viene introdotto</w:t>
      </w:r>
      <w:r w:rsidR="00C97284" w:rsidRPr="00186819">
        <w:rPr>
          <w:rFonts w:ascii="Times New Roman" w:hAnsi="Times New Roman" w:cs="Times New Roman"/>
          <w:sz w:val="28"/>
          <w:szCs w:val="28"/>
        </w:rPr>
        <w:t xml:space="preserve"> in via normativa </w:t>
      </w:r>
      <w:r w:rsidR="00FF26A1" w:rsidRPr="00186819">
        <w:rPr>
          <w:rFonts w:ascii="Times New Roman" w:hAnsi="Times New Roman" w:cs="Times New Roman"/>
          <w:sz w:val="28"/>
          <w:szCs w:val="28"/>
        </w:rPr>
        <w:t xml:space="preserve">il parametro del </w:t>
      </w:r>
      <w:r w:rsidR="00F12C3E" w:rsidRPr="00186819">
        <w:rPr>
          <w:rFonts w:ascii="Times New Roman" w:hAnsi="Times New Roman" w:cs="Times New Roman"/>
          <w:sz w:val="28"/>
          <w:szCs w:val="28"/>
        </w:rPr>
        <w:t>“termine ragionevole”.</w:t>
      </w:r>
      <w:r w:rsidR="00C97284" w:rsidRPr="00186819">
        <w:rPr>
          <w:rFonts w:ascii="Times New Roman" w:hAnsi="Times New Roman" w:cs="Times New Roman"/>
          <w:sz w:val="28"/>
          <w:szCs w:val="28"/>
        </w:rPr>
        <w:t xml:space="preserve"> </w:t>
      </w:r>
      <w:r w:rsidR="00FF26A1" w:rsidRPr="00186819">
        <w:rPr>
          <w:rFonts w:ascii="Times New Roman" w:hAnsi="Times New Roman" w:cs="Times New Roman"/>
          <w:sz w:val="28"/>
          <w:szCs w:val="28"/>
        </w:rPr>
        <w:t>Quest’ultimo</w:t>
      </w:r>
      <w:r w:rsidR="00C97284" w:rsidRPr="00186819">
        <w:rPr>
          <w:rFonts w:ascii="Times New Roman" w:hAnsi="Times New Roman" w:cs="Times New Roman"/>
          <w:sz w:val="28"/>
          <w:szCs w:val="28"/>
        </w:rPr>
        <w:t xml:space="preserve">, </w:t>
      </w:r>
      <w:r w:rsidR="00AD3F5B" w:rsidRPr="00186819">
        <w:rPr>
          <w:rFonts w:ascii="Times New Roman" w:hAnsi="Times New Roman" w:cs="Times New Roman"/>
          <w:sz w:val="28"/>
          <w:szCs w:val="28"/>
        </w:rPr>
        <w:t xml:space="preserve">tuttavia, </w:t>
      </w:r>
      <w:r w:rsidR="00C97284" w:rsidRPr="00186819">
        <w:rPr>
          <w:rFonts w:ascii="Times New Roman" w:hAnsi="Times New Roman" w:cs="Times New Roman"/>
          <w:sz w:val="28"/>
          <w:szCs w:val="28"/>
        </w:rPr>
        <w:t xml:space="preserve">per la sua concettuale elasticità, veniva considerato non </w:t>
      </w:r>
      <w:r w:rsidR="00764B3F">
        <w:rPr>
          <w:rFonts w:ascii="Times New Roman" w:hAnsi="Times New Roman" w:cs="Times New Roman"/>
          <w:sz w:val="28"/>
          <w:szCs w:val="28"/>
        </w:rPr>
        <w:t>alla stregua di</w:t>
      </w:r>
      <w:r w:rsidR="00FF26A1" w:rsidRPr="00186819">
        <w:rPr>
          <w:rFonts w:ascii="Times New Roman" w:hAnsi="Times New Roman" w:cs="Times New Roman"/>
          <w:sz w:val="28"/>
          <w:szCs w:val="28"/>
        </w:rPr>
        <w:t xml:space="preserve"> t</w:t>
      </w:r>
      <w:r w:rsidR="00F12C3E" w:rsidRPr="00186819">
        <w:rPr>
          <w:rFonts w:ascii="Times New Roman" w:hAnsi="Times New Roman" w:cs="Times New Roman"/>
          <w:sz w:val="28"/>
          <w:szCs w:val="28"/>
        </w:rPr>
        <w:t xml:space="preserve">ermine decadenziale ma </w:t>
      </w:r>
      <w:r w:rsidR="006265C1">
        <w:rPr>
          <w:rFonts w:ascii="Times New Roman" w:hAnsi="Times New Roman" w:cs="Times New Roman"/>
          <w:sz w:val="28"/>
          <w:szCs w:val="28"/>
        </w:rPr>
        <w:t>di</w:t>
      </w:r>
      <w:r w:rsidR="00FF26A1"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 xml:space="preserve">criterio </w:t>
      </w:r>
      <w:r w:rsidR="00DC418C" w:rsidRPr="00186819">
        <w:rPr>
          <w:rFonts w:ascii="Times New Roman" w:hAnsi="Times New Roman" w:cs="Times New Roman"/>
          <w:sz w:val="28"/>
          <w:szCs w:val="28"/>
        </w:rPr>
        <w:t>“</w:t>
      </w:r>
      <w:r w:rsidR="00F12C3E" w:rsidRPr="00186819">
        <w:rPr>
          <w:rFonts w:ascii="Times New Roman" w:hAnsi="Times New Roman" w:cs="Times New Roman"/>
          <w:sz w:val="28"/>
          <w:szCs w:val="28"/>
        </w:rPr>
        <w:t>interno</w:t>
      </w:r>
      <w:r w:rsidR="00DC418C" w:rsidRPr="00186819">
        <w:rPr>
          <w:rFonts w:ascii="Times New Roman" w:hAnsi="Times New Roman" w:cs="Times New Roman"/>
          <w:sz w:val="28"/>
          <w:szCs w:val="28"/>
        </w:rPr>
        <w:t xml:space="preserve">” per </w:t>
      </w:r>
      <w:r w:rsidR="00FF26A1" w:rsidRPr="00186819">
        <w:rPr>
          <w:rFonts w:ascii="Times New Roman" w:hAnsi="Times New Roman" w:cs="Times New Roman"/>
          <w:sz w:val="28"/>
          <w:szCs w:val="28"/>
        </w:rPr>
        <w:t>l’esercizio de</w:t>
      </w:r>
      <w:r w:rsidR="00F12C3E" w:rsidRPr="00186819">
        <w:rPr>
          <w:rFonts w:ascii="Times New Roman" w:hAnsi="Times New Roman" w:cs="Times New Roman"/>
          <w:sz w:val="28"/>
          <w:szCs w:val="28"/>
        </w:rPr>
        <w:t>l potere.</w:t>
      </w:r>
    </w:p>
    <w:p w14:paraId="0E8043E5" w14:textId="0066FE91" w:rsidR="00F12C3E" w:rsidRPr="00186819" w:rsidRDefault="00FF26A1" w:rsidP="00F12C3E">
      <w:pPr>
        <w:jc w:val="both"/>
        <w:rPr>
          <w:rFonts w:ascii="Times New Roman" w:hAnsi="Times New Roman" w:cs="Times New Roman"/>
          <w:sz w:val="28"/>
          <w:szCs w:val="28"/>
        </w:rPr>
      </w:pPr>
      <w:r w:rsidRPr="00186819">
        <w:rPr>
          <w:rFonts w:ascii="Times New Roman" w:hAnsi="Times New Roman" w:cs="Times New Roman"/>
          <w:sz w:val="28"/>
          <w:szCs w:val="28"/>
        </w:rPr>
        <w:t>Con la r</w:t>
      </w:r>
      <w:r w:rsidR="00F12C3E" w:rsidRPr="00186819">
        <w:rPr>
          <w:rFonts w:ascii="Times New Roman" w:hAnsi="Times New Roman" w:cs="Times New Roman"/>
          <w:sz w:val="28"/>
          <w:szCs w:val="28"/>
        </w:rPr>
        <w:t xml:space="preserve">iforma </w:t>
      </w:r>
      <w:r w:rsidR="006265C1">
        <w:rPr>
          <w:rFonts w:ascii="Times New Roman" w:hAnsi="Times New Roman" w:cs="Times New Roman"/>
          <w:sz w:val="28"/>
          <w:szCs w:val="28"/>
        </w:rPr>
        <w:t xml:space="preserve">del </w:t>
      </w:r>
      <w:r w:rsidR="00F12C3E" w:rsidRPr="00186819">
        <w:rPr>
          <w:rFonts w:ascii="Times New Roman" w:hAnsi="Times New Roman" w:cs="Times New Roman"/>
          <w:sz w:val="28"/>
          <w:szCs w:val="28"/>
        </w:rPr>
        <w:t>2015</w:t>
      </w:r>
      <w:r w:rsidR="00C97284" w:rsidRPr="00186819">
        <w:rPr>
          <w:rFonts w:ascii="Times New Roman" w:hAnsi="Times New Roman" w:cs="Times New Roman"/>
          <w:sz w:val="28"/>
          <w:szCs w:val="28"/>
        </w:rPr>
        <w:t>,</w:t>
      </w:r>
      <w:r w:rsidRPr="00186819">
        <w:rPr>
          <w:rFonts w:ascii="Times New Roman" w:hAnsi="Times New Roman" w:cs="Times New Roman"/>
          <w:sz w:val="28"/>
          <w:szCs w:val="28"/>
        </w:rPr>
        <w:t xml:space="preserve"> sempre della legge 241/90</w:t>
      </w:r>
      <w:r w:rsidR="00C97284"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90690F" w:rsidRPr="00186819">
        <w:rPr>
          <w:rFonts w:ascii="Times New Roman" w:hAnsi="Times New Roman" w:cs="Times New Roman"/>
          <w:sz w:val="28"/>
          <w:szCs w:val="28"/>
        </w:rPr>
        <w:t xml:space="preserve">è stato poi </w:t>
      </w:r>
      <w:r w:rsidRPr="00186819">
        <w:rPr>
          <w:rFonts w:ascii="Times New Roman" w:hAnsi="Times New Roman" w:cs="Times New Roman"/>
          <w:sz w:val="28"/>
          <w:szCs w:val="28"/>
        </w:rPr>
        <w:t xml:space="preserve">introdotto un “termine </w:t>
      </w:r>
      <w:r w:rsidR="00F12C3E" w:rsidRPr="00186819">
        <w:rPr>
          <w:rFonts w:ascii="Times New Roman" w:hAnsi="Times New Roman" w:cs="Times New Roman"/>
          <w:sz w:val="28"/>
          <w:szCs w:val="28"/>
        </w:rPr>
        <w:t>fisso</w:t>
      </w:r>
      <w:r w:rsidRPr="00186819">
        <w:rPr>
          <w:rFonts w:ascii="Times New Roman" w:hAnsi="Times New Roman" w:cs="Times New Roman"/>
          <w:sz w:val="28"/>
          <w:szCs w:val="28"/>
        </w:rPr>
        <w:t>”</w:t>
      </w:r>
      <w:r w:rsidR="00F12C3E"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originariamente </w:t>
      </w:r>
      <w:r w:rsidR="00F12C3E" w:rsidRPr="00186819">
        <w:rPr>
          <w:rFonts w:ascii="Times New Roman" w:hAnsi="Times New Roman" w:cs="Times New Roman"/>
          <w:sz w:val="28"/>
          <w:szCs w:val="28"/>
        </w:rPr>
        <w:t xml:space="preserve">18 mesi </w:t>
      </w:r>
      <w:r w:rsidR="00544CA9" w:rsidRPr="00186819">
        <w:rPr>
          <w:rFonts w:ascii="Times New Roman" w:hAnsi="Times New Roman" w:cs="Times New Roman"/>
          <w:sz w:val="28"/>
          <w:szCs w:val="28"/>
        </w:rPr>
        <w:t xml:space="preserve">successivamente </w:t>
      </w:r>
      <w:r w:rsidRPr="00186819">
        <w:rPr>
          <w:rFonts w:ascii="Times New Roman" w:hAnsi="Times New Roman" w:cs="Times New Roman"/>
          <w:sz w:val="28"/>
          <w:szCs w:val="28"/>
        </w:rPr>
        <w:t>ridotto a</w:t>
      </w:r>
      <w:r w:rsidR="00F12C3E" w:rsidRPr="00186819">
        <w:rPr>
          <w:rFonts w:ascii="Times New Roman" w:hAnsi="Times New Roman" w:cs="Times New Roman"/>
          <w:sz w:val="28"/>
          <w:szCs w:val="28"/>
        </w:rPr>
        <w:t xml:space="preserve"> 12</w:t>
      </w:r>
      <w:r w:rsidR="00254589" w:rsidRPr="00186819">
        <w:rPr>
          <w:rFonts w:ascii="Times New Roman" w:hAnsi="Times New Roman" w:cs="Times New Roman"/>
          <w:sz w:val="28"/>
          <w:szCs w:val="28"/>
        </w:rPr>
        <w:t xml:space="preserve"> e poi</w:t>
      </w:r>
      <w:r w:rsidR="00DC418C" w:rsidRPr="00186819">
        <w:rPr>
          <w:rFonts w:ascii="Times New Roman" w:hAnsi="Times New Roman" w:cs="Times New Roman"/>
          <w:sz w:val="28"/>
          <w:szCs w:val="28"/>
        </w:rPr>
        <w:t xml:space="preserve">, nel </w:t>
      </w:r>
      <w:r w:rsidR="00544CA9" w:rsidRPr="00186819">
        <w:rPr>
          <w:rFonts w:ascii="Times New Roman" w:hAnsi="Times New Roman" w:cs="Times New Roman"/>
          <w:sz w:val="28"/>
          <w:szCs w:val="28"/>
        </w:rPr>
        <w:t xml:space="preserve">2025 </w:t>
      </w:r>
      <w:r w:rsidR="00254589" w:rsidRPr="00186819">
        <w:rPr>
          <w:rFonts w:ascii="Times New Roman" w:hAnsi="Times New Roman" w:cs="Times New Roman"/>
          <w:sz w:val="28"/>
          <w:szCs w:val="28"/>
        </w:rPr>
        <w:t>a 6</w:t>
      </w:r>
      <w:r w:rsidR="00DC418C" w:rsidRPr="00186819">
        <w:rPr>
          <w:rFonts w:ascii="Times New Roman" w:hAnsi="Times New Roman" w:cs="Times New Roman"/>
          <w:sz w:val="28"/>
          <w:szCs w:val="28"/>
        </w:rPr>
        <w:t xml:space="preserve"> mesi</w:t>
      </w:r>
      <w:r w:rsidR="00F12C3E"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 xml:space="preserve">per garantire </w:t>
      </w:r>
      <w:r w:rsidR="006C2A2F" w:rsidRPr="00186819">
        <w:rPr>
          <w:rFonts w:ascii="Times New Roman" w:hAnsi="Times New Roman" w:cs="Times New Roman"/>
          <w:sz w:val="28"/>
          <w:szCs w:val="28"/>
        </w:rPr>
        <w:t xml:space="preserve">maggiore </w:t>
      </w:r>
      <w:r w:rsidR="00F12C3E" w:rsidRPr="00186819">
        <w:rPr>
          <w:rFonts w:ascii="Times New Roman" w:hAnsi="Times New Roman" w:cs="Times New Roman"/>
          <w:sz w:val="28"/>
          <w:szCs w:val="28"/>
        </w:rPr>
        <w:t>certezza giuridica</w:t>
      </w:r>
      <w:r w:rsidR="00AD3F5B" w:rsidRPr="00186819">
        <w:rPr>
          <w:rFonts w:ascii="Times New Roman" w:hAnsi="Times New Roman" w:cs="Times New Roman"/>
          <w:sz w:val="28"/>
          <w:szCs w:val="28"/>
        </w:rPr>
        <w:t xml:space="preserve"> in caso di provvedimenti</w:t>
      </w:r>
      <w:r w:rsidR="00DC418C" w:rsidRPr="00186819">
        <w:rPr>
          <w:rFonts w:ascii="Times New Roman" w:hAnsi="Times New Roman" w:cs="Times New Roman"/>
          <w:sz w:val="28"/>
          <w:szCs w:val="28"/>
        </w:rPr>
        <w:t xml:space="preserve"> </w:t>
      </w:r>
      <w:r w:rsidR="00544CA9" w:rsidRPr="00186819">
        <w:rPr>
          <w:rFonts w:ascii="Times New Roman" w:hAnsi="Times New Roman" w:cs="Times New Roman"/>
          <w:sz w:val="28"/>
          <w:szCs w:val="28"/>
        </w:rPr>
        <w:t>(</w:t>
      </w:r>
      <w:r w:rsidR="00DC418C" w:rsidRPr="00186819">
        <w:rPr>
          <w:rFonts w:ascii="Times New Roman" w:hAnsi="Times New Roman" w:cs="Times New Roman"/>
          <w:i/>
          <w:iCs/>
          <w:sz w:val="28"/>
          <w:szCs w:val="28"/>
        </w:rPr>
        <w:t>lato sensu</w:t>
      </w:r>
      <w:r w:rsidR="00544CA9" w:rsidRPr="00186819">
        <w:rPr>
          <w:rFonts w:ascii="Times New Roman" w:hAnsi="Times New Roman" w:cs="Times New Roman"/>
          <w:sz w:val="28"/>
          <w:szCs w:val="28"/>
        </w:rPr>
        <w:t xml:space="preserve">) </w:t>
      </w:r>
      <w:r w:rsidR="00AD3F5B" w:rsidRPr="00186819">
        <w:rPr>
          <w:rFonts w:ascii="Times New Roman" w:hAnsi="Times New Roman" w:cs="Times New Roman"/>
          <w:sz w:val="28"/>
          <w:szCs w:val="28"/>
        </w:rPr>
        <w:t>autorizzatori e di attribuzione di vantaggi economici, ossia per gli atti ampliativi della sfera giuridica del privato o comunque del soggetto che ne beneficia</w:t>
      </w:r>
      <w:r w:rsidR="00F12C3E" w:rsidRPr="00186819">
        <w:rPr>
          <w:rFonts w:ascii="Times New Roman" w:hAnsi="Times New Roman" w:cs="Times New Roman"/>
          <w:sz w:val="28"/>
          <w:szCs w:val="28"/>
        </w:rPr>
        <w:t>.</w:t>
      </w:r>
    </w:p>
    <w:p w14:paraId="3B8404BF" w14:textId="78664405" w:rsidR="00033760" w:rsidRPr="00186819" w:rsidRDefault="00FF26A1" w:rsidP="00F12C3E">
      <w:pPr>
        <w:jc w:val="both"/>
        <w:rPr>
          <w:rFonts w:ascii="Times New Roman" w:hAnsi="Times New Roman" w:cs="Times New Roman"/>
          <w:sz w:val="28"/>
          <w:szCs w:val="28"/>
        </w:rPr>
      </w:pPr>
      <w:r w:rsidRPr="00186819">
        <w:rPr>
          <w:rFonts w:ascii="Times New Roman" w:hAnsi="Times New Roman" w:cs="Times New Roman"/>
          <w:sz w:val="28"/>
          <w:szCs w:val="28"/>
        </w:rPr>
        <w:t>Secondo la Corte</w:t>
      </w:r>
      <w:r w:rsidR="00DC418C" w:rsidRPr="00186819">
        <w:rPr>
          <w:rFonts w:ascii="Times New Roman" w:hAnsi="Times New Roman" w:cs="Times New Roman"/>
          <w:sz w:val="28"/>
          <w:szCs w:val="28"/>
        </w:rPr>
        <w:t>, in linea con la giurisprudenza di gran lunga in sopravvento,</w:t>
      </w:r>
      <w:r w:rsidRPr="00186819">
        <w:rPr>
          <w:rFonts w:ascii="Times New Roman" w:hAnsi="Times New Roman" w:cs="Times New Roman"/>
          <w:sz w:val="28"/>
          <w:szCs w:val="28"/>
        </w:rPr>
        <w:t xml:space="preserve"> si tratta di un termine di natura decadenziale, che estingue il potere dell’Amministrazione.</w:t>
      </w:r>
    </w:p>
    <w:p w14:paraId="211475D3" w14:textId="04C47CA2" w:rsidR="00AD3F5B" w:rsidRPr="00186819" w:rsidRDefault="00FF26A1" w:rsidP="00F12C3E">
      <w:pPr>
        <w:jc w:val="both"/>
        <w:rPr>
          <w:rFonts w:ascii="Times New Roman" w:hAnsi="Times New Roman" w:cs="Times New Roman"/>
          <w:sz w:val="28"/>
          <w:szCs w:val="28"/>
        </w:rPr>
      </w:pPr>
      <w:r w:rsidRPr="00186819">
        <w:rPr>
          <w:rFonts w:ascii="Times New Roman" w:hAnsi="Times New Roman" w:cs="Times New Roman"/>
          <w:sz w:val="28"/>
          <w:szCs w:val="28"/>
        </w:rPr>
        <w:t>Tale termine conosce però un’</w:t>
      </w:r>
      <w:r w:rsidR="00F12C3E" w:rsidRPr="00186819">
        <w:rPr>
          <w:rFonts w:ascii="Times New Roman" w:hAnsi="Times New Roman" w:cs="Times New Roman"/>
          <w:sz w:val="28"/>
          <w:szCs w:val="28"/>
        </w:rPr>
        <w:t>eccezione (comma 2-</w:t>
      </w:r>
      <w:r w:rsidR="00F12C3E" w:rsidRPr="00186819">
        <w:rPr>
          <w:rFonts w:ascii="Times New Roman" w:hAnsi="Times New Roman" w:cs="Times New Roman"/>
          <w:i/>
          <w:iCs/>
          <w:sz w:val="28"/>
          <w:szCs w:val="28"/>
        </w:rPr>
        <w:t>bis</w:t>
      </w:r>
      <w:r w:rsidRPr="00186819">
        <w:rPr>
          <w:rFonts w:ascii="Times New Roman" w:hAnsi="Times New Roman" w:cs="Times New Roman"/>
          <w:sz w:val="28"/>
          <w:szCs w:val="28"/>
        </w:rPr>
        <w:t xml:space="preserve"> dell’art. 21 </w:t>
      </w:r>
      <w:r w:rsidRPr="00186819">
        <w:rPr>
          <w:rFonts w:ascii="Times New Roman" w:hAnsi="Times New Roman" w:cs="Times New Roman"/>
          <w:i/>
          <w:iCs/>
          <w:sz w:val="28"/>
          <w:szCs w:val="28"/>
        </w:rPr>
        <w:t>nonies</w:t>
      </w:r>
      <w:r w:rsidR="00F12C3E" w:rsidRPr="00186819">
        <w:rPr>
          <w:rFonts w:ascii="Times New Roman" w:hAnsi="Times New Roman" w:cs="Times New Roman"/>
          <w:sz w:val="28"/>
          <w:szCs w:val="28"/>
        </w:rPr>
        <w:t>)</w:t>
      </w:r>
      <w:r w:rsidRPr="00186819">
        <w:rPr>
          <w:rFonts w:ascii="Times New Roman" w:hAnsi="Times New Roman" w:cs="Times New Roman"/>
          <w:sz w:val="28"/>
          <w:szCs w:val="28"/>
        </w:rPr>
        <w:t xml:space="preserve"> per il caso di</w:t>
      </w:r>
      <w:r w:rsidR="00F12C3E" w:rsidRPr="00186819">
        <w:rPr>
          <w:rFonts w:ascii="Times New Roman" w:hAnsi="Times New Roman" w:cs="Times New Roman"/>
          <w:sz w:val="28"/>
          <w:szCs w:val="28"/>
        </w:rPr>
        <w:t xml:space="preserve"> affidamento </w:t>
      </w:r>
      <w:r w:rsidR="0090690F" w:rsidRPr="00186819">
        <w:rPr>
          <w:rFonts w:ascii="Times New Roman" w:hAnsi="Times New Roman" w:cs="Times New Roman"/>
          <w:sz w:val="28"/>
          <w:szCs w:val="28"/>
        </w:rPr>
        <w:t>“</w:t>
      </w:r>
      <w:r w:rsidR="00F12C3E" w:rsidRPr="00186819">
        <w:rPr>
          <w:rFonts w:ascii="Times New Roman" w:hAnsi="Times New Roman" w:cs="Times New Roman"/>
          <w:sz w:val="28"/>
          <w:szCs w:val="28"/>
        </w:rPr>
        <w:t>non meritevole</w:t>
      </w:r>
      <w:r w:rsidR="0090690F"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0A4103">
        <w:rPr>
          <w:rFonts w:ascii="Times New Roman" w:hAnsi="Times New Roman" w:cs="Times New Roman"/>
          <w:sz w:val="28"/>
          <w:szCs w:val="28"/>
        </w:rPr>
        <w:t xml:space="preserve">perché </w:t>
      </w:r>
      <w:r w:rsidRPr="00186819">
        <w:rPr>
          <w:rFonts w:ascii="Times New Roman" w:hAnsi="Times New Roman" w:cs="Times New Roman"/>
          <w:sz w:val="28"/>
          <w:szCs w:val="28"/>
        </w:rPr>
        <w:t xml:space="preserve">viziato </w:t>
      </w:r>
      <w:r w:rsidRPr="00186819">
        <w:rPr>
          <w:rFonts w:ascii="Times New Roman" w:hAnsi="Times New Roman" w:cs="Times New Roman"/>
          <w:i/>
          <w:iCs/>
          <w:sz w:val="28"/>
          <w:szCs w:val="28"/>
        </w:rPr>
        <w:t>ab origine</w:t>
      </w:r>
      <w:r w:rsidRPr="00186819">
        <w:rPr>
          <w:rFonts w:ascii="Times New Roman" w:hAnsi="Times New Roman" w:cs="Times New Roman"/>
          <w:sz w:val="28"/>
          <w:szCs w:val="28"/>
        </w:rPr>
        <w:t xml:space="preserve"> </w:t>
      </w:r>
      <w:r w:rsidR="006C2A2F" w:rsidRPr="00186819">
        <w:rPr>
          <w:rFonts w:ascii="Times New Roman" w:hAnsi="Times New Roman" w:cs="Times New Roman"/>
          <w:sz w:val="28"/>
          <w:szCs w:val="28"/>
        </w:rPr>
        <w:t xml:space="preserve">da dichiarazioni mendaci per effetto di condotte costituenti reato, accertate con sentenza passata in giudicato, ovvero, anche in via autonoma e autosufficiente, se sussista una falsa rappresentazione della realtà di fatto da parte del </w:t>
      </w:r>
      <w:r w:rsidR="00AD3F5B" w:rsidRPr="00186819">
        <w:rPr>
          <w:rFonts w:ascii="Times New Roman" w:hAnsi="Times New Roman" w:cs="Times New Roman"/>
          <w:sz w:val="28"/>
          <w:szCs w:val="28"/>
        </w:rPr>
        <w:t>soggetto beneficiario</w:t>
      </w:r>
      <w:r w:rsidR="006C2A2F" w:rsidRPr="00186819">
        <w:rPr>
          <w:rFonts w:ascii="Times New Roman" w:hAnsi="Times New Roman" w:cs="Times New Roman"/>
          <w:sz w:val="28"/>
          <w:szCs w:val="28"/>
        </w:rPr>
        <w:t>, accertata inequivocabilmente</w:t>
      </w:r>
      <w:r w:rsidR="00033760" w:rsidRPr="00186819">
        <w:rPr>
          <w:rFonts w:ascii="Times New Roman" w:hAnsi="Times New Roman" w:cs="Times New Roman"/>
          <w:sz w:val="28"/>
          <w:szCs w:val="28"/>
        </w:rPr>
        <w:t xml:space="preserve"> d</w:t>
      </w:r>
      <w:r w:rsidR="006C2A2F" w:rsidRPr="00186819">
        <w:rPr>
          <w:rFonts w:ascii="Times New Roman" w:hAnsi="Times New Roman" w:cs="Times New Roman"/>
          <w:sz w:val="28"/>
          <w:szCs w:val="28"/>
        </w:rPr>
        <w:t>all’</w:t>
      </w:r>
      <w:r w:rsidR="00AD3F5B" w:rsidRPr="00186819">
        <w:rPr>
          <w:rFonts w:ascii="Times New Roman" w:hAnsi="Times New Roman" w:cs="Times New Roman"/>
          <w:sz w:val="28"/>
          <w:szCs w:val="28"/>
        </w:rPr>
        <w:t>A</w:t>
      </w:r>
      <w:r w:rsidR="006C2A2F" w:rsidRPr="00186819">
        <w:rPr>
          <w:rFonts w:ascii="Times New Roman" w:hAnsi="Times New Roman" w:cs="Times New Roman"/>
          <w:sz w:val="28"/>
          <w:szCs w:val="28"/>
        </w:rPr>
        <w:t xml:space="preserve">mministrazione con i propri mezzi. </w:t>
      </w:r>
    </w:p>
    <w:p w14:paraId="4A411A08" w14:textId="1E2F8BD7" w:rsidR="00FF26A1" w:rsidRPr="00186819" w:rsidRDefault="00FF26A1" w:rsidP="00F12C3E">
      <w:pPr>
        <w:jc w:val="both"/>
        <w:rPr>
          <w:rFonts w:ascii="Times New Roman" w:hAnsi="Times New Roman" w:cs="Times New Roman"/>
          <w:sz w:val="28"/>
          <w:szCs w:val="28"/>
        </w:rPr>
      </w:pPr>
      <w:r w:rsidRPr="00186819">
        <w:rPr>
          <w:rFonts w:ascii="Times New Roman" w:hAnsi="Times New Roman" w:cs="Times New Roman"/>
          <w:sz w:val="28"/>
          <w:szCs w:val="28"/>
        </w:rPr>
        <w:t xml:space="preserve">Nessuna </w:t>
      </w:r>
      <w:r w:rsidR="00F12C3E" w:rsidRPr="00186819">
        <w:rPr>
          <w:rFonts w:ascii="Times New Roman" w:hAnsi="Times New Roman" w:cs="Times New Roman"/>
          <w:sz w:val="28"/>
          <w:szCs w:val="28"/>
        </w:rPr>
        <w:t xml:space="preserve">eccezione </w:t>
      </w:r>
      <w:r w:rsidRPr="00186819">
        <w:rPr>
          <w:rFonts w:ascii="Times New Roman" w:hAnsi="Times New Roman" w:cs="Times New Roman"/>
          <w:sz w:val="28"/>
          <w:szCs w:val="28"/>
        </w:rPr>
        <w:t>specifica</w:t>
      </w:r>
      <w:r w:rsidR="0090690F" w:rsidRPr="00186819">
        <w:rPr>
          <w:rFonts w:ascii="Times New Roman" w:hAnsi="Times New Roman" w:cs="Times New Roman"/>
          <w:sz w:val="28"/>
          <w:szCs w:val="28"/>
        </w:rPr>
        <w:t xml:space="preserve"> è</w:t>
      </w:r>
      <w:r w:rsidRPr="00186819">
        <w:rPr>
          <w:rFonts w:ascii="Times New Roman" w:hAnsi="Times New Roman" w:cs="Times New Roman"/>
          <w:sz w:val="28"/>
          <w:szCs w:val="28"/>
        </w:rPr>
        <w:t xml:space="preserve"> prevista </w:t>
      </w:r>
      <w:r w:rsidR="00F12C3E" w:rsidRPr="00186819">
        <w:rPr>
          <w:rFonts w:ascii="Times New Roman" w:hAnsi="Times New Roman" w:cs="Times New Roman"/>
          <w:sz w:val="28"/>
          <w:szCs w:val="28"/>
        </w:rPr>
        <w:t xml:space="preserve">per </w:t>
      </w:r>
      <w:r w:rsidRPr="00186819">
        <w:rPr>
          <w:rFonts w:ascii="Times New Roman" w:hAnsi="Times New Roman" w:cs="Times New Roman"/>
          <w:sz w:val="28"/>
          <w:szCs w:val="28"/>
        </w:rPr>
        <w:t xml:space="preserve">gli </w:t>
      </w:r>
      <w:r w:rsidR="00F12C3E" w:rsidRPr="00186819">
        <w:rPr>
          <w:rFonts w:ascii="Times New Roman" w:hAnsi="Times New Roman" w:cs="Times New Roman"/>
          <w:sz w:val="28"/>
          <w:szCs w:val="28"/>
        </w:rPr>
        <w:t xml:space="preserve">interessi </w:t>
      </w:r>
      <w:r w:rsidRPr="00186819">
        <w:rPr>
          <w:rFonts w:ascii="Times New Roman" w:hAnsi="Times New Roman" w:cs="Times New Roman"/>
          <w:sz w:val="28"/>
          <w:szCs w:val="28"/>
        </w:rPr>
        <w:t xml:space="preserve">(più) </w:t>
      </w:r>
      <w:r w:rsidR="00F12C3E" w:rsidRPr="00186819">
        <w:rPr>
          <w:rFonts w:ascii="Times New Roman" w:hAnsi="Times New Roman" w:cs="Times New Roman"/>
          <w:sz w:val="28"/>
          <w:szCs w:val="28"/>
        </w:rPr>
        <w:t>sensibili (cultura, ambiente, salute),</w:t>
      </w:r>
      <w:r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 xml:space="preserve">diversamente da </w:t>
      </w:r>
      <w:r w:rsidR="00EE238C" w:rsidRPr="00186819">
        <w:rPr>
          <w:rFonts w:ascii="Times New Roman" w:hAnsi="Times New Roman" w:cs="Times New Roman"/>
          <w:sz w:val="28"/>
          <w:szCs w:val="28"/>
        </w:rPr>
        <w:t xml:space="preserve">quanto si prevede in relazione ad </w:t>
      </w:r>
      <w:r w:rsidR="00F12C3E" w:rsidRPr="00186819">
        <w:rPr>
          <w:rFonts w:ascii="Times New Roman" w:hAnsi="Times New Roman" w:cs="Times New Roman"/>
          <w:sz w:val="28"/>
          <w:szCs w:val="28"/>
        </w:rPr>
        <w:t>altri istituti amministrativi.</w:t>
      </w:r>
    </w:p>
    <w:p w14:paraId="73DF5DC2" w14:textId="1FE8900B" w:rsidR="00EE238C" w:rsidRPr="00186819" w:rsidRDefault="00EE238C" w:rsidP="00F12C3E">
      <w:pPr>
        <w:jc w:val="both"/>
        <w:rPr>
          <w:rFonts w:ascii="Times New Roman" w:hAnsi="Times New Roman" w:cs="Times New Roman"/>
          <w:sz w:val="28"/>
          <w:szCs w:val="28"/>
        </w:rPr>
      </w:pPr>
      <w:r w:rsidRPr="00186819">
        <w:rPr>
          <w:rFonts w:ascii="Times New Roman" w:hAnsi="Times New Roman" w:cs="Times New Roman"/>
          <w:sz w:val="28"/>
          <w:szCs w:val="28"/>
        </w:rPr>
        <w:t>Viene dunque notato come la concezione del potere amministrativo si sia evolut</w:t>
      </w:r>
      <w:r w:rsidR="00877271" w:rsidRPr="00186819">
        <w:rPr>
          <w:rFonts w:ascii="Times New Roman" w:hAnsi="Times New Roman" w:cs="Times New Roman"/>
          <w:sz w:val="28"/>
          <w:szCs w:val="28"/>
        </w:rPr>
        <w:t>a</w:t>
      </w:r>
      <w:r w:rsidRPr="00186819">
        <w:rPr>
          <w:rFonts w:ascii="Times New Roman" w:hAnsi="Times New Roman" w:cs="Times New Roman"/>
          <w:sz w:val="28"/>
          <w:szCs w:val="28"/>
        </w:rPr>
        <w:t xml:space="preserve">, da espressione di </w:t>
      </w:r>
      <w:r w:rsidR="00F12C3E" w:rsidRPr="00186819">
        <w:rPr>
          <w:rFonts w:ascii="Times New Roman" w:hAnsi="Times New Roman" w:cs="Times New Roman"/>
          <w:sz w:val="28"/>
          <w:szCs w:val="28"/>
        </w:rPr>
        <w:t>supremazia</w:t>
      </w:r>
      <w:r w:rsidRPr="00186819">
        <w:rPr>
          <w:rFonts w:ascii="Times New Roman" w:hAnsi="Times New Roman" w:cs="Times New Roman"/>
          <w:sz w:val="28"/>
          <w:szCs w:val="28"/>
        </w:rPr>
        <w:t xml:space="preserve"> a </w:t>
      </w:r>
      <w:r w:rsidR="00F12C3E" w:rsidRPr="00186819">
        <w:rPr>
          <w:rFonts w:ascii="Times New Roman" w:hAnsi="Times New Roman" w:cs="Times New Roman"/>
          <w:sz w:val="28"/>
          <w:szCs w:val="28"/>
        </w:rPr>
        <w:t xml:space="preserve">funzione </w:t>
      </w:r>
      <w:r w:rsidR="00AD3F5B" w:rsidRPr="00186819">
        <w:rPr>
          <w:rFonts w:ascii="Times New Roman" w:hAnsi="Times New Roman" w:cs="Times New Roman"/>
          <w:sz w:val="28"/>
          <w:szCs w:val="28"/>
        </w:rPr>
        <w:t>di</w:t>
      </w:r>
      <w:r w:rsidR="00F12C3E" w:rsidRPr="00186819">
        <w:rPr>
          <w:rFonts w:ascii="Times New Roman" w:hAnsi="Times New Roman" w:cs="Times New Roman"/>
          <w:sz w:val="28"/>
          <w:szCs w:val="28"/>
        </w:rPr>
        <w:t xml:space="preserve"> servizio della collettività.</w:t>
      </w:r>
    </w:p>
    <w:p w14:paraId="0812864E" w14:textId="58C33178" w:rsidR="00EE238C" w:rsidRPr="00186819" w:rsidRDefault="00EE238C" w:rsidP="00F12C3E">
      <w:pPr>
        <w:jc w:val="both"/>
        <w:rPr>
          <w:rFonts w:ascii="Times New Roman" w:hAnsi="Times New Roman" w:cs="Times New Roman"/>
          <w:sz w:val="28"/>
          <w:szCs w:val="28"/>
        </w:rPr>
      </w:pPr>
      <w:r w:rsidRPr="00186819">
        <w:rPr>
          <w:rFonts w:ascii="Times New Roman" w:hAnsi="Times New Roman" w:cs="Times New Roman"/>
          <w:sz w:val="28"/>
          <w:szCs w:val="28"/>
        </w:rPr>
        <w:t xml:space="preserve">In questo scenario, nell’ambito del </w:t>
      </w:r>
      <w:r w:rsidR="00F12C3E" w:rsidRPr="00186819">
        <w:rPr>
          <w:rFonts w:ascii="Times New Roman" w:hAnsi="Times New Roman" w:cs="Times New Roman"/>
          <w:sz w:val="28"/>
          <w:szCs w:val="28"/>
        </w:rPr>
        <w:t>riesame</w:t>
      </w:r>
      <w:r w:rsidRPr="00186819">
        <w:rPr>
          <w:rFonts w:ascii="Times New Roman" w:hAnsi="Times New Roman" w:cs="Times New Roman"/>
          <w:sz w:val="28"/>
          <w:szCs w:val="28"/>
        </w:rPr>
        <w:t xml:space="preserve"> di un provvedimento già emesso</w:t>
      </w:r>
      <w:r w:rsidR="00AD3F5B" w:rsidRPr="00186819">
        <w:rPr>
          <w:rFonts w:ascii="Times New Roman" w:hAnsi="Times New Roman" w:cs="Times New Roman"/>
          <w:sz w:val="28"/>
          <w:szCs w:val="28"/>
        </w:rPr>
        <w:t>,</w:t>
      </w:r>
      <w:r w:rsidRPr="00186819">
        <w:rPr>
          <w:rFonts w:ascii="Times New Roman" w:hAnsi="Times New Roman" w:cs="Times New Roman"/>
          <w:sz w:val="28"/>
          <w:szCs w:val="28"/>
        </w:rPr>
        <w:t xml:space="preserve"> il potere assume delle sembianze diverse </w:t>
      </w:r>
      <w:r w:rsidR="00F12C3E" w:rsidRPr="00186819">
        <w:rPr>
          <w:rFonts w:ascii="Times New Roman" w:hAnsi="Times New Roman" w:cs="Times New Roman"/>
          <w:sz w:val="28"/>
          <w:szCs w:val="28"/>
        </w:rPr>
        <w:t>da quell</w:t>
      </w:r>
      <w:r w:rsidR="00AD3F5B" w:rsidRPr="00186819">
        <w:rPr>
          <w:rFonts w:ascii="Times New Roman" w:hAnsi="Times New Roman" w:cs="Times New Roman"/>
          <w:sz w:val="28"/>
          <w:szCs w:val="28"/>
        </w:rPr>
        <w:t>e</w:t>
      </w:r>
      <w:r w:rsidR="00F12C3E" w:rsidRPr="00186819">
        <w:rPr>
          <w:rFonts w:ascii="Times New Roman" w:hAnsi="Times New Roman" w:cs="Times New Roman"/>
          <w:sz w:val="28"/>
          <w:szCs w:val="28"/>
        </w:rPr>
        <w:t xml:space="preserve"> originari</w:t>
      </w:r>
      <w:r w:rsidR="00AD3F5B" w:rsidRPr="00186819">
        <w:rPr>
          <w:rFonts w:ascii="Times New Roman" w:hAnsi="Times New Roman" w:cs="Times New Roman"/>
          <w:sz w:val="28"/>
          <w:szCs w:val="28"/>
        </w:rPr>
        <w:t>e</w:t>
      </w:r>
      <w:r w:rsidR="00F12C3E"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0A4103">
        <w:rPr>
          <w:rFonts w:ascii="Times New Roman" w:hAnsi="Times New Roman" w:cs="Times New Roman"/>
          <w:sz w:val="28"/>
          <w:szCs w:val="28"/>
        </w:rPr>
        <w:t xml:space="preserve">perché </w:t>
      </w:r>
      <w:r w:rsidR="00F12C3E" w:rsidRPr="00186819">
        <w:rPr>
          <w:rFonts w:ascii="Times New Roman" w:hAnsi="Times New Roman" w:cs="Times New Roman"/>
          <w:sz w:val="28"/>
          <w:szCs w:val="28"/>
        </w:rPr>
        <w:t>so</w:t>
      </w:r>
      <w:r w:rsidR="00AD3F5B" w:rsidRPr="00186819">
        <w:rPr>
          <w:rFonts w:ascii="Times New Roman" w:hAnsi="Times New Roman" w:cs="Times New Roman"/>
          <w:sz w:val="28"/>
          <w:szCs w:val="28"/>
        </w:rPr>
        <w:t xml:space="preserve">ttoposto </w:t>
      </w:r>
      <w:r w:rsidR="00F12C3E" w:rsidRPr="00186819">
        <w:rPr>
          <w:rFonts w:ascii="Times New Roman" w:hAnsi="Times New Roman" w:cs="Times New Roman"/>
          <w:sz w:val="28"/>
          <w:szCs w:val="28"/>
        </w:rPr>
        <w:t>a limiti specifici</w:t>
      </w:r>
      <w:r w:rsidRPr="00186819">
        <w:rPr>
          <w:rFonts w:ascii="Times New Roman" w:hAnsi="Times New Roman" w:cs="Times New Roman"/>
          <w:sz w:val="28"/>
          <w:szCs w:val="28"/>
        </w:rPr>
        <w:t xml:space="preserve"> a t</w:t>
      </w:r>
      <w:r w:rsidR="00F12C3E" w:rsidRPr="00186819">
        <w:rPr>
          <w:rFonts w:ascii="Times New Roman" w:hAnsi="Times New Roman" w:cs="Times New Roman"/>
          <w:sz w:val="28"/>
          <w:szCs w:val="28"/>
        </w:rPr>
        <w:t xml:space="preserve">utela anche </w:t>
      </w:r>
      <w:r w:rsidRPr="00186819">
        <w:rPr>
          <w:rFonts w:ascii="Times New Roman" w:hAnsi="Times New Roman" w:cs="Times New Roman"/>
          <w:sz w:val="28"/>
          <w:szCs w:val="28"/>
        </w:rPr>
        <w:t>del</w:t>
      </w:r>
      <w:r w:rsidR="00F12C3E" w:rsidRPr="00186819">
        <w:rPr>
          <w:rFonts w:ascii="Times New Roman" w:hAnsi="Times New Roman" w:cs="Times New Roman"/>
          <w:sz w:val="28"/>
          <w:szCs w:val="28"/>
        </w:rPr>
        <w:t xml:space="preserve">la certezza dei </w:t>
      </w:r>
      <w:r w:rsidR="00033760" w:rsidRPr="00186819">
        <w:rPr>
          <w:rFonts w:ascii="Times New Roman" w:hAnsi="Times New Roman" w:cs="Times New Roman"/>
          <w:sz w:val="28"/>
          <w:szCs w:val="28"/>
        </w:rPr>
        <w:t>traffici giuridici</w:t>
      </w:r>
      <w:r w:rsidR="00F12C3E" w:rsidRPr="00186819">
        <w:rPr>
          <w:rFonts w:ascii="Times New Roman" w:hAnsi="Times New Roman" w:cs="Times New Roman"/>
          <w:sz w:val="28"/>
          <w:szCs w:val="28"/>
        </w:rPr>
        <w:t>.</w:t>
      </w:r>
    </w:p>
    <w:p w14:paraId="71730F47" w14:textId="5FFC48C1" w:rsidR="00EE238C" w:rsidRPr="00186819" w:rsidRDefault="00AD3F5B" w:rsidP="00F12C3E">
      <w:pPr>
        <w:jc w:val="both"/>
        <w:rPr>
          <w:rFonts w:ascii="Times New Roman" w:hAnsi="Times New Roman" w:cs="Times New Roman"/>
          <w:sz w:val="28"/>
          <w:szCs w:val="28"/>
        </w:rPr>
      </w:pPr>
      <w:r w:rsidRPr="00186819">
        <w:rPr>
          <w:rFonts w:ascii="Times New Roman" w:hAnsi="Times New Roman" w:cs="Times New Roman"/>
          <w:sz w:val="28"/>
          <w:szCs w:val="28"/>
        </w:rPr>
        <w:t>Poste le premesse di cui sopra, l</w:t>
      </w:r>
      <w:r w:rsidR="00EE238C" w:rsidRPr="00186819">
        <w:rPr>
          <w:rFonts w:ascii="Times New Roman" w:hAnsi="Times New Roman" w:cs="Times New Roman"/>
          <w:sz w:val="28"/>
          <w:szCs w:val="28"/>
        </w:rPr>
        <w:t xml:space="preserve">e questioni sollevate vengono ritenute non </w:t>
      </w:r>
      <w:r w:rsidR="00F12C3E" w:rsidRPr="00186819">
        <w:rPr>
          <w:rFonts w:ascii="Times New Roman" w:hAnsi="Times New Roman" w:cs="Times New Roman"/>
          <w:sz w:val="28"/>
          <w:szCs w:val="28"/>
        </w:rPr>
        <w:t>fondate</w:t>
      </w:r>
      <w:r w:rsidR="00EE238C" w:rsidRPr="00186819">
        <w:rPr>
          <w:rFonts w:ascii="Times New Roman" w:hAnsi="Times New Roman" w:cs="Times New Roman"/>
          <w:sz w:val="28"/>
          <w:szCs w:val="28"/>
        </w:rPr>
        <w:t xml:space="preserve">, </w:t>
      </w:r>
      <w:r w:rsidR="000A4103">
        <w:rPr>
          <w:rFonts w:ascii="Times New Roman" w:hAnsi="Times New Roman" w:cs="Times New Roman"/>
          <w:sz w:val="28"/>
          <w:szCs w:val="28"/>
        </w:rPr>
        <w:t>dal momento che</w:t>
      </w:r>
      <w:r w:rsidR="00EE238C" w:rsidRPr="00186819">
        <w:rPr>
          <w:rFonts w:ascii="Times New Roman" w:hAnsi="Times New Roman" w:cs="Times New Roman"/>
          <w:sz w:val="28"/>
          <w:szCs w:val="28"/>
        </w:rPr>
        <w:t xml:space="preserve"> </w:t>
      </w:r>
      <w:r w:rsidR="00CF1CF0" w:rsidRPr="00186819">
        <w:rPr>
          <w:rFonts w:ascii="Times New Roman" w:hAnsi="Times New Roman" w:cs="Times New Roman"/>
          <w:sz w:val="28"/>
          <w:szCs w:val="28"/>
        </w:rPr>
        <w:t xml:space="preserve">le norme censurate </w:t>
      </w:r>
      <w:r w:rsidRPr="00186819">
        <w:rPr>
          <w:rFonts w:ascii="Times New Roman" w:hAnsi="Times New Roman" w:cs="Times New Roman"/>
          <w:sz w:val="28"/>
          <w:szCs w:val="28"/>
        </w:rPr>
        <w:t xml:space="preserve">sono, agli occhi della Corte, </w:t>
      </w:r>
      <w:r w:rsidR="00EE238C" w:rsidRPr="00186819">
        <w:rPr>
          <w:rFonts w:ascii="Times New Roman" w:hAnsi="Times New Roman" w:cs="Times New Roman"/>
          <w:sz w:val="28"/>
          <w:szCs w:val="28"/>
        </w:rPr>
        <w:t xml:space="preserve">espressione di un ragionevole bilanciamento tra affidamento del privato e </w:t>
      </w:r>
      <w:r w:rsidR="00F12C3E" w:rsidRPr="00186819">
        <w:rPr>
          <w:rFonts w:ascii="Times New Roman" w:hAnsi="Times New Roman" w:cs="Times New Roman"/>
          <w:sz w:val="28"/>
          <w:szCs w:val="28"/>
        </w:rPr>
        <w:t xml:space="preserve">tutela </w:t>
      </w:r>
      <w:r w:rsidR="00A4280F" w:rsidRPr="00186819">
        <w:rPr>
          <w:rFonts w:ascii="Times New Roman" w:hAnsi="Times New Roman" w:cs="Times New Roman"/>
          <w:sz w:val="28"/>
          <w:szCs w:val="28"/>
        </w:rPr>
        <w:t xml:space="preserve">del </w:t>
      </w:r>
      <w:r w:rsidR="00F12C3E" w:rsidRPr="00186819">
        <w:rPr>
          <w:rFonts w:ascii="Times New Roman" w:hAnsi="Times New Roman" w:cs="Times New Roman"/>
          <w:sz w:val="28"/>
          <w:szCs w:val="28"/>
        </w:rPr>
        <w:t>patrimonio</w:t>
      </w:r>
      <w:r w:rsidR="00EE238C" w:rsidRPr="00186819">
        <w:rPr>
          <w:rFonts w:ascii="Times New Roman" w:hAnsi="Times New Roman" w:cs="Times New Roman"/>
          <w:sz w:val="28"/>
          <w:szCs w:val="28"/>
        </w:rPr>
        <w:t xml:space="preserve"> culturale.</w:t>
      </w:r>
    </w:p>
    <w:p w14:paraId="4020FF85" w14:textId="764BFA05" w:rsidR="00F12C3E" w:rsidRPr="00186819" w:rsidRDefault="00EE238C" w:rsidP="00F12C3E">
      <w:pPr>
        <w:jc w:val="both"/>
        <w:rPr>
          <w:rFonts w:ascii="Times New Roman" w:hAnsi="Times New Roman" w:cs="Times New Roman"/>
          <w:sz w:val="28"/>
          <w:szCs w:val="28"/>
        </w:rPr>
      </w:pPr>
      <w:r w:rsidRPr="00186819">
        <w:rPr>
          <w:rFonts w:ascii="Times New Roman" w:hAnsi="Times New Roman" w:cs="Times New Roman"/>
          <w:sz w:val="28"/>
          <w:szCs w:val="28"/>
        </w:rPr>
        <w:t>Difatti, l</w:t>
      </w:r>
      <w:r w:rsidR="00F12C3E" w:rsidRPr="00186819">
        <w:rPr>
          <w:rFonts w:ascii="Times New Roman" w:hAnsi="Times New Roman" w:cs="Times New Roman"/>
          <w:sz w:val="28"/>
          <w:szCs w:val="28"/>
        </w:rPr>
        <w:t xml:space="preserve">a </w:t>
      </w:r>
      <w:r w:rsidR="00A4280F" w:rsidRPr="00186819">
        <w:rPr>
          <w:rFonts w:ascii="Times New Roman" w:hAnsi="Times New Roman" w:cs="Times New Roman"/>
          <w:sz w:val="28"/>
          <w:szCs w:val="28"/>
        </w:rPr>
        <w:t xml:space="preserve">funzione tutoria </w:t>
      </w:r>
      <w:r w:rsidR="00F12C3E" w:rsidRPr="00186819">
        <w:rPr>
          <w:rFonts w:ascii="Times New Roman" w:hAnsi="Times New Roman" w:cs="Times New Roman"/>
          <w:sz w:val="28"/>
          <w:szCs w:val="28"/>
        </w:rPr>
        <w:t>è già</w:t>
      </w:r>
      <w:r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 xml:space="preserve">fortemente garantita nel procedimento </w:t>
      </w:r>
      <w:r w:rsidR="00CF1CF0" w:rsidRPr="00186819">
        <w:rPr>
          <w:rFonts w:ascii="Times New Roman" w:hAnsi="Times New Roman" w:cs="Times New Roman"/>
          <w:sz w:val="28"/>
          <w:szCs w:val="28"/>
        </w:rPr>
        <w:t>“</w:t>
      </w:r>
      <w:r w:rsidR="00F12C3E" w:rsidRPr="00186819">
        <w:rPr>
          <w:rFonts w:ascii="Times New Roman" w:hAnsi="Times New Roman" w:cs="Times New Roman"/>
          <w:sz w:val="28"/>
          <w:szCs w:val="28"/>
        </w:rPr>
        <w:t>originario</w:t>
      </w:r>
      <w:r w:rsidR="00CF1CF0"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con regole speciali (</w:t>
      </w:r>
      <w:r w:rsidR="00254589" w:rsidRPr="00186819">
        <w:rPr>
          <w:rFonts w:ascii="Times New Roman" w:hAnsi="Times New Roman" w:cs="Times New Roman"/>
          <w:i/>
          <w:iCs/>
          <w:sz w:val="28"/>
          <w:szCs w:val="28"/>
        </w:rPr>
        <w:t>i.a.</w:t>
      </w:r>
      <w:r w:rsidR="00254589" w:rsidRPr="00186819">
        <w:rPr>
          <w:rFonts w:ascii="Times New Roman" w:hAnsi="Times New Roman" w:cs="Times New Roman"/>
          <w:sz w:val="28"/>
          <w:szCs w:val="28"/>
        </w:rPr>
        <w:t>, nell’ambito del controllo dell’esportazione: termini più ampi dell’ordinario, motivazione espressa, competenze specializzate</w:t>
      </w:r>
      <w:r w:rsidR="00F12C3E" w:rsidRPr="00186819">
        <w:rPr>
          <w:rFonts w:ascii="Times New Roman" w:hAnsi="Times New Roman" w:cs="Times New Roman"/>
          <w:sz w:val="28"/>
          <w:szCs w:val="28"/>
        </w:rPr>
        <w:t>)</w:t>
      </w:r>
      <w:r w:rsidRPr="00186819">
        <w:rPr>
          <w:rFonts w:ascii="Times New Roman" w:hAnsi="Times New Roman" w:cs="Times New Roman"/>
          <w:sz w:val="28"/>
          <w:szCs w:val="28"/>
        </w:rPr>
        <w:t xml:space="preserve">, per cui il </w:t>
      </w:r>
      <w:r w:rsidR="00F12C3E" w:rsidRPr="00186819">
        <w:rPr>
          <w:rFonts w:ascii="Times New Roman" w:hAnsi="Times New Roman" w:cs="Times New Roman"/>
          <w:sz w:val="28"/>
          <w:szCs w:val="28"/>
        </w:rPr>
        <w:t>sistema assicura già</w:t>
      </w:r>
      <w:r w:rsidRPr="00186819">
        <w:rPr>
          <w:rFonts w:ascii="Times New Roman" w:hAnsi="Times New Roman" w:cs="Times New Roman"/>
          <w:sz w:val="28"/>
          <w:szCs w:val="28"/>
        </w:rPr>
        <w:t xml:space="preserve"> in sede di</w:t>
      </w:r>
      <w:r w:rsidR="00A4280F" w:rsidRPr="00186819">
        <w:rPr>
          <w:rFonts w:ascii="Times New Roman" w:hAnsi="Times New Roman" w:cs="Times New Roman"/>
          <w:sz w:val="28"/>
          <w:szCs w:val="28"/>
        </w:rPr>
        <w:t xml:space="preserve"> “prim</w:t>
      </w:r>
      <w:r w:rsidR="00CF1CF0" w:rsidRPr="00186819">
        <w:rPr>
          <w:rFonts w:ascii="Times New Roman" w:hAnsi="Times New Roman" w:cs="Times New Roman"/>
          <w:sz w:val="28"/>
          <w:szCs w:val="28"/>
        </w:rPr>
        <w:t>a</w:t>
      </w:r>
      <w:r w:rsidR="00A4280F" w:rsidRPr="00186819">
        <w:rPr>
          <w:rFonts w:ascii="Times New Roman" w:hAnsi="Times New Roman" w:cs="Times New Roman"/>
          <w:sz w:val="28"/>
          <w:szCs w:val="28"/>
        </w:rPr>
        <w:t xml:space="preserve"> </w:t>
      </w:r>
      <w:r w:rsidR="00CF1CF0" w:rsidRPr="00186819">
        <w:rPr>
          <w:rFonts w:ascii="Times New Roman" w:hAnsi="Times New Roman" w:cs="Times New Roman"/>
          <w:sz w:val="28"/>
          <w:szCs w:val="28"/>
        </w:rPr>
        <w:t>amministrazione” della questione u</w:t>
      </w:r>
      <w:r w:rsidR="00F12C3E" w:rsidRPr="00186819">
        <w:rPr>
          <w:rFonts w:ascii="Times New Roman" w:hAnsi="Times New Roman" w:cs="Times New Roman"/>
          <w:sz w:val="28"/>
          <w:szCs w:val="28"/>
        </w:rPr>
        <w:t>na protezione elevata.</w:t>
      </w:r>
    </w:p>
    <w:p w14:paraId="4F010CFC" w14:textId="1FF17C31" w:rsidR="00A4280F" w:rsidRPr="00186819" w:rsidRDefault="00A4280F" w:rsidP="00F12C3E">
      <w:pPr>
        <w:jc w:val="both"/>
        <w:rPr>
          <w:rFonts w:ascii="Times New Roman" w:hAnsi="Times New Roman" w:cs="Times New Roman"/>
          <w:sz w:val="28"/>
          <w:szCs w:val="28"/>
        </w:rPr>
      </w:pPr>
      <w:r w:rsidRPr="00186819">
        <w:rPr>
          <w:rFonts w:ascii="Times New Roman" w:hAnsi="Times New Roman" w:cs="Times New Roman"/>
          <w:sz w:val="28"/>
          <w:szCs w:val="28"/>
        </w:rPr>
        <w:lastRenderedPageBreak/>
        <w:t xml:space="preserve">Diversa è </w:t>
      </w:r>
      <w:r w:rsidR="00F12C3E" w:rsidRPr="00186819">
        <w:rPr>
          <w:rFonts w:ascii="Times New Roman" w:hAnsi="Times New Roman" w:cs="Times New Roman"/>
          <w:sz w:val="28"/>
          <w:szCs w:val="28"/>
        </w:rPr>
        <w:t>la fase d</w:t>
      </w:r>
      <w:r w:rsidRPr="00186819">
        <w:rPr>
          <w:rFonts w:ascii="Times New Roman" w:hAnsi="Times New Roman" w:cs="Times New Roman"/>
          <w:sz w:val="28"/>
          <w:szCs w:val="28"/>
        </w:rPr>
        <w:t>ell’</w:t>
      </w:r>
      <w:r w:rsidR="00F12C3E" w:rsidRPr="00186819">
        <w:rPr>
          <w:rFonts w:ascii="Times New Roman" w:hAnsi="Times New Roman" w:cs="Times New Roman"/>
          <w:sz w:val="28"/>
          <w:szCs w:val="28"/>
        </w:rPr>
        <w:t>autotutela</w:t>
      </w:r>
      <w:r w:rsidRPr="00186819">
        <w:rPr>
          <w:rFonts w:ascii="Times New Roman" w:hAnsi="Times New Roman" w:cs="Times New Roman"/>
          <w:sz w:val="28"/>
          <w:szCs w:val="28"/>
        </w:rPr>
        <w:t>, nel cui ambito en</w:t>
      </w:r>
      <w:r w:rsidR="00F12C3E" w:rsidRPr="00186819">
        <w:rPr>
          <w:rFonts w:ascii="Times New Roman" w:hAnsi="Times New Roman" w:cs="Times New Roman"/>
          <w:sz w:val="28"/>
          <w:szCs w:val="28"/>
        </w:rPr>
        <w:t xml:space="preserve">trano </w:t>
      </w:r>
      <w:r w:rsidRPr="00186819">
        <w:rPr>
          <w:rFonts w:ascii="Times New Roman" w:hAnsi="Times New Roman" w:cs="Times New Roman"/>
          <w:sz w:val="28"/>
          <w:szCs w:val="28"/>
        </w:rPr>
        <w:t xml:space="preserve">in gioco </w:t>
      </w:r>
      <w:r w:rsidR="00F12C3E" w:rsidRPr="00186819">
        <w:rPr>
          <w:rFonts w:ascii="Times New Roman" w:hAnsi="Times New Roman" w:cs="Times New Roman"/>
          <w:sz w:val="28"/>
          <w:szCs w:val="28"/>
        </w:rPr>
        <w:t>nuovi interessi</w:t>
      </w:r>
      <w:r w:rsidRPr="00186819">
        <w:rPr>
          <w:rFonts w:ascii="Times New Roman" w:hAnsi="Times New Roman" w:cs="Times New Roman"/>
          <w:sz w:val="28"/>
          <w:szCs w:val="28"/>
        </w:rPr>
        <w:t xml:space="preserve">, </w:t>
      </w:r>
      <w:r w:rsidR="00764B3F">
        <w:rPr>
          <w:rFonts w:ascii="Times New Roman" w:hAnsi="Times New Roman" w:cs="Times New Roman"/>
          <w:sz w:val="28"/>
          <w:szCs w:val="28"/>
        </w:rPr>
        <w:t xml:space="preserve">in particolare </w:t>
      </w:r>
      <w:r w:rsidR="000F6ED9" w:rsidRPr="00186819">
        <w:rPr>
          <w:rFonts w:ascii="Times New Roman" w:hAnsi="Times New Roman" w:cs="Times New Roman"/>
          <w:sz w:val="28"/>
          <w:szCs w:val="28"/>
        </w:rPr>
        <w:t xml:space="preserve">quelli relativi alla </w:t>
      </w:r>
      <w:r w:rsidR="00F12C3E" w:rsidRPr="00186819">
        <w:rPr>
          <w:rFonts w:ascii="Times New Roman" w:hAnsi="Times New Roman" w:cs="Times New Roman"/>
          <w:sz w:val="28"/>
          <w:szCs w:val="28"/>
        </w:rPr>
        <w:t>certezza giuridica</w:t>
      </w:r>
      <w:r w:rsidR="00436370" w:rsidRPr="00186819">
        <w:rPr>
          <w:rFonts w:ascii="Times New Roman" w:hAnsi="Times New Roman" w:cs="Times New Roman"/>
          <w:sz w:val="28"/>
          <w:szCs w:val="28"/>
        </w:rPr>
        <w:t xml:space="preserve"> ed</w:t>
      </w:r>
      <w:r w:rsidRPr="00186819">
        <w:rPr>
          <w:rFonts w:ascii="Times New Roman" w:hAnsi="Times New Roman" w:cs="Times New Roman"/>
          <w:sz w:val="28"/>
          <w:szCs w:val="28"/>
        </w:rPr>
        <w:t xml:space="preserve"> </w:t>
      </w:r>
      <w:r w:rsidR="000F6ED9" w:rsidRPr="00186819">
        <w:rPr>
          <w:rFonts w:ascii="Times New Roman" w:hAnsi="Times New Roman" w:cs="Times New Roman"/>
          <w:sz w:val="28"/>
          <w:szCs w:val="28"/>
        </w:rPr>
        <w:t>all</w:t>
      </w:r>
      <w:r w:rsidR="00B54E10" w:rsidRPr="00186819">
        <w:rPr>
          <w:rFonts w:ascii="Times New Roman" w:hAnsi="Times New Roman" w:cs="Times New Roman"/>
          <w:sz w:val="28"/>
          <w:szCs w:val="28"/>
        </w:rPr>
        <w:t>a tutela dell</w:t>
      </w:r>
      <w:r w:rsidR="000F6ED9" w:rsidRPr="00186819">
        <w:rPr>
          <w:rFonts w:ascii="Times New Roman" w:hAnsi="Times New Roman" w:cs="Times New Roman"/>
          <w:sz w:val="28"/>
          <w:szCs w:val="28"/>
        </w:rPr>
        <w:t>’</w:t>
      </w:r>
      <w:r w:rsidR="00F12C3E" w:rsidRPr="00186819">
        <w:rPr>
          <w:rFonts w:ascii="Times New Roman" w:hAnsi="Times New Roman" w:cs="Times New Roman"/>
          <w:sz w:val="28"/>
          <w:szCs w:val="28"/>
        </w:rPr>
        <w:t>affidamento</w:t>
      </w:r>
      <w:r w:rsidRPr="00186819">
        <w:rPr>
          <w:rFonts w:ascii="Times New Roman" w:hAnsi="Times New Roman" w:cs="Times New Roman"/>
          <w:sz w:val="28"/>
          <w:szCs w:val="28"/>
        </w:rPr>
        <w:t xml:space="preserve"> del privato e dei terzi</w:t>
      </w:r>
      <w:r w:rsidR="00F12C3E" w:rsidRPr="00186819">
        <w:rPr>
          <w:rFonts w:ascii="Times New Roman" w:hAnsi="Times New Roman" w:cs="Times New Roman"/>
          <w:sz w:val="28"/>
          <w:szCs w:val="28"/>
        </w:rPr>
        <w:t>.</w:t>
      </w:r>
    </w:p>
    <w:p w14:paraId="5A2DBA8E" w14:textId="0512B227" w:rsidR="00033760" w:rsidRPr="00186819" w:rsidRDefault="00A4280F" w:rsidP="00F12C3E">
      <w:pPr>
        <w:jc w:val="both"/>
        <w:rPr>
          <w:rFonts w:ascii="Times New Roman" w:hAnsi="Times New Roman" w:cs="Times New Roman"/>
          <w:sz w:val="28"/>
          <w:szCs w:val="28"/>
        </w:rPr>
      </w:pPr>
      <w:r w:rsidRPr="00186819">
        <w:rPr>
          <w:rFonts w:ascii="Times New Roman" w:hAnsi="Times New Roman" w:cs="Times New Roman"/>
          <w:sz w:val="28"/>
          <w:szCs w:val="28"/>
        </w:rPr>
        <w:t>Pertanto, ritiene la Consulta</w:t>
      </w:r>
      <w:r w:rsidR="00CF1CF0" w:rsidRPr="00186819">
        <w:rPr>
          <w:rFonts w:ascii="Times New Roman" w:hAnsi="Times New Roman" w:cs="Times New Roman"/>
          <w:sz w:val="28"/>
          <w:szCs w:val="28"/>
        </w:rPr>
        <w:t>, è</w:t>
      </w:r>
      <w:r w:rsidRPr="00186819">
        <w:rPr>
          <w:rFonts w:ascii="Times New Roman" w:hAnsi="Times New Roman" w:cs="Times New Roman"/>
          <w:sz w:val="28"/>
          <w:szCs w:val="28"/>
        </w:rPr>
        <w:t xml:space="preserve"> </w:t>
      </w:r>
      <w:r w:rsidR="00F12C3E" w:rsidRPr="00186819">
        <w:rPr>
          <w:rFonts w:ascii="Times New Roman" w:hAnsi="Times New Roman" w:cs="Times New Roman"/>
          <w:sz w:val="28"/>
          <w:szCs w:val="28"/>
        </w:rPr>
        <w:t>ragionevole che</w:t>
      </w:r>
      <w:r w:rsidRPr="00186819">
        <w:rPr>
          <w:rFonts w:ascii="Times New Roman" w:hAnsi="Times New Roman" w:cs="Times New Roman"/>
          <w:sz w:val="28"/>
          <w:szCs w:val="28"/>
        </w:rPr>
        <w:t xml:space="preserve"> </w:t>
      </w:r>
      <w:r w:rsidR="00436370" w:rsidRPr="00186819">
        <w:rPr>
          <w:rFonts w:ascii="Times New Roman" w:hAnsi="Times New Roman" w:cs="Times New Roman"/>
          <w:sz w:val="28"/>
          <w:szCs w:val="28"/>
        </w:rPr>
        <w:t>nell’ambito dei procedimenti “di secondo grado” l</w:t>
      </w:r>
      <w:r w:rsidR="00F12C3E" w:rsidRPr="00186819">
        <w:rPr>
          <w:rFonts w:ascii="Times New Roman" w:hAnsi="Times New Roman" w:cs="Times New Roman"/>
          <w:sz w:val="28"/>
          <w:szCs w:val="28"/>
        </w:rPr>
        <w:t xml:space="preserve">’interesse culturale non </w:t>
      </w:r>
      <w:r w:rsidRPr="00186819">
        <w:rPr>
          <w:rFonts w:ascii="Times New Roman" w:hAnsi="Times New Roman" w:cs="Times New Roman"/>
          <w:sz w:val="28"/>
          <w:szCs w:val="28"/>
        </w:rPr>
        <w:t>prevalga</w:t>
      </w:r>
      <w:r w:rsidR="00B54E10" w:rsidRPr="00186819">
        <w:rPr>
          <w:rFonts w:ascii="Times New Roman" w:hAnsi="Times New Roman" w:cs="Times New Roman"/>
          <w:sz w:val="28"/>
          <w:szCs w:val="28"/>
        </w:rPr>
        <w:t xml:space="preserve"> in via automatica ma </w:t>
      </w:r>
      <w:r w:rsidRPr="00186819">
        <w:rPr>
          <w:rFonts w:ascii="Times New Roman" w:hAnsi="Times New Roman" w:cs="Times New Roman"/>
          <w:sz w:val="28"/>
          <w:szCs w:val="28"/>
        </w:rPr>
        <w:t>che debba essere bilanciato con gli altri interessi.</w:t>
      </w:r>
      <w:r w:rsidR="00DC418C" w:rsidRPr="00186819">
        <w:rPr>
          <w:rFonts w:ascii="Times New Roman" w:hAnsi="Times New Roman" w:cs="Times New Roman"/>
          <w:sz w:val="28"/>
          <w:szCs w:val="28"/>
        </w:rPr>
        <w:t xml:space="preserve"> </w:t>
      </w:r>
      <w:r w:rsidR="00B54E10" w:rsidRPr="00186819">
        <w:rPr>
          <w:rFonts w:ascii="Times New Roman" w:hAnsi="Times New Roman" w:cs="Times New Roman"/>
          <w:sz w:val="28"/>
          <w:szCs w:val="28"/>
        </w:rPr>
        <w:t>Ed all’uopo il Legislatore ha ritenuto che n</w:t>
      </w:r>
      <w:r w:rsidR="00DC418C" w:rsidRPr="00186819">
        <w:rPr>
          <w:rFonts w:ascii="Times New Roman" w:hAnsi="Times New Roman" w:cs="Times New Roman"/>
          <w:sz w:val="28"/>
          <w:szCs w:val="28"/>
        </w:rPr>
        <w:t xml:space="preserve">ell’ambito del primo periodo temporale di 12 mesi </w:t>
      </w:r>
      <w:r w:rsidR="00AA0EF7" w:rsidRPr="00186819">
        <w:rPr>
          <w:rFonts w:ascii="Times New Roman" w:hAnsi="Times New Roman" w:cs="Times New Roman"/>
          <w:sz w:val="28"/>
          <w:szCs w:val="28"/>
        </w:rPr>
        <w:t xml:space="preserve">(ora 6) l’intervento in autotutela </w:t>
      </w:r>
      <w:r w:rsidR="00B54E10" w:rsidRPr="00186819">
        <w:rPr>
          <w:rFonts w:ascii="Times New Roman" w:hAnsi="Times New Roman" w:cs="Times New Roman"/>
          <w:sz w:val="28"/>
          <w:szCs w:val="28"/>
        </w:rPr>
        <w:t xml:space="preserve">sia </w:t>
      </w:r>
      <w:r w:rsidR="00AA0EF7" w:rsidRPr="00186819">
        <w:rPr>
          <w:rFonts w:ascii="Times New Roman" w:hAnsi="Times New Roman" w:cs="Times New Roman"/>
          <w:sz w:val="28"/>
          <w:szCs w:val="28"/>
        </w:rPr>
        <w:t>in generale possibile, mentre successivamente</w:t>
      </w:r>
      <w:r w:rsidR="00B54E10" w:rsidRPr="00186819">
        <w:rPr>
          <w:rFonts w:ascii="Times New Roman" w:hAnsi="Times New Roman" w:cs="Times New Roman"/>
          <w:sz w:val="28"/>
          <w:szCs w:val="28"/>
        </w:rPr>
        <w:t xml:space="preserve"> esso si giustifica</w:t>
      </w:r>
      <w:r w:rsidR="00AA0EF7" w:rsidRPr="00186819">
        <w:rPr>
          <w:rFonts w:ascii="Times New Roman" w:hAnsi="Times New Roman" w:cs="Times New Roman"/>
          <w:sz w:val="28"/>
          <w:szCs w:val="28"/>
        </w:rPr>
        <w:t xml:space="preserve"> solo nel caso venga riscontrato </w:t>
      </w:r>
      <w:r w:rsidR="00B54E10" w:rsidRPr="00186819">
        <w:rPr>
          <w:rFonts w:ascii="Times New Roman" w:hAnsi="Times New Roman" w:cs="Times New Roman"/>
          <w:sz w:val="28"/>
          <w:szCs w:val="28"/>
        </w:rPr>
        <w:t xml:space="preserve">con certezza </w:t>
      </w:r>
      <w:r w:rsidR="00AA0EF7" w:rsidRPr="00186819">
        <w:rPr>
          <w:rFonts w:ascii="Times New Roman" w:hAnsi="Times New Roman" w:cs="Times New Roman"/>
          <w:sz w:val="28"/>
          <w:szCs w:val="28"/>
        </w:rPr>
        <w:t xml:space="preserve">un comportamento del privato non meritevole di protezione.  </w:t>
      </w:r>
    </w:p>
    <w:p w14:paraId="0BFFF451" w14:textId="22065ABD" w:rsidR="00F12C3E" w:rsidRPr="00186819" w:rsidRDefault="00A4280F" w:rsidP="00F12C3E">
      <w:pPr>
        <w:jc w:val="both"/>
        <w:rPr>
          <w:rFonts w:ascii="Times New Roman" w:hAnsi="Times New Roman" w:cs="Times New Roman"/>
          <w:sz w:val="28"/>
          <w:szCs w:val="28"/>
        </w:rPr>
      </w:pPr>
      <w:r w:rsidRPr="00186819">
        <w:rPr>
          <w:rFonts w:ascii="Times New Roman" w:hAnsi="Times New Roman" w:cs="Times New Roman"/>
          <w:sz w:val="28"/>
          <w:szCs w:val="28"/>
        </w:rPr>
        <w:t>L</w:t>
      </w:r>
      <w:r w:rsidR="00033760" w:rsidRPr="00186819">
        <w:rPr>
          <w:rFonts w:ascii="Times New Roman" w:hAnsi="Times New Roman" w:cs="Times New Roman"/>
          <w:sz w:val="28"/>
          <w:szCs w:val="28"/>
        </w:rPr>
        <w:t xml:space="preserve">a ragionevolezza del </w:t>
      </w:r>
      <w:r w:rsidR="00F12C3E" w:rsidRPr="00186819">
        <w:rPr>
          <w:rFonts w:ascii="Times New Roman" w:hAnsi="Times New Roman" w:cs="Times New Roman"/>
          <w:sz w:val="28"/>
          <w:szCs w:val="28"/>
        </w:rPr>
        <w:t>sistema</w:t>
      </w:r>
      <w:r w:rsidRPr="00186819">
        <w:rPr>
          <w:rFonts w:ascii="Times New Roman" w:hAnsi="Times New Roman" w:cs="Times New Roman"/>
          <w:sz w:val="28"/>
          <w:szCs w:val="28"/>
        </w:rPr>
        <w:t xml:space="preserve"> normativo </w:t>
      </w:r>
      <w:r w:rsidR="00033760" w:rsidRPr="00186819">
        <w:rPr>
          <w:rFonts w:ascii="Times New Roman" w:hAnsi="Times New Roman" w:cs="Times New Roman"/>
          <w:sz w:val="28"/>
          <w:szCs w:val="28"/>
        </w:rPr>
        <w:t xml:space="preserve">nel suo complesso si coglie </w:t>
      </w:r>
      <w:r w:rsidRPr="00186819">
        <w:rPr>
          <w:rFonts w:ascii="Times New Roman" w:hAnsi="Times New Roman" w:cs="Times New Roman"/>
          <w:sz w:val="28"/>
          <w:szCs w:val="28"/>
        </w:rPr>
        <w:t xml:space="preserve">quindi </w:t>
      </w:r>
      <w:r w:rsidR="00033760" w:rsidRPr="00186819">
        <w:rPr>
          <w:rFonts w:ascii="Times New Roman" w:hAnsi="Times New Roman" w:cs="Times New Roman"/>
          <w:sz w:val="28"/>
          <w:szCs w:val="28"/>
        </w:rPr>
        <w:t>avendo riguardo al</w:t>
      </w:r>
      <w:r w:rsidRPr="00186819">
        <w:rPr>
          <w:rFonts w:ascii="Times New Roman" w:hAnsi="Times New Roman" w:cs="Times New Roman"/>
          <w:sz w:val="28"/>
          <w:szCs w:val="28"/>
        </w:rPr>
        <w:t xml:space="preserve">la </w:t>
      </w:r>
      <w:r w:rsidR="00F12C3E" w:rsidRPr="00186819">
        <w:rPr>
          <w:rFonts w:ascii="Times New Roman" w:hAnsi="Times New Roman" w:cs="Times New Roman"/>
          <w:sz w:val="28"/>
          <w:szCs w:val="28"/>
        </w:rPr>
        <w:t>tutela</w:t>
      </w:r>
      <w:r w:rsidRPr="00186819">
        <w:rPr>
          <w:rFonts w:ascii="Times New Roman" w:hAnsi="Times New Roman" w:cs="Times New Roman"/>
          <w:sz w:val="28"/>
          <w:szCs w:val="28"/>
        </w:rPr>
        <w:t xml:space="preserve"> della </w:t>
      </w:r>
      <w:r w:rsidR="00F12C3E" w:rsidRPr="00186819">
        <w:rPr>
          <w:rFonts w:ascii="Times New Roman" w:hAnsi="Times New Roman" w:cs="Times New Roman"/>
          <w:sz w:val="28"/>
          <w:szCs w:val="28"/>
        </w:rPr>
        <w:t>stabilità dei rapporti</w:t>
      </w:r>
      <w:r w:rsidR="00033760" w:rsidRPr="00186819">
        <w:rPr>
          <w:rFonts w:ascii="Times New Roman" w:hAnsi="Times New Roman" w:cs="Times New Roman"/>
          <w:sz w:val="28"/>
          <w:szCs w:val="28"/>
        </w:rPr>
        <w:t xml:space="preserve"> giuridici</w:t>
      </w:r>
      <w:r w:rsidR="00F12C3E" w:rsidRPr="00186819">
        <w:rPr>
          <w:rFonts w:ascii="Times New Roman" w:hAnsi="Times New Roman" w:cs="Times New Roman"/>
          <w:sz w:val="28"/>
          <w:szCs w:val="28"/>
        </w:rPr>
        <w:t>,</w:t>
      </w:r>
      <w:r w:rsidR="00033760"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del buon funzionamento del </w:t>
      </w:r>
      <w:r w:rsidR="00F12C3E" w:rsidRPr="00186819">
        <w:rPr>
          <w:rFonts w:ascii="Times New Roman" w:hAnsi="Times New Roman" w:cs="Times New Roman"/>
          <w:sz w:val="28"/>
          <w:szCs w:val="28"/>
        </w:rPr>
        <w:t>mercato (</w:t>
      </w:r>
      <w:r w:rsidRPr="00186819">
        <w:rPr>
          <w:rFonts w:ascii="Times New Roman" w:hAnsi="Times New Roman" w:cs="Times New Roman"/>
          <w:sz w:val="28"/>
          <w:szCs w:val="28"/>
        </w:rPr>
        <w:t>nella specie di quello delle opere d’</w:t>
      </w:r>
      <w:r w:rsidR="00F12C3E" w:rsidRPr="00186819">
        <w:rPr>
          <w:rFonts w:ascii="Times New Roman" w:hAnsi="Times New Roman" w:cs="Times New Roman"/>
          <w:sz w:val="28"/>
          <w:szCs w:val="28"/>
        </w:rPr>
        <w:t>arte),</w:t>
      </w:r>
      <w:r w:rsidRPr="00186819">
        <w:rPr>
          <w:rFonts w:ascii="Times New Roman" w:hAnsi="Times New Roman" w:cs="Times New Roman"/>
          <w:sz w:val="28"/>
          <w:szCs w:val="28"/>
        </w:rPr>
        <w:t xml:space="preserve"> nonché della </w:t>
      </w:r>
      <w:r w:rsidR="00F12C3E" w:rsidRPr="00186819">
        <w:rPr>
          <w:rFonts w:ascii="Times New Roman" w:hAnsi="Times New Roman" w:cs="Times New Roman"/>
          <w:sz w:val="28"/>
          <w:szCs w:val="28"/>
        </w:rPr>
        <w:t>fiducia degli operatori.</w:t>
      </w:r>
    </w:p>
    <w:p w14:paraId="57C0DCCE" w14:textId="59EEF3D0" w:rsidR="00F12C3E" w:rsidRPr="00186819" w:rsidRDefault="00F12C3E" w:rsidP="00F12C3E">
      <w:pPr>
        <w:jc w:val="both"/>
        <w:rPr>
          <w:rFonts w:ascii="Times New Roman" w:hAnsi="Times New Roman" w:cs="Times New Roman"/>
          <w:sz w:val="28"/>
          <w:szCs w:val="28"/>
        </w:rPr>
      </w:pPr>
      <w:r w:rsidRPr="00186819">
        <w:rPr>
          <w:rFonts w:ascii="Times New Roman" w:hAnsi="Times New Roman" w:cs="Times New Roman"/>
          <w:sz w:val="28"/>
          <w:szCs w:val="28"/>
        </w:rPr>
        <w:t xml:space="preserve">Il </w:t>
      </w:r>
      <w:r w:rsidR="00A4280F" w:rsidRPr="00186819">
        <w:rPr>
          <w:rFonts w:ascii="Times New Roman" w:hAnsi="Times New Roman" w:cs="Times New Roman"/>
          <w:sz w:val="28"/>
          <w:szCs w:val="28"/>
        </w:rPr>
        <w:t xml:space="preserve">fattore </w:t>
      </w:r>
      <w:r w:rsidRPr="00186819">
        <w:rPr>
          <w:rFonts w:ascii="Times New Roman" w:hAnsi="Times New Roman" w:cs="Times New Roman"/>
          <w:sz w:val="28"/>
          <w:szCs w:val="28"/>
        </w:rPr>
        <w:t xml:space="preserve">“tempo” è </w:t>
      </w:r>
      <w:r w:rsidR="00A4280F" w:rsidRPr="00186819">
        <w:rPr>
          <w:rFonts w:ascii="Times New Roman" w:hAnsi="Times New Roman" w:cs="Times New Roman"/>
          <w:sz w:val="28"/>
          <w:szCs w:val="28"/>
        </w:rPr>
        <w:t xml:space="preserve">considerato </w:t>
      </w:r>
      <w:r w:rsidRPr="00186819">
        <w:rPr>
          <w:rFonts w:ascii="Times New Roman" w:hAnsi="Times New Roman" w:cs="Times New Roman"/>
          <w:sz w:val="28"/>
          <w:szCs w:val="28"/>
        </w:rPr>
        <w:t>elemento essenziale dello Stato di diritto</w:t>
      </w:r>
      <w:r w:rsidR="00A4280F" w:rsidRPr="00186819">
        <w:rPr>
          <w:rFonts w:ascii="Times New Roman" w:hAnsi="Times New Roman" w:cs="Times New Roman"/>
          <w:sz w:val="28"/>
          <w:szCs w:val="28"/>
        </w:rPr>
        <w:t xml:space="preserve"> e pertanto </w:t>
      </w:r>
      <w:r w:rsidR="00B54E10" w:rsidRPr="00186819">
        <w:rPr>
          <w:rFonts w:ascii="Times New Roman" w:hAnsi="Times New Roman" w:cs="Times New Roman"/>
          <w:sz w:val="28"/>
          <w:szCs w:val="28"/>
        </w:rPr>
        <w:t xml:space="preserve">si ritiene, da un lato, che </w:t>
      </w:r>
      <w:r w:rsidR="00A4280F" w:rsidRPr="00186819">
        <w:rPr>
          <w:rFonts w:ascii="Times New Roman" w:hAnsi="Times New Roman" w:cs="Times New Roman"/>
          <w:sz w:val="28"/>
          <w:szCs w:val="28"/>
        </w:rPr>
        <w:t>il principio di b</w:t>
      </w:r>
      <w:r w:rsidRPr="00186819">
        <w:rPr>
          <w:rFonts w:ascii="Times New Roman" w:hAnsi="Times New Roman" w:cs="Times New Roman"/>
          <w:sz w:val="28"/>
          <w:szCs w:val="28"/>
        </w:rPr>
        <w:t>uon andamento (</w:t>
      </w:r>
      <w:r w:rsidR="00A4280F" w:rsidRPr="00186819">
        <w:rPr>
          <w:rFonts w:ascii="Times New Roman" w:hAnsi="Times New Roman" w:cs="Times New Roman"/>
          <w:sz w:val="28"/>
          <w:szCs w:val="28"/>
        </w:rPr>
        <w:t>di cui all’</w:t>
      </w:r>
      <w:r w:rsidRPr="00186819">
        <w:rPr>
          <w:rFonts w:ascii="Times New Roman" w:hAnsi="Times New Roman" w:cs="Times New Roman"/>
          <w:sz w:val="28"/>
          <w:szCs w:val="28"/>
        </w:rPr>
        <w:t>art. 97 Cost.)</w:t>
      </w:r>
      <w:r w:rsidR="00A4280F" w:rsidRPr="00186819">
        <w:rPr>
          <w:rFonts w:ascii="Times New Roman" w:hAnsi="Times New Roman" w:cs="Times New Roman"/>
          <w:sz w:val="28"/>
          <w:szCs w:val="28"/>
        </w:rPr>
        <w:t xml:space="preserve"> non ven</w:t>
      </w:r>
      <w:r w:rsidR="00B54E10" w:rsidRPr="00186819">
        <w:rPr>
          <w:rFonts w:ascii="Times New Roman" w:hAnsi="Times New Roman" w:cs="Times New Roman"/>
          <w:sz w:val="28"/>
          <w:szCs w:val="28"/>
        </w:rPr>
        <w:t>ga</w:t>
      </w:r>
      <w:r w:rsidR="00A4280F" w:rsidRPr="00186819">
        <w:rPr>
          <w:rFonts w:ascii="Times New Roman" w:hAnsi="Times New Roman" w:cs="Times New Roman"/>
          <w:sz w:val="28"/>
          <w:szCs w:val="28"/>
        </w:rPr>
        <w:t xml:space="preserve"> violato</w:t>
      </w:r>
      <w:r w:rsidR="00033760" w:rsidRPr="00186819">
        <w:rPr>
          <w:rFonts w:ascii="Times New Roman" w:hAnsi="Times New Roman" w:cs="Times New Roman"/>
          <w:sz w:val="28"/>
          <w:szCs w:val="28"/>
        </w:rPr>
        <w:t>,</w:t>
      </w:r>
      <w:r w:rsidR="00A4280F" w:rsidRPr="00186819">
        <w:rPr>
          <w:rFonts w:ascii="Times New Roman" w:hAnsi="Times New Roman" w:cs="Times New Roman"/>
          <w:sz w:val="28"/>
          <w:szCs w:val="28"/>
        </w:rPr>
        <w:t xml:space="preserve"> </w:t>
      </w:r>
      <w:r w:rsidR="00B54E10" w:rsidRPr="00186819">
        <w:rPr>
          <w:rFonts w:ascii="Times New Roman" w:hAnsi="Times New Roman" w:cs="Times New Roman"/>
          <w:sz w:val="28"/>
          <w:szCs w:val="28"/>
        </w:rPr>
        <w:t xml:space="preserve">e, dall’altro lato, che </w:t>
      </w:r>
      <w:r w:rsidR="00A4280F" w:rsidRPr="00186819">
        <w:rPr>
          <w:rFonts w:ascii="Times New Roman" w:hAnsi="Times New Roman" w:cs="Times New Roman"/>
          <w:sz w:val="28"/>
          <w:szCs w:val="28"/>
        </w:rPr>
        <w:t xml:space="preserve">i </w:t>
      </w:r>
      <w:r w:rsidRPr="00186819">
        <w:rPr>
          <w:rFonts w:ascii="Times New Roman" w:hAnsi="Times New Roman" w:cs="Times New Roman"/>
          <w:sz w:val="28"/>
          <w:szCs w:val="28"/>
        </w:rPr>
        <w:t>limiti temporali</w:t>
      </w:r>
      <w:r w:rsidR="00A4280F" w:rsidRPr="00186819">
        <w:rPr>
          <w:rFonts w:ascii="Times New Roman" w:hAnsi="Times New Roman" w:cs="Times New Roman"/>
          <w:sz w:val="28"/>
          <w:szCs w:val="28"/>
        </w:rPr>
        <w:t xml:space="preserve"> </w:t>
      </w:r>
      <w:r w:rsidRPr="00186819">
        <w:rPr>
          <w:rFonts w:ascii="Times New Roman" w:hAnsi="Times New Roman" w:cs="Times New Roman"/>
          <w:sz w:val="28"/>
          <w:szCs w:val="28"/>
        </w:rPr>
        <w:t>miglior</w:t>
      </w:r>
      <w:r w:rsidR="00B54E10" w:rsidRPr="00186819">
        <w:rPr>
          <w:rFonts w:ascii="Times New Roman" w:hAnsi="Times New Roman" w:cs="Times New Roman"/>
          <w:sz w:val="28"/>
          <w:szCs w:val="28"/>
        </w:rPr>
        <w:t>ino l’</w:t>
      </w:r>
      <w:r w:rsidRPr="00186819">
        <w:rPr>
          <w:rFonts w:ascii="Times New Roman" w:hAnsi="Times New Roman" w:cs="Times New Roman"/>
          <w:sz w:val="28"/>
          <w:szCs w:val="28"/>
        </w:rPr>
        <w:t>efficienza</w:t>
      </w:r>
      <w:r w:rsidR="00B54E10" w:rsidRPr="00186819">
        <w:rPr>
          <w:rFonts w:ascii="Times New Roman" w:hAnsi="Times New Roman" w:cs="Times New Roman"/>
          <w:sz w:val="28"/>
          <w:szCs w:val="28"/>
        </w:rPr>
        <w:t xml:space="preserve"> dell’Amministrazione</w:t>
      </w:r>
      <w:r w:rsidRPr="00186819">
        <w:rPr>
          <w:rFonts w:ascii="Times New Roman" w:hAnsi="Times New Roman" w:cs="Times New Roman"/>
          <w:sz w:val="28"/>
          <w:szCs w:val="28"/>
        </w:rPr>
        <w:t>,</w:t>
      </w:r>
      <w:r w:rsidR="00A4280F" w:rsidRPr="00186819">
        <w:rPr>
          <w:rFonts w:ascii="Times New Roman" w:hAnsi="Times New Roman" w:cs="Times New Roman"/>
          <w:sz w:val="28"/>
          <w:szCs w:val="28"/>
        </w:rPr>
        <w:t xml:space="preserve"> </w:t>
      </w:r>
      <w:r w:rsidRPr="00186819">
        <w:rPr>
          <w:rFonts w:ascii="Times New Roman" w:hAnsi="Times New Roman" w:cs="Times New Roman"/>
          <w:sz w:val="28"/>
          <w:szCs w:val="28"/>
        </w:rPr>
        <w:t>incentivan</w:t>
      </w:r>
      <w:r w:rsidR="00A4280F" w:rsidRPr="00186819">
        <w:rPr>
          <w:rFonts w:ascii="Times New Roman" w:hAnsi="Times New Roman" w:cs="Times New Roman"/>
          <w:sz w:val="28"/>
          <w:szCs w:val="28"/>
        </w:rPr>
        <w:t>d</w:t>
      </w:r>
      <w:r w:rsidRPr="00186819">
        <w:rPr>
          <w:rFonts w:ascii="Times New Roman" w:hAnsi="Times New Roman" w:cs="Times New Roman"/>
          <w:sz w:val="28"/>
          <w:szCs w:val="28"/>
        </w:rPr>
        <w:t xml:space="preserve">o decisioni accurate già </w:t>
      </w:r>
      <w:r w:rsidR="00A4280F" w:rsidRPr="00186819">
        <w:rPr>
          <w:rFonts w:ascii="Times New Roman" w:hAnsi="Times New Roman" w:cs="Times New Roman"/>
          <w:sz w:val="28"/>
          <w:szCs w:val="28"/>
        </w:rPr>
        <w:t xml:space="preserve">nella naturale sede del </w:t>
      </w:r>
      <w:r w:rsidR="00DC418C" w:rsidRPr="00186819">
        <w:rPr>
          <w:rFonts w:ascii="Times New Roman" w:hAnsi="Times New Roman" w:cs="Times New Roman"/>
          <w:sz w:val="28"/>
          <w:szCs w:val="28"/>
        </w:rPr>
        <w:t>“</w:t>
      </w:r>
      <w:r w:rsidRPr="00186819">
        <w:rPr>
          <w:rFonts w:ascii="Times New Roman" w:hAnsi="Times New Roman" w:cs="Times New Roman"/>
          <w:sz w:val="28"/>
          <w:szCs w:val="28"/>
        </w:rPr>
        <w:t>primo</w:t>
      </w:r>
      <w:r w:rsidR="00A4280F" w:rsidRPr="00186819">
        <w:rPr>
          <w:rFonts w:ascii="Times New Roman" w:hAnsi="Times New Roman" w:cs="Times New Roman"/>
          <w:sz w:val="28"/>
          <w:szCs w:val="28"/>
        </w:rPr>
        <w:t xml:space="preserve"> esame</w:t>
      </w:r>
      <w:r w:rsidR="00436370" w:rsidRPr="00186819">
        <w:rPr>
          <w:rFonts w:ascii="Times New Roman" w:hAnsi="Times New Roman" w:cs="Times New Roman"/>
          <w:sz w:val="28"/>
          <w:szCs w:val="28"/>
        </w:rPr>
        <w:t>”</w:t>
      </w:r>
      <w:r w:rsidR="00A4280F" w:rsidRPr="00186819">
        <w:rPr>
          <w:rFonts w:ascii="Times New Roman" w:hAnsi="Times New Roman" w:cs="Times New Roman"/>
          <w:sz w:val="28"/>
          <w:szCs w:val="28"/>
        </w:rPr>
        <w:t xml:space="preserve"> della fattispecie, scongiurando un </w:t>
      </w:r>
      <w:r w:rsidRPr="00186819">
        <w:rPr>
          <w:rFonts w:ascii="Times New Roman" w:hAnsi="Times New Roman" w:cs="Times New Roman"/>
          <w:sz w:val="28"/>
          <w:szCs w:val="28"/>
        </w:rPr>
        <w:t>uso eccessivo dell’autotutela.</w:t>
      </w:r>
    </w:p>
    <w:p w14:paraId="0D4AC8B8" w14:textId="0A40C0D1" w:rsidR="009751CF" w:rsidRPr="00186819" w:rsidRDefault="00A4280F" w:rsidP="001F57B5">
      <w:pPr>
        <w:jc w:val="both"/>
        <w:rPr>
          <w:rFonts w:ascii="Times New Roman" w:hAnsi="Times New Roman" w:cs="Times New Roman"/>
          <w:sz w:val="28"/>
          <w:szCs w:val="28"/>
        </w:rPr>
      </w:pPr>
      <w:r w:rsidRPr="00186819">
        <w:rPr>
          <w:rFonts w:ascii="Times New Roman" w:hAnsi="Times New Roman" w:cs="Times New Roman"/>
          <w:sz w:val="28"/>
          <w:szCs w:val="28"/>
        </w:rPr>
        <w:t>Concludendo, secondo la Corte, i</w:t>
      </w:r>
      <w:r w:rsidR="00F12C3E" w:rsidRPr="00186819">
        <w:rPr>
          <w:rFonts w:ascii="Times New Roman" w:hAnsi="Times New Roman" w:cs="Times New Roman"/>
          <w:sz w:val="28"/>
          <w:szCs w:val="28"/>
        </w:rPr>
        <w:t xml:space="preserve">l </w:t>
      </w:r>
      <w:r w:rsidR="00CB03B5" w:rsidRPr="00186819">
        <w:rPr>
          <w:rFonts w:ascii="Times New Roman" w:hAnsi="Times New Roman" w:cs="Times New Roman"/>
          <w:sz w:val="28"/>
          <w:szCs w:val="28"/>
        </w:rPr>
        <w:t>L</w:t>
      </w:r>
      <w:r w:rsidR="00F12C3E" w:rsidRPr="00186819">
        <w:rPr>
          <w:rFonts w:ascii="Times New Roman" w:hAnsi="Times New Roman" w:cs="Times New Roman"/>
          <w:sz w:val="28"/>
          <w:szCs w:val="28"/>
        </w:rPr>
        <w:t>egislatore</w:t>
      </w:r>
      <w:r w:rsidRPr="00186819">
        <w:rPr>
          <w:rFonts w:ascii="Times New Roman" w:hAnsi="Times New Roman" w:cs="Times New Roman"/>
          <w:sz w:val="28"/>
          <w:szCs w:val="28"/>
        </w:rPr>
        <w:t xml:space="preserve"> non ha </w:t>
      </w:r>
      <w:r w:rsidR="00F12C3E" w:rsidRPr="00186819">
        <w:rPr>
          <w:rFonts w:ascii="Times New Roman" w:hAnsi="Times New Roman" w:cs="Times New Roman"/>
          <w:sz w:val="28"/>
          <w:szCs w:val="28"/>
        </w:rPr>
        <w:t>sacrifica</w:t>
      </w:r>
      <w:r w:rsidRPr="00186819">
        <w:rPr>
          <w:rFonts w:ascii="Times New Roman" w:hAnsi="Times New Roman" w:cs="Times New Roman"/>
          <w:sz w:val="28"/>
          <w:szCs w:val="28"/>
        </w:rPr>
        <w:t xml:space="preserve">to la tutela del </w:t>
      </w:r>
      <w:r w:rsidR="00F12C3E" w:rsidRPr="00186819">
        <w:rPr>
          <w:rFonts w:ascii="Times New Roman" w:hAnsi="Times New Roman" w:cs="Times New Roman"/>
          <w:sz w:val="28"/>
          <w:szCs w:val="28"/>
        </w:rPr>
        <w:t>patrimonio culturale,</w:t>
      </w:r>
      <w:r w:rsidRPr="00186819">
        <w:rPr>
          <w:rFonts w:ascii="Times New Roman" w:hAnsi="Times New Roman" w:cs="Times New Roman"/>
          <w:sz w:val="28"/>
          <w:szCs w:val="28"/>
        </w:rPr>
        <w:t xml:space="preserve"> ma ha ritenuto </w:t>
      </w:r>
      <w:r w:rsidR="00436370" w:rsidRPr="00186819">
        <w:rPr>
          <w:rFonts w:ascii="Times New Roman" w:hAnsi="Times New Roman" w:cs="Times New Roman"/>
          <w:sz w:val="28"/>
          <w:szCs w:val="28"/>
        </w:rPr>
        <w:t xml:space="preserve">non irragionevolmente </w:t>
      </w:r>
      <w:r w:rsidRPr="00186819">
        <w:rPr>
          <w:rFonts w:ascii="Times New Roman" w:hAnsi="Times New Roman" w:cs="Times New Roman"/>
          <w:sz w:val="28"/>
          <w:szCs w:val="28"/>
        </w:rPr>
        <w:t>di bilanciare l’</w:t>
      </w:r>
      <w:r w:rsidR="00F12C3E" w:rsidRPr="00186819">
        <w:rPr>
          <w:rFonts w:ascii="Times New Roman" w:hAnsi="Times New Roman" w:cs="Times New Roman"/>
          <w:sz w:val="28"/>
          <w:szCs w:val="28"/>
        </w:rPr>
        <w:t>interesse pubblico</w:t>
      </w:r>
      <w:r w:rsidRPr="00186819">
        <w:rPr>
          <w:rFonts w:ascii="Times New Roman" w:hAnsi="Times New Roman" w:cs="Times New Roman"/>
          <w:sz w:val="28"/>
          <w:szCs w:val="28"/>
        </w:rPr>
        <w:t xml:space="preserve"> </w:t>
      </w:r>
      <w:r w:rsidR="00033760" w:rsidRPr="00186819">
        <w:rPr>
          <w:rFonts w:ascii="Times New Roman" w:hAnsi="Times New Roman" w:cs="Times New Roman"/>
          <w:sz w:val="28"/>
          <w:szCs w:val="28"/>
        </w:rPr>
        <w:t xml:space="preserve">in parola </w:t>
      </w:r>
      <w:r w:rsidRPr="00186819">
        <w:rPr>
          <w:rFonts w:ascii="Times New Roman" w:hAnsi="Times New Roman" w:cs="Times New Roman"/>
          <w:sz w:val="28"/>
          <w:szCs w:val="28"/>
        </w:rPr>
        <w:t>con l’</w:t>
      </w:r>
      <w:r w:rsidR="00F12C3E" w:rsidRPr="00186819">
        <w:rPr>
          <w:rFonts w:ascii="Times New Roman" w:hAnsi="Times New Roman" w:cs="Times New Roman"/>
          <w:sz w:val="28"/>
          <w:szCs w:val="28"/>
        </w:rPr>
        <w:t>affidamento</w:t>
      </w:r>
      <w:r w:rsidRPr="00186819">
        <w:rPr>
          <w:rFonts w:ascii="Times New Roman" w:hAnsi="Times New Roman" w:cs="Times New Roman"/>
          <w:sz w:val="28"/>
          <w:szCs w:val="28"/>
        </w:rPr>
        <w:t xml:space="preserve"> dei privati e la c</w:t>
      </w:r>
      <w:r w:rsidR="00F12C3E" w:rsidRPr="00186819">
        <w:rPr>
          <w:rFonts w:ascii="Times New Roman" w:hAnsi="Times New Roman" w:cs="Times New Roman"/>
          <w:sz w:val="28"/>
          <w:szCs w:val="28"/>
        </w:rPr>
        <w:t>ertezza del diritto</w:t>
      </w:r>
      <w:r w:rsidRPr="00186819">
        <w:rPr>
          <w:rFonts w:ascii="Times New Roman" w:hAnsi="Times New Roman" w:cs="Times New Roman"/>
          <w:sz w:val="28"/>
          <w:szCs w:val="28"/>
        </w:rPr>
        <w:t xml:space="preserve">, per cui le </w:t>
      </w:r>
      <w:r w:rsidR="00033760" w:rsidRPr="00186819">
        <w:rPr>
          <w:rFonts w:ascii="Times New Roman" w:hAnsi="Times New Roman" w:cs="Times New Roman"/>
          <w:sz w:val="28"/>
          <w:szCs w:val="28"/>
        </w:rPr>
        <w:t xml:space="preserve">menzionate </w:t>
      </w:r>
      <w:r w:rsidR="00F12C3E" w:rsidRPr="00186819">
        <w:rPr>
          <w:rFonts w:ascii="Times New Roman" w:hAnsi="Times New Roman" w:cs="Times New Roman"/>
          <w:sz w:val="28"/>
          <w:szCs w:val="28"/>
        </w:rPr>
        <w:t>questioni relative agli artt. 3, 9 e 97 Cost. sono</w:t>
      </w:r>
      <w:r w:rsidRPr="00186819">
        <w:rPr>
          <w:rFonts w:ascii="Times New Roman" w:hAnsi="Times New Roman" w:cs="Times New Roman"/>
          <w:sz w:val="28"/>
          <w:szCs w:val="28"/>
        </w:rPr>
        <w:t xml:space="preserve"> dichiarate n</w:t>
      </w:r>
      <w:r w:rsidR="00F12C3E" w:rsidRPr="00186819">
        <w:rPr>
          <w:rFonts w:ascii="Times New Roman" w:hAnsi="Times New Roman" w:cs="Times New Roman"/>
          <w:sz w:val="28"/>
          <w:szCs w:val="28"/>
        </w:rPr>
        <w:t>on fondate.</w:t>
      </w:r>
    </w:p>
    <w:p w14:paraId="435CD722" w14:textId="71657781" w:rsidR="00877271" w:rsidRPr="00186819" w:rsidRDefault="00877271" w:rsidP="006630D3">
      <w:pPr>
        <w:jc w:val="both"/>
        <w:rPr>
          <w:rFonts w:ascii="Times New Roman" w:hAnsi="Times New Roman" w:cs="Times New Roman"/>
          <w:sz w:val="28"/>
          <w:szCs w:val="28"/>
        </w:rPr>
      </w:pPr>
      <w:r w:rsidRPr="00186819">
        <w:rPr>
          <w:rFonts w:ascii="Times New Roman" w:hAnsi="Times New Roman" w:cs="Times New Roman"/>
          <w:sz w:val="28"/>
          <w:szCs w:val="28"/>
        </w:rPr>
        <w:t xml:space="preserve">In </w:t>
      </w:r>
      <w:r w:rsidR="006630D3" w:rsidRPr="00186819">
        <w:rPr>
          <w:rFonts w:ascii="Times New Roman" w:hAnsi="Times New Roman" w:cs="Times New Roman"/>
          <w:sz w:val="28"/>
          <w:szCs w:val="28"/>
        </w:rPr>
        <w:t xml:space="preserve">puntuale </w:t>
      </w:r>
      <w:r w:rsidRPr="00186819">
        <w:rPr>
          <w:rFonts w:ascii="Times New Roman" w:hAnsi="Times New Roman" w:cs="Times New Roman"/>
          <w:sz w:val="28"/>
          <w:szCs w:val="28"/>
        </w:rPr>
        <w:t>aderenza ai principi espressi dalla Co</w:t>
      </w:r>
      <w:r w:rsidR="006630D3" w:rsidRPr="00186819">
        <w:rPr>
          <w:rFonts w:ascii="Times New Roman" w:hAnsi="Times New Roman" w:cs="Times New Roman"/>
          <w:sz w:val="28"/>
          <w:szCs w:val="28"/>
        </w:rPr>
        <w:t>nsulta, il Consiglio di Stato, con sentenza del 6 febbraio 2026, n. 985, ha ritenuto tardivo e quindi illegittimo l’intervento di annullamento in autotutela dell’attestato di libera circolazione operato dal Ministero nella fattispecie</w:t>
      </w:r>
      <w:r w:rsidR="00DB5981" w:rsidRPr="00186819">
        <w:rPr>
          <w:rFonts w:ascii="Times New Roman" w:hAnsi="Times New Roman" w:cs="Times New Roman"/>
          <w:sz w:val="28"/>
          <w:szCs w:val="28"/>
        </w:rPr>
        <w:t xml:space="preserve"> appena considerata</w:t>
      </w:r>
      <w:r w:rsidR="006630D3" w:rsidRPr="00186819">
        <w:rPr>
          <w:rFonts w:ascii="Times New Roman" w:hAnsi="Times New Roman" w:cs="Times New Roman"/>
          <w:sz w:val="28"/>
          <w:szCs w:val="28"/>
        </w:rPr>
        <w:t xml:space="preserve">. </w:t>
      </w:r>
      <w:r w:rsidR="00E670DC">
        <w:rPr>
          <w:rFonts w:ascii="Times New Roman" w:hAnsi="Times New Roman" w:cs="Times New Roman"/>
          <w:sz w:val="28"/>
          <w:szCs w:val="28"/>
        </w:rPr>
        <w:t xml:space="preserve">Con </w:t>
      </w:r>
      <w:r w:rsidR="006630D3" w:rsidRPr="00186819">
        <w:rPr>
          <w:rFonts w:ascii="Times New Roman" w:hAnsi="Times New Roman" w:cs="Times New Roman"/>
          <w:sz w:val="28"/>
          <w:szCs w:val="28"/>
        </w:rPr>
        <w:t>sentenza non definitiva n. 8296 del 16 ottobre 2024</w:t>
      </w:r>
      <w:r w:rsidR="00DB5981" w:rsidRPr="00186819">
        <w:rPr>
          <w:rFonts w:ascii="Times New Roman" w:hAnsi="Times New Roman" w:cs="Times New Roman"/>
          <w:sz w:val="28"/>
          <w:szCs w:val="28"/>
        </w:rPr>
        <w:t xml:space="preserve">, </w:t>
      </w:r>
      <w:r w:rsidR="006630D3" w:rsidRPr="00186819">
        <w:rPr>
          <w:rFonts w:ascii="Times New Roman" w:hAnsi="Times New Roman" w:cs="Times New Roman"/>
          <w:sz w:val="28"/>
          <w:szCs w:val="28"/>
        </w:rPr>
        <w:t>la Sezione aveva già escluso l’applicabilità al caso di specie del disposto del comma 2-bis dell’art. 21-</w:t>
      </w:r>
      <w:r w:rsidR="006630D3" w:rsidRPr="00B50E73">
        <w:rPr>
          <w:rFonts w:ascii="Times New Roman" w:hAnsi="Times New Roman" w:cs="Times New Roman"/>
          <w:i/>
          <w:iCs/>
          <w:sz w:val="28"/>
          <w:szCs w:val="28"/>
        </w:rPr>
        <w:t>nonies</w:t>
      </w:r>
      <w:r w:rsidR="006630D3" w:rsidRPr="00186819">
        <w:rPr>
          <w:rFonts w:ascii="Times New Roman" w:hAnsi="Times New Roman" w:cs="Times New Roman"/>
          <w:sz w:val="28"/>
          <w:szCs w:val="28"/>
        </w:rPr>
        <w:t xml:space="preserve"> della l. n. 241 del 1990.</w:t>
      </w:r>
    </w:p>
    <w:p w14:paraId="6AF90989" w14:textId="6E890DCF" w:rsidR="001F57B5" w:rsidRPr="00186819" w:rsidRDefault="001F57B5" w:rsidP="004F5A90">
      <w:pPr>
        <w:pStyle w:val="Paragrafoelenco"/>
        <w:numPr>
          <w:ilvl w:val="0"/>
          <w:numId w:val="6"/>
        </w:numPr>
        <w:jc w:val="both"/>
        <w:rPr>
          <w:rFonts w:ascii="Times New Roman" w:hAnsi="Times New Roman" w:cs="Times New Roman"/>
          <w:i/>
          <w:iCs/>
          <w:sz w:val="28"/>
          <w:szCs w:val="28"/>
        </w:rPr>
      </w:pPr>
      <w:r w:rsidRPr="00186819">
        <w:rPr>
          <w:rFonts w:ascii="Times New Roman" w:hAnsi="Times New Roman" w:cs="Times New Roman"/>
          <w:b/>
          <w:bCs/>
          <w:i/>
          <w:iCs/>
          <w:sz w:val="28"/>
          <w:szCs w:val="28"/>
        </w:rPr>
        <w:t>La sentenza del 24 settembre 2025, n. 160</w:t>
      </w:r>
      <w:r w:rsidR="00B7169C" w:rsidRPr="00186819">
        <w:rPr>
          <w:rStyle w:val="Rimandonotaapidipagina"/>
          <w:rFonts w:ascii="Times New Roman" w:hAnsi="Times New Roman" w:cs="Times New Roman"/>
          <w:b/>
          <w:bCs/>
          <w:i/>
          <w:iCs/>
          <w:sz w:val="28"/>
          <w:szCs w:val="28"/>
        </w:rPr>
        <w:footnoteReference w:id="5"/>
      </w:r>
      <w:r w:rsidRPr="00186819">
        <w:rPr>
          <w:rFonts w:ascii="Times New Roman" w:hAnsi="Times New Roman" w:cs="Times New Roman"/>
          <w:b/>
          <w:bCs/>
          <w:i/>
          <w:iCs/>
          <w:sz w:val="28"/>
          <w:szCs w:val="28"/>
        </w:rPr>
        <w:t xml:space="preserve">. </w:t>
      </w:r>
    </w:p>
    <w:p w14:paraId="3818A797" w14:textId="19D30AF5" w:rsidR="001C75A9" w:rsidRPr="00186819" w:rsidRDefault="00CB03B5" w:rsidP="001F57B5">
      <w:pPr>
        <w:jc w:val="both"/>
        <w:rPr>
          <w:rFonts w:ascii="Times New Roman" w:hAnsi="Times New Roman" w:cs="Times New Roman"/>
          <w:sz w:val="28"/>
          <w:szCs w:val="28"/>
        </w:rPr>
      </w:pPr>
      <w:r w:rsidRPr="00186819">
        <w:rPr>
          <w:rFonts w:ascii="Times New Roman" w:hAnsi="Times New Roman" w:cs="Times New Roman"/>
          <w:sz w:val="28"/>
          <w:szCs w:val="28"/>
        </w:rPr>
        <w:t>La seconda questione che interessa in questa sede</w:t>
      </w:r>
      <w:r w:rsidR="001C75A9"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attiene ai dubbi di legittimità costituzionale sollevati dal </w:t>
      </w:r>
      <w:r w:rsidR="001F57B5" w:rsidRPr="00186819">
        <w:rPr>
          <w:rFonts w:ascii="Times New Roman" w:hAnsi="Times New Roman" w:cs="Times New Roman"/>
          <w:sz w:val="28"/>
          <w:szCs w:val="28"/>
        </w:rPr>
        <w:t xml:space="preserve">Consiglio di Stato </w:t>
      </w:r>
      <w:r w:rsidRPr="00186819">
        <w:rPr>
          <w:rFonts w:ascii="Times New Roman" w:hAnsi="Times New Roman" w:cs="Times New Roman"/>
          <w:sz w:val="28"/>
          <w:szCs w:val="28"/>
        </w:rPr>
        <w:t>con ri</w:t>
      </w:r>
      <w:r w:rsidR="008F6CFE">
        <w:rPr>
          <w:rFonts w:ascii="Times New Roman" w:hAnsi="Times New Roman" w:cs="Times New Roman"/>
          <w:sz w:val="28"/>
          <w:szCs w:val="28"/>
        </w:rPr>
        <w:t>ferimento</w:t>
      </w:r>
      <w:r w:rsidRPr="00186819">
        <w:rPr>
          <w:rFonts w:ascii="Times New Roman" w:hAnsi="Times New Roman" w:cs="Times New Roman"/>
          <w:sz w:val="28"/>
          <w:szCs w:val="28"/>
        </w:rPr>
        <w:t xml:space="preserve"> a</w:t>
      </w:r>
      <w:r w:rsidR="001F57B5" w:rsidRPr="00186819">
        <w:rPr>
          <w:rFonts w:ascii="Times New Roman" w:hAnsi="Times New Roman" w:cs="Times New Roman"/>
          <w:sz w:val="28"/>
          <w:szCs w:val="28"/>
        </w:rPr>
        <w:t xml:space="preserve">ll’art. 65, comma 4-bis, secondo periodo, del </w:t>
      </w:r>
      <w:r w:rsidR="00E82426" w:rsidRPr="00186819">
        <w:rPr>
          <w:rFonts w:ascii="Times New Roman" w:hAnsi="Times New Roman" w:cs="Times New Roman"/>
          <w:sz w:val="28"/>
          <w:szCs w:val="28"/>
        </w:rPr>
        <w:t>Codice</w:t>
      </w:r>
      <w:r w:rsidR="001F57B5" w:rsidRPr="00186819">
        <w:rPr>
          <w:rFonts w:ascii="Times New Roman" w:hAnsi="Times New Roman" w:cs="Times New Roman"/>
          <w:sz w:val="28"/>
          <w:szCs w:val="28"/>
        </w:rPr>
        <w:t>.</w:t>
      </w:r>
    </w:p>
    <w:p w14:paraId="75FD4CD2" w14:textId="6839F8DB" w:rsidR="001C75A9" w:rsidRPr="00186819" w:rsidRDefault="001C75A9" w:rsidP="001F57B5">
      <w:pPr>
        <w:jc w:val="both"/>
        <w:rPr>
          <w:rFonts w:ascii="Times New Roman" w:hAnsi="Times New Roman" w:cs="Times New Roman"/>
          <w:sz w:val="28"/>
          <w:szCs w:val="28"/>
        </w:rPr>
      </w:pPr>
      <w:r w:rsidRPr="00186819">
        <w:rPr>
          <w:rFonts w:ascii="Times New Roman" w:hAnsi="Times New Roman" w:cs="Times New Roman"/>
          <w:sz w:val="28"/>
          <w:szCs w:val="28"/>
        </w:rPr>
        <w:lastRenderedPageBreak/>
        <w:t>Ad avviso</w:t>
      </w:r>
      <w:r w:rsidR="001F57B5" w:rsidRPr="00186819">
        <w:rPr>
          <w:rFonts w:ascii="Times New Roman" w:hAnsi="Times New Roman" w:cs="Times New Roman"/>
          <w:sz w:val="28"/>
          <w:szCs w:val="28"/>
        </w:rPr>
        <w:t xml:space="preserve"> </w:t>
      </w:r>
      <w:r w:rsidRPr="00186819">
        <w:rPr>
          <w:rFonts w:ascii="Times New Roman" w:hAnsi="Times New Roman" w:cs="Times New Roman"/>
          <w:sz w:val="28"/>
          <w:szCs w:val="28"/>
        </w:rPr>
        <w:t>de</w:t>
      </w:r>
      <w:r w:rsidR="001F57B5" w:rsidRPr="00186819">
        <w:rPr>
          <w:rFonts w:ascii="Times New Roman" w:hAnsi="Times New Roman" w:cs="Times New Roman"/>
          <w:sz w:val="28"/>
          <w:szCs w:val="28"/>
        </w:rPr>
        <w:t xml:space="preserve">l giudice rimettente, la norma </w:t>
      </w:r>
      <w:r w:rsidR="005A4312" w:rsidRPr="00186819">
        <w:rPr>
          <w:rFonts w:ascii="Times New Roman" w:hAnsi="Times New Roman" w:cs="Times New Roman"/>
          <w:sz w:val="28"/>
          <w:szCs w:val="28"/>
        </w:rPr>
        <w:t xml:space="preserve">citata </w:t>
      </w:r>
      <w:r w:rsidR="001F57B5" w:rsidRPr="00186819">
        <w:rPr>
          <w:rFonts w:ascii="Times New Roman" w:hAnsi="Times New Roman" w:cs="Times New Roman"/>
          <w:sz w:val="28"/>
          <w:szCs w:val="28"/>
        </w:rPr>
        <w:t xml:space="preserve">limiterebbe il potere di apporre il vincolo culturale nel procedimento di </w:t>
      </w:r>
      <w:r w:rsidR="00B54E10" w:rsidRPr="00186819">
        <w:rPr>
          <w:rFonts w:ascii="Times New Roman" w:hAnsi="Times New Roman" w:cs="Times New Roman"/>
          <w:sz w:val="28"/>
          <w:szCs w:val="28"/>
        </w:rPr>
        <w:t>“</w:t>
      </w:r>
      <w:r w:rsidR="001F57B5" w:rsidRPr="00186819">
        <w:rPr>
          <w:rFonts w:ascii="Times New Roman" w:hAnsi="Times New Roman" w:cs="Times New Roman"/>
          <w:sz w:val="28"/>
          <w:szCs w:val="28"/>
        </w:rPr>
        <w:t>esportazione semplificata</w:t>
      </w:r>
      <w:r w:rsidR="00B54E10" w:rsidRPr="00186819">
        <w:rPr>
          <w:rFonts w:ascii="Times New Roman" w:hAnsi="Times New Roman" w:cs="Times New Roman"/>
          <w:sz w:val="28"/>
          <w:szCs w:val="28"/>
        </w:rPr>
        <w:t>”</w:t>
      </w:r>
      <w:r w:rsidR="00CB03B5"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consentendolo</w:t>
      </w:r>
      <w:r w:rsidR="005A4312" w:rsidRPr="00186819">
        <w:rPr>
          <w:rFonts w:ascii="Times New Roman" w:hAnsi="Times New Roman" w:cs="Times New Roman"/>
          <w:sz w:val="28"/>
          <w:szCs w:val="28"/>
        </w:rPr>
        <w:t>,</w:t>
      </w:r>
      <w:r w:rsidR="001F57B5" w:rsidRPr="00186819">
        <w:rPr>
          <w:rFonts w:ascii="Times New Roman" w:hAnsi="Times New Roman" w:cs="Times New Roman"/>
          <w:sz w:val="28"/>
          <w:szCs w:val="28"/>
        </w:rPr>
        <w:t xml:space="preserve"> </w:t>
      </w:r>
      <w:r w:rsidR="005A4312" w:rsidRPr="00186819">
        <w:rPr>
          <w:rFonts w:ascii="Times New Roman" w:hAnsi="Times New Roman" w:cs="Times New Roman"/>
          <w:sz w:val="28"/>
          <w:szCs w:val="28"/>
        </w:rPr>
        <w:t xml:space="preserve">per effetto del rinvio </w:t>
      </w:r>
      <w:r w:rsidR="008E5B18" w:rsidRPr="00186819">
        <w:rPr>
          <w:rFonts w:ascii="Times New Roman" w:hAnsi="Times New Roman" w:cs="Times New Roman"/>
          <w:sz w:val="28"/>
          <w:szCs w:val="28"/>
        </w:rPr>
        <w:t xml:space="preserve">ivi contenuto </w:t>
      </w:r>
      <w:r w:rsidR="005A4312" w:rsidRPr="00186819">
        <w:rPr>
          <w:rFonts w:ascii="Times New Roman" w:hAnsi="Times New Roman" w:cs="Times New Roman"/>
          <w:sz w:val="28"/>
          <w:szCs w:val="28"/>
        </w:rPr>
        <w:t>all’</w:t>
      </w:r>
      <w:r w:rsidR="001F57B5" w:rsidRPr="00186819">
        <w:rPr>
          <w:rFonts w:ascii="Times New Roman" w:hAnsi="Times New Roman" w:cs="Times New Roman"/>
          <w:sz w:val="28"/>
          <w:szCs w:val="28"/>
        </w:rPr>
        <w:t>art. 10, comma 3, lett. d-bis</w:t>
      </w:r>
      <w:r w:rsidR="008F6CFE">
        <w:rPr>
          <w:rFonts w:ascii="Times New Roman" w:hAnsi="Times New Roman" w:cs="Times New Roman"/>
          <w:sz w:val="28"/>
          <w:szCs w:val="28"/>
        </w:rPr>
        <w:t>)</w:t>
      </w:r>
      <w:r w:rsidR="00D12CAD" w:rsidRPr="00186819">
        <w:rPr>
          <w:rFonts w:ascii="Times New Roman" w:hAnsi="Times New Roman" w:cs="Times New Roman"/>
          <w:sz w:val="28"/>
          <w:szCs w:val="28"/>
        </w:rPr>
        <w:t>, del Codice</w:t>
      </w:r>
      <w:r w:rsidR="005A4312" w:rsidRPr="00186819">
        <w:rPr>
          <w:rFonts w:ascii="Times New Roman" w:hAnsi="Times New Roman" w:cs="Times New Roman"/>
          <w:sz w:val="28"/>
          <w:szCs w:val="28"/>
        </w:rPr>
        <w:t>,</w:t>
      </w:r>
      <w:r w:rsidR="00CB03B5" w:rsidRPr="00186819">
        <w:rPr>
          <w:rFonts w:ascii="Times New Roman" w:hAnsi="Times New Roman" w:cs="Times New Roman"/>
          <w:sz w:val="28"/>
          <w:szCs w:val="28"/>
        </w:rPr>
        <w:t xml:space="preserve"> </w:t>
      </w:r>
      <w:r w:rsidR="005A4312" w:rsidRPr="00186819">
        <w:rPr>
          <w:rFonts w:ascii="Times New Roman" w:hAnsi="Times New Roman" w:cs="Times New Roman"/>
          <w:sz w:val="28"/>
          <w:szCs w:val="28"/>
        </w:rPr>
        <w:t xml:space="preserve">solo per </w:t>
      </w:r>
      <w:r w:rsidR="008E5B18" w:rsidRPr="00186819">
        <w:rPr>
          <w:rFonts w:ascii="Times New Roman" w:hAnsi="Times New Roman" w:cs="Times New Roman"/>
          <w:sz w:val="28"/>
          <w:szCs w:val="28"/>
        </w:rPr>
        <w:t xml:space="preserve">i </w:t>
      </w:r>
      <w:r w:rsidR="005A4312" w:rsidRPr="00186819">
        <w:rPr>
          <w:rFonts w:ascii="Times New Roman" w:hAnsi="Times New Roman" w:cs="Times New Roman"/>
          <w:sz w:val="28"/>
          <w:szCs w:val="28"/>
        </w:rPr>
        <w:t xml:space="preserve">beni </w:t>
      </w:r>
      <w:r w:rsidR="00B54E10" w:rsidRPr="00186819">
        <w:rPr>
          <w:rFonts w:ascii="Times New Roman" w:hAnsi="Times New Roman" w:cs="Times New Roman"/>
          <w:sz w:val="28"/>
          <w:szCs w:val="28"/>
        </w:rPr>
        <w:t xml:space="preserve">caratterizzati </w:t>
      </w:r>
      <w:r w:rsidR="00AA0EF7" w:rsidRPr="00186819">
        <w:rPr>
          <w:rFonts w:ascii="Times New Roman" w:hAnsi="Times New Roman" w:cs="Times New Roman"/>
          <w:sz w:val="28"/>
          <w:szCs w:val="28"/>
        </w:rPr>
        <w:t>dall’</w:t>
      </w:r>
      <w:r w:rsidR="005A4312" w:rsidRPr="00186819">
        <w:rPr>
          <w:rFonts w:ascii="Times New Roman" w:hAnsi="Times New Roman" w:cs="Times New Roman"/>
          <w:sz w:val="28"/>
          <w:szCs w:val="28"/>
        </w:rPr>
        <w:t>interesse culturale “eccezionale”</w:t>
      </w:r>
      <w:r w:rsidR="008E5B18" w:rsidRPr="00186819">
        <w:rPr>
          <w:rFonts w:ascii="Times New Roman" w:hAnsi="Times New Roman" w:cs="Times New Roman"/>
          <w:sz w:val="28"/>
          <w:szCs w:val="28"/>
        </w:rPr>
        <w:t xml:space="preserve"> (richiamati appunto dall’appena menzionata norma)</w:t>
      </w:r>
      <w:r w:rsidR="005A4312"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 xml:space="preserve">escludendolo </w:t>
      </w:r>
      <w:r w:rsidR="008E5B18" w:rsidRPr="00186819">
        <w:rPr>
          <w:rFonts w:ascii="Times New Roman" w:hAnsi="Times New Roman" w:cs="Times New Roman"/>
          <w:sz w:val="28"/>
          <w:szCs w:val="28"/>
        </w:rPr>
        <w:t xml:space="preserve">invece </w:t>
      </w:r>
      <w:r w:rsidR="001F57B5" w:rsidRPr="00186819">
        <w:rPr>
          <w:rFonts w:ascii="Times New Roman" w:hAnsi="Times New Roman" w:cs="Times New Roman"/>
          <w:sz w:val="28"/>
          <w:szCs w:val="28"/>
        </w:rPr>
        <w:t xml:space="preserve">per le altre categorie </w:t>
      </w:r>
      <w:r w:rsidR="005A4312" w:rsidRPr="00186819">
        <w:rPr>
          <w:rFonts w:ascii="Times New Roman" w:hAnsi="Times New Roman" w:cs="Times New Roman"/>
          <w:sz w:val="28"/>
          <w:szCs w:val="28"/>
        </w:rPr>
        <w:t xml:space="preserve">di beni </w:t>
      </w:r>
      <w:r w:rsidR="001F57B5" w:rsidRPr="00186819">
        <w:rPr>
          <w:rFonts w:ascii="Times New Roman" w:hAnsi="Times New Roman" w:cs="Times New Roman"/>
          <w:sz w:val="28"/>
          <w:szCs w:val="28"/>
        </w:rPr>
        <w:t>(</w:t>
      </w:r>
      <w:r w:rsidR="005A4312" w:rsidRPr="00186819">
        <w:rPr>
          <w:rFonts w:ascii="Times New Roman" w:hAnsi="Times New Roman" w:cs="Times New Roman"/>
          <w:i/>
          <w:iCs/>
          <w:sz w:val="28"/>
          <w:szCs w:val="28"/>
        </w:rPr>
        <w:t>i.e.</w:t>
      </w:r>
      <w:r w:rsidR="005A4312"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lett. a</w:t>
      </w:r>
      <w:r w:rsidR="008F6CFE">
        <w:rPr>
          <w:rFonts w:ascii="Times New Roman" w:hAnsi="Times New Roman" w:cs="Times New Roman"/>
          <w:sz w:val="28"/>
          <w:szCs w:val="28"/>
        </w:rPr>
        <w:t>)</w:t>
      </w:r>
      <w:r w:rsidR="001F57B5" w:rsidRPr="00186819">
        <w:rPr>
          <w:rFonts w:ascii="Times New Roman" w:hAnsi="Times New Roman" w:cs="Times New Roman"/>
          <w:sz w:val="28"/>
          <w:szCs w:val="28"/>
        </w:rPr>
        <w:t>, b</w:t>
      </w:r>
      <w:r w:rsidR="008F6CFE">
        <w:rPr>
          <w:rFonts w:ascii="Times New Roman" w:hAnsi="Times New Roman" w:cs="Times New Roman"/>
          <w:sz w:val="28"/>
          <w:szCs w:val="28"/>
        </w:rPr>
        <w:t>)</w:t>
      </w:r>
      <w:r w:rsidR="001F57B5" w:rsidRPr="00186819">
        <w:rPr>
          <w:rFonts w:ascii="Times New Roman" w:hAnsi="Times New Roman" w:cs="Times New Roman"/>
          <w:sz w:val="28"/>
          <w:szCs w:val="28"/>
        </w:rPr>
        <w:t>, c</w:t>
      </w:r>
      <w:r w:rsidR="008F6CFE">
        <w:rPr>
          <w:rFonts w:ascii="Times New Roman" w:hAnsi="Times New Roman" w:cs="Times New Roman"/>
          <w:sz w:val="28"/>
          <w:szCs w:val="28"/>
        </w:rPr>
        <w:t>)</w:t>
      </w:r>
      <w:r w:rsidR="001F57B5" w:rsidRPr="00186819">
        <w:rPr>
          <w:rFonts w:ascii="Times New Roman" w:hAnsi="Times New Roman" w:cs="Times New Roman"/>
          <w:sz w:val="28"/>
          <w:szCs w:val="28"/>
        </w:rPr>
        <w:t>, d</w:t>
      </w:r>
      <w:r w:rsidR="008F6CFE">
        <w:rPr>
          <w:rFonts w:ascii="Times New Roman" w:hAnsi="Times New Roman" w:cs="Times New Roman"/>
          <w:sz w:val="28"/>
          <w:szCs w:val="28"/>
        </w:rPr>
        <w:t>)</w:t>
      </w:r>
      <w:r w:rsidR="001F57B5" w:rsidRPr="00186819">
        <w:rPr>
          <w:rFonts w:ascii="Times New Roman" w:hAnsi="Times New Roman" w:cs="Times New Roman"/>
          <w:sz w:val="28"/>
          <w:szCs w:val="28"/>
        </w:rPr>
        <w:t>, e</w:t>
      </w:r>
      <w:r w:rsidR="008F6CFE">
        <w:rPr>
          <w:rFonts w:ascii="Times New Roman" w:hAnsi="Times New Roman" w:cs="Times New Roman"/>
          <w:sz w:val="28"/>
          <w:szCs w:val="28"/>
        </w:rPr>
        <w:t>)</w:t>
      </w:r>
      <w:r w:rsidR="00D12CAD" w:rsidRPr="00186819">
        <w:rPr>
          <w:rFonts w:ascii="Times New Roman" w:hAnsi="Times New Roman" w:cs="Times New Roman"/>
          <w:sz w:val="28"/>
          <w:szCs w:val="28"/>
        </w:rPr>
        <w:t>,</w:t>
      </w:r>
      <w:r w:rsidR="00CB03B5" w:rsidRPr="00186819">
        <w:rPr>
          <w:rFonts w:ascii="Times New Roman" w:hAnsi="Times New Roman" w:cs="Times New Roman"/>
          <w:sz w:val="28"/>
          <w:szCs w:val="28"/>
        </w:rPr>
        <w:t xml:space="preserve"> </w:t>
      </w:r>
      <w:r w:rsidR="008E5B18" w:rsidRPr="00186819">
        <w:rPr>
          <w:rFonts w:ascii="Times New Roman" w:hAnsi="Times New Roman" w:cs="Times New Roman"/>
          <w:sz w:val="28"/>
          <w:szCs w:val="28"/>
        </w:rPr>
        <w:t xml:space="preserve">sempre </w:t>
      </w:r>
      <w:r w:rsidR="00CB03B5" w:rsidRPr="00186819">
        <w:rPr>
          <w:rFonts w:ascii="Times New Roman" w:hAnsi="Times New Roman" w:cs="Times New Roman"/>
          <w:sz w:val="28"/>
          <w:szCs w:val="28"/>
        </w:rPr>
        <w:t>della disposizione</w:t>
      </w:r>
      <w:r w:rsidR="005A4312" w:rsidRPr="00186819">
        <w:rPr>
          <w:rFonts w:ascii="Times New Roman" w:hAnsi="Times New Roman" w:cs="Times New Roman"/>
          <w:sz w:val="28"/>
          <w:szCs w:val="28"/>
        </w:rPr>
        <w:t xml:space="preserve"> da ultimo menzionata</w:t>
      </w:r>
      <w:r w:rsidR="001F57B5" w:rsidRPr="00186819">
        <w:rPr>
          <w:rFonts w:ascii="Times New Roman" w:hAnsi="Times New Roman" w:cs="Times New Roman"/>
          <w:sz w:val="28"/>
          <w:szCs w:val="28"/>
        </w:rPr>
        <w:t>).</w:t>
      </w:r>
      <w:r w:rsidR="00006496" w:rsidRPr="00186819">
        <w:rPr>
          <w:rFonts w:ascii="Times New Roman" w:hAnsi="Times New Roman" w:cs="Times New Roman"/>
          <w:sz w:val="28"/>
          <w:szCs w:val="28"/>
        </w:rPr>
        <w:t xml:space="preserve"> </w:t>
      </w:r>
    </w:p>
    <w:p w14:paraId="750D7129" w14:textId="3D6BC97A" w:rsidR="00070D96" w:rsidRPr="00186819" w:rsidRDefault="005A4312" w:rsidP="001F57B5">
      <w:pPr>
        <w:jc w:val="both"/>
        <w:rPr>
          <w:rFonts w:ascii="Times New Roman" w:hAnsi="Times New Roman" w:cs="Times New Roman"/>
          <w:sz w:val="28"/>
          <w:szCs w:val="28"/>
        </w:rPr>
      </w:pPr>
      <w:r w:rsidRPr="00186819">
        <w:rPr>
          <w:rFonts w:ascii="Times New Roman" w:hAnsi="Times New Roman" w:cs="Times New Roman"/>
          <w:sz w:val="28"/>
          <w:szCs w:val="28"/>
        </w:rPr>
        <w:t>I</w:t>
      </w:r>
      <w:r w:rsidR="008E5B18"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dubbi di costituzionalità (per come successivamente </w:t>
      </w:r>
      <w:r w:rsidR="00070D96" w:rsidRPr="00186819">
        <w:rPr>
          <w:rFonts w:ascii="Times New Roman" w:hAnsi="Times New Roman" w:cs="Times New Roman"/>
          <w:sz w:val="28"/>
          <w:szCs w:val="28"/>
        </w:rPr>
        <w:t>chiarito</w:t>
      </w:r>
      <w:r w:rsidRPr="00186819">
        <w:rPr>
          <w:rFonts w:ascii="Times New Roman" w:hAnsi="Times New Roman" w:cs="Times New Roman"/>
          <w:sz w:val="28"/>
          <w:szCs w:val="28"/>
        </w:rPr>
        <w:t xml:space="preserve"> dalla Consulta)</w:t>
      </w:r>
      <w:r w:rsidR="00070D96"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erano rivolti </w:t>
      </w:r>
      <w:r w:rsidR="00402763" w:rsidRPr="00186819">
        <w:rPr>
          <w:rFonts w:ascii="Times New Roman" w:hAnsi="Times New Roman" w:cs="Times New Roman"/>
          <w:sz w:val="28"/>
          <w:szCs w:val="28"/>
        </w:rPr>
        <w:t>a</w:t>
      </w:r>
      <w:r w:rsidR="008E5B18" w:rsidRPr="00186819">
        <w:rPr>
          <w:rFonts w:ascii="Times New Roman" w:hAnsi="Times New Roman" w:cs="Times New Roman"/>
          <w:sz w:val="28"/>
          <w:szCs w:val="28"/>
        </w:rPr>
        <w:t>ll’</w:t>
      </w:r>
      <w:r w:rsidRPr="00186819">
        <w:rPr>
          <w:rFonts w:ascii="Times New Roman" w:hAnsi="Times New Roman" w:cs="Times New Roman"/>
          <w:sz w:val="28"/>
          <w:szCs w:val="28"/>
        </w:rPr>
        <w:t>art. 65, comma 4-bis, secondo periodo, del Codice</w:t>
      </w:r>
      <w:r w:rsidR="008E5B18" w:rsidRPr="00186819">
        <w:rPr>
          <w:rFonts w:ascii="Times New Roman" w:hAnsi="Times New Roman" w:cs="Times New Roman"/>
          <w:sz w:val="28"/>
          <w:szCs w:val="28"/>
        </w:rPr>
        <w:t xml:space="preserve">, </w:t>
      </w:r>
      <w:r w:rsidR="00402763" w:rsidRPr="00186819">
        <w:rPr>
          <w:rFonts w:ascii="Times New Roman" w:hAnsi="Times New Roman" w:cs="Times New Roman"/>
          <w:sz w:val="28"/>
          <w:szCs w:val="28"/>
        </w:rPr>
        <w:t xml:space="preserve">non in relazione a tutti i casi </w:t>
      </w:r>
      <w:r w:rsidRPr="00186819">
        <w:rPr>
          <w:rFonts w:ascii="Times New Roman" w:hAnsi="Times New Roman" w:cs="Times New Roman"/>
          <w:sz w:val="28"/>
          <w:szCs w:val="28"/>
        </w:rPr>
        <w:t xml:space="preserve">che lo stesso </w:t>
      </w:r>
      <w:r w:rsidRPr="00186819">
        <w:rPr>
          <w:rFonts w:ascii="Times New Roman" w:hAnsi="Times New Roman" w:cs="Times New Roman"/>
          <w:i/>
          <w:iCs/>
          <w:sz w:val="28"/>
          <w:szCs w:val="28"/>
        </w:rPr>
        <w:t>non</w:t>
      </w:r>
      <w:r w:rsidRPr="00186819">
        <w:rPr>
          <w:rFonts w:ascii="Times New Roman" w:hAnsi="Times New Roman" w:cs="Times New Roman"/>
          <w:sz w:val="28"/>
          <w:szCs w:val="28"/>
        </w:rPr>
        <w:t xml:space="preserve"> menziona</w:t>
      </w:r>
      <w:r w:rsidR="00402763" w:rsidRPr="00186819">
        <w:rPr>
          <w:rFonts w:ascii="Times New Roman" w:hAnsi="Times New Roman" w:cs="Times New Roman"/>
          <w:sz w:val="28"/>
          <w:szCs w:val="28"/>
        </w:rPr>
        <w:t xml:space="preserve">, </w:t>
      </w:r>
      <w:r w:rsidR="008E5B18" w:rsidRPr="00186819">
        <w:rPr>
          <w:rFonts w:ascii="Times New Roman" w:hAnsi="Times New Roman" w:cs="Times New Roman"/>
          <w:sz w:val="28"/>
          <w:szCs w:val="28"/>
        </w:rPr>
        <w:t xml:space="preserve">ed in cui quindi </w:t>
      </w:r>
      <w:r w:rsidR="00DB5981" w:rsidRPr="00186819">
        <w:rPr>
          <w:rFonts w:ascii="Times New Roman" w:hAnsi="Times New Roman" w:cs="Times New Roman"/>
          <w:sz w:val="28"/>
          <w:szCs w:val="28"/>
        </w:rPr>
        <w:t xml:space="preserve">lo stesso </w:t>
      </w:r>
      <w:r w:rsidR="008E5B18" w:rsidRPr="00186819">
        <w:rPr>
          <w:rFonts w:ascii="Times New Roman" w:hAnsi="Times New Roman" w:cs="Times New Roman"/>
          <w:sz w:val="28"/>
          <w:szCs w:val="28"/>
        </w:rPr>
        <w:t xml:space="preserve">non consentirebbe l’intervento vincolistico, </w:t>
      </w:r>
      <w:r w:rsidR="00402763" w:rsidRPr="00186819">
        <w:rPr>
          <w:rFonts w:ascii="Times New Roman" w:hAnsi="Times New Roman" w:cs="Times New Roman"/>
          <w:sz w:val="28"/>
          <w:szCs w:val="28"/>
        </w:rPr>
        <w:t xml:space="preserve">ma </w:t>
      </w:r>
      <w:r w:rsidR="00070D96" w:rsidRPr="00186819">
        <w:rPr>
          <w:rFonts w:ascii="Times New Roman" w:hAnsi="Times New Roman" w:cs="Times New Roman"/>
          <w:sz w:val="28"/>
          <w:szCs w:val="28"/>
        </w:rPr>
        <w:t xml:space="preserve">con riguardo </w:t>
      </w:r>
      <w:r w:rsidR="00402763" w:rsidRPr="00186819">
        <w:rPr>
          <w:rFonts w:ascii="Times New Roman" w:hAnsi="Times New Roman" w:cs="Times New Roman"/>
          <w:sz w:val="28"/>
          <w:szCs w:val="28"/>
        </w:rPr>
        <w:t xml:space="preserve">alla sola fattispecie corrispondente al comma 4, lettera b), </w:t>
      </w:r>
      <w:r w:rsidRPr="00186819">
        <w:rPr>
          <w:rFonts w:ascii="Times New Roman" w:hAnsi="Times New Roman" w:cs="Times New Roman"/>
          <w:sz w:val="28"/>
          <w:szCs w:val="28"/>
        </w:rPr>
        <w:t xml:space="preserve">della medesima norma, </w:t>
      </w:r>
      <w:r w:rsidR="00402763" w:rsidRPr="00186819">
        <w:rPr>
          <w:rFonts w:ascii="Times New Roman" w:hAnsi="Times New Roman" w:cs="Times New Roman"/>
          <w:sz w:val="28"/>
          <w:szCs w:val="28"/>
        </w:rPr>
        <w:t xml:space="preserve">vale a dire </w:t>
      </w:r>
      <w:r w:rsidR="00070D96" w:rsidRPr="00186819">
        <w:rPr>
          <w:rFonts w:ascii="Times New Roman" w:hAnsi="Times New Roman" w:cs="Times New Roman"/>
          <w:sz w:val="28"/>
          <w:szCs w:val="28"/>
        </w:rPr>
        <w:t>al caso del</w:t>
      </w:r>
      <w:r w:rsidR="00402763" w:rsidRPr="00186819">
        <w:rPr>
          <w:rFonts w:ascii="Times New Roman" w:hAnsi="Times New Roman" w:cs="Times New Roman"/>
          <w:sz w:val="28"/>
          <w:szCs w:val="28"/>
        </w:rPr>
        <w:t xml:space="preserve">le opere di autore non più vivente, realizzate da oltre settanta anni e di valore inferiore a euro 13.500, perché a questa categoria </w:t>
      </w:r>
      <w:r w:rsidR="00070D96" w:rsidRPr="00186819">
        <w:rPr>
          <w:rFonts w:ascii="Times New Roman" w:hAnsi="Times New Roman" w:cs="Times New Roman"/>
          <w:sz w:val="28"/>
          <w:szCs w:val="28"/>
        </w:rPr>
        <w:t>era</w:t>
      </w:r>
      <w:r w:rsidR="00402763" w:rsidRPr="00186819">
        <w:rPr>
          <w:rFonts w:ascii="Times New Roman" w:hAnsi="Times New Roman" w:cs="Times New Roman"/>
          <w:sz w:val="28"/>
          <w:szCs w:val="28"/>
        </w:rPr>
        <w:t xml:space="preserve"> riconducibile l'opera </w:t>
      </w:r>
      <w:r w:rsidR="00AA0EF7" w:rsidRPr="00186819">
        <w:rPr>
          <w:rFonts w:ascii="Times New Roman" w:hAnsi="Times New Roman" w:cs="Times New Roman"/>
          <w:sz w:val="28"/>
          <w:szCs w:val="28"/>
        </w:rPr>
        <w:t>oggetto di</w:t>
      </w:r>
      <w:r w:rsidR="00402763" w:rsidRPr="00186819">
        <w:rPr>
          <w:rFonts w:ascii="Times New Roman" w:hAnsi="Times New Roman" w:cs="Times New Roman"/>
          <w:sz w:val="28"/>
          <w:szCs w:val="28"/>
        </w:rPr>
        <w:t xml:space="preserve"> controversia nel giudizio </w:t>
      </w:r>
      <w:r w:rsidR="00402763" w:rsidRPr="00186819">
        <w:rPr>
          <w:rFonts w:ascii="Times New Roman" w:hAnsi="Times New Roman" w:cs="Times New Roman"/>
          <w:i/>
          <w:iCs/>
          <w:sz w:val="28"/>
          <w:szCs w:val="28"/>
        </w:rPr>
        <w:t>a quo</w:t>
      </w:r>
      <w:r w:rsidR="008E5B18" w:rsidRPr="00186819">
        <w:rPr>
          <w:rFonts w:ascii="Times New Roman" w:hAnsi="Times New Roman" w:cs="Times New Roman"/>
          <w:sz w:val="28"/>
          <w:szCs w:val="28"/>
        </w:rPr>
        <w:t xml:space="preserve"> ed in cui era stato apposto il vincolo.</w:t>
      </w:r>
    </w:p>
    <w:p w14:paraId="7A8375B2" w14:textId="3A212411" w:rsidR="001F57B5" w:rsidRPr="00186819" w:rsidRDefault="001F57B5" w:rsidP="001F57B5">
      <w:pPr>
        <w:jc w:val="both"/>
        <w:rPr>
          <w:rFonts w:ascii="Times New Roman" w:hAnsi="Times New Roman" w:cs="Times New Roman"/>
          <w:sz w:val="28"/>
          <w:szCs w:val="28"/>
        </w:rPr>
      </w:pPr>
      <w:r w:rsidRPr="00186819">
        <w:rPr>
          <w:rFonts w:ascii="Times New Roman" w:hAnsi="Times New Roman" w:cs="Times New Roman"/>
          <w:sz w:val="28"/>
          <w:szCs w:val="28"/>
        </w:rPr>
        <w:t xml:space="preserve">Secondo il </w:t>
      </w:r>
      <w:r w:rsidR="00C766E8" w:rsidRPr="00186819">
        <w:rPr>
          <w:rFonts w:ascii="Times New Roman" w:hAnsi="Times New Roman" w:cs="Times New Roman"/>
          <w:sz w:val="28"/>
          <w:szCs w:val="28"/>
        </w:rPr>
        <w:t xml:space="preserve">giudice </w:t>
      </w:r>
      <w:r w:rsidRPr="00186819">
        <w:rPr>
          <w:rFonts w:ascii="Times New Roman" w:hAnsi="Times New Roman" w:cs="Times New Roman"/>
          <w:sz w:val="28"/>
          <w:szCs w:val="28"/>
        </w:rPr>
        <w:t>rimettente</w:t>
      </w:r>
      <w:r w:rsidR="00C766E8"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nel </w:t>
      </w:r>
      <w:r w:rsidR="00C766E8" w:rsidRPr="00186819">
        <w:rPr>
          <w:rFonts w:ascii="Times New Roman" w:hAnsi="Times New Roman" w:cs="Times New Roman"/>
          <w:sz w:val="28"/>
          <w:szCs w:val="28"/>
        </w:rPr>
        <w:t xml:space="preserve">caso alla sua attenzione, </w:t>
      </w:r>
      <w:r w:rsidRPr="00186819">
        <w:rPr>
          <w:rFonts w:ascii="Times New Roman" w:hAnsi="Times New Roman" w:cs="Times New Roman"/>
          <w:sz w:val="28"/>
          <w:szCs w:val="28"/>
        </w:rPr>
        <w:t>l’opera “</w:t>
      </w:r>
      <w:r w:rsidRPr="006265C1">
        <w:rPr>
          <w:rFonts w:ascii="Times New Roman" w:hAnsi="Times New Roman" w:cs="Times New Roman"/>
          <w:i/>
          <w:iCs/>
          <w:sz w:val="28"/>
          <w:szCs w:val="28"/>
        </w:rPr>
        <w:t>Madonna dei fusi</w:t>
      </w:r>
      <w:r w:rsidRPr="00186819">
        <w:rPr>
          <w:rFonts w:ascii="Times New Roman" w:hAnsi="Times New Roman" w:cs="Times New Roman"/>
          <w:sz w:val="28"/>
          <w:szCs w:val="28"/>
        </w:rPr>
        <w:t xml:space="preserve">” </w:t>
      </w:r>
      <w:r w:rsidR="008E5B18" w:rsidRPr="00186819">
        <w:rPr>
          <w:rFonts w:ascii="Times New Roman" w:hAnsi="Times New Roman" w:cs="Times New Roman"/>
          <w:sz w:val="28"/>
          <w:szCs w:val="28"/>
        </w:rPr>
        <w:t xml:space="preserve">(una miniatura del XVI secolo) </w:t>
      </w:r>
      <w:r w:rsidRPr="00186819">
        <w:rPr>
          <w:rFonts w:ascii="Times New Roman" w:hAnsi="Times New Roman" w:cs="Times New Roman"/>
          <w:sz w:val="28"/>
          <w:szCs w:val="28"/>
        </w:rPr>
        <w:t xml:space="preserve">sarebbe stata vincolata illegittimamente </w:t>
      </w:r>
      <w:r w:rsidR="00070D96" w:rsidRPr="00186819">
        <w:rPr>
          <w:rFonts w:ascii="Times New Roman" w:hAnsi="Times New Roman" w:cs="Times New Roman"/>
          <w:sz w:val="28"/>
          <w:szCs w:val="28"/>
        </w:rPr>
        <w:t>in sede di esportazione</w:t>
      </w:r>
      <w:r w:rsidR="00AA0EF7" w:rsidRPr="00186819">
        <w:rPr>
          <w:rFonts w:ascii="Times New Roman" w:hAnsi="Times New Roman" w:cs="Times New Roman"/>
          <w:sz w:val="28"/>
          <w:szCs w:val="28"/>
        </w:rPr>
        <w:t>,</w:t>
      </w:r>
      <w:r w:rsidR="00070D96" w:rsidRPr="00186819">
        <w:rPr>
          <w:rFonts w:ascii="Times New Roman" w:hAnsi="Times New Roman" w:cs="Times New Roman"/>
          <w:sz w:val="28"/>
          <w:szCs w:val="28"/>
        </w:rPr>
        <w:t xml:space="preserve"> </w:t>
      </w:r>
      <w:r w:rsidRPr="00186819">
        <w:rPr>
          <w:rFonts w:ascii="Times New Roman" w:hAnsi="Times New Roman" w:cs="Times New Roman"/>
          <w:sz w:val="28"/>
          <w:szCs w:val="28"/>
        </w:rPr>
        <w:t>perché rientrante nella lett. a</w:t>
      </w:r>
      <w:r w:rsidR="004E406E" w:rsidRPr="00186819">
        <w:rPr>
          <w:rFonts w:ascii="Times New Roman" w:hAnsi="Times New Roman" w:cs="Times New Roman"/>
          <w:sz w:val="28"/>
          <w:szCs w:val="28"/>
        </w:rPr>
        <w:t>)</w:t>
      </w:r>
      <w:r w:rsidRPr="00186819">
        <w:rPr>
          <w:rFonts w:ascii="Times New Roman" w:hAnsi="Times New Roman" w:cs="Times New Roman"/>
          <w:sz w:val="28"/>
          <w:szCs w:val="28"/>
        </w:rPr>
        <w:t xml:space="preserve"> (interesse particolarmente importante), non nella </w:t>
      </w:r>
      <w:r w:rsidR="00B7169C" w:rsidRPr="00186819">
        <w:rPr>
          <w:rFonts w:ascii="Times New Roman" w:hAnsi="Times New Roman" w:cs="Times New Roman"/>
          <w:sz w:val="28"/>
          <w:szCs w:val="28"/>
        </w:rPr>
        <w:t xml:space="preserve">lett. </w:t>
      </w:r>
      <w:r w:rsidRPr="00186819">
        <w:rPr>
          <w:rFonts w:ascii="Times New Roman" w:hAnsi="Times New Roman" w:cs="Times New Roman"/>
          <w:sz w:val="28"/>
          <w:szCs w:val="28"/>
        </w:rPr>
        <w:t>d-bis</w:t>
      </w:r>
      <w:r w:rsidR="004E406E" w:rsidRPr="00186819">
        <w:rPr>
          <w:rFonts w:ascii="Times New Roman" w:hAnsi="Times New Roman" w:cs="Times New Roman"/>
          <w:sz w:val="28"/>
          <w:szCs w:val="28"/>
        </w:rPr>
        <w:t>)</w:t>
      </w:r>
      <w:r w:rsidR="00C766E8" w:rsidRPr="00186819">
        <w:rPr>
          <w:rFonts w:ascii="Times New Roman" w:hAnsi="Times New Roman" w:cs="Times New Roman"/>
          <w:sz w:val="28"/>
          <w:szCs w:val="28"/>
        </w:rPr>
        <w:t xml:space="preserve"> (interesse eccezionale), </w:t>
      </w:r>
      <w:r w:rsidR="00070D96" w:rsidRPr="00186819">
        <w:rPr>
          <w:rFonts w:ascii="Times New Roman" w:hAnsi="Times New Roman" w:cs="Times New Roman"/>
          <w:sz w:val="28"/>
          <w:szCs w:val="28"/>
        </w:rPr>
        <w:t>del comma 3 dell’art. 10 del Codice</w:t>
      </w:r>
      <w:r w:rsidR="00B7169C" w:rsidRPr="00186819">
        <w:rPr>
          <w:rFonts w:ascii="Times New Roman" w:hAnsi="Times New Roman" w:cs="Times New Roman"/>
          <w:sz w:val="28"/>
          <w:szCs w:val="28"/>
        </w:rPr>
        <w:t xml:space="preserve"> (ossia l’ipotesi cui fa riferimento l’art. 65, comma 4-bis, secondo periodo, del Codice)</w:t>
      </w:r>
      <w:r w:rsidR="00070D96" w:rsidRPr="00186819">
        <w:rPr>
          <w:rFonts w:ascii="Times New Roman" w:hAnsi="Times New Roman" w:cs="Times New Roman"/>
          <w:sz w:val="28"/>
          <w:szCs w:val="28"/>
        </w:rPr>
        <w:t>. M</w:t>
      </w:r>
      <w:r w:rsidR="00C766E8" w:rsidRPr="00186819">
        <w:rPr>
          <w:rFonts w:ascii="Times New Roman" w:hAnsi="Times New Roman" w:cs="Times New Roman"/>
          <w:sz w:val="28"/>
          <w:szCs w:val="28"/>
        </w:rPr>
        <w:t>a il quadro normativo che condurrebbe a tale conclusione si porrebbe in contrasto con l’</w:t>
      </w:r>
      <w:r w:rsidRPr="00186819">
        <w:rPr>
          <w:rFonts w:ascii="Times New Roman" w:hAnsi="Times New Roman" w:cs="Times New Roman"/>
          <w:sz w:val="28"/>
          <w:szCs w:val="28"/>
        </w:rPr>
        <w:t>art. 3 Cost. (ragionevolezza e uguaglianza),</w:t>
      </w:r>
      <w:r w:rsidR="00C766E8" w:rsidRPr="00186819">
        <w:rPr>
          <w:rFonts w:ascii="Times New Roman" w:hAnsi="Times New Roman" w:cs="Times New Roman"/>
          <w:sz w:val="28"/>
          <w:szCs w:val="28"/>
        </w:rPr>
        <w:t xml:space="preserve"> l’</w:t>
      </w:r>
      <w:r w:rsidRPr="00186819">
        <w:rPr>
          <w:rFonts w:ascii="Times New Roman" w:hAnsi="Times New Roman" w:cs="Times New Roman"/>
          <w:sz w:val="28"/>
          <w:szCs w:val="28"/>
        </w:rPr>
        <w:t>art. 9 Cost. (tutela patrimonio culturale)</w:t>
      </w:r>
      <w:r w:rsidR="00B7169C" w:rsidRPr="00186819">
        <w:rPr>
          <w:rFonts w:ascii="Times New Roman" w:hAnsi="Times New Roman" w:cs="Times New Roman"/>
          <w:sz w:val="28"/>
          <w:szCs w:val="28"/>
        </w:rPr>
        <w:t xml:space="preserve"> </w:t>
      </w:r>
      <w:r w:rsidR="00AA0EF7" w:rsidRPr="00186819">
        <w:rPr>
          <w:rFonts w:ascii="Times New Roman" w:hAnsi="Times New Roman" w:cs="Times New Roman"/>
          <w:sz w:val="28"/>
          <w:szCs w:val="28"/>
        </w:rPr>
        <w:t xml:space="preserve">e </w:t>
      </w:r>
      <w:r w:rsidR="00C766E8" w:rsidRPr="00186819">
        <w:rPr>
          <w:rFonts w:ascii="Times New Roman" w:hAnsi="Times New Roman" w:cs="Times New Roman"/>
          <w:sz w:val="28"/>
          <w:szCs w:val="28"/>
        </w:rPr>
        <w:t>l’</w:t>
      </w:r>
      <w:r w:rsidRPr="00186819">
        <w:rPr>
          <w:rFonts w:ascii="Times New Roman" w:hAnsi="Times New Roman" w:cs="Times New Roman"/>
          <w:sz w:val="28"/>
          <w:szCs w:val="28"/>
        </w:rPr>
        <w:t>art. 97 Cost. (buon andamento).</w:t>
      </w:r>
    </w:p>
    <w:p w14:paraId="55E34B29" w14:textId="77777777" w:rsidR="00AA0EF7" w:rsidRPr="00186819" w:rsidRDefault="00A05EAC" w:rsidP="001F57B5">
      <w:pPr>
        <w:jc w:val="both"/>
        <w:rPr>
          <w:rFonts w:ascii="Times New Roman" w:hAnsi="Times New Roman" w:cs="Times New Roman"/>
          <w:sz w:val="28"/>
          <w:szCs w:val="28"/>
        </w:rPr>
      </w:pPr>
      <w:r w:rsidRPr="00186819">
        <w:rPr>
          <w:rFonts w:ascii="Times New Roman" w:hAnsi="Times New Roman" w:cs="Times New Roman"/>
          <w:sz w:val="28"/>
          <w:szCs w:val="28"/>
        </w:rPr>
        <w:t>Le questioni sollevate vengono ritenute</w:t>
      </w:r>
      <w:r w:rsidR="00AA0EF7" w:rsidRPr="00186819">
        <w:rPr>
          <w:rFonts w:ascii="Times New Roman" w:hAnsi="Times New Roman" w:cs="Times New Roman"/>
          <w:sz w:val="28"/>
          <w:szCs w:val="28"/>
        </w:rPr>
        <w:t xml:space="preserve"> dalla Corte</w:t>
      </w:r>
      <w:r w:rsidRPr="00186819">
        <w:rPr>
          <w:rFonts w:ascii="Times New Roman" w:hAnsi="Times New Roman" w:cs="Times New Roman"/>
          <w:sz w:val="28"/>
          <w:szCs w:val="28"/>
        </w:rPr>
        <w:t xml:space="preserve"> </w:t>
      </w:r>
      <w:r w:rsidR="00E82426" w:rsidRPr="00186819">
        <w:rPr>
          <w:rFonts w:ascii="Times New Roman" w:hAnsi="Times New Roman" w:cs="Times New Roman"/>
          <w:sz w:val="28"/>
          <w:szCs w:val="28"/>
        </w:rPr>
        <w:t xml:space="preserve">non </w:t>
      </w:r>
      <w:r w:rsidRPr="00186819">
        <w:rPr>
          <w:rFonts w:ascii="Times New Roman" w:hAnsi="Times New Roman" w:cs="Times New Roman"/>
          <w:sz w:val="28"/>
          <w:szCs w:val="28"/>
        </w:rPr>
        <w:t>fondate</w:t>
      </w:r>
      <w:r w:rsidR="00E82426" w:rsidRPr="00186819">
        <w:rPr>
          <w:rFonts w:ascii="Times New Roman" w:hAnsi="Times New Roman" w:cs="Times New Roman"/>
          <w:sz w:val="28"/>
          <w:szCs w:val="28"/>
        </w:rPr>
        <w:t>, sulla base di una interpretazione sistematica e teleologica del Codice</w:t>
      </w:r>
      <w:r w:rsidRPr="00186819">
        <w:rPr>
          <w:rFonts w:ascii="Times New Roman" w:hAnsi="Times New Roman" w:cs="Times New Roman"/>
          <w:sz w:val="28"/>
          <w:szCs w:val="28"/>
        </w:rPr>
        <w:t>.</w:t>
      </w:r>
    </w:p>
    <w:p w14:paraId="2B8CB758" w14:textId="260F1C70" w:rsidR="00DD68AE" w:rsidRPr="00186819" w:rsidRDefault="00070D96" w:rsidP="001F57B5">
      <w:pPr>
        <w:jc w:val="both"/>
        <w:rPr>
          <w:rFonts w:ascii="Times New Roman" w:hAnsi="Times New Roman" w:cs="Times New Roman"/>
          <w:sz w:val="28"/>
          <w:szCs w:val="28"/>
        </w:rPr>
      </w:pPr>
      <w:r w:rsidRPr="00186819">
        <w:rPr>
          <w:rFonts w:ascii="Times New Roman" w:hAnsi="Times New Roman" w:cs="Times New Roman"/>
          <w:sz w:val="28"/>
          <w:szCs w:val="28"/>
        </w:rPr>
        <w:t xml:space="preserve">La </w:t>
      </w:r>
      <w:r w:rsidR="00AA0EF7" w:rsidRPr="00186819">
        <w:rPr>
          <w:rFonts w:ascii="Times New Roman" w:hAnsi="Times New Roman" w:cs="Times New Roman"/>
          <w:sz w:val="28"/>
          <w:szCs w:val="28"/>
        </w:rPr>
        <w:t xml:space="preserve">sentenza in discorso, </w:t>
      </w:r>
      <w:r w:rsidRPr="00186819">
        <w:rPr>
          <w:rFonts w:ascii="Times New Roman" w:hAnsi="Times New Roman" w:cs="Times New Roman"/>
          <w:sz w:val="28"/>
          <w:szCs w:val="28"/>
        </w:rPr>
        <w:t>anzitutto</w:t>
      </w:r>
      <w:r w:rsidR="00AA0EF7" w:rsidRPr="00186819">
        <w:rPr>
          <w:rFonts w:ascii="Times New Roman" w:hAnsi="Times New Roman" w:cs="Times New Roman"/>
          <w:sz w:val="28"/>
          <w:szCs w:val="28"/>
        </w:rPr>
        <w:t>,</w:t>
      </w:r>
      <w:r w:rsidRPr="00186819">
        <w:rPr>
          <w:rFonts w:ascii="Times New Roman" w:hAnsi="Times New Roman" w:cs="Times New Roman"/>
          <w:sz w:val="28"/>
          <w:szCs w:val="28"/>
        </w:rPr>
        <w:t xml:space="preserve"> ricostruisce il sistema </w:t>
      </w:r>
      <w:r w:rsidR="00AA0EF7" w:rsidRPr="00186819">
        <w:rPr>
          <w:rFonts w:ascii="Times New Roman" w:hAnsi="Times New Roman" w:cs="Times New Roman"/>
          <w:sz w:val="28"/>
          <w:szCs w:val="28"/>
        </w:rPr>
        <w:t xml:space="preserve">normativo </w:t>
      </w:r>
      <w:r w:rsidRPr="00186819">
        <w:rPr>
          <w:rFonts w:ascii="Times New Roman" w:hAnsi="Times New Roman" w:cs="Times New Roman"/>
          <w:sz w:val="28"/>
          <w:szCs w:val="28"/>
        </w:rPr>
        <w:t>individuando</w:t>
      </w:r>
      <w:r w:rsidR="00DD68AE" w:rsidRPr="00186819">
        <w:rPr>
          <w:rFonts w:ascii="Times New Roman" w:hAnsi="Times New Roman" w:cs="Times New Roman"/>
          <w:sz w:val="28"/>
          <w:szCs w:val="28"/>
        </w:rPr>
        <w:t xml:space="preserve">, per quanto di </w:t>
      </w:r>
      <w:r w:rsidR="009511DB" w:rsidRPr="00186819">
        <w:rPr>
          <w:rFonts w:ascii="Times New Roman" w:hAnsi="Times New Roman" w:cs="Times New Roman"/>
          <w:sz w:val="28"/>
          <w:szCs w:val="28"/>
        </w:rPr>
        <w:t>rilievo</w:t>
      </w:r>
      <w:r w:rsidR="00DD68AE" w:rsidRPr="00186819">
        <w:rPr>
          <w:rFonts w:ascii="Times New Roman" w:hAnsi="Times New Roman" w:cs="Times New Roman"/>
          <w:sz w:val="28"/>
          <w:szCs w:val="28"/>
        </w:rPr>
        <w:t xml:space="preserve"> nel caso </w:t>
      </w:r>
      <w:r w:rsidR="002B099A">
        <w:rPr>
          <w:rFonts w:ascii="Times New Roman" w:hAnsi="Times New Roman" w:cs="Times New Roman"/>
          <w:sz w:val="28"/>
          <w:szCs w:val="28"/>
        </w:rPr>
        <w:t>oggetto di scrutinio</w:t>
      </w:r>
      <w:r w:rsidR="00DD68AE" w:rsidRPr="00186819">
        <w:rPr>
          <w:rFonts w:ascii="Times New Roman" w:hAnsi="Times New Roman" w:cs="Times New Roman"/>
          <w:sz w:val="28"/>
          <w:szCs w:val="28"/>
        </w:rPr>
        <w:t>,</w:t>
      </w:r>
      <w:r w:rsidRPr="00186819">
        <w:rPr>
          <w:rFonts w:ascii="Times New Roman" w:hAnsi="Times New Roman" w:cs="Times New Roman"/>
          <w:sz w:val="28"/>
          <w:szCs w:val="28"/>
        </w:rPr>
        <w:t xml:space="preserve"> le tipologie di beni vincolabili (ai sensi dell’art. 10, comma 3, del Codice), ossia quelle di interesse artistico intrinseco, quelle di interesse per relazione storica, e quelle di interesse eccezionale per il patrimonio complessivo (</w:t>
      </w:r>
      <w:r w:rsidR="00B7169C" w:rsidRPr="00186819">
        <w:rPr>
          <w:rFonts w:ascii="Times New Roman" w:hAnsi="Times New Roman" w:cs="Times New Roman"/>
          <w:sz w:val="28"/>
          <w:szCs w:val="28"/>
        </w:rPr>
        <w:t xml:space="preserve">c.d. </w:t>
      </w:r>
      <w:r w:rsidRPr="00186819">
        <w:rPr>
          <w:rFonts w:ascii="Times New Roman" w:hAnsi="Times New Roman" w:cs="Times New Roman"/>
          <w:sz w:val="28"/>
          <w:szCs w:val="28"/>
        </w:rPr>
        <w:t>“beni di completamento”).</w:t>
      </w:r>
    </w:p>
    <w:p w14:paraId="2556AB2E" w14:textId="7C417476" w:rsidR="00DD68AE" w:rsidRPr="00186819" w:rsidRDefault="008F6CFE" w:rsidP="001F57B5">
      <w:pPr>
        <w:jc w:val="both"/>
        <w:rPr>
          <w:rFonts w:ascii="Times New Roman" w:hAnsi="Times New Roman" w:cs="Times New Roman"/>
          <w:sz w:val="28"/>
          <w:szCs w:val="28"/>
        </w:rPr>
      </w:pPr>
      <w:r>
        <w:rPr>
          <w:rFonts w:ascii="Times New Roman" w:hAnsi="Times New Roman" w:cs="Times New Roman"/>
          <w:sz w:val="28"/>
          <w:szCs w:val="28"/>
        </w:rPr>
        <w:t>Sul punto</w:t>
      </w:r>
      <w:r w:rsidR="00DD68AE" w:rsidRPr="00186819">
        <w:rPr>
          <w:rFonts w:ascii="Times New Roman" w:hAnsi="Times New Roman" w:cs="Times New Roman"/>
          <w:sz w:val="28"/>
          <w:szCs w:val="28"/>
        </w:rPr>
        <w:t xml:space="preserve">, </w:t>
      </w:r>
      <w:r w:rsidR="004E406E" w:rsidRPr="00186819">
        <w:rPr>
          <w:rFonts w:ascii="Times New Roman" w:hAnsi="Times New Roman" w:cs="Times New Roman"/>
          <w:sz w:val="28"/>
          <w:szCs w:val="28"/>
        </w:rPr>
        <w:t>l</w:t>
      </w:r>
      <w:r w:rsidR="00A05EAC" w:rsidRPr="00186819">
        <w:rPr>
          <w:rFonts w:ascii="Times New Roman" w:hAnsi="Times New Roman" w:cs="Times New Roman"/>
          <w:sz w:val="28"/>
          <w:szCs w:val="28"/>
        </w:rPr>
        <w:t>’i</w:t>
      </w:r>
      <w:r w:rsidR="001F57B5" w:rsidRPr="00186819">
        <w:rPr>
          <w:rFonts w:ascii="Times New Roman" w:hAnsi="Times New Roman" w:cs="Times New Roman"/>
          <w:sz w:val="28"/>
          <w:szCs w:val="28"/>
        </w:rPr>
        <w:t xml:space="preserve">nterpretazione </w:t>
      </w:r>
      <w:r w:rsidR="00A05EAC" w:rsidRPr="00186819">
        <w:rPr>
          <w:rFonts w:ascii="Times New Roman" w:hAnsi="Times New Roman" w:cs="Times New Roman"/>
          <w:sz w:val="28"/>
          <w:szCs w:val="28"/>
        </w:rPr>
        <w:t xml:space="preserve">del </w:t>
      </w:r>
      <w:r w:rsidR="001F57B5" w:rsidRPr="00186819">
        <w:rPr>
          <w:rFonts w:ascii="Times New Roman" w:hAnsi="Times New Roman" w:cs="Times New Roman"/>
          <w:sz w:val="28"/>
          <w:szCs w:val="28"/>
        </w:rPr>
        <w:t xml:space="preserve">Consiglio di Stato </w:t>
      </w:r>
      <w:r w:rsidR="00A05EAC" w:rsidRPr="00186819">
        <w:rPr>
          <w:rFonts w:ascii="Times New Roman" w:hAnsi="Times New Roman" w:cs="Times New Roman"/>
          <w:sz w:val="28"/>
          <w:szCs w:val="28"/>
        </w:rPr>
        <w:t>è nel senso di considerare l</w:t>
      </w:r>
      <w:r w:rsidR="001F57B5" w:rsidRPr="00186819">
        <w:rPr>
          <w:rFonts w:ascii="Times New Roman" w:hAnsi="Times New Roman" w:cs="Times New Roman"/>
          <w:sz w:val="28"/>
          <w:szCs w:val="28"/>
        </w:rPr>
        <w:t xml:space="preserve">a norma </w:t>
      </w:r>
      <w:r w:rsidR="00DD68AE" w:rsidRPr="00186819">
        <w:rPr>
          <w:rFonts w:ascii="Times New Roman" w:hAnsi="Times New Roman" w:cs="Times New Roman"/>
          <w:sz w:val="28"/>
          <w:szCs w:val="28"/>
        </w:rPr>
        <w:t xml:space="preserve">di cui al ripetuto art. 65, comma 4-bis, secondo periodo, </w:t>
      </w:r>
      <w:r w:rsidR="00764B3F">
        <w:rPr>
          <w:rFonts w:ascii="Times New Roman" w:hAnsi="Times New Roman" w:cs="Times New Roman"/>
          <w:sz w:val="28"/>
          <w:szCs w:val="28"/>
        </w:rPr>
        <w:t>alla stregua di</w:t>
      </w:r>
      <w:r w:rsidR="00A05EAC"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limite sostanziale al potere di vincolo</w:t>
      </w:r>
      <w:r w:rsidR="004E406E" w:rsidRPr="00186819">
        <w:rPr>
          <w:rFonts w:ascii="Times New Roman" w:hAnsi="Times New Roman" w:cs="Times New Roman"/>
          <w:sz w:val="28"/>
          <w:szCs w:val="28"/>
        </w:rPr>
        <w:t xml:space="preserve">, </w:t>
      </w:r>
      <w:r w:rsidR="00E5630C" w:rsidRPr="00186819">
        <w:rPr>
          <w:rFonts w:ascii="Times New Roman" w:hAnsi="Times New Roman" w:cs="Times New Roman"/>
          <w:sz w:val="28"/>
          <w:szCs w:val="28"/>
        </w:rPr>
        <w:t xml:space="preserve">che non potrebbe applicarsi </w:t>
      </w:r>
      <w:r w:rsidR="00DD68AE" w:rsidRPr="00186819">
        <w:rPr>
          <w:rFonts w:ascii="Times New Roman" w:hAnsi="Times New Roman" w:cs="Times New Roman"/>
          <w:sz w:val="28"/>
          <w:szCs w:val="28"/>
        </w:rPr>
        <w:t>(</w:t>
      </w:r>
      <w:r w:rsidR="00DD68AE" w:rsidRPr="00186819">
        <w:rPr>
          <w:rFonts w:ascii="Times New Roman" w:hAnsi="Times New Roman" w:cs="Times New Roman"/>
          <w:i/>
          <w:iCs/>
          <w:sz w:val="28"/>
          <w:szCs w:val="28"/>
        </w:rPr>
        <w:t>i.a.</w:t>
      </w:r>
      <w:r w:rsidR="00DD68AE" w:rsidRPr="00186819">
        <w:rPr>
          <w:rFonts w:ascii="Times New Roman" w:hAnsi="Times New Roman" w:cs="Times New Roman"/>
          <w:sz w:val="28"/>
          <w:szCs w:val="28"/>
        </w:rPr>
        <w:t xml:space="preserve">) </w:t>
      </w:r>
      <w:r w:rsidR="00E5630C" w:rsidRPr="00186819">
        <w:rPr>
          <w:rFonts w:ascii="Times New Roman" w:hAnsi="Times New Roman" w:cs="Times New Roman"/>
          <w:sz w:val="28"/>
          <w:szCs w:val="28"/>
        </w:rPr>
        <w:t>ai beni “sotto soglia”</w:t>
      </w:r>
      <w:r w:rsidR="00B7169C" w:rsidRPr="00186819">
        <w:rPr>
          <w:rFonts w:ascii="Times New Roman" w:hAnsi="Times New Roman" w:cs="Times New Roman"/>
          <w:sz w:val="28"/>
          <w:szCs w:val="28"/>
        </w:rPr>
        <w:t xml:space="preserve"> di cui al comma 4, lett. b) della medesima disposizione</w:t>
      </w:r>
      <w:r w:rsidR="00AA0EF7" w:rsidRPr="00186819">
        <w:rPr>
          <w:rFonts w:ascii="Times New Roman" w:hAnsi="Times New Roman" w:cs="Times New Roman"/>
          <w:sz w:val="28"/>
          <w:szCs w:val="28"/>
        </w:rPr>
        <w:t>.</w:t>
      </w:r>
    </w:p>
    <w:p w14:paraId="360206CE" w14:textId="02408E4B" w:rsidR="001F57B5" w:rsidRPr="00186819" w:rsidRDefault="00DD68AE" w:rsidP="001F57B5">
      <w:pPr>
        <w:jc w:val="both"/>
        <w:rPr>
          <w:rFonts w:ascii="Times New Roman" w:hAnsi="Times New Roman" w:cs="Times New Roman"/>
          <w:sz w:val="28"/>
          <w:szCs w:val="28"/>
        </w:rPr>
      </w:pPr>
      <w:r w:rsidRPr="00186819">
        <w:rPr>
          <w:rFonts w:ascii="Times New Roman" w:hAnsi="Times New Roman" w:cs="Times New Roman"/>
          <w:sz w:val="28"/>
          <w:szCs w:val="28"/>
        </w:rPr>
        <w:lastRenderedPageBreak/>
        <w:t>S</w:t>
      </w:r>
      <w:r w:rsidR="00A05EAC" w:rsidRPr="00186819">
        <w:rPr>
          <w:rFonts w:ascii="Times New Roman" w:hAnsi="Times New Roman" w:cs="Times New Roman"/>
          <w:sz w:val="28"/>
          <w:szCs w:val="28"/>
        </w:rPr>
        <w:t>econdo la Consulta</w:t>
      </w:r>
      <w:r w:rsidRPr="00186819">
        <w:rPr>
          <w:rFonts w:ascii="Times New Roman" w:hAnsi="Times New Roman" w:cs="Times New Roman"/>
          <w:sz w:val="28"/>
          <w:szCs w:val="28"/>
        </w:rPr>
        <w:t>, invece,</w:t>
      </w:r>
      <w:r w:rsidR="004E406E" w:rsidRPr="00186819">
        <w:rPr>
          <w:rFonts w:ascii="Times New Roman" w:hAnsi="Times New Roman" w:cs="Times New Roman"/>
          <w:sz w:val="28"/>
          <w:szCs w:val="28"/>
        </w:rPr>
        <w:t xml:space="preserve"> la </w:t>
      </w:r>
      <w:r w:rsidR="001F57B5" w:rsidRPr="00186819">
        <w:rPr>
          <w:rFonts w:ascii="Times New Roman" w:hAnsi="Times New Roman" w:cs="Times New Roman"/>
          <w:sz w:val="28"/>
          <w:szCs w:val="28"/>
        </w:rPr>
        <w:t xml:space="preserve">lettura </w:t>
      </w:r>
      <w:r w:rsidR="00A05EAC" w:rsidRPr="00186819">
        <w:rPr>
          <w:rFonts w:ascii="Times New Roman" w:hAnsi="Times New Roman" w:cs="Times New Roman"/>
          <w:sz w:val="28"/>
          <w:szCs w:val="28"/>
        </w:rPr>
        <w:t xml:space="preserve">della disposizione </w:t>
      </w:r>
      <w:r w:rsidR="00E82426" w:rsidRPr="00186819">
        <w:rPr>
          <w:rFonts w:ascii="Times New Roman" w:hAnsi="Times New Roman" w:cs="Times New Roman"/>
          <w:sz w:val="28"/>
          <w:szCs w:val="28"/>
        </w:rPr>
        <w:t xml:space="preserve">deve </w:t>
      </w:r>
      <w:r w:rsidR="00A05EAC" w:rsidRPr="00186819">
        <w:rPr>
          <w:rFonts w:ascii="Times New Roman" w:hAnsi="Times New Roman" w:cs="Times New Roman"/>
          <w:sz w:val="28"/>
          <w:szCs w:val="28"/>
        </w:rPr>
        <w:t xml:space="preserve">essere </w:t>
      </w:r>
      <w:r w:rsidR="001F57B5" w:rsidRPr="00186819">
        <w:rPr>
          <w:rFonts w:ascii="Times New Roman" w:hAnsi="Times New Roman" w:cs="Times New Roman"/>
          <w:sz w:val="28"/>
          <w:szCs w:val="28"/>
        </w:rPr>
        <w:t>diversa</w:t>
      </w:r>
      <w:r w:rsidR="004E406E" w:rsidRPr="00186819">
        <w:rPr>
          <w:rFonts w:ascii="Times New Roman" w:hAnsi="Times New Roman" w:cs="Times New Roman"/>
          <w:sz w:val="28"/>
          <w:szCs w:val="28"/>
        </w:rPr>
        <w:t xml:space="preserve">, nel senso che </w:t>
      </w:r>
      <w:r w:rsidR="00A05EAC" w:rsidRPr="00186819">
        <w:rPr>
          <w:rFonts w:ascii="Times New Roman" w:hAnsi="Times New Roman" w:cs="Times New Roman"/>
          <w:sz w:val="28"/>
          <w:szCs w:val="28"/>
        </w:rPr>
        <w:t>quest’ultima non li</w:t>
      </w:r>
      <w:r w:rsidR="001F57B5" w:rsidRPr="00186819">
        <w:rPr>
          <w:rFonts w:ascii="Times New Roman" w:hAnsi="Times New Roman" w:cs="Times New Roman"/>
          <w:sz w:val="28"/>
          <w:szCs w:val="28"/>
        </w:rPr>
        <w:t>mit</w:t>
      </w:r>
      <w:r w:rsidR="00A05EAC" w:rsidRPr="00186819">
        <w:rPr>
          <w:rFonts w:ascii="Times New Roman" w:hAnsi="Times New Roman" w:cs="Times New Roman"/>
          <w:sz w:val="28"/>
          <w:szCs w:val="28"/>
        </w:rPr>
        <w:t xml:space="preserve">erebbe </w:t>
      </w:r>
      <w:r w:rsidR="001F57B5" w:rsidRPr="00186819">
        <w:rPr>
          <w:rFonts w:ascii="Times New Roman" w:hAnsi="Times New Roman" w:cs="Times New Roman"/>
          <w:sz w:val="28"/>
          <w:szCs w:val="28"/>
        </w:rPr>
        <w:t>il potere di vincolo</w:t>
      </w:r>
      <w:r w:rsidR="00A05EAC" w:rsidRPr="00186819">
        <w:rPr>
          <w:rFonts w:ascii="Times New Roman" w:hAnsi="Times New Roman" w:cs="Times New Roman"/>
          <w:sz w:val="28"/>
          <w:szCs w:val="28"/>
        </w:rPr>
        <w:t xml:space="preserve"> ma ne </w:t>
      </w:r>
      <w:r w:rsidR="001F57B5" w:rsidRPr="00186819">
        <w:rPr>
          <w:rFonts w:ascii="Times New Roman" w:hAnsi="Times New Roman" w:cs="Times New Roman"/>
          <w:sz w:val="28"/>
          <w:szCs w:val="28"/>
        </w:rPr>
        <w:t>disciplin</w:t>
      </w:r>
      <w:r w:rsidR="00A05EAC" w:rsidRPr="00186819">
        <w:rPr>
          <w:rFonts w:ascii="Times New Roman" w:hAnsi="Times New Roman" w:cs="Times New Roman"/>
          <w:sz w:val="28"/>
          <w:szCs w:val="28"/>
        </w:rPr>
        <w:t xml:space="preserve">erebbe soltanto </w:t>
      </w:r>
      <w:r w:rsidR="001F57B5" w:rsidRPr="00186819">
        <w:rPr>
          <w:rFonts w:ascii="Times New Roman" w:hAnsi="Times New Roman" w:cs="Times New Roman"/>
          <w:sz w:val="28"/>
          <w:szCs w:val="28"/>
        </w:rPr>
        <w:t>il procedimento</w:t>
      </w:r>
      <w:r w:rsidRPr="00186819">
        <w:rPr>
          <w:rFonts w:ascii="Times New Roman" w:hAnsi="Times New Roman" w:cs="Times New Roman"/>
          <w:sz w:val="28"/>
          <w:szCs w:val="28"/>
        </w:rPr>
        <w:t xml:space="preserve"> in un caso specifico</w:t>
      </w:r>
      <w:r w:rsidR="001F57B5" w:rsidRPr="00186819">
        <w:rPr>
          <w:rFonts w:ascii="Times New Roman" w:hAnsi="Times New Roman" w:cs="Times New Roman"/>
          <w:sz w:val="28"/>
          <w:szCs w:val="28"/>
        </w:rPr>
        <w:t>.</w:t>
      </w:r>
    </w:p>
    <w:p w14:paraId="3421031A" w14:textId="49A2C614" w:rsidR="00AA0EF7" w:rsidRPr="00186819" w:rsidRDefault="00A05EAC" w:rsidP="001F57B5">
      <w:pPr>
        <w:jc w:val="both"/>
        <w:rPr>
          <w:rFonts w:ascii="Times New Roman" w:hAnsi="Times New Roman" w:cs="Times New Roman"/>
          <w:sz w:val="28"/>
          <w:szCs w:val="28"/>
        </w:rPr>
      </w:pPr>
      <w:r w:rsidRPr="00186819">
        <w:rPr>
          <w:rFonts w:ascii="Times New Roman" w:hAnsi="Times New Roman" w:cs="Times New Roman"/>
          <w:sz w:val="28"/>
          <w:szCs w:val="28"/>
        </w:rPr>
        <w:t>In favore di questa esegesi</w:t>
      </w:r>
      <w:r w:rsidR="00B7169C" w:rsidRPr="00186819">
        <w:rPr>
          <w:rFonts w:ascii="Times New Roman" w:hAnsi="Times New Roman" w:cs="Times New Roman"/>
          <w:sz w:val="28"/>
          <w:szCs w:val="28"/>
        </w:rPr>
        <w:t>, secondo la sentenza in parola,</w:t>
      </w:r>
      <w:r w:rsidRPr="00186819">
        <w:rPr>
          <w:rFonts w:ascii="Times New Roman" w:hAnsi="Times New Roman" w:cs="Times New Roman"/>
          <w:sz w:val="28"/>
          <w:szCs w:val="28"/>
        </w:rPr>
        <w:t xml:space="preserve"> sussiste anzitutto un a</w:t>
      </w:r>
      <w:r w:rsidR="001F57B5" w:rsidRPr="00186819">
        <w:rPr>
          <w:rFonts w:ascii="Times New Roman" w:hAnsi="Times New Roman" w:cs="Times New Roman"/>
          <w:sz w:val="28"/>
          <w:szCs w:val="28"/>
        </w:rPr>
        <w:t>rgomento sistematico</w:t>
      </w:r>
      <w:r w:rsidR="004E406E" w:rsidRPr="00186819">
        <w:rPr>
          <w:rFonts w:ascii="Times New Roman" w:hAnsi="Times New Roman" w:cs="Times New Roman"/>
          <w:sz w:val="28"/>
          <w:szCs w:val="28"/>
        </w:rPr>
        <w:t xml:space="preserve">, </w:t>
      </w:r>
      <w:r w:rsidR="000A4103">
        <w:rPr>
          <w:rFonts w:ascii="Times New Roman" w:hAnsi="Times New Roman" w:cs="Times New Roman"/>
          <w:sz w:val="28"/>
          <w:szCs w:val="28"/>
        </w:rPr>
        <w:t>poiché</w:t>
      </w:r>
      <w:r w:rsidR="00E5630C" w:rsidRPr="00186819">
        <w:rPr>
          <w:rFonts w:ascii="Times New Roman" w:hAnsi="Times New Roman" w:cs="Times New Roman"/>
          <w:sz w:val="28"/>
          <w:szCs w:val="28"/>
        </w:rPr>
        <w:t>,</w:t>
      </w:r>
      <w:r w:rsidR="004E406E" w:rsidRPr="00186819">
        <w:rPr>
          <w:rFonts w:ascii="Times New Roman" w:hAnsi="Times New Roman" w:cs="Times New Roman"/>
          <w:sz w:val="28"/>
          <w:szCs w:val="28"/>
        </w:rPr>
        <w:t xml:space="preserve"> nel complesso della normativa </w:t>
      </w:r>
      <w:r w:rsidR="00B7169C" w:rsidRPr="00186819">
        <w:rPr>
          <w:rFonts w:ascii="Times New Roman" w:hAnsi="Times New Roman" w:cs="Times New Roman"/>
          <w:sz w:val="28"/>
          <w:szCs w:val="28"/>
        </w:rPr>
        <w:t>codicistica</w:t>
      </w:r>
      <w:r w:rsidR="004E406E"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il vincolo dipende solo dalle caratteristiche del bene,</w:t>
      </w:r>
      <w:r w:rsidR="004E406E"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 xml:space="preserve">non dal procedimento </w:t>
      </w:r>
      <w:r w:rsidR="004E406E" w:rsidRPr="00186819">
        <w:rPr>
          <w:rFonts w:ascii="Times New Roman" w:hAnsi="Times New Roman" w:cs="Times New Roman"/>
          <w:sz w:val="28"/>
          <w:szCs w:val="28"/>
        </w:rPr>
        <w:t>in cui l’Amministrazione opera, ossia non rileva che la questione sorga nell’ambito d</w:t>
      </w:r>
      <w:r w:rsidR="00E5630C" w:rsidRPr="00186819">
        <w:rPr>
          <w:rFonts w:ascii="Times New Roman" w:hAnsi="Times New Roman" w:cs="Times New Roman"/>
          <w:sz w:val="28"/>
          <w:szCs w:val="28"/>
        </w:rPr>
        <w:t>ell’</w:t>
      </w:r>
      <w:r w:rsidR="004E406E" w:rsidRPr="00186819">
        <w:rPr>
          <w:rFonts w:ascii="Times New Roman" w:hAnsi="Times New Roman" w:cs="Times New Roman"/>
          <w:i/>
          <w:iCs/>
          <w:sz w:val="28"/>
          <w:szCs w:val="28"/>
        </w:rPr>
        <w:t>iter</w:t>
      </w:r>
      <w:r w:rsidR="004E406E" w:rsidRPr="00186819">
        <w:rPr>
          <w:rFonts w:ascii="Times New Roman" w:hAnsi="Times New Roman" w:cs="Times New Roman"/>
          <w:sz w:val="28"/>
          <w:szCs w:val="28"/>
        </w:rPr>
        <w:t xml:space="preserve"> relativo alla </w:t>
      </w:r>
      <w:r w:rsidR="001F57B5" w:rsidRPr="00186819">
        <w:rPr>
          <w:rFonts w:ascii="Times New Roman" w:hAnsi="Times New Roman" w:cs="Times New Roman"/>
          <w:sz w:val="28"/>
          <w:szCs w:val="28"/>
        </w:rPr>
        <w:t xml:space="preserve">esportazione </w:t>
      </w:r>
      <w:r w:rsidR="004E406E" w:rsidRPr="00186819">
        <w:rPr>
          <w:rFonts w:ascii="Times New Roman" w:hAnsi="Times New Roman" w:cs="Times New Roman"/>
          <w:sz w:val="28"/>
          <w:szCs w:val="28"/>
        </w:rPr>
        <w:t>del bene e n</w:t>
      </w:r>
      <w:r w:rsidR="001F57B5" w:rsidRPr="00186819">
        <w:rPr>
          <w:rFonts w:ascii="Times New Roman" w:hAnsi="Times New Roman" w:cs="Times New Roman"/>
          <w:sz w:val="28"/>
          <w:szCs w:val="28"/>
        </w:rPr>
        <w:t>on esistono limiti diversi a seconda del contesto</w:t>
      </w:r>
      <w:r w:rsidR="00B7169C" w:rsidRPr="00186819">
        <w:rPr>
          <w:rFonts w:ascii="Times New Roman" w:hAnsi="Times New Roman" w:cs="Times New Roman"/>
          <w:sz w:val="28"/>
          <w:szCs w:val="28"/>
        </w:rPr>
        <w:t xml:space="preserve"> procedimentale</w:t>
      </w:r>
      <w:r w:rsidR="001F57B5" w:rsidRPr="00186819">
        <w:rPr>
          <w:rFonts w:ascii="Times New Roman" w:hAnsi="Times New Roman" w:cs="Times New Roman"/>
          <w:sz w:val="28"/>
          <w:szCs w:val="28"/>
        </w:rPr>
        <w:t>.</w:t>
      </w:r>
    </w:p>
    <w:p w14:paraId="1E2E675E" w14:textId="070FAABE" w:rsidR="00DD68AE" w:rsidRPr="00186819" w:rsidRDefault="004E406E" w:rsidP="001F57B5">
      <w:pPr>
        <w:jc w:val="both"/>
        <w:rPr>
          <w:rFonts w:ascii="Times New Roman" w:hAnsi="Times New Roman" w:cs="Times New Roman"/>
          <w:sz w:val="28"/>
          <w:szCs w:val="28"/>
        </w:rPr>
      </w:pPr>
      <w:r w:rsidRPr="00186819">
        <w:rPr>
          <w:rFonts w:ascii="Times New Roman" w:hAnsi="Times New Roman" w:cs="Times New Roman"/>
          <w:sz w:val="28"/>
          <w:szCs w:val="28"/>
        </w:rPr>
        <w:t xml:space="preserve">La </w:t>
      </w:r>
      <w:r w:rsidRPr="00186819">
        <w:rPr>
          <w:rFonts w:ascii="Times New Roman" w:hAnsi="Times New Roman" w:cs="Times New Roman"/>
          <w:i/>
          <w:iCs/>
          <w:sz w:val="28"/>
          <w:szCs w:val="28"/>
        </w:rPr>
        <w:t>r</w:t>
      </w:r>
      <w:r w:rsidR="001F57B5" w:rsidRPr="00186819">
        <w:rPr>
          <w:rFonts w:ascii="Times New Roman" w:hAnsi="Times New Roman" w:cs="Times New Roman"/>
          <w:i/>
          <w:iCs/>
          <w:sz w:val="28"/>
          <w:szCs w:val="28"/>
        </w:rPr>
        <w:t xml:space="preserve">atio </w:t>
      </w:r>
      <w:r w:rsidR="001F57B5" w:rsidRPr="00186819">
        <w:rPr>
          <w:rFonts w:ascii="Times New Roman" w:hAnsi="Times New Roman" w:cs="Times New Roman"/>
          <w:sz w:val="28"/>
          <w:szCs w:val="28"/>
        </w:rPr>
        <w:t xml:space="preserve">della riforma </w:t>
      </w:r>
      <w:r w:rsidRPr="00186819">
        <w:rPr>
          <w:rFonts w:ascii="Times New Roman" w:hAnsi="Times New Roman" w:cs="Times New Roman"/>
          <w:sz w:val="28"/>
          <w:szCs w:val="28"/>
        </w:rPr>
        <w:t xml:space="preserve">del </w:t>
      </w:r>
      <w:r w:rsidR="001F57B5" w:rsidRPr="00186819">
        <w:rPr>
          <w:rFonts w:ascii="Times New Roman" w:hAnsi="Times New Roman" w:cs="Times New Roman"/>
          <w:sz w:val="28"/>
          <w:szCs w:val="28"/>
        </w:rPr>
        <w:t>2017</w:t>
      </w:r>
      <w:r w:rsidRPr="00186819">
        <w:rPr>
          <w:rFonts w:ascii="Times New Roman" w:hAnsi="Times New Roman" w:cs="Times New Roman"/>
          <w:sz w:val="28"/>
          <w:szCs w:val="28"/>
        </w:rPr>
        <w:t xml:space="preserve"> sarebbe </w:t>
      </w:r>
      <w:r w:rsidR="00DD68AE" w:rsidRPr="00186819">
        <w:rPr>
          <w:rFonts w:ascii="Times New Roman" w:hAnsi="Times New Roman" w:cs="Times New Roman"/>
          <w:sz w:val="28"/>
          <w:szCs w:val="28"/>
        </w:rPr>
        <w:t xml:space="preserve">quindi </w:t>
      </w:r>
      <w:r w:rsidRPr="00186819">
        <w:rPr>
          <w:rFonts w:ascii="Times New Roman" w:hAnsi="Times New Roman" w:cs="Times New Roman"/>
          <w:sz w:val="28"/>
          <w:szCs w:val="28"/>
        </w:rPr>
        <w:t xml:space="preserve">diretta a </w:t>
      </w:r>
      <w:r w:rsidR="001F57B5" w:rsidRPr="00186819">
        <w:rPr>
          <w:rFonts w:ascii="Times New Roman" w:hAnsi="Times New Roman" w:cs="Times New Roman"/>
          <w:sz w:val="28"/>
          <w:szCs w:val="28"/>
        </w:rPr>
        <w:t>semplifica</w:t>
      </w:r>
      <w:r w:rsidRPr="00186819">
        <w:rPr>
          <w:rFonts w:ascii="Times New Roman" w:hAnsi="Times New Roman" w:cs="Times New Roman"/>
          <w:sz w:val="28"/>
          <w:szCs w:val="28"/>
        </w:rPr>
        <w:t>re</w:t>
      </w:r>
      <w:r w:rsidR="001F57B5" w:rsidRPr="00186819">
        <w:rPr>
          <w:rFonts w:ascii="Times New Roman" w:hAnsi="Times New Roman" w:cs="Times New Roman"/>
          <w:sz w:val="28"/>
          <w:szCs w:val="28"/>
        </w:rPr>
        <w:t xml:space="preserve"> </w:t>
      </w:r>
      <w:r w:rsidRPr="00186819">
        <w:rPr>
          <w:rFonts w:ascii="Times New Roman" w:hAnsi="Times New Roman" w:cs="Times New Roman"/>
          <w:sz w:val="28"/>
          <w:szCs w:val="28"/>
        </w:rPr>
        <w:t>l’</w:t>
      </w:r>
      <w:r w:rsidR="001F57B5" w:rsidRPr="00186819">
        <w:rPr>
          <w:rFonts w:ascii="Times New Roman" w:hAnsi="Times New Roman" w:cs="Times New Roman"/>
          <w:sz w:val="28"/>
          <w:szCs w:val="28"/>
        </w:rPr>
        <w:t>esportazione</w:t>
      </w:r>
      <w:r w:rsidR="00E5630C" w:rsidRPr="00186819">
        <w:rPr>
          <w:rFonts w:ascii="Times New Roman" w:hAnsi="Times New Roman" w:cs="Times New Roman"/>
          <w:sz w:val="28"/>
          <w:szCs w:val="28"/>
        </w:rPr>
        <w:t>, introducendo alcuni valori soglia,</w:t>
      </w:r>
      <w:r w:rsidRPr="00186819">
        <w:rPr>
          <w:rFonts w:ascii="Times New Roman" w:hAnsi="Times New Roman" w:cs="Times New Roman"/>
          <w:sz w:val="28"/>
          <w:szCs w:val="28"/>
        </w:rPr>
        <w:t xml:space="preserve"> ma nel contempo </w:t>
      </w:r>
      <w:r w:rsidR="00DD68AE" w:rsidRPr="00186819">
        <w:rPr>
          <w:rFonts w:ascii="Times New Roman" w:hAnsi="Times New Roman" w:cs="Times New Roman"/>
          <w:sz w:val="28"/>
          <w:szCs w:val="28"/>
        </w:rPr>
        <w:t xml:space="preserve">a </w:t>
      </w:r>
      <w:r w:rsidRPr="00186819">
        <w:rPr>
          <w:rFonts w:ascii="Times New Roman" w:hAnsi="Times New Roman" w:cs="Times New Roman"/>
          <w:sz w:val="28"/>
          <w:szCs w:val="28"/>
        </w:rPr>
        <w:t>rafforzare le g</w:t>
      </w:r>
      <w:r w:rsidR="001F57B5" w:rsidRPr="00186819">
        <w:rPr>
          <w:rFonts w:ascii="Times New Roman" w:hAnsi="Times New Roman" w:cs="Times New Roman"/>
          <w:sz w:val="28"/>
          <w:szCs w:val="28"/>
        </w:rPr>
        <w:t xml:space="preserve">aranzie </w:t>
      </w:r>
      <w:r w:rsidRPr="00186819">
        <w:rPr>
          <w:rFonts w:ascii="Times New Roman" w:hAnsi="Times New Roman" w:cs="Times New Roman"/>
          <w:sz w:val="28"/>
          <w:szCs w:val="28"/>
        </w:rPr>
        <w:t xml:space="preserve">per il patrimonio culturale </w:t>
      </w:r>
      <w:r w:rsidR="001F57B5" w:rsidRPr="00186819">
        <w:rPr>
          <w:rFonts w:ascii="Times New Roman" w:hAnsi="Times New Roman" w:cs="Times New Roman"/>
          <w:sz w:val="28"/>
          <w:szCs w:val="28"/>
        </w:rPr>
        <w:t>tramite</w:t>
      </w:r>
      <w:r w:rsidRPr="00186819">
        <w:rPr>
          <w:rFonts w:ascii="Times New Roman" w:hAnsi="Times New Roman" w:cs="Times New Roman"/>
          <w:sz w:val="28"/>
          <w:szCs w:val="28"/>
        </w:rPr>
        <w:t xml:space="preserve"> la </w:t>
      </w:r>
      <w:r w:rsidR="001F57B5" w:rsidRPr="00186819">
        <w:rPr>
          <w:rFonts w:ascii="Times New Roman" w:hAnsi="Times New Roman" w:cs="Times New Roman"/>
          <w:sz w:val="28"/>
          <w:szCs w:val="28"/>
        </w:rPr>
        <w:t xml:space="preserve">categoria </w:t>
      </w:r>
      <w:r w:rsidRPr="00186819">
        <w:rPr>
          <w:rFonts w:ascii="Times New Roman" w:hAnsi="Times New Roman" w:cs="Times New Roman"/>
          <w:sz w:val="28"/>
          <w:szCs w:val="28"/>
        </w:rPr>
        <w:t xml:space="preserve">di cui alla lettera </w:t>
      </w:r>
      <w:r w:rsidR="001F57B5" w:rsidRPr="00186819">
        <w:rPr>
          <w:rFonts w:ascii="Times New Roman" w:hAnsi="Times New Roman" w:cs="Times New Roman"/>
          <w:sz w:val="28"/>
          <w:szCs w:val="28"/>
        </w:rPr>
        <w:t>d-bis</w:t>
      </w:r>
      <w:r w:rsidRPr="00186819">
        <w:rPr>
          <w:rFonts w:ascii="Times New Roman" w:hAnsi="Times New Roman" w:cs="Times New Roman"/>
          <w:sz w:val="28"/>
          <w:szCs w:val="28"/>
        </w:rPr>
        <w:t>)</w:t>
      </w:r>
      <w:r w:rsidR="00DD68AE" w:rsidRPr="00186819">
        <w:rPr>
          <w:rFonts w:ascii="Times New Roman" w:hAnsi="Times New Roman" w:cs="Times New Roman"/>
          <w:sz w:val="28"/>
          <w:szCs w:val="28"/>
        </w:rPr>
        <w:t xml:space="preserve">. </w:t>
      </w:r>
    </w:p>
    <w:p w14:paraId="33F139EA" w14:textId="24906858" w:rsidR="009751CF" w:rsidRPr="00186819" w:rsidRDefault="009751CF" w:rsidP="001F57B5">
      <w:pPr>
        <w:jc w:val="both"/>
        <w:rPr>
          <w:rFonts w:ascii="Times New Roman" w:hAnsi="Times New Roman" w:cs="Times New Roman"/>
          <w:sz w:val="28"/>
          <w:szCs w:val="28"/>
        </w:rPr>
      </w:pPr>
      <w:r w:rsidRPr="00186819">
        <w:rPr>
          <w:rFonts w:ascii="Times New Roman" w:hAnsi="Times New Roman" w:cs="Times New Roman"/>
          <w:sz w:val="28"/>
          <w:szCs w:val="28"/>
        </w:rPr>
        <w:t>La norma</w:t>
      </w:r>
      <w:r w:rsidR="00E5630C" w:rsidRPr="00186819">
        <w:rPr>
          <w:rFonts w:ascii="Times New Roman" w:hAnsi="Times New Roman" w:cs="Times New Roman"/>
          <w:sz w:val="28"/>
          <w:szCs w:val="28"/>
        </w:rPr>
        <w:t xml:space="preserve"> censurata,</w:t>
      </w:r>
      <w:r w:rsidRPr="00186819">
        <w:rPr>
          <w:rFonts w:ascii="Times New Roman" w:hAnsi="Times New Roman" w:cs="Times New Roman"/>
          <w:sz w:val="28"/>
          <w:szCs w:val="28"/>
        </w:rPr>
        <w:t xml:space="preserve"> </w:t>
      </w:r>
      <w:r w:rsidR="00AA0EF7" w:rsidRPr="00186819">
        <w:rPr>
          <w:rFonts w:ascii="Times New Roman" w:hAnsi="Times New Roman" w:cs="Times New Roman"/>
          <w:sz w:val="28"/>
          <w:szCs w:val="28"/>
        </w:rPr>
        <w:t>dunque</w:t>
      </w:r>
      <w:r w:rsidR="00E5630C" w:rsidRPr="00186819">
        <w:rPr>
          <w:rFonts w:ascii="Times New Roman" w:hAnsi="Times New Roman" w:cs="Times New Roman"/>
          <w:sz w:val="28"/>
          <w:szCs w:val="28"/>
        </w:rPr>
        <w:t>, non rappresenterebbe un limite all’apposizione del vincolo per i beni “sotto soglia” ma</w:t>
      </w:r>
      <w:r w:rsidRPr="00186819">
        <w:rPr>
          <w:rFonts w:ascii="Times New Roman" w:hAnsi="Times New Roman" w:cs="Times New Roman"/>
          <w:sz w:val="28"/>
          <w:szCs w:val="28"/>
        </w:rPr>
        <w:t xml:space="preserve"> avrebbe valenza solo procedimentale</w:t>
      </w:r>
      <w:r w:rsidR="00AA0EF7" w:rsidRPr="00186819">
        <w:rPr>
          <w:rFonts w:ascii="Times New Roman" w:hAnsi="Times New Roman" w:cs="Times New Roman"/>
          <w:sz w:val="28"/>
          <w:szCs w:val="28"/>
        </w:rPr>
        <w:t xml:space="preserve"> </w:t>
      </w:r>
      <w:r w:rsidR="000A4103">
        <w:rPr>
          <w:rFonts w:ascii="Times New Roman" w:hAnsi="Times New Roman" w:cs="Times New Roman"/>
          <w:sz w:val="28"/>
          <w:szCs w:val="28"/>
        </w:rPr>
        <w:t xml:space="preserve">per ciò che concerne </w:t>
      </w:r>
      <w:r w:rsidR="00AA0EF7" w:rsidRPr="00186819">
        <w:rPr>
          <w:rFonts w:ascii="Times New Roman" w:hAnsi="Times New Roman" w:cs="Times New Roman"/>
          <w:sz w:val="28"/>
          <w:szCs w:val="28"/>
        </w:rPr>
        <w:t xml:space="preserve">la predetta categoria </w:t>
      </w:r>
      <w:r w:rsidR="00B7169C" w:rsidRPr="00186819">
        <w:rPr>
          <w:rFonts w:ascii="Times New Roman" w:hAnsi="Times New Roman" w:cs="Times New Roman"/>
          <w:sz w:val="28"/>
          <w:szCs w:val="28"/>
        </w:rPr>
        <w:t xml:space="preserve">di cui alla </w:t>
      </w:r>
      <w:r w:rsidR="00AA0EF7" w:rsidRPr="00186819">
        <w:rPr>
          <w:rFonts w:ascii="Times New Roman" w:hAnsi="Times New Roman" w:cs="Times New Roman"/>
          <w:sz w:val="28"/>
          <w:szCs w:val="28"/>
        </w:rPr>
        <w:t>lettera d-bis)</w:t>
      </w:r>
      <w:r w:rsidRPr="00186819">
        <w:rPr>
          <w:rFonts w:ascii="Times New Roman" w:hAnsi="Times New Roman" w:cs="Times New Roman"/>
          <w:sz w:val="28"/>
          <w:szCs w:val="28"/>
        </w:rPr>
        <w:t>,</w:t>
      </w:r>
      <w:r w:rsidR="00E5630C" w:rsidRPr="00186819">
        <w:rPr>
          <w:rFonts w:ascii="Times New Roman" w:hAnsi="Times New Roman" w:cs="Times New Roman"/>
          <w:sz w:val="28"/>
          <w:szCs w:val="28"/>
        </w:rPr>
        <w:t xml:space="preserve"> </w:t>
      </w:r>
      <w:r w:rsidR="00B7169C" w:rsidRPr="00186819">
        <w:rPr>
          <w:rFonts w:ascii="Times New Roman" w:hAnsi="Times New Roman" w:cs="Times New Roman"/>
          <w:sz w:val="28"/>
          <w:szCs w:val="28"/>
        </w:rPr>
        <w:t xml:space="preserve">e ciò </w:t>
      </w:r>
      <w:r w:rsidR="00E5630C" w:rsidRPr="00186819">
        <w:rPr>
          <w:rFonts w:ascii="Times New Roman" w:hAnsi="Times New Roman" w:cs="Times New Roman"/>
          <w:sz w:val="28"/>
          <w:szCs w:val="28"/>
        </w:rPr>
        <w:t>in virtù di</w:t>
      </w:r>
      <w:r w:rsidRPr="00186819">
        <w:rPr>
          <w:rFonts w:ascii="Times New Roman" w:hAnsi="Times New Roman" w:cs="Times New Roman"/>
          <w:sz w:val="28"/>
          <w:szCs w:val="28"/>
        </w:rPr>
        <w:t xml:space="preserve"> tre </w:t>
      </w:r>
      <w:r w:rsidR="001F57B5" w:rsidRPr="00186819">
        <w:rPr>
          <w:rFonts w:ascii="Times New Roman" w:hAnsi="Times New Roman" w:cs="Times New Roman"/>
          <w:sz w:val="28"/>
          <w:szCs w:val="28"/>
        </w:rPr>
        <w:t>elementi decisivi:</w:t>
      </w:r>
      <w:r w:rsidRPr="00186819">
        <w:rPr>
          <w:rFonts w:ascii="Times New Roman" w:hAnsi="Times New Roman" w:cs="Times New Roman"/>
          <w:sz w:val="28"/>
          <w:szCs w:val="28"/>
        </w:rPr>
        <w:t xml:space="preserve"> la collo</w:t>
      </w:r>
      <w:r w:rsidR="001F57B5" w:rsidRPr="00186819">
        <w:rPr>
          <w:rFonts w:ascii="Times New Roman" w:hAnsi="Times New Roman" w:cs="Times New Roman"/>
          <w:sz w:val="28"/>
          <w:szCs w:val="28"/>
        </w:rPr>
        <w:t>cazione</w:t>
      </w:r>
      <w:r w:rsidRPr="00186819">
        <w:rPr>
          <w:rFonts w:ascii="Times New Roman" w:hAnsi="Times New Roman" w:cs="Times New Roman"/>
          <w:sz w:val="28"/>
          <w:szCs w:val="28"/>
        </w:rPr>
        <w:t xml:space="preserve"> (</w:t>
      </w:r>
      <w:r w:rsidRPr="00186819">
        <w:rPr>
          <w:rFonts w:ascii="Times New Roman" w:hAnsi="Times New Roman" w:cs="Times New Roman"/>
          <w:i/>
          <w:iCs/>
          <w:sz w:val="28"/>
          <w:szCs w:val="28"/>
        </w:rPr>
        <w:t>i.e.</w:t>
      </w:r>
      <w:r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norma inserita tra regole procedurali</w:t>
      </w:r>
      <w:r w:rsidRPr="00186819">
        <w:rPr>
          <w:rFonts w:ascii="Times New Roman" w:hAnsi="Times New Roman" w:cs="Times New Roman"/>
          <w:sz w:val="28"/>
          <w:szCs w:val="28"/>
        </w:rPr>
        <w:t>), la s</w:t>
      </w:r>
      <w:r w:rsidR="001F57B5" w:rsidRPr="00186819">
        <w:rPr>
          <w:rFonts w:ascii="Times New Roman" w:hAnsi="Times New Roman" w:cs="Times New Roman"/>
          <w:sz w:val="28"/>
          <w:szCs w:val="28"/>
        </w:rPr>
        <w:t xml:space="preserve">truttura </w:t>
      </w:r>
      <w:r w:rsidRPr="00186819">
        <w:rPr>
          <w:rFonts w:ascii="Times New Roman" w:hAnsi="Times New Roman" w:cs="Times New Roman"/>
          <w:sz w:val="28"/>
          <w:szCs w:val="28"/>
        </w:rPr>
        <w:t xml:space="preserve">(perché </w:t>
      </w:r>
      <w:r w:rsidR="001F57B5" w:rsidRPr="00186819">
        <w:rPr>
          <w:rFonts w:ascii="Times New Roman" w:hAnsi="Times New Roman" w:cs="Times New Roman"/>
          <w:sz w:val="28"/>
          <w:szCs w:val="28"/>
        </w:rPr>
        <w:t>collegata a</w:t>
      </w:r>
      <w:r w:rsidR="00DD68AE" w:rsidRPr="00186819">
        <w:rPr>
          <w:rFonts w:ascii="Times New Roman" w:hAnsi="Times New Roman" w:cs="Times New Roman"/>
          <w:sz w:val="28"/>
          <w:szCs w:val="28"/>
        </w:rPr>
        <w:t>d un</w:t>
      </w:r>
      <w:r w:rsidR="001F57B5" w:rsidRPr="00186819">
        <w:rPr>
          <w:rFonts w:ascii="Times New Roman" w:hAnsi="Times New Roman" w:cs="Times New Roman"/>
          <w:sz w:val="28"/>
          <w:szCs w:val="28"/>
        </w:rPr>
        <w:t xml:space="preserve"> termine di 60 giorni</w:t>
      </w:r>
      <w:r w:rsidRPr="00186819">
        <w:rPr>
          <w:rFonts w:ascii="Times New Roman" w:hAnsi="Times New Roman" w:cs="Times New Roman"/>
          <w:sz w:val="28"/>
          <w:szCs w:val="28"/>
        </w:rPr>
        <w:t>)</w:t>
      </w:r>
      <w:r w:rsidR="00DD68AE" w:rsidRPr="00186819">
        <w:rPr>
          <w:rFonts w:ascii="Times New Roman" w:hAnsi="Times New Roman" w:cs="Times New Roman"/>
          <w:sz w:val="28"/>
          <w:szCs w:val="28"/>
        </w:rPr>
        <w:t>,</w:t>
      </w:r>
      <w:r w:rsidRPr="00186819">
        <w:rPr>
          <w:rFonts w:ascii="Times New Roman" w:hAnsi="Times New Roman" w:cs="Times New Roman"/>
          <w:sz w:val="28"/>
          <w:szCs w:val="28"/>
        </w:rPr>
        <w:t xml:space="preserve"> l’a</w:t>
      </w:r>
      <w:r w:rsidR="001F57B5" w:rsidRPr="00186819">
        <w:rPr>
          <w:rFonts w:ascii="Times New Roman" w:hAnsi="Times New Roman" w:cs="Times New Roman"/>
          <w:sz w:val="28"/>
          <w:szCs w:val="28"/>
        </w:rPr>
        <w:t xml:space="preserve">mbito </w:t>
      </w:r>
      <w:r w:rsidRPr="00186819">
        <w:rPr>
          <w:rFonts w:ascii="Times New Roman" w:hAnsi="Times New Roman" w:cs="Times New Roman"/>
          <w:sz w:val="28"/>
          <w:szCs w:val="28"/>
        </w:rPr>
        <w:t xml:space="preserve">(riguardando </w:t>
      </w:r>
      <w:r w:rsidR="001F57B5" w:rsidRPr="00186819">
        <w:rPr>
          <w:rFonts w:ascii="Times New Roman" w:hAnsi="Times New Roman" w:cs="Times New Roman"/>
          <w:sz w:val="28"/>
          <w:szCs w:val="28"/>
        </w:rPr>
        <w:t>categorie eterogenee</w:t>
      </w:r>
      <w:r w:rsidRPr="00186819">
        <w:rPr>
          <w:rFonts w:ascii="Times New Roman" w:hAnsi="Times New Roman" w:cs="Times New Roman"/>
          <w:sz w:val="28"/>
          <w:szCs w:val="28"/>
        </w:rPr>
        <w:t xml:space="preserve">). </w:t>
      </w:r>
    </w:p>
    <w:p w14:paraId="20295098" w14:textId="591149B5" w:rsidR="00E82426" w:rsidRPr="00186819" w:rsidRDefault="009751CF" w:rsidP="001F57B5">
      <w:pPr>
        <w:jc w:val="both"/>
        <w:rPr>
          <w:rFonts w:ascii="Times New Roman" w:hAnsi="Times New Roman" w:cs="Times New Roman"/>
          <w:sz w:val="28"/>
          <w:szCs w:val="28"/>
        </w:rPr>
      </w:pPr>
      <w:r w:rsidRPr="00186819">
        <w:rPr>
          <w:rFonts w:ascii="Times New Roman" w:hAnsi="Times New Roman" w:cs="Times New Roman"/>
          <w:sz w:val="28"/>
          <w:szCs w:val="28"/>
        </w:rPr>
        <w:t>Per le ragioni che precedono</w:t>
      </w:r>
      <w:r w:rsidR="00AA0EF7"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AA0EF7" w:rsidRPr="00186819">
        <w:rPr>
          <w:rFonts w:ascii="Times New Roman" w:hAnsi="Times New Roman" w:cs="Times New Roman"/>
          <w:sz w:val="28"/>
          <w:szCs w:val="28"/>
        </w:rPr>
        <w:t xml:space="preserve">ad avviso della Corte, l’art. 65, comma 4-bis, secondo periodo, </w:t>
      </w:r>
      <w:r w:rsidR="009511DB" w:rsidRPr="00186819">
        <w:rPr>
          <w:rFonts w:ascii="Times New Roman" w:hAnsi="Times New Roman" w:cs="Times New Roman"/>
          <w:sz w:val="28"/>
          <w:szCs w:val="28"/>
        </w:rPr>
        <w:t xml:space="preserve">del Codice </w:t>
      </w:r>
      <w:r w:rsidR="001F57B5" w:rsidRPr="00186819">
        <w:rPr>
          <w:rFonts w:ascii="Times New Roman" w:hAnsi="Times New Roman" w:cs="Times New Roman"/>
          <w:sz w:val="28"/>
          <w:szCs w:val="28"/>
        </w:rPr>
        <w:t>contiene</w:t>
      </w:r>
      <w:r w:rsidRPr="00186819">
        <w:rPr>
          <w:rFonts w:ascii="Times New Roman" w:hAnsi="Times New Roman" w:cs="Times New Roman"/>
          <w:sz w:val="28"/>
          <w:szCs w:val="28"/>
        </w:rPr>
        <w:t xml:space="preserve"> una r</w:t>
      </w:r>
      <w:r w:rsidR="001F57B5" w:rsidRPr="00186819">
        <w:rPr>
          <w:rFonts w:ascii="Times New Roman" w:hAnsi="Times New Roman" w:cs="Times New Roman"/>
          <w:sz w:val="28"/>
          <w:szCs w:val="28"/>
        </w:rPr>
        <w:t>egola sull’avvio del procedimento</w:t>
      </w:r>
      <w:r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 xml:space="preserve">anche per </w:t>
      </w:r>
      <w:r w:rsidR="00AA0EF7" w:rsidRPr="00186819">
        <w:rPr>
          <w:rFonts w:ascii="Times New Roman" w:hAnsi="Times New Roman" w:cs="Times New Roman"/>
          <w:sz w:val="28"/>
          <w:szCs w:val="28"/>
        </w:rPr>
        <w:t xml:space="preserve">i </w:t>
      </w:r>
      <w:r w:rsidR="001F57B5" w:rsidRPr="00186819">
        <w:rPr>
          <w:rFonts w:ascii="Times New Roman" w:hAnsi="Times New Roman" w:cs="Times New Roman"/>
          <w:sz w:val="28"/>
          <w:szCs w:val="28"/>
        </w:rPr>
        <w:t xml:space="preserve">beni </w:t>
      </w:r>
      <w:r w:rsidR="00E5630C" w:rsidRPr="00186819">
        <w:rPr>
          <w:rFonts w:ascii="Times New Roman" w:hAnsi="Times New Roman" w:cs="Times New Roman"/>
          <w:sz w:val="28"/>
          <w:szCs w:val="28"/>
        </w:rPr>
        <w:t xml:space="preserve">di cui alla lett. </w:t>
      </w:r>
      <w:r w:rsidR="001F57B5" w:rsidRPr="00186819">
        <w:rPr>
          <w:rFonts w:ascii="Times New Roman" w:hAnsi="Times New Roman" w:cs="Times New Roman"/>
          <w:sz w:val="28"/>
          <w:szCs w:val="28"/>
        </w:rPr>
        <w:t>d-bis</w:t>
      </w:r>
      <w:r w:rsidR="00E5630C" w:rsidRPr="00186819">
        <w:rPr>
          <w:rFonts w:ascii="Times New Roman" w:hAnsi="Times New Roman" w:cs="Times New Roman"/>
          <w:sz w:val="28"/>
          <w:szCs w:val="28"/>
        </w:rPr>
        <w:t>)</w:t>
      </w:r>
      <w:r w:rsidRPr="00186819">
        <w:rPr>
          <w:rFonts w:ascii="Times New Roman" w:hAnsi="Times New Roman" w:cs="Times New Roman"/>
          <w:sz w:val="28"/>
          <w:szCs w:val="28"/>
        </w:rPr>
        <w:t>, una r</w:t>
      </w:r>
      <w:r w:rsidR="001F57B5" w:rsidRPr="00186819">
        <w:rPr>
          <w:rFonts w:ascii="Times New Roman" w:hAnsi="Times New Roman" w:cs="Times New Roman"/>
          <w:sz w:val="28"/>
          <w:szCs w:val="28"/>
        </w:rPr>
        <w:t>egola sul termine</w:t>
      </w:r>
      <w:r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 xml:space="preserve">procedimento accelerato </w:t>
      </w:r>
      <w:r w:rsidRPr="00186819">
        <w:rPr>
          <w:rFonts w:ascii="Times New Roman" w:hAnsi="Times New Roman" w:cs="Times New Roman"/>
          <w:sz w:val="28"/>
          <w:szCs w:val="28"/>
        </w:rPr>
        <w:t xml:space="preserve">di </w:t>
      </w:r>
      <w:r w:rsidR="001F57B5" w:rsidRPr="00186819">
        <w:rPr>
          <w:rFonts w:ascii="Times New Roman" w:hAnsi="Times New Roman" w:cs="Times New Roman"/>
          <w:sz w:val="28"/>
          <w:szCs w:val="28"/>
        </w:rPr>
        <w:t>60 giorni)</w:t>
      </w:r>
      <w:r w:rsidRPr="00186819">
        <w:rPr>
          <w:rFonts w:ascii="Times New Roman" w:hAnsi="Times New Roman" w:cs="Times New Roman"/>
          <w:sz w:val="28"/>
          <w:szCs w:val="28"/>
        </w:rPr>
        <w:t xml:space="preserve"> </w:t>
      </w:r>
      <w:r w:rsidR="00B7169C" w:rsidRPr="00186819">
        <w:rPr>
          <w:rFonts w:ascii="Times New Roman" w:hAnsi="Times New Roman" w:cs="Times New Roman"/>
          <w:sz w:val="28"/>
          <w:szCs w:val="28"/>
        </w:rPr>
        <w:t xml:space="preserve">ma per il resto </w:t>
      </w:r>
      <w:r w:rsidR="00E5630C" w:rsidRPr="00186819">
        <w:rPr>
          <w:rFonts w:ascii="Times New Roman" w:hAnsi="Times New Roman" w:cs="Times New Roman"/>
          <w:sz w:val="28"/>
          <w:szCs w:val="28"/>
        </w:rPr>
        <w:t>mantiene l’</w:t>
      </w:r>
      <w:r w:rsidR="001F57B5" w:rsidRPr="00186819">
        <w:rPr>
          <w:rFonts w:ascii="Times New Roman" w:hAnsi="Times New Roman" w:cs="Times New Roman"/>
          <w:sz w:val="28"/>
          <w:szCs w:val="28"/>
        </w:rPr>
        <w:t>equilibrio tra</w:t>
      </w:r>
      <w:r w:rsidRPr="00186819">
        <w:rPr>
          <w:rFonts w:ascii="Times New Roman" w:hAnsi="Times New Roman" w:cs="Times New Roman"/>
          <w:sz w:val="28"/>
          <w:szCs w:val="28"/>
        </w:rPr>
        <w:t xml:space="preserve"> </w:t>
      </w:r>
      <w:r w:rsidR="00E5630C" w:rsidRPr="00186819">
        <w:rPr>
          <w:rFonts w:ascii="Times New Roman" w:hAnsi="Times New Roman" w:cs="Times New Roman"/>
          <w:sz w:val="28"/>
          <w:szCs w:val="28"/>
        </w:rPr>
        <w:t xml:space="preserve">la </w:t>
      </w:r>
      <w:r w:rsidR="001F57B5" w:rsidRPr="00186819">
        <w:rPr>
          <w:rFonts w:ascii="Times New Roman" w:hAnsi="Times New Roman" w:cs="Times New Roman"/>
          <w:sz w:val="28"/>
          <w:szCs w:val="28"/>
        </w:rPr>
        <w:t xml:space="preserve">tutela </w:t>
      </w:r>
      <w:r w:rsidRPr="00186819">
        <w:rPr>
          <w:rFonts w:ascii="Times New Roman" w:hAnsi="Times New Roman" w:cs="Times New Roman"/>
          <w:sz w:val="28"/>
          <w:szCs w:val="28"/>
        </w:rPr>
        <w:t xml:space="preserve">del </w:t>
      </w:r>
      <w:r w:rsidR="001F57B5" w:rsidRPr="00186819">
        <w:rPr>
          <w:rFonts w:ascii="Times New Roman" w:hAnsi="Times New Roman" w:cs="Times New Roman"/>
          <w:sz w:val="28"/>
          <w:szCs w:val="28"/>
        </w:rPr>
        <w:t>patrimonio</w:t>
      </w:r>
      <w:r w:rsidR="00AA0EF7" w:rsidRPr="00186819">
        <w:rPr>
          <w:rFonts w:ascii="Times New Roman" w:hAnsi="Times New Roman" w:cs="Times New Roman"/>
          <w:sz w:val="28"/>
          <w:szCs w:val="28"/>
        </w:rPr>
        <w:t xml:space="preserve"> </w:t>
      </w:r>
      <w:r w:rsidRPr="00186819">
        <w:rPr>
          <w:rFonts w:ascii="Times New Roman" w:hAnsi="Times New Roman" w:cs="Times New Roman"/>
          <w:sz w:val="28"/>
          <w:szCs w:val="28"/>
        </w:rPr>
        <w:t>e</w:t>
      </w:r>
      <w:r w:rsidR="00AA0EF7" w:rsidRPr="00186819">
        <w:rPr>
          <w:rFonts w:ascii="Times New Roman" w:hAnsi="Times New Roman" w:cs="Times New Roman"/>
          <w:sz w:val="28"/>
          <w:szCs w:val="28"/>
        </w:rPr>
        <w:t xml:space="preserve"> </w:t>
      </w:r>
      <w:r w:rsidR="00E5630C" w:rsidRPr="00186819">
        <w:rPr>
          <w:rFonts w:ascii="Times New Roman" w:hAnsi="Times New Roman" w:cs="Times New Roman"/>
          <w:sz w:val="28"/>
          <w:szCs w:val="28"/>
        </w:rPr>
        <w:t xml:space="preserve">la garanzia </w:t>
      </w:r>
      <w:r w:rsidRPr="00186819">
        <w:rPr>
          <w:rFonts w:ascii="Times New Roman" w:hAnsi="Times New Roman" w:cs="Times New Roman"/>
          <w:sz w:val="28"/>
          <w:szCs w:val="28"/>
        </w:rPr>
        <w:t xml:space="preserve">delle </w:t>
      </w:r>
      <w:r w:rsidR="001F57B5" w:rsidRPr="00186819">
        <w:rPr>
          <w:rFonts w:ascii="Times New Roman" w:hAnsi="Times New Roman" w:cs="Times New Roman"/>
          <w:sz w:val="28"/>
          <w:szCs w:val="28"/>
        </w:rPr>
        <w:t>libertà economiche.</w:t>
      </w:r>
      <w:r w:rsidR="00F974C2" w:rsidRPr="00186819">
        <w:rPr>
          <w:rFonts w:ascii="Times New Roman" w:hAnsi="Times New Roman" w:cs="Times New Roman"/>
          <w:sz w:val="28"/>
          <w:szCs w:val="28"/>
        </w:rPr>
        <w:t xml:space="preserve"> </w:t>
      </w:r>
      <w:r w:rsidR="00B7169C" w:rsidRPr="00186819">
        <w:rPr>
          <w:rFonts w:ascii="Times New Roman" w:hAnsi="Times New Roman" w:cs="Times New Roman"/>
          <w:sz w:val="28"/>
          <w:szCs w:val="28"/>
        </w:rPr>
        <w:t>E l</w:t>
      </w:r>
      <w:r w:rsidRPr="00186819">
        <w:rPr>
          <w:rFonts w:ascii="Times New Roman" w:hAnsi="Times New Roman" w:cs="Times New Roman"/>
          <w:sz w:val="28"/>
          <w:szCs w:val="28"/>
        </w:rPr>
        <w:t>’i</w:t>
      </w:r>
      <w:r w:rsidR="001F57B5" w:rsidRPr="00186819">
        <w:rPr>
          <w:rFonts w:ascii="Times New Roman" w:hAnsi="Times New Roman" w:cs="Times New Roman"/>
          <w:sz w:val="28"/>
          <w:szCs w:val="28"/>
        </w:rPr>
        <w:t xml:space="preserve">nterpretazione </w:t>
      </w:r>
      <w:r w:rsidRPr="00186819">
        <w:rPr>
          <w:rFonts w:ascii="Times New Roman" w:hAnsi="Times New Roman" w:cs="Times New Roman"/>
          <w:sz w:val="28"/>
          <w:szCs w:val="28"/>
        </w:rPr>
        <w:t xml:space="preserve">sopra ricordata </w:t>
      </w:r>
      <w:r w:rsidR="00B7169C" w:rsidRPr="00186819">
        <w:rPr>
          <w:rFonts w:ascii="Times New Roman" w:hAnsi="Times New Roman" w:cs="Times New Roman"/>
          <w:sz w:val="28"/>
          <w:szCs w:val="28"/>
        </w:rPr>
        <w:t xml:space="preserve">viene accertato che risulta </w:t>
      </w:r>
      <w:r w:rsidRPr="00186819">
        <w:rPr>
          <w:rFonts w:ascii="Times New Roman" w:hAnsi="Times New Roman" w:cs="Times New Roman"/>
          <w:sz w:val="28"/>
          <w:szCs w:val="28"/>
        </w:rPr>
        <w:t xml:space="preserve">anche </w:t>
      </w:r>
      <w:r w:rsidR="001F57B5" w:rsidRPr="00186819">
        <w:rPr>
          <w:rFonts w:ascii="Times New Roman" w:hAnsi="Times New Roman" w:cs="Times New Roman"/>
          <w:sz w:val="28"/>
          <w:szCs w:val="28"/>
        </w:rPr>
        <w:t xml:space="preserve">coerente con </w:t>
      </w:r>
      <w:r w:rsidR="00B7169C" w:rsidRPr="00186819">
        <w:rPr>
          <w:rFonts w:ascii="Times New Roman" w:hAnsi="Times New Roman" w:cs="Times New Roman"/>
          <w:sz w:val="28"/>
          <w:szCs w:val="28"/>
        </w:rPr>
        <w:t xml:space="preserve">la </w:t>
      </w:r>
      <w:r w:rsidR="001F57B5" w:rsidRPr="00186819">
        <w:rPr>
          <w:rFonts w:ascii="Times New Roman" w:hAnsi="Times New Roman" w:cs="Times New Roman"/>
          <w:sz w:val="28"/>
          <w:szCs w:val="28"/>
        </w:rPr>
        <w:t>normativa attuativa (</w:t>
      </w:r>
      <w:r w:rsidR="00B7169C" w:rsidRPr="00186819">
        <w:rPr>
          <w:rFonts w:ascii="Times New Roman" w:hAnsi="Times New Roman" w:cs="Times New Roman"/>
          <w:i/>
          <w:iCs/>
          <w:sz w:val="28"/>
          <w:szCs w:val="28"/>
        </w:rPr>
        <w:t>i.e.</w:t>
      </w:r>
      <w:r w:rsidR="00B7169C"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d.</w:t>
      </w:r>
      <w:r w:rsidR="00AA0EF7" w:rsidRPr="00186819">
        <w:rPr>
          <w:rFonts w:ascii="Times New Roman" w:hAnsi="Times New Roman" w:cs="Times New Roman"/>
          <w:sz w:val="28"/>
          <w:szCs w:val="28"/>
        </w:rPr>
        <w:t xml:space="preserve"> </w:t>
      </w:r>
      <w:r w:rsidR="001F57B5" w:rsidRPr="00186819">
        <w:rPr>
          <w:rFonts w:ascii="Times New Roman" w:hAnsi="Times New Roman" w:cs="Times New Roman"/>
          <w:sz w:val="28"/>
          <w:szCs w:val="28"/>
        </w:rPr>
        <w:t>m. 246/2018).</w:t>
      </w:r>
    </w:p>
    <w:p w14:paraId="59182CAE" w14:textId="41E81347" w:rsidR="001F57B5" w:rsidRPr="00186819" w:rsidRDefault="009751CF" w:rsidP="001F57B5">
      <w:pPr>
        <w:jc w:val="both"/>
        <w:rPr>
          <w:rFonts w:ascii="Times New Roman" w:hAnsi="Times New Roman" w:cs="Times New Roman"/>
          <w:sz w:val="28"/>
          <w:szCs w:val="28"/>
        </w:rPr>
      </w:pPr>
      <w:r w:rsidRPr="00186819">
        <w:rPr>
          <w:rFonts w:ascii="Times New Roman" w:hAnsi="Times New Roman" w:cs="Times New Roman"/>
          <w:sz w:val="28"/>
          <w:szCs w:val="28"/>
        </w:rPr>
        <w:t>Da quanto sopra discende</w:t>
      </w:r>
      <w:r w:rsidR="00F974C2"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F974C2" w:rsidRPr="00186819">
        <w:rPr>
          <w:rFonts w:ascii="Times New Roman" w:hAnsi="Times New Roman" w:cs="Times New Roman"/>
          <w:sz w:val="28"/>
          <w:szCs w:val="28"/>
        </w:rPr>
        <w:t xml:space="preserve">sempre secondo la Consulta, </w:t>
      </w:r>
      <w:r w:rsidRPr="00186819">
        <w:rPr>
          <w:rFonts w:ascii="Times New Roman" w:hAnsi="Times New Roman" w:cs="Times New Roman"/>
          <w:sz w:val="28"/>
          <w:szCs w:val="28"/>
        </w:rPr>
        <w:t xml:space="preserve">che va esclusa la sussistenza di </w:t>
      </w:r>
      <w:r w:rsidR="001F57B5" w:rsidRPr="00186819">
        <w:rPr>
          <w:rFonts w:ascii="Times New Roman" w:hAnsi="Times New Roman" w:cs="Times New Roman"/>
          <w:sz w:val="28"/>
          <w:szCs w:val="28"/>
        </w:rPr>
        <w:t>vizi costituzionali</w:t>
      </w:r>
      <w:r w:rsidRPr="00186819">
        <w:rPr>
          <w:rFonts w:ascii="Times New Roman" w:hAnsi="Times New Roman" w:cs="Times New Roman"/>
          <w:sz w:val="28"/>
          <w:szCs w:val="28"/>
        </w:rPr>
        <w:t xml:space="preserve"> sotto il profilo della ragionevolezza</w:t>
      </w:r>
      <w:r w:rsidR="00E82426" w:rsidRPr="00186819">
        <w:rPr>
          <w:rFonts w:ascii="Times New Roman" w:hAnsi="Times New Roman" w:cs="Times New Roman"/>
          <w:sz w:val="28"/>
          <w:szCs w:val="28"/>
        </w:rPr>
        <w:t xml:space="preserve"> o dell’eguaglianza</w:t>
      </w:r>
      <w:r w:rsidRPr="00186819">
        <w:rPr>
          <w:rFonts w:ascii="Times New Roman" w:hAnsi="Times New Roman" w:cs="Times New Roman"/>
          <w:sz w:val="28"/>
          <w:szCs w:val="28"/>
        </w:rPr>
        <w:t xml:space="preserve">, </w:t>
      </w:r>
      <w:r w:rsidR="00B7169C" w:rsidRPr="00186819">
        <w:rPr>
          <w:rFonts w:ascii="Times New Roman" w:hAnsi="Times New Roman" w:cs="Times New Roman"/>
          <w:sz w:val="28"/>
          <w:szCs w:val="28"/>
        </w:rPr>
        <w:t xml:space="preserve">ai sensi degli artt. 97 e 3 Cost., </w:t>
      </w:r>
      <w:r w:rsidR="001A4FB3">
        <w:rPr>
          <w:rFonts w:ascii="Times New Roman" w:hAnsi="Times New Roman" w:cs="Times New Roman"/>
          <w:sz w:val="28"/>
          <w:szCs w:val="28"/>
        </w:rPr>
        <w:t xml:space="preserve">considerando che </w:t>
      </w:r>
      <w:r w:rsidR="001F57B5" w:rsidRPr="00186819">
        <w:rPr>
          <w:rFonts w:ascii="Times New Roman" w:hAnsi="Times New Roman" w:cs="Times New Roman"/>
          <w:sz w:val="28"/>
          <w:szCs w:val="28"/>
        </w:rPr>
        <w:t>il vincolo è sempre possibile per tutte le categorie</w:t>
      </w:r>
      <w:r w:rsidR="00F974C2" w:rsidRPr="00186819">
        <w:rPr>
          <w:rFonts w:ascii="Times New Roman" w:hAnsi="Times New Roman" w:cs="Times New Roman"/>
          <w:sz w:val="28"/>
          <w:szCs w:val="28"/>
        </w:rPr>
        <w:t xml:space="preserve"> di beni</w:t>
      </w:r>
      <w:r w:rsidR="001F57B5"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E82426" w:rsidRPr="00186819">
        <w:rPr>
          <w:rFonts w:ascii="Times New Roman" w:hAnsi="Times New Roman" w:cs="Times New Roman"/>
          <w:sz w:val="28"/>
          <w:szCs w:val="28"/>
        </w:rPr>
        <w:t xml:space="preserve">indipendentemente dal valore, </w:t>
      </w:r>
      <w:r w:rsidR="00DD68AE" w:rsidRPr="00186819">
        <w:rPr>
          <w:rFonts w:ascii="Times New Roman" w:hAnsi="Times New Roman" w:cs="Times New Roman"/>
          <w:sz w:val="28"/>
          <w:szCs w:val="28"/>
        </w:rPr>
        <w:t xml:space="preserve">in tutte le diverse ipotesi contemplate dall’art. 10, comma 3, del </w:t>
      </w:r>
      <w:r w:rsidR="00E82426" w:rsidRPr="00186819">
        <w:rPr>
          <w:rFonts w:ascii="Times New Roman" w:hAnsi="Times New Roman" w:cs="Times New Roman"/>
          <w:sz w:val="28"/>
          <w:szCs w:val="28"/>
        </w:rPr>
        <w:t>Codice</w:t>
      </w:r>
      <w:r w:rsidR="00DD68AE" w:rsidRPr="00186819">
        <w:rPr>
          <w:rFonts w:ascii="Times New Roman" w:hAnsi="Times New Roman" w:cs="Times New Roman"/>
          <w:sz w:val="28"/>
          <w:szCs w:val="28"/>
        </w:rPr>
        <w:t>,</w:t>
      </w:r>
      <w:r w:rsidR="00E82426" w:rsidRPr="00186819">
        <w:rPr>
          <w:rFonts w:ascii="Times New Roman" w:hAnsi="Times New Roman" w:cs="Times New Roman"/>
          <w:sz w:val="28"/>
          <w:szCs w:val="28"/>
        </w:rPr>
        <w:t xml:space="preserve"> </w:t>
      </w:r>
      <w:r w:rsidR="00DD68AE" w:rsidRPr="00186819">
        <w:rPr>
          <w:rFonts w:ascii="Times New Roman" w:hAnsi="Times New Roman" w:cs="Times New Roman"/>
          <w:sz w:val="28"/>
          <w:szCs w:val="28"/>
        </w:rPr>
        <w:t>a prescindere dall’evenienza procedimentale che consente all’Amministrazione culturale di “intercettare” il bene.</w:t>
      </w:r>
      <w:r w:rsidR="00E82426" w:rsidRPr="00186819">
        <w:rPr>
          <w:rFonts w:ascii="Times New Roman" w:hAnsi="Times New Roman" w:cs="Times New Roman"/>
          <w:sz w:val="28"/>
          <w:szCs w:val="28"/>
        </w:rPr>
        <w:t xml:space="preserve"> </w:t>
      </w:r>
      <w:r w:rsidR="00DD68AE" w:rsidRPr="00186819">
        <w:rPr>
          <w:rFonts w:ascii="Times New Roman" w:hAnsi="Times New Roman" w:cs="Times New Roman"/>
          <w:sz w:val="28"/>
          <w:szCs w:val="28"/>
        </w:rPr>
        <w:t>E</w:t>
      </w:r>
      <w:r w:rsidRPr="00186819">
        <w:rPr>
          <w:rFonts w:ascii="Times New Roman" w:hAnsi="Times New Roman" w:cs="Times New Roman"/>
          <w:sz w:val="28"/>
          <w:szCs w:val="28"/>
        </w:rPr>
        <w:t xml:space="preserve"> non sussiste alcun </w:t>
      </w:r>
      <w:r w:rsidR="001F57B5" w:rsidRPr="00186819">
        <w:rPr>
          <w:rFonts w:ascii="Times New Roman" w:hAnsi="Times New Roman" w:cs="Times New Roman"/>
          <w:sz w:val="28"/>
          <w:szCs w:val="28"/>
        </w:rPr>
        <w:t>rischio di depauperamento</w:t>
      </w:r>
      <w:r w:rsidR="00E5630C" w:rsidRPr="00186819">
        <w:rPr>
          <w:rFonts w:ascii="Times New Roman" w:hAnsi="Times New Roman" w:cs="Times New Roman"/>
          <w:sz w:val="28"/>
          <w:szCs w:val="28"/>
        </w:rPr>
        <w:t xml:space="preserve"> del patrimonio culturale nazionale</w:t>
      </w:r>
      <w:r w:rsidR="00B7169C" w:rsidRPr="00186819">
        <w:rPr>
          <w:rFonts w:ascii="Times New Roman" w:hAnsi="Times New Roman" w:cs="Times New Roman"/>
          <w:sz w:val="28"/>
          <w:szCs w:val="28"/>
        </w:rPr>
        <w:t xml:space="preserve"> (protetto dall’art. 9 Cost.)</w:t>
      </w:r>
      <w:r w:rsidR="001F57B5" w:rsidRPr="00186819">
        <w:rPr>
          <w:rFonts w:ascii="Times New Roman" w:hAnsi="Times New Roman" w:cs="Times New Roman"/>
          <w:sz w:val="28"/>
          <w:szCs w:val="28"/>
        </w:rPr>
        <w:t>,</w:t>
      </w:r>
      <w:r w:rsidRPr="00186819">
        <w:rPr>
          <w:rFonts w:ascii="Times New Roman" w:hAnsi="Times New Roman" w:cs="Times New Roman"/>
          <w:sz w:val="28"/>
          <w:szCs w:val="28"/>
        </w:rPr>
        <w:t xml:space="preserve"> perché il </w:t>
      </w:r>
      <w:r w:rsidR="001F57B5" w:rsidRPr="00186819">
        <w:rPr>
          <w:rFonts w:ascii="Times New Roman" w:hAnsi="Times New Roman" w:cs="Times New Roman"/>
          <w:sz w:val="28"/>
          <w:szCs w:val="28"/>
        </w:rPr>
        <w:t xml:space="preserve">vincolo </w:t>
      </w:r>
      <w:r w:rsidRPr="00186819">
        <w:rPr>
          <w:rFonts w:ascii="Times New Roman" w:hAnsi="Times New Roman" w:cs="Times New Roman"/>
          <w:sz w:val="28"/>
          <w:szCs w:val="28"/>
        </w:rPr>
        <w:t xml:space="preserve">vale comunque a </w:t>
      </w:r>
      <w:r w:rsidR="001F57B5" w:rsidRPr="00186819">
        <w:rPr>
          <w:rFonts w:ascii="Times New Roman" w:hAnsi="Times New Roman" w:cs="Times New Roman"/>
          <w:sz w:val="28"/>
          <w:szCs w:val="28"/>
        </w:rPr>
        <w:t>blocca</w:t>
      </w:r>
      <w:r w:rsidRPr="00186819">
        <w:rPr>
          <w:rFonts w:ascii="Times New Roman" w:hAnsi="Times New Roman" w:cs="Times New Roman"/>
          <w:sz w:val="28"/>
          <w:szCs w:val="28"/>
        </w:rPr>
        <w:t xml:space="preserve">re </w:t>
      </w:r>
      <w:r w:rsidR="001F57B5" w:rsidRPr="00186819">
        <w:rPr>
          <w:rFonts w:ascii="Times New Roman" w:hAnsi="Times New Roman" w:cs="Times New Roman"/>
          <w:sz w:val="28"/>
          <w:szCs w:val="28"/>
        </w:rPr>
        <w:t>l’esportazione.</w:t>
      </w:r>
    </w:p>
    <w:p w14:paraId="091667FC" w14:textId="38C28D64" w:rsidR="00006496" w:rsidRPr="00186819" w:rsidRDefault="00F974C2" w:rsidP="00006496">
      <w:pPr>
        <w:jc w:val="both"/>
        <w:rPr>
          <w:rFonts w:ascii="Times New Roman" w:hAnsi="Times New Roman" w:cs="Times New Roman"/>
          <w:sz w:val="28"/>
          <w:szCs w:val="28"/>
        </w:rPr>
      </w:pPr>
      <w:bookmarkStart w:id="1" w:name="_Hlk227859689"/>
      <w:r w:rsidRPr="00186819">
        <w:rPr>
          <w:rFonts w:ascii="Times New Roman" w:hAnsi="Times New Roman" w:cs="Times New Roman"/>
          <w:sz w:val="28"/>
          <w:szCs w:val="28"/>
        </w:rPr>
        <w:t xml:space="preserve">Risultano quindi infondate le censure di costituzionalità evocate, emergendo </w:t>
      </w:r>
      <w:r w:rsidR="00E82426" w:rsidRPr="00186819">
        <w:rPr>
          <w:rFonts w:ascii="Times New Roman" w:hAnsi="Times New Roman" w:cs="Times New Roman"/>
          <w:sz w:val="28"/>
          <w:szCs w:val="28"/>
        </w:rPr>
        <w:t>un sistema normativo che</w:t>
      </w:r>
      <w:r w:rsidR="004F5A90" w:rsidRPr="00186819">
        <w:rPr>
          <w:rFonts w:ascii="Times New Roman" w:hAnsi="Times New Roman" w:cs="Times New Roman"/>
          <w:sz w:val="28"/>
          <w:szCs w:val="28"/>
        </w:rPr>
        <w:t>, per come interpretato dalla Corte,</w:t>
      </w:r>
      <w:r w:rsidR="00E82426" w:rsidRPr="00186819">
        <w:rPr>
          <w:rFonts w:ascii="Times New Roman" w:hAnsi="Times New Roman" w:cs="Times New Roman"/>
          <w:sz w:val="28"/>
          <w:szCs w:val="28"/>
        </w:rPr>
        <w:t xml:space="preserve"> garantisce </w:t>
      </w:r>
      <w:r w:rsidRPr="00186819">
        <w:rPr>
          <w:rFonts w:ascii="Times New Roman" w:hAnsi="Times New Roman" w:cs="Times New Roman"/>
          <w:sz w:val="28"/>
          <w:szCs w:val="28"/>
        </w:rPr>
        <w:t>piena tutela al patrimonio culturale, parità di trattamento e compatibilità con il buon andamento dell’Amministrazione.</w:t>
      </w:r>
      <w:r w:rsidR="00006496" w:rsidRPr="00186819">
        <w:rPr>
          <w:rFonts w:ascii="Times New Roman" w:hAnsi="Times New Roman" w:cs="Times New Roman"/>
          <w:sz w:val="28"/>
          <w:szCs w:val="28"/>
        </w:rPr>
        <w:t xml:space="preserve"> </w:t>
      </w:r>
    </w:p>
    <w:p w14:paraId="24DBD218" w14:textId="223CC39A" w:rsidR="00DF761C" w:rsidRPr="00186819" w:rsidRDefault="00F12C3E" w:rsidP="004F5A90">
      <w:pPr>
        <w:pStyle w:val="Paragrafoelenco"/>
        <w:numPr>
          <w:ilvl w:val="0"/>
          <w:numId w:val="6"/>
        </w:numPr>
        <w:jc w:val="both"/>
        <w:rPr>
          <w:rFonts w:ascii="Times New Roman" w:hAnsi="Times New Roman" w:cs="Times New Roman"/>
          <w:b/>
          <w:bCs/>
          <w:i/>
          <w:iCs/>
          <w:sz w:val="28"/>
          <w:szCs w:val="28"/>
        </w:rPr>
      </w:pPr>
      <w:r w:rsidRPr="00186819">
        <w:rPr>
          <w:rFonts w:ascii="Times New Roman" w:hAnsi="Times New Roman" w:cs="Times New Roman"/>
          <w:b/>
          <w:bCs/>
          <w:i/>
          <w:iCs/>
          <w:sz w:val="28"/>
          <w:szCs w:val="28"/>
        </w:rPr>
        <w:lastRenderedPageBreak/>
        <w:t xml:space="preserve">La sentenza </w:t>
      </w:r>
      <w:r w:rsidR="00C123EE" w:rsidRPr="00186819">
        <w:rPr>
          <w:rFonts w:ascii="Times New Roman" w:hAnsi="Times New Roman" w:cs="Times New Roman"/>
          <w:b/>
          <w:bCs/>
          <w:i/>
          <w:iCs/>
          <w:sz w:val="28"/>
          <w:szCs w:val="28"/>
        </w:rPr>
        <w:t>del 14</w:t>
      </w:r>
      <w:r w:rsidR="00DF761C" w:rsidRPr="00186819">
        <w:rPr>
          <w:rFonts w:ascii="Times New Roman" w:hAnsi="Times New Roman" w:cs="Times New Roman"/>
          <w:b/>
          <w:bCs/>
          <w:i/>
          <w:iCs/>
          <w:sz w:val="28"/>
          <w:szCs w:val="28"/>
        </w:rPr>
        <w:t xml:space="preserve"> aprile </w:t>
      </w:r>
      <w:r w:rsidR="00C123EE" w:rsidRPr="00186819">
        <w:rPr>
          <w:rFonts w:ascii="Times New Roman" w:hAnsi="Times New Roman" w:cs="Times New Roman"/>
          <w:b/>
          <w:bCs/>
          <w:i/>
          <w:iCs/>
          <w:sz w:val="28"/>
          <w:szCs w:val="28"/>
        </w:rPr>
        <w:t>2026, n. 51</w:t>
      </w:r>
      <w:r w:rsidR="004F5A90" w:rsidRPr="00186819">
        <w:rPr>
          <w:rStyle w:val="Rimandonotaapidipagina"/>
          <w:rFonts w:ascii="Times New Roman" w:hAnsi="Times New Roman" w:cs="Times New Roman"/>
          <w:b/>
          <w:bCs/>
          <w:i/>
          <w:iCs/>
          <w:sz w:val="28"/>
          <w:szCs w:val="28"/>
        </w:rPr>
        <w:footnoteReference w:id="6"/>
      </w:r>
      <w:r w:rsidRPr="00186819">
        <w:rPr>
          <w:rFonts w:ascii="Times New Roman" w:hAnsi="Times New Roman" w:cs="Times New Roman"/>
          <w:b/>
          <w:bCs/>
          <w:i/>
          <w:iCs/>
          <w:sz w:val="28"/>
          <w:szCs w:val="28"/>
        </w:rPr>
        <w:t xml:space="preserve">. </w:t>
      </w:r>
    </w:p>
    <w:bookmarkEnd w:id="1"/>
    <w:p w14:paraId="2F4F6F8E" w14:textId="5EAC7FD8" w:rsidR="00DF761C" w:rsidRPr="00186819" w:rsidRDefault="00DF761C" w:rsidP="004F5A90">
      <w:pPr>
        <w:pStyle w:val="Paragrafoelenco"/>
        <w:numPr>
          <w:ilvl w:val="1"/>
          <w:numId w:val="6"/>
        </w:numPr>
        <w:jc w:val="both"/>
        <w:rPr>
          <w:rFonts w:ascii="Times New Roman" w:hAnsi="Times New Roman" w:cs="Times New Roman"/>
          <w:b/>
          <w:bCs/>
          <w:i/>
          <w:iCs/>
          <w:sz w:val="28"/>
          <w:szCs w:val="28"/>
        </w:rPr>
      </w:pPr>
      <w:r w:rsidRPr="00186819">
        <w:rPr>
          <w:rFonts w:ascii="Times New Roman" w:hAnsi="Times New Roman" w:cs="Times New Roman"/>
          <w:b/>
          <w:bCs/>
          <w:i/>
          <w:iCs/>
          <w:sz w:val="28"/>
          <w:szCs w:val="28"/>
        </w:rPr>
        <w:t>Le questioni sollevate.</w:t>
      </w:r>
    </w:p>
    <w:p w14:paraId="7108E4C0" w14:textId="6D30EF2C" w:rsidR="00C123EE" w:rsidRPr="00186819" w:rsidRDefault="009751CF" w:rsidP="00C123EE">
      <w:pPr>
        <w:jc w:val="both"/>
        <w:rPr>
          <w:rFonts w:ascii="Times New Roman" w:hAnsi="Times New Roman" w:cs="Times New Roman"/>
          <w:sz w:val="28"/>
          <w:szCs w:val="28"/>
        </w:rPr>
      </w:pPr>
      <w:r w:rsidRPr="00186819">
        <w:rPr>
          <w:rFonts w:ascii="Times New Roman" w:hAnsi="Times New Roman" w:cs="Times New Roman"/>
          <w:sz w:val="28"/>
          <w:szCs w:val="28"/>
        </w:rPr>
        <w:t>L’arresto più recente</w:t>
      </w:r>
      <w:r w:rsidR="009511DB" w:rsidRPr="00186819">
        <w:rPr>
          <w:rStyle w:val="Rimandonotaapidipagina"/>
          <w:rFonts w:ascii="Times New Roman" w:hAnsi="Times New Roman" w:cs="Times New Roman"/>
          <w:sz w:val="28"/>
          <w:szCs w:val="28"/>
        </w:rPr>
        <w:footnoteReference w:id="7"/>
      </w:r>
      <w:r w:rsidRPr="00186819">
        <w:rPr>
          <w:rFonts w:ascii="Times New Roman" w:hAnsi="Times New Roman" w:cs="Times New Roman"/>
          <w:sz w:val="28"/>
          <w:szCs w:val="28"/>
        </w:rPr>
        <w:t xml:space="preserve"> deriva invece da una ordinanza con la quale il </w:t>
      </w:r>
      <w:r w:rsidR="00C123EE" w:rsidRPr="00186819">
        <w:rPr>
          <w:rFonts w:ascii="Times New Roman" w:hAnsi="Times New Roman" w:cs="Times New Roman"/>
          <w:sz w:val="28"/>
          <w:szCs w:val="28"/>
        </w:rPr>
        <w:t>TAR per il Lazio aveva sollevato dubbi di legittimità costituzionale su due gruppi di norme del Codice.</w:t>
      </w:r>
    </w:p>
    <w:p w14:paraId="7D3C98C0" w14:textId="63224F56" w:rsidR="00C123EE" w:rsidRPr="00186819" w:rsidRDefault="00C123EE" w:rsidP="00C123EE">
      <w:pPr>
        <w:jc w:val="both"/>
        <w:rPr>
          <w:rFonts w:ascii="Times New Roman" w:hAnsi="Times New Roman" w:cs="Times New Roman"/>
          <w:sz w:val="28"/>
          <w:szCs w:val="28"/>
        </w:rPr>
      </w:pPr>
      <w:r w:rsidRPr="00186819">
        <w:rPr>
          <w:rFonts w:ascii="Times New Roman" w:hAnsi="Times New Roman" w:cs="Times New Roman"/>
          <w:sz w:val="28"/>
          <w:szCs w:val="28"/>
        </w:rPr>
        <w:t xml:space="preserve">Il primo gruppo riguardava gli artt. 70, 68 e 65, comma 3, lett. a), del predetto </w:t>
      </w:r>
      <w:r w:rsidRPr="00186819">
        <w:rPr>
          <w:rFonts w:ascii="Times New Roman" w:hAnsi="Times New Roman" w:cs="Times New Roman"/>
          <w:i/>
          <w:iCs/>
          <w:sz w:val="28"/>
          <w:szCs w:val="28"/>
        </w:rPr>
        <w:t>corpus</w:t>
      </w:r>
      <w:r w:rsidRPr="00186819">
        <w:rPr>
          <w:rFonts w:ascii="Times New Roman" w:hAnsi="Times New Roman" w:cs="Times New Roman"/>
          <w:sz w:val="28"/>
          <w:szCs w:val="28"/>
        </w:rPr>
        <w:t xml:space="preserve"> normativo, concernenti l’acquisto coattivo dei beni </w:t>
      </w:r>
      <w:r w:rsidR="004F5A90" w:rsidRPr="00186819">
        <w:rPr>
          <w:rFonts w:ascii="Times New Roman" w:hAnsi="Times New Roman" w:cs="Times New Roman"/>
          <w:sz w:val="28"/>
          <w:szCs w:val="28"/>
        </w:rPr>
        <w:t>culturali</w:t>
      </w:r>
      <w:r w:rsidRPr="00186819">
        <w:rPr>
          <w:rFonts w:ascii="Times New Roman" w:hAnsi="Times New Roman" w:cs="Times New Roman"/>
          <w:sz w:val="28"/>
          <w:szCs w:val="28"/>
        </w:rPr>
        <w:t>.</w:t>
      </w:r>
    </w:p>
    <w:p w14:paraId="3932677C" w14:textId="005B3E0A" w:rsidR="00C123EE" w:rsidRPr="00186819" w:rsidRDefault="00C123EE" w:rsidP="00C123EE">
      <w:pPr>
        <w:jc w:val="both"/>
        <w:rPr>
          <w:rFonts w:ascii="Times New Roman" w:hAnsi="Times New Roman" w:cs="Times New Roman"/>
          <w:sz w:val="28"/>
          <w:szCs w:val="28"/>
        </w:rPr>
      </w:pPr>
      <w:r w:rsidRPr="00186819">
        <w:rPr>
          <w:rFonts w:ascii="Times New Roman" w:hAnsi="Times New Roman" w:cs="Times New Roman"/>
          <w:sz w:val="28"/>
          <w:szCs w:val="28"/>
        </w:rPr>
        <w:t>Nello specifico, l’art. 70 del Codice prevede che lo Stato p</w:t>
      </w:r>
      <w:r w:rsidR="004F5A90" w:rsidRPr="00186819">
        <w:rPr>
          <w:rFonts w:ascii="Times New Roman" w:hAnsi="Times New Roman" w:cs="Times New Roman"/>
          <w:sz w:val="28"/>
          <w:szCs w:val="28"/>
        </w:rPr>
        <w:t>ossa</w:t>
      </w:r>
      <w:r w:rsidRPr="00186819">
        <w:rPr>
          <w:rFonts w:ascii="Times New Roman" w:hAnsi="Times New Roman" w:cs="Times New Roman"/>
          <w:sz w:val="28"/>
          <w:szCs w:val="28"/>
        </w:rPr>
        <w:t xml:space="preserve"> acquistare coattivamente un bene culturale per il quale è chiesta l’esportazione, ma che il proprietario dello stesso p</w:t>
      </w:r>
      <w:r w:rsidR="004F5A90" w:rsidRPr="00186819">
        <w:rPr>
          <w:rFonts w:ascii="Times New Roman" w:hAnsi="Times New Roman" w:cs="Times New Roman"/>
          <w:sz w:val="28"/>
          <w:szCs w:val="28"/>
        </w:rPr>
        <w:t xml:space="preserve">ossa </w:t>
      </w:r>
      <w:r w:rsidRPr="00186819">
        <w:rPr>
          <w:rFonts w:ascii="Times New Roman" w:hAnsi="Times New Roman" w:cs="Times New Roman"/>
          <w:sz w:val="28"/>
          <w:szCs w:val="28"/>
        </w:rPr>
        <w:t>evitarlo rinunciando all’espatrio.</w:t>
      </w:r>
    </w:p>
    <w:p w14:paraId="0210A033" w14:textId="65C8D1C7" w:rsidR="00C123EE" w:rsidRPr="00186819" w:rsidRDefault="00C123EE" w:rsidP="00C123EE">
      <w:pPr>
        <w:jc w:val="both"/>
        <w:rPr>
          <w:rFonts w:ascii="Times New Roman" w:hAnsi="Times New Roman" w:cs="Times New Roman"/>
          <w:sz w:val="28"/>
          <w:szCs w:val="28"/>
        </w:rPr>
      </w:pPr>
      <w:r w:rsidRPr="00186819">
        <w:rPr>
          <w:rFonts w:ascii="Times New Roman" w:hAnsi="Times New Roman" w:cs="Times New Roman"/>
          <w:sz w:val="28"/>
          <w:szCs w:val="28"/>
        </w:rPr>
        <w:t>Tuttavia, per le opere di autore non vivente e realizzate da oltre 70 anni tale acquisto coattivo è possibile solo se il valore supera 13.500 €.</w:t>
      </w:r>
    </w:p>
    <w:p w14:paraId="52DE736E" w14:textId="6920EAA7" w:rsidR="00C123EE" w:rsidRPr="00186819" w:rsidRDefault="00C123EE" w:rsidP="00C123EE">
      <w:pPr>
        <w:jc w:val="both"/>
        <w:rPr>
          <w:rFonts w:ascii="Times New Roman" w:hAnsi="Times New Roman" w:cs="Times New Roman"/>
          <w:sz w:val="28"/>
          <w:szCs w:val="28"/>
        </w:rPr>
      </w:pPr>
      <w:r w:rsidRPr="00186819">
        <w:rPr>
          <w:rFonts w:ascii="Times New Roman" w:hAnsi="Times New Roman" w:cs="Times New Roman"/>
          <w:sz w:val="28"/>
          <w:szCs w:val="28"/>
        </w:rPr>
        <w:t>Da qui la questione in ordine alla ragionevolezza di tale soglia, al di sotto della quale l’acquisto coattivo è escluso.</w:t>
      </w:r>
    </w:p>
    <w:p w14:paraId="1B86B1C1" w14:textId="03D8091D" w:rsidR="004F5A90" w:rsidRPr="00186819" w:rsidRDefault="004F5A90" w:rsidP="00C123EE">
      <w:pPr>
        <w:jc w:val="both"/>
        <w:rPr>
          <w:rFonts w:ascii="Times New Roman" w:hAnsi="Times New Roman" w:cs="Times New Roman"/>
          <w:sz w:val="28"/>
          <w:szCs w:val="28"/>
        </w:rPr>
      </w:pPr>
      <w:r w:rsidRPr="00186819">
        <w:rPr>
          <w:rFonts w:ascii="Times New Roman" w:hAnsi="Times New Roman" w:cs="Times New Roman"/>
          <w:sz w:val="28"/>
          <w:szCs w:val="28"/>
        </w:rPr>
        <w:t>Il secondo gruppo si riferiva invece agli artt. 72 e 65, comma 3, lett. a), sempre del menzionato Codice, riguardanti la certificazione di ingresso temporaneo di beni culturali in Italia, ossia il documento che permette di presumere che un bene culturale sia stato acquistato all’estero e pertanto p</w:t>
      </w:r>
      <w:r w:rsidR="00BD0293">
        <w:rPr>
          <w:rFonts w:ascii="Times New Roman" w:hAnsi="Times New Roman" w:cs="Times New Roman"/>
          <w:sz w:val="28"/>
          <w:szCs w:val="28"/>
        </w:rPr>
        <w:t>uò rimanere indenne (a determinate condizioni) dalla maggior parte degli interventi tutori</w:t>
      </w:r>
      <w:r w:rsidRPr="00186819">
        <w:rPr>
          <w:rFonts w:ascii="Times New Roman" w:hAnsi="Times New Roman" w:cs="Times New Roman"/>
          <w:sz w:val="28"/>
          <w:szCs w:val="28"/>
        </w:rPr>
        <w:t>.</w:t>
      </w:r>
    </w:p>
    <w:p w14:paraId="7B4BC6B3" w14:textId="2F17292B" w:rsidR="00C123EE" w:rsidRPr="00186819" w:rsidRDefault="004F5A90" w:rsidP="00C123EE">
      <w:pPr>
        <w:jc w:val="both"/>
        <w:rPr>
          <w:rFonts w:ascii="Times New Roman" w:hAnsi="Times New Roman" w:cs="Times New Roman"/>
          <w:sz w:val="28"/>
          <w:szCs w:val="28"/>
        </w:rPr>
      </w:pPr>
      <w:r w:rsidRPr="00186819">
        <w:rPr>
          <w:rFonts w:ascii="Times New Roman" w:hAnsi="Times New Roman" w:cs="Times New Roman"/>
          <w:sz w:val="28"/>
          <w:szCs w:val="28"/>
        </w:rPr>
        <w:t>Al riguardo</w:t>
      </w:r>
      <w:r w:rsidR="00C123EE" w:rsidRPr="00186819">
        <w:rPr>
          <w:rFonts w:ascii="Times New Roman" w:hAnsi="Times New Roman" w:cs="Times New Roman"/>
          <w:sz w:val="28"/>
          <w:szCs w:val="28"/>
        </w:rPr>
        <w:t xml:space="preserve">, l’art. 72 del Codice </w:t>
      </w:r>
      <w:r w:rsidR="004523E7" w:rsidRPr="00186819">
        <w:rPr>
          <w:rFonts w:ascii="Times New Roman" w:hAnsi="Times New Roman" w:cs="Times New Roman"/>
          <w:sz w:val="28"/>
          <w:szCs w:val="28"/>
        </w:rPr>
        <w:t xml:space="preserve">prevede che la </w:t>
      </w:r>
      <w:r w:rsidRPr="00186819">
        <w:rPr>
          <w:rFonts w:ascii="Times New Roman" w:hAnsi="Times New Roman" w:cs="Times New Roman"/>
          <w:sz w:val="28"/>
          <w:szCs w:val="28"/>
        </w:rPr>
        <w:t xml:space="preserve">certificazione </w:t>
      </w:r>
      <w:r w:rsidR="00BD0293">
        <w:rPr>
          <w:rFonts w:ascii="Times New Roman" w:hAnsi="Times New Roman" w:cs="Times New Roman"/>
          <w:sz w:val="28"/>
          <w:szCs w:val="28"/>
        </w:rPr>
        <w:t xml:space="preserve">in parola </w:t>
      </w:r>
      <w:r w:rsidR="004523E7" w:rsidRPr="00186819">
        <w:rPr>
          <w:rFonts w:ascii="Times New Roman" w:hAnsi="Times New Roman" w:cs="Times New Roman"/>
          <w:sz w:val="28"/>
          <w:szCs w:val="28"/>
        </w:rPr>
        <w:t xml:space="preserve">possa essere ottenuta per i </w:t>
      </w:r>
      <w:r w:rsidR="00C123EE" w:rsidRPr="00186819">
        <w:rPr>
          <w:rFonts w:ascii="Times New Roman" w:hAnsi="Times New Roman" w:cs="Times New Roman"/>
          <w:sz w:val="28"/>
          <w:szCs w:val="28"/>
        </w:rPr>
        <w:t>beni temporaneamente importati</w:t>
      </w:r>
      <w:r w:rsidR="004523E7" w:rsidRPr="00186819">
        <w:rPr>
          <w:rFonts w:ascii="Times New Roman" w:hAnsi="Times New Roman" w:cs="Times New Roman"/>
          <w:sz w:val="28"/>
          <w:szCs w:val="28"/>
        </w:rPr>
        <w:t>,</w:t>
      </w:r>
      <w:r w:rsidR="00BD0293">
        <w:rPr>
          <w:rFonts w:ascii="Times New Roman" w:hAnsi="Times New Roman" w:cs="Times New Roman"/>
          <w:sz w:val="28"/>
          <w:szCs w:val="28"/>
        </w:rPr>
        <w:t xml:space="preserve"> </w:t>
      </w:r>
      <w:r w:rsidRPr="00186819">
        <w:rPr>
          <w:rFonts w:ascii="Times New Roman" w:hAnsi="Times New Roman" w:cs="Times New Roman"/>
          <w:sz w:val="28"/>
          <w:szCs w:val="28"/>
        </w:rPr>
        <w:t xml:space="preserve">ma </w:t>
      </w:r>
      <w:r w:rsidR="00BD0293" w:rsidRPr="00186819">
        <w:rPr>
          <w:rFonts w:ascii="Times New Roman" w:hAnsi="Times New Roman" w:cs="Times New Roman"/>
          <w:sz w:val="28"/>
          <w:szCs w:val="28"/>
        </w:rPr>
        <w:t>richiama</w:t>
      </w:r>
      <w:r w:rsidRPr="00186819">
        <w:rPr>
          <w:rFonts w:ascii="Times New Roman" w:hAnsi="Times New Roman" w:cs="Times New Roman"/>
          <w:sz w:val="28"/>
          <w:szCs w:val="28"/>
        </w:rPr>
        <w:t xml:space="preserve"> solo i</w:t>
      </w:r>
      <w:r w:rsidR="00C123EE" w:rsidRPr="00186819">
        <w:rPr>
          <w:rFonts w:ascii="Times New Roman" w:hAnsi="Times New Roman" w:cs="Times New Roman"/>
          <w:sz w:val="28"/>
          <w:szCs w:val="28"/>
        </w:rPr>
        <w:t xml:space="preserve"> beni </w:t>
      </w:r>
      <w:r w:rsidR="00F74E62" w:rsidRPr="00186819">
        <w:rPr>
          <w:rFonts w:ascii="Times New Roman" w:hAnsi="Times New Roman" w:cs="Times New Roman"/>
          <w:sz w:val="28"/>
          <w:szCs w:val="28"/>
        </w:rPr>
        <w:t>di valore superiore a</w:t>
      </w:r>
      <w:r w:rsidR="00C123EE" w:rsidRPr="00186819">
        <w:rPr>
          <w:rFonts w:ascii="Times New Roman" w:hAnsi="Times New Roman" w:cs="Times New Roman"/>
          <w:sz w:val="28"/>
          <w:szCs w:val="28"/>
        </w:rPr>
        <w:t xml:space="preserve"> 13.500 €.</w:t>
      </w:r>
    </w:p>
    <w:p w14:paraId="02A20C96" w14:textId="749FF063" w:rsidR="004523E7" w:rsidRPr="00186819" w:rsidRDefault="004523E7" w:rsidP="00C123EE">
      <w:pPr>
        <w:jc w:val="both"/>
        <w:rPr>
          <w:rFonts w:ascii="Times New Roman" w:hAnsi="Times New Roman" w:cs="Times New Roman"/>
          <w:sz w:val="28"/>
          <w:szCs w:val="28"/>
        </w:rPr>
      </w:pPr>
      <w:r w:rsidRPr="00186819">
        <w:rPr>
          <w:rFonts w:ascii="Times New Roman" w:hAnsi="Times New Roman" w:cs="Times New Roman"/>
          <w:sz w:val="28"/>
          <w:szCs w:val="28"/>
        </w:rPr>
        <w:t xml:space="preserve">Da qui la questione in ordine alla ragionevolezza di tale soglia, considerando che i </w:t>
      </w:r>
      <w:r w:rsidR="00C123EE" w:rsidRPr="00186819">
        <w:rPr>
          <w:rFonts w:ascii="Times New Roman" w:hAnsi="Times New Roman" w:cs="Times New Roman"/>
          <w:sz w:val="28"/>
          <w:szCs w:val="28"/>
        </w:rPr>
        <w:t xml:space="preserve">beni </w:t>
      </w:r>
      <w:r w:rsidRPr="00186819">
        <w:rPr>
          <w:rFonts w:ascii="Times New Roman" w:hAnsi="Times New Roman" w:cs="Times New Roman"/>
          <w:sz w:val="28"/>
          <w:szCs w:val="28"/>
        </w:rPr>
        <w:t xml:space="preserve">al di sotto di essa </w:t>
      </w:r>
      <w:r w:rsidR="00C123EE" w:rsidRPr="00186819">
        <w:rPr>
          <w:rFonts w:ascii="Times New Roman" w:hAnsi="Times New Roman" w:cs="Times New Roman"/>
          <w:sz w:val="28"/>
          <w:szCs w:val="28"/>
        </w:rPr>
        <w:t>non possono ottenere il certificato</w:t>
      </w:r>
      <w:r w:rsidRPr="00186819">
        <w:rPr>
          <w:rFonts w:ascii="Times New Roman" w:hAnsi="Times New Roman" w:cs="Times New Roman"/>
          <w:sz w:val="28"/>
          <w:szCs w:val="28"/>
        </w:rPr>
        <w:t xml:space="preserve"> e pertanto non possono beneficiare del regime agevolato di esportazione</w:t>
      </w:r>
      <w:r w:rsidR="00C123EE" w:rsidRPr="00186819">
        <w:rPr>
          <w:rFonts w:ascii="Times New Roman" w:hAnsi="Times New Roman" w:cs="Times New Roman"/>
          <w:sz w:val="28"/>
          <w:szCs w:val="28"/>
        </w:rPr>
        <w:t>.</w:t>
      </w:r>
    </w:p>
    <w:p w14:paraId="4593291C" w14:textId="5848B0CB" w:rsidR="00C123EE" w:rsidRPr="00186819" w:rsidRDefault="004523E7" w:rsidP="00C123EE">
      <w:pPr>
        <w:jc w:val="both"/>
        <w:rPr>
          <w:rFonts w:ascii="Times New Roman" w:hAnsi="Times New Roman" w:cs="Times New Roman"/>
          <w:sz w:val="28"/>
          <w:szCs w:val="28"/>
        </w:rPr>
      </w:pPr>
      <w:r w:rsidRPr="00186819">
        <w:rPr>
          <w:rFonts w:ascii="Times New Roman" w:hAnsi="Times New Roman" w:cs="Times New Roman"/>
          <w:sz w:val="28"/>
          <w:szCs w:val="28"/>
        </w:rPr>
        <w:t>Il c</w:t>
      </w:r>
      <w:r w:rsidR="00C123EE" w:rsidRPr="00186819">
        <w:rPr>
          <w:rFonts w:ascii="Times New Roman" w:hAnsi="Times New Roman" w:cs="Times New Roman"/>
          <w:sz w:val="28"/>
          <w:szCs w:val="28"/>
        </w:rPr>
        <w:t xml:space="preserve">aso </w:t>
      </w:r>
      <w:r w:rsidRPr="00186819">
        <w:rPr>
          <w:rFonts w:ascii="Times New Roman" w:hAnsi="Times New Roman" w:cs="Times New Roman"/>
          <w:sz w:val="28"/>
          <w:szCs w:val="28"/>
        </w:rPr>
        <w:t>riguardava un d</w:t>
      </w:r>
      <w:r w:rsidR="00C123EE" w:rsidRPr="00186819">
        <w:rPr>
          <w:rFonts w:ascii="Times New Roman" w:hAnsi="Times New Roman" w:cs="Times New Roman"/>
          <w:sz w:val="28"/>
          <w:szCs w:val="28"/>
        </w:rPr>
        <w:t xml:space="preserve">ipinto </w:t>
      </w:r>
      <w:r w:rsidR="003407CD" w:rsidRPr="00186819">
        <w:rPr>
          <w:rFonts w:ascii="Times New Roman" w:hAnsi="Times New Roman" w:cs="Times New Roman"/>
          <w:sz w:val="28"/>
          <w:szCs w:val="28"/>
        </w:rPr>
        <w:t>realizzato da Francesco Trevisani, risalente al XVIII sec., noto come “</w:t>
      </w:r>
      <w:r w:rsidR="003407CD" w:rsidRPr="00186819">
        <w:rPr>
          <w:rFonts w:ascii="Times New Roman" w:hAnsi="Times New Roman" w:cs="Times New Roman"/>
          <w:i/>
          <w:iCs/>
          <w:sz w:val="28"/>
          <w:szCs w:val="28"/>
        </w:rPr>
        <w:t>Ritratto di Claudio Francesco Beaumont</w:t>
      </w:r>
      <w:r w:rsidR="003407CD" w:rsidRPr="00186819">
        <w:rPr>
          <w:rFonts w:ascii="Times New Roman" w:hAnsi="Times New Roman" w:cs="Times New Roman"/>
          <w:sz w:val="28"/>
          <w:szCs w:val="28"/>
        </w:rPr>
        <w:t>”,</w:t>
      </w:r>
      <w:r w:rsidRPr="00186819">
        <w:rPr>
          <w:rFonts w:ascii="Times New Roman" w:hAnsi="Times New Roman" w:cs="Times New Roman"/>
          <w:sz w:val="28"/>
          <w:szCs w:val="28"/>
        </w:rPr>
        <w:t xml:space="preserve"> del valore di ci</w:t>
      </w:r>
      <w:r w:rsidR="00C123EE" w:rsidRPr="00186819">
        <w:rPr>
          <w:rFonts w:ascii="Times New Roman" w:hAnsi="Times New Roman" w:cs="Times New Roman"/>
          <w:sz w:val="28"/>
          <w:szCs w:val="28"/>
        </w:rPr>
        <w:t>rca 11.000 €</w:t>
      </w:r>
      <w:r w:rsidR="003407CD" w:rsidRPr="00186819">
        <w:rPr>
          <w:rFonts w:ascii="Times New Roman" w:hAnsi="Times New Roman" w:cs="Times New Roman"/>
          <w:sz w:val="28"/>
          <w:szCs w:val="28"/>
        </w:rPr>
        <w:t>,</w:t>
      </w:r>
      <w:r w:rsidR="006D10C8" w:rsidRPr="00186819">
        <w:rPr>
          <w:rFonts w:ascii="Times New Roman" w:hAnsi="Times New Roman" w:cs="Times New Roman"/>
          <w:sz w:val="28"/>
          <w:szCs w:val="28"/>
        </w:rPr>
        <w:t xml:space="preserve"> </w:t>
      </w:r>
      <w:r w:rsidRPr="00186819">
        <w:rPr>
          <w:rFonts w:ascii="Times New Roman" w:hAnsi="Times New Roman" w:cs="Times New Roman"/>
          <w:sz w:val="28"/>
          <w:szCs w:val="28"/>
        </w:rPr>
        <w:t>per il quale era stato disposto dall’Amministrazione l</w:t>
      </w:r>
      <w:r w:rsidR="00C123EE" w:rsidRPr="00186819">
        <w:rPr>
          <w:rFonts w:ascii="Times New Roman" w:hAnsi="Times New Roman" w:cs="Times New Roman"/>
          <w:sz w:val="28"/>
          <w:szCs w:val="28"/>
        </w:rPr>
        <w:t>’acquisto coattivo</w:t>
      </w:r>
      <w:r w:rsidRPr="00186819">
        <w:rPr>
          <w:rFonts w:ascii="Times New Roman" w:hAnsi="Times New Roman" w:cs="Times New Roman"/>
          <w:sz w:val="28"/>
          <w:szCs w:val="28"/>
        </w:rPr>
        <w:t>, nonostante fosse di valore inferiore al</w:t>
      </w:r>
      <w:r w:rsidR="006D10C8" w:rsidRPr="00186819">
        <w:rPr>
          <w:rFonts w:ascii="Times New Roman" w:hAnsi="Times New Roman" w:cs="Times New Roman"/>
          <w:sz w:val="28"/>
          <w:szCs w:val="28"/>
        </w:rPr>
        <w:t xml:space="preserve">la </w:t>
      </w:r>
      <w:r w:rsidRPr="00186819">
        <w:rPr>
          <w:rFonts w:ascii="Times New Roman" w:hAnsi="Times New Roman" w:cs="Times New Roman"/>
          <w:sz w:val="28"/>
          <w:szCs w:val="28"/>
        </w:rPr>
        <w:t>pertinente</w:t>
      </w:r>
      <w:r w:rsidR="006D10C8" w:rsidRPr="00186819">
        <w:rPr>
          <w:rFonts w:ascii="Times New Roman" w:hAnsi="Times New Roman" w:cs="Times New Roman"/>
          <w:sz w:val="28"/>
          <w:szCs w:val="28"/>
        </w:rPr>
        <w:t xml:space="preserve"> soglia e n</w:t>
      </w:r>
      <w:r w:rsidRPr="00186819">
        <w:rPr>
          <w:rFonts w:ascii="Times New Roman" w:hAnsi="Times New Roman" w:cs="Times New Roman"/>
          <w:sz w:val="28"/>
          <w:szCs w:val="28"/>
        </w:rPr>
        <w:t xml:space="preserve">onostante il fatto che non era stato possibile </w:t>
      </w:r>
      <w:r w:rsidR="00C123EE" w:rsidRPr="00186819">
        <w:rPr>
          <w:rFonts w:ascii="Times New Roman" w:hAnsi="Times New Roman" w:cs="Times New Roman"/>
          <w:sz w:val="28"/>
          <w:szCs w:val="28"/>
        </w:rPr>
        <w:t xml:space="preserve">ottenere </w:t>
      </w:r>
      <w:r w:rsidRPr="00186819">
        <w:rPr>
          <w:rFonts w:ascii="Times New Roman" w:hAnsi="Times New Roman" w:cs="Times New Roman"/>
          <w:sz w:val="28"/>
          <w:szCs w:val="28"/>
        </w:rPr>
        <w:t xml:space="preserve">la </w:t>
      </w:r>
      <w:r w:rsidR="00C123EE" w:rsidRPr="00186819">
        <w:rPr>
          <w:rFonts w:ascii="Times New Roman" w:hAnsi="Times New Roman" w:cs="Times New Roman"/>
          <w:sz w:val="28"/>
          <w:szCs w:val="28"/>
        </w:rPr>
        <w:t>certificazione di ingresso</w:t>
      </w:r>
      <w:r w:rsidRPr="00186819">
        <w:rPr>
          <w:rFonts w:ascii="Times New Roman" w:hAnsi="Times New Roman" w:cs="Times New Roman"/>
          <w:sz w:val="28"/>
          <w:szCs w:val="28"/>
        </w:rPr>
        <w:t xml:space="preserve"> e pertanto </w:t>
      </w:r>
      <w:r w:rsidR="006D10C8" w:rsidRPr="00186819">
        <w:rPr>
          <w:rFonts w:ascii="Times New Roman" w:hAnsi="Times New Roman" w:cs="Times New Roman"/>
          <w:sz w:val="28"/>
          <w:szCs w:val="28"/>
        </w:rPr>
        <w:t xml:space="preserve">non </w:t>
      </w:r>
      <w:r w:rsidR="00F74E62" w:rsidRPr="00186819">
        <w:rPr>
          <w:rFonts w:ascii="Times New Roman" w:hAnsi="Times New Roman" w:cs="Times New Roman"/>
          <w:sz w:val="28"/>
          <w:szCs w:val="28"/>
        </w:rPr>
        <w:t>risultava invocabile l</w:t>
      </w:r>
      <w:r w:rsidRPr="00186819">
        <w:rPr>
          <w:rFonts w:ascii="Times New Roman" w:hAnsi="Times New Roman" w:cs="Times New Roman"/>
          <w:sz w:val="28"/>
          <w:szCs w:val="28"/>
        </w:rPr>
        <w:t>o “scudo” di cui all’art. 72 del Codice.</w:t>
      </w:r>
    </w:p>
    <w:p w14:paraId="0FE88F68" w14:textId="77777777" w:rsidR="00DF761C" w:rsidRPr="00186819" w:rsidRDefault="00DF761C" w:rsidP="00DF761C">
      <w:pPr>
        <w:jc w:val="both"/>
        <w:rPr>
          <w:rFonts w:ascii="Times New Roman" w:hAnsi="Times New Roman" w:cs="Times New Roman"/>
          <w:sz w:val="28"/>
          <w:szCs w:val="28"/>
        </w:rPr>
      </w:pPr>
      <w:r w:rsidRPr="00186819">
        <w:rPr>
          <w:rFonts w:ascii="Times New Roman" w:hAnsi="Times New Roman" w:cs="Times New Roman"/>
          <w:sz w:val="28"/>
          <w:szCs w:val="28"/>
        </w:rPr>
        <w:lastRenderedPageBreak/>
        <w:t>Le censure si basavano su vari parametri costituzionali (artt. 2, 3, 9, 41, 42, 97 Cost.).</w:t>
      </w:r>
    </w:p>
    <w:p w14:paraId="361CF4D0" w14:textId="49132C84" w:rsidR="00DF761C" w:rsidRPr="00186819" w:rsidRDefault="00DF761C" w:rsidP="004F5A90">
      <w:pPr>
        <w:pStyle w:val="Paragrafoelenco"/>
        <w:numPr>
          <w:ilvl w:val="1"/>
          <w:numId w:val="6"/>
        </w:numPr>
        <w:jc w:val="both"/>
        <w:rPr>
          <w:rFonts w:ascii="Times New Roman" w:hAnsi="Times New Roman" w:cs="Times New Roman"/>
          <w:b/>
          <w:bCs/>
          <w:i/>
          <w:iCs/>
          <w:sz w:val="28"/>
          <w:szCs w:val="28"/>
        </w:rPr>
      </w:pPr>
      <w:r w:rsidRPr="00186819">
        <w:rPr>
          <w:rFonts w:ascii="Times New Roman" w:hAnsi="Times New Roman" w:cs="Times New Roman"/>
          <w:b/>
          <w:bCs/>
          <w:i/>
          <w:iCs/>
          <w:sz w:val="28"/>
          <w:szCs w:val="28"/>
        </w:rPr>
        <w:t>La sentenza della Consulta</w:t>
      </w:r>
      <w:r w:rsidR="00964725" w:rsidRPr="00186819">
        <w:rPr>
          <w:rFonts w:ascii="Times New Roman" w:hAnsi="Times New Roman" w:cs="Times New Roman"/>
          <w:b/>
          <w:bCs/>
          <w:i/>
          <w:iCs/>
          <w:sz w:val="28"/>
          <w:szCs w:val="28"/>
        </w:rPr>
        <w:t>: le statuizioni preliminari</w:t>
      </w:r>
      <w:r w:rsidRPr="00186819">
        <w:rPr>
          <w:rFonts w:ascii="Times New Roman" w:hAnsi="Times New Roman" w:cs="Times New Roman"/>
          <w:b/>
          <w:bCs/>
          <w:i/>
          <w:iCs/>
          <w:sz w:val="28"/>
          <w:szCs w:val="28"/>
        </w:rPr>
        <w:t>.</w:t>
      </w:r>
    </w:p>
    <w:p w14:paraId="399CFA3A" w14:textId="6B1D1360" w:rsidR="00C123EE" w:rsidRPr="00186819" w:rsidRDefault="004523E7" w:rsidP="00C123EE">
      <w:pPr>
        <w:jc w:val="both"/>
        <w:rPr>
          <w:rFonts w:ascii="Times New Roman" w:hAnsi="Times New Roman" w:cs="Times New Roman"/>
          <w:sz w:val="28"/>
          <w:szCs w:val="28"/>
        </w:rPr>
      </w:pPr>
      <w:r w:rsidRPr="00186819">
        <w:rPr>
          <w:rFonts w:ascii="Times New Roman" w:hAnsi="Times New Roman" w:cs="Times New Roman"/>
          <w:sz w:val="28"/>
          <w:szCs w:val="28"/>
        </w:rPr>
        <w:t>Prima di affrontare le q</w:t>
      </w:r>
      <w:r w:rsidR="00C123EE" w:rsidRPr="00186819">
        <w:rPr>
          <w:rFonts w:ascii="Times New Roman" w:hAnsi="Times New Roman" w:cs="Times New Roman"/>
          <w:sz w:val="28"/>
          <w:szCs w:val="28"/>
        </w:rPr>
        <w:t xml:space="preserve">uestioni </w:t>
      </w:r>
      <w:r w:rsidRPr="00186819">
        <w:rPr>
          <w:rFonts w:ascii="Times New Roman" w:hAnsi="Times New Roman" w:cs="Times New Roman"/>
          <w:sz w:val="28"/>
          <w:szCs w:val="28"/>
        </w:rPr>
        <w:t xml:space="preserve">poste </w:t>
      </w:r>
      <w:r w:rsidR="003407CD" w:rsidRPr="00186819">
        <w:rPr>
          <w:rFonts w:ascii="Times New Roman" w:hAnsi="Times New Roman" w:cs="Times New Roman"/>
          <w:sz w:val="28"/>
          <w:szCs w:val="28"/>
        </w:rPr>
        <w:t xml:space="preserve">dal giudice </w:t>
      </w:r>
      <w:r w:rsidR="003407CD" w:rsidRPr="00186819">
        <w:rPr>
          <w:rFonts w:ascii="Times New Roman" w:hAnsi="Times New Roman" w:cs="Times New Roman"/>
          <w:i/>
          <w:iCs/>
          <w:sz w:val="28"/>
          <w:szCs w:val="28"/>
        </w:rPr>
        <w:t>a quo</w:t>
      </w:r>
      <w:r w:rsidR="00DB5981" w:rsidRPr="00186819">
        <w:rPr>
          <w:rFonts w:ascii="Times New Roman" w:hAnsi="Times New Roman" w:cs="Times New Roman"/>
          <w:i/>
          <w:iCs/>
          <w:sz w:val="28"/>
          <w:szCs w:val="28"/>
        </w:rPr>
        <w:t>,</w:t>
      </w:r>
      <w:r w:rsidR="003407CD"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la Corte risolve alcune eccezioni </w:t>
      </w:r>
      <w:r w:rsidR="00C123EE" w:rsidRPr="00186819">
        <w:rPr>
          <w:rFonts w:ascii="Times New Roman" w:hAnsi="Times New Roman" w:cs="Times New Roman"/>
          <w:sz w:val="28"/>
          <w:szCs w:val="28"/>
        </w:rPr>
        <w:t>preliminari</w:t>
      </w:r>
      <w:r w:rsidR="003407CD" w:rsidRPr="00186819">
        <w:rPr>
          <w:rFonts w:ascii="Times New Roman" w:hAnsi="Times New Roman" w:cs="Times New Roman"/>
          <w:sz w:val="28"/>
          <w:szCs w:val="28"/>
        </w:rPr>
        <w:t xml:space="preserve"> che di seguito in parte si ricordano per quanto qui di interesse</w:t>
      </w:r>
      <w:r w:rsidRPr="00186819">
        <w:rPr>
          <w:rFonts w:ascii="Times New Roman" w:hAnsi="Times New Roman" w:cs="Times New Roman"/>
          <w:sz w:val="28"/>
          <w:szCs w:val="28"/>
        </w:rPr>
        <w:t xml:space="preserve">. </w:t>
      </w:r>
    </w:p>
    <w:p w14:paraId="07B009C4" w14:textId="6980C309" w:rsidR="006D10C8" w:rsidRPr="00186819" w:rsidRDefault="004523E7" w:rsidP="00C123EE">
      <w:pPr>
        <w:jc w:val="both"/>
        <w:rPr>
          <w:rFonts w:ascii="Times New Roman" w:hAnsi="Times New Roman" w:cs="Times New Roman"/>
          <w:sz w:val="28"/>
          <w:szCs w:val="28"/>
        </w:rPr>
      </w:pPr>
      <w:r w:rsidRPr="00186819">
        <w:rPr>
          <w:rFonts w:ascii="Times New Roman" w:hAnsi="Times New Roman" w:cs="Times New Roman"/>
          <w:sz w:val="28"/>
          <w:szCs w:val="28"/>
        </w:rPr>
        <w:t>In primo luogo, veniva prospettato che</w:t>
      </w:r>
      <w:r w:rsidR="001D57C2" w:rsidRPr="00186819">
        <w:rPr>
          <w:rFonts w:ascii="Times New Roman" w:hAnsi="Times New Roman" w:cs="Times New Roman"/>
          <w:sz w:val="28"/>
          <w:szCs w:val="28"/>
        </w:rPr>
        <w:t>,</w:t>
      </w:r>
      <w:r w:rsidRPr="00186819">
        <w:rPr>
          <w:rFonts w:ascii="Times New Roman" w:hAnsi="Times New Roman" w:cs="Times New Roman"/>
          <w:sz w:val="28"/>
          <w:szCs w:val="28"/>
        </w:rPr>
        <w:t xml:space="preserve"> successivamente alla proposizione delle questioni</w:t>
      </w:r>
      <w:r w:rsidR="001D57C2" w:rsidRPr="00186819">
        <w:rPr>
          <w:rFonts w:ascii="Times New Roman" w:hAnsi="Times New Roman" w:cs="Times New Roman"/>
          <w:sz w:val="28"/>
          <w:szCs w:val="28"/>
        </w:rPr>
        <w:t>,</w:t>
      </w:r>
      <w:r w:rsidRPr="00186819">
        <w:rPr>
          <w:rFonts w:ascii="Times New Roman" w:hAnsi="Times New Roman" w:cs="Times New Roman"/>
          <w:sz w:val="28"/>
          <w:szCs w:val="28"/>
        </w:rPr>
        <w:t xml:space="preserve"> il provvedimento impugnato</w:t>
      </w:r>
      <w:r w:rsidR="003407CD"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era stato </w:t>
      </w:r>
      <w:r w:rsidR="00C123EE" w:rsidRPr="00186819">
        <w:rPr>
          <w:rFonts w:ascii="Times New Roman" w:hAnsi="Times New Roman" w:cs="Times New Roman"/>
          <w:sz w:val="28"/>
          <w:szCs w:val="28"/>
        </w:rPr>
        <w:t>annulla</w:t>
      </w:r>
      <w:r w:rsidRPr="00186819">
        <w:rPr>
          <w:rFonts w:ascii="Times New Roman" w:hAnsi="Times New Roman" w:cs="Times New Roman"/>
          <w:sz w:val="28"/>
          <w:szCs w:val="28"/>
        </w:rPr>
        <w:t>to in autotutela</w:t>
      </w:r>
      <w:r w:rsidR="006D10C8" w:rsidRPr="00186819">
        <w:rPr>
          <w:rFonts w:ascii="Times New Roman" w:hAnsi="Times New Roman" w:cs="Times New Roman"/>
          <w:sz w:val="28"/>
          <w:szCs w:val="28"/>
        </w:rPr>
        <w:t xml:space="preserve">. Da ciò </w:t>
      </w:r>
      <w:r w:rsidRPr="00186819">
        <w:rPr>
          <w:rFonts w:ascii="Times New Roman" w:hAnsi="Times New Roman" w:cs="Times New Roman"/>
          <w:sz w:val="28"/>
          <w:szCs w:val="28"/>
        </w:rPr>
        <w:t>l’Amministrazione deduceva</w:t>
      </w:r>
      <w:r w:rsidR="001D57C2" w:rsidRPr="00186819">
        <w:rPr>
          <w:rFonts w:ascii="Times New Roman" w:hAnsi="Times New Roman" w:cs="Times New Roman"/>
          <w:sz w:val="28"/>
          <w:szCs w:val="28"/>
        </w:rPr>
        <w:t xml:space="preserve"> la manifesta inammissibilità o improcedibilità del giudizio per sopra</w:t>
      </w:r>
      <w:r w:rsidR="002B099A">
        <w:rPr>
          <w:rFonts w:ascii="Times New Roman" w:hAnsi="Times New Roman" w:cs="Times New Roman"/>
          <w:sz w:val="28"/>
          <w:szCs w:val="28"/>
        </w:rPr>
        <w:t>vvenut</w:t>
      </w:r>
      <w:r w:rsidR="001D57C2" w:rsidRPr="00186819">
        <w:rPr>
          <w:rFonts w:ascii="Times New Roman" w:hAnsi="Times New Roman" w:cs="Times New Roman"/>
          <w:sz w:val="28"/>
          <w:szCs w:val="28"/>
        </w:rPr>
        <w:t>o difetto di rilevanza</w:t>
      </w:r>
      <w:r w:rsidRPr="00186819">
        <w:rPr>
          <w:rFonts w:ascii="Times New Roman" w:hAnsi="Times New Roman" w:cs="Times New Roman"/>
          <w:sz w:val="28"/>
          <w:szCs w:val="28"/>
        </w:rPr>
        <w:t>.</w:t>
      </w:r>
    </w:p>
    <w:p w14:paraId="70264B5C" w14:textId="4278FB36" w:rsidR="001D57C2" w:rsidRPr="00186819" w:rsidRDefault="001D57C2" w:rsidP="00C123EE">
      <w:pPr>
        <w:jc w:val="both"/>
        <w:rPr>
          <w:rFonts w:ascii="Times New Roman" w:hAnsi="Times New Roman" w:cs="Times New Roman"/>
          <w:sz w:val="28"/>
          <w:szCs w:val="28"/>
        </w:rPr>
      </w:pPr>
      <w:r w:rsidRPr="00186819">
        <w:rPr>
          <w:rFonts w:ascii="Times New Roman" w:hAnsi="Times New Roman" w:cs="Times New Roman"/>
          <w:sz w:val="28"/>
          <w:szCs w:val="28"/>
        </w:rPr>
        <w:t>Al riguardo</w:t>
      </w:r>
      <w:r w:rsidR="003407CD" w:rsidRPr="00186819">
        <w:rPr>
          <w:rFonts w:ascii="Times New Roman" w:hAnsi="Times New Roman" w:cs="Times New Roman"/>
          <w:sz w:val="28"/>
          <w:szCs w:val="28"/>
        </w:rPr>
        <w:t>,</w:t>
      </w:r>
      <w:r w:rsidRPr="00186819">
        <w:rPr>
          <w:rFonts w:ascii="Times New Roman" w:hAnsi="Times New Roman" w:cs="Times New Roman"/>
          <w:sz w:val="28"/>
          <w:szCs w:val="28"/>
        </w:rPr>
        <w:t xml:space="preserve"> la Corte ha ritenuto che l</w:t>
      </w:r>
      <w:r w:rsidR="00C123EE" w:rsidRPr="00186819">
        <w:rPr>
          <w:rFonts w:ascii="Times New Roman" w:hAnsi="Times New Roman" w:cs="Times New Roman"/>
          <w:sz w:val="28"/>
          <w:szCs w:val="28"/>
        </w:rPr>
        <w:t>’annullamento dell’atto da parte del Ministero</w:t>
      </w:r>
      <w:r w:rsidRPr="00186819">
        <w:rPr>
          <w:rFonts w:ascii="Times New Roman" w:hAnsi="Times New Roman" w:cs="Times New Roman"/>
          <w:sz w:val="28"/>
          <w:szCs w:val="28"/>
        </w:rPr>
        <w:t xml:space="preserve">, </w:t>
      </w:r>
      <w:r w:rsidR="000A4103">
        <w:rPr>
          <w:rFonts w:ascii="Times New Roman" w:hAnsi="Times New Roman" w:cs="Times New Roman"/>
          <w:sz w:val="28"/>
          <w:szCs w:val="28"/>
        </w:rPr>
        <w:t xml:space="preserve">risultando </w:t>
      </w:r>
      <w:r w:rsidRPr="00186819">
        <w:rPr>
          <w:rFonts w:ascii="Times New Roman" w:hAnsi="Times New Roman" w:cs="Times New Roman"/>
          <w:sz w:val="28"/>
          <w:szCs w:val="28"/>
        </w:rPr>
        <w:t>successivo all’ordinanza di rimessione, n</w:t>
      </w:r>
      <w:r w:rsidR="00C123EE" w:rsidRPr="00186819">
        <w:rPr>
          <w:rFonts w:ascii="Times New Roman" w:hAnsi="Times New Roman" w:cs="Times New Roman"/>
          <w:sz w:val="28"/>
          <w:szCs w:val="28"/>
        </w:rPr>
        <w:t>on incide</w:t>
      </w:r>
      <w:r w:rsidR="009511DB" w:rsidRPr="00186819">
        <w:rPr>
          <w:rFonts w:ascii="Times New Roman" w:hAnsi="Times New Roman" w:cs="Times New Roman"/>
          <w:sz w:val="28"/>
          <w:szCs w:val="28"/>
        </w:rPr>
        <w:t>sse</w:t>
      </w:r>
      <w:r w:rsidR="00C123EE" w:rsidRPr="00186819">
        <w:rPr>
          <w:rFonts w:ascii="Times New Roman" w:hAnsi="Times New Roman" w:cs="Times New Roman"/>
          <w:sz w:val="28"/>
          <w:szCs w:val="28"/>
        </w:rPr>
        <w:t xml:space="preserve"> sulla rilevanza</w:t>
      </w:r>
      <w:r w:rsidRPr="00186819">
        <w:rPr>
          <w:rFonts w:ascii="Times New Roman" w:hAnsi="Times New Roman" w:cs="Times New Roman"/>
          <w:sz w:val="28"/>
          <w:szCs w:val="28"/>
        </w:rPr>
        <w:t xml:space="preserve"> delle questioni, da</w:t>
      </w:r>
      <w:r w:rsidR="006D10C8" w:rsidRPr="00186819">
        <w:rPr>
          <w:rFonts w:ascii="Times New Roman" w:hAnsi="Times New Roman" w:cs="Times New Roman"/>
          <w:sz w:val="28"/>
          <w:szCs w:val="28"/>
        </w:rPr>
        <w:t>l</w:t>
      </w:r>
      <w:r w:rsidRPr="00186819">
        <w:rPr>
          <w:rFonts w:ascii="Times New Roman" w:hAnsi="Times New Roman" w:cs="Times New Roman"/>
          <w:sz w:val="28"/>
          <w:szCs w:val="28"/>
        </w:rPr>
        <w:t xml:space="preserve"> momento che l’art. 21 delle Norme integrative per i giudizi davanti alla Corte costituzionale </w:t>
      </w:r>
      <w:r w:rsidR="003407CD" w:rsidRPr="00186819">
        <w:rPr>
          <w:rFonts w:ascii="Times New Roman" w:hAnsi="Times New Roman" w:cs="Times New Roman"/>
          <w:sz w:val="28"/>
          <w:szCs w:val="28"/>
        </w:rPr>
        <w:t>prevede l’</w:t>
      </w:r>
      <w:r w:rsidRPr="00186819">
        <w:rPr>
          <w:rFonts w:ascii="Times New Roman" w:hAnsi="Times New Roman" w:cs="Times New Roman"/>
          <w:sz w:val="28"/>
          <w:szCs w:val="28"/>
        </w:rPr>
        <w:t>autonomia del giudizio incidentale di costituzionalità rispetto alle vicende del giudizio principale successive all’atto propulsivo (</w:t>
      </w:r>
      <w:r w:rsidRPr="00186819">
        <w:rPr>
          <w:rFonts w:ascii="Times New Roman" w:hAnsi="Times New Roman" w:cs="Times New Roman"/>
          <w:i/>
          <w:iCs/>
          <w:sz w:val="28"/>
          <w:szCs w:val="28"/>
        </w:rPr>
        <w:t>i.a.</w:t>
      </w:r>
      <w:r w:rsidRPr="00186819">
        <w:rPr>
          <w:rFonts w:ascii="Times New Roman" w:hAnsi="Times New Roman" w:cs="Times New Roman"/>
          <w:sz w:val="28"/>
          <w:szCs w:val="28"/>
        </w:rPr>
        <w:t xml:space="preserve"> sentenze n. 190 del 2025, n. 120 del 2024 e n. 33 del 2022)</w:t>
      </w:r>
      <w:r w:rsidR="00C123EE" w:rsidRPr="00186819">
        <w:rPr>
          <w:rFonts w:ascii="Times New Roman" w:hAnsi="Times New Roman" w:cs="Times New Roman"/>
          <w:sz w:val="28"/>
          <w:szCs w:val="28"/>
        </w:rPr>
        <w:t>.</w:t>
      </w:r>
    </w:p>
    <w:p w14:paraId="2730750D" w14:textId="77777777" w:rsidR="003407CD" w:rsidRPr="00186819" w:rsidRDefault="001D57C2" w:rsidP="001D57C2">
      <w:pPr>
        <w:jc w:val="both"/>
        <w:rPr>
          <w:rFonts w:ascii="Times New Roman" w:hAnsi="Times New Roman" w:cs="Times New Roman"/>
          <w:sz w:val="28"/>
          <w:szCs w:val="28"/>
        </w:rPr>
      </w:pPr>
      <w:r w:rsidRPr="00186819">
        <w:rPr>
          <w:rFonts w:ascii="Times New Roman" w:hAnsi="Times New Roman" w:cs="Times New Roman"/>
          <w:sz w:val="28"/>
          <w:szCs w:val="28"/>
        </w:rPr>
        <w:t xml:space="preserve">In secondo luogo, la Corte ritiene inammissibili, </w:t>
      </w:r>
      <w:r w:rsidR="00C123EE" w:rsidRPr="00186819">
        <w:rPr>
          <w:rFonts w:ascii="Times New Roman" w:hAnsi="Times New Roman" w:cs="Times New Roman"/>
          <w:sz w:val="28"/>
          <w:szCs w:val="28"/>
        </w:rPr>
        <w:t>per motivazione insufficiente</w:t>
      </w:r>
      <w:r w:rsidRPr="00186819">
        <w:rPr>
          <w:rFonts w:ascii="Times New Roman" w:hAnsi="Times New Roman" w:cs="Times New Roman"/>
          <w:sz w:val="28"/>
          <w:szCs w:val="28"/>
        </w:rPr>
        <w:t>, alcune delle censure sollevate</w:t>
      </w:r>
      <w:r w:rsidR="00E33A60" w:rsidRPr="00186819">
        <w:rPr>
          <w:rFonts w:ascii="Times New Roman" w:hAnsi="Times New Roman" w:cs="Times New Roman"/>
          <w:sz w:val="28"/>
          <w:szCs w:val="28"/>
        </w:rPr>
        <w:t xml:space="preserve"> nell’ambito del primo gruppo di questioni</w:t>
      </w:r>
      <w:r w:rsidRPr="00186819">
        <w:rPr>
          <w:rFonts w:ascii="Times New Roman" w:hAnsi="Times New Roman" w:cs="Times New Roman"/>
          <w:sz w:val="28"/>
          <w:szCs w:val="28"/>
        </w:rPr>
        <w:t xml:space="preserve">. In particolare, </w:t>
      </w:r>
      <w:r w:rsidR="003407CD" w:rsidRPr="00186819">
        <w:rPr>
          <w:rFonts w:ascii="Times New Roman" w:hAnsi="Times New Roman" w:cs="Times New Roman"/>
          <w:sz w:val="28"/>
          <w:szCs w:val="28"/>
        </w:rPr>
        <w:t xml:space="preserve">viene </w:t>
      </w:r>
      <w:r w:rsidRPr="00186819">
        <w:rPr>
          <w:rFonts w:ascii="Times New Roman" w:hAnsi="Times New Roman" w:cs="Times New Roman"/>
          <w:sz w:val="28"/>
          <w:szCs w:val="28"/>
        </w:rPr>
        <w:t>osserva</w:t>
      </w:r>
      <w:r w:rsidR="003407CD" w:rsidRPr="00186819">
        <w:rPr>
          <w:rFonts w:ascii="Times New Roman" w:hAnsi="Times New Roman" w:cs="Times New Roman"/>
          <w:sz w:val="28"/>
          <w:szCs w:val="28"/>
        </w:rPr>
        <w:t>to</w:t>
      </w:r>
      <w:r w:rsidRPr="00186819">
        <w:rPr>
          <w:rFonts w:ascii="Times New Roman" w:hAnsi="Times New Roman" w:cs="Times New Roman"/>
          <w:sz w:val="28"/>
          <w:szCs w:val="28"/>
        </w:rPr>
        <w:t xml:space="preserve"> che i profili afferenti agli </w:t>
      </w:r>
      <w:r w:rsidR="00C123EE" w:rsidRPr="00186819">
        <w:rPr>
          <w:rFonts w:ascii="Times New Roman" w:hAnsi="Times New Roman" w:cs="Times New Roman"/>
          <w:sz w:val="28"/>
          <w:szCs w:val="28"/>
        </w:rPr>
        <w:t xml:space="preserve">artt. 2, 3, </w:t>
      </w:r>
      <w:r w:rsidRPr="00186819">
        <w:rPr>
          <w:rFonts w:ascii="Times New Roman" w:hAnsi="Times New Roman" w:cs="Times New Roman"/>
          <w:sz w:val="28"/>
          <w:szCs w:val="28"/>
        </w:rPr>
        <w:t xml:space="preserve">nonché </w:t>
      </w:r>
      <w:r w:rsidR="00C123EE" w:rsidRPr="00186819">
        <w:rPr>
          <w:rFonts w:ascii="Times New Roman" w:hAnsi="Times New Roman" w:cs="Times New Roman"/>
          <w:sz w:val="28"/>
          <w:szCs w:val="28"/>
        </w:rPr>
        <w:t>9</w:t>
      </w:r>
      <w:r w:rsidRPr="00186819">
        <w:rPr>
          <w:rFonts w:ascii="Times New Roman" w:hAnsi="Times New Roman" w:cs="Times New Roman"/>
          <w:sz w:val="28"/>
          <w:szCs w:val="28"/>
        </w:rPr>
        <w:t xml:space="preserve"> e</w:t>
      </w:r>
      <w:r w:rsidR="00C123EE" w:rsidRPr="00186819">
        <w:rPr>
          <w:rFonts w:ascii="Times New Roman" w:hAnsi="Times New Roman" w:cs="Times New Roman"/>
          <w:sz w:val="28"/>
          <w:szCs w:val="28"/>
        </w:rPr>
        <w:t xml:space="preserve"> 97</w:t>
      </w:r>
      <w:r w:rsidRPr="00186819">
        <w:rPr>
          <w:rFonts w:ascii="Times New Roman" w:hAnsi="Times New Roman" w:cs="Times New Roman"/>
          <w:sz w:val="28"/>
          <w:szCs w:val="28"/>
        </w:rPr>
        <w:t xml:space="preserve"> (quest</w:t>
      </w:r>
      <w:r w:rsidR="00DE5837" w:rsidRPr="00186819">
        <w:rPr>
          <w:rFonts w:ascii="Times New Roman" w:hAnsi="Times New Roman" w:cs="Times New Roman"/>
          <w:sz w:val="28"/>
          <w:szCs w:val="28"/>
        </w:rPr>
        <w:t>’</w:t>
      </w:r>
      <w:r w:rsidRPr="00186819">
        <w:rPr>
          <w:rFonts w:ascii="Times New Roman" w:hAnsi="Times New Roman" w:cs="Times New Roman"/>
          <w:sz w:val="28"/>
          <w:szCs w:val="28"/>
        </w:rPr>
        <w:t>ultimi in parte) Cost. non sarebbero stati esposti in maniera esauriente</w:t>
      </w:r>
      <w:r w:rsidR="006D10C8" w:rsidRPr="00186819">
        <w:rPr>
          <w:rStyle w:val="Rimandonotaapidipagina"/>
          <w:rFonts w:ascii="Times New Roman" w:hAnsi="Times New Roman" w:cs="Times New Roman"/>
          <w:sz w:val="28"/>
          <w:szCs w:val="28"/>
        </w:rPr>
        <w:footnoteReference w:id="8"/>
      </w:r>
      <w:r w:rsidRPr="00186819">
        <w:rPr>
          <w:rFonts w:ascii="Times New Roman" w:hAnsi="Times New Roman" w:cs="Times New Roman"/>
          <w:sz w:val="28"/>
          <w:szCs w:val="28"/>
        </w:rPr>
        <w:t>.</w:t>
      </w:r>
    </w:p>
    <w:p w14:paraId="2C177CB8" w14:textId="48C2D2BA" w:rsidR="001D57C2" w:rsidRPr="00186819" w:rsidRDefault="001D57C2" w:rsidP="001D57C2">
      <w:pPr>
        <w:jc w:val="both"/>
        <w:rPr>
          <w:rFonts w:ascii="Times New Roman" w:hAnsi="Times New Roman" w:cs="Times New Roman"/>
          <w:sz w:val="28"/>
          <w:szCs w:val="28"/>
        </w:rPr>
      </w:pPr>
      <w:r w:rsidRPr="00186819">
        <w:rPr>
          <w:rFonts w:ascii="Times New Roman" w:hAnsi="Times New Roman" w:cs="Times New Roman"/>
          <w:sz w:val="28"/>
          <w:szCs w:val="28"/>
        </w:rPr>
        <w:t xml:space="preserve">Invece, </w:t>
      </w:r>
      <w:r w:rsidR="00DE5837" w:rsidRPr="00186819">
        <w:rPr>
          <w:rFonts w:ascii="Times New Roman" w:hAnsi="Times New Roman" w:cs="Times New Roman"/>
          <w:sz w:val="28"/>
          <w:szCs w:val="28"/>
        </w:rPr>
        <w:t xml:space="preserve">in relazione al </w:t>
      </w:r>
      <w:r w:rsidRPr="00186819">
        <w:rPr>
          <w:rFonts w:ascii="Times New Roman" w:hAnsi="Times New Roman" w:cs="Times New Roman"/>
          <w:sz w:val="28"/>
          <w:szCs w:val="28"/>
        </w:rPr>
        <w:t>secondo gruppo di questioni</w:t>
      </w:r>
      <w:r w:rsidR="00DE5837" w:rsidRPr="00186819">
        <w:rPr>
          <w:rFonts w:ascii="Times New Roman" w:hAnsi="Times New Roman" w:cs="Times New Roman"/>
          <w:sz w:val="28"/>
          <w:szCs w:val="28"/>
        </w:rPr>
        <w:t xml:space="preserve"> (</w:t>
      </w:r>
      <w:r w:rsidR="003407CD" w:rsidRPr="00186819">
        <w:rPr>
          <w:rFonts w:ascii="Times New Roman" w:hAnsi="Times New Roman" w:cs="Times New Roman"/>
          <w:i/>
          <w:iCs/>
          <w:sz w:val="28"/>
          <w:szCs w:val="28"/>
        </w:rPr>
        <w:t>i.e.</w:t>
      </w:r>
      <w:r w:rsidR="003407CD" w:rsidRPr="00186819">
        <w:rPr>
          <w:rFonts w:ascii="Times New Roman" w:hAnsi="Times New Roman" w:cs="Times New Roman"/>
          <w:sz w:val="28"/>
          <w:szCs w:val="28"/>
        </w:rPr>
        <w:t xml:space="preserve"> </w:t>
      </w:r>
      <w:r w:rsidR="00DE5837" w:rsidRPr="00186819">
        <w:rPr>
          <w:rFonts w:ascii="Times New Roman" w:hAnsi="Times New Roman" w:cs="Times New Roman"/>
          <w:sz w:val="28"/>
          <w:szCs w:val="28"/>
        </w:rPr>
        <w:t xml:space="preserve">illegittimità della soglia per lo </w:t>
      </w:r>
      <w:r w:rsidR="006D10C8" w:rsidRPr="00186819">
        <w:rPr>
          <w:rFonts w:ascii="Times New Roman" w:hAnsi="Times New Roman" w:cs="Times New Roman"/>
          <w:sz w:val="28"/>
          <w:szCs w:val="28"/>
        </w:rPr>
        <w:t>“</w:t>
      </w:r>
      <w:r w:rsidR="00DE5837" w:rsidRPr="00186819">
        <w:rPr>
          <w:rFonts w:ascii="Times New Roman" w:hAnsi="Times New Roman" w:cs="Times New Roman"/>
          <w:sz w:val="28"/>
          <w:szCs w:val="28"/>
        </w:rPr>
        <w:t>scudo</w:t>
      </w:r>
      <w:r w:rsidR="006D10C8" w:rsidRPr="00186819">
        <w:rPr>
          <w:rFonts w:ascii="Times New Roman" w:hAnsi="Times New Roman" w:cs="Times New Roman"/>
          <w:sz w:val="28"/>
          <w:szCs w:val="28"/>
        </w:rPr>
        <w:t>”</w:t>
      </w:r>
      <w:r w:rsidR="00DE5837" w:rsidRPr="00186819">
        <w:rPr>
          <w:rFonts w:ascii="Times New Roman" w:hAnsi="Times New Roman" w:cs="Times New Roman"/>
          <w:sz w:val="28"/>
          <w:szCs w:val="28"/>
        </w:rPr>
        <w:t xml:space="preserve"> in caso di importazione per </w:t>
      </w:r>
      <w:r w:rsidR="005F3AAE" w:rsidRPr="00186819">
        <w:rPr>
          <w:rFonts w:ascii="Times New Roman" w:hAnsi="Times New Roman" w:cs="Times New Roman"/>
          <w:sz w:val="28"/>
          <w:szCs w:val="28"/>
        </w:rPr>
        <w:t xml:space="preserve">successiva </w:t>
      </w:r>
      <w:r w:rsidR="00DE5837" w:rsidRPr="00186819">
        <w:rPr>
          <w:rFonts w:ascii="Times New Roman" w:hAnsi="Times New Roman" w:cs="Times New Roman"/>
          <w:sz w:val="28"/>
          <w:szCs w:val="28"/>
        </w:rPr>
        <w:t xml:space="preserve">esportazione), </w:t>
      </w:r>
      <w:r w:rsidRPr="00186819">
        <w:rPr>
          <w:rFonts w:ascii="Times New Roman" w:hAnsi="Times New Roman" w:cs="Times New Roman"/>
          <w:sz w:val="28"/>
          <w:szCs w:val="28"/>
        </w:rPr>
        <w:t>sono</w:t>
      </w:r>
      <w:r w:rsidR="00DE5837" w:rsidRPr="00186819">
        <w:rPr>
          <w:rFonts w:ascii="Times New Roman" w:hAnsi="Times New Roman" w:cs="Times New Roman"/>
          <w:sz w:val="28"/>
          <w:szCs w:val="28"/>
        </w:rPr>
        <w:t xml:space="preserve"> dichiarate </w:t>
      </w:r>
      <w:r w:rsidRPr="00186819">
        <w:rPr>
          <w:rFonts w:ascii="Times New Roman" w:hAnsi="Times New Roman" w:cs="Times New Roman"/>
          <w:sz w:val="28"/>
          <w:szCs w:val="28"/>
        </w:rPr>
        <w:t>inammissibili le denunciate violazioni dell’art. 2 Cost.</w:t>
      </w:r>
      <w:r w:rsidR="009511DB" w:rsidRPr="00186819">
        <w:rPr>
          <w:rFonts w:ascii="Times New Roman" w:hAnsi="Times New Roman" w:cs="Times New Roman"/>
          <w:sz w:val="28"/>
          <w:szCs w:val="28"/>
        </w:rPr>
        <w:t xml:space="preserve"> (basata sulla supposta irragionevole </w:t>
      </w:r>
      <w:r w:rsidRPr="00186819">
        <w:rPr>
          <w:rFonts w:ascii="Times New Roman" w:hAnsi="Times New Roman" w:cs="Times New Roman"/>
          <w:sz w:val="28"/>
          <w:szCs w:val="28"/>
        </w:rPr>
        <w:t>compressione dell’autonomia negoziale</w:t>
      </w:r>
      <w:r w:rsidR="009511DB" w:rsidRPr="00186819">
        <w:rPr>
          <w:rFonts w:ascii="Times New Roman" w:hAnsi="Times New Roman" w:cs="Times New Roman"/>
          <w:sz w:val="28"/>
          <w:szCs w:val="28"/>
        </w:rPr>
        <w:t>)</w:t>
      </w:r>
      <w:r w:rsidRPr="00186819">
        <w:rPr>
          <w:rFonts w:ascii="Times New Roman" w:hAnsi="Times New Roman" w:cs="Times New Roman"/>
          <w:sz w:val="28"/>
          <w:szCs w:val="28"/>
        </w:rPr>
        <w:t xml:space="preserve">, e dell’art. 97, secondo comma, Cost. </w:t>
      </w:r>
      <w:r w:rsidR="009511DB" w:rsidRPr="00186819">
        <w:rPr>
          <w:rFonts w:ascii="Times New Roman" w:hAnsi="Times New Roman" w:cs="Times New Roman"/>
          <w:sz w:val="28"/>
          <w:szCs w:val="28"/>
        </w:rPr>
        <w:t xml:space="preserve">(basata sulla presunta </w:t>
      </w:r>
      <w:r w:rsidRPr="00186819">
        <w:rPr>
          <w:rFonts w:ascii="Times New Roman" w:hAnsi="Times New Roman" w:cs="Times New Roman"/>
          <w:sz w:val="28"/>
          <w:szCs w:val="28"/>
        </w:rPr>
        <w:t xml:space="preserve">irragionevolezza di un intervento pubblico </w:t>
      </w:r>
      <w:r w:rsidR="00E33A60" w:rsidRPr="00186819">
        <w:rPr>
          <w:rFonts w:ascii="Times New Roman" w:hAnsi="Times New Roman" w:cs="Times New Roman"/>
          <w:sz w:val="28"/>
          <w:szCs w:val="28"/>
        </w:rPr>
        <w:t xml:space="preserve">in un contesto in cui </w:t>
      </w:r>
      <w:r w:rsidR="00DE5837" w:rsidRPr="00186819">
        <w:rPr>
          <w:rFonts w:ascii="Times New Roman" w:hAnsi="Times New Roman" w:cs="Times New Roman"/>
          <w:sz w:val="28"/>
          <w:szCs w:val="28"/>
        </w:rPr>
        <w:t>l</w:t>
      </w:r>
      <w:r w:rsidR="009511DB" w:rsidRPr="00186819">
        <w:rPr>
          <w:rFonts w:ascii="Times New Roman" w:hAnsi="Times New Roman" w:cs="Times New Roman"/>
          <w:sz w:val="28"/>
          <w:szCs w:val="28"/>
        </w:rPr>
        <w:t>’</w:t>
      </w:r>
      <w:r w:rsidR="00DE5837" w:rsidRPr="00186819">
        <w:rPr>
          <w:rFonts w:ascii="Times New Roman" w:hAnsi="Times New Roman" w:cs="Times New Roman"/>
          <w:sz w:val="28"/>
          <w:szCs w:val="28"/>
        </w:rPr>
        <w:t>oper</w:t>
      </w:r>
      <w:r w:rsidR="009511DB" w:rsidRPr="00186819">
        <w:rPr>
          <w:rFonts w:ascii="Times New Roman" w:hAnsi="Times New Roman" w:cs="Times New Roman"/>
          <w:sz w:val="28"/>
          <w:szCs w:val="28"/>
        </w:rPr>
        <w:t>a</w:t>
      </w:r>
      <w:r w:rsidR="00DE5837" w:rsidRPr="00186819">
        <w:rPr>
          <w:rFonts w:ascii="Times New Roman" w:hAnsi="Times New Roman" w:cs="Times New Roman"/>
          <w:sz w:val="28"/>
          <w:szCs w:val="28"/>
        </w:rPr>
        <w:t xml:space="preserve"> si trovava</w:t>
      </w:r>
      <w:r w:rsidR="009511DB" w:rsidRPr="00186819">
        <w:rPr>
          <w:rFonts w:ascii="Times New Roman" w:hAnsi="Times New Roman" w:cs="Times New Roman"/>
          <w:sz w:val="28"/>
          <w:szCs w:val="28"/>
        </w:rPr>
        <w:t xml:space="preserve"> originariamente </w:t>
      </w:r>
      <w:r w:rsidR="00DE5837" w:rsidRPr="00186819">
        <w:rPr>
          <w:rFonts w:ascii="Times New Roman" w:hAnsi="Times New Roman" w:cs="Times New Roman"/>
          <w:sz w:val="28"/>
          <w:szCs w:val="28"/>
        </w:rPr>
        <w:t>all’estero)</w:t>
      </w:r>
      <w:r w:rsidRPr="00186819">
        <w:rPr>
          <w:rFonts w:ascii="Times New Roman" w:hAnsi="Times New Roman" w:cs="Times New Roman"/>
          <w:sz w:val="28"/>
          <w:szCs w:val="28"/>
        </w:rPr>
        <w:t>.</w:t>
      </w:r>
      <w:r w:rsidR="00E33A60" w:rsidRPr="00186819">
        <w:rPr>
          <w:rFonts w:ascii="Times New Roman" w:hAnsi="Times New Roman" w:cs="Times New Roman"/>
          <w:sz w:val="28"/>
          <w:szCs w:val="28"/>
        </w:rPr>
        <w:t xml:space="preserve"> </w:t>
      </w:r>
      <w:r w:rsidR="00DE5837" w:rsidRPr="00186819">
        <w:rPr>
          <w:rFonts w:ascii="Times New Roman" w:hAnsi="Times New Roman" w:cs="Times New Roman"/>
          <w:sz w:val="28"/>
          <w:szCs w:val="28"/>
        </w:rPr>
        <w:t>L</w:t>
      </w:r>
      <w:r w:rsidRPr="00186819">
        <w:rPr>
          <w:rFonts w:ascii="Times New Roman" w:hAnsi="Times New Roman" w:cs="Times New Roman"/>
          <w:sz w:val="28"/>
          <w:szCs w:val="28"/>
        </w:rPr>
        <w:t>’evocazione de</w:t>
      </w:r>
      <w:r w:rsidR="009511DB" w:rsidRPr="00186819">
        <w:rPr>
          <w:rFonts w:ascii="Times New Roman" w:hAnsi="Times New Roman" w:cs="Times New Roman"/>
          <w:sz w:val="28"/>
          <w:szCs w:val="28"/>
        </w:rPr>
        <w:t xml:space="preserve">i due </w:t>
      </w:r>
      <w:r w:rsidRPr="00186819">
        <w:rPr>
          <w:rFonts w:ascii="Times New Roman" w:hAnsi="Times New Roman" w:cs="Times New Roman"/>
          <w:sz w:val="28"/>
          <w:szCs w:val="28"/>
        </w:rPr>
        <w:t>parametr</w:t>
      </w:r>
      <w:r w:rsidR="009511DB" w:rsidRPr="00186819">
        <w:rPr>
          <w:rFonts w:ascii="Times New Roman" w:hAnsi="Times New Roman" w:cs="Times New Roman"/>
          <w:sz w:val="28"/>
          <w:szCs w:val="28"/>
        </w:rPr>
        <w:t xml:space="preserve">i appena ricordati </w:t>
      </w:r>
      <w:r w:rsidRPr="00186819">
        <w:rPr>
          <w:rFonts w:ascii="Times New Roman" w:hAnsi="Times New Roman" w:cs="Times New Roman"/>
          <w:sz w:val="28"/>
          <w:szCs w:val="28"/>
        </w:rPr>
        <w:t xml:space="preserve">è </w:t>
      </w:r>
      <w:r w:rsidR="003407CD" w:rsidRPr="00186819">
        <w:rPr>
          <w:rFonts w:ascii="Times New Roman" w:hAnsi="Times New Roman" w:cs="Times New Roman"/>
          <w:sz w:val="28"/>
          <w:szCs w:val="28"/>
        </w:rPr>
        <w:t xml:space="preserve">infatti </w:t>
      </w:r>
      <w:r w:rsidR="00DB5981" w:rsidRPr="00186819">
        <w:rPr>
          <w:rFonts w:ascii="Times New Roman" w:hAnsi="Times New Roman" w:cs="Times New Roman"/>
          <w:sz w:val="28"/>
          <w:szCs w:val="28"/>
        </w:rPr>
        <w:t>considerata</w:t>
      </w:r>
      <w:r w:rsidR="00DE5837" w:rsidRPr="00186819">
        <w:rPr>
          <w:rFonts w:ascii="Times New Roman" w:hAnsi="Times New Roman" w:cs="Times New Roman"/>
          <w:sz w:val="28"/>
          <w:szCs w:val="28"/>
        </w:rPr>
        <w:t xml:space="preserve"> </w:t>
      </w:r>
      <w:r w:rsidRPr="00186819">
        <w:rPr>
          <w:rFonts w:ascii="Times New Roman" w:hAnsi="Times New Roman" w:cs="Times New Roman"/>
          <w:sz w:val="28"/>
          <w:szCs w:val="28"/>
        </w:rPr>
        <w:t>generica e assertiva.</w:t>
      </w:r>
    </w:p>
    <w:p w14:paraId="60BEB403" w14:textId="1818A19F" w:rsidR="00964725" w:rsidRPr="00186819" w:rsidRDefault="00964725" w:rsidP="004F5A90">
      <w:pPr>
        <w:pStyle w:val="Paragrafoelenco"/>
        <w:numPr>
          <w:ilvl w:val="1"/>
          <w:numId w:val="6"/>
        </w:numPr>
        <w:jc w:val="both"/>
        <w:rPr>
          <w:rFonts w:ascii="Times New Roman" w:hAnsi="Times New Roman" w:cs="Times New Roman"/>
          <w:b/>
          <w:bCs/>
          <w:i/>
          <w:iCs/>
          <w:sz w:val="28"/>
          <w:szCs w:val="28"/>
        </w:rPr>
      </w:pPr>
      <w:r w:rsidRPr="00186819">
        <w:rPr>
          <w:rFonts w:ascii="Times New Roman" w:hAnsi="Times New Roman" w:cs="Times New Roman"/>
          <w:b/>
          <w:bCs/>
          <w:i/>
          <w:iCs/>
          <w:sz w:val="28"/>
          <w:szCs w:val="28"/>
        </w:rPr>
        <w:t>La sentenza della Consulta: la risposta alle questioni.</w:t>
      </w:r>
    </w:p>
    <w:p w14:paraId="0CFBBE46" w14:textId="6BCDFD06" w:rsidR="003914D5" w:rsidRPr="00186819" w:rsidRDefault="003914D5" w:rsidP="00C123EE">
      <w:pPr>
        <w:jc w:val="both"/>
        <w:rPr>
          <w:rFonts w:ascii="Times New Roman" w:hAnsi="Times New Roman" w:cs="Times New Roman"/>
          <w:sz w:val="28"/>
          <w:szCs w:val="28"/>
        </w:rPr>
      </w:pPr>
      <w:r w:rsidRPr="00186819">
        <w:rPr>
          <w:rFonts w:ascii="Times New Roman" w:hAnsi="Times New Roman" w:cs="Times New Roman"/>
          <w:sz w:val="28"/>
          <w:szCs w:val="28"/>
        </w:rPr>
        <w:lastRenderedPageBreak/>
        <w:t xml:space="preserve">Venendo al merito, la Corte premette che la previsione della </w:t>
      </w:r>
      <w:r w:rsidR="00C123EE" w:rsidRPr="00186819">
        <w:rPr>
          <w:rFonts w:ascii="Times New Roman" w:hAnsi="Times New Roman" w:cs="Times New Roman"/>
          <w:sz w:val="28"/>
          <w:szCs w:val="28"/>
        </w:rPr>
        <w:t>soglia dei 13.500 €</w:t>
      </w:r>
      <w:r w:rsidRPr="00186819">
        <w:rPr>
          <w:rFonts w:ascii="Times New Roman" w:hAnsi="Times New Roman" w:cs="Times New Roman"/>
          <w:sz w:val="28"/>
          <w:szCs w:val="28"/>
        </w:rPr>
        <w:t>, introdotta per semplificare il mercato dell’antiquariato con la riforma del 2017 al Codice, è funzionale al fine di distin</w:t>
      </w:r>
      <w:r w:rsidR="00C123EE" w:rsidRPr="00186819">
        <w:rPr>
          <w:rFonts w:ascii="Times New Roman" w:hAnsi="Times New Roman" w:cs="Times New Roman"/>
          <w:sz w:val="28"/>
          <w:szCs w:val="28"/>
        </w:rPr>
        <w:t>guere</w:t>
      </w:r>
      <w:r w:rsidRPr="00186819">
        <w:rPr>
          <w:rFonts w:ascii="Times New Roman" w:hAnsi="Times New Roman" w:cs="Times New Roman"/>
          <w:sz w:val="28"/>
          <w:szCs w:val="28"/>
        </w:rPr>
        <w:t xml:space="preserve"> il </w:t>
      </w:r>
      <w:r w:rsidR="00C123EE" w:rsidRPr="00186819">
        <w:rPr>
          <w:rFonts w:ascii="Times New Roman" w:hAnsi="Times New Roman" w:cs="Times New Roman"/>
          <w:sz w:val="28"/>
          <w:szCs w:val="28"/>
        </w:rPr>
        <w:t>regime ordinario</w:t>
      </w:r>
      <w:r w:rsidRPr="00186819">
        <w:rPr>
          <w:rFonts w:ascii="Times New Roman" w:hAnsi="Times New Roman" w:cs="Times New Roman"/>
          <w:sz w:val="28"/>
          <w:szCs w:val="28"/>
        </w:rPr>
        <w:t>,</w:t>
      </w:r>
      <w:r w:rsidR="00C123EE"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che prevede la autorizzazione per l’esportazione (con possibilità di acquisto coattivo) e che si applica ai beni </w:t>
      </w:r>
      <w:r w:rsidR="00C123EE" w:rsidRPr="00186819">
        <w:rPr>
          <w:rFonts w:ascii="Times New Roman" w:hAnsi="Times New Roman" w:cs="Times New Roman"/>
          <w:sz w:val="28"/>
          <w:szCs w:val="28"/>
        </w:rPr>
        <w:t>sopra soglia</w:t>
      </w:r>
      <w:r w:rsidRPr="00186819">
        <w:rPr>
          <w:rFonts w:ascii="Times New Roman" w:hAnsi="Times New Roman" w:cs="Times New Roman"/>
          <w:sz w:val="28"/>
          <w:szCs w:val="28"/>
        </w:rPr>
        <w:t>, dal r</w:t>
      </w:r>
      <w:r w:rsidR="00C123EE" w:rsidRPr="00186819">
        <w:rPr>
          <w:rFonts w:ascii="Times New Roman" w:hAnsi="Times New Roman" w:cs="Times New Roman"/>
          <w:sz w:val="28"/>
          <w:szCs w:val="28"/>
        </w:rPr>
        <w:t xml:space="preserve">egime semplificato </w:t>
      </w:r>
      <w:r w:rsidRPr="00186819">
        <w:rPr>
          <w:rFonts w:ascii="Times New Roman" w:hAnsi="Times New Roman" w:cs="Times New Roman"/>
          <w:sz w:val="28"/>
          <w:szCs w:val="28"/>
        </w:rPr>
        <w:t xml:space="preserve">per la circolazione dei beni che si applica al di </w:t>
      </w:r>
      <w:r w:rsidR="00C123EE" w:rsidRPr="00186819">
        <w:rPr>
          <w:rFonts w:ascii="Times New Roman" w:hAnsi="Times New Roman" w:cs="Times New Roman"/>
          <w:sz w:val="28"/>
          <w:szCs w:val="28"/>
        </w:rPr>
        <w:t>sotto</w:t>
      </w:r>
      <w:r w:rsidRPr="00186819">
        <w:rPr>
          <w:rFonts w:ascii="Times New Roman" w:hAnsi="Times New Roman" w:cs="Times New Roman"/>
          <w:sz w:val="28"/>
          <w:szCs w:val="28"/>
        </w:rPr>
        <w:t xml:space="preserve"> della ripetuta</w:t>
      </w:r>
      <w:r w:rsidR="00C123EE" w:rsidRPr="00186819">
        <w:rPr>
          <w:rFonts w:ascii="Times New Roman" w:hAnsi="Times New Roman" w:cs="Times New Roman"/>
          <w:sz w:val="28"/>
          <w:szCs w:val="28"/>
        </w:rPr>
        <w:t xml:space="preserve"> soglia</w:t>
      </w:r>
      <w:r w:rsidRPr="00186819">
        <w:rPr>
          <w:rFonts w:ascii="Times New Roman" w:hAnsi="Times New Roman" w:cs="Times New Roman"/>
          <w:sz w:val="28"/>
          <w:szCs w:val="28"/>
        </w:rPr>
        <w:t>. Essa i</w:t>
      </w:r>
      <w:r w:rsidR="00C123EE" w:rsidRPr="00186819">
        <w:rPr>
          <w:rFonts w:ascii="Times New Roman" w:hAnsi="Times New Roman" w:cs="Times New Roman"/>
          <w:sz w:val="28"/>
          <w:szCs w:val="28"/>
        </w:rPr>
        <w:t>nfluenza indirettamente</w:t>
      </w:r>
      <w:r w:rsidRPr="00186819">
        <w:rPr>
          <w:rFonts w:ascii="Times New Roman" w:hAnsi="Times New Roman" w:cs="Times New Roman"/>
          <w:sz w:val="28"/>
          <w:szCs w:val="28"/>
        </w:rPr>
        <w:t xml:space="preserve"> tanto l’</w:t>
      </w:r>
      <w:r w:rsidR="00C123EE" w:rsidRPr="00186819">
        <w:rPr>
          <w:rFonts w:ascii="Times New Roman" w:hAnsi="Times New Roman" w:cs="Times New Roman"/>
          <w:sz w:val="28"/>
          <w:szCs w:val="28"/>
        </w:rPr>
        <w:t>acquisto coattivo</w:t>
      </w:r>
      <w:r w:rsidRPr="00186819">
        <w:rPr>
          <w:rFonts w:ascii="Times New Roman" w:hAnsi="Times New Roman" w:cs="Times New Roman"/>
          <w:sz w:val="28"/>
          <w:szCs w:val="28"/>
        </w:rPr>
        <w:t xml:space="preserve"> quanto la </w:t>
      </w:r>
      <w:r w:rsidR="00C123EE" w:rsidRPr="00186819">
        <w:rPr>
          <w:rFonts w:ascii="Times New Roman" w:hAnsi="Times New Roman" w:cs="Times New Roman"/>
          <w:sz w:val="28"/>
          <w:szCs w:val="28"/>
        </w:rPr>
        <w:t>certificazione di ingresso</w:t>
      </w:r>
      <w:r w:rsidRPr="00186819">
        <w:rPr>
          <w:rFonts w:ascii="Times New Roman" w:hAnsi="Times New Roman" w:cs="Times New Roman"/>
          <w:sz w:val="28"/>
          <w:szCs w:val="28"/>
        </w:rPr>
        <w:t xml:space="preserve"> (che come detto semplifica l’esportazione), perché </w:t>
      </w:r>
      <w:r w:rsidR="00C123EE" w:rsidRPr="00186819">
        <w:rPr>
          <w:rFonts w:ascii="Times New Roman" w:hAnsi="Times New Roman" w:cs="Times New Roman"/>
          <w:sz w:val="28"/>
          <w:szCs w:val="28"/>
        </w:rPr>
        <w:t>entrambi gli istituti non si applicano ai beni sotto soglia.</w:t>
      </w:r>
    </w:p>
    <w:p w14:paraId="75B248D0" w14:textId="77777777" w:rsidR="003914D5" w:rsidRPr="00186819" w:rsidRDefault="003914D5" w:rsidP="00C123EE">
      <w:pPr>
        <w:jc w:val="both"/>
        <w:rPr>
          <w:rFonts w:ascii="Times New Roman" w:hAnsi="Times New Roman" w:cs="Times New Roman"/>
          <w:sz w:val="28"/>
          <w:szCs w:val="28"/>
        </w:rPr>
      </w:pPr>
      <w:r w:rsidRPr="00186819">
        <w:rPr>
          <w:rFonts w:ascii="Times New Roman" w:hAnsi="Times New Roman" w:cs="Times New Roman"/>
          <w:sz w:val="28"/>
          <w:szCs w:val="28"/>
        </w:rPr>
        <w:t>Con riguardo al p</w:t>
      </w:r>
      <w:r w:rsidR="00C123EE" w:rsidRPr="00186819">
        <w:rPr>
          <w:rFonts w:ascii="Times New Roman" w:hAnsi="Times New Roman" w:cs="Times New Roman"/>
          <w:sz w:val="28"/>
          <w:szCs w:val="28"/>
        </w:rPr>
        <w:t xml:space="preserve">rimo gruppo </w:t>
      </w:r>
      <w:r w:rsidRPr="00186819">
        <w:rPr>
          <w:rFonts w:ascii="Times New Roman" w:hAnsi="Times New Roman" w:cs="Times New Roman"/>
          <w:sz w:val="28"/>
          <w:szCs w:val="28"/>
        </w:rPr>
        <w:t xml:space="preserve">di censure </w:t>
      </w:r>
      <w:r w:rsidR="00C123EE" w:rsidRPr="00186819">
        <w:rPr>
          <w:rFonts w:ascii="Times New Roman" w:hAnsi="Times New Roman" w:cs="Times New Roman"/>
          <w:sz w:val="28"/>
          <w:szCs w:val="28"/>
        </w:rPr>
        <w:t>(</w:t>
      </w:r>
      <w:r w:rsidRPr="00186819">
        <w:rPr>
          <w:rFonts w:ascii="Times New Roman" w:hAnsi="Times New Roman" w:cs="Times New Roman"/>
          <w:i/>
          <w:iCs/>
          <w:sz w:val="28"/>
          <w:szCs w:val="28"/>
        </w:rPr>
        <w:t>i.e.</w:t>
      </w:r>
      <w:r w:rsidRPr="00186819">
        <w:rPr>
          <w:rFonts w:ascii="Times New Roman" w:hAnsi="Times New Roman" w:cs="Times New Roman"/>
          <w:sz w:val="28"/>
          <w:szCs w:val="28"/>
        </w:rPr>
        <w:t xml:space="preserve"> limiti all’</w:t>
      </w:r>
      <w:r w:rsidR="00C123EE" w:rsidRPr="00186819">
        <w:rPr>
          <w:rFonts w:ascii="Times New Roman" w:hAnsi="Times New Roman" w:cs="Times New Roman"/>
          <w:sz w:val="28"/>
          <w:szCs w:val="28"/>
        </w:rPr>
        <w:t>acquisto coattivo</w:t>
      </w:r>
      <w:r w:rsidRPr="00186819">
        <w:rPr>
          <w:rFonts w:ascii="Times New Roman" w:hAnsi="Times New Roman" w:cs="Times New Roman"/>
          <w:sz w:val="28"/>
          <w:szCs w:val="28"/>
        </w:rPr>
        <w:t xml:space="preserve"> dei beni sotto soglia</w:t>
      </w:r>
      <w:r w:rsidR="00C123EE" w:rsidRPr="00186819">
        <w:rPr>
          <w:rFonts w:ascii="Times New Roman" w:hAnsi="Times New Roman" w:cs="Times New Roman"/>
          <w:sz w:val="28"/>
          <w:szCs w:val="28"/>
        </w:rPr>
        <w:t>)</w:t>
      </w:r>
      <w:r w:rsidRPr="00186819">
        <w:rPr>
          <w:rFonts w:ascii="Times New Roman" w:hAnsi="Times New Roman" w:cs="Times New Roman"/>
          <w:sz w:val="28"/>
          <w:szCs w:val="28"/>
        </w:rPr>
        <w:t>, la Consulta ritiene l</w:t>
      </w:r>
      <w:r w:rsidR="00C123EE" w:rsidRPr="00186819">
        <w:rPr>
          <w:rFonts w:ascii="Times New Roman" w:hAnsi="Times New Roman" w:cs="Times New Roman"/>
          <w:sz w:val="28"/>
          <w:szCs w:val="28"/>
        </w:rPr>
        <w:t>e questioni non fondate.</w:t>
      </w:r>
    </w:p>
    <w:p w14:paraId="7F8AD788" w14:textId="61F8DC1B" w:rsidR="00C123EE" w:rsidRPr="00186819" w:rsidRDefault="003914D5" w:rsidP="00C123EE">
      <w:pPr>
        <w:jc w:val="both"/>
        <w:rPr>
          <w:rFonts w:ascii="Times New Roman" w:hAnsi="Times New Roman" w:cs="Times New Roman"/>
          <w:sz w:val="28"/>
          <w:szCs w:val="28"/>
        </w:rPr>
      </w:pPr>
      <w:r w:rsidRPr="00186819">
        <w:rPr>
          <w:rFonts w:ascii="Times New Roman" w:hAnsi="Times New Roman" w:cs="Times New Roman"/>
          <w:sz w:val="28"/>
          <w:szCs w:val="28"/>
        </w:rPr>
        <w:t>Le r</w:t>
      </w:r>
      <w:r w:rsidR="00C123EE" w:rsidRPr="00186819">
        <w:rPr>
          <w:rFonts w:ascii="Times New Roman" w:hAnsi="Times New Roman" w:cs="Times New Roman"/>
          <w:sz w:val="28"/>
          <w:szCs w:val="28"/>
        </w:rPr>
        <w:t>agioni</w:t>
      </w:r>
      <w:r w:rsidRPr="00186819">
        <w:rPr>
          <w:rFonts w:ascii="Times New Roman" w:hAnsi="Times New Roman" w:cs="Times New Roman"/>
          <w:sz w:val="28"/>
          <w:szCs w:val="28"/>
        </w:rPr>
        <w:t xml:space="preserve"> a supporto della decisione si basano sulla considerazione che l</w:t>
      </w:r>
      <w:r w:rsidR="00C123EE" w:rsidRPr="00186819">
        <w:rPr>
          <w:rFonts w:ascii="Times New Roman" w:hAnsi="Times New Roman" w:cs="Times New Roman"/>
          <w:sz w:val="28"/>
          <w:szCs w:val="28"/>
        </w:rPr>
        <w:t>’acquisto coattivo è una forma di espropriazione</w:t>
      </w:r>
      <w:r w:rsidR="003407CD" w:rsidRPr="00186819">
        <w:rPr>
          <w:rFonts w:ascii="Times New Roman" w:hAnsi="Times New Roman" w:cs="Times New Roman"/>
          <w:sz w:val="28"/>
          <w:szCs w:val="28"/>
        </w:rPr>
        <w:t>. I</w:t>
      </w:r>
      <w:r w:rsidRPr="00186819">
        <w:rPr>
          <w:rFonts w:ascii="Times New Roman" w:hAnsi="Times New Roman" w:cs="Times New Roman"/>
          <w:sz w:val="28"/>
          <w:szCs w:val="28"/>
        </w:rPr>
        <w:t>n tale scenario il L</w:t>
      </w:r>
      <w:r w:rsidR="00C123EE" w:rsidRPr="00186819">
        <w:rPr>
          <w:rFonts w:ascii="Times New Roman" w:hAnsi="Times New Roman" w:cs="Times New Roman"/>
          <w:sz w:val="28"/>
          <w:szCs w:val="28"/>
        </w:rPr>
        <w:t>egislatore ha operato un bilanciamento ragionevole tra</w:t>
      </w:r>
      <w:r w:rsidRPr="00186819">
        <w:rPr>
          <w:rFonts w:ascii="Times New Roman" w:hAnsi="Times New Roman" w:cs="Times New Roman"/>
          <w:sz w:val="28"/>
          <w:szCs w:val="28"/>
        </w:rPr>
        <w:t xml:space="preserve"> la </w:t>
      </w:r>
      <w:r w:rsidR="00C123EE" w:rsidRPr="00186819">
        <w:rPr>
          <w:rFonts w:ascii="Times New Roman" w:hAnsi="Times New Roman" w:cs="Times New Roman"/>
          <w:sz w:val="28"/>
          <w:szCs w:val="28"/>
        </w:rPr>
        <w:t>tutela del patrimonio culturale</w:t>
      </w:r>
      <w:r w:rsidRPr="00186819">
        <w:rPr>
          <w:rFonts w:ascii="Times New Roman" w:hAnsi="Times New Roman" w:cs="Times New Roman"/>
          <w:sz w:val="28"/>
          <w:szCs w:val="28"/>
        </w:rPr>
        <w:t xml:space="preserve"> ed il </w:t>
      </w:r>
      <w:r w:rsidR="00C123EE" w:rsidRPr="00186819">
        <w:rPr>
          <w:rFonts w:ascii="Times New Roman" w:hAnsi="Times New Roman" w:cs="Times New Roman"/>
          <w:sz w:val="28"/>
          <w:szCs w:val="28"/>
        </w:rPr>
        <w:t xml:space="preserve">diritto di proprietà e </w:t>
      </w:r>
      <w:r w:rsidRPr="00186819">
        <w:rPr>
          <w:rFonts w:ascii="Times New Roman" w:hAnsi="Times New Roman" w:cs="Times New Roman"/>
          <w:sz w:val="28"/>
          <w:szCs w:val="28"/>
        </w:rPr>
        <w:t xml:space="preserve">di </w:t>
      </w:r>
      <w:r w:rsidR="00C123EE" w:rsidRPr="00186819">
        <w:rPr>
          <w:rFonts w:ascii="Times New Roman" w:hAnsi="Times New Roman" w:cs="Times New Roman"/>
          <w:sz w:val="28"/>
          <w:szCs w:val="28"/>
        </w:rPr>
        <w:t>iniziativa economica</w:t>
      </w:r>
      <w:r w:rsidRPr="00186819">
        <w:rPr>
          <w:rFonts w:ascii="Times New Roman" w:hAnsi="Times New Roman" w:cs="Times New Roman"/>
          <w:sz w:val="28"/>
          <w:szCs w:val="28"/>
        </w:rPr>
        <w:t xml:space="preserve">. </w:t>
      </w:r>
    </w:p>
    <w:p w14:paraId="5D956DCF" w14:textId="2320F04C" w:rsidR="00C123EE" w:rsidRPr="00186819" w:rsidRDefault="003914D5" w:rsidP="00C123EE">
      <w:pPr>
        <w:jc w:val="both"/>
        <w:rPr>
          <w:rFonts w:ascii="Times New Roman" w:hAnsi="Times New Roman" w:cs="Times New Roman"/>
          <w:sz w:val="28"/>
          <w:szCs w:val="28"/>
        </w:rPr>
      </w:pPr>
      <w:r w:rsidRPr="00186819">
        <w:rPr>
          <w:rFonts w:ascii="Times New Roman" w:hAnsi="Times New Roman" w:cs="Times New Roman"/>
          <w:sz w:val="28"/>
          <w:szCs w:val="28"/>
        </w:rPr>
        <w:t xml:space="preserve">Si aggiunge che </w:t>
      </w:r>
      <w:r w:rsidR="00C123EE" w:rsidRPr="00186819">
        <w:rPr>
          <w:rFonts w:ascii="Times New Roman" w:hAnsi="Times New Roman" w:cs="Times New Roman"/>
          <w:sz w:val="28"/>
          <w:szCs w:val="28"/>
        </w:rPr>
        <w:t>esistono strumenti alternativi</w:t>
      </w:r>
      <w:r w:rsidRPr="00186819">
        <w:rPr>
          <w:rFonts w:ascii="Times New Roman" w:hAnsi="Times New Roman" w:cs="Times New Roman"/>
          <w:sz w:val="28"/>
          <w:szCs w:val="28"/>
        </w:rPr>
        <w:t xml:space="preserve"> a disposizione dell’Amministrazione per tutelare il patrimonio culturale, </w:t>
      </w:r>
      <w:r w:rsidR="006F5273" w:rsidRPr="00186819">
        <w:rPr>
          <w:rFonts w:ascii="Times New Roman" w:hAnsi="Times New Roman" w:cs="Times New Roman"/>
          <w:sz w:val="28"/>
          <w:szCs w:val="28"/>
        </w:rPr>
        <w:t xml:space="preserve">seppure sulla scorta di presupposti e condizioni più gravose, </w:t>
      </w:r>
      <w:r w:rsidRPr="00186819">
        <w:rPr>
          <w:rFonts w:ascii="Times New Roman" w:hAnsi="Times New Roman" w:cs="Times New Roman"/>
          <w:sz w:val="28"/>
          <w:szCs w:val="28"/>
        </w:rPr>
        <w:t xml:space="preserve">ossia l’imposizione del </w:t>
      </w:r>
      <w:r w:rsidR="00C123EE" w:rsidRPr="00186819">
        <w:rPr>
          <w:rFonts w:ascii="Times New Roman" w:hAnsi="Times New Roman" w:cs="Times New Roman"/>
          <w:sz w:val="28"/>
          <w:szCs w:val="28"/>
        </w:rPr>
        <w:t>vincolo culturale (</w:t>
      </w:r>
      <w:r w:rsidRPr="00186819">
        <w:rPr>
          <w:rFonts w:ascii="Times New Roman" w:hAnsi="Times New Roman" w:cs="Times New Roman"/>
          <w:sz w:val="28"/>
          <w:szCs w:val="28"/>
        </w:rPr>
        <w:t xml:space="preserve">che è </w:t>
      </w:r>
      <w:r w:rsidR="00C123EE" w:rsidRPr="00186819">
        <w:rPr>
          <w:rFonts w:ascii="Times New Roman" w:hAnsi="Times New Roman" w:cs="Times New Roman"/>
          <w:sz w:val="28"/>
          <w:szCs w:val="28"/>
        </w:rPr>
        <w:t>indipendente dal valore</w:t>
      </w:r>
      <w:r w:rsidR="003407CD" w:rsidRPr="00186819">
        <w:rPr>
          <w:rStyle w:val="Rimandonotaapidipagina"/>
          <w:rFonts w:ascii="Times New Roman" w:hAnsi="Times New Roman" w:cs="Times New Roman"/>
          <w:sz w:val="28"/>
          <w:szCs w:val="28"/>
        </w:rPr>
        <w:footnoteReference w:id="9"/>
      </w:r>
      <w:r w:rsidR="00C123EE" w:rsidRPr="00186819">
        <w:rPr>
          <w:rFonts w:ascii="Times New Roman" w:hAnsi="Times New Roman" w:cs="Times New Roman"/>
          <w:sz w:val="28"/>
          <w:szCs w:val="28"/>
        </w:rPr>
        <w:t>)</w:t>
      </w:r>
      <w:r w:rsidRPr="00186819">
        <w:rPr>
          <w:rFonts w:ascii="Times New Roman" w:hAnsi="Times New Roman" w:cs="Times New Roman"/>
          <w:sz w:val="28"/>
          <w:szCs w:val="28"/>
        </w:rPr>
        <w:t xml:space="preserve"> nonché l’</w:t>
      </w:r>
      <w:r w:rsidR="00C123EE" w:rsidRPr="00186819">
        <w:rPr>
          <w:rFonts w:ascii="Times New Roman" w:hAnsi="Times New Roman" w:cs="Times New Roman"/>
          <w:sz w:val="28"/>
          <w:szCs w:val="28"/>
        </w:rPr>
        <w:t>espropriazione ordinaria (art. 95</w:t>
      </w:r>
      <w:r w:rsidRPr="00186819">
        <w:rPr>
          <w:rFonts w:ascii="Times New Roman" w:hAnsi="Times New Roman" w:cs="Times New Roman"/>
          <w:sz w:val="28"/>
          <w:szCs w:val="28"/>
        </w:rPr>
        <w:t xml:space="preserve"> del Codice</w:t>
      </w:r>
      <w:r w:rsidR="00C123EE" w:rsidRPr="00186819">
        <w:rPr>
          <w:rFonts w:ascii="Times New Roman" w:hAnsi="Times New Roman" w:cs="Times New Roman"/>
          <w:sz w:val="28"/>
          <w:szCs w:val="28"/>
        </w:rPr>
        <w:t>)</w:t>
      </w:r>
      <w:r w:rsidR="006F5273" w:rsidRPr="00186819">
        <w:rPr>
          <w:rFonts w:ascii="Times New Roman" w:hAnsi="Times New Roman" w:cs="Times New Roman"/>
          <w:sz w:val="28"/>
          <w:szCs w:val="28"/>
        </w:rPr>
        <w:t>.</w:t>
      </w:r>
    </w:p>
    <w:p w14:paraId="72E9B76C" w14:textId="26E563FA" w:rsidR="006F5273" w:rsidRPr="00186819" w:rsidRDefault="006F5273" w:rsidP="00C123EE">
      <w:pPr>
        <w:jc w:val="both"/>
        <w:rPr>
          <w:rFonts w:ascii="Times New Roman" w:hAnsi="Times New Roman" w:cs="Times New Roman"/>
          <w:sz w:val="28"/>
          <w:szCs w:val="28"/>
        </w:rPr>
      </w:pPr>
      <w:r w:rsidRPr="00186819">
        <w:rPr>
          <w:rFonts w:ascii="Times New Roman" w:hAnsi="Times New Roman" w:cs="Times New Roman"/>
          <w:sz w:val="28"/>
          <w:szCs w:val="28"/>
        </w:rPr>
        <w:t>La sentenza giunge quindi alla c</w:t>
      </w:r>
      <w:r w:rsidR="00C123EE" w:rsidRPr="00186819">
        <w:rPr>
          <w:rFonts w:ascii="Times New Roman" w:hAnsi="Times New Roman" w:cs="Times New Roman"/>
          <w:sz w:val="28"/>
          <w:szCs w:val="28"/>
        </w:rPr>
        <w:t>onclusione</w:t>
      </w:r>
      <w:r w:rsidRPr="00186819">
        <w:rPr>
          <w:rFonts w:ascii="Times New Roman" w:hAnsi="Times New Roman" w:cs="Times New Roman"/>
          <w:sz w:val="28"/>
          <w:szCs w:val="28"/>
        </w:rPr>
        <w:t xml:space="preserve"> che è</w:t>
      </w:r>
      <w:r w:rsidR="00C123EE" w:rsidRPr="00186819">
        <w:rPr>
          <w:rFonts w:ascii="Times New Roman" w:hAnsi="Times New Roman" w:cs="Times New Roman"/>
          <w:sz w:val="28"/>
          <w:szCs w:val="28"/>
        </w:rPr>
        <w:t xml:space="preserve"> legittima la soglia dei 13.500 €</w:t>
      </w:r>
      <w:r w:rsidRPr="00186819">
        <w:rPr>
          <w:rFonts w:ascii="Times New Roman" w:hAnsi="Times New Roman" w:cs="Times New Roman"/>
          <w:sz w:val="28"/>
          <w:szCs w:val="28"/>
        </w:rPr>
        <w:t xml:space="preserve">, al di sotto della quale il diritto di proprietà </w:t>
      </w:r>
      <w:r w:rsidR="00E33A60" w:rsidRPr="00186819">
        <w:rPr>
          <w:rFonts w:ascii="Times New Roman" w:hAnsi="Times New Roman" w:cs="Times New Roman"/>
          <w:sz w:val="28"/>
          <w:szCs w:val="28"/>
        </w:rPr>
        <w:t xml:space="preserve">e l’iniziativa economica </w:t>
      </w:r>
      <w:r w:rsidRPr="00186819">
        <w:rPr>
          <w:rFonts w:ascii="Times New Roman" w:hAnsi="Times New Roman" w:cs="Times New Roman"/>
          <w:sz w:val="28"/>
          <w:szCs w:val="28"/>
        </w:rPr>
        <w:t>non sono suscettibili di essere incise</w:t>
      </w:r>
      <w:r w:rsidR="00C123EE" w:rsidRPr="00186819">
        <w:rPr>
          <w:rFonts w:ascii="Times New Roman" w:hAnsi="Times New Roman" w:cs="Times New Roman"/>
          <w:sz w:val="28"/>
          <w:szCs w:val="28"/>
        </w:rPr>
        <w:t>.</w:t>
      </w:r>
    </w:p>
    <w:p w14:paraId="768B5EDA" w14:textId="4E3765EB" w:rsidR="00C123EE" w:rsidRPr="00186819" w:rsidRDefault="002F098E" w:rsidP="00C123EE">
      <w:pPr>
        <w:jc w:val="both"/>
        <w:rPr>
          <w:rFonts w:ascii="Times New Roman" w:hAnsi="Times New Roman" w:cs="Times New Roman"/>
          <w:sz w:val="28"/>
          <w:szCs w:val="28"/>
        </w:rPr>
      </w:pPr>
      <w:r w:rsidRPr="00186819">
        <w:rPr>
          <w:rFonts w:ascii="Times New Roman" w:hAnsi="Times New Roman" w:cs="Times New Roman"/>
          <w:sz w:val="28"/>
          <w:szCs w:val="28"/>
        </w:rPr>
        <w:t xml:space="preserve">Per ciò che concerne la problematica della </w:t>
      </w:r>
      <w:r w:rsidR="00C123EE" w:rsidRPr="00186819">
        <w:rPr>
          <w:rFonts w:ascii="Times New Roman" w:hAnsi="Times New Roman" w:cs="Times New Roman"/>
          <w:sz w:val="28"/>
          <w:szCs w:val="28"/>
        </w:rPr>
        <w:t>certificazione di ingresso</w:t>
      </w:r>
      <w:r w:rsidRPr="00186819">
        <w:rPr>
          <w:rFonts w:ascii="Times New Roman" w:hAnsi="Times New Roman" w:cs="Times New Roman"/>
          <w:sz w:val="28"/>
          <w:szCs w:val="28"/>
        </w:rPr>
        <w:t>, invece, le que</w:t>
      </w:r>
      <w:r w:rsidR="00C123EE" w:rsidRPr="00186819">
        <w:rPr>
          <w:rFonts w:ascii="Times New Roman" w:hAnsi="Times New Roman" w:cs="Times New Roman"/>
          <w:sz w:val="28"/>
          <w:szCs w:val="28"/>
        </w:rPr>
        <w:t xml:space="preserve">stioni </w:t>
      </w:r>
      <w:r w:rsidRPr="00186819">
        <w:rPr>
          <w:rFonts w:ascii="Times New Roman" w:hAnsi="Times New Roman" w:cs="Times New Roman"/>
          <w:sz w:val="28"/>
          <w:szCs w:val="28"/>
        </w:rPr>
        <w:t xml:space="preserve">prospettate dal TAR vengono ritenute </w:t>
      </w:r>
      <w:r w:rsidR="00C123EE" w:rsidRPr="00186819">
        <w:rPr>
          <w:rFonts w:ascii="Times New Roman" w:hAnsi="Times New Roman" w:cs="Times New Roman"/>
          <w:sz w:val="28"/>
          <w:szCs w:val="28"/>
        </w:rPr>
        <w:t>fondate.</w:t>
      </w:r>
    </w:p>
    <w:p w14:paraId="693E4BD9" w14:textId="294A9E89" w:rsidR="00C123EE" w:rsidRPr="00186819" w:rsidRDefault="002F098E" w:rsidP="00C123EE">
      <w:pPr>
        <w:jc w:val="both"/>
        <w:rPr>
          <w:rFonts w:ascii="Times New Roman" w:hAnsi="Times New Roman" w:cs="Times New Roman"/>
          <w:sz w:val="28"/>
          <w:szCs w:val="28"/>
        </w:rPr>
      </w:pPr>
      <w:r w:rsidRPr="002C09CD">
        <w:rPr>
          <w:rFonts w:ascii="Times New Roman" w:hAnsi="Times New Roman" w:cs="Times New Roman"/>
          <w:sz w:val="28"/>
          <w:szCs w:val="28"/>
        </w:rPr>
        <w:t>La f</w:t>
      </w:r>
      <w:r w:rsidR="00C123EE" w:rsidRPr="002C09CD">
        <w:rPr>
          <w:rFonts w:ascii="Times New Roman" w:hAnsi="Times New Roman" w:cs="Times New Roman"/>
          <w:sz w:val="28"/>
          <w:szCs w:val="28"/>
        </w:rPr>
        <w:t>unzione d</w:t>
      </w:r>
      <w:r w:rsidR="002C09CD">
        <w:rPr>
          <w:rFonts w:ascii="Times New Roman" w:hAnsi="Times New Roman" w:cs="Times New Roman"/>
          <w:sz w:val="28"/>
          <w:szCs w:val="28"/>
        </w:rPr>
        <w:t xml:space="preserve">i tale </w:t>
      </w:r>
      <w:r w:rsidR="00C123EE" w:rsidRPr="002C09CD">
        <w:rPr>
          <w:rFonts w:ascii="Times New Roman" w:hAnsi="Times New Roman" w:cs="Times New Roman"/>
          <w:sz w:val="28"/>
          <w:szCs w:val="28"/>
        </w:rPr>
        <w:t>certificazione</w:t>
      </w:r>
      <w:r w:rsidRPr="002C09CD">
        <w:rPr>
          <w:rFonts w:ascii="Times New Roman" w:hAnsi="Times New Roman" w:cs="Times New Roman"/>
          <w:sz w:val="28"/>
          <w:szCs w:val="28"/>
        </w:rPr>
        <w:t xml:space="preserve"> viene </w:t>
      </w:r>
      <w:r w:rsidR="003407CD" w:rsidRPr="002C09CD">
        <w:rPr>
          <w:rFonts w:ascii="Times New Roman" w:hAnsi="Times New Roman" w:cs="Times New Roman"/>
          <w:sz w:val="28"/>
          <w:szCs w:val="28"/>
        </w:rPr>
        <w:t xml:space="preserve">essenzialmente </w:t>
      </w:r>
      <w:r w:rsidRPr="002C09CD">
        <w:rPr>
          <w:rFonts w:ascii="Times New Roman" w:hAnsi="Times New Roman" w:cs="Times New Roman"/>
          <w:sz w:val="28"/>
          <w:szCs w:val="28"/>
        </w:rPr>
        <w:t xml:space="preserve">individuata, in consonanza con l’ordinanza di rimessione, nella possibilità di avvalersi della </w:t>
      </w:r>
      <w:r w:rsidR="00C123EE" w:rsidRPr="002C09CD">
        <w:rPr>
          <w:rFonts w:ascii="Times New Roman" w:hAnsi="Times New Roman" w:cs="Times New Roman"/>
          <w:sz w:val="28"/>
          <w:szCs w:val="28"/>
        </w:rPr>
        <w:t>esportazione semplificata</w:t>
      </w:r>
      <w:r w:rsidRPr="002C09CD">
        <w:rPr>
          <w:rFonts w:ascii="Times New Roman" w:hAnsi="Times New Roman" w:cs="Times New Roman"/>
          <w:sz w:val="28"/>
          <w:szCs w:val="28"/>
        </w:rPr>
        <w:t xml:space="preserve"> e nell’e</w:t>
      </w:r>
      <w:r w:rsidR="00C123EE" w:rsidRPr="002C09CD">
        <w:rPr>
          <w:rFonts w:ascii="Times New Roman" w:hAnsi="Times New Roman" w:cs="Times New Roman"/>
          <w:sz w:val="28"/>
          <w:szCs w:val="28"/>
        </w:rPr>
        <w:t>sclu</w:t>
      </w:r>
      <w:r w:rsidRPr="002C09CD">
        <w:rPr>
          <w:rFonts w:ascii="Times New Roman" w:hAnsi="Times New Roman" w:cs="Times New Roman"/>
          <w:sz w:val="28"/>
          <w:szCs w:val="28"/>
        </w:rPr>
        <w:t>sione del</w:t>
      </w:r>
      <w:r w:rsidR="00C123EE" w:rsidRPr="002C09CD">
        <w:rPr>
          <w:rFonts w:ascii="Times New Roman" w:hAnsi="Times New Roman" w:cs="Times New Roman"/>
          <w:sz w:val="28"/>
          <w:szCs w:val="28"/>
        </w:rPr>
        <w:t>l’applicazione della tutela italiana durante la permanenza</w:t>
      </w:r>
      <w:r w:rsidR="00FA3058" w:rsidRPr="002C09CD">
        <w:rPr>
          <w:rStyle w:val="Rimandonotaapidipagina"/>
          <w:rFonts w:ascii="Times New Roman" w:hAnsi="Times New Roman" w:cs="Times New Roman"/>
          <w:sz w:val="28"/>
          <w:szCs w:val="28"/>
        </w:rPr>
        <w:footnoteReference w:id="10"/>
      </w:r>
      <w:r w:rsidRPr="002C09CD">
        <w:rPr>
          <w:rFonts w:ascii="Times New Roman" w:hAnsi="Times New Roman" w:cs="Times New Roman"/>
          <w:sz w:val="28"/>
          <w:szCs w:val="28"/>
        </w:rPr>
        <w:t>.</w:t>
      </w:r>
    </w:p>
    <w:p w14:paraId="695A9201" w14:textId="4AFB4A7A" w:rsidR="00C123EE" w:rsidRPr="00186819" w:rsidRDefault="002F098E" w:rsidP="00C123EE">
      <w:pPr>
        <w:jc w:val="both"/>
        <w:rPr>
          <w:rFonts w:ascii="Times New Roman" w:hAnsi="Times New Roman" w:cs="Times New Roman"/>
          <w:sz w:val="28"/>
          <w:szCs w:val="28"/>
        </w:rPr>
      </w:pPr>
      <w:r w:rsidRPr="00186819">
        <w:rPr>
          <w:rFonts w:ascii="Times New Roman" w:hAnsi="Times New Roman" w:cs="Times New Roman"/>
          <w:sz w:val="28"/>
          <w:szCs w:val="28"/>
        </w:rPr>
        <w:lastRenderedPageBreak/>
        <w:t xml:space="preserve">Negare tale certificazione in relazione ai </w:t>
      </w:r>
      <w:r w:rsidR="00C123EE" w:rsidRPr="00186819">
        <w:rPr>
          <w:rFonts w:ascii="Times New Roman" w:hAnsi="Times New Roman" w:cs="Times New Roman"/>
          <w:sz w:val="28"/>
          <w:szCs w:val="28"/>
        </w:rPr>
        <w:t>beni sotto soglia</w:t>
      </w:r>
      <w:r w:rsidR="003407CD" w:rsidRPr="00186819">
        <w:rPr>
          <w:rFonts w:ascii="Times New Roman" w:hAnsi="Times New Roman" w:cs="Times New Roman"/>
          <w:sz w:val="28"/>
          <w:szCs w:val="28"/>
        </w:rPr>
        <w:t>, secondo la Consulta,</w:t>
      </w:r>
      <w:r w:rsidR="00C123EE"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realizza una </w:t>
      </w:r>
      <w:r w:rsidR="00C123EE" w:rsidRPr="00186819">
        <w:rPr>
          <w:rFonts w:ascii="Times New Roman" w:hAnsi="Times New Roman" w:cs="Times New Roman"/>
          <w:sz w:val="28"/>
          <w:szCs w:val="28"/>
        </w:rPr>
        <w:t>disparità di trattamento irragionevole</w:t>
      </w:r>
      <w:r w:rsidRPr="00186819">
        <w:rPr>
          <w:rFonts w:ascii="Times New Roman" w:hAnsi="Times New Roman" w:cs="Times New Roman"/>
          <w:sz w:val="28"/>
          <w:szCs w:val="28"/>
        </w:rPr>
        <w:t xml:space="preserve"> e la </w:t>
      </w:r>
      <w:r w:rsidR="00C123EE" w:rsidRPr="00186819">
        <w:rPr>
          <w:rFonts w:ascii="Times New Roman" w:hAnsi="Times New Roman" w:cs="Times New Roman"/>
          <w:sz w:val="28"/>
          <w:szCs w:val="28"/>
        </w:rPr>
        <w:t xml:space="preserve">compressione </w:t>
      </w:r>
      <w:r w:rsidRPr="00186819">
        <w:rPr>
          <w:rFonts w:ascii="Times New Roman" w:hAnsi="Times New Roman" w:cs="Times New Roman"/>
          <w:sz w:val="28"/>
          <w:szCs w:val="28"/>
        </w:rPr>
        <w:t xml:space="preserve">sproporzionata </w:t>
      </w:r>
      <w:r w:rsidR="00C123EE" w:rsidRPr="00186819">
        <w:rPr>
          <w:rFonts w:ascii="Times New Roman" w:hAnsi="Times New Roman" w:cs="Times New Roman"/>
          <w:sz w:val="28"/>
          <w:szCs w:val="28"/>
        </w:rPr>
        <w:t>d</w:t>
      </w:r>
      <w:r w:rsidRPr="00186819">
        <w:rPr>
          <w:rFonts w:ascii="Times New Roman" w:hAnsi="Times New Roman" w:cs="Times New Roman"/>
          <w:sz w:val="28"/>
          <w:szCs w:val="28"/>
        </w:rPr>
        <w:t>ella</w:t>
      </w:r>
      <w:r w:rsidR="00C123EE" w:rsidRPr="00186819">
        <w:rPr>
          <w:rFonts w:ascii="Times New Roman" w:hAnsi="Times New Roman" w:cs="Times New Roman"/>
          <w:sz w:val="28"/>
          <w:szCs w:val="28"/>
        </w:rPr>
        <w:t xml:space="preserve"> proprietà e </w:t>
      </w:r>
      <w:r w:rsidRPr="00186819">
        <w:rPr>
          <w:rFonts w:ascii="Times New Roman" w:hAnsi="Times New Roman" w:cs="Times New Roman"/>
          <w:sz w:val="28"/>
          <w:szCs w:val="28"/>
        </w:rPr>
        <w:t>dell’</w:t>
      </w:r>
      <w:r w:rsidR="00C123EE" w:rsidRPr="00186819">
        <w:rPr>
          <w:rFonts w:ascii="Times New Roman" w:hAnsi="Times New Roman" w:cs="Times New Roman"/>
          <w:sz w:val="28"/>
          <w:szCs w:val="28"/>
        </w:rPr>
        <w:t>iniziativa economica</w:t>
      </w:r>
      <w:r w:rsidR="003407CD" w:rsidRPr="00186819">
        <w:rPr>
          <w:rFonts w:ascii="Times New Roman" w:hAnsi="Times New Roman" w:cs="Times New Roman"/>
          <w:sz w:val="28"/>
          <w:szCs w:val="28"/>
        </w:rPr>
        <w:t>.</w:t>
      </w:r>
    </w:p>
    <w:p w14:paraId="6FBA2672" w14:textId="021CC652" w:rsidR="00C123EE" w:rsidRPr="00186819" w:rsidRDefault="002F098E" w:rsidP="00C123EE">
      <w:pPr>
        <w:jc w:val="both"/>
        <w:rPr>
          <w:rFonts w:ascii="Times New Roman" w:hAnsi="Times New Roman" w:cs="Times New Roman"/>
          <w:sz w:val="28"/>
          <w:szCs w:val="28"/>
        </w:rPr>
      </w:pPr>
      <w:r w:rsidRPr="00186819">
        <w:rPr>
          <w:rFonts w:ascii="Times New Roman" w:hAnsi="Times New Roman" w:cs="Times New Roman"/>
          <w:sz w:val="28"/>
          <w:szCs w:val="28"/>
        </w:rPr>
        <w:t>Del resto</w:t>
      </w:r>
      <w:r w:rsidR="003407CD" w:rsidRPr="00186819">
        <w:rPr>
          <w:rFonts w:ascii="Times New Roman" w:hAnsi="Times New Roman" w:cs="Times New Roman"/>
          <w:sz w:val="28"/>
          <w:szCs w:val="28"/>
        </w:rPr>
        <w:t>,</w:t>
      </w:r>
      <w:r w:rsidRPr="00186819">
        <w:rPr>
          <w:rFonts w:ascii="Times New Roman" w:hAnsi="Times New Roman" w:cs="Times New Roman"/>
          <w:sz w:val="28"/>
          <w:szCs w:val="28"/>
        </w:rPr>
        <w:t xml:space="preserve"> i </w:t>
      </w:r>
      <w:r w:rsidR="00C123EE" w:rsidRPr="00186819">
        <w:rPr>
          <w:rFonts w:ascii="Times New Roman" w:hAnsi="Times New Roman" w:cs="Times New Roman"/>
          <w:sz w:val="28"/>
          <w:szCs w:val="28"/>
        </w:rPr>
        <w:t>beni di minor valore</w:t>
      </w:r>
      <w:r w:rsidRPr="00186819">
        <w:rPr>
          <w:rFonts w:ascii="Times New Roman" w:hAnsi="Times New Roman" w:cs="Times New Roman"/>
          <w:sz w:val="28"/>
          <w:szCs w:val="28"/>
        </w:rPr>
        <w:t xml:space="preserve"> </w:t>
      </w:r>
      <w:r w:rsidR="00C123EE" w:rsidRPr="00186819">
        <w:rPr>
          <w:rFonts w:ascii="Times New Roman" w:hAnsi="Times New Roman" w:cs="Times New Roman"/>
          <w:sz w:val="28"/>
          <w:szCs w:val="28"/>
        </w:rPr>
        <w:t>circolano più frequentemente</w:t>
      </w:r>
      <w:r w:rsidRPr="00186819">
        <w:rPr>
          <w:rFonts w:ascii="Times New Roman" w:hAnsi="Times New Roman" w:cs="Times New Roman"/>
          <w:sz w:val="28"/>
          <w:szCs w:val="28"/>
        </w:rPr>
        <w:t xml:space="preserve"> ed </w:t>
      </w:r>
      <w:r w:rsidR="00C123EE" w:rsidRPr="00186819">
        <w:rPr>
          <w:rFonts w:ascii="Times New Roman" w:hAnsi="Times New Roman" w:cs="Times New Roman"/>
          <w:sz w:val="28"/>
          <w:szCs w:val="28"/>
        </w:rPr>
        <w:t>hanno maggiore bisogno di semplificazione</w:t>
      </w:r>
      <w:r w:rsidRPr="00186819">
        <w:rPr>
          <w:rFonts w:ascii="Times New Roman" w:hAnsi="Times New Roman" w:cs="Times New Roman"/>
          <w:sz w:val="28"/>
          <w:szCs w:val="28"/>
        </w:rPr>
        <w:t>, per cui la</w:t>
      </w:r>
      <w:r w:rsidR="00C123EE" w:rsidRPr="00186819">
        <w:rPr>
          <w:rFonts w:ascii="Times New Roman" w:hAnsi="Times New Roman" w:cs="Times New Roman"/>
          <w:sz w:val="28"/>
          <w:szCs w:val="28"/>
        </w:rPr>
        <w:t xml:space="preserve"> distinzione per valore è priva di giustificazione.</w:t>
      </w:r>
    </w:p>
    <w:p w14:paraId="1B5FA8A8" w14:textId="24F0DFBA" w:rsidR="00C123EE" w:rsidRPr="00186819" w:rsidRDefault="00C123EE" w:rsidP="00C123EE">
      <w:pPr>
        <w:jc w:val="both"/>
        <w:rPr>
          <w:rFonts w:ascii="Times New Roman" w:hAnsi="Times New Roman" w:cs="Times New Roman"/>
          <w:sz w:val="28"/>
          <w:szCs w:val="28"/>
        </w:rPr>
      </w:pPr>
      <w:r w:rsidRPr="00186819">
        <w:rPr>
          <w:rFonts w:ascii="Times New Roman" w:hAnsi="Times New Roman" w:cs="Times New Roman"/>
          <w:sz w:val="28"/>
          <w:szCs w:val="28"/>
        </w:rPr>
        <w:t xml:space="preserve">La Corte </w:t>
      </w:r>
      <w:r w:rsidR="002F098E" w:rsidRPr="00186819">
        <w:rPr>
          <w:rFonts w:ascii="Times New Roman" w:hAnsi="Times New Roman" w:cs="Times New Roman"/>
          <w:sz w:val="28"/>
          <w:szCs w:val="28"/>
        </w:rPr>
        <w:t>dichiara quindi la parziale i</w:t>
      </w:r>
      <w:r w:rsidRPr="00186819">
        <w:rPr>
          <w:rFonts w:ascii="Times New Roman" w:hAnsi="Times New Roman" w:cs="Times New Roman"/>
          <w:sz w:val="28"/>
          <w:szCs w:val="28"/>
        </w:rPr>
        <w:t>llegittimità costituzionale</w:t>
      </w:r>
      <w:r w:rsidR="002F098E" w:rsidRPr="00186819">
        <w:rPr>
          <w:rFonts w:ascii="Times New Roman" w:hAnsi="Times New Roman" w:cs="Times New Roman"/>
          <w:sz w:val="28"/>
          <w:szCs w:val="28"/>
        </w:rPr>
        <w:t xml:space="preserve"> dell’art</w:t>
      </w:r>
      <w:r w:rsidRPr="00186819">
        <w:rPr>
          <w:rFonts w:ascii="Times New Roman" w:hAnsi="Times New Roman" w:cs="Times New Roman"/>
          <w:sz w:val="28"/>
          <w:szCs w:val="28"/>
        </w:rPr>
        <w:t>. 72, comma 1</w:t>
      </w:r>
      <w:r w:rsidR="002F098E" w:rsidRPr="00186819">
        <w:rPr>
          <w:rFonts w:ascii="Times New Roman" w:hAnsi="Times New Roman" w:cs="Times New Roman"/>
          <w:sz w:val="28"/>
          <w:szCs w:val="28"/>
        </w:rPr>
        <w:t xml:space="preserve">, del Codice nella parte in cui non </w:t>
      </w:r>
      <w:r w:rsidRPr="00186819">
        <w:rPr>
          <w:rFonts w:ascii="Times New Roman" w:hAnsi="Times New Roman" w:cs="Times New Roman"/>
          <w:sz w:val="28"/>
          <w:szCs w:val="28"/>
        </w:rPr>
        <w:t>prevede la certificazione anche per</w:t>
      </w:r>
      <w:r w:rsidR="002F098E" w:rsidRPr="00186819">
        <w:rPr>
          <w:rFonts w:ascii="Times New Roman" w:hAnsi="Times New Roman" w:cs="Times New Roman"/>
          <w:sz w:val="28"/>
          <w:szCs w:val="28"/>
        </w:rPr>
        <w:t xml:space="preserve"> i </w:t>
      </w:r>
      <w:r w:rsidRPr="00186819">
        <w:rPr>
          <w:rFonts w:ascii="Times New Roman" w:hAnsi="Times New Roman" w:cs="Times New Roman"/>
          <w:sz w:val="28"/>
          <w:szCs w:val="28"/>
        </w:rPr>
        <w:t xml:space="preserve">beni sotto soglia </w:t>
      </w:r>
      <w:r w:rsidR="002F098E" w:rsidRPr="00186819">
        <w:rPr>
          <w:rFonts w:ascii="Times New Roman" w:hAnsi="Times New Roman" w:cs="Times New Roman"/>
          <w:sz w:val="28"/>
          <w:szCs w:val="28"/>
        </w:rPr>
        <w:t>di cui all’</w:t>
      </w:r>
      <w:r w:rsidRPr="00186819">
        <w:rPr>
          <w:rFonts w:ascii="Times New Roman" w:hAnsi="Times New Roman" w:cs="Times New Roman"/>
          <w:sz w:val="28"/>
          <w:szCs w:val="28"/>
        </w:rPr>
        <w:t>art. 65, comma 4, lett. b)</w:t>
      </w:r>
      <w:r w:rsidR="00E33A60" w:rsidRPr="00186819">
        <w:rPr>
          <w:rFonts w:ascii="Times New Roman" w:hAnsi="Times New Roman" w:cs="Times New Roman"/>
          <w:sz w:val="28"/>
          <w:szCs w:val="28"/>
        </w:rPr>
        <w:t xml:space="preserve"> del Codice.</w:t>
      </w:r>
    </w:p>
    <w:p w14:paraId="35B9CD03" w14:textId="77777777" w:rsidR="002C332E" w:rsidRPr="00186819" w:rsidRDefault="002F098E" w:rsidP="002C332E">
      <w:pPr>
        <w:jc w:val="both"/>
        <w:rPr>
          <w:rFonts w:ascii="Times New Roman" w:hAnsi="Times New Roman" w:cs="Times New Roman"/>
          <w:sz w:val="28"/>
          <w:szCs w:val="28"/>
        </w:rPr>
      </w:pPr>
      <w:r w:rsidRPr="00186819">
        <w:rPr>
          <w:rFonts w:ascii="Times New Roman" w:hAnsi="Times New Roman" w:cs="Times New Roman"/>
          <w:sz w:val="28"/>
          <w:szCs w:val="28"/>
        </w:rPr>
        <w:t xml:space="preserve">La stessa </w:t>
      </w:r>
      <w:r w:rsidR="00C123EE" w:rsidRPr="00186819">
        <w:rPr>
          <w:rFonts w:ascii="Times New Roman" w:hAnsi="Times New Roman" w:cs="Times New Roman"/>
          <w:sz w:val="28"/>
          <w:szCs w:val="28"/>
        </w:rPr>
        <w:t xml:space="preserve">illegittimità </w:t>
      </w:r>
      <w:r w:rsidRPr="00186819">
        <w:rPr>
          <w:rFonts w:ascii="Times New Roman" w:hAnsi="Times New Roman" w:cs="Times New Roman"/>
          <w:sz w:val="28"/>
          <w:szCs w:val="28"/>
        </w:rPr>
        <w:t xml:space="preserve">viene estesa </w:t>
      </w:r>
      <w:r w:rsidR="00C123EE" w:rsidRPr="00186819">
        <w:rPr>
          <w:rFonts w:ascii="Times New Roman" w:hAnsi="Times New Roman" w:cs="Times New Roman"/>
          <w:sz w:val="28"/>
          <w:szCs w:val="28"/>
        </w:rPr>
        <w:t>anche</w:t>
      </w:r>
      <w:r w:rsidR="002C332E" w:rsidRPr="00186819">
        <w:rPr>
          <w:rFonts w:ascii="Times New Roman" w:hAnsi="Times New Roman" w:cs="Times New Roman"/>
          <w:sz w:val="28"/>
          <w:szCs w:val="28"/>
        </w:rPr>
        <w:t>, ex art. 27 della legge 11 marzo 1953, n. 87 (Norme sulla costituzione e sul funzionamento della Corte costituzionale), ad un’altra norma identica a quella sopra menzionata, relativa ad altra categoria di cose di rilievo culturale. Infatti, in base al combinato disposto degli artt. 72, comma 1, e 65, comma 3, l’esclusione della certificazione di ingresso vige anche per l’ulteriore tipologia di oggetti per i quali (al pari delle opere d’arte antica sotto-soglia) non è prevista l’esportazione su autorizzazione, ma che è sottoposta al regime di esportazione semplificato: vale a dire “</w:t>
      </w:r>
      <w:r w:rsidR="002C332E" w:rsidRPr="00186819">
        <w:rPr>
          <w:rFonts w:ascii="Times New Roman" w:hAnsi="Times New Roman" w:cs="Times New Roman"/>
          <w:i/>
          <w:iCs/>
          <w:sz w:val="28"/>
          <w:szCs w:val="28"/>
        </w:rPr>
        <w:t>le opere di pittura, di scultura, di grafica e qualsiasi oggetto d’arte di autore vivente o la cui esecuzione non risalga ad oltre settanta anni» (combinato disposto degli artt. 65, comma 4, lettera a, e 11, comma 1, lettera d)</w:t>
      </w:r>
      <w:r w:rsidR="002C332E" w:rsidRPr="00186819">
        <w:rPr>
          <w:rFonts w:ascii="Times New Roman" w:hAnsi="Times New Roman" w:cs="Times New Roman"/>
          <w:sz w:val="28"/>
          <w:szCs w:val="28"/>
        </w:rPr>
        <w:t>”.</w:t>
      </w:r>
    </w:p>
    <w:p w14:paraId="5F5C5BA6" w14:textId="58E5B8A7" w:rsidR="00964725" w:rsidRPr="00186819" w:rsidRDefault="002C332E" w:rsidP="002C332E">
      <w:pPr>
        <w:jc w:val="both"/>
        <w:rPr>
          <w:rFonts w:ascii="Times New Roman" w:hAnsi="Times New Roman" w:cs="Times New Roman"/>
          <w:sz w:val="28"/>
          <w:szCs w:val="28"/>
        </w:rPr>
      </w:pPr>
      <w:r w:rsidRPr="00186819">
        <w:rPr>
          <w:rFonts w:ascii="Times New Roman" w:hAnsi="Times New Roman" w:cs="Times New Roman"/>
          <w:sz w:val="28"/>
          <w:szCs w:val="28"/>
        </w:rPr>
        <w:t>Per i beni appena citati, ritiene la Consulta che vada ancor di più preservato il libero esercizio del mercato dell’arte e delle facoltà del proprietario, perché si tratta di opere che</w:t>
      </w:r>
      <w:r w:rsidR="00964725" w:rsidRPr="00186819">
        <w:rPr>
          <w:rFonts w:ascii="Times New Roman" w:hAnsi="Times New Roman" w:cs="Times New Roman"/>
          <w:sz w:val="28"/>
          <w:szCs w:val="28"/>
        </w:rPr>
        <w:t>,</w:t>
      </w:r>
      <w:r w:rsidRPr="00186819">
        <w:rPr>
          <w:rFonts w:ascii="Times New Roman" w:hAnsi="Times New Roman" w:cs="Times New Roman"/>
          <w:sz w:val="28"/>
          <w:szCs w:val="28"/>
        </w:rPr>
        <w:t xml:space="preserve"> in base all’art. 10, comma 5, del Codice</w:t>
      </w:r>
      <w:r w:rsidR="00964725" w:rsidRPr="00186819">
        <w:rPr>
          <w:rFonts w:ascii="Times New Roman" w:hAnsi="Times New Roman" w:cs="Times New Roman"/>
          <w:sz w:val="28"/>
          <w:szCs w:val="28"/>
        </w:rPr>
        <w:t>,</w:t>
      </w:r>
      <w:r w:rsidRPr="00186819">
        <w:rPr>
          <w:rFonts w:ascii="Times New Roman" w:hAnsi="Times New Roman" w:cs="Times New Roman"/>
          <w:sz w:val="28"/>
          <w:szCs w:val="28"/>
        </w:rPr>
        <w:t xml:space="preserve"> sono </w:t>
      </w:r>
      <w:r w:rsidR="00964725" w:rsidRPr="00186819">
        <w:rPr>
          <w:rFonts w:ascii="Times New Roman" w:hAnsi="Times New Roman" w:cs="Times New Roman"/>
          <w:sz w:val="28"/>
          <w:szCs w:val="28"/>
        </w:rPr>
        <w:t>in linea di massima escl</w:t>
      </w:r>
      <w:r w:rsidRPr="00186819">
        <w:rPr>
          <w:rFonts w:ascii="Times New Roman" w:hAnsi="Times New Roman" w:cs="Times New Roman"/>
          <w:sz w:val="28"/>
          <w:szCs w:val="28"/>
        </w:rPr>
        <w:t xml:space="preserve">use dal </w:t>
      </w:r>
      <w:r w:rsidRPr="00186819">
        <w:rPr>
          <w:rFonts w:ascii="Times New Roman" w:hAnsi="Times New Roman" w:cs="Times New Roman"/>
          <w:sz w:val="28"/>
          <w:szCs w:val="28"/>
        </w:rPr>
        <w:lastRenderedPageBreak/>
        <w:t>patrimonio culturale</w:t>
      </w:r>
      <w:r w:rsidR="00964725" w:rsidRPr="00186819">
        <w:rPr>
          <w:rFonts w:ascii="Times New Roman" w:hAnsi="Times New Roman" w:cs="Times New Roman"/>
          <w:sz w:val="28"/>
          <w:szCs w:val="28"/>
        </w:rPr>
        <w:t xml:space="preserve">, </w:t>
      </w:r>
      <w:r w:rsidRPr="00186819">
        <w:rPr>
          <w:rFonts w:ascii="Times New Roman" w:hAnsi="Times New Roman" w:cs="Times New Roman"/>
          <w:sz w:val="28"/>
          <w:szCs w:val="28"/>
        </w:rPr>
        <w:t>per la precisa scelta legislativa</w:t>
      </w:r>
      <w:r w:rsidR="00964725" w:rsidRPr="00186819">
        <w:rPr>
          <w:rFonts w:ascii="Times New Roman" w:hAnsi="Times New Roman" w:cs="Times New Roman"/>
          <w:sz w:val="28"/>
          <w:szCs w:val="28"/>
        </w:rPr>
        <w:t xml:space="preserve">, recata in particolare </w:t>
      </w:r>
      <w:r w:rsidRPr="00186819">
        <w:rPr>
          <w:rFonts w:ascii="Times New Roman" w:hAnsi="Times New Roman" w:cs="Times New Roman"/>
          <w:sz w:val="28"/>
          <w:szCs w:val="28"/>
        </w:rPr>
        <w:t>dalla riforma del 2017</w:t>
      </w:r>
      <w:r w:rsidR="00964725" w:rsidRPr="00186819">
        <w:rPr>
          <w:rFonts w:ascii="Times New Roman" w:hAnsi="Times New Roman" w:cs="Times New Roman"/>
          <w:sz w:val="28"/>
          <w:szCs w:val="28"/>
        </w:rPr>
        <w:t>,</w:t>
      </w:r>
      <w:r w:rsidRPr="00186819">
        <w:rPr>
          <w:rFonts w:ascii="Times New Roman" w:hAnsi="Times New Roman" w:cs="Times New Roman"/>
          <w:sz w:val="28"/>
          <w:szCs w:val="28"/>
        </w:rPr>
        <w:t xml:space="preserve"> di lasciare libera da limiti la produzione e la commercializzazione delle opere di artisti in vita o il mercato di opere di artisti deceduti, ma di recente esecuzione, di cui è prematura la valutazione artistica</w:t>
      </w:r>
      <w:r w:rsidR="00964725" w:rsidRPr="00186819">
        <w:rPr>
          <w:rFonts w:ascii="Times New Roman" w:hAnsi="Times New Roman" w:cs="Times New Roman"/>
          <w:sz w:val="28"/>
          <w:szCs w:val="28"/>
        </w:rPr>
        <w:t>.</w:t>
      </w:r>
    </w:p>
    <w:p w14:paraId="6ABACA39" w14:textId="21A95EB8" w:rsidR="00964725" w:rsidRPr="00186819" w:rsidRDefault="00964725" w:rsidP="003407CD">
      <w:pPr>
        <w:pStyle w:val="Paragrafoelenco"/>
        <w:numPr>
          <w:ilvl w:val="0"/>
          <w:numId w:val="6"/>
        </w:numPr>
        <w:jc w:val="both"/>
        <w:rPr>
          <w:rFonts w:ascii="Times New Roman" w:hAnsi="Times New Roman" w:cs="Times New Roman"/>
          <w:b/>
          <w:bCs/>
          <w:i/>
          <w:iCs/>
          <w:sz w:val="28"/>
          <w:szCs w:val="28"/>
        </w:rPr>
      </w:pPr>
      <w:r w:rsidRPr="00186819">
        <w:rPr>
          <w:rFonts w:ascii="Times New Roman" w:hAnsi="Times New Roman" w:cs="Times New Roman"/>
          <w:b/>
          <w:bCs/>
          <w:i/>
          <w:iCs/>
          <w:sz w:val="28"/>
          <w:szCs w:val="28"/>
        </w:rPr>
        <w:t>Considerazioni</w:t>
      </w:r>
      <w:r w:rsidR="0037484B" w:rsidRPr="00186819">
        <w:rPr>
          <w:rFonts w:ascii="Times New Roman" w:hAnsi="Times New Roman" w:cs="Times New Roman"/>
          <w:b/>
          <w:bCs/>
          <w:i/>
          <w:iCs/>
          <w:sz w:val="28"/>
          <w:szCs w:val="28"/>
        </w:rPr>
        <w:t xml:space="preserve"> e cenni al recente intervento normativo</w:t>
      </w:r>
      <w:r w:rsidRPr="00186819">
        <w:rPr>
          <w:rFonts w:ascii="Times New Roman" w:hAnsi="Times New Roman" w:cs="Times New Roman"/>
          <w:b/>
          <w:bCs/>
          <w:i/>
          <w:iCs/>
          <w:sz w:val="28"/>
          <w:szCs w:val="28"/>
        </w:rPr>
        <w:t>.</w:t>
      </w:r>
    </w:p>
    <w:p w14:paraId="0A84849A" w14:textId="473C38FF" w:rsidR="00920199" w:rsidRPr="00186819" w:rsidRDefault="00964725" w:rsidP="00F74E62">
      <w:pPr>
        <w:jc w:val="both"/>
        <w:rPr>
          <w:rFonts w:ascii="Times New Roman" w:hAnsi="Times New Roman" w:cs="Times New Roman"/>
          <w:sz w:val="28"/>
          <w:szCs w:val="28"/>
        </w:rPr>
      </w:pPr>
      <w:r w:rsidRPr="00186819">
        <w:rPr>
          <w:rFonts w:ascii="Times New Roman" w:hAnsi="Times New Roman" w:cs="Times New Roman"/>
          <w:sz w:val="28"/>
          <w:szCs w:val="28"/>
        </w:rPr>
        <w:t xml:space="preserve">Come </w:t>
      </w:r>
      <w:r w:rsidR="00F74E62" w:rsidRPr="00186819">
        <w:rPr>
          <w:rFonts w:ascii="Times New Roman" w:hAnsi="Times New Roman" w:cs="Times New Roman"/>
          <w:sz w:val="28"/>
          <w:szCs w:val="28"/>
        </w:rPr>
        <w:t xml:space="preserve">sopra </w:t>
      </w:r>
      <w:r w:rsidR="00E33A60" w:rsidRPr="00186819">
        <w:rPr>
          <w:rFonts w:ascii="Times New Roman" w:hAnsi="Times New Roman" w:cs="Times New Roman"/>
          <w:sz w:val="28"/>
          <w:szCs w:val="28"/>
        </w:rPr>
        <w:t>ricordato</w:t>
      </w:r>
      <w:r w:rsidR="00F74E62" w:rsidRPr="00186819">
        <w:rPr>
          <w:rFonts w:ascii="Times New Roman" w:hAnsi="Times New Roman" w:cs="Times New Roman"/>
          <w:sz w:val="28"/>
          <w:szCs w:val="28"/>
        </w:rPr>
        <w:t>,</w:t>
      </w:r>
      <w:r w:rsidR="009751CF" w:rsidRPr="00186819">
        <w:rPr>
          <w:rFonts w:ascii="Times New Roman" w:hAnsi="Times New Roman" w:cs="Times New Roman"/>
          <w:sz w:val="28"/>
          <w:szCs w:val="28"/>
        </w:rPr>
        <w:t xml:space="preserve"> </w:t>
      </w:r>
      <w:r w:rsidRPr="00186819">
        <w:rPr>
          <w:rFonts w:ascii="Times New Roman" w:hAnsi="Times New Roman" w:cs="Times New Roman"/>
          <w:sz w:val="28"/>
          <w:szCs w:val="28"/>
        </w:rPr>
        <w:t>la Consulta</w:t>
      </w:r>
      <w:r w:rsidR="0037484B" w:rsidRPr="00186819">
        <w:rPr>
          <w:rFonts w:ascii="Times New Roman" w:hAnsi="Times New Roman" w:cs="Times New Roman"/>
          <w:sz w:val="28"/>
          <w:szCs w:val="28"/>
        </w:rPr>
        <w:t>:</w:t>
      </w:r>
      <w:r w:rsidR="009751CF" w:rsidRPr="00186819">
        <w:rPr>
          <w:rFonts w:ascii="Times New Roman" w:hAnsi="Times New Roman" w:cs="Times New Roman"/>
          <w:sz w:val="28"/>
          <w:szCs w:val="28"/>
        </w:rPr>
        <w:t xml:space="preserve"> con la prima sentenza in precedenza esposta, ha ritenuto conforme a Costituzione </w:t>
      </w:r>
      <w:r w:rsidR="00E82426" w:rsidRPr="00186819">
        <w:rPr>
          <w:rFonts w:ascii="Times New Roman" w:hAnsi="Times New Roman" w:cs="Times New Roman"/>
          <w:sz w:val="28"/>
          <w:szCs w:val="28"/>
        </w:rPr>
        <w:t xml:space="preserve">la disciplina </w:t>
      </w:r>
      <w:r w:rsidR="00D15554" w:rsidRPr="00186819">
        <w:rPr>
          <w:rFonts w:ascii="Times New Roman" w:hAnsi="Times New Roman" w:cs="Times New Roman"/>
          <w:sz w:val="28"/>
          <w:szCs w:val="28"/>
        </w:rPr>
        <w:t>della legge 241/90, con riguardo ai limiti all’autotutela anche nel settore dei beni culturali</w:t>
      </w:r>
      <w:r w:rsidR="0037484B" w:rsidRPr="00186819">
        <w:rPr>
          <w:rFonts w:ascii="Times New Roman" w:hAnsi="Times New Roman" w:cs="Times New Roman"/>
          <w:sz w:val="28"/>
          <w:szCs w:val="28"/>
        </w:rPr>
        <w:t>;</w:t>
      </w:r>
      <w:r w:rsidR="00D15554" w:rsidRPr="00186819">
        <w:rPr>
          <w:rFonts w:ascii="Times New Roman" w:hAnsi="Times New Roman" w:cs="Times New Roman"/>
          <w:sz w:val="28"/>
          <w:szCs w:val="28"/>
        </w:rPr>
        <w:t xml:space="preserve"> con la seconda ha interpretato il Codice d</w:t>
      </w:r>
      <w:r w:rsidR="0037484B" w:rsidRPr="00186819">
        <w:rPr>
          <w:rFonts w:ascii="Times New Roman" w:hAnsi="Times New Roman" w:cs="Times New Roman"/>
          <w:sz w:val="28"/>
          <w:szCs w:val="28"/>
        </w:rPr>
        <w:t>i</w:t>
      </w:r>
      <w:r w:rsidR="00D15554" w:rsidRPr="00186819">
        <w:rPr>
          <w:rFonts w:ascii="Times New Roman" w:hAnsi="Times New Roman" w:cs="Times New Roman"/>
          <w:sz w:val="28"/>
          <w:szCs w:val="28"/>
        </w:rPr>
        <w:t xml:space="preserve"> settore in maniera tale da consentire l’intervento vincolistico nella generalità dei casi</w:t>
      </w:r>
      <w:r w:rsidR="0037484B" w:rsidRPr="00186819">
        <w:rPr>
          <w:rFonts w:ascii="Times New Roman" w:hAnsi="Times New Roman" w:cs="Times New Roman"/>
          <w:sz w:val="28"/>
          <w:szCs w:val="28"/>
        </w:rPr>
        <w:t xml:space="preserve"> (anche nel contesto dell’esportazione);</w:t>
      </w:r>
      <w:r w:rsidR="00E33A60" w:rsidRPr="00186819">
        <w:rPr>
          <w:rFonts w:ascii="Times New Roman" w:hAnsi="Times New Roman" w:cs="Times New Roman"/>
          <w:sz w:val="28"/>
          <w:szCs w:val="28"/>
        </w:rPr>
        <w:t xml:space="preserve"> </w:t>
      </w:r>
      <w:r w:rsidR="0037484B" w:rsidRPr="00186819">
        <w:rPr>
          <w:rFonts w:ascii="Times New Roman" w:hAnsi="Times New Roman" w:cs="Times New Roman"/>
          <w:sz w:val="28"/>
          <w:szCs w:val="28"/>
        </w:rPr>
        <w:t>con l’ultima decisione in commento,</w:t>
      </w:r>
      <w:r w:rsidR="00E33A60" w:rsidRPr="00186819">
        <w:rPr>
          <w:rFonts w:ascii="Times New Roman" w:hAnsi="Times New Roman" w:cs="Times New Roman"/>
          <w:sz w:val="28"/>
          <w:szCs w:val="28"/>
        </w:rPr>
        <w:t xml:space="preserve"> </w:t>
      </w:r>
      <w:r w:rsidR="0037484B" w:rsidRPr="00186819">
        <w:rPr>
          <w:rFonts w:ascii="Times New Roman" w:hAnsi="Times New Roman" w:cs="Times New Roman"/>
          <w:sz w:val="28"/>
          <w:szCs w:val="28"/>
        </w:rPr>
        <w:t>ha dichiarato parzialmente incostituzionale la disciplina d</w:t>
      </w:r>
      <w:r w:rsidR="00E33A60" w:rsidRPr="00186819">
        <w:rPr>
          <w:rFonts w:ascii="Times New Roman" w:hAnsi="Times New Roman" w:cs="Times New Roman"/>
          <w:sz w:val="28"/>
          <w:szCs w:val="28"/>
        </w:rPr>
        <w:t xml:space="preserve">el </w:t>
      </w:r>
      <w:r w:rsidR="0037484B" w:rsidRPr="00186819">
        <w:rPr>
          <w:rFonts w:ascii="Times New Roman" w:hAnsi="Times New Roman" w:cs="Times New Roman"/>
          <w:sz w:val="28"/>
          <w:szCs w:val="28"/>
        </w:rPr>
        <w:t>Codice</w:t>
      </w:r>
      <w:r w:rsidR="00E33A60" w:rsidRPr="00186819">
        <w:rPr>
          <w:rFonts w:ascii="Times New Roman" w:hAnsi="Times New Roman" w:cs="Times New Roman"/>
          <w:sz w:val="28"/>
          <w:szCs w:val="28"/>
        </w:rPr>
        <w:t xml:space="preserve"> </w:t>
      </w:r>
      <w:r w:rsidR="0037484B" w:rsidRPr="00186819">
        <w:rPr>
          <w:rFonts w:ascii="Times New Roman" w:hAnsi="Times New Roman" w:cs="Times New Roman"/>
          <w:sz w:val="28"/>
          <w:szCs w:val="28"/>
        </w:rPr>
        <w:t>nella parte in cui non prevede un regime amministrativo di certificazione dell’importazione anche per i beni sotto soglia (di cui all’art. 65, comma 4, lett. b), mentre ha ritenuto conforme a Costituzione la previsione di una soglia per consentire la acquisizione coattiva</w:t>
      </w:r>
      <w:r w:rsidR="004B1C24">
        <w:rPr>
          <w:rFonts w:ascii="Times New Roman" w:hAnsi="Times New Roman" w:cs="Times New Roman"/>
          <w:sz w:val="28"/>
          <w:szCs w:val="28"/>
        </w:rPr>
        <w:t xml:space="preserve">, da parte dell’Amministrazione, </w:t>
      </w:r>
      <w:r w:rsidR="0037484B" w:rsidRPr="00186819">
        <w:rPr>
          <w:rFonts w:ascii="Times New Roman" w:hAnsi="Times New Roman" w:cs="Times New Roman"/>
          <w:sz w:val="28"/>
          <w:szCs w:val="28"/>
        </w:rPr>
        <w:t>di un bene culturale in occasione della domanda di esportazione.</w:t>
      </w:r>
      <w:r w:rsidR="00D15554" w:rsidRPr="00186819">
        <w:rPr>
          <w:rFonts w:ascii="Times New Roman" w:hAnsi="Times New Roman" w:cs="Times New Roman"/>
          <w:sz w:val="28"/>
          <w:szCs w:val="28"/>
          <w:highlight w:val="yellow"/>
        </w:rPr>
        <w:t xml:space="preserve"> </w:t>
      </w:r>
    </w:p>
    <w:p w14:paraId="283F56B7" w14:textId="5D225E32" w:rsidR="00E33A60" w:rsidRPr="00186819" w:rsidRDefault="00EC66F2" w:rsidP="00F74E62">
      <w:pPr>
        <w:jc w:val="both"/>
        <w:rPr>
          <w:rFonts w:ascii="Times New Roman" w:hAnsi="Times New Roman" w:cs="Times New Roman"/>
          <w:sz w:val="28"/>
          <w:szCs w:val="28"/>
        </w:rPr>
      </w:pPr>
      <w:r w:rsidRPr="00186819">
        <w:rPr>
          <w:rFonts w:ascii="Times New Roman" w:hAnsi="Times New Roman" w:cs="Times New Roman"/>
          <w:sz w:val="28"/>
          <w:szCs w:val="28"/>
        </w:rPr>
        <w:t xml:space="preserve">Un primo elemento di </w:t>
      </w:r>
      <w:r w:rsidR="00E33A60" w:rsidRPr="00186819">
        <w:rPr>
          <w:rFonts w:ascii="Times New Roman" w:hAnsi="Times New Roman" w:cs="Times New Roman"/>
          <w:sz w:val="28"/>
          <w:szCs w:val="28"/>
        </w:rPr>
        <w:t>rilievo</w:t>
      </w:r>
      <w:r w:rsidR="003407CD" w:rsidRPr="00186819">
        <w:rPr>
          <w:rFonts w:ascii="Times New Roman" w:hAnsi="Times New Roman" w:cs="Times New Roman"/>
          <w:sz w:val="28"/>
          <w:szCs w:val="28"/>
        </w:rPr>
        <w:t xml:space="preserve"> delle pronunzie </w:t>
      </w:r>
      <w:r w:rsidR="00920199" w:rsidRPr="00186819">
        <w:rPr>
          <w:rFonts w:ascii="Times New Roman" w:hAnsi="Times New Roman" w:cs="Times New Roman"/>
          <w:sz w:val="28"/>
          <w:szCs w:val="28"/>
        </w:rPr>
        <w:t>qui in considerazione</w:t>
      </w:r>
      <w:r w:rsidR="000943B3" w:rsidRPr="00186819">
        <w:rPr>
          <w:rFonts w:ascii="Times New Roman" w:hAnsi="Times New Roman" w:cs="Times New Roman"/>
          <w:sz w:val="28"/>
          <w:szCs w:val="28"/>
        </w:rPr>
        <w:t>,</w:t>
      </w:r>
      <w:r w:rsidR="00E33A60"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riguarda la circostanza che, nel complesso, la proprietà e l’autonomia privata sono state, </w:t>
      </w:r>
      <w:r w:rsidR="0037484B" w:rsidRPr="00186819">
        <w:rPr>
          <w:rFonts w:ascii="Times New Roman" w:hAnsi="Times New Roman" w:cs="Times New Roman"/>
          <w:sz w:val="28"/>
          <w:szCs w:val="28"/>
        </w:rPr>
        <w:t xml:space="preserve">in particolare nella prima e nell’ultima delle </w:t>
      </w:r>
      <w:r w:rsidR="000943B3" w:rsidRPr="00186819">
        <w:rPr>
          <w:rFonts w:ascii="Times New Roman" w:hAnsi="Times New Roman" w:cs="Times New Roman"/>
          <w:sz w:val="28"/>
          <w:szCs w:val="28"/>
        </w:rPr>
        <w:t>decisioni</w:t>
      </w:r>
      <w:r w:rsidR="0037484B" w:rsidRPr="00186819">
        <w:rPr>
          <w:rFonts w:ascii="Times New Roman" w:hAnsi="Times New Roman" w:cs="Times New Roman"/>
          <w:sz w:val="28"/>
          <w:szCs w:val="28"/>
        </w:rPr>
        <w:t xml:space="preserve"> sopra citate</w:t>
      </w:r>
      <w:r w:rsidRPr="00186819">
        <w:rPr>
          <w:rFonts w:ascii="Times New Roman" w:hAnsi="Times New Roman" w:cs="Times New Roman"/>
          <w:sz w:val="28"/>
          <w:szCs w:val="28"/>
        </w:rPr>
        <w:t xml:space="preserve">, </w:t>
      </w:r>
      <w:r w:rsidR="0037484B" w:rsidRPr="00186819">
        <w:rPr>
          <w:rFonts w:ascii="Times New Roman" w:hAnsi="Times New Roman" w:cs="Times New Roman"/>
          <w:sz w:val="28"/>
          <w:szCs w:val="28"/>
        </w:rPr>
        <w:t>pienamente garantite nell’ambito d</w:t>
      </w:r>
      <w:r w:rsidRPr="00186819">
        <w:rPr>
          <w:rFonts w:ascii="Times New Roman" w:hAnsi="Times New Roman" w:cs="Times New Roman"/>
          <w:sz w:val="28"/>
          <w:szCs w:val="28"/>
        </w:rPr>
        <w:t>el bilanciamento degli interessi</w:t>
      </w:r>
      <w:r w:rsidR="0037484B"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rispetto ai poteri tutori in tema di beni culturali affidati all’Amministrazione. </w:t>
      </w:r>
    </w:p>
    <w:p w14:paraId="22A7BF6F" w14:textId="24EB04FA" w:rsidR="0037484B" w:rsidRPr="00186819" w:rsidRDefault="00EC66F2" w:rsidP="00F74E62">
      <w:pPr>
        <w:jc w:val="both"/>
        <w:rPr>
          <w:rFonts w:ascii="Times New Roman" w:hAnsi="Times New Roman" w:cs="Times New Roman"/>
          <w:sz w:val="28"/>
          <w:szCs w:val="28"/>
        </w:rPr>
      </w:pPr>
      <w:r w:rsidRPr="00186819">
        <w:rPr>
          <w:rFonts w:ascii="Times New Roman" w:hAnsi="Times New Roman" w:cs="Times New Roman"/>
          <w:sz w:val="28"/>
          <w:szCs w:val="28"/>
        </w:rPr>
        <w:t>Difatti l’ipotizzata (da</w:t>
      </w:r>
      <w:r w:rsidR="004B1C24">
        <w:rPr>
          <w:rFonts w:ascii="Times New Roman" w:hAnsi="Times New Roman" w:cs="Times New Roman"/>
          <w:sz w:val="28"/>
          <w:szCs w:val="28"/>
        </w:rPr>
        <w:t>i</w:t>
      </w:r>
      <w:r w:rsidRPr="00186819">
        <w:rPr>
          <w:rFonts w:ascii="Times New Roman" w:hAnsi="Times New Roman" w:cs="Times New Roman"/>
          <w:sz w:val="28"/>
          <w:szCs w:val="28"/>
        </w:rPr>
        <w:t xml:space="preserve"> giudic</w:t>
      </w:r>
      <w:r w:rsidR="004B1C24">
        <w:rPr>
          <w:rFonts w:ascii="Times New Roman" w:hAnsi="Times New Roman" w:cs="Times New Roman"/>
          <w:sz w:val="28"/>
          <w:szCs w:val="28"/>
        </w:rPr>
        <w:t>i</w:t>
      </w:r>
      <w:r w:rsidRPr="00186819">
        <w:rPr>
          <w:rFonts w:ascii="Times New Roman" w:hAnsi="Times New Roman" w:cs="Times New Roman"/>
          <w:sz w:val="28"/>
          <w:szCs w:val="28"/>
        </w:rPr>
        <w:t xml:space="preserve"> rimettent</w:t>
      </w:r>
      <w:r w:rsidR="004B1C24">
        <w:rPr>
          <w:rFonts w:ascii="Times New Roman" w:hAnsi="Times New Roman" w:cs="Times New Roman"/>
          <w:sz w:val="28"/>
          <w:szCs w:val="28"/>
        </w:rPr>
        <w:t>i</w:t>
      </w:r>
      <w:r w:rsidRPr="00186819">
        <w:rPr>
          <w:rFonts w:ascii="Times New Roman" w:hAnsi="Times New Roman" w:cs="Times New Roman"/>
          <w:sz w:val="28"/>
          <w:szCs w:val="28"/>
        </w:rPr>
        <w:t xml:space="preserve">) </w:t>
      </w:r>
      <w:r w:rsidR="0037484B" w:rsidRPr="00186819">
        <w:rPr>
          <w:rFonts w:ascii="Times New Roman" w:hAnsi="Times New Roman" w:cs="Times New Roman"/>
          <w:sz w:val="28"/>
          <w:szCs w:val="28"/>
        </w:rPr>
        <w:t xml:space="preserve">necessità costituzionale di un regime speciale di autotutela e </w:t>
      </w:r>
      <w:r w:rsidRPr="00186819">
        <w:rPr>
          <w:rFonts w:ascii="Times New Roman" w:hAnsi="Times New Roman" w:cs="Times New Roman"/>
          <w:sz w:val="28"/>
          <w:szCs w:val="28"/>
        </w:rPr>
        <w:t xml:space="preserve">necessità costituzionale di prevedere la possibilità di acquisizione coattiva anche per le opere “sotto soglia” </w:t>
      </w:r>
      <w:r w:rsidR="000943B3" w:rsidRPr="00186819">
        <w:rPr>
          <w:rFonts w:ascii="Times New Roman" w:hAnsi="Times New Roman" w:cs="Times New Roman"/>
          <w:sz w:val="28"/>
          <w:szCs w:val="28"/>
        </w:rPr>
        <w:t xml:space="preserve">sono state </w:t>
      </w:r>
      <w:r w:rsidRPr="00186819">
        <w:rPr>
          <w:rFonts w:ascii="Times New Roman" w:hAnsi="Times New Roman" w:cs="Times New Roman"/>
          <w:sz w:val="28"/>
          <w:szCs w:val="28"/>
        </w:rPr>
        <w:t>ritenut</w:t>
      </w:r>
      <w:r w:rsidR="0037484B" w:rsidRPr="00186819">
        <w:rPr>
          <w:rFonts w:ascii="Times New Roman" w:hAnsi="Times New Roman" w:cs="Times New Roman"/>
          <w:sz w:val="28"/>
          <w:szCs w:val="28"/>
        </w:rPr>
        <w:t>e</w:t>
      </w:r>
      <w:r w:rsidRPr="00186819">
        <w:rPr>
          <w:rFonts w:ascii="Times New Roman" w:hAnsi="Times New Roman" w:cs="Times New Roman"/>
          <w:sz w:val="28"/>
          <w:szCs w:val="28"/>
        </w:rPr>
        <w:t xml:space="preserve"> insussistent</w:t>
      </w:r>
      <w:r w:rsidR="0037484B" w:rsidRPr="00186819">
        <w:rPr>
          <w:rFonts w:ascii="Times New Roman" w:hAnsi="Times New Roman" w:cs="Times New Roman"/>
          <w:sz w:val="28"/>
          <w:szCs w:val="28"/>
        </w:rPr>
        <w:t>i</w:t>
      </w:r>
      <w:r w:rsidR="000943B3" w:rsidRPr="00186819">
        <w:rPr>
          <w:rFonts w:ascii="Times New Roman" w:hAnsi="Times New Roman" w:cs="Times New Roman"/>
          <w:sz w:val="28"/>
          <w:szCs w:val="28"/>
        </w:rPr>
        <w:t xml:space="preserve"> (rispettivamente nella sentenza </w:t>
      </w:r>
      <w:r w:rsidR="004B1C24">
        <w:rPr>
          <w:rFonts w:ascii="Times New Roman" w:hAnsi="Times New Roman" w:cs="Times New Roman"/>
          <w:sz w:val="28"/>
          <w:szCs w:val="28"/>
        </w:rPr>
        <w:t xml:space="preserve">n. </w:t>
      </w:r>
      <w:r w:rsidR="000943B3" w:rsidRPr="00186819">
        <w:rPr>
          <w:rFonts w:ascii="Times New Roman" w:hAnsi="Times New Roman" w:cs="Times New Roman"/>
          <w:sz w:val="28"/>
          <w:szCs w:val="28"/>
        </w:rPr>
        <w:t xml:space="preserve">88/2025 e nella sentenza </w:t>
      </w:r>
      <w:r w:rsidR="004B1C24">
        <w:rPr>
          <w:rFonts w:ascii="Times New Roman" w:hAnsi="Times New Roman" w:cs="Times New Roman"/>
          <w:sz w:val="28"/>
          <w:szCs w:val="28"/>
        </w:rPr>
        <w:t xml:space="preserve">n. </w:t>
      </w:r>
      <w:r w:rsidR="000943B3" w:rsidRPr="00186819">
        <w:rPr>
          <w:rFonts w:ascii="Times New Roman" w:hAnsi="Times New Roman" w:cs="Times New Roman"/>
          <w:sz w:val="28"/>
          <w:szCs w:val="28"/>
        </w:rPr>
        <w:t>51/2026)</w:t>
      </w:r>
      <w:r w:rsidR="00336407" w:rsidRPr="00186819">
        <w:rPr>
          <w:rFonts w:ascii="Times New Roman" w:hAnsi="Times New Roman" w:cs="Times New Roman"/>
          <w:sz w:val="28"/>
          <w:szCs w:val="28"/>
        </w:rPr>
        <w:t>. In</w:t>
      </w:r>
      <w:r w:rsidR="00D22AB3">
        <w:rPr>
          <w:rFonts w:ascii="Times New Roman" w:hAnsi="Times New Roman" w:cs="Times New Roman"/>
          <w:sz w:val="28"/>
          <w:szCs w:val="28"/>
        </w:rPr>
        <w:t>oltre</w:t>
      </w:r>
      <w:r w:rsidRPr="00186819">
        <w:rPr>
          <w:rFonts w:ascii="Times New Roman" w:hAnsi="Times New Roman" w:cs="Times New Roman"/>
          <w:sz w:val="28"/>
          <w:szCs w:val="28"/>
        </w:rPr>
        <w:t>,</w:t>
      </w:r>
      <w:r w:rsidR="0037484B" w:rsidRPr="00186819">
        <w:rPr>
          <w:rFonts w:ascii="Times New Roman" w:hAnsi="Times New Roman" w:cs="Times New Roman"/>
          <w:sz w:val="28"/>
          <w:szCs w:val="28"/>
        </w:rPr>
        <w:t xml:space="preserve"> sempre </w:t>
      </w:r>
      <w:r w:rsidR="00336407" w:rsidRPr="00186819">
        <w:rPr>
          <w:rFonts w:ascii="Times New Roman" w:hAnsi="Times New Roman" w:cs="Times New Roman"/>
          <w:sz w:val="28"/>
          <w:szCs w:val="28"/>
        </w:rPr>
        <w:t>in detta ultima sentenza</w:t>
      </w:r>
      <w:r w:rsidR="00D22AB3">
        <w:rPr>
          <w:rFonts w:ascii="Times New Roman" w:hAnsi="Times New Roman" w:cs="Times New Roman"/>
          <w:sz w:val="28"/>
          <w:szCs w:val="28"/>
        </w:rPr>
        <w:t>,</w:t>
      </w:r>
      <w:r w:rsidR="00336407" w:rsidRPr="00186819">
        <w:rPr>
          <w:rFonts w:ascii="Times New Roman" w:hAnsi="Times New Roman" w:cs="Times New Roman"/>
          <w:sz w:val="28"/>
          <w:szCs w:val="28"/>
        </w:rPr>
        <w:t xml:space="preserve"> </w:t>
      </w:r>
      <w:r w:rsidRPr="00186819">
        <w:rPr>
          <w:rFonts w:ascii="Times New Roman" w:hAnsi="Times New Roman" w:cs="Times New Roman"/>
          <w:sz w:val="28"/>
          <w:szCs w:val="28"/>
        </w:rPr>
        <w:t>le esigenze di maggiore tutela</w:t>
      </w:r>
      <w:r w:rsidR="00EB7D01"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EB7D01" w:rsidRPr="00186819">
        <w:rPr>
          <w:rFonts w:ascii="Times New Roman" w:hAnsi="Times New Roman" w:cs="Times New Roman"/>
          <w:sz w:val="28"/>
          <w:szCs w:val="28"/>
        </w:rPr>
        <w:t>quanto alle attività di “</w:t>
      </w:r>
      <w:r w:rsidR="00EB7D01" w:rsidRPr="00186819">
        <w:rPr>
          <w:rFonts w:ascii="Times New Roman" w:hAnsi="Times New Roman" w:cs="Times New Roman"/>
          <w:i/>
          <w:iCs/>
          <w:sz w:val="28"/>
          <w:szCs w:val="28"/>
        </w:rPr>
        <w:t>import/export</w:t>
      </w:r>
      <w:r w:rsidR="00EB7D01" w:rsidRPr="00186819">
        <w:rPr>
          <w:rFonts w:ascii="Times New Roman" w:hAnsi="Times New Roman" w:cs="Times New Roman"/>
          <w:sz w:val="28"/>
          <w:szCs w:val="28"/>
        </w:rPr>
        <w:t xml:space="preserve">”, </w:t>
      </w:r>
      <w:r w:rsidRPr="00186819">
        <w:rPr>
          <w:rFonts w:ascii="Times New Roman" w:hAnsi="Times New Roman" w:cs="Times New Roman"/>
          <w:sz w:val="28"/>
          <w:szCs w:val="28"/>
        </w:rPr>
        <w:t>dei titolari di opere di valore “esiguo” sono state ritenute</w:t>
      </w:r>
      <w:r w:rsidR="00EB7D01" w:rsidRPr="00186819">
        <w:rPr>
          <w:rFonts w:ascii="Times New Roman" w:hAnsi="Times New Roman" w:cs="Times New Roman"/>
          <w:sz w:val="28"/>
          <w:szCs w:val="28"/>
        </w:rPr>
        <w:t xml:space="preserve"> meritevoli di protezione.</w:t>
      </w:r>
    </w:p>
    <w:p w14:paraId="33BC35B2" w14:textId="0F4F8AF6" w:rsidR="00FB51A7" w:rsidRPr="00186819" w:rsidRDefault="00EB7D01" w:rsidP="00F74E62">
      <w:pPr>
        <w:jc w:val="both"/>
        <w:rPr>
          <w:rFonts w:ascii="Times New Roman" w:hAnsi="Times New Roman" w:cs="Times New Roman"/>
          <w:sz w:val="28"/>
          <w:szCs w:val="28"/>
        </w:rPr>
      </w:pPr>
      <w:r w:rsidRPr="00186819">
        <w:rPr>
          <w:rFonts w:ascii="Times New Roman" w:hAnsi="Times New Roman" w:cs="Times New Roman"/>
          <w:sz w:val="28"/>
          <w:szCs w:val="28"/>
        </w:rPr>
        <w:t xml:space="preserve">Complessivamente, quindi, proprietà ed autonomia privata escono rafforzate </w:t>
      </w:r>
      <w:r w:rsidR="00FB51A7" w:rsidRPr="00186819">
        <w:rPr>
          <w:rFonts w:ascii="Times New Roman" w:hAnsi="Times New Roman" w:cs="Times New Roman"/>
          <w:sz w:val="28"/>
          <w:szCs w:val="28"/>
        </w:rPr>
        <w:t>dall</w:t>
      </w:r>
      <w:r w:rsidR="0037484B" w:rsidRPr="00186819">
        <w:rPr>
          <w:rFonts w:ascii="Times New Roman" w:hAnsi="Times New Roman" w:cs="Times New Roman"/>
          <w:sz w:val="28"/>
          <w:szCs w:val="28"/>
        </w:rPr>
        <w:t>e</w:t>
      </w:r>
      <w:r w:rsidR="00FB51A7" w:rsidRPr="00186819">
        <w:rPr>
          <w:rFonts w:ascii="Times New Roman" w:hAnsi="Times New Roman" w:cs="Times New Roman"/>
          <w:sz w:val="28"/>
          <w:szCs w:val="28"/>
        </w:rPr>
        <w:t xml:space="preserve"> pronunzi</w:t>
      </w:r>
      <w:r w:rsidR="0037484B" w:rsidRPr="00186819">
        <w:rPr>
          <w:rFonts w:ascii="Times New Roman" w:hAnsi="Times New Roman" w:cs="Times New Roman"/>
          <w:sz w:val="28"/>
          <w:szCs w:val="28"/>
        </w:rPr>
        <w:t>e</w:t>
      </w:r>
      <w:r w:rsidR="00FB51A7" w:rsidRPr="00186819">
        <w:rPr>
          <w:rFonts w:ascii="Times New Roman" w:hAnsi="Times New Roman" w:cs="Times New Roman"/>
          <w:sz w:val="28"/>
          <w:szCs w:val="28"/>
        </w:rPr>
        <w:t xml:space="preserve"> in parola</w:t>
      </w:r>
      <w:r w:rsidR="00336407" w:rsidRPr="00186819">
        <w:rPr>
          <w:rFonts w:ascii="Times New Roman" w:hAnsi="Times New Roman" w:cs="Times New Roman"/>
          <w:sz w:val="28"/>
          <w:szCs w:val="28"/>
        </w:rPr>
        <w:t>,</w:t>
      </w:r>
      <w:r w:rsidR="00FB51A7" w:rsidRPr="00186819">
        <w:rPr>
          <w:rFonts w:ascii="Times New Roman" w:hAnsi="Times New Roman" w:cs="Times New Roman"/>
          <w:sz w:val="28"/>
          <w:szCs w:val="28"/>
        </w:rPr>
        <w:t xml:space="preserve"> che senza dubbio </w:t>
      </w:r>
      <w:r w:rsidR="0037484B" w:rsidRPr="00186819">
        <w:rPr>
          <w:rFonts w:ascii="Times New Roman" w:hAnsi="Times New Roman" w:cs="Times New Roman"/>
          <w:sz w:val="28"/>
          <w:szCs w:val="28"/>
        </w:rPr>
        <w:t xml:space="preserve">(in particolare l’ultima) </w:t>
      </w:r>
      <w:r w:rsidR="00FB51A7" w:rsidRPr="00186819">
        <w:rPr>
          <w:rFonts w:ascii="Times New Roman" w:hAnsi="Times New Roman" w:cs="Times New Roman"/>
          <w:sz w:val="28"/>
          <w:szCs w:val="28"/>
        </w:rPr>
        <w:t>valorizza</w:t>
      </w:r>
      <w:r w:rsidR="0037484B" w:rsidRPr="00186819">
        <w:rPr>
          <w:rFonts w:ascii="Times New Roman" w:hAnsi="Times New Roman" w:cs="Times New Roman"/>
          <w:sz w:val="28"/>
          <w:szCs w:val="28"/>
        </w:rPr>
        <w:t>no</w:t>
      </w:r>
      <w:r w:rsidR="00FB51A7" w:rsidRPr="00186819">
        <w:rPr>
          <w:rFonts w:ascii="Times New Roman" w:hAnsi="Times New Roman" w:cs="Times New Roman"/>
          <w:sz w:val="28"/>
          <w:szCs w:val="28"/>
        </w:rPr>
        <w:t xml:space="preserve"> in modo pregnante gli artt. 41 e 42 Cost. (oltre che l’art. 3, primo comma, sotto il menzionato profilo della disparità di trattamento rispetto alle opere di maggior valore in relazione alle quali invece la certificazione </w:t>
      </w:r>
      <w:r w:rsidR="00D22AB3">
        <w:rPr>
          <w:rFonts w:ascii="Times New Roman" w:hAnsi="Times New Roman" w:cs="Times New Roman"/>
          <w:sz w:val="28"/>
          <w:szCs w:val="28"/>
        </w:rPr>
        <w:t xml:space="preserve">di importazione </w:t>
      </w:r>
      <w:r w:rsidR="00FB51A7" w:rsidRPr="00186819">
        <w:rPr>
          <w:rFonts w:ascii="Times New Roman" w:hAnsi="Times New Roman" w:cs="Times New Roman"/>
          <w:sz w:val="28"/>
          <w:szCs w:val="28"/>
        </w:rPr>
        <w:t xml:space="preserve">era </w:t>
      </w:r>
      <w:r w:rsidR="00D22AB3">
        <w:rPr>
          <w:rFonts w:ascii="Times New Roman" w:hAnsi="Times New Roman" w:cs="Times New Roman"/>
          <w:sz w:val="28"/>
          <w:szCs w:val="28"/>
        </w:rPr>
        <w:t>prevista normativamente</w:t>
      </w:r>
      <w:r w:rsidR="00FB51A7" w:rsidRPr="00186819">
        <w:rPr>
          <w:rFonts w:ascii="Times New Roman" w:hAnsi="Times New Roman" w:cs="Times New Roman"/>
          <w:sz w:val="28"/>
          <w:szCs w:val="28"/>
        </w:rPr>
        <w:t>)</w:t>
      </w:r>
      <w:r w:rsidR="000943B3" w:rsidRPr="00186819">
        <w:rPr>
          <w:rStyle w:val="Rimandonotaapidipagina"/>
          <w:rFonts w:ascii="Times New Roman" w:hAnsi="Times New Roman" w:cs="Times New Roman"/>
          <w:sz w:val="28"/>
          <w:szCs w:val="28"/>
        </w:rPr>
        <w:footnoteReference w:id="11"/>
      </w:r>
      <w:r w:rsidR="00FB51A7" w:rsidRPr="00186819">
        <w:rPr>
          <w:rFonts w:ascii="Times New Roman" w:hAnsi="Times New Roman" w:cs="Times New Roman"/>
          <w:sz w:val="28"/>
          <w:szCs w:val="28"/>
        </w:rPr>
        <w:t>.</w:t>
      </w:r>
    </w:p>
    <w:p w14:paraId="2F7348D8" w14:textId="67A4621A" w:rsidR="005B5A9B" w:rsidRPr="00186819" w:rsidRDefault="00FB51A7" w:rsidP="00F74E62">
      <w:pPr>
        <w:jc w:val="both"/>
        <w:rPr>
          <w:rFonts w:ascii="Times New Roman" w:hAnsi="Times New Roman" w:cs="Times New Roman"/>
          <w:sz w:val="28"/>
          <w:szCs w:val="28"/>
        </w:rPr>
      </w:pPr>
      <w:r w:rsidRPr="00186819">
        <w:rPr>
          <w:rFonts w:ascii="Times New Roman" w:hAnsi="Times New Roman" w:cs="Times New Roman"/>
          <w:sz w:val="28"/>
          <w:szCs w:val="28"/>
        </w:rPr>
        <w:lastRenderedPageBreak/>
        <w:t>Incidentalmente può notarsi</w:t>
      </w:r>
      <w:r w:rsidR="0037484B" w:rsidRPr="00186819">
        <w:rPr>
          <w:rFonts w:ascii="Times New Roman" w:hAnsi="Times New Roman" w:cs="Times New Roman"/>
          <w:sz w:val="28"/>
          <w:szCs w:val="28"/>
        </w:rPr>
        <w:t xml:space="preserve">, </w:t>
      </w:r>
      <w:r w:rsidR="001A4FB3">
        <w:rPr>
          <w:rFonts w:ascii="Times New Roman" w:hAnsi="Times New Roman" w:cs="Times New Roman"/>
          <w:sz w:val="28"/>
          <w:szCs w:val="28"/>
        </w:rPr>
        <w:t xml:space="preserve">con riguardo </w:t>
      </w:r>
      <w:r w:rsidR="0037484B" w:rsidRPr="00186819">
        <w:rPr>
          <w:rFonts w:ascii="Times New Roman" w:hAnsi="Times New Roman" w:cs="Times New Roman"/>
          <w:sz w:val="28"/>
          <w:szCs w:val="28"/>
        </w:rPr>
        <w:t>al caso di cui alla sentenza del 2026,</w:t>
      </w:r>
      <w:r w:rsidRPr="00186819">
        <w:rPr>
          <w:rFonts w:ascii="Times New Roman" w:hAnsi="Times New Roman" w:cs="Times New Roman"/>
          <w:sz w:val="28"/>
          <w:szCs w:val="28"/>
        </w:rPr>
        <w:t xml:space="preserve"> che il regime previsto dal Codice non era del tutto privo di senso anche sotto </w:t>
      </w:r>
      <w:r w:rsidR="000A4103">
        <w:rPr>
          <w:rFonts w:ascii="Times New Roman" w:hAnsi="Times New Roman" w:cs="Times New Roman"/>
          <w:sz w:val="28"/>
          <w:szCs w:val="28"/>
        </w:rPr>
        <w:t>l’aspetto</w:t>
      </w:r>
      <w:r w:rsidRPr="00186819">
        <w:rPr>
          <w:rFonts w:ascii="Times New Roman" w:hAnsi="Times New Roman" w:cs="Times New Roman"/>
          <w:sz w:val="28"/>
          <w:szCs w:val="28"/>
        </w:rPr>
        <w:t xml:space="preserve"> in esame</w:t>
      </w:r>
      <w:r w:rsidR="005B5A9B" w:rsidRPr="00186819">
        <w:rPr>
          <w:rFonts w:ascii="Times New Roman" w:hAnsi="Times New Roman" w:cs="Times New Roman"/>
          <w:sz w:val="28"/>
          <w:szCs w:val="28"/>
        </w:rPr>
        <w:t>. I</w:t>
      </w:r>
      <w:r w:rsidRPr="00186819">
        <w:rPr>
          <w:rFonts w:ascii="Times New Roman" w:hAnsi="Times New Roman" w:cs="Times New Roman"/>
          <w:sz w:val="28"/>
          <w:szCs w:val="28"/>
        </w:rPr>
        <w:t>nfatti, come si nota nell’ordinanza di rimessione, in realtà</w:t>
      </w:r>
      <w:r w:rsidR="004B1C24">
        <w:rPr>
          <w:rFonts w:ascii="Times New Roman" w:hAnsi="Times New Roman" w:cs="Times New Roman"/>
          <w:sz w:val="28"/>
          <w:szCs w:val="28"/>
        </w:rPr>
        <w:t>,</w:t>
      </w:r>
      <w:r w:rsidRPr="00186819">
        <w:rPr>
          <w:rFonts w:ascii="Times New Roman" w:hAnsi="Times New Roman" w:cs="Times New Roman"/>
          <w:sz w:val="28"/>
          <w:szCs w:val="28"/>
        </w:rPr>
        <w:t xml:space="preserve"> la mancata previsione di una certificazione “in entrata” per le opere sotto soglia era coerente con la previsione della impossibilità di acquisto coattivo di tali opere “in uscita” (dal territorio nazionale). Tuttavia, l’intervento della Consulta si giustifica pienamente</w:t>
      </w:r>
      <w:r w:rsidR="005B5A9B" w:rsidRPr="00186819">
        <w:rPr>
          <w:rFonts w:ascii="Times New Roman" w:hAnsi="Times New Roman" w:cs="Times New Roman"/>
          <w:sz w:val="28"/>
          <w:szCs w:val="28"/>
        </w:rPr>
        <w:t>, ed in questo senso era stato richiesto</w:t>
      </w:r>
      <w:r w:rsidR="00647FB0" w:rsidRPr="00186819">
        <w:rPr>
          <w:rFonts w:ascii="Times New Roman" w:hAnsi="Times New Roman" w:cs="Times New Roman"/>
          <w:sz w:val="28"/>
          <w:szCs w:val="28"/>
        </w:rPr>
        <w:t xml:space="preserve"> comunque</w:t>
      </w:r>
      <w:r w:rsidR="005B5A9B" w:rsidRPr="00186819">
        <w:rPr>
          <w:rFonts w:ascii="Times New Roman" w:hAnsi="Times New Roman" w:cs="Times New Roman"/>
          <w:sz w:val="28"/>
          <w:szCs w:val="28"/>
        </w:rPr>
        <w:t xml:space="preserve"> dal giudice </w:t>
      </w:r>
      <w:r w:rsidR="005B5A9B" w:rsidRPr="00186819">
        <w:rPr>
          <w:rFonts w:ascii="Times New Roman" w:hAnsi="Times New Roman" w:cs="Times New Roman"/>
          <w:i/>
          <w:iCs/>
          <w:sz w:val="28"/>
          <w:szCs w:val="28"/>
        </w:rPr>
        <w:t>a quo</w:t>
      </w:r>
      <w:r w:rsidR="005B5A9B" w:rsidRPr="00186819">
        <w:rPr>
          <w:rFonts w:ascii="Times New Roman" w:hAnsi="Times New Roman" w:cs="Times New Roman"/>
          <w:sz w:val="28"/>
          <w:szCs w:val="28"/>
        </w:rPr>
        <w:t xml:space="preserve">, </w:t>
      </w:r>
      <w:r w:rsidR="000A4103">
        <w:rPr>
          <w:rFonts w:ascii="Times New Roman" w:hAnsi="Times New Roman" w:cs="Times New Roman"/>
          <w:sz w:val="28"/>
          <w:szCs w:val="28"/>
        </w:rPr>
        <w:t xml:space="preserve">perché </w:t>
      </w:r>
      <w:r w:rsidR="00DE167C" w:rsidRPr="00186819">
        <w:rPr>
          <w:rFonts w:ascii="Times New Roman" w:hAnsi="Times New Roman" w:cs="Times New Roman"/>
          <w:sz w:val="28"/>
          <w:szCs w:val="28"/>
        </w:rPr>
        <w:t>la ripetuta certificazione consente di sottrarre il bene culturale</w:t>
      </w:r>
      <w:r w:rsidR="00336407" w:rsidRPr="00186819">
        <w:rPr>
          <w:rFonts w:ascii="Times New Roman" w:hAnsi="Times New Roman" w:cs="Times New Roman"/>
          <w:sz w:val="28"/>
          <w:szCs w:val="28"/>
        </w:rPr>
        <w:t>, non solo all’acquisizione coattiva ma,</w:t>
      </w:r>
      <w:r w:rsidR="00DE167C" w:rsidRPr="00186819">
        <w:rPr>
          <w:rFonts w:ascii="Times New Roman" w:hAnsi="Times New Roman" w:cs="Times New Roman"/>
          <w:sz w:val="28"/>
          <w:szCs w:val="28"/>
        </w:rPr>
        <w:t xml:space="preserve"> anche ad interventi </w:t>
      </w:r>
      <w:r w:rsidR="005B5A9B" w:rsidRPr="00186819">
        <w:rPr>
          <w:rFonts w:ascii="Times New Roman" w:hAnsi="Times New Roman" w:cs="Times New Roman"/>
          <w:sz w:val="28"/>
          <w:szCs w:val="28"/>
        </w:rPr>
        <w:t>di altro genere da parte dell’Amministrazione</w:t>
      </w:r>
      <w:r w:rsidR="00FA3058" w:rsidRPr="00186819">
        <w:rPr>
          <w:rStyle w:val="Rimandonotaapidipagina"/>
          <w:rFonts w:ascii="Times New Roman" w:hAnsi="Times New Roman" w:cs="Times New Roman"/>
          <w:sz w:val="28"/>
          <w:szCs w:val="28"/>
        </w:rPr>
        <w:footnoteReference w:id="12"/>
      </w:r>
      <w:r w:rsidR="00FA3058" w:rsidRPr="00186819">
        <w:rPr>
          <w:rFonts w:ascii="Times New Roman" w:hAnsi="Times New Roman" w:cs="Times New Roman"/>
          <w:sz w:val="28"/>
          <w:szCs w:val="28"/>
        </w:rPr>
        <w:t>.</w:t>
      </w:r>
    </w:p>
    <w:p w14:paraId="00D71944" w14:textId="652A6169" w:rsidR="00CD5E0A" w:rsidRPr="00186819" w:rsidRDefault="00CD5E0A" w:rsidP="00F74E62">
      <w:pPr>
        <w:jc w:val="both"/>
        <w:rPr>
          <w:rFonts w:ascii="Times New Roman" w:hAnsi="Times New Roman" w:cs="Times New Roman"/>
          <w:sz w:val="28"/>
          <w:szCs w:val="28"/>
        </w:rPr>
      </w:pPr>
      <w:r w:rsidRPr="00186819">
        <w:rPr>
          <w:rFonts w:ascii="Times New Roman" w:hAnsi="Times New Roman" w:cs="Times New Roman"/>
          <w:sz w:val="28"/>
          <w:szCs w:val="28"/>
        </w:rPr>
        <w:t xml:space="preserve">Non contraddice quanto </w:t>
      </w:r>
      <w:r w:rsidR="00D22AB3">
        <w:rPr>
          <w:rFonts w:ascii="Times New Roman" w:hAnsi="Times New Roman" w:cs="Times New Roman"/>
          <w:sz w:val="28"/>
          <w:szCs w:val="28"/>
        </w:rPr>
        <w:t xml:space="preserve">appena notato in tema di tutela degli interessi privati </w:t>
      </w:r>
      <w:r w:rsidRPr="00186819">
        <w:rPr>
          <w:rFonts w:ascii="Times New Roman" w:hAnsi="Times New Roman" w:cs="Times New Roman"/>
          <w:sz w:val="28"/>
          <w:szCs w:val="28"/>
        </w:rPr>
        <w:t xml:space="preserve">la sentenza </w:t>
      </w:r>
      <w:r w:rsidR="000943B3" w:rsidRPr="00186819">
        <w:rPr>
          <w:rFonts w:ascii="Times New Roman" w:hAnsi="Times New Roman" w:cs="Times New Roman"/>
          <w:sz w:val="28"/>
          <w:szCs w:val="28"/>
        </w:rPr>
        <w:t xml:space="preserve">n. </w:t>
      </w:r>
      <w:r w:rsidR="00647FB0" w:rsidRPr="00186819">
        <w:rPr>
          <w:rFonts w:ascii="Times New Roman" w:hAnsi="Times New Roman" w:cs="Times New Roman"/>
          <w:sz w:val="28"/>
          <w:szCs w:val="28"/>
        </w:rPr>
        <w:t>160/2025</w:t>
      </w:r>
      <w:r w:rsidR="000943B3" w:rsidRPr="00186819">
        <w:rPr>
          <w:rFonts w:ascii="Times New Roman" w:hAnsi="Times New Roman" w:cs="Times New Roman"/>
          <w:sz w:val="28"/>
          <w:szCs w:val="28"/>
        </w:rPr>
        <w:t xml:space="preserve">, che come esposto sancisce la </w:t>
      </w:r>
      <w:r w:rsidRPr="00186819">
        <w:rPr>
          <w:rFonts w:ascii="Times New Roman" w:hAnsi="Times New Roman" w:cs="Times New Roman"/>
          <w:sz w:val="28"/>
          <w:szCs w:val="28"/>
        </w:rPr>
        <w:t>piena legittimità generale dell’intervento vincolistico</w:t>
      </w:r>
      <w:r w:rsidR="00D22AB3">
        <w:rPr>
          <w:rFonts w:ascii="Times New Roman" w:hAnsi="Times New Roman" w:cs="Times New Roman"/>
          <w:sz w:val="28"/>
          <w:szCs w:val="28"/>
        </w:rPr>
        <w:t xml:space="preserve">. Difatti, </w:t>
      </w:r>
      <w:r w:rsidRPr="00186819">
        <w:rPr>
          <w:rFonts w:ascii="Times New Roman" w:hAnsi="Times New Roman" w:cs="Times New Roman"/>
          <w:sz w:val="28"/>
          <w:szCs w:val="28"/>
        </w:rPr>
        <w:t>va considerata sia la peculiarità della norma oggetto di scrutinio costituzionale,</w:t>
      </w:r>
      <w:r w:rsidR="00B54BE3"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sia la insussistenza di sufficienti ragioni per limitare tale intervento </w:t>
      </w:r>
      <w:r w:rsidR="000943B3" w:rsidRPr="00186819">
        <w:rPr>
          <w:rFonts w:ascii="Times New Roman" w:hAnsi="Times New Roman" w:cs="Times New Roman"/>
          <w:sz w:val="28"/>
          <w:szCs w:val="28"/>
        </w:rPr>
        <w:t xml:space="preserve">pubblico </w:t>
      </w:r>
      <w:r w:rsidRPr="00186819">
        <w:rPr>
          <w:rFonts w:ascii="Times New Roman" w:hAnsi="Times New Roman" w:cs="Times New Roman"/>
          <w:sz w:val="28"/>
          <w:szCs w:val="28"/>
        </w:rPr>
        <w:t>in sede di procedimento assentivo dell’esportazione ai soli casi di beni che present</w:t>
      </w:r>
      <w:r w:rsidR="00336407" w:rsidRPr="00186819">
        <w:rPr>
          <w:rFonts w:ascii="Times New Roman" w:hAnsi="Times New Roman" w:cs="Times New Roman"/>
          <w:sz w:val="28"/>
          <w:szCs w:val="28"/>
        </w:rPr>
        <w:t>i</w:t>
      </w:r>
      <w:r w:rsidRPr="00186819">
        <w:rPr>
          <w:rFonts w:ascii="Times New Roman" w:hAnsi="Times New Roman" w:cs="Times New Roman"/>
          <w:sz w:val="28"/>
          <w:szCs w:val="28"/>
        </w:rPr>
        <w:t>no eccezionale importanza per l'integrità e la completezza del patrimonio culturale della Nazione.</w:t>
      </w:r>
    </w:p>
    <w:p w14:paraId="75F702C8" w14:textId="1CD6B0E9" w:rsidR="00B54BE3" w:rsidRPr="00186819" w:rsidRDefault="00B54BE3" w:rsidP="00F74E62">
      <w:pPr>
        <w:jc w:val="both"/>
        <w:rPr>
          <w:rFonts w:ascii="Times New Roman" w:hAnsi="Times New Roman" w:cs="Times New Roman"/>
          <w:sz w:val="28"/>
          <w:szCs w:val="28"/>
        </w:rPr>
      </w:pPr>
      <w:r w:rsidRPr="00186819">
        <w:rPr>
          <w:rFonts w:ascii="Times New Roman" w:hAnsi="Times New Roman" w:cs="Times New Roman"/>
          <w:sz w:val="28"/>
          <w:szCs w:val="28"/>
        </w:rPr>
        <w:t xml:space="preserve">Peraltro, la sentenza </w:t>
      </w:r>
      <w:r w:rsidR="00647FB0" w:rsidRPr="00186819">
        <w:rPr>
          <w:rFonts w:ascii="Times New Roman" w:hAnsi="Times New Roman" w:cs="Times New Roman"/>
          <w:sz w:val="28"/>
          <w:szCs w:val="28"/>
        </w:rPr>
        <w:t xml:space="preserve">da ultimo menzionata </w:t>
      </w:r>
      <w:r w:rsidRPr="00186819">
        <w:rPr>
          <w:rFonts w:ascii="Times New Roman" w:hAnsi="Times New Roman" w:cs="Times New Roman"/>
          <w:sz w:val="28"/>
          <w:szCs w:val="28"/>
        </w:rPr>
        <w:t xml:space="preserve">evidenzia altresì i profili sistematici e teleologici del Codice, dando loro “prevalenza” rispetto al mero dato testuale della disposizione, che invece aveva indotto </w:t>
      </w:r>
      <w:r w:rsidR="00336407" w:rsidRPr="00186819">
        <w:rPr>
          <w:rFonts w:ascii="Times New Roman" w:hAnsi="Times New Roman" w:cs="Times New Roman"/>
          <w:sz w:val="28"/>
          <w:szCs w:val="28"/>
        </w:rPr>
        <w:t xml:space="preserve">(non senza ragioni) </w:t>
      </w:r>
      <w:r w:rsidRPr="00186819">
        <w:rPr>
          <w:rFonts w:ascii="Times New Roman" w:hAnsi="Times New Roman" w:cs="Times New Roman"/>
          <w:sz w:val="28"/>
          <w:szCs w:val="28"/>
        </w:rPr>
        <w:t xml:space="preserve">il Consiglio di Stato a sollevare la questione di costituzionalità (il punto specifico riguardava il significato del “qualora” </w:t>
      </w:r>
      <w:r w:rsidR="00647FB0" w:rsidRPr="00186819">
        <w:rPr>
          <w:rFonts w:ascii="Times New Roman" w:hAnsi="Times New Roman" w:cs="Times New Roman"/>
          <w:sz w:val="28"/>
          <w:szCs w:val="28"/>
        </w:rPr>
        <w:t xml:space="preserve">di cui al testo della disposizione </w:t>
      </w:r>
      <w:r w:rsidRPr="00186819">
        <w:rPr>
          <w:rFonts w:ascii="Times New Roman" w:hAnsi="Times New Roman" w:cs="Times New Roman"/>
          <w:sz w:val="28"/>
          <w:szCs w:val="28"/>
        </w:rPr>
        <w:t>alla stregua di “nel solo caso in cui” ovvero di “nel caso</w:t>
      </w:r>
      <w:r w:rsidR="00336407" w:rsidRPr="00186819">
        <w:rPr>
          <w:rFonts w:ascii="Times New Roman" w:hAnsi="Times New Roman" w:cs="Times New Roman"/>
          <w:sz w:val="28"/>
          <w:szCs w:val="28"/>
        </w:rPr>
        <w:t xml:space="preserve">, </w:t>
      </w:r>
      <w:r w:rsidRPr="00186819">
        <w:rPr>
          <w:rFonts w:ascii="Times New Roman" w:hAnsi="Times New Roman" w:cs="Times New Roman"/>
          <w:sz w:val="28"/>
          <w:szCs w:val="28"/>
        </w:rPr>
        <w:t>tra gli altri</w:t>
      </w:r>
      <w:r w:rsidR="00336407" w:rsidRPr="00186819">
        <w:rPr>
          <w:rFonts w:ascii="Times New Roman" w:hAnsi="Times New Roman" w:cs="Times New Roman"/>
          <w:sz w:val="28"/>
          <w:szCs w:val="28"/>
        </w:rPr>
        <w:t>,</w:t>
      </w:r>
      <w:r w:rsidRPr="00186819">
        <w:rPr>
          <w:rFonts w:ascii="Times New Roman" w:hAnsi="Times New Roman" w:cs="Times New Roman"/>
          <w:sz w:val="28"/>
          <w:szCs w:val="28"/>
        </w:rPr>
        <w:t xml:space="preserve"> in cui”).</w:t>
      </w:r>
    </w:p>
    <w:p w14:paraId="6081A164" w14:textId="5D05B773" w:rsidR="00B54BE3" w:rsidRPr="00186819" w:rsidRDefault="00B54BE3" w:rsidP="00F74E62">
      <w:pPr>
        <w:jc w:val="both"/>
        <w:rPr>
          <w:rFonts w:ascii="Times New Roman" w:hAnsi="Times New Roman" w:cs="Times New Roman"/>
          <w:sz w:val="28"/>
          <w:szCs w:val="28"/>
        </w:rPr>
      </w:pPr>
      <w:r w:rsidRPr="00186819">
        <w:rPr>
          <w:rFonts w:ascii="Times New Roman" w:hAnsi="Times New Roman" w:cs="Times New Roman"/>
          <w:sz w:val="28"/>
          <w:szCs w:val="28"/>
        </w:rPr>
        <w:t xml:space="preserve">Insomma, </w:t>
      </w:r>
      <w:r w:rsidR="000A4103">
        <w:rPr>
          <w:rFonts w:ascii="Times New Roman" w:hAnsi="Times New Roman" w:cs="Times New Roman"/>
          <w:sz w:val="28"/>
          <w:szCs w:val="28"/>
        </w:rPr>
        <w:t xml:space="preserve">con riferimento </w:t>
      </w:r>
      <w:r w:rsidR="00647FB0" w:rsidRPr="00186819">
        <w:rPr>
          <w:rFonts w:ascii="Times New Roman" w:hAnsi="Times New Roman" w:cs="Times New Roman"/>
          <w:sz w:val="28"/>
          <w:szCs w:val="28"/>
        </w:rPr>
        <w:t>all</w:t>
      </w:r>
      <w:r w:rsidR="000943B3" w:rsidRPr="00186819">
        <w:rPr>
          <w:rFonts w:ascii="Times New Roman" w:hAnsi="Times New Roman" w:cs="Times New Roman"/>
          <w:sz w:val="28"/>
          <w:szCs w:val="28"/>
        </w:rPr>
        <w:t>a possibilità dell</w:t>
      </w:r>
      <w:r w:rsidR="00647FB0" w:rsidRPr="00186819">
        <w:rPr>
          <w:rFonts w:ascii="Times New Roman" w:hAnsi="Times New Roman" w:cs="Times New Roman"/>
          <w:sz w:val="28"/>
          <w:szCs w:val="28"/>
        </w:rPr>
        <w:t xml:space="preserve">’intervento vincolistico, </w:t>
      </w:r>
      <w:r w:rsidR="00336407" w:rsidRPr="00186819">
        <w:rPr>
          <w:rFonts w:ascii="Times New Roman" w:hAnsi="Times New Roman" w:cs="Times New Roman"/>
          <w:sz w:val="28"/>
          <w:szCs w:val="28"/>
        </w:rPr>
        <w:t>di</w:t>
      </w:r>
      <w:r w:rsidRPr="00186819">
        <w:rPr>
          <w:rFonts w:ascii="Times New Roman" w:hAnsi="Times New Roman" w:cs="Times New Roman"/>
          <w:sz w:val="28"/>
          <w:szCs w:val="28"/>
        </w:rPr>
        <w:t xml:space="preserve"> fronte ad un bilanciamento chiaro tra “pubblico” e “privato”</w:t>
      </w:r>
      <w:r w:rsidR="00336407"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rintracciabile nella </w:t>
      </w:r>
      <w:r w:rsidRPr="00186819">
        <w:rPr>
          <w:rFonts w:ascii="Times New Roman" w:hAnsi="Times New Roman" w:cs="Times New Roman"/>
          <w:i/>
          <w:iCs/>
          <w:sz w:val="28"/>
          <w:szCs w:val="28"/>
        </w:rPr>
        <w:t>ratio</w:t>
      </w:r>
      <w:r w:rsidRPr="00186819">
        <w:rPr>
          <w:rFonts w:ascii="Times New Roman" w:hAnsi="Times New Roman" w:cs="Times New Roman"/>
          <w:sz w:val="28"/>
          <w:szCs w:val="28"/>
        </w:rPr>
        <w:t xml:space="preserve"> del Codice </w:t>
      </w:r>
      <w:r w:rsidRPr="00186819">
        <w:rPr>
          <w:rFonts w:ascii="Times New Roman" w:hAnsi="Times New Roman" w:cs="Times New Roman"/>
          <w:sz w:val="28"/>
          <w:szCs w:val="28"/>
        </w:rPr>
        <w:lastRenderedPageBreak/>
        <w:t>nel complesso del suo articolato</w:t>
      </w:r>
      <w:r w:rsidR="000943B3" w:rsidRPr="00186819">
        <w:rPr>
          <w:rFonts w:ascii="Times New Roman" w:hAnsi="Times New Roman" w:cs="Times New Roman"/>
          <w:sz w:val="28"/>
          <w:szCs w:val="28"/>
        </w:rPr>
        <w:t xml:space="preserve"> (più che nella lettera dello stesso)</w:t>
      </w:r>
      <w:r w:rsidRPr="00186819">
        <w:rPr>
          <w:rFonts w:ascii="Times New Roman" w:hAnsi="Times New Roman" w:cs="Times New Roman"/>
          <w:sz w:val="28"/>
          <w:szCs w:val="28"/>
        </w:rPr>
        <w:t xml:space="preserve">, la Corte ha ritenuto di non ravvisare manifesta irragionevolezza e dunque di </w:t>
      </w:r>
      <w:r w:rsidR="00336407" w:rsidRPr="00186819">
        <w:rPr>
          <w:rFonts w:ascii="Times New Roman" w:hAnsi="Times New Roman" w:cs="Times New Roman"/>
          <w:sz w:val="28"/>
          <w:szCs w:val="28"/>
        </w:rPr>
        <w:t>respingere la questione</w:t>
      </w:r>
      <w:r w:rsidRPr="00186819">
        <w:rPr>
          <w:rFonts w:ascii="Times New Roman" w:hAnsi="Times New Roman" w:cs="Times New Roman"/>
          <w:sz w:val="28"/>
          <w:szCs w:val="28"/>
        </w:rPr>
        <w:t>.</w:t>
      </w:r>
    </w:p>
    <w:p w14:paraId="23FB4DDD" w14:textId="29C7A9E5" w:rsidR="00263D1E" w:rsidRPr="00186819" w:rsidRDefault="00B54BE3" w:rsidP="00F74E62">
      <w:pPr>
        <w:jc w:val="both"/>
        <w:rPr>
          <w:rFonts w:ascii="Times New Roman" w:hAnsi="Times New Roman" w:cs="Times New Roman"/>
          <w:sz w:val="28"/>
          <w:szCs w:val="28"/>
        </w:rPr>
      </w:pPr>
      <w:r w:rsidRPr="00186819">
        <w:rPr>
          <w:rFonts w:ascii="Times New Roman" w:hAnsi="Times New Roman" w:cs="Times New Roman"/>
          <w:sz w:val="28"/>
          <w:szCs w:val="28"/>
        </w:rPr>
        <w:t>Diversamente, ma non incoerentemente, quanto al</w:t>
      </w:r>
      <w:r w:rsidR="00336407" w:rsidRPr="00186819">
        <w:rPr>
          <w:rFonts w:ascii="Times New Roman" w:hAnsi="Times New Roman" w:cs="Times New Roman"/>
          <w:sz w:val="28"/>
          <w:szCs w:val="28"/>
        </w:rPr>
        <w:t>la</w:t>
      </w:r>
      <w:r w:rsidRPr="00186819">
        <w:rPr>
          <w:rFonts w:ascii="Times New Roman" w:hAnsi="Times New Roman" w:cs="Times New Roman"/>
          <w:sz w:val="28"/>
          <w:szCs w:val="28"/>
        </w:rPr>
        <w:t xml:space="preserve"> più incisiv</w:t>
      </w:r>
      <w:r w:rsidR="00336407" w:rsidRPr="00186819">
        <w:rPr>
          <w:rFonts w:ascii="Times New Roman" w:hAnsi="Times New Roman" w:cs="Times New Roman"/>
          <w:sz w:val="28"/>
          <w:szCs w:val="28"/>
        </w:rPr>
        <w:t xml:space="preserve">a misura </w:t>
      </w:r>
      <w:r w:rsidRPr="00186819">
        <w:rPr>
          <w:rFonts w:ascii="Times New Roman" w:hAnsi="Times New Roman" w:cs="Times New Roman"/>
          <w:sz w:val="28"/>
          <w:szCs w:val="28"/>
        </w:rPr>
        <w:t>consistente nell’acquisizione coattiva, esclus</w:t>
      </w:r>
      <w:r w:rsidR="00336407" w:rsidRPr="00186819">
        <w:rPr>
          <w:rFonts w:ascii="Times New Roman" w:hAnsi="Times New Roman" w:cs="Times New Roman"/>
          <w:sz w:val="28"/>
          <w:szCs w:val="28"/>
        </w:rPr>
        <w:t>a</w:t>
      </w:r>
      <w:r w:rsidRPr="00186819">
        <w:rPr>
          <w:rFonts w:ascii="Times New Roman" w:hAnsi="Times New Roman" w:cs="Times New Roman"/>
          <w:sz w:val="28"/>
          <w:szCs w:val="28"/>
        </w:rPr>
        <w:t xml:space="preserve"> per i beni sottosoglia, nella sentenza </w:t>
      </w:r>
      <w:r w:rsidR="00920199" w:rsidRPr="00186819">
        <w:rPr>
          <w:rFonts w:ascii="Times New Roman" w:hAnsi="Times New Roman" w:cs="Times New Roman"/>
          <w:sz w:val="28"/>
          <w:szCs w:val="28"/>
        </w:rPr>
        <w:t xml:space="preserve">n. </w:t>
      </w:r>
      <w:r w:rsidR="00647FB0" w:rsidRPr="00186819">
        <w:rPr>
          <w:rFonts w:ascii="Times New Roman" w:hAnsi="Times New Roman" w:cs="Times New Roman"/>
          <w:sz w:val="28"/>
          <w:szCs w:val="28"/>
        </w:rPr>
        <w:t xml:space="preserve">51/2026 </w:t>
      </w:r>
      <w:r w:rsidRPr="00186819">
        <w:rPr>
          <w:rFonts w:ascii="Times New Roman" w:hAnsi="Times New Roman" w:cs="Times New Roman"/>
          <w:sz w:val="28"/>
          <w:szCs w:val="28"/>
        </w:rPr>
        <w:t xml:space="preserve">la Corte </w:t>
      </w:r>
      <w:r w:rsidR="00336407" w:rsidRPr="00186819">
        <w:rPr>
          <w:rFonts w:ascii="Times New Roman" w:hAnsi="Times New Roman" w:cs="Times New Roman"/>
          <w:sz w:val="28"/>
          <w:szCs w:val="28"/>
        </w:rPr>
        <w:t xml:space="preserve">ha </w:t>
      </w:r>
      <w:r w:rsidR="00647FB0" w:rsidRPr="00186819">
        <w:rPr>
          <w:rFonts w:ascii="Times New Roman" w:hAnsi="Times New Roman" w:cs="Times New Roman"/>
          <w:sz w:val="28"/>
          <w:szCs w:val="28"/>
        </w:rPr>
        <w:t xml:space="preserve">accertato </w:t>
      </w:r>
      <w:r w:rsidR="00336407" w:rsidRPr="00186819">
        <w:rPr>
          <w:rFonts w:ascii="Times New Roman" w:hAnsi="Times New Roman" w:cs="Times New Roman"/>
          <w:sz w:val="28"/>
          <w:szCs w:val="28"/>
        </w:rPr>
        <w:t xml:space="preserve">che il dato codicistico non prevede la possibilità di tale </w:t>
      </w:r>
      <w:r w:rsidR="00263D1E" w:rsidRPr="00186819">
        <w:rPr>
          <w:rFonts w:ascii="Times New Roman" w:hAnsi="Times New Roman" w:cs="Times New Roman"/>
          <w:sz w:val="28"/>
          <w:szCs w:val="28"/>
        </w:rPr>
        <w:t xml:space="preserve">genere di </w:t>
      </w:r>
      <w:r w:rsidR="00336407" w:rsidRPr="00186819">
        <w:rPr>
          <w:rFonts w:ascii="Times New Roman" w:hAnsi="Times New Roman" w:cs="Times New Roman"/>
          <w:sz w:val="28"/>
          <w:szCs w:val="28"/>
        </w:rPr>
        <w:t xml:space="preserve">intervento pubblico e che </w:t>
      </w:r>
      <w:r w:rsidR="00647FB0" w:rsidRPr="00186819">
        <w:rPr>
          <w:rFonts w:ascii="Times New Roman" w:hAnsi="Times New Roman" w:cs="Times New Roman"/>
          <w:sz w:val="28"/>
          <w:szCs w:val="28"/>
        </w:rPr>
        <w:t>(diversamente da</w:t>
      </w:r>
      <w:r w:rsidR="000A4103">
        <w:rPr>
          <w:rFonts w:ascii="Times New Roman" w:hAnsi="Times New Roman" w:cs="Times New Roman"/>
          <w:sz w:val="28"/>
          <w:szCs w:val="28"/>
        </w:rPr>
        <w:t>lla</w:t>
      </w:r>
      <w:r w:rsidR="00647FB0" w:rsidRPr="00186819">
        <w:rPr>
          <w:rFonts w:ascii="Times New Roman" w:hAnsi="Times New Roman" w:cs="Times New Roman"/>
          <w:sz w:val="28"/>
          <w:szCs w:val="28"/>
        </w:rPr>
        <w:t xml:space="preserve"> prospetta</w:t>
      </w:r>
      <w:r w:rsidR="000A4103">
        <w:rPr>
          <w:rFonts w:ascii="Times New Roman" w:hAnsi="Times New Roman" w:cs="Times New Roman"/>
          <w:sz w:val="28"/>
          <w:szCs w:val="28"/>
        </w:rPr>
        <w:t xml:space="preserve">zione </w:t>
      </w:r>
      <w:r w:rsidR="00647FB0" w:rsidRPr="00186819">
        <w:rPr>
          <w:rFonts w:ascii="Times New Roman" w:hAnsi="Times New Roman" w:cs="Times New Roman"/>
          <w:sz w:val="28"/>
          <w:szCs w:val="28"/>
        </w:rPr>
        <w:t>d</w:t>
      </w:r>
      <w:r w:rsidR="000A4103">
        <w:rPr>
          <w:rFonts w:ascii="Times New Roman" w:hAnsi="Times New Roman" w:cs="Times New Roman"/>
          <w:sz w:val="28"/>
          <w:szCs w:val="28"/>
        </w:rPr>
        <w:t>e</w:t>
      </w:r>
      <w:r w:rsidR="00647FB0" w:rsidRPr="00186819">
        <w:rPr>
          <w:rFonts w:ascii="Times New Roman" w:hAnsi="Times New Roman" w:cs="Times New Roman"/>
          <w:sz w:val="28"/>
          <w:szCs w:val="28"/>
        </w:rPr>
        <w:t xml:space="preserve">l giudice </w:t>
      </w:r>
      <w:r w:rsidR="00647FB0" w:rsidRPr="00186819">
        <w:rPr>
          <w:rFonts w:ascii="Times New Roman" w:hAnsi="Times New Roman" w:cs="Times New Roman"/>
          <w:i/>
          <w:iCs/>
          <w:sz w:val="28"/>
          <w:szCs w:val="28"/>
        </w:rPr>
        <w:t>a quo</w:t>
      </w:r>
      <w:r w:rsidR="00647FB0" w:rsidRPr="00186819">
        <w:rPr>
          <w:rFonts w:ascii="Times New Roman" w:hAnsi="Times New Roman" w:cs="Times New Roman"/>
          <w:sz w:val="28"/>
          <w:szCs w:val="28"/>
        </w:rPr>
        <w:t xml:space="preserve">) </w:t>
      </w:r>
      <w:r w:rsidR="00336407" w:rsidRPr="00186819">
        <w:rPr>
          <w:rFonts w:ascii="Times New Roman" w:hAnsi="Times New Roman" w:cs="Times New Roman"/>
          <w:sz w:val="28"/>
          <w:szCs w:val="28"/>
        </w:rPr>
        <w:t xml:space="preserve">questo assetto non </w:t>
      </w:r>
      <w:r w:rsidR="00647FB0" w:rsidRPr="00186819">
        <w:rPr>
          <w:rFonts w:ascii="Times New Roman" w:hAnsi="Times New Roman" w:cs="Times New Roman"/>
          <w:sz w:val="28"/>
          <w:szCs w:val="28"/>
        </w:rPr>
        <w:t>è</w:t>
      </w:r>
      <w:r w:rsidR="00336407" w:rsidRPr="00186819">
        <w:rPr>
          <w:rFonts w:ascii="Times New Roman" w:hAnsi="Times New Roman" w:cs="Times New Roman"/>
          <w:sz w:val="28"/>
          <w:szCs w:val="28"/>
        </w:rPr>
        <w:t xml:space="preserve"> viziato da incostituzionalità, realizzando un non irragionevole equilibrio tra proprietà, autonomia negoziale e tutela del patrimonio</w:t>
      </w:r>
      <w:r w:rsidR="00647FB0" w:rsidRPr="00186819">
        <w:rPr>
          <w:rFonts w:ascii="Times New Roman" w:hAnsi="Times New Roman" w:cs="Times New Roman"/>
          <w:sz w:val="28"/>
          <w:szCs w:val="28"/>
        </w:rPr>
        <w:t xml:space="preserve"> culturale nazionale</w:t>
      </w:r>
      <w:r w:rsidR="00336407" w:rsidRPr="00186819">
        <w:rPr>
          <w:rFonts w:ascii="Times New Roman" w:hAnsi="Times New Roman" w:cs="Times New Roman"/>
          <w:sz w:val="28"/>
          <w:szCs w:val="28"/>
        </w:rPr>
        <w:t>.</w:t>
      </w:r>
    </w:p>
    <w:p w14:paraId="48DEFB86" w14:textId="302CAEF9" w:rsidR="005B5A9B" w:rsidRPr="00186819" w:rsidRDefault="005B5A9B" w:rsidP="00F74E62">
      <w:pPr>
        <w:jc w:val="both"/>
        <w:rPr>
          <w:rFonts w:ascii="Times New Roman" w:hAnsi="Times New Roman" w:cs="Times New Roman"/>
          <w:sz w:val="28"/>
          <w:szCs w:val="28"/>
        </w:rPr>
      </w:pPr>
      <w:r w:rsidRPr="00186819">
        <w:rPr>
          <w:rFonts w:ascii="Times New Roman" w:hAnsi="Times New Roman" w:cs="Times New Roman"/>
          <w:sz w:val="28"/>
          <w:szCs w:val="28"/>
        </w:rPr>
        <w:t xml:space="preserve">Un secondo elemento di interesse </w:t>
      </w:r>
      <w:r w:rsidR="009549E5">
        <w:rPr>
          <w:rFonts w:ascii="Times New Roman" w:hAnsi="Times New Roman" w:cs="Times New Roman"/>
          <w:sz w:val="28"/>
          <w:szCs w:val="28"/>
        </w:rPr>
        <w:t>comune a</w:t>
      </w:r>
      <w:r w:rsidR="00920199" w:rsidRPr="00186819">
        <w:rPr>
          <w:rFonts w:ascii="Times New Roman" w:hAnsi="Times New Roman" w:cs="Times New Roman"/>
          <w:sz w:val="28"/>
          <w:szCs w:val="28"/>
        </w:rPr>
        <w:t xml:space="preserve">lle tre sentenze </w:t>
      </w:r>
      <w:r w:rsidR="009549E5">
        <w:rPr>
          <w:rFonts w:ascii="Times New Roman" w:hAnsi="Times New Roman" w:cs="Times New Roman"/>
          <w:sz w:val="28"/>
          <w:szCs w:val="28"/>
        </w:rPr>
        <w:t>di</w:t>
      </w:r>
      <w:r w:rsidR="00920199" w:rsidRPr="00186819">
        <w:rPr>
          <w:rFonts w:ascii="Times New Roman" w:hAnsi="Times New Roman" w:cs="Times New Roman"/>
          <w:sz w:val="28"/>
          <w:szCs w:val="28"/>
        </w:rPr>
        <w:t xml:space="preserve"> cui si sta discorrendo </w:t>
      </w:r>
      <w:r w:rsidRPr="00186819">
        <w:rPr>
          <w:rFonts w:ascii="Times New Roman" w:hAnsi="Times New Roman" w:cs="Times New Roman"/>
          <w:sz w:val="28"/>
          <w:szCs w:val="28"/>
        </w:rPr>
        <w:t>sembra risiedere nella rinnovata valorizzazione degli strumenti giuridici di stampo (</w:t>
      </w:r>
      <w:r w:rsidRPr="00186819">
        <w:rPr>
          <w:rFonts w:ascii="Times New Roman" w:hAnsi="Times New Roman" w:cs="Times New Roman"/>
          <w:i/>
          <w:iCs/>
          <w:sz w:val="28"/>
          <w:szCs w:val="28"/>
        </w:rPr>
        <w:t>lato sensu</w:t>
      </w:r>
      <w:r w:rsidRPr="00186819">
        <w:rPr>
          <w:rFonts w:ascii="Times New Roman" w:hAnsi="Times New Roman" w:cs="Times New Roman"/>
          <w:sz w:val="28"/>
          <w:szCs w:val="28"/>
        </w:rPr>
        <w:t>) amministrativ</w:t>
      </w:r>
      <w:r w:rsidR="00263D1E" w:rsidRPr="00186819">
        <w:rPr>
          <w:rFonts w:ascii="Times New Roman" w:hAnsi="Times New Roman" w:cs="Times New Roman"/>
          <w:sz w:val="28"/>
          <w:szCs w:val="28"/>
        </w:rPr>
        <w:t>istico</w:t>
      </w:r>
      <w:r w:rsidRPr="00186819">
        <w:rPr>
          <w:rFonts w:ascii="Times New Roman" w:hAnsi="Times New Roman" w:cs="Times New Roman"/>
          <w:sz w:val="28"/>
          <w:szCs w:val="28"/>
        </w:rPr>
        <w:t xml:space="preserve"> rispetto a quelli di “piena liberalizzazione”.</w:t>
      </w:r>
    </w:p>
    <w:p w14:paraId="3E11BEC8" w14:textId="7EAC7676" w:rsidR="00920199" w:rsidRPr="00186819" w:rsidRDefault="005B5A9B" w:rsidP="001C2AFC">
      <w:pPr>
        <w:jc w:val="both"/>
        <w:rPr>
          <w:rFonts w:ascii="Times New Roman" w:hAnsi="Times New Roman" w:cs="Times New Roman"/>
          <w:sz w:val="28"/>
          <w:szCs w:val="28"/>
        </w:rPr>
      </w:pPr>
      <w:r w:rsidRPr="00186819">
        <w:rPr>
          <w:rFonts w:ascii="Times New Roman" w:hAnsi="Times New Roman" w:cs="Times New Roman"/>
          <w:sz w:val="28"/>
          <w:szCs w:val="28"/>
        </w:rPr>
        <w:t xml:space="preserve">In effetti, </w:t>
      </w:r>
      <w:r w:rsidR="00263D1E" w:rsidRPr="00186819">
        <w:rPr>
          <w:rFonts w:ascii="Times New Roman" w:hAnsi="Times New Roman" w:cs="Times New Roman"/>
          <w:sz w:val="28"/>
          <w:szCs w:val="28"/>
        </w:rPr>
        <w:t xml:space="preserve">nella sentenza </w:t>
      </w:r>
      <w:r w:rsidR="009549E5">
        <w:rPr>
          <w:rFonts w:ascii="Times New Roman" w:hAnsi="Times New Roman" w:cs="Times New Roman"/>
          <w:sz w:val="28"/>
          <w:szCs w:val="28"/>
        </w:rPr>
        <w:t xml:space="preserve">n. </w:t>
      </w:r>
      <w:r w:rsidR="00647FB0" w:rsidRPr="00186819">
        <w:rPr>
          <w:rFonts w:ascii="Times New Roman" w:hAnsi="Times New Roman" w:cs="Times New Roman"/>
          <w:sz w:val="28"/>
          <w:szCs w:val="28"/>
        </w:rPr>
        <w:t xml:space="preserve">160/2025 </w:t>
      </w:r>
      <w:r w:rsidR="00263D1E" w:rsidRPr="00186819">
        <w:rPr>
          <w:rFonts w:ascii="Times New Roman" w:hAnsi="Times New Roman" w:cs="Times New Roman"/>
          <w:sz w:val="28"/>
          <w:szCs w:val="28"/>
        </w:rPr>
        <w:t xml:space="preserve">l’intervento vincolistico viene ritenuto di portata generale e nella sentenza </w:t>
      </w:r>
      <w:r w:rsidR="009549E5">
        <w:rPr>
          <w:rFonts w:ascii="Times New Roman" w:hAnsi="Times New Roman" w:cs="Times New Roman"/>
          <w:sz w:val="28"/>
          <w:szCs w:val="28"/>
        </w:rPr>
        <w:t xml:space="preserve">n. </w:t>
      </w:r>
      <w:r w:rsidR="00647FB0" w:rsidRPr="00186819">
        <w:rPr>
          <w:rFonts w:ascii="Times New Roman" w:hAnsi="Times New Roman" w:cs="Times New Roman"/>
          <w:sz w:val="28"/>
          <w:szCs w:val="28"/>
        </w:rPr>
        <w:t xml:space="preserve">51/2026 </w:t>
      </w:r>
      <w:r w:rsidRPr="00186819">
        <w:rPr>
          <w:rFonts w:ascii="Times New Roman" w:hAnsi="Times New Roman" w:cs="Times New Roman"/>
          <w:sz w:val="28"/>
          <w:szCs w:val="28"/>
        </w:rPr>
        <w:t>la “certificazione” ex art. 72 del Codice viene ritenut</w:t>
      </w:r>
      <w:r w:rsidR="00263D1E" w:rsidRPr="00186819">
        <w:rPr>
          <w:rFonts w:ascii="Times New Roman" w:hAnsi="Times New Roman" w:cs="Times New Roman"/>
          <w:sz w:val="28"/>
          <w:szCs w:val="28"/>
        </w:rPr>
        <w:t>a</w:t>
      </w:r>
      <w:r w:rsidRPr="00186819">
        <w:rPr>
          <w:rFonts w:ascii="Times New Roman" w:hAnsi="Times New Roman" w:cs="Times New Roman"/>
          <w:sz w:val="28"/>
          <w:szCs w:val="28"/>
        </w:rPr>
        <w:t xml:space="preserve"> funzionale alla</w:t>
      </w:r>
      <w:r w:rsidR="001C2AFC" w:rsidRPr="00186819">
        <w:rPr>
          <w:rFonts w:ascii="Times New Roman" w:hAnsi="Times New Roman" w:cs="Times New Roman"/>
          <w:sz w:val="28"/>
          <w:szCs w:val="28"/>
        </w:rPr>
        <w:t xml:space="preserve"> tutela della proprietà e dell’autonomia privata, ai fini dell’</w:t>
      </w:r>
      <w:r w:rsidR="001C2AFC" w:rsidRPr="00186819">
        <w:rPr>
          <w:rFonts w:ascii="Times New Roman" w:hAnsi="Times New Roman" w:cs="Times New Roman"/>
          <w:i/>
          <w:iCs/>
          <w:sz w:val="28"/>
          <w:szCs w:val="28"/>
        </w:rPr>
        <w:t>import/export</w:t>
      </w:r>
      <w:r w:rsidR="001C2AFC" w:rsidRPr="00186819">
        <w:rPr>
          <w:rFonts w:ascii="Times New Roman" w:hAnsi="Times New Roman" w:cs="Times New Roman"/>
          <w:sz w:val="28"/>
          <w:szCs w:val="28"/>
        </w:rPr>
        <w:t xml:space="preserve"> del bene. Ovviamente</w:t>
      </w:r>
      <w:r w:rsidR="00647FB0" w:rsidRPr="00186819">
        <w:rPr>
          <w:rFonts w:ascii="Times New Roman" w:hAnsi="Times New Roman" w:cs="Times New Roman"/>
          <w:sz w:val="28"/>
          <w:szCs w:val="28"/>
        </w:rPr>
        <w:t>, in quest’ultimo caso,</w:t>
      </w:r>
      <w:r w:rsidR="001C2AFC" w:rsidRPr="00186819">
        <w:rPr>
          <w:rFonts w:ascii="Times New Roman" w:hAnsi="Times New Roman" w:cs="Times New Roman"/>
          <w:sz w:val="28"/>
          <w:szCs w:val="28"/>
        </w:rPr>
        <w:t xml:space="preserve"> si tratta sempre di un regime sottoposto al principio della domanda, per cui chi volesse evitare questo passaggio burocratico sarebbe libero di farlo, esponendosi però agli interventi tutori dell’Amministrazione che potrebbe</w:t>
      </w:r>
      <w:r w:rsidR="009549E5">
        <w:rPr>
          <w:rFonts w:ascii="Times New Roman" w:hAnsi="Times New Roman" w:cs="Times New Roman"/>
          <w:sz w:val="28"/>
          <w:szCs w:val="28"/>
        </w:rPr>
        <w:t xml:space="preserve"> (nell’ambito de</w:t>
      </w:r>
      <w:r w:rsidR="000D2FF3">
        <w:rPr>
          <w:rFonts w:ascii="Times New Roman" w:hAnsi="Times New Roman" w:cs="Times New Roman"/>
          <w:sz w:val="28"/>
          <w:szCs w:val="28"/>
        </w:rPr>
        <w:t xml:space="preserve">lle </w:t>
      </w:r>
      <w:r w:rsidR="009549E5">
        <w:rPr>
          <w:rFonts w:ascii="Times New Roman" w:hAnsi="Times New Roman" w:cs="Times New Roman"/>
          <w:sz w:val="28"/>
          <w:szCs w:val="28"/>
        </w:rPr>
        <w:t>previs</w:t>
      </w:r>
      <w:r w:rsidR="000D2FF3">
        <w:rPr>
          <w:rFonts w:ascii="Times New Roman" w:hAnsi="Times New Roman" w:cs="Times New Roman"/>
          <w:sz w:val="28"/>
          <w:szCs w:val="28"/>
        </w:rPr>
        <w:t>ioni de</w:t>
      </w:r>
      <w:r w:rsidR="009549E5">
        <w:rPr>
          <w:rFonts w:ascii="Times New Roman" w:hAnsi="Times New Roman" w:cs="Times New Roman"/>
          <w:sz w:val="28"/>
          <w:szCs w:val="28"/>
        </w:rPr>
        <w:t>l Codice</w:t>
      </w:r>
      <w:r w:rsidR="001C2AFC" w:rsidRPr="00186819">
        <w:rPr>
          <w:rFonts w:ascii="Times New Roman" w:hAnsi="Times New Roman" w:cs="Times New Roman"/>
          <w:sz w:val="28"/>
          <w:szCs w:val="28"/>
        </w:rPr>
        <w:t>) eccepire la mancata prova dell’importazione al fine di intervenire in sede di esportazione.</w:t>
      </w:r>
    </w:p>
    <w:p w14:paraId="69067422" w14:textId="25FF130A" w:rsidR="001C2AFC" w:rsidRPr="00186819" w:rsidRDefault="005F3AAE" w:rsidP="001C2AFC">
      <w:pPr>
        <w:jc w:val="both"/>
        <w:rPr>
          <w:rFonts w:ascii="Times New Roman" w:hAnsi="Times New Roman" w:cs="Times New Roman"/>
          <w:sz w:val="28"/>
          <w:szCs w:val="28"/>
        </w:rPr>
      </w:pPr>
      <w:r w:rsidRPr="00186819">
        <w:rPr>
          <w:rFonts w:ascii="Times New Roman" w:hAnsi="Times New Roman" w:cs="Times New Roman"/>
          <w:sz w:val="28"/>
          <w:szCs w:val="28"/>
        </w:rPr>
        <w:t>È</w:t>
      </w:r>
      <w:r w:rsidR="001C2AFC" w:rsidRPr="00186819">
        <w:rPr>
          <w:rFonts w:ascii="Times New Roman" w:hAnsi="Times New Roman" w:cs="Times New Roman"/>
          <w:sz w:val="28"/>
          <w:szCs w:val="28"/>
        </w:rPr>
        <w:t xml:space="preserve"> interessante </w:t>
      </w:r>
      <w:r w:rsidR="00154FE0">
        <w:rPr>
          <w:rFonts w:ascii="Times New Roman" w:hAnsi="Times New Roman" w:cs="Times New Roman"/>
          <w:sz w:val="28"/>
          <w:szCs w:val="28"/>
        </w:rPr>
        <w:t xml:space="preserve">anche </w:t>
      </w:r>
      <w:r w:rsidR="001C2AFC" w:rsidRPr="00186819">
        <w:rPr>
          <w:rFonts w:ascii="Times New Roman" w:hAnsi="Times New Roman" w:cs="Times New Roman"/>
          <w:sz w:val="28"/>
          <w:szCs w:val="28"/>
        </w:rPr>
        <w:t xml:space="preserve">notare che la necessità di emendare l’art. 72 del Codice sotto questo profilo è stata ritenuta sussistente anche dal Legislatore, che, con la legge 17 marzo 2026, n. 40, quindi ancora prima della formale pubblicazione della sentenza in </w:t>
      </w:r>
      <w:r w:rsidR="000A4103">
        <w:rPr>
          <w:rFonts w:ascii="Times New Roman" w:hAnsi="Times New Roman" w:cs="Times New Roman"/>
          <w:sz w:val="28"/>
          <w:szCs w:val="28"/>
        </w:rPr>
        <w:t>discorso</w:t>
      </w:r>
      <w:r w:rsidR="001C2AFC" w:rsidRPr="00186819">
        <w:rPr>
          <w:rFonts w:ascii="Times New Roman" w:hAnsi="Times New Roman" w:cs="Times New Roman"/>
          <w:sz w:val="28"/>
          <w:szCs w:val="28"/>
        </w:rPr>
        <w:t>, ha parificato sul punto tutte le tipologie di beni culturali di cui all’art. 65 del Codice.</w:t>
      </w:r>
    </w:p>
    <w:p w14:paraId="159FF647" w14:textId="0F7E2355" w:rsidR="006C0ED1" w:rsidRPr="00186819" w:rsidRDefault="00263D1E" w:rsidP="001C2AFC">
      <w:pPr>
        <w:jc w:val="both"/>
        <w:rPr>
          <w:rFonts w:ascii="Times New Roman" w:hAnsi="Times New Roman" w:cs="Times New Roman"/>
          <w:sz w:val="28"/>
          <w:szCs w:val="28"/>
        </w:rPr>
      </w:pPr>
      <w:r w:rsidRPr="00186819">
        <w:rPr>
          <w:rFonts w:ascii="Times New Roman" w:hAnsi="Times New Roman" w:cs="Times New Roman"/>
          <w:sz w:val="28"/>
          <w:szCs w:val="28"/>
        </w:rPr>
        <w:t xml:space="preserve">Non contraddice </w:t>
      </w:r>
      <w:r w:rsidR="001A4FB3">
        <w:rPr>
          <w:rFonts w:ascii="Times New Roman" w:hAnsi="Times New Roman" w:cs="Times New Roman"/>
          <w:sz w:val="28"/>
          <w:szCs w:val="28"/>
        </w:rPr>
        <w:t xml:space="preserve">ciò che si è </w:t>
      </w:r>
      <w:r w:rsidRPr="00186819">
        <w:rPr>
          <w:rFonts w:ascii="Times New Roman" w:hAnsi="Times New Roman" w:cs="Times New Roman"/>
          <w:sz w:val="28"/>
          <w:szCs w:val="28"/>
        </w:rPr>
        <w:t>appena notato</w:t>
      </w:r>
      <w:r w:rsidR="001A4FB3">
        <w:rPr>
          <w:rFonts w:ascii="Times New Roman" w:hAnsi="Times New Roman" w:cs="Times New Roman"/>
          <w:sz w:val="28"/>
          <w:szCs w:val="28"/>
        </w:rPr>
        <w:t>,</w:t>
      </w:r>
      <w:r w:rsidR="00920199" w:rsidRPr="00186819">
        <w:rPr>
          <w:rFonts w:ascii="Times New Roman" w:hAnsi="Times New Roman" w:cs="Times New Roman"/>
          <w:sz w:val="28"/>
          <w:szCs w:val="28"/>
        </w:rPr>
        <w:t xml:space="preserve"> in tema di rinnovamento degli strumenti pubblicistici</w:t>
      </w:r>
      <w:r w:rsidR="001A4FB3">
        <w:rPr>
          <w:rFonts w:ascii="Times New Roman" w:hAnsi="Times New Roman" w:cs="Times New Roman"/>
          <w:sz w:val="28"/>
          <w:szCs w:val="28"/>
        </w:rPr>
        <w:t>,</w:t>
      </w:r>
      <w:r w:rsidR="00920199"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la sentenza </w:t>
      </w:r>
      <w:r w:rsidR="00920199" w:rsidRPr="00186819">
        <w:rPr>
          <w:rFonts w:ascii="Times New Roman" w:hAnsi="Times New Roman" w:cs="Times New Roman"/>
          <w:sz w:val="28"/>
          <w:szCs w:val="28"/>
        </w:rPr>
        <w:t xml:space="preserve">n. </w:t>
      </w:r>
      <w:r w:rsidR="00647FB0" w:rsidRPr="00186819">
        <w:rPr>
          <w:rFonts w:ascii="Times New Roman" w:hAnsi="Times New Roman" w:cs="Times New Roman"/>
          <w:sz w:val="28"/>
          <w:szCs w:val="28"/>
        </w:rPr>
        <w:t>88/2025</w:t>
      </w:r>
      <w:r w:rsidRPr="00186819">
        <w:rPr>
          <w:rFonts w:ascii="Times New Roman" w:hAnsi="Times New Roman" w:cs="Times New Roman"/>
          <w:sz w:val="28"/>
          <w:szCs w:val="28"/>
        </w:rPr>
        <w:t>, dal momento che in essa, piuttosto, è valorizzato l’intervento</w:t>
      </w:r>
      <w:r w:rsidR="00920199" w:rsidRPr="00186819">
        <w:rPr>
          <w:rFonts w:ascii="Times New Roman" w:hAnsi="Times New Roman" w:cs="Times New Roman"/>
          <w:sz w:val="28"/>
          <w:szCs w:val="28"/>
        </w:rPr>
        <w:t xml:space="preserve"> </w:t>
      </w:r>
      <w:r w:rsidRPr="00186819">
        <w:rPr>
          <w:rFonts w:ascii="Times New Roman" w:hAnsi="Times New Roman" w:cs="Times New Roman"/>
          <w:sz w:val="28"/>
          <w:szCs w:val="28"/>
        </w:rPr>
        <w:t xml:space="preserve">di “primo livello”, nella prospettiva di un miglioramento qualitativo dello stesso, </w:t>
      </w:r>
      <w:r w:rsidR="006C0ED1" w:rsidRPr="00186819">
        <w:rPr>
          <w:rFonts w:ascii="Times New Roman" w:hAnsi="Times New Roman" w:cs="Times New Roman"/>
          <w:sz w:val="28"/>
          <w:szCs w:val="28"/>
        </w:rPr>
        <w:t xml:space="preserve">senza </w:t>
      </w:r>
      <w:r w:rsidRPr="00186819">
        <w:rPr>
          <w:rFonts w:ascii="Times New Roman" w:hAnsi="Times New Roman" w:cs="Times New Roman"/>
          <w:sz w:val="28"/>
          <w:szCs w:val="28"/>
        </w:rPr>
        <w:t>alcuna dequotazione del potere amministrativo in sé considerato.</w:t>
      </w:r>
    </w:p>
    <w:p w14:paraId="5F19F037" w14:textId="0034E212" w:rsidR="00920199" w:rsidRPr="00186819" w:rsidRDefault="00E0016B" w:rsidP="001C2AFC">
      <w:pPr>
        <w:jc w:val="both"/>
        <w:rPr>
          <w:rFonts w:ascii="Times New Roman" w:hAnsi="Times New Roman" w:cs="Times New Roman"/>
          <w:sz w:val="28"/>
          <w:szCs w:val="28"/>
        </w:rPr>
      </w:pPr>
      <w:r w:rsidRPr="00186819">
        <w:rPr>
          <w:rFonts w:ascii="Times New Roman" w:hAnsi="Times New Roman" w:cs="Times New Roman"/>
          <w:sz w:val="28"/>
          <w:szCs w:val="28"/>
        </w:rPr>
        <w:t>Concludendo</w:t>
      </w:r>
      <w:r w:rsidR="00920199" w:rsidRPr="00186819">
        <w:rPr>
          <w:rFonts w:ascii="Times New Roman" w:hAnsi="Times New Roman" w:cs="Times New Roman"/>
          <w:sz w:val="28"/>
          <w:szCs w:val="28"/>
        </w:rPr>
        <w:t xml:space="preserve">, gli strumenti amministrativistici si prestano, se opportunamente modulati, a garantire </w:t>
      </w:r>
      <w:r w:rsidR="000A4103">
        <w:rPr>
          <w:rFonts w:ascii="Times New Roman" w:hAnsi="Times New Roman" w:cs="Times New Roman"/>
          <w:sz w:val="28"/>
          <w:szCs w:val="28"/>
        </w:rPr>
        <w:t>tanto</w:t>
      </w:r>
      <w:r w:rsidR="00920199" w:rsidRPr="00186819">
        <w:rPr>
          <w:rFonts w:ascii="Times New Roman" w:hAnsi="Times New Roman" w:cs="Times New Roman"/>
          <w:sz w:val="28"/>
          <w:szCs w:val="28"/>
        </w:rPr>
        <w:t xml:space="preserve"> l’interesse pubblico quanto l’interesse privato.</w:t>
      </w:r>
    </w:p>
    <w:p w14:paraId="01DB21A6" w14:textId="39B9AB3F" w:rsidR="006C0ED1" w:rsidRPr="00186819" w:rsidRDefault="00E23538" w:rsidP="001C2AFC">
      <w:pPr>
        <w:jc w:val="both"/>
        <w:rPr>
          <w:rFonts w:ascii="Times New Roman" w:hAnsi="Times New Roman" w:cs="Times New Roman"/>
          <w:sz w:val="28"/>
          <w:szCs w:val="28"/>
        </w:rPr>
      </w:pPr>
      <w:r w:rsidRPr="00186819">
        <w:rPr>
          <w:rFonts w:ascii="Times New Roman" w:hAnsi="Times New Roman" w:cs="Times New Roman"/>
          <w:sz w:val="28"/>
          <w:szCs w:val="28"/>
        </w:rPr>
        <w:t xml:space="preserve">Il terzo punto </w:t>
      </w:r>
      <w:r w:rsidR="00920199" w:rsidRPr="00186819">
        <w:rPr>
          <w:rFonts w:ascii="Times New Roman" w:hAnsi="Times New Roman" w:cs="Times New Roman"/>
          <w:sz w:val="28"/>
          <w:szCs w:val="28"/>
        </w:rPr>
        <w:t xml:space="preserve">comune agli arresti in parola </w:t>
      </w:r>
      <w:r w:rsidRPr="00186819">
        <w:rPr>
          <w:rFonts w:ascii="Times New Roman" w:hAnsi="Times New Roman" w:cs="Times New Roman"/>
          <w:sz w:val="28"/>
          <w:szCs w:val="28"/>
        </w:rPr>
        <w:t>afferisce alla lettura integrata del quadro costituzionale in quello unionale</w:t>
      </w:r>
      <w:r w:rsidR="006C0ED1" w:rsidRPr="00186819">
        <w:rPr>
          <w:rFonts w:ascii="Times New Roman" w:hAnsi="Times New Roman" w:cs="Times New Roman"/>
          <w:sz w:val="28"/>
          <w:szCs w:val="28"/>
        </w:rPr>
        <w:t>.</w:t>
      </w:r>
    </w:p>
    <w:p w14:paraId="1D213B30" w14:textId="1D7FE568" w:rsidR="00F31CAF" w:rsidRPr="00186819" w:rsidRDefault="00263D1E" w:rsidP="001C2AFC">
      <w:pPr>
        <w:jc w:val="both"/>
        <w:rPr>
          <w:rFonts w:ascii="Times New Roman" w:hAnsi="Times New Roman" w:cs="Times New Roman"/>
          <w:sz w:val="28"/>
          <w:szCs w:val="28"/>
        </w:rPr>
      </w:pPr>
      <w:r w:rsidRPr="00186819">
        <w:rPr>
          <w:rFonts w:ascii="Times New Roman" w:hAnsi="Times New Roman" w:cs="Times New Roman"/>
          <w:sz w:val="28"/>
          <w:szCs w:val="28"/>
        </w:rPr>
        <w:t xml:space="preserve">A tale riguardo, </w:t>
      </w:r>
      <w:r w:rsidR="00920199" w:rsidRPr="00186819">
        <w:rPr>
          <w:rFonts w:ascii="Times New Roman" w:hAnsi="Times New Roman" w:cs="Times New Roman"/>
          <w:sz w:val="28"/>
          <w:szCs w:val="28"/>
        </w:rPr>
        <w:t xml:space="preserve">si nota che </w:t>
      </w:r>
      <w:r w:rsidRPr="00186819">
        <w:rPr>
          <w:rFonts w:ascii="Times New Roman" w:hAnsi="Times New Roman" w:cs="Times New Roman"/>
          <w:sz w:val="28"/>
          <w:szCs w:val="28"/>
        </w:rPr>
        <w:t>nella sentenza</w:t>
      </w:r>
      <w:r w:rsidR="00F31CAF" w:rsidRPr="00186819">
        <w:rPr>
          <w:rFonts w:ascii="Times New Roman" w:hAnsi="Times New Roman" w:cs="Times New Roman"/>
          <w:sz w:val="28"/>
          <w:szCs w:val="28"/>
        </w:rPr>
        <w:t xml:space="preserve"> </w:t>
      </w:r>
      <w:r w:rsidR="00920199" w:rsidRPr="00186819">
        <w:rPr>
          <w:rFonts w:ascii="Times New Roman" w:hAnsi="Times New Roman" w:cs="Times New Roman"/>
          <w:sz w:val="28"/>
          <w:szCs w:val="28"/>
        </w:rPr>
        <w:t xml:space="preserve">n. </w:t>
      </w:r>
      <w:r w:rsidR="00F31CAF" w:rsidRPr="00186819">
        <w:rPr>
          <w:rFonts w:ascii="Times New Roman" w:hAnsi="Times New Roman" w:cs="Times New Roman"/>
          <w:sz w:val="28"/>
          <w:szCs w:val="28"/>
        </w:rPr>
        <w:t>88</w:t>
      </w:r>
      <w:r w:rsidR="006C0ED1" w:rsidRPr="00186819">
        <w:rPr>
          <w:rFonts w:ascii="Times New Roman" w:hAnsi="Times New Roman" w:cs="Times New Roman"/>
          <w:sz w:val="28"/>
          <w:szCs w:val="28"/>
        </w:rPr>
        <w:t>/</w:t>
      </w:r>
      <w:r w:rsidR="00F31CAF" w:rsidRPr="00186819">
        <w:rPr>
          <w:rFonts w:ascii="Times New Roman" w:hAnsi="Times New Roman" w:cs="Times New Roman"/>
          <w:sz w:val="28"/>
          <w:szCs w:val="28"/>
        </w:rPr>
        <w:t xml:space="preserve">2025 sussistono molteplici riferimenti al diritto UE, mentre nella sentenza </w:t>
      </w:r>
      <w:r w:rsidR="00920199" w:rsidRPr="00186819">
        <w:rPr>
          <w:rFonts w:ascii="Times New Roman" w:hAnsi="Times New Roman" w:cs="Times New Roman"/>
          <w:sz w:val="28"/>
          <w:szCs w:val="28"/>
        </w:rPr>
        <w:t xml:space="preserve">n. </w:t>
      </w:r>
      <w:r w:rsidR="00276154" w:rsidRPr="00186819">
        <w:rPr>
          <w:rFonts w:ascii="Times New Roman" w:hAnsi="Times New Roman" w:cs="Times New Roman"/>
          <w:sz w:val="28"/>
          <w:szCs w:val="28"/>
        </w:rPr>
        <w:t>160</w:t>
      </w:r>
      <w:r w:rsidR="006C0ED1" w:rsidRPr="00186819">
        <w:rPr>
          <w:rFonts w:ascii="Times New Roman" w:hAnsi="Times New Roman" w:cs="Times New Roman"/>
          <w:sz w:val="28"/>
          <w:szCs w:val="28"/>
        </w:rPr>
        <w:t>/</w:t>
      </w:r>
      <w:r w:rsidR="00276154" w:rsidRPr="00186819">
        <w:rPr>
          <w:rFonts w:ascii="Times New Roman" w:hAnsi="Times New Roman" w:cs="Times New Roman"/>
          <w:sz w:val="28"/>
          <w:szCs w:val="28"/>
        </w:rPr>
        <w:t>2025 si evidenzia che “</w:t>
      </w:r>
      <w:r w:rsidR="00276154" w:rsidRPr="00186819">
        <w:rPr>
          <w:rFonts w:ascii="Times New Roman" w:hAnsi="Times New Roman" w:cs="Times New Roman"/>
          <w:i/>
          <w:iCs/>
          <w:sz w:val="28"/>
          <w:szCs w:val="28"/>
        </w:rPr>
        <w:t xml:space="preserve">il sistema delineato dal d.lgs. n. 42 del 2004 risulta intrinsecamente armonico e pienamente rispettoso </w:t>
      </w:r>
      <w:r w:rsidR="00276154" w:rsidRPr="00186819">
        <w:rPr>
          <w:rFonts w:ascii="Times New Roman" w:hAnsi="Times New Roman" w:cs="Times New Roman"/>
          <w:i/>
          <w:iCs/>
          <w:sz w:val="28"/>
          <w:szCs w:val="28"/>
        </w:rPr>
        <w:lastRenderedPageBreak/>
        <w:t>dell’art. 36 TFUE, il quale consente divieti o restrizioni alla esportazione degli oggetti d’arte negli altri Stati membri dell’Unione in nome della «protezione del patrimonio artistico, storico o archeologico nazionale</w:t>
      </w:r>
      <w:r w:rsidR="00276154" w:rsidRPr="00186819">
        <w:rPr>
          <w:rFonts w:ascii="Times New Roman" w:hAnsi="Times New Roman" w:cs="Times New Roman"/>
          <w:sz w:val="28"/>
          <w:szCs w:val="28"/>
        </w:rPr>
        <w:t>»”.</w:t>
      </w:r>
    </w:p>
    <w:p w14:paraId="0AAF47D5" w14:textId="39498760" w:rsidR="00F31CAF" w:rsidRPr="00186819" w:rsidRDefault="00F31CAF" w:rsidP="001C2AFC">
      <w:pPr>
        <w:jc w:val="both"/>
        <w:rPr>
          <w:rFonts w:ascii="Times New Roman" w:hAnsi="Times New Roman" w:cs="Times New Roman"/>
          <w:sz w:val="28"/>
          <w:szCs w:val="28"/>
        </w:rPr>
      </w:pPr>
      <w:r w:rsidRPr="00186819">
        <w:rPr>
          <w:rFonts w:ascii="Times New Roman" w:hAnsi="Times New Roman" w:cs="Times New Roman"/>
          <w:sz w:val="28"/>
          <w:szCs w:val="28"/>
        </w:rPr>
        <w:t xml:space="preserve">Nella sentenza </w:t>
      </w:r>
      <w:r w:rsidR="00920199" w:rsidRPr="00186819">
        <w:rPr>
          <w:rFonts w:ascii="Times New Roman" w:hAnsi="Times New Roman" w:cs="Times New Roman"/>
          <w:sz w:val="28"/>
          <w:szCs w:val="28"/>
        </w:rPr>
        <w:t xml:space="preserve">n. </w:t>
      </w:r>
      <w:r w:rsidRPr="00186819">
        <w:rPr>
          <w:rFonts w:ascii="Times New Roman" w:hAnsi="Times New Roman" w:cs="Times New Roman"/>
          <w:sz w:val="28"/>
          <w:szCs w:val="28"/>
        </w:rPr>
        <w:t>51</w:t>
      </w:r>
      <w:r w:rsidR="006C0ED1" w:rsidRPr="00186819">
        <w:rPr>
          <w:rFonts w:ascii="Times New Roman" w:hAnsi="Times New Roman" w:cs="Times New Roman"/>
          <w:sz w:val="28"/>
          <w:szCs w:val="28"/>
        </w:rPr>
        <w:t>/</w:t>
      </w:r>
      <w:r w:rsidRPr="00186819">
        <w:rPr>
          <w:rFonts w:ascii="Times New Roman" w:hAnsi="Times New Roman" w:cs="Times New Roman"/>
          <w:sz w:val="28"/>
          <w:szCs w:val="28"/>
        </w:rPr>
        <w:t>2026, invece, con ri</w:t>
      </w:r>
      <w:r w:rsidR="008F6CFE">
        <w:rPr>
          <w:rFonts w:ascii="Times New Roman" w:hAnsi="Times New Roman" w:cs="Times New Roman"/>
          <w:sz w:val="28"/>
          <w:szCs w:val="28"/>
        </w:rPr>
        <w:t xml:space="preserve">ferimento </w:t>
      </w:r>
      <w:r w:rsidRPr="00186819">
        <w:rPr>
          <w:rFonts w:ascii="Times New Roman" w:hAnsi="Times New Roman" w:cs="Times New Roman"/>
          <w:sz w:val="28"/>
          <w:szCs w:val="28"/>
        </w:rPr>
        <w:t>alla questione della certificazione dell’importazione si pone in luce che: “</w:t>
      </w:r>
      <w:r w:rsidRPr="00186819">
        <w:rPr>
          <w:rFonts w:ascii="Times New Roman" w:hAnsi="Times New Roman" w:cs="Times New Roman"/>
          <w:i/>
          <w:iCs/>
          <w:sz w:val="28"/>
          <w:szCs w:val="28"/>
        </w:rPr>
        <w:t>il conseguente rischio di apprensione della cosa d’arte, già soggetta alla legge estera, al patrimonio culturale italiano paralizza le predette esigenze circolatorie tra paesi diversi proprie del mercato dell’arte, caratterizzato dalla naturale dimensione ultranazionale, comprimendo al contempo le facoltà dominicali di godere e di disporre dell’oggetto di rilievo culturale tra nazioni diverse. La restrizione risulta ancor più grave con riguardo alla circolazione tra Stati membri dell’Unione europea (articoli da 34 a 36 del Trattato sul funzionamento dell’Unione europea).”</w:t>
      </w:r>
      <w:r w:rsidRPr="00186819">
        <w:rPr>
          <w:rFonts w:ascii="Times New Roman" w:hAnsi="Times New Roman" w:cs="Times New Roman"/>
          <w:sz w:val="28"/>
          <w:szCs w:val="28"/>
        </w:rPr>
        <w:t>.</w:t>
      </w:r>
    </w:p>
    <w:p w14:paraId="6883694A" w14:textId="5D309114" w:rsidR="00B553A0" w:rsidRPr="00186819" w:rsidRDefault="00920199" w:rsidP="001C2AFC">
      <w:pPr>
        <w:jc w:val="both"/>
        <w:rPr>
          <w:rFonts w:ascii="Times New Roman" w:hAnsi="Times New Roman" w:cs="Times New Roman"/>
          <w:sz w:val="28"/>
          <w:szCs w:val="28"/>
        </w:rPr>
      </w:pPr>
      <w:r w:rsidRPr="00186819">
        <w:rPr>
          <w:rFonts w:ascii="Times New Roman" w:hAnsi="Times New Roman" w:cs="Times New Roman"/>
          <w:sz w:val="28"/>
          <w:szCs w:val="28"/>
        </w:rPr>
        <w:t>L</w:t>
      </w:r>
      <w:r w:rsidR="00F31CAF" w:rsidRPr="00186819">
        <w:rPr>
          <w:rFonts w:ascii="Times New Roman" w:hAnsi="Times New Roman" w:cs="Times New Roman"/>
          <w:sz w:val="28"/>
          <w:szCs w:val="28"/>
        </w:rPr>
        <w:t xml:space="preserve">a Corte costituzionale </w:t>
      </w:r>
      <w:r w:rsidRPr="00186819">
        <w:rPr>
          <w:rFonts w:ascii="Times New Roman" w:hAnsi="Times New Roman" w:cs="Times New Roman"/>
          <w:sz w:val="28"/>
          <w:szCs w:val="28"/>
        </w:rPr>
        <w:t xml:space="preserve">sembra dunque </w:t>
      </w:r>
      <w:r w:rsidR="009549E5">
        <w:rPr>
          <w:rFonts w:ascii="Times New Roman" w:hAnsi="Times New Roman" w:cs="Times New Roman"/>
          <w:sz w:val="28"/>
          <w:szCs w:val="28"/>
        </w:rPr>
        <w:t xml:space="preserve">rivolgere </w:t>
      </w:r>
      <w:r w:rsidR="002B099A">
        <w:rPr>
          <w:rFonts w:ascii="Times New Roman" w:hAnsi="Times New Roman" w:cs="Times New Roman"/>
          <w:sz w:val="28"/>
          <w:szCs w:val="28"/>
        </w:rPr>
        <w:t>molta attenzione a</w:t>
      </w:r>
      <w:r w:rsidR="006C0ED1" w:rsidRPr="00186819">
        <w:rPr>
          <w:rFonts w:ascii="Times New Roman" w:hAnsi="Times New Roman" w:cs="Times New Roman"/>
          <w:sz w:val="28"/>
          <w:szCs w:val="28"/>
        </w:rPr>
        <w:t xml:space="preserve">l diritto UE </w:t>
      </w:r>
      <w:r w:rsidR="004C1DB1">
        <w:rPr>
          <w:rFonts w:ascii="Times New Roman" w:hAnsi="Times New Roman" w:cs="Times New Roman"/>
          <w:sz w:val="28"/>
          <w:szCs w:val="28"/>
        </w:rPr>
        <w:t>nell</w:t>
      </w:r>
      <w:r w:rsidR="00F31CAF" w:rsidRPr="00186819">
        <w:rPr>
          <w:rFonts w:ascii="Times New Roman" w:hAnsi="Times New Roman" w:cs="Times New Roman"/>
          <w:sz w:val="28"/>
          <w:szCs w:val="28"/>
        </w:rPr>
        <w:t>e ricostruzioni giuridiche operate dalla stessa e</w:t>
      </w:r>
      <w:r w:rsidR="000D2FF3">
        <w:rPr>
          <w:rFonts w:ascii="Times New Roman" w:hAnsi="Times New Roman" w:cs="Times New Roman"/>
          <w:sz w:val="28"/>
          <w:szCs w:val="28"/>
        </w:rPr>
        <w:t xml:space="preserve"> nel vaglio delle prospettazioni dei</w:t>
      </w:r>
      <w:r w:rsidR="00F31CAF" w:rsidRPr="00186819">
        <w:rPr>
          <w:rFonts w:ascii="Times New Roman" w:hAnsi="Times New Roman" w:cs="Times New Roman"/>
          <w:sz w:val="28"/>
          <w:szCs w:val="28"/>
        </w:rPr>
        <w:t xml:space="preserve"> giudici remittenti,</w:t>
      </w:r>
      <w:r w:rsidR="003D64C1" w:rsidRPr="00186819">
        <w:rPr>
          <w:rFonts w:ascii="Times New Roman" w:hAnsi="Times New Roman" w:cs="Times New Roman"/>
          <w:sz w:val="28"/>
          <w:szCs w:val="28"/>
        </w:rPr>
        <w:t xml:space="preserve"> </w:t>
      </w:r>
      <w:r w:rsidR="00F31CAF" w:rsidRPr="00186819">
        <w:rPr>
          <w:rFonts w:ascii="Times New Roman" w:hAnsi="Times New Roman" w:cs="Times New Roman"/>
          <w:sz w:val="28"/>
          <w:szCs w:val="28"/>
        </w:rPr>
        <w:t>in un’ottica di integrazione degli ordinamenti</w:t>
      </w:r>
      <w:r w:rsidR="003D64C1" w:rsidRPr="00186819">
        <w:rPr>
          <w:rFonts w:ascii="Times New Roman" w:hAnsi="Times New Roman" w:cs="Times New Roman"/>
          <w:sz w:val="28"/>
          <w:szCs w:val="28"/>
        </w:rPr>
        <w:t xml:space="preserve"> piuttosto che di separazione e coordinamento.</w:t>
      </w:r>
    </w:p>
    <w:p w14:paraId="21321C30" w14:textId="31572E59" w:rsidR="00B553A0" w:rsidRPr="00186819" w:rsidRDefault="00B553A0" w:rsidP="001C2AFC">
      <w:pPr>
        <w:jc w:val="both"/>
        <w:rPr>
          <w:rFonts w:ascii="Times New Roman" w:hAnsi="Times New Roman" w:cs="Times New Roman"/>
          <w:sz w:val="28"/>
          <w:szCs w:val="28"/>
        </w:rPr>
      </w:pPr>
      <w:r w:rsidRPr="00186819">
        <w:rPr>
          <w:rFonts w:ascii="Times New Roman" w:hAnsi="Times New Roman" w:cs="Times New Roman"/>
          <w:sz w:val="28"/>
          <w:szCs w:val="28"/>
        </w:rPr>
        <w:t xml:space="preserve">Si tratta di un percorso che, come </w:t>
      </w:r>
      <w:r w:rsidR="009549E5">
        <w:rPr>
          <w:rFonts w:ascii="Times New Roman" w:hAnsi="Times New Roman" w:cs="Times New Roman"/>
          <w:sz w:val="28"/>
          <w:szCs w:val="28"/>
        </w:rPr>
        <w:t xml:space="preserve">noto, e </w:t>
      </w:r>
      <w:r w:rsidRPr="00186819">
        <w:rPr>
          <w:rFonts w:ascii="Times New Roman" w:hAnsi="Times New Roman" w:cs="Times New Roman"/>
          <w:sz w:val="28"/>
          <w:szCs w:val="28"/>
        </w:rPr>
        <w:t xml:space="preserve">notato </w:t>
      </w:r>
      <w:r w:rsidR="009549E5">
        <w:rPr>
          <w:rFonts w:ascii="Times New Roman" w:hAnsi="Times New Roman" w:cs="Times New Roman"/>
          <w:sz w:val="28"/>
          <w:szCs w:val="28"/>
        </w:rPr>
        <w:t xml:space="preserve">anche </w:t>
      </w:r>
      <w:r w:rsidRPr="00186819">
        <w:rPr>
          <w:rFonts w:ascii="Times New Roman" w:hAnsi="Times New Roman" w:cs="Times New Roman"/>
          <w:sz w:val="28"/>
          <w:szCs w:val="28"/>
        </w:rPr>
        <w:t>in dottrina</w:t>
      </w:r>
      <w:r w:rsidR="00962388" w:rsidRPr="00186819">
        <w:rPr>
          <w:rStyle w:val="Rimandonotaapidipagina"/>
          <w:rFonts w:ascii="Times New Roman" w:hAnsi="Times New Roman" w:cs="Times New Roman"/>
          <w:sz w:val="28"/>
          <w:szCs w:val="28"/>
        </w:rPr>
        <w:footnoteReference w:id="13"/>
      </w:r>
      <w:r w:rsidR="00962388" w:rsidRPr="00186819">
        <w:rPr>
          <w:rFonts w:ascii="Times New Roman" w:hAnsi="Times New Roman" w:cs="Times New Roman"/>
          <w:sz w:val="28"/>
          <w:szCs w:val="28"/>
        </w:rPr>
        <w:t>,</w:t>
      </w:r>
      <w:r w:rsidRPr="00186819">
        <w:rPr>
          <w:rFonts w:ascii="Times New Roman" w:hAnsi="Times New Roman" w:cs="Times New Roman"/>
          <w:sz w:val="28"/>
          <w:szCs w:val="28"/>
        </w:rPr>
        <w:t xml:space="preserve"> prende le mosse</w:t>
      </w:r>
      <w:r w:rsidR="00920199" w:rsidRPr="00186819">
        <w:rPr>
          <w:rFonts w:ascii="Times New Roman" w:hAnsi="Times New Roman" w:cs="Times New Roman"/>
          <w:sz w:val="28"/>
          <w:szCs w:val="28"/>
        </w:rPr>
        <w:t>, essenzialmente,</w:t>
      </w:r>
      <w:r w:rsidRPr="00186819">
        <w:rPr>
          <w:rFonts w:ascii="Times New Roman" w:hAnsi="Times New Roman" w:cs="Times New Roman"/>
          <w:sz w:val="28"/>
          <w:szCs w:val="28"/>
        </w:rPr>
        <w:t xml:space="preserve"> con la sentenza </w:t>
      </w:r>
      <w:r w:rsidR="00920199" w:rsidRPr="00186819">
        <w:rPr>
          <w:rFonts w:ascii="Times New Roman" w:hAnsi="Times New Roman" w:cs="Times New Roman"/>
          <w:sz w:val="28"/>
          <w:szCs w:val="28"/>
        </w:rPr>
        <w:t xml:space="preserve">n. </w:t>
      </w:r>
      <w:r w:rsidRPr="00186819">
        <w:rPr>
          <w:rFonts w:ascii="Times New Roman" w:hAnsi="Times New Roman" w:cs="Times New Roman"/>
          <w:sz w:val="28"/>
          <w:szCs w:val="28"/>
        </w:rPr>
        <w:t>269</w:t>
      </w:r>
      <w:r w:rsidR="00920199" w:rsidRPr="00186819">
        <w:rPr>
          <w:rFonts w:ascii="Times New Roman" w:hAnsi="Times New Roman" w:cs="Times New Roman"/>
          <w:sz w:val="28"/>
          <w:szCs w:val="28"/>
        </w:rPr>
        <w:t>/</w:t>
      </w:r>
      <w:r w:rsidRPr="00186819">
        <w:rPr>
          <w:rFonts w:ascii="Times New Roman" w:hAnsi="Times New Roman" w:cs="Times New Roman"/>
          <w:sz w:val="28"/>
          <w:szCs w:val="28"/>
        </w:rPr>
        <w:t>2017, che invita il giudice comune a sollevare questione di legittimità costituzionale qualora riscontri un contrasto tra diritto interno e Carta dei diritti fondamentali dell'Unione, e arriva alla sentenza n. 181</w:t>
      </w:r>
      <w:r w:rsidR="00920199" w:rsidRPr="00186819">
        <w:rPr>
          <w:rFonts w:ascii="Times New Roman" w:hAnsi="Times New Roman" w:cs="Times New Roman"/>
          <w:sz w:val="28"/>
          <w:szCs w:val="28"/>
        </w:rPr>
        <w:t>/</w:t>
      </w:r>
      <w:r w:rsidRPr="00186819">
        <w:rPr>
          <w:rFonts w:ascii="Times New Roman" w:hAnsi="Times New Roman" w:cs="Times New Roman"/>
          <w:sz w:val="28"/>
          <w:szCs w:val="28"/>
        </w:rPr>
        <w:t>2024 che invita il giudice ad interloquire con la Corte costituzionale anche quando siano violate altre norme di diritto dell'Unione, purché la questione sollevata sia dotata di “tono costituzionale”</w:t>
      </w:r>
      <w:r w:rsidR="00962388" w:rsidRPr="00186819">
        <w:rPr>
          <w:rStyle w:val="Rimandonotaapidipagina"/>
          <w:rFonts w:ascii="Times New Roman" w:hAnsi="Times New Roman" w:cs="Times New Roman"/>
          <w:sz w:val="28"/>
          <w:szCs w:val="28"/>
        </w:rPr>
        <w:footnoteReference w:id="14"/>
      </w:r>
      <w:r w:rsidRPr="00186819">
        <w:rPr>
          <w:rFonts w:ascii="Times New Roman" w:hAnsi="Times New Roman" w:cs="Times New Roman"/>
          <w:sz w:val="28"/>
          <w:szCs w:val="28"/>
        </w:rPr>
        <w:t>.</w:t>
      </w:r>
    </w:p>
    <w:p w14:paraId="0A4146FB" w14:textId="4B08FF9E" w:rsidR="00B50AD1" w:rsidRPr="00186819" w:rsidRDefault="00B553A0" w:rsidP="001C2AFC">
      <w:pPr>
        <w:jc w:val="both"/>
        <w:rPr>
          <w:rFonts w:ascii="Times New Roman" w:hAnsi="Times New Roman" w:cs="Times New Roman"/>
          <w:sz w:val="28"/>
          <w:szCs w:val="28"/>
        </w:rPr>
      </w:pPr>
      <w:r w:rsidRPr="00186819">
        <w:rPr>
          <w:rFonts w:ascii="Times New Roman" w:hAnsi="Times New Roman" w:cs="Times New Roman"/>
          <w:sz w:val="28"/>
          <w:szCs w:val="28"/>
        </w:rPr>
        <w:lastRenderedPageBreak/>
        <w:t>In tale senso, posto che la soluzione dei casi di cui alle decisioni in parola non era legata imprescindibilmente ad un</w:t>
      </w:r>
      <w:r w:rsidR="000D2FF3">
        <w:rPr>
          <w:rFonts w:ascii="Times New Roman" w:hAnsi="Times New Roman" w:cs="Times New Roman"/>
          <w:sz w:val="28"/>
          <w:szCs w:val="28"/>
        </w:rPr>
        <w:t xml:space="preserve">a visuale </w:t>
      </w:r>
      <w:r w:rsidRPr="00186819">
        <w:rPr>
          <w:rFonts w:ascii="Times New Roman" w:hAnsi="Times New Roman" w:cs="Times New Roman"/>
          <w:sz w:val="28"/>
          <w:szCs w:val="28"/>
        </w:rPr>
        <w:t xml:space="preserve">unionale, la Corte sembra premurarsi di assicurare l’approfondimento (sintetico ma comunque pregnante) anche di tale </w:t>
      </w:r>
      <w:r w:rsidR="000A4103">
        <w:rPr>
          <w:rFonts w:ascii="Times New Roman" w:hAnsi="Times New Roman" w:cs="Times New Roman"/>
          <w:sz w:val="28"/>
          <w:szCs w:val="28"/>
        </w:rPr>
        <w:t>aspetto</w:t>
      </w:r>
      <w:r w:rsidRPr="00186819">
        <w:rPr>
          <w:rFonts w:ascii="Times New Roman" w:hAnsi="Times New Roman" w:cs="Times New Roman"/>
          <w:sz w:val="28"/>
          <w:szCs w:val="28"/>
        </w:rPr>
        <w:t xml:space="preserve">. E ciò, può sommessamente ipotizzarsi, sia nell’ottica </w:t>
      </w:r>
      <w:r w:rsidR="00B50AD1" w:rsidRPr="00186819">
        <w:rPr>
          <w:rFonts w:ascii="Times New Roman" w:hAnsi="Times New Roman" w:cs="Times New Roman"/>
          <w:sz w:val="28"/>
          <w:szCs w:val="28"/>
        </w:rPr>
        <w:t xml:space="preserve">processuale </w:t>
      </w:r>
      <w:r w:rsidRPr="00186819">
        <w:rPr>
          <w:rFonts w:ascii="Times New Roman" w:hAnsi="Times New Roman" w:cs="Times New Roman"/>
          <w:sz w:val="28"/>
          <w:szCs w:val="28"/>
        </w:rPr>
        <w:t xml:space="preserve">di offrire elementi al giudice </w:t>
      </w:r>
      <w:r w:rsidRPr="00186819">
        <w:rPr>
          <w:rFonts w:ascii="Times New Roman" w:hAnsi="Times New Roman" w:cs="Times New Roman"/>
          <w:i/>
          <w:iCs/>
          <w:sz w:val="28"/>
          <w:szCs w:val="28"/>
        </w:rPr>
        <w:t>a quo</w:t>
      </w:r>
      <w:r w:rsidRPr="00186819">
        <w:rPr>
          <w:rFonts w:ascii="Times New Roman" w:hAnsi="Times New Roman" w:cs="Times New Roman"/>
          <w:sz w:val="28"/>
          <w:szCs w:val="28"/>
        </w:rPr>
        <w:t xml:space="preserve"> per valutare con estrema prudenza eventuali ulteriori rimessioni alla Corte di giustizia UE, e quindi </w:t>
      </w:r>
      <w:r w:rsidR="005F3AAE" w:rsidRPr="00186819">
        <w:rPr>
          <w:rFonts w:ascii="Times New Roman" w:hAnsi="Times New Roman" w:cs="Times New Roman"/>
          <w:sz w:val="28"/>
          <w:szCs w:val="28"/>
        </w:rPr>
        <w:t xml:space="preserve">al fine di garantire </w:t>
      </w:r>
      <w:r w:rsidRPr="00186819">
        <w:rPr>
          <w:rFonts w:ascii="Times New Roman" w:hAnsi="Times New Roman" w:cs="Times New Roman"/>
          <w:sz w:val="28"/>
          <w:szCs w:val="28"/>
        </w:rPr>
        <w:t xml:space="preserve">effettività e celerità </w:t>
      </w:r>
      <w:r w:rsidR="005F3AAE" w:rsidRPr="00186819">
        <w:rPr>
          <w:rFonts w:ascii="Times New Roman" w:hAnsi="Times New Roman" w:cs="Times New Roman"/>
          <w:sz w:val="28"/>
          <w:szCs w:val="28"/>
        </w:rPr>
        <w:t>a</w:t>
      </w:r>
      <w:r w:rsidR="00B50AD1" w:rsidRPr="00186819">
        <w:rPr>
          <w:rFonts w:ascii="Times New Roman" w:hAnsi="Times New Roman" w:cs="Times New Roman"/>
          <w:sz w:val="28"/>
          <w:szCs w:val="28"/>
        </w:rPr>
        <w:t xml:space="preserve">lla </w:t>
      </w:r>
      <w:r w:rsidRPr="00186819">
        <w:rPr>
          <w:rFonts w:ascii="Times New Roman" w:hAnsi="Times New Roman" w:cs="Times New Roman"/>
          <w:sz w:val="28"/>
          <w:szCs w:val="28"/>
        </w:rPr>
        <w:t>giurisdizion</w:t>
      </w:r>
      <w:r w:rsidR="00B50AD1" w:rsidRPr="00186819">
        <w:rPr>
          <w:rFonts w:ascii="Times New Roman" w:hAnsi="Times New Roman" w:cs="Times New Roman"/>
          <w:sz w:val="28"/>
          <w:szCs w:val="28"/>
        </w:rPr>
        <w:t>e</w:t>
      </w:r>
      <w:r w:rsidRPr="00186819">
        <w:rPr>
          <w:rFonts w:ascii="Times New Roman" w:hAnsi="Times New Roman" w:cs="Times New Roman"/>
          <w:sz w:val="28"/>
          <w:szCs w:val="28"/>
        </w:rPr>
        <w:t xml:space="preserve">, sia nell’ottica </w:t>
      </w:r>
      <w:r w:rsidR="00B50AD1" w:rsidRPr="00186819">
        <w:rPr>
          <w:rFonts w:ascii="Times New Roman" w:hAnsi="Times New Roman" w:cs="Times New Roman"/>
          <w:sz w:val="28"/>
          <w:szCs w:val="28"/>
        </w:rPr>
        <w:t>sostanziale</w:t>
      </w:r>
      <w:r w:rsidR="005F3AAE" w:rsidRPr="00186819">
        <w:rPr>
          <w:rFonts w:ascii="Times New Roman" w:hAnsi="Times New Roman" w:cs="Times New Roman"/>
          <w:sz w:val="28"/>
          <w:szCs w:val="28"/>
        </w:rPr>
        <w:t xml:space="preserve"> </w:t>
      </w:r>
      <w:r w:rsidRPr="00186819">
        <w:rPr>
          <w:rFonts w:ascii="Times New Roman" w:hAnsi="Times New Roman" w:cs="Times New Roman"/>
          <w:sz w:val="28"/>
          <w:szCs w:val="28"/>
        </w:rPr>
        <w:t>di assicurare un’esegesi, ed un eventuale emendamento, del diritto nazionale coerente con il quadro unionale</w:t>
      </w:r>
      <w:r w:rsidR="00006FC9" w:rsidRPr="00186819">
        <w:rPr>
          <w:rFonts w:ascii="Times New Roman" w:hAnsi="Times New Roman" w:cs="Times New Roman"/>
          <w:sz w:val="28"/>
          <w:szCs w:val="28"/>
        </w:rPr>
        <w:t>,</w:t>
      </w:r>
      <w:r w:rsidR="00B50AD1" w:rsidRPr="00186819">
        <w:rPr>
          <w:rFonts w:ascii="Times New Roman" w:hAnsi="Times New Roman" w:cs="Times New Roman"/>
          <w:sz w:val="28"/>
          <w:szCs w:val="28"/>
        </w:rPr>
        <w:t xml:space="preserve"> in quanto esigenza immanente all’ordinamento giuridico (anche </w:t>
      </w:r>
      <w:r w:rsidR="009549E5">
        <w:rPr>
          <w:rFonts w:ascii="Times New Roman" w:hAnsi="Times New Roman" w:cs="Times New Roman"/>
          <w:sz w:val="28"/>
          <w:szCs w:val="28"/>
        </w:rPr>
        <w:t xml:space="preserve">alla stregua di patrimonio giurisprudenziale </w:t>
      </w:r>
      <w:r w:rsidR="000D2FF3">
        <w:rPr>
          <w:rFonts w:ascii="Times New Roman" w:hAnsi="Times New Roman" w:cs="Times New Roman"/>
          <w:sz w:val="28"/>
          <w:szCs w:val="28"/>
        </w:rPr>
        <w:t xml:space="preserve">da </w:t>
      </w:r>
      <w:r w:rsidR="009549E5">
        <w:rPr>
          <w:rFonts w:ascii="Times New Roman" w:hAnsi="Times New Roman" w:cs="Times New Roman"/>
          <w:sz w:val="28"/>
          <w:szCs w:val="28"/>
        </w:rPr>
        <w:t>cui</w:t>
      </w:r>
      <w:r w:rsidR="00BF627C">
        <w:rPr>
          <w:rFonts w:ascii="Times New Roman" w:hAnsi="Times New Roman" w:cs="Times New Roman"/>
          <w:sz w:val="28"/>
          <w:szCs w:val="28"/>
        </w:rPr>
        <w:t xml:space="preserve"> poter in futuro </w:t>
      </w:r>
      <w:r w:rsidR="009549E5">
        <w:rPr>
          <w:rFonts w:ascii="Times New Roman" w:hAnsi="Times New Roman" w:cs="Times New Roman"/>
          <w:sz w:val="28"/>
          <w:szCs w:val="28"/>
        </w:rPr>
        <w:t>attingere</w:t>
      </w:r>
      <w:r w:rsidR="00B50AD1" w:rsidRPr="00186819">
        <w:rPr>
          <w:rFonts w:ascii="Times New Roman" w:hAnsi="Times New Roman" w:cs="Times New Roman"/>
          <w:sz w:val="28"/>
          <w:szCs w:val="28"/>
        </w:rPr>
        <w:t>)</w:t>
      </w:r>
      <w:r w:rsidR="00982759" w:rsidRPr="00186819">
        <w:rPr>
          <w:rFonts w:ascii="Times New Roman" w:hAnsi="Times New Roman" w:cs="Times New Roman"/>
          <w:sz w:val="28"/>
          <w:szCs w:val="28"/>
        </w:rPr>
        <w:t xml:space="preserve">. </w:t>
      </w:r>
    </w:p>
    <w:p w14:paraId="2CE496D8" w14:textId="4869C257" w:rsidR="00B50AD1" w:rsidRPr="00186819" w:rsidRDefault="00982759" w:rsidP="001C2AFC">
      <w:pPr>
        <w:jc w:val="both"/>
        <w:rPr>
          <w:rFonts w:ascii="Times New Roman" w:hAnsi="Times New Roman" w:cs="Times New Roman"/>
          <w:sz w:val="28"/>
          <w:szCs w:val="28"/>
        </w:rPr>
      </w:pPr>
      <w:r w:rsidRPr="00186819">
        <w:rPr>
          <w:rFonts w:ascii="Times New Roman" w:hAnsi="Times New Roman" w:cs="Times New Roman"/>
          <w:sz w:val="28"/>
          <w:szCs w:val="28"/>
        </w:rPr>
        <w:t>In</w:t>
      </w:r>
      <w:r w:rsidR="00E0016B" w:rsidRPr="00186819">
        <w:rPr>
          <w:rFonts w:ascii="Times New Roman" w:hAnsi="Times New Roman" w:cs="Times New Roman"/>
          <w:sz w:val="28"/>
          <w:szCs w:val="28"/>
        </w:rPr>
        <w:t xml:space="preserve"> </w:t>
      </w:r>
      <w:r w:rsidRPr="00186819">
        <w:rPr>
          <w:rFonts w:ascii="Times New Roman" w:hAnsi="Times New Roman" w:cs="Times New Roman"/>
          <w:sz w:val="28"/>
          <w:szCs w:val="28"/>
        </w:rPr>
        <w:t>so</w:t>
      </w:r>
      <w:r w:rsidR="00E0016B" w:rsidRPr="00186819">
        <w:rPr>
          <w:rFonts w:ascii="Times New Roman" w:hAnsi="Times New Roman" w:cs="Times New Roman"/>
          <w:sz w:val="28"/>
          <w:szCs w:val="28"/>
        </w:rPr>
        <w:t>stanza</w:t>
      </w:r>
      <w:r w:rsidRPr="00186819">
        <w:rPr>
          <w:rFonts w:ascii="Times New Roman" w:hAnsi="Times New Roman" w:cs="Times New Roman"/>
          <w:sz w:val="28"/>
          <w:szCs w:val="28"/>
        </w:rPr>
        <w:t>, pare trovarsi di fronte ad un attivo dialogo</w:t>
      </w:r>
      <w:r w:rsidR="005F3AAE"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B50AD1" w:rsidRPr="00186819">
        <w:rPr>
          <w:rFonts w:ascii="Times New Roman" w:hAnsi="Times New Roman" w:cs="Times New Roman"/>
          <w:sz w:val="28"/>
          <w:szCs w:val="28"/>
        </w:rPr>
        <w:t xml:space="preserve">anche </w:t>
      </w:r>
      <w:r w:rsidR="000A4103">
        <w:rPr>
          <w:rFonts w:ascii="Times New Roman" w:hAnsi="Times New Roman" w:cs="Times New Roman"/>
          <w:sz w:val="28"/>
          <w:szCs w:val="28"/>
        </w:rPr>
        <w:t xml:space="preserve">in riferimento </w:t>
      </w:r>
      <w:r w:rsidR="00B50AD1" w:rsidRPr="00186819">
        <w:rPr>
          <w:rFonts w:ascii="Times New Roman" w:hAnsi="Times New Roman" w:cs="Times New Roman"/>
          <w:sz w:val="28"/>
          <w:szCs w:val="28"/>
        </w:rPr>
        <w:t>al profilo</w:t>
      </w:r>
      <w:r w:rsidR="000D2FF3">
        <w:rPr>
          <w:rFonts w:ascii="Times New Roman" w:hAnsi="Times New Roman" w:cs="Times New Roman"/>
          <w:sz w:val="28"/>
          <w:szCs w:val="28"/>
        </w:rPr>
        <w:t xml:space="preserve"> del diritto</w:t>
      </w:r>
      <w:r w:rsidR="00B50AD1" w:rsidRPr="00186819">
        <w:rPr>
          <w:rFonts w:ascii="Times New Roman" w:hAnsi="Times New Roman" w:cs="Times New Roman"/>
          <w:sz w:val="28"/>
          <w:szCs w:val="28"/>
        </w:rPr>
        <w:t xml:space="preserve"> UE, </w:t>
      </w:r>
      <w:r w:rsidRPr="00186819">
        <w:rPr>
          <w:rFonts w:ascii="Times New Roman" w:hAnsi="Times New Roman" w:cs="Times New Roman"/>
          <w:sz w:val="28"/>
          <w:szCs w:val="28"/>
        </w:rPr>
        <w:t>con i giudici comuni e le giurisdizioni superiori, oltre che con il Legislatore</w:t>
      </w:r>
      <w:r w:rsidR="005F3AAE" w:rsidRPr="00186819">
        <w:rPr>
          <w:rFonts w:ascii="Times New Roman" w:hAnsi="Times New Roman" w:cs="Times New Roman"/>
          <w:sz w:val="28"/>
          <w:szCs w:val="28"/>
        </w:rPr>
        <w:t xml:space="preserve">. Ciò </w:t>
      </w:r>
      <w:r w:rsidRPr="00186819">
        <w:rPr>
          <w:rFonts w:ascii="Times New Roman" w:hAnsi="Times New Roman" w:cs="Times New Roman"/>
          <w:sz w:val="28"/>
          <w:szCs w:val="28"/>
        </w:rPr>
        <w:t>a con</w:t>
      </w:r>
      <w:r w:rsidR="00B50AD1" w:rsidRPr="00186819">
        <w:rPr>
          <w:rFonts w:ascii="Times New Roman" w:hAnsi="Times New Roman" w:cs="Times New Roman"/>
          <w:sz w:val="28"/>
          <w:szCs w:val="28"/>
        </w:rPr>
        <w:t xml:space="preserve">ferma e dimostrazione empirica </w:t>
      </w:r>
      <w:r w:rsidRPr="00186819">
        <w:rPr>
          <w:rFonts w:ascii="Times New Roman" w:hAnsi="Times New Roman" w:cs="Times New Roman"/>
          <w:sz w:val="28"/>
          <w:szCs w:val="28"/>
        </w:rPr>
        <w:t xml:space="preserve">(ove mai ve ne fosse bisogno) </w:t>
      </w:r>
      <w:r w:rsidR="009549E5" w:rsidRPr="00186819">
        <w:rPr>
          <w:rFonts w:ascii="Times New Roman" w:hAnsi="Times New Roman" w:cs="Times New Roman"/>
          <w:sz w:val="28"/>
          <w:szCs w:val="28"/>
        </w:rPr>
        <w:t xml:space="preserve">del ruolo </w:t>
      </w:r>
      <w:r w:rsidR="008F6CFE" w:rsidRPr="00186819">
        <w:rPr>
          <w:rFonts w:ascii="Times New Roman" w:hAnsi="Times New Roman" w:cs="Times New Roman"/>
          <w:sz w:val="28"/>
          <w:szCs w:val="28"/>
        </w:rPr>
        <w:t>assunto</w:t>
      </w:r>
      <w:r w:rsidR="008F6CFE">
        <w:rPr>
          <w:rFonts w:ascii="Times New Roman" w:hAnsi="Times New Roman" w:cs="Times New Roman"/>
          <w:sz w:val="28"/>
          <w:szCs w:val="28"/>
        </w:rPr>
        <w:t xml:space="preserve"> </w:t>
      </w:r>
      <w:r w:rsidR="008F6CFE" w:rsidRPr="00186819">
        <w:rPr>
          <w:rFonts w:ascii="Times New Roman" w:hAnsi="Times New Roman" w:cs="Times New Roman"/>
          <w:sz w:val="28"/>
          <w:szCs w:val="28"/>
        </w:rPr>
        <w:t xml:space="preserve">dalla Consulta </w:t>
      </w:r>
      <w:r w:rsidRPr="00186819">
        <w:rPr>
          <w:rFonts w:ascii="Times New Roman" w:hAnsi="Times New Roman" w:cs="Times New Roman"/>
          <w:sz w:val="28"/>
          <w:szCs w:val="28"/>
        </w:rPr>
        <w:t>di giudice de</w:t>
      </w:r>
      <w:r w:rsidR="00B50AD1" w:rsidRPr="00186819">
        <w:rPr>
          <w:rFonts w:ascii="Times New Roman" w:hAnsi="Times New Roman" w:cs="Times New Roman"/>
          <w:sz w:val="28"/>
          <w:szCs w:val="28"/>
        </w:rPr>
        <w:t>i diritti europei dei singoli</w:t>
      </w:r>
      <w:r w:rsidR="009549E5">
        <w:rPr>
          <w:rFonts w:ascii="Times New Roman" w:hAnsi="Times New Roman" w:cs="Times New Roman"/>
          <w:sz w:val="28"/>
          <w:szCs w:val="28"/>
        </w:rPr>
        <w:t>,</w:t>
      </w:r>
      <w:r w:rsidR="009549E5" w:rsidRPr="00186819">
        <w:rPr>
          <w:rFonts w:ascii="Times New Roman" w:hAnsi="Times New Roman" w:cs="Times New Roman"/>
          <w:sz w:val="28"/>
          <w:szCs w:val="28"/>
        </w:rPr>
        <w:t xml:space="preserve"> </w:t>
      </w:r>
      <w:r w:rsidR="00B50AD1" w:rsidRPr="00186819">
        <w:rPr>
          <w:rFonts w:ascii="Times New Roman" w:hAnsi="Times New Roman" w:cs="Times New Roman"/>
          <w:sz w:val="28"/>
          <w:szCs w:val="28"/>
        </w:rPr>
        <w:t xml:space="preserve">sia per </w:t>
      </w:r>
      <w:r w:rsidRPr="00186819">
        <w:rPr>
          <w:rFonts w:ascii="Times New Roman" w:hAnsi="Times New Roman" w:cs="Times New Roman"/>
          <w:sz w:val="28"/>
          <w:szCs w:val="28"/>
        </w:rPr>
        <w:t xml:space="preserve">i casi </w:t>
      </w:r>
      <w:r w:rsidR="00B50AD1" w:rsidRPr="00186819">
        <w:rPr>
          <w:rFonts w:ascii="Times New Roman" w:hAnsi="Times New Roman" w:cs="Times New Roman"/>
          <w:sz w:val="28"/>
          <w:szCs w:val="28"/>
        </w:rPr>
        <w:t xml:space="preserve">in cui emerga </w:t>
      </w:r>
      <w:r w:rsidR="00006FC9" w:rsidRPr="00186819">
        <w:rPr>
          <w:rFonts w:ascii="Times New Roman" w:hAnsi="Times New Roman" w:cs="Times New Roman"/>
          <w:sz w:val="28"/>
          <w:szCs w:val="28"/>
        </w:rPr>
        <w:t xml:space="preserve">(anche) un </w:t>
      </w:r>
      <w:r w:rsidR="00B50AD1" w:rsidRPr="00186819">
        <w:rPr>
          <w:rFonts w:ascii="Times New Roman" w:hAnsi="Times New Roman" w:cs="Times New Roman"/>
          <w:sz w:val="28"/>
          <w:szCs w:val="28"/>
        </w:rPr>
        <w:t>“tono costituzionale” della questione</w:t>
      </w:r>
      <w:r w:rsidR="005F3AAE" w:rsidRPr="00186819">
        <w:rPr>
          <w:rFonts w:ascii="Times New Roman" w:hAnsi="Times New Roman" w:cs="Times New Roman"/>
          <w:sz w:val="28"/>
          <w:szCs w:val="28"/>
        </w:rPr>
        <w:t xml:space="preserve"> unionale</w:t>
      </w:r>
      <w:r w:rsidR="00B50AD1" w:rsidRPr="00186819">
        <w:rPr>
          <w:rFonts w:ascii="Times New Roman" w:hAnsi="Times New Roman" w:cs="Times New Roman"/>
          <w:sz w:val="28"/>
          <w:szCs w:val="28"/>
        </w:rPr>
        <w:t xml:space="preserve"> sia per i casi in cui (come sembrerebbe ne</w:t>
      </w:r>
      <w:r w:rsidR="005F3AAE" w:rsidRPr="00186819">
        <w:rPr>
          <w:rFonts w:ascii="Times New Roman" w:hAnsi="Times New Roman" w:cs="Times New Roman"/>
          <w:sz w:val="28"/>
          <w:szCs w:val="28"/>
        </w:rPr>
        <w:t xml:space="preserve">lle questioni </w:t>
      </w:r>
      <w:r w:rsidR="00B50AD1" w:rsidRPr="00186819">
        <w:rPr>
          <w:rFonts w:ascii="Times New Roman" w:hAnsi="Times New Roman" w:cs="Times New Roman"/>
          <w:sz w:val="28"/>
          <w:szCs w:val="28"/>
        </w:rPr>
        <w:t>esaminat</w:t>
      </w:r>
      <w:r w:rsidR="005F3AAE" w:rsidRPr="00186819">
        <w:rPr>
          <w:rFonts w:ascii="Times New Roman" w:hAnsi="Times New Roman" w:cs="Times New Roman"/>
          <w:sz w:val="28"/>
          <w:szCs w:val="28"/>
        </w:rPr>
        <w:t>e</w:t>
      </w:r>
      <w:r w:rsidR="00B50AD1" w:rsidRPr="00186819">
        <w:rPr>
          <w:rFonts w:ascii="Times New Roman" w:hAnsi="Times New Roman" w:cs="Times New Roman"/>
          <w:sz w:val="28"/>
          <w:szCs w:val="28"/>
        </w:rPr>
        <w:t xml:space="preserve"> nel presente contributo) i </w:t>
      </w:r>
      <w:r w:rsidR="000A4103">
        <w:rPr>
          <w:rFonts w:ascii="Times New Roman" w:hAnsi="Times New Roman" w:cs="Times New Roman"/>
          <w:sz w:val="28"/>
          <w:szCs w:val="28"/>
        </w:rPr>
        <w:t>temi</w:t>
      </w:r>
      <w:r w:rsidR="00B50AD1" w:rsidRPr="00186819">
        <w:rPr>
          <w:rFonts w:ascii="Times New Roman" w:hAnsi="Times New Roman" w:cs="Times New Roman"/>
          <w:sz w:val="28"/>
          <w:szCs w:val="28"/>
        </w:rPr>
        <w:t xml:space="preserve"> unionali siano marginali ma non </w:t>
      </w:r>
      <w:r w:rsidR="00006FC9" w:rsidRPr="00186819">
        <w:rPr>
          <w:rFonts w:ascii="Times New Roman" w:hAnsi="Times New Roman" w:cs="Times New Roman"/>
          <w:sz w:val="28"/>
          <w:szCs w:val="28"/>
        </w:rPr>
        <w:t xml:space="preserve">per questo </w:t>
      </w:r>
      <w:r w:rsidR="00B50AD1" w:rsidRPr="00186819">
        <w:rPr>
          <w:rFonts w:ascii="Times New Roman" w:hAnsi="Times New Roman" w:cs="Times New Roman"/>
          <w:sz w:val="28"/>
          <w:szCs w:val="28"/>
        </w:rPr>
        <w:t>ins</w:t>
      </w:r>
      <w:r w:rsidR="00006FC9" w:rsidRPr="00186819">
        <w:rPr>
          <w:rFonts w:ascii="Times New Roman" w:hAnsi="Times New Roman" w:cs="Times New Roman"/>
          <w:sz w:val="28"/>
          <w:szCs w:val="28"/>
        </w:rPr>
        <w:t>ussistent</w:t>
      </w:r>
      <w:r w:rsidR="00B50AD1" w:rsidRPr="00186819">
        <w:rPr>
          <w:rFonts w:ascii="Times New Roman" w:hAnsi="Times New Roman" w:cs="Times New Roman"/>
          <w:sz w:val="28"/>
          <w:szCs w:val="28"/>
        </w:rPr>
        <w:t>i (</w:t>
      </w:r>
      <w:r w:rsidR="009549E5">
        <w:rPr>
          <w:rFonts w:ascii="Times New Roman" w:hAnsi="Times New Roman" w:cs="Times New Roman"/>
          <w:sz w:val="28"/>
          <w:szCs w:val="28"/>
        </w:rPr>
        <w:t xml:space="preserve">eventualmente </w:t>
      </w:r>
      <w:r w:rsidR="00B50AD1" w:rsidRPr="00186819">
        <w:rPr>
          <w:rFonts w:ascii="Times New Roman" w:hAnsi="Times New Roman" w:cs="Times New Roman"/>
          <w:sz w:val="28"/>
          <w:szCs w:val="28"/>
        </w:rPr>
        <w:t>anche in prospettiva).</w:t>
      </w:r>
    </w:p>
    <w:p w14:paraId="7DABDF8A" w14:textId="22FA4398" w:rsidR="0002458F" w:rsidRPr="00186819" w:rsidRDefault="00BF627C" w:rsidP="001C2AFC">
      <w:pPr>
        <w:jc w:val="both"/>
        <w:rPr>
          <w:rFonts w:ascii="Times New Roman" w:hAnsi="Times New Roman" w:cs="Times New Roman"/>
          <w:sz w:val="28"/>
          <w:szCs w:val="28"/>
        </w:rPr>
      </w:pPr>
      <w:r>
        <w:rPr>
          <w:rFonts w:ascii="Times New Roman" w:hAnsi="Times New Roman" w:cs="Times New Roman"/>
          <w:sz w:val="28"/>
          <w:szCs w:val="28"/>
        </w:rPr>
        <w:t>S</w:t>
      </w:r>
      <w:r w:rsidR="005F3AAE" w:rsidRPr="00186819">
        <w:rPr>
          <w:rFonts w:ascii="Times New Roman" w:hAnsi="Times New Roman" w:cs="Times New Roman"/>
          <w:sz w:val="28"/>
          <w:szCs w:val="28"/>
        </w:rPr>
        <w:t xml:space="preserve">i è </w:t>
      </w:r>
      <w:r w:rsidR="009549E5">
        <w:rPr>
          <w:rFonts w:ascii="Times New Roman" w:hAnsi="Times New Roman" w:cs="Times New Roman"/>
          <w:sz w:val="28"/>
          <w:szCs w:val="28"/>
        </w:rPr>
        <w:t xml:space="preserve">già </w:t>
      </w:r>
      <w:r w:rsidR="005F3AAE" w:rsidRPr="00186819">
        <w:rPr>
          <w:rFonts w:ascii="Times New Roman" w:hAnsi="Times New Roman" w:cs="Times New Roman"/>
          <w:sz w:val="28"/>
          <w:szCs w:val="28"/>
        </w:rPr>
        <w:t>accennato</w:t>
      </w:r>
      <w:r>
        <w:rPr>
          <w:rFonts w:ascii="Times New Roman" w:hAnsi="Times New Roman" w:cs="Times New Roman"/>
          <w:sz w:val="28"/>
          <w:szCs w:val="28"/>
        </w:rPr>
        <w:t xml:space="preserve"> alla circostanza che</w:t>
      </w:r>
      <w:r w:rsidR="005F3AAE" w:rsidRPr="00186819">
        <w:rPr>
          <w:rFonts w:ascii="Times New Roman" w:hAnsi="Times New Roman" w:cs="Times New Roman"/>
          <w:sz w:val="28"/>
          <w:szCs w:val="28"/>
        </w:rPr>
        <w:t xml:space="preserve"> il dialogo sui temi in trattazione ha coinvolto anche il Legislatore</w:t>
      </w:r>
      <w:r w:rsidR="00E0016B" w:rsidRPr="00186819">
        <w:rPr>
          <w:rFonts w:ascii="Times New Roman" w:hAnsi="Times New Roman" w:cs="Times New Roman"/>
          <w:sz w:val="28"/>
          <w:szCs w:val="28"/>
        </w:rPr>
        <w:t>, che con l</w:t>
      </w:r>
      <w:r w:rsidR="0002458F" w:rsidRPr="00186819">
        <w:rPr>
          <w:rFonts w:ascii="Times New Roman" w:hAnsi="Times New Roman" w:cs="Times New Roman"/>
          <w:sz w:val="28"/>
          <w:szCs w:val="28"/>
        </w:rPr>
        <w:t xml:space="preserve">a </w:t>
      </w:r>
      <w:bookmarkStart w:id="2" w:name="_Hlk229057749"/>
      <w:r w:rsidR="0002458F" w:rsidRPr="00186819">
        <w:rPr>
          <w:rFonts w:ascii="Times New Roman" w:hAnsi="Times New Roman" w:cs="Times New Roman"/>
          <w:sz w:val="28"/>
          <w:szCs w:val="28"/>
        </w:rPr>
        <w:t>legge 17 marzo 2026, n. 40</w:t>
      </w:r>
      <w:bookmarkEnd w:id="2"/>
      <w:r w:rsidR="0002458F" w:rsidRPr="00186819">
        <w:rPr>
          <w:rFonts w:ascii="Times New Roman" w:hAnsi="Times New Roman" w:cs="Times New Roman"/>
          <w:sz w:val="28"/>
          <w:szCs w:val="28"/>
        </w:rPr>
        <w:t xml:space="preserve">, </w:t>
      </w:r>
      <w:r w:rsidR="00E0016B" w:rsidRPr="00186819">
        <w:rPr>
          <w:rFonts w:ascii="Times New Roman" w:hAnsi="Times New Roman" w:cs="Times New Roman"/>
          <w:sz w:val="28"/>
          <w:szCs w:val="28"/>
        </w:rPr>
        <w:t xml:space="preserve">è </w:t>
      </w:r>
      <w:r w:rsidR="0002458F" w:rsidRPr="00186819">
        <w:rPr>
          <w:rFonts w:ascii="Times New Roman" w:hAnsi="Times New Roman" w:cs="Times New Roman"/>
          <w:sz w:val="28"/>
          <w:szCs w:val="28"/>
        </w:rPr>
        <w:t>intervenut</w:t>
      </w:r>
      <w:r w:rsidR="00E0016B" w:rsidRPr="00186819">
        <w:rPr>
          <w:rFonts w:ascii="Times New Roman" w:hAnsi="Times New Roman" w:cs="Times New Roman"/>
          <w:sz w:val="28"/>
          <w:szCs w:val="28"/>
        </w:rPr>
        <w:t>o</w:t>
      </w:r>
      <w:r w:rsidR="0002458F" w:rsidRPr="00186819">
        <w:rPr>
          <w:rFonts w:ascii="Times New Roman" w:hAnsi="Times New Roman" w:cs="Times New Roman"/>
          <w:sz w:val="28"/>
          <w:szCs w:val="28"/>
        </w:rPr>
        <w:t xml:space="preserve"> in maniera non trascurabile sul Codice.</w:t>
      </w:r>
    </w:p>
    <w:p w14:paraId="2ABF18CF" w14:textId="6719FBF3" w:rsidR="0002458F" w:rsidRPr="00186819" w:rsidRDefault="0002458F" w:rsidP="001C2AFC">
      <w:pPr>
        <w:jc w:val="both"/>
        <w:rPr>
          <w:rFonts w:ascii="Times New Roman" w:hAnsi="Times New Roman" w:cs="Times New Roman"/>
          <w:sz w:val="28"/>
          <w:szCs w:val="28"/>
        </w:rPr>
      </w:pPr>
      <w:r w:rsidRPr="00186819">
        <w:rPr>
          <w:rFonts w:ascii="Times New Roman" w:hAnsi="Times New Roman" w:cs="Times New Roman"/>
          <w:sz w:val="28"/>
          <w:szCs w:val="28"/>
        </w:rPr>
        <w:t>I punti essenziali della novella, per ciò che interessa la presente sede</w:t>
      </w:r>
      <w:r w:rsidR="00E0016B" w:rsidRPr="00186819">
        <w:rPr>
          <w:rFonts w:ascii="Times New Roman" w:hAnsi="Times New Roman" w:cs="Times New Roman"/>
          <w:sz w:val="28"/>
          <w:szCs w:val="28"/>
        </w:rPr>
        <w:t>,</w:t>
      </w:r>
      <w:r w:rsidRPr="00186819">
        <w:rPr>
          <w:rFonts w:ascii="Times New Roman" w:hAnsi="Times New Roman" w:cs="Times New Roman"/>
          <w:sz w:val="28"/>
          <w:szCs w:val="28"/>
        </w:rPr>
        <w:t xml:space="preserve"> </w:t>
      </w:r>
      <w:r w:rsidR="00E0016B" w:rsidRPr="00186819">
        <w:rPr>
          <w:rFonts w:ascii="Times New Roman" w:hAnsi="Times New Roman" w:cs="Times New Roman"/>
          <w:sz w:val="28"/>
          <w:szCs w:val="28"/>
        </w:rPr>
        <w:t xml:space="preserve">appaiono </w:t>
      </w:r>
      <w:r w:rsidRPr="00186819">
        <w:rPr>
          <w:rFonts w:ascii="Times New Roman" w:hAnsi="Times New Roman" w:cs="Times New Roman"/>
          <w:sz w:val="28"/>
          <w:szCs w:val="28"/>
        </w:rPr>
        <w:t>i seguenti.</w:t>
      </w:r>
    </w:p>
    <w:p w14:paraId="42815EF3" w14:textId="1F2C4DF3" w:rsidR="00006FC9" w:rsidRPr="00186819" w:rsidRDefault="000D2FF3" w:rsidP="001C2AFC">
      <w:pPr>
        <w:jc w:val="both"/>
        <w:rPr>
          <w:rFonts w:ascii="Times New Roman" w:hAnsi="Times New Roman" w:cs="Times New Roman"/>
          <w:sz w:val="28"/>
          <w:szCs w:val="28"/>
        </w:rPr>
      </w:pPr>
      <w:r>
        <w:rPr>
          <w:rFonts w:ascii="Times New Roman" w:hAnsi="Times New Roman" w:cs="Times New Roman"/>
          <w:sz w:val="28"/>
          <w:szCs w:val="28"/>
        </w:rPr>
        <w:t>In primo luogo, è</w:t>
      </w:r>
      <w:r w:rsidR="0047425D" w:rsidRPr="00186819">
        <w:rPr>
          <w:rFonts w:ascii="Times New Roman" w:hAnsi="Times New Roman" w:cs="Times New Roman"/>
          <w:sz w:val="28"/>
          <w:szCs w:val="28"/>
        </w:rPr>
        <w:t xml:space="preserve"> </w:t>
      </w:r>
      <w:r w:rsidR="0002458F" w:rsidRPr="00186819">
        <w:rPr>
          <w:rFonts w:ascii="Times New Roman" w:hAnsi="Times New Roman" w:cs="Times New Roman"/>
          <w:sz w:val="28"/>
          <w:szCs w:val="28"/>
        </w:rPr>
        <w:t>stato emendato l’art. 72 del Codice</w:t>
      </w:r>
      <w:r>
        <w:rPr>
          <w:rFonts w:ascii="Times New Roman" w:hAnsi="Times New Roman" w:cs="Times New Roman"/>
          <w:sz w:val="28"/>
          <w:szCs w:val="28"/>
        </w:rPr>
        <w:t>. D</w:t>
      </w:r>
      <w:r w:rsidR="001A4FB3">
        <w:rPr>
          <w:rFonts w:ascii="Times New Roman" w:hAnsi="Times New Roman" w:cs="Times New Roman"/>
          <w:sz w:val="28"/>
          <w:szCs w:val="28"/>
        </w:rPr>
        <w:t>ifatti</w:t>
      </w:r>
      <w:r w:rsidR="0002458F" w:rsidRPr="00186819">
        <w:rPr>
          <w:rFonts w:ascii="Times New Roman" w:hAnsi="Times New Roman" w:cs="Times New Roman"/>
          <w:sz w:val="28"/>
          <w:szCs w:val="28"/>
        </w:rPr>
        <w:t xml:space="preserve">, </w:t>
      </w:r>
      <w:r w:rsidR="00BF627C">
        <w:rPr>
          <w:rFonts w:ascii="Times New Roman" w:hAnsi="Times New Roman" w:cs="Times New Roman"/>
          <w:sz w:val="28"/>
          <w:szCs w:val="28"/>
        </w:rPr>
        <w:t xml:space="preserve">come </w:t>
      </w:r>
      <w:r w:rsidR="009549E5">
        <w:rPr>
          <w:rFonts w:ascii="Times New Roman" w:hAnsi="Times New Roman" w:cs="Times New Roman"/>
          <w:sz w:val="28"/>
          <w:szCs w:val="28"/>
        </w:rPr>
        <w:t>in precedenza segnalato</w:t>
      </w:r>
      <w:r w:rsidR="0002458F" w:rsidRPr="00186819">
        <w:rPr>
          <w:rFonts w:ascii="Times New Roman" w:hAnsi="Times New Roman" w:cs="Times New Roman"/>
          <w:sz w:val="28"/>
          <w:szCs w:val="28"/>
        </w:rPr>
        <w:t xml:space="preserve">, ancora prima della formale pubblicazione della </w:t>
      </w:r>
      <w:r w:rsidR="0047425D" w:rsidRPr="00186819">
        <w:rPr>
          <w:rFonts w:ascii="Times New Roman" w:hAnsi="Times New Roman" w:cs="Times New Roman"/>
          <w:sz w:val="28"/>
          <w:szCs w:val="28"/>
        </w:rPr>
        <w:t xml:space="preserve">ripetuta </w:t>
      </w:r>
      <w:r w:rsidR="0002458F" w:rsidRPr="00186819">
        <w:rPr>
          <w:rFonts w:ascii="Times New Roman" w:hAnsi="Times New Roman" w:cs="Times New Roman"/>
          <w:sz w:val="28"/>
          <w:szCs w:val="28"/>
        </w:rPr>
        <w:t xml:space="preserve">sentenza </w:t>
      </w:r>
      <w:r w:rsidR="0047425D" w:rsidRPr="00186819">
        <w:rPr>
          <w:rFonts w:ascii="Times New Roman" w:hAnsi="Times New Roman" w:cs="Times New Roman"/>
          <w:sz w:val="28"/>
          <w:szCs w:val="28"/>
        </w:rPr>
        <w:t>n. 51/2026</w:t>
      </w:r>
      <w:r w:rsidR="0002458F" w:rsidRPr="00186819">
        <w:rPr>
          <w:rFonts w:ascii="Times New Roman" w:hAnsi="Times New Roman" w:cs="Times New Roman"/>
          <w:sz w:val="28"/>
          <w:szCs w:val="28"/>
        </w:rPr>
        <w:t>, sono state parificate tutte le tipologie di beni culturali di cui all’art. 65 del Codice</w:t>
      </w:r>
      <w:r w:rsidR="0047425D" w:rsidRPr="00186819">
        <w:rPr>
          <w:rFonts w:ascii="Times New Roman" w:hAnsi="Times New Roman" w:cs="Times New Roman"/>
          <w:sz w:val="28"/>
          <w:szCs w:val="28"/>
        </w:rPr>
        <w:t>, per ciò che concerne la possibilità di ricorrere alla certificazione di ingresso nel territorio nazionale</w:t>
      </w:r>
      <w:r w:rsidR="00E0016B" w:rsidRPr="00186819">
        <w:rPr>
          <w:rFonts w:ascii="Times New Roman" w:hAnsi="Times New Roman" w:cs="Times New Roman"/>
          <w:sz w:val="28"/>
          <w:szCs w:val="28"/>
        </w:rPr>
        <w:t xml:space="preserve"> (ai fini dello “scudo” da interventi pubblicistici)</w:t>
      </w:r>
      <w:r w:rsidR="0002458F" w:rsidRPr="00186819">
        <w:rPr>
          <w:rFonts w:ascii="Times New Roman" w:hAnsi="Times New Roman" w:cs="Times New Roman"/>
          <w:sz w:val="28"/>
          <w:szCs w:val="28"/>
        </w:rPr>
        <w:t>.</w:t>
      </w:r>
    </w:p>
    <w:p w14:paraId="32B8840C" w14:textId="507E4058" w:rsidR="0047425D" w:rsidRPr="00154FE0" w:rsidRDefault="000D2FF3" w:rsidP="0047425D">
      <w:pPr>
        <w:jc w:val="both"/>
        <w:rPr>
          <w:rFonts w:ascii="Times New Roman" w:hAnsi="Times New Roman" w:cs="Times New Roman"/>
          <w:sz w:val="28"/>
          <w:szCs w:val="28"/>
        </w:rPr>
      </w:pPr>
      <w:r w:rsidRPr="000D2FF3">
        <w:rPr>
          <w:rFonts w:ascii="Times New Roman" w:hAnsi="Times New Roman" w:cs="Times New Roman"/>
          <w:i/>
          <w:iCs/>
          <w:sz w:val="28"/>
          <w:szCs w:val="28"/>
        </w:rPr>
        <w:t>In secundis</w:t>
      </w:r>
      <w:r>
        <w:rPr>
          <w:rFonts w:ascii="Times New Roman" w:hAnsi="Times New Roman" w:cs="Times New Roman"/>
          <w:sz w:val="28"/>
          <w:szCs w:val="28"/>
        </w:rPr>
        <w:t>, a</w:t>
      </w:r>
      <w:r w:rsidR="0047425D" w:rsidRPr="00154FE0">
        <w:rPr>
          <w:rFonts w:ascii="Times New Roman" w:hAnsi="Times New Roman" w:cs="Times New Roman"/>
          <w:sz w:val="28"/>
          <w:szCs w:val="28"/>
        </w:rPr>
        <w:t>ll'articolo 65 del Codice sono state apportate modificazioni tese ad innalzare la soglia per l’applicazione del regime ordinario di esportazione dei beni (conseguenzialmente ampliando le ipotesi di applicazione del regime semplificato</w:t>
      </w:r>
      <w:r w:rsidR="00154FE0">
        <w:rPr>
          <w:rFonts w:ascii="Times New Roman" w:hAnsi="Times New Roman" w:cs="Times New Roman"/>
          <w:sz w:val="28"/>
          <w:szCs w:val="28"/>
        </w:rPr>
        <w:t xml:space="preserve"> di </w:t>
      </w:r>
      <w:r w:rsidR="00154FE0">
        <w:rPr>
          <w:rFonts w:ascii="Times New Roman" w:hAnsi="Times New Roman" w:cs="Times New Roman"/>
          <w:sz w:val="28"/>
          <w:szCs w:val="28"/>
        </w:rPr>
        <w:lastRenderedPageBreak/>
        <w:t>dichiarazione</w:t>
      </w:r>
      <w:r w:rsidR="008F6CFE">
        <w:rPr>
          <w:rFonts w:ascii="Times New Roman" w:hAnsi="Times New Roman" w:cs="Times New Roman"/>
          <w:sz w:val="28"/>
          <w:szCs w:val="28"/>
        </w:rPr>
        <w:t xml:space="preserve"> rispetto al regime autorizzativo</w:t>
      </w:r>
      <w:r w:rsidR="0047425D" w:rsidRPr="00154FE0">
        <w:rPr>
          <w:rFonts w:ascii="Times New Roman" w:hAnsi="Times New Roman" w:cs="Times New Roman"/>
          <w:sz w:val="28"/>
          <w:szCs w:val="28"/>
        </w:rPr>
        <w:t>). Il nuovo valore soglia è pari ad euro 50.000</w:t>
      </w:r>
      <w:r>
        <w:rPr>
          <w:rFonts w:ascii="Times New Roman" w:hAnsi="Times New Roman" w:cs="Times New Roman"/>
          <w:sz w:val="28"/>
          <w:szCs w:val="28"/>
        </w:rPr>
        <w:t xml:space="preserve"> in luogo de</w:t>
      </w:r>
      <w:r w:rsidR="008725D5">
        <w:rPr>
          <w:rFonts w:ascii="Times New Roman" w:hAnsi="Times New Roman" w:cs="Times New Roman"/>
          <w:sz w:val="28"/>
          <w:szCs w:val="28"/>
        </w:rPr>
        <w:t>l precedente euro 13.500</w:t>
      </w:r>
      <w:r w:rsidR="0047425D" w:rsidRPr="00154FE0">
        <w:rPr>
          <w:rFonts w:ascii="Times New Roman" w:hAnsi="Times New Roman" w:cs="Times New Roman"/>
          <w:sz w:val="28"/>
          <w:szCs w:val="28"/>
        </w:rPr>
        <w:t>.</w:t>
      </w:r>
    </w:p>
    <w:p w14:paraId="0A12FDE5" w14:textId="63B19AF2" w:rsidR="00154FE0" w:rsidRPr="008F6CFE" w:rsidRDefault="0047425D" w:rsidP="0047425D">
      <w:pPr>
        <w:jc w:val="both"/>
        <w:rPr>
          <w:rFonts w:ascii="Times New Roman" w:hAnsi="Times New Roman" w:cs="Times New Roman"/>
          <w:sz w:val="28"/>
          <w:szCs w:val="28"/>
        </w:rPr>
      </w:pPr>
      <w:r w:rsidRPr="00154FE0">
        <w:rPr>
          <w:rFonts w:ascii="Times New Roman" w:hAnsi="Times New Roman" w:cs="Times New Roman"/>
          <w:sz w:val="28"/>
          <w:szCs w:val="28"/>
        </w:rPr>
        <w:t>Inoltre, sempre all’art. 65 del Codice</w:t>
      </w:r>
      <w:r w:rsidR="00E0016B" w:rsidRPr="00154FE0">
        <w:rPr>
          <w:rFonts w:ascii="Times New Roman" w:hAnsi="Times New Roman" w:cs="Times New Roman"/>
          <w:sz w:val="28"/>
          <w:szCs w:val="28"/>
        </w:rPr>
        <w:t>,</w:t>
      </w:r>
      <w:r w:rsidRPr="00154FE0">
        <w:rPr>
          <w:rFonts w:ascii="Times New Roman" w:hAnsi="Times New Roman" w:cs="Times New Roman"/>
          <w:sz w:val="28"/>
          <w:szCs w:val="28"/>
        </w:rPr>
        <w:t xml:space="preserve"> </w:t>
      </w:r>
      <w:r w:rsidR="00E0016B" w:rsidRPr="00154FE0">
        <w:rPr>
          <w:rFonts w:ascii="Times New Roman" w:hAnsi="Times New Roman" w:cs="Times New Roman"/>
          <w:sz w:val="28"/>
          <w:szCs w:val="28"/>
        </w:rPr>
        <w:t>nell’ambito della disciplina dell’esportazione, è stata prevista una nuova tipologia di bene culturale, ossia i “</w:t>
      </w:r>
      <w:r w:rsidR="00E0016B" w:rsidRPr="00154FE0">
        <w:rPr>
          <w:rFonts w:ascii="Times New Roman" w:hAnsi="Times New Roman" w:cs="Times New Roman"/>
          <w:i/>
          <w:iCs/>
          <w:sz w:val="28"/>
          <w:szCs w:val="28"/>
        </w:rPr>
        <w:t>beni librari, a chiunque appartenenti, che presentino interesse culturale, siano opera di autore non più vivente e la cui esecuzione risalga ad oltre settanta anni”</w:t>
      </w:r>
      <w:r w:rsidR="008F6CFE">
        <w:rPr>
          <w:rFonts w:ascii="Times New Roman" w:hAnsi="Times New Roman" w:cs="Times New Roman"/>
          <w:i/>
          <w:iCs/>
          <w:sz w:val="28"/>
          <w:szCs w:val="28"/>
        </w:rPr>
        <w:t>,</w:t>
      </w:r>
      <w:r w:rsidR="00E0016B" w:rsidRPr="00154FE0">
        <w:rPr>
          <w:rFonts w:ascii="Times New Roman" w:hAnsi="Times New Roman" w:cs="Times New Roman"/>
          <w:i/>
          <w:iCs/>
          <w:sz w:val="28"/>
          <w:szCs w:val="28"/>
        </w:rPr>
        <w:t xml:space="preserve"> </w:t>
      </w:r>
      <w:r w:rsidR="00E0016B" w:rsidRPr="00154FE0">
        <w:rPr>
          <w:rFonts w:ascii="Times New Roman" w:hAnsi="Times New Roman" w:cs="Times New Roman"/>
          <w:sz w:val="28"/>
          <w:szCs w:val="28"/>
        </w:rPr>
        <w:t>che, qualora il relativo valore sia superiore a euro 13.500</w:t>
      </w:r>
      <w:r w:rsidR="008725D5">
        <w:rPr>
          <w:rFonts w:ascii="Times New Roman" w:hAnsi="Times New Roman" w:cs="Times New Roman"/>
          <w:sz w:val="28"/>
          <w:szCs w:val="28"/>
        </w:rPr>
        <w:t>,</w:t>
      </w:r>
      <w:r w:rsidR="0009598A" w:rsidRPr="00154FE0">
        <w:rPr>
          <w:rFonts w:ascii="Times New Roman" w:hAnsi="Times New Roman" w:cs="Times New Roman"/>
          <w:sz w:val="28"/>
          <w:szCs w:val="28"/>
        </w:rPr>
        <w:t xml:space="preserve"> è soggetta a</w:t>
      </w:r>
      <w:r w:rsidR="008725D5">
        <w:rPr>
          <w:rFonts w:ascii="Times New Roman" w:hAnsi="Times New Roman" w:cs="Times New Roman"/>
          <w:sz w:val="28"/>
          <w:szCs w:val="28"/>
        </w:rPr>
        <w:t xml:space="preserve">d </w:t>
      </w:r>
      <w:r w:rsidR="0009598A" w:rsidRPr="00154FE0">
        <w:rPr>
          <w:rFonts w:ascii="Times New Roman" w:hAnsi="Times New Roman" w:cs="Times New Roman"/>
          <w:sz w:val="28"/>
          <w:szCs w:val="28"/>
        </w:rPr>
        <w:t xml:space="preserve">autorizzazione e qualora il relativo valore sia inferiore è soggetta a </w:t>
      </w:r>
      <w:r w:rsidR="0009598A" w:rsidRPr="008F6CFE">
        <w:rPr>
          <w:rFonts w:ascii="Times New Roman" w:hAnsi="Times New Roman" w:cs="Times New Roman"/>
          <w:sz w:val="28"/>
          <w:szCs w:val="28"/>
        </w:rPr>
        <w:t>dichiarazione.</w:t>
      </w:r>
      <w:r w:rsidR="008725D5">
        <w:rPr>
          <w:rFonts w:ascii="Times New Roman" w:hAnsi="Times New Roman" w:cs="Times New Roman"/>
          <w:sz w:val="28"/>
          <w:szCs w:val="28"/>
        </w:rPr>
        <w:t xml:space="preserve"> Tuttavia, q</w:t>
      </w:r>
      <w:r w:rsidR="00E0016B" w:rsidRPr="008F6CFE">
        <w:rPr>
          <w:rFonts w:ascii="Times New Roman" w:hAnsi="Times New Roman" w:cs="Times New Roman"/>
          <w:sz w:val="28"/>
          <w:szCs w:val="28"/>
        </w:rPr>
        <w:t xml:space="preserve">ualche perplessità suscita </w:t>
      </w:r>
      <w:r w:rsidR="008F6CFE" w:rsidRPr="008F6CFE">
        <w:rPr>
          <w:rFonts w:ascii="Times New Roman" w:hAnsi="Times New Roman" w:cs="Times New Roman"/>
          <w:i/>
          <w:iCs/>
          <w:sz w:val="28"/>
          <w:szCs w:val="28"/>
        </w:rPr>
        <w:t>prima facie</w:t>
      </w:r>
      <w:r w:rsidR="008F6CFE" w:rsidRPr="008F6CFE">
        <w:rPr>
          <w:rFonts w:ascii="Times New Roman" w:hAnsi="Times New Roman" w:cs="Times New Roman"/>
          <w:sz w:val="28"/>
          <w:szCs w:val="28"/>
        </w:rPr>
        <w:t xml:space="preserve"> </w:t>
      </w:r>
      <w:r w:rsidR="00E0016B" w:rsidRPr="008F6CFE">
        <w:rPr>
          <w:rFonts w:ascii="Times New Roman" w:hAnsi="Times New Roman" w:cs="Times New Roman"/>
          <w:sz w:val="28"/>
          <w:szCs w:val="28"/>
        </w:rPr>
        <w:t>il valore soglia diverso per tal</w:t>
      </w:r>
      <w:r w:rsidR="008F6CFE">
        <w:rPr>
          <w:rFonts w:ascii="Times New Roman" w:hAnsi="Times New Roman" w:cs="Times New Roman"/>
          <w:sz w:val="28"/>
          <w:szCs w:val="28"/>
        </w:rPr>
        <w:t>i</w:t>
      </w:r>
      <w:r w:rsidR="00E0016B" w:rsidRPr="008F6CFE">
        <w:rPr>
          <w:rFonts w:ascii="Times New Roman" w:hAnsi="Times New Roman" w:cs="Times New Roman"/>
          <w:sz w:val="28"/>
          <w:szCs w:val="28"/>
        </w:rPr>
        <w:t xml:space="preserve"> ben</w:t>
      </w:r>
      <w:r w:rsidR="008F6CFE">
        <w:rPr>
          <w:rFonts w:ascii="Times New Roman" w:hAnsi="Times New Roman" w:cs="Times New Roman"/>
          <w:sz w:val="28"/>
          <w:szCs w:val="28"/>
        </w:rPr>
        <w:t>i</w:t>
      </w:r>
      <w:r w:rsidR="00E0016B" w:rsidRPr="008F6CFE">
        <w:rPr>
          <w:rFonts w:ascii="Times New Roman" w:hAnsi="Times New Roman" w:cs="Times New Roman"/>
          <w:sz w:val="28"/>
          <w:szCs w:val="28"/>
        </w:rPr>
        <w:t xml:space="preserve"> rispetto agli altri.</w:t>
      </w:r>
    </w:p>
    <w:p w14:paraId="571AAF1A" w14:textId="753A143C" w:rsidR="00154FE0" w:rsidRPr="008F6CFE" w:rsidRDefault="008725D5" w:rsidP="001C2AFC">
      <w:pPr>
        <w:jc w:val="both"/>
        <w:rPr>
          <w:rFonts w:ascii="Times New Roman" w:hAnsi="Times New Roman" w:cs="Times New Roman"/>
          <w:sz w:val="28"/>
          <w:szCs w:val="28"/>
        </w:rPr>
      </w:pPr>
      <w:r>
        <w:rPr>
          <w:rFonts w:ascii="Times New Roman" w:hAnsi="Times New Roman" w:cs="Times New Roman"/>
          <w:sz w:val="28"/>
          <w:szCs w:val="28"/>
        </w:rPr>
        <w:t>In terzo luogo, s</w:t>
      </w:r>
      <w:r w:rsidR="00152BD8" w:rsidRPr="008F6CFE">
        <w:rPr>
          <w:rFonts w:ascii="Times New Roman" w:hAnsi="Times New Roman" w:cs="Times New Roman"/>
          <w:sz w:val="28"/>
          <w:szCs w:val="28"/>
        </w:rPr>
        <w:t xml:space="preserve">i registra un intervento anche </w:t>
      </w:r>
      <w:r w:rsidR="0009598A" w:rsidRPr="008F6CFE">
        <w:rPr>
          <w:rFonts w:ascii="Times New Roman" w:hAnsi="Times New Roman" w:cs="Times New Roman"/>
          <w:sz w:val="28"/>
          <w:szCs w:val="28"/>
        </w:rPr>
        <w:t>su</w:t>
      </w:r>
      <w:r w:rsidR="0047425D" w:rsidRPr="008F6CFE">
        <w:rPr>
          <w:rFonts w:ascii="Times New Roman" w:hAnsi="Times New Roman" w:cs="Times New Roman"/>
          <w:sz w:val="28"/>
          <w:szCs w:val="28"/>
        </w:rPr>
        <w:t xml:space="preserve">ll'articolo 68, comma 1, del </w:t>
      </w:r>
      <w:r w:rsidR="00152BD8" w:rsidRPr="008F6CFE">
        <w:rPr>
          <w:rFonts w:ascii="Times New Roman" w:hAnsi="Times New Roman" w:cs="Times New Roman"/>
          <w:sz w:val="28"/>
          <w:szCs w:val="28"/>
        </w:rPr>
        <w:t>C</w:t>
      </w:r>
      <w:r w:rsidR="0047425D" w:rsidRPr="008F6CFE">
        <w:rPr>
          <w:rFonts w:ascii="Times New Roman" w:hAnsi="Times New Roman" w:cs="Times New Roman"/>
          <w:sz w:val="28"/>
          <w:szCs w:val="28"/>
        </w:rPr>
        <w:t>odice</w:t>
      </w:r>
      <w:r w:rsidR="00152BD8" w:rsidRPr="008F6CFE">
        <w:rPr>
          <w:rFonts w:ascii="Times New Roman" w:hAnsi="Times New Roman" w:cs="Times New Roman"/>
          <w:sz w:val="28"/>
          <w:szCs w:val="28"/>
        </w:rPr>
        <w:t>, che adesso prevede (anche) che</w:t>
      </w:r>
      <w:r w:rsidR="0047425D" w:rsidRPr="008F6CFE">
        <w:rPr>
          <w:rFonts w:ascii="Times New Roman" w:hAnsi="Times New Roman" w:cs="Times New Roman"/>
          <w:sz w:val="28"/>
          <w:szCs w:val="28"/>
        </w:rPr>
        <w:t xml:space="preserve">: </w:t>
      </w:r>
      <w:r w:rsidR="00152BD8" w:rsidRPr="008F6CFE">
        <w:rPr>
          <w:rFonts w:ascii="Times New Roman" w:hAnsi="Times New Roman" w:cs="Times New Roman"/>
          <w:sz w:val="28"/>
          <w:szCs w:val="28"/>
        </w:rPr>
        <w:t>“</w:t>
      </w:r>
      <w:r w:rsidR="0047425D" w:rsidRPr="008F6CFE">
        <w:rPr>
          <w:rFonts w:ascii="Times New Roman" w:hAnsi="Times New Roman" w:cs="Times New Roman"/>
          <w:i/>
          <w:iCs/>
          <w:sz w:val="28"/>
          <w:szCs w:val="28"/>
        </w:rPr>
        <w:t>Il soggetto che presenta la denuncia e i suoi aventi causa possono ritirarla prima della notificazione della comunicazione dell'attestato di libera circolazione o del diniego</w:t>
      </w:r>
      <w:r w:rsidR="00152BD8" w:rsidRPr="008F6CFE">
        <w:rPr>
          <w:rFonts w:ascii="Times New Roman" w:hAnsi="Times New Roman" w:cs="Times New Roman"/>
          <w:sz w:val="28"/>
          <w:szCs w:val="28"/>
        </w:rPr>
        <w:t>”</w:t>
      </w:r>
      <w:r w:rsidR="0047425D" w:rsidRPr="008F6CFE">
        <w:rPr>
          <w:rFonts w:ascii="Times New Roman" w:hAnsi="Times New Roman" w:cs="Times New Roman"/>
          <w:sz w:val="28"/>
          <w:szCs w:val="28"/>
        </w:rPr>
        <w:t>.</w:t>
      </w:r>
      <w:r w:rsidR="00154FE0" w:rsidRPr="008F6CFE">
        <w:rPr>
          <w:rFonts w:ascii="Times New Roman" w:hAnsi="Times New Roman" w:cs="Times New Roman"/>
          <w:sz w:val="28"/>
          <w:szCs w:val="28"/>
        </w:rPr>
        <w:t xml:space="preserve"> </w:t>
      </w:r>
      <w:r w:rsidR="0009598A" w:rsidRPr="008F6CFE">
        <w:rPr>
          <w:rFonts w:ascii="Times New Roman" w:hAnsi="Times New Roman" w:cs="Times New Roman"/>
          <w:sz w:val="28"/>
          <w:szCs w:val="28"/>
        </w:rPr>
        <w:t xml:space="preserve">La norma sembra consentire </w:t>
      </w:r>
      <w:r w:rsidR="00154FE0" w:rsidRPr="008F6CFE">
        <w:rPr>
          <w:rFonts w:ascii="Times New Roman" w:hAnsi="Times New Roman" w:cs="Times New Roman"/>
          <w:sz w:val="28"/>
          <w:szCs w:val="28"/>
        </w:rPr>
        <w:t xml:space="preserve">un </w:t>
      </w:r>
      <w:r w:rsidR="00154FE0" w:rsidRPr="008F6CFE">
        <w:rPr>
          <w:rFonts w:ascii="Times New Roman" w:hAnsi="Times New Roman" w:cs="Times New Roman"/>
          <w:i/>
          <w:iCs/>
          <w:sz w:val="28"/>
          <w:szCs w:val="28"/>
        </w:rPr>
        <w:t xml:space="preserve">revirement </w:t>
      </w:r>
      <w:r w:rsidR="0009598A" w:rsidRPr="008F6CFE">
        <w:rPr>
          <w:rFonts w:ascii="Times New Roman" w:hAnsi="Times New Roman" w:cs="Times New Roman"/>
          <w:sz w:val="28"/>
          <w:szCs w:val="28"/>
        </w:rPr>
        <w:t>al richiedente l’attestato di libera circolazione, presumibilmente al fine di consentire al medesimo di recedere dal suo intendimento qualora abbia ragione di ritenere che il bene possa ricadere in interventi tutori.</w:t>
      </w:r>
    </w:p>
    <w:p w14:paraId="02145046" w14:textId="62C5C3AB" w:rsidR="00F62FAF" w:rsidRPr="00186819" w:rsidRDefault="00152BD8" w:rsidP="001C2AFC">
      <w:pPr>
        <w:jc w:val="both"/>
        <w:rPr>
          <w:rFonts w:ascii="Times New Roman" w:hAnsi="Times New Roman" w:cs="Times New Roman"/>
          <w:sz w:val="28"/>
          <w:szCs w:val="28"/>
        </w:rPr>
      </w:pPr>
      <w:r w:rsidRPr="008F6CFE">
        <w:rPr>
          <w:rFonts w:ascii="Times New Roman" w:hAnsi="Times New Roman" w:cs="Times New Roman"/>
          <w:sz w:val="28"/>
          <w:szCs w:val="28"/>
        </w:rPr>
        <w:t>In</w:t>
      </w:r>
      <w:r w:rsidR="008725D5">
        <w:rPr>
          <w:rFonts w:ascii="Times New Roman" w:hAnsi="Times New Roman" w:cs="Times New Roman"/>
          <w:sz w:val="28"/>
          <w:szCs w:val="28"/>
        </w:rPr>
        <w:t>fine, in</w:t>
      </w:r>
      <w:r w:rsidRPr="008F6CFE">
        <w:rPr>
          <w:rFonts w:ascii="Times New Roman" w:hAnsi="Times New Roman" w:cs="Times New Roman"/>
          <w:sz w:val="28"/>
          <w:szCs w:val="28"/>
        </w:rPr>
        <w:t xml:space="preserve">teressante </w:t>
      </w:r>
      <w:r w:rsidR="008725D5">
        <w:rPr>
          <w:rFonts w:ascii="Times New Roman" w:hAnsi="Times New Roman" w:cs="Times New Roman"/>
          <w:sz w:val="28"/>
          <w:szCs w:val="28"/>
        </w:rPr>
        <w:t xml:space="preserve">è altresì </w:t>
      </w:r>
      <w:r w:rsidRPr="008F6CFE">
        <w:rPr>
          <w:rFonts w:ascii="Times New Roman" w:hAnsi="Times New Roman" w:cs="Times New Roman"/>
          <w:sz w:val="28"/>
          <w:szCs w:val="28"/>
        </w:rPr>
        <w:t>la norma</w:t>
      </w:r>
      <w:r w:rsidR="00F62FAF" w:rsidRPr="008F6CFE">
        <w:rPr>
          <w:rFonts w:ascii="Times New Roman" w:hAnsi="Times New Roman" w:cs="Times New Roman"/>
          <w:sz w:val="28"/>
          <w:szCs w:val="28"/>
        </w:rPr>
        <w:t xml:space="preserve"> </w:t>
      </w:r>
      <w:r w:rsidRPr="008F6CFE">
        <w:rPr>
          <w:rFonts w:ascii="Times New Roman" w:hAnsi="Times New Roman" w:cs="Times New Roman"/>
          <w:sz w:val="28"/>
          <w:szCs w:val="28"/>
        </w:rPr>
        <w:t>introdotta</w:t>
      </w:r>
      <w:r w:rsidR="00F62FAF" w:rsidRPr="008F6CFE">
        <w:rPr>
          <w:rFonts w:ascii="Times New Roman" w:hAnsi="Times New Roman" w:cs="Times New Roman"/>
          <w:sz w:val="28"/>
          <w:szCs w:val="28"/>
        </w:rPr>
        <w:t xml:space="preserve"> </w:t>
      </w:r>
      <w:r w:rsidRPr="008F6CFE">
        <w:rPr>
          <w:rFonts w:ascii="Times New Roman" w:hAnsi="Times New Roman" w:cs="Times New Roman"/>
          <w:sz w:val="28"/>
          <w:szCs w:val="28"/>
        </w:rPr>
        <w:t>a</w:t>
      </w:r>
      <w:r w:rsidR="00F62FAF" w:rsidRPr="008F6CFE">
        <w:rPr>
          <w:rFonts w:ascii="Times New Roman" w:hAnsi="Times New Roman" w:cs="Times New Roman"/>
          <w:sz w:val="28"/>
          <w:szCs w:val="28"/>
        </w:rPr>
        <w:t xml:space="preserve">l comma 5 dell'articolo 4 della legge 17 marzo 2026, n. 40, che prevede invece che, ai fini dell'applicazione dell'articolo 68 del Codice, e fermi </w:t>
      </w:r>
      <w:r w:rsidR="00F62FAF" w:rsidRPr="008725D5">
        <w:rPr>
          <w:rFonts w:ascii="Times New Roman" w:hAnsi="Times New Roman" w:cs="Times New Roman"/>
          <w:sz w:val="28"/>
          <w:szCs w:val="28"/>
        </w:rPr>
        <w:t>restando gli altri criteri previsti dal decreto di cui al comma 4 del medesimo articolo 68 (</w:t>
      </w:r>
      <w:r w:rsidR="00F62FAF" w:rsidRPr="008725D5">
        <w:rPr>
          <w:rFonts w:ascii="Times New Roman" w:hAnsi="Times New Roman" w:cs="Times New Roman"/>
          <w:i/>
          <w:iCs/>
          <w:sz w:val="28"/>
          <w:szCs w:val="28"/>
        </w:rPr>
        <w:t>i.e.</w:t>
      </w:r>
      <w:r w:rsidR="00F62FAF" w:rsidRPr="008725D5">
        <w:rPr>
          <w:rFonts w:ascii="Times New Roman" w:hAnsi="Times New Roman" w:cs="Times New Roman"/>
          <w:sz w:val="28"/>
          <w:szCs w:val="28"/>
        </w:rPr>
        <w:t xml:space="preserve"> </w:t>
      </w:r>
      <w:r w:rsidR="00A47737" w:rsidRPr="008725D5">
        <w:rPr>
          <w:rFonts w:ascii="Times New Roman" w:hAnsi="Times New Roman" w:cs="Times New Roman"/>
          <w:sz w:val="28"/>
          <w:szCs w:val="28"/>
        </w:rPr>
        <w:t>decreto ministeriale n. 537 del 6 dicembre 2017)</w:t>
      </w:r>
      <w:r w:rsidR="00F62FAF" w:rsidRPr="008725D5">
        <w:rPr>
          <w:rFonts w:ascii="Times New Roman" w:hAnsi="Times New Roman" w:cs="Times New Roman"/>
          <w:sz w:val="28"/>
          <w:szCs w:val="28"/>
        </w:rPr>
        <w:t>, per le opere di autori stranieri l'attestato di libera circolazione non può</w:t>
      </w:r>
      <w:r w:rsidR="008725D5" w:rsidRPr="008725D5">
        <w:rPr>
          <w:rFonts w:ascii="Times New Roman" w:hAnsi="Times New Roman" w:cs="Times New Roman"/>
          <w:sz w:val="28"/>
          <w:szCs w:val="28"/>
        </w:rPr>
        <w:t>,</w:t>
      </w:r>
      <w:r w:rsidR="00F62FAF" w:rsidRPr="008725D5">
        <w:rPr>
          <w:rFonts w:ascii="Times New Roman" w:hAnsi="Times New Roman" w:cs="Times New Roman"/>
          <w:sz w:val="28"/>
          <w:szCs w:val="28"/>
        </w:rPr>
        <w:t xml:space="preserve"> in ogni caso</w:t>
      </w:r>
      <w:r w:rsidR="008725D5" w:rsidRPr="008725D5">
        <w:rPr>
          <w:rFonts w:ascii="Times New Roman" w:hAnsi="Times New Roman" w:cs="Times New Roman"/>
          <w:sz w:val="28"/>
          <w:szCs w:val="28"/>
        </w:rPr>
        <w:t>,</w:t>
      </w:r>
      <w:r w:rsidR="00F62FAF" w:rsidRPr="008725D5">
        <w:rPr>
          <w:rFonts w:ascii="Times New Roman" w:hAnsi="Times New Roman" w:cs="Times New Roman"/>
          <w:sz w:val="28"/>
          <w:szCs w:val="28"/>
        </w:rPr>
        <w:t xml:space="preserve"> essere negato qualora non sia accertata la specifica attinenza delle stesse alla storia della cultura in Italia.</w:t>
      </w:r>
    </w:p>
    <w:p w14:paraId="39574C4C" w14:textId="2673E003" w:rsidR="00E23538" w:rsidRPr="00186819" w:rsidRDefault="00F62FAF" w:rsidP="001C2AFC">
      <w:pPr>
        <w:jc w:val="both"/>
        <w:rPr>
          <w:rFonts w:ascii="Times New Roman" w:hAnsi="Times New Roman" w:cs="Times New Roman"/>
          <w:sz w:val="28"/>
          <w:szCs w:val="28"/>
        </w:rPr>
      </w:pPr>
      <w:r w:rsidRPr="00186819">
        <w:rPr>
          <w:rFonts w:ascii="Times New Roman" w:hAnsi="Times New Roman" w:cs="Times New Roman"/>
          <w:sz w:val="28"/>
          <w:szCs w:val="28"/>
        </w:rPr>
        <w:t xml:space="preserve">Si tratta di una disposizione che sembra rimanere </w:t>
      </w:r>
      <w:r w:rsidRPr="00186819">
        <w:rPr>
          <w:rFonts w:ascii="Times New Roman" w:hAnsi="Times New Roman" w:cs="Times New Roman"/>
          <w:i/>
          <w:iCs/>
          <w:sz w:val="28"/>
          <w:szCs w:val="28"/>
        </w:rPr>
        <w:t>extra</w:t>
      </w:r>
      <w:r w:rsidRPr="00186819">
        <w:rPr>
          <w:rFonts w:ascii="Times New Roman" w:hAnsi="Times New Roman" w:cs="Times New Roman"/>
          <w:sz w:val="28"/>
          <w:szCs w:val="28"/>
        </w:rPr>
        <w:t xml:space="preserve"> </w:t>
      </w:r>
      <w:r w:rsidR="00154FE0">
        <w:rPr>
          <w:rFonts w:ascii="Times New Roman" w:hAnsi="Times New Roman" w:cs="Times New Roman"/>
          <w:sz w:val="28"/>
          <w:szCs w:val="28"/>
        </w:rPr>
        <w:t>C</w:t>
      </w:r>
      <w:r w:rsidRPr="00186819">
        <w:rPr>
          <w:rFonts w:ascii="Times New Roman" w:hAnsi="Times New Roman" w:cs="Times New Roman"/>
          <w:sz w:val="28"/>
          <w:szCs w:val="28"/>
        </w:rPr>
        <w:t xml:space="preserve">odice e che introduce un onere della prova significativo in capo all’Amministrazione che, nella particolare fattispecie considerata, voglia negare il rilascio dell’attestato di libera circolazione. </w:t>
      </w:r>
    </w:p>
    <w:p w14:paraId="1AC4EED9" w14:textId="5568596C" w:rsidR="00F62FAF" w:rsidRPr="00186819" w:rsidRDefault="00152BD8" w:rsidP="001C2AFC">
      <w:pPr>
        <w:jc w:val="both"/>
        <w:rPr>
          <w:rFonts w:ascii="Times New Roman" w:hAnsi="Times New Roman" w:cs="Times New Roman"/>
          <w:sz w:val="28"/>
          <w:szCs w:val="28"/>
        </w:rPr>
      </w:pPr>
      <w:r w:rsidRPr="00186819">
        <w:rPr>
          <w:rFonts w:ascii="Times New Roman" w:hAnsi="Times New Roman" w:cs="Times New Roman"/>
          <w:sz w:val="28"/>
          <w:szCs w:val="28"/>
        </w:rPr>
        <w:t>Trattasi</w:t>
      </w:r>
      <w:r w:rsidR="008725D5">
        <w:rPr>
          <w:rFonts w:ascii="Times New Roman" w:hAnsi="Times New Roman" w:cs="Times New Roman"/>
          <w:sz w:val="28"/>
          <w:szCs w:val="28"/>
        </w:rPr>
        <w:t xml:space="preserve"> </w:t>
      </w:r>
      <w:r w:rsidRPr="00186819">
        <w:rPr>
          <w:rFonts w:ascii="Times New Roman" w:hAnsi="Times New Roman" w:cs="Times New Roman"/>
          <w:sz w:val="28"/>
          <w:szCs w:val="28"/>
        </w:rPr>
        <w:t xml:space="preserve">di interventi normativi </w:t>
      </w:r>
      <w:r w:rsidR="00F62FAF" w:rsidRPr="00186819">
        <w:rPr>
          <w:rFonts w:ascii="Times New Roman" w:hAnsi="Times New Roman" w:cs="Times New Roman"/>
          <w:sz w:val="28"/>
          <w:szCs w:val="28"/>
        </w:rPr>
        <w:t>che avranno necessità di approfondimento ed elaborazione nella prassi e nella giurisprudenza, ma</w:t>
      </w:r>
      <w:r w:rsidR="008725D5">
        <w:rPr>
          <w:rFonts w:ascii="Times New Roman" w:hAnsi="Times New Roman" w:cs="Times New Roman"/>
          <w:sz w:val="28"/>
          <w:szCs w:val="28"/>
        </w:rPr>
        <w:t xml:space="preserve"> che</w:t>
      </w:r>
      <w:r w:rsidR="00F62FAF" w:rsidRPr="008F6CFE">
        <w:rPr>
          <w:rFonts w:ascii="Times New Roman" w:hAnsi="Times New Roman" w:cs="Times New Roman"/>
          <w:sz w:val="28"/>
          <w:szCs w:val="28"/>
        </w:rPr>
        <w:t xml:space="preserve">, </w:t>
      </w:r>
      <w:r w:rsidR="008F6CFE" w:rsidRPr="008F6CFE">
        <w:rPr>
          <w:rFonts w:ascii="Times New Roman" w:hAnsi="Times New Roman" w:cs="Times New Roman"/>
          <w:sz w:val="28"/>
          <w:szCs w:val="28"/>
        </w:rPr>
        <w:t xml:space="preserve">a </w:t>
      </w:r>
      <w:r w:rsidR="00F62FAF" w:rsidRPr="008F6CFE">
        <w:rPr>
          <w:rFonts w:ascii="Times New Roman" w:hAnsi="Times New Roman" w:cs="Times New Roman"/>
          <w:sz w:val="28"/>
          <w:szCs w:val="28"/>
        </w:rPr>
        <w:t xml:space="preserve">prima </w:t>
      </w:r>
      <w:r w:rsidR="008F6CFE" w:rsidRPr="008F6CFE">
        <w:rPr>
          <w:rFonts w:ascii="Times New Roman" w:hAnsi="Times New Roman" w:cs="Times New Roman"/>
          <w:sz w:val="28"/>
          <w:szCs w:val="28"/>
        </w:rPr>
        <w:t>lettura</w:t>
      </w:r>
      <w:r w:rsidR="00F62FAF" w:rsidRPr="008F6CFE">
        <w:rPr>
          <w:rFonts w:ascii="Times New Roman" w:hAnsi="Times New Roman" w:cs="Times New Roman"/>
          <w:sz w:val="28"/>
          <w:szCs w:val="28"/>
        </w:rPr>
        <w:t xml:space="preserve">, appaiono </w:t>
      </w:r>
      <w:r w:rsidR="008725D5" w:rsidRPr="008725D5">
        <w:rPr>
          <w:rFonts w:ascii="Times New Roman" w:hAnsi="Times New Roman" w:cs="Times New Roman"/>
          <w:sz w:val="28"/>
          <w:szCs w:val="28"/>
        </w:rPr>
        <w:t xml:space="preserve">complessivamente </w:t>
      </w:r>
      <w:r w:rsidR="00F62FAF" w:rsidRPr="008F6CFE">
        <w:rPr>
          <w:rFonts w:ascii="Times New Roman" w:hAnsi="Times New Roman" w:cs="Times New Roman"/>
          <w:sz w:val="28"/>
          <w:szCs w:val="28"/>
        </w:rPr>
        <w:t>ispirati, come espressamente indica l’art. 1 della legge in</w:t>
      </w:r>
      <w:r w:rsidR="00F62FAF" w:rsidRPr="00186819">
        <w:rPr>
          <w:rFonts w:ascii="Times New Roman" w:hAnsi="Times New Roman" w:cs="Times New Roman"/>
          <w:sz w:val="28"/>
          <w:szCs w:val="28"/>
        </w:rPr>
        <w:t xml:space="preserve"> parola, a</w:t>
      </w:r>
      <w:r w:rsidRPr="00186819">
        <w:rPr>
          <w:rFonts w:ascii="Times New Roman" w:hAnsi="Times New Roman" w:cs="Times New Roman"/>
          <w:sz w:val="28"/>
          <w:szCs w:val="28"/>
        </w:rPr>
        <w:t>l principio di sussidiarietà orizzontale,</w:t>
      </w:r>
      <w:r w:rsidR="00F62FAF" w:rsidRPr="00186819">
        <w:rPr>
          <w:rFonts w:ascii="Times New Roman" w:hAnsi="Times New Roman" w:cs="Times New Roman"/>
          <w:sz w:val="28"/>
          <w:szCs w:val="28"/>
        </w:rPr>
        <w:t xml:space="preserve"> nonché al</w:t>
      </w:r>
      <w:r w:rsidR="00800DBC">
        <w:rPr>
          <w:rFonts w:ascii="Times New Roman" w:hAnsi="Times New Roman" w:cs="Times New Roman"/>
          <w:sz w:val="28"/>
          <w:szCs w:val="28"/>
        </w:rPr>
        <w:t xml:space="preserve"> riconoscimento del</w:t>
      </w:r>
      <w:r w:rsidRPr="00186819">
        <w:rPr>
          <w:rFonts w:ascii="Times New Roman" w:hAnsi="Times New Roman" w:cs="Times New Roman"/>
          <w:sz w:val="28"/>
          <w:szCs w:val="28"/>
        </w:rPr>
        <w:t>l'autonoma iniziativa dei cittadini, singoli o associati, nella valorizzazione dei beni culturali</w:t>
      </w:r>
      <w:r w:rsidR="00F62FAF" w:rsidRPr="00186819">
        <w:rPr>
          <w:rFonts w:ascii="Times New Roman" w:hAnsi="Times New Roman" w:cs="Times New Roman"/>
          <w:sz w:val="28"/>
          <w:szCs w:val="28"/>
        </w:rPr>
        <w:t>.</w:t>
      </w:r>
    </w:p>
    <w:p w14:paraId="1DADD17C" w14:textId="77777777" w:rsidR="00A61B54" w:rsidRDefault="00A61B54" w:rsidP="00A61B54">
      <w:pPr>
        <w:jc w:val="both"/>
        <w:rPr>
          <w:i/>
          <w:iCs/>
        </w:rPr>
      </w:pPr>
      <w:r w:rsidRPr="00A61B54">
        <w:rPr>
          <w:i/>
          <w:iCs/>
        </w:rPr>
        <w:t>Giovanni Caputi, magistrato TAR Lazio</w:t>
      </w:r>
    </w:p>
    <w:p w14:paraId="42353A32" w14:textId="7C853777" w:rsidR="00A61B54" w:rsidRPr="00A61B54" w:rsidRDefault="00A61B54" w:rsidP="00A61B54">
      <w:pPr>
        <w:jc w:val="both"/>
        <w:rPr>
          <w:i/>
          <w:iCs/>
        </w:rPr>
      </w:pPr>
      <w:r w:rsidRPr="002618E4">
        <w:rPr>
          <w:i/>
          <w:iCs/>
        </w:rPr>
        <w:t>Le opinioni di cui al presente contributo sono espresse dall’Autore a titolo personale; esse non impegnano l'Ufficio studi della Giustizia amministrativa, né quest'ultima quale Istituzione.</w:t>
      </w:r>
    </w:p>
    <w:p w14:paraId="3B22D43F" w14:textId="77777777" w:rsidR="00A61B54" w:rsidRPr="00186819" w:rsidRDefault="00A61B54" w:rsidP="001F57B5">
      <w:pPr>
        <w:jc w:val="both"/>
        <w:rPr>
          <w:rFonts w:ascii="Times New Roman" w:hAnsi="Times New Roman" w:cs="Times New Roman"/>
          <w:sz w:val="28"/>
          <w:szCs w:val="28"/>
        </w:rPr>
      </w:pPr>
    </w:p>
    <w:sectPr w:rsidR="00A61B54" w:rsidRPr="001868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E200" w14:textId="77777777" w:rsidR="00DF1BB5" w:rsidRDefault="00DF1BB5" w:rsidP="006D10C8">
      <w:pPr>
        <w:spacing w:after="0" w:line="240" w:lineRule="auto"/>
      </w:pPr>
      <w:r>
        <w:separator/>
      </w:r>
    </w:p>
  </w:endnote>
  <w:endnote w:type="continuationSeparator" w:id="0">
    <w:p w14:paraId="69C4FCBF" w14:textId="77777777" w:rsidR="00DF1BB5" w:rsidRDefault="00DF1BB5" w:rsidP="006D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8C00" w14:textId="77777777" w:rsidR="00DF1BB5" w:rsidRDefault="00DF1BB5" w:rsidP="006D10C8">
      <w:pPr>
        <w:spacing w:after="0" w:line="240" w:lineRule="auto"/>
      </w:pPr>
      <w:r>
        <w:separator/>
      </w:r>
    </w:p>
  </w:footnote>
  <w:footnote w:type="continuationSeparator" w:id="0">
    <w:p w14:paraId="27C5F438" w14:textId="77777777" w:rsidR="00DF1BB5" w:rsidRDefault="00DF1BB5" w:rsidP="006D10C8">
      <w:pPr>
        <w:spacing w:after="0" w:line="240" w:lineRule="auto"/>
      </w:pPr>
      <w:r>
        <w:continuationSeparator/>
      </w:r>
    </w:p>
  </w:footnote>
  <w:footnote w:id="1">
    <w:p w14:paraId="5ABAAAB1" w14:textId="77F1D141" w:rsidR="00DB5981" w:rsidRPr="004C1DB1" w:rsidRDefault="00DB5981" w:rsidP="00154FE0">
      <w:pPr>
        <w:pStyle w:val="Testonotaapidipagina"/>
        <w:jc w:val="both"/>
        <w:rPr>
          <w:rFonts w:ascii="Times New Roman" w:hAnsi="Times New Roman" w:cs="Times New Roman"/>
          <w:sz w:val="24"/>
          <w:szCs w:val="24"/>
        </w:rPr>
      </w:pPr>
      <w:r w:rsidRPr="004C1DB1">
        <w:rPr>
          <w:rFonts w:ascii="Times New Roman" w:hAnsi="Times New Roman" w:cs="Times New Roman"/>
          <w:sz w:val="24"/>
          <w:szCs w:val="24"/>
        </w:rPr>
        <w:t xml:space="preserve">* Lo scrivente è stato estensore della </w:t>
      </w:r>
      <w:r w:rsidR="004C1DB1" w:rsidRPr="004C1DB1">
        <w:rPr>
          <w:rFonts w:ascii="Times New Roman" w:hAnsi="Times New Roman" w:cs="Times New Roman"/>
          <w:sz w:val="24"/>
          <w:szCs w:val="24"/>
        </w:rPr>
        <w:t xml:space="preserve">ordinanza di </w:t>
      </w:r>
      <w:r w:rsidRPr="004C1DB1">
        <w:rPr>
          <w:rFonts w:ascii="Times New Roman" w:hAnsi="Times New Roman" w:cs="Times New Roman"/>
          <w:sz w:val="24"/>
          <w:szCs w:val="24"/>
        </w:rPr>
        <w:t>rimessione alla Consulta della questione che ha condotto alla sentenza della Corte costituzionale n. 51/2026</w:t>
      </w:r>
      <w:r w:rsidR="00645FBB">
        <w:rPr>
          <w:rFonts w:ascii="Times New Roman" w:hAnsi="Times New Roman" w:cs="Times New Roman"/>
          <w:sz w:val="24"/>
          <w:szCs w:val="24"/>
        </w:rPr>
        <w:t>;</w:t>
      </w:r>
      <w:r w:rsidR="00E0016B" w:rsidRPr="004C1DB1">
        <w:rPr>
          <w:rFonts w:ascii="Times New Roman" w:hAnsi="Times New Roman" w:cs="Times New Roman"/>
          <w:sz w:val="24"/>
          <w:szCs w:val="24"/>
        </w:rPr>
        <w:t xml:space="preserve"> l</w:t>
      </w:r>
      <w:r w:rsidRPr="004C1DB1">
        <w:rPr>
          <w:rFonts w:ascii="Times New Roman" w:hAnsi="Times New Roman" w:cs="Times New Roman"/>
          <w:sz w:val="24"/>
          <w:szCs w:val="24"/>
        </w:rPr>
        <w:t>e opinioni espresse nella presente sede sono a titolo puramente personale.</w:t>
      </w:r>
    </w:p>
    <w:p w14:paraId="78D505BF" w14:textId="6DD70AEC" w:rsidR="00651407" w:rsidRPr="004C1DB1" w:rsidRDefault="00651407" w:rsidP="00154FE0">
      <w:pPr>
        <w:pStyle w:val="Testonotaapidipagina"/>
        <w:jc w:val="both"/>
        <w:rPr>
          <w:rFonts w:ascii="Times New Roman" w:hAnsi="Times New Roman" w:cs="Times New Roman"/>
          <w:sz w:val="24"/>
          <w:szCs w:val="24"/>
        </w:rPr>
      </w:pPr>
      <w:r w:rsidRPr="004C1DB1">
        <w:rPr>
          <w:rStyle w:val="Rimandonotaapidipagina"/>
          <w:rFonts w:ascii="Times New Roman" w:hAnsi="Times New Roman" w:cs="Times New Roman"/>
          <w:sz w:val="24"/>
          <w:szCs w:val="24"/>
        </w:rPr>
        <w:footnoteRef/>
      </w:r>
      <w:r w:rsidRPr="004C1DB1">
        <w:rPr>
          <w:rFonts w:ascii="Times New Roman" w:hAnsi="Times New Roman" w:cs="Times New Roman"/>
          <w:sz w:val="24"/>
          <w:szCs w:val="24"/>
        </w:rPr>
        <w:t xml:space="preserve"> In termini generali, sulla circolazione internazionale dei beni culturali in dottrina si vedano, </w:t>
      </w:r>
      <w:r w:rsidR="000F6ED9" w:rsidRPr="004C1DB1">
        <w:rPr>
          <w:rFonts w:ascii="Times New Roman" w:hAnsi="Times New Roman" w:cs="Times New Roman"/>
          <w:sz w:val="24"/>
          <w:szCs w:val="24"/>
        </w:rPr>
        <w:t xml:space="preserve">senza pretesa di esaustività: </w:t>
      </w:r>
      <w:r w:rsidRPr="004C1DB1">
        <w:rPr>
          <w:rFonts w:ascii="Times New Roman" w:hAnsi="Times New Roman" w:cs="Times New Roman"/>
          <w:sz w:val="24"/>
          <w:szCs w:val="24"/>
        </w:rPr>
        <w:t>L. Casini, Retenzione vs. esportazione: la circolazione internazionale di opere d'arte, in Ereditare il futuro, Bologna, 2016, 123 ss.; M. Del Chicca, art. 68, in G. Famiglietti, N. Pignatelli, Codice dei beni culturali e del paesaggio, II ed., Molfetta 2018, 495 ss.; C. Ferrazzi, art. 68, in M.A. Sandulli (a cura di), Codice dei beni culturali e del paesaggio, III ed., Milano 2019, 675 ss.; L. Montereale, La circolazione internazionale delle opere d'arte, in rivista.</w:t>
      </w:r>
      <w:r w:rsidRPr="00645FBB">
        <w:rPr>
          <w:rFonts w:ascii="Times New Roman" w:hAnsi="Times New Roman" w:cs="Times New Roman"/>
          <w:sz w:val="24"/>
          <w:szCs w:val="24"/>
        </w:rPr>
        <w:t>camminodiritto.it; A. Pirri Valentini, Il controllo della circolazione internazionale delle opere d'arte</w:t>
      </w:r>
      <w:r w:rsidR="004C1DB1" w:rsidRPr="00645FBB">
        <w:rPr>
          <w:rFonts w:ascii="Times New Roman" w:hAnsi="Times New Roman" w:cs="Times New Roman"/>
          <w:sz w:val="24"/>
          <w:szCs w:val="24"/>
        </w:rPr>
        <w:t>,</w:t>
      </w:r>
      <w:r w:rsidR="00645FBB" w:rsidRPr="00645FBB">
        <w:rPr>
          <w:rFonts w:ascii="Times New Roman" w:hAnsi="Times New Roman" w:cs="Times New Roman"/>
          <w:sz w:val="24"/>
          <w:szCs w:val="24"/>
        </w:rPr>
        <w:t xml:space="preserve"> </w:t>
      </w:r>
      <w:r w:rsidRPr="00645FBB">
        <w:rPr>
          <w:rFonts w:ascii="Times New Roman" w:hAnsi="Times New Roman" w:cs="Times New Roman"/>
          <w:sz w:val="24"/>
          <w:szCs w:val="24"/>
        </w:rPr>
        <w:t>Milano 2023; Id., Il controllo giurisdizionale sull'esportazione di opere d'arte, in Riv. trim. dir. pubbl. 2020, 491 ss.</w:t>
      </w:r>
      <w:r w:rsidR="000F6ED9" w:rsidRPr="00645FBB">
        <w:rPr>
          <w:rFonts w:ascii="Times New Roman" w:hAnsi="Times New Roman" w:cs="Times New Roman"/>
          <w:sz w:val="24"/>
          <w:szCs w:val="24"/>
        </w:rPr>
        <w:t>.</w:t>
      </w:r>
    </w:p>
    <w:p w14:paraId="5653069C" w14:textId="29C1EB6C" w:rsidR="00651407" w:rsidRPr="004C1DB1" w:rsidRDefault="00651407" w:rsidP="00154FE0">
      <w:pPr>
        <w:pStyle w:val="Testonotaapidipagina"/>
        <w:jc w:val="both"/>
        <w:rPr>
          <w:rFonts w:ascii="Times New Roman" w:hAnsi="Times New Roman" w:cs="Times New Roman"/>
          <w:sz w:val="24"/>
          <w:szCs w:val="24"/>
        </w:rPr>
      </w:pPr>
      <w:r w:rsidRPr="004C1DB1">
        <w:rPr>
          <w:rFonts w:ascii="Times New Roman" w:hAnsi="Times New Roman" w:cs="Times New Roman"/>
          <w:sz w:val="24"/>
          <w:szCs w:val="24"/>
        </w:rPr>
        <w:t xml:space="preserve">Per una </w:t>
      </w:r>
      <w:r w:rsidR="000F6ED9" w:rsidRPr="004C1DB1">
        <w:rPr>
          <w:rFonts w:ascii="Times New Roman" w:hAnsi="Times New Roman" w:cs="Times New Roman"/>
          <w:sz w:val="24"/>
          <w:szCs w:val="24"/>
        </w:rPr>
        <w:t xml:space="preserve">accurata ricognizione </w:t>
      </w:r>
      <w:r w:rsidRPr="004C1DB1">
        <w:rPr>
          <w:rFonts w:ascii="Times New Roman" w:hAnsi="Times New Roman" w:cs="Times New Roman"/>
          <w:sz w:val="24"/>
          <w:szCs w:val="24"/>
        </w:rPr>
        <w:t xml:space="preserve">della giurisprudenza in merito ai diversi profili concernenti la circolazione dei beni culturali relativa agli anni dal 2017 al 2024 </w:t>
      </w:r>
      <w:r w:rsidR="000F6ED9" w:rsidRPr="004C1DB1">
        <w:rPr>
          <w:rFonts w:ascii="Times New Roman" w:hAnsi="Times New Roman" w:cs="Times New Roman"/>
          <w:sz w:val="24"/>
          <w:szCs w:val="24"/>
        </w:rPr>
        <w:t xml:space="preserve">si v. </w:t>
      </w:r>
      <w:r w:rsidRPr="004C1DB1">
        <w:rPr>
          <w:rFonts w:ascii="Times New Roman" w:hAnsi="Times New Roman" w:cs="Times New Roman"/>
          <w:sz w:val="24"/>
          <w:szCs w:val="24"/>
        </w:rPr>
        <w:t>F. Grassi, Il “modello” italiano per la circolazione internazionale dei beni culturali: stato attuale e possibili riforme. Relazione presentata al Corso di formazione per magistrati amministrativi organizzato dall'Ufficio Studi della Giustizia amministrativa in collaborazione col T.A.R. della Toscana Firenze, 15-16 febbraio 2024</w:t>
      </w:r>
      <w:r w:rsidR="000F6ED9" w:rsidRPr="004C1DB1">
        <w:rPr>
          <w:rFonts w:ascii="Times New Roman" w:hAnsi="Times New Roman" w:cs="Times New Roman"/>
          <w:sz w:val="24"/>
          <w:szCs w:val="24"/>
        </w:rPr>
        <w:t xml:space="preserve">, in </w:t>
      </w:r>
      <w:hyperlink r:id="rId1" w:history="1">
        <w:r w:rsidR="00645FBB" w:rsidRPr="00603F49">
          <w:rPr>
            <w:rStyle w:val="Collegamentoipertestuale"/>
            <w:rFonts w:ascii="Times New Roman" w:hAnsi="Times New Roman" w:cs="Times New Roman"/>
            <w:sz w:val="24"/>
            <w:szCs w:val="24"/>
          </w:rPr>
          <w:t>www.giustizia-amministrativa.it</w:t>
        </w:r>
      </w:hyperlink>
      <w:r w:rsidR="000F6ED9" w:rsidRPr="004C1DB1">
        <w:rPr>
          <w:rFonts w:ascii="Times New Roman" w:hAnsi="Times New Roman" w:cs="Times New Roman"/>
          <w:sz w:val="24"/>
          <w:szCs w:val="24"/>
        </w:rPr>
        <w:t xml:space="preserve">; </w:t>
      </w:r>
      <w:r w:rsidRPr="004C1DB1">
        <w:rPr>
          <w:rFonts w:ascii="Times New Roman" w:hAnsi="Times New Roman" w:cs="Times New Roman"/>
          <w:sz w:val="24"/>
          <w:szCs w:val="24"/>
        </w:rPr>
        <w:t>F. Campolo, Beni culturali. Attestato di libera circolazione di un bene culturale e potere di autotutela, in www.lexambiente.it.</w:t>
      </w:r>
    </w:p>
  </w:footnote>
  <w:footnote w:id="2">
    <w:p w14:paraId="242527F7" w14:textId="5F6EC0EC" w:rsidR="003153AD" w:rsidRPr="004C1DB1" w:rsidRDefault="003153AD" w:rsidP="00154FE0">
      <w:pPr>
        <w:pStyle w:val="Testonotaapidipagina"/>
        <w:jc w:val="both"/>
        <w:rPr>
          <w:rFonts w:ascii="Times New Roman" w:hAnsi="Times New Roman" w:cs="Times New Roman"/>
          <w:sz w:val="24"/>
          <w:szCs w:val="24"/>
        </w:rPr>
      </w:pPr>
      <w:r w:rsidRPr="004C1DB1">
        <w:rPr>
          <w:rStyle w:val="Rimandonotaapidipagina"/>
          <w:rFonts w:ascii="Times New Roman" w:hAnsi="Times New Roman" w:cs="Times New Roman"/>
          <w:sz w:val="24"/>
          <w:szCs w:val="24"/>
        </w:rPr>
        <w:footnoteRef/>
      </w:r>
      <w:r w:rsidRPr="004C1DB1">
        <w:rPr>
          <w:rFonts w:ascii="Times New Roman" w:hAnsi="Times New Roman" w:cs="Times New Roman"/>
          <w:sz w:val="24"/>
          <w:szCs w:val="24"/>
        </w:rPr>
        <w:t xml:space="preserve"> Ed oltre che per i profili generali dell’autotutela amministrativa affrontati </w:t>
      </w:r>
      <w:r w:rsidRPr="004C1DB1">
        <w:rPr>
          <w:rFonts w:ascii="Times New Roman" w:hAnsi="Times New Roman" w:cs="Times New Roman"/>
          <w:i/>
          <w:iCs/>
          <w:sz w:val="24"/>
          <w:szCs w:val="24"/>
        </w:rPr>
        <w:t>funditus</w:t>
      </w:r>
      <w:r w:rsidRPr="004C1DB1">
        <w:rPr>
          <w:rFonts w:ascii="Times New Roman" w:hAnsi="Times New Roman" w:cs="Times New Roman"/>
          <w:sz w:val="24"/>
          <w:szCs w:val="24"/>
        </w:rPr>
        <w:t xml:space="preserve"> dalla sentenza n. 88/2025. </w:t>
      </w:r>
    </w:p>
  </w:footnote>
  <w:footnote w:id="3">
    <w:p w14:paraId="54013AF4" w14:textId="64A077B9" w:rsidR="00651407" w:rsidRPr="00186819" w:rsidRDefault="00651407" w:rsidP="00154FE0">
      <w:pPr>
        <w:pStyle w:val="Testonotaapidipagina"/>
        <w:jc w:val="both"/>
        <w:rPr>
          <w:rFonts w:ascii="Times New Roman" w:hAnsi="Times New Roman" w:cs="Times New Roman"/>
          <w:sz w:val="24"/>
          <w:szCs w:val="24"/>
          <w:highlight w:val="yellow"/>
        </w:rPr>
      </w:pPr>
      <w:r w:rsidRPr="004C1DB1">
        <w:rPr>
          <w:rStyle w:val="Rimandonotaapidipagina"/>
          <w:rFonts w:ascii="Times New Roman" w:hAnsi="Times New Roman" w:cs="Times New Roman"/>
          <w:sz w:val="24"/>
          <w:szCs w:val="24"/>
        </w:rPr>
        <w:footnoteRef/>
      </w:r>
      <w:r w:rsidRPr="004C1DB1">
        <w:rPr>
          <w:rFonts w:ascii="Times New Roman" w:hAnsi="Times New Roman" w:cs="Times New Roman"/>
          <w:sz w:val="24"/>
          <w:szCs w:val="24"/>
        </w:rPr>
        <w:t xml:space="preserve"> In generale sul Codice dei beni culturali in prospettiva storica si veda: </w:t>
      </w:r>
      <w:r w:rsidR="00E8565D" w:rsidRPr="004C1DB1">
        <w:rPr>
          <w:rFonts w:ascii="Times New Roman" w:hAnsi="Times New Roman" w:cs="Times New Roman"/>
          <w:sz w:val="24"/>
          <w:szCs w:val="24"/>
        </w:rPr>
        <w:t>L. Casini, La «vertigine della lista</w:t>
      </w:r>
      <w:r w:rsidR="004C1DB1" w:rsidRPr="004C1DB1">
        <w:rPr>
          <w:rFonts w:ascii="Times New Roman" w:hAnsi="Times New Roman" w:cs="Times New Roman"/>
          <w:sz w:val="24"/>
          <w:szCs w:val="24"/>
        </w:rPr>
        <w:t>»</w:t>
      </w:r>
      <w:r w:rsidR="004C1DB1">
        <w:rPr>
          <w:rFonts w:ascii="Times New Roman" w:hAnsi="Times New Roman" w:cs="Times New Roman"/>
          <w:sz w:val="24"/>
          <w:szCs w:val="24"/>
        </w:rPr>
        <w:t>?</w:t>
      </w:r>
      <w:r w:rsidR="00E8565D" w:rsidRPr="004C1DB1">
        <w:rPr>
          <w:rFonts w:ascii="Times New Roman" w:hAnsi="Times New Roman" w:cs="Times New Roman"/>
          <w:sz w:val="24"/>
          <w:szCs w:val="24"/>
        </w:rPr>
        <w:t xml:space="preserve"> Patrimonio culturale e codificazione, in Rivista</w:t>
      </w:r>
      <w:r w:rsidR="00E8565D" w:rsidRPr="00186819">
        <w:rPr>
          <w:rFonts w:ascii="Times New Roman" w:hAnsi="Times New Roman" w:cs="Times New Roman"/>
          <w:sz w:val="24"/>
          <w:szCs w:val="24"/>
        </w:rPr>
        <w:t xml:space="preserve"> Trimestrale di Diritto Pubblico, fasc. 3, 1 settembre 2025, pag. 693; M. G. Della Scala, Tutela e valorizzazione dei beni culturali diffusi tra patrimonio culturale nazionale e patrimoni culturali minori, in Diritto Amministrativo, fasc. 3, 1 settembre 2025, pag. 829; L. Casini, I principi in materia di tutela e valorizzazione dei beni culturali, in Trattato di diritto amministrativo, diretto da F. Caringella, R. Chieppa e B.G. Mattarella, vol. I, I principi, Milano, Giuffrè, 2020; F. S. Marini, Lo statuto costituzionale dei beni culturali, Milano, Giuffrè, 2002; N. Aicardi, L'ordinamento amministrativo dei beni culturali. La sussidiarietà nella tutela e nella valorizzazione, Torino, Giappichelli, 2002.</w:t>
      </w:r>
    </w:p>
  </w:footnote>
  <w:footnote w:id="4">
    <w:p w14:paraId="703B93F1" w14:textId="7E1EA473" w:rsidR="003153AD" w:rsidRPr="00186819" w:rsidRDefault="003153AD" w:rsidP="00154FE0">
      <w:pPr>
        <w:pStyle w:val="Testonotaapidipagina"/>
        <w:jc w:val="both"/>
        <w:rPr>
          <w:rFonts w:ascii="Times New Roman" w:hAnsi="Times New Roman" w:cs="Times New Roman"/>
          <w:sz w:val="24"/>
          <w:szCs w:val="24"/>
          <w:highlight w:val="yellow"/>
        </w:rPr>
      </w:pPr>
      <w:r w:rsidRPr="004C1DB1">
        <w:rPr>
          <w:rStyle w:val="Rimandonotaapidipagina"/>
          <w:rFonts w:ascii="Times New Roman" w:hAnsi="Times New Roman" w:cs="Times New Roman"/>
          <w:sz w:val="24"/>
          <w:szCs w:val="24"/>
        </w:rPr>
        <w:footnoteRef/>
      </w:r>
      <w:r w:rsidRPr="004C1DB1">
        <w:rPr>
          <w:rFonts w:ascii="Times New Roman" w:hAnsi="Times New Roman" w:cs="Times New Roman"/>
          <w:sz w:val="24"/>
          <w:szCs w:val="24"/>
        </w:rPr>
        <w:t xml:space="preserve"> </w:t>
      </w:r>
      <w:r w:rsidR="00186819" w:rsidRPr="004C1DB1">
        <w:rPr>
          <w:rFonts w:ascii="Times New Roman" w:hAnsi="Times New Roman" w:cs="Times New Roman"/>
          <w:sz w:val="24"/>
          <w:szCs w:val="24"/>
        </w:rPr>
        <w:t>A</w:t>
      </w:r>
      <w:r w:rsidR="00186819" w:rsidRPr="00186819">
        <w:rPr>
          <w:rFonts w:ascii="Times New Roman" w:hAnsi="Times New Roman" w:cs="Times New Roman"/>
          <w:sz w:val="24"/>
          <w:szCs w:val="24"/>
        </w:rPr>
        <w:t>mpiamente nota e commentata, senza pretesa di esaustività si richiamano: C. Aliberti, La Corte costituzionale ed il tempo nella tutela dei beni culturali, in Giurisprudenza costituzionale, 2025, num. 3; A. Averardi, M. F. Campagna, Il caso Vasari: ovverosia del diritto in fuga dall’'</w:t>
      </w:r>
      <w:r w:rsidR="00186819" w:rsidRPr="004C1DB1">
        <w:rPr>
          <w:rFonts w:ascii="Times New Roman" w:hAnsi="Times New Roman" w:cs="Times New Roman"/>
          <w:i/>
          <w:iCs/>
          <w:sz w:val="24"/>
          <w:szCs w:val="24"/>
        </w:rPr>
        <w:t>ars</w:t>
      </w:r>
      <w:r w:rsidR="00186819" w:rsidRPr="00186819">
        <w:rPr>
          <w:rFonts w:ascii="Times New Roman" w:hAnsi="Times New Roman" w:cs="Times New Roman"/>
          <w:sz w:val="24"/>
          <w:szCs w:val="24"/>
        </w:rPr>
        <w:t xml:space="preserve"> </w:t>
      </w:r>
      <w:r w:rsidR="00186819" w:rsidRPr="004C1DB1">
        <w:rPr>
          <w:rFonts w:ascii="Times New Roman" w:hAnsi="Times New Roman" w:cs="Times New Roman"/>
          <w:i/>
          <w:iCs/>
          <w:sz w:val="24"/>
          <w:szCs w:val="24"/>
        </w:rPr>
        <w:t>inveniendi</w:t>
      </w:r>
      <w:r w:rsidR="00186819" w:rsidRPr="00186819">
        <w:rPr>
          <w:rFonts w:ascii="Times New Roman" w:hAnsi="Times New Roman" w:cs="Times New Roman"/>
          <w:sz w:val="24"/>
          <w:szCs w:val="24"/>
        </w:rPr>
        <w:t>', in www.giustamm.it, 2025, num. 3; M. R. Calderaro, Annullamento d’ufficio e tutela dell’interesse culturale (nota a Corte costituzionale, 26 giugno 2025, n. 88), in www.giustiziainsieme.it, 2025, num. 3; A. Carbone, Riesercizio del potere e poteri amministrativi di secondo grado, in Diritto amministrativo, 2025, num. 4; S. Casilli, La Corte costituzionale si pronuncia sulla legittimità del termine di dodici mesi previsto dall’art. 21-</w:t>
      </w:r>
      <w:r w:rsidR="00186819" w:rsidRPr="00B50E73">
        <w:rPr>
          <w:rFonts w:ascii="Times New Roman" w:hAnsi="Times New Roman" w:cs="Times New Roman"/>
          <w:i/>
          <w:iCs/>
          <w:sz w:val="24"/>
          <w:szCs w:val="24"/>
        </w:rPr>
        <w:t>nonies</w:t>
      </w:r>
      <w:r w:rsidR="00186819" w:rsidRPr="00186819">
        <w:rPr>
          <w:rFonts w:ascii="Times New Roman" w:hAnsi="Times New Roman" w:cs="Times New Roman"/>
          <w:sz w:val="24"/>
          <w:szCs w:val="24"/>
        </w:rPr>
        <w:t xml:space="preserve"> L. 241/1990 (nota a Corte costituzionale, 26 giugno 2025, n. 88), in www.giustiziainsieme.it, 2025, num. 3; G. Fidone, Il termine decadenziale rigido </w:t>
      </w:r>
      <w:r w:rsidR="00186819" w:rsidRPr="004C1DB1">
        <w:rPr>
          <w:rFonts w:ascii="Times New Roman" w:hAnsi="Times New Roman" w:cs="Times New Roman"/>
          <w:i/>
          <w:iCs/>
          <w:sz w:val="24"/>
          <w:szCs w:val="24"/>
        </w:rPr>
        <w:t xml:space="preserve">ex lege </w:t>
      </w:r>
      <w:r w:rsidR="00186819" w:rsidRPr="00186819">
        <w:rPr>
          <w:rFonts w:ascii="Times New Roman" w:hAnsi="Times New Roman" w:cs="Times New Roman"/>
          <w:sz w:val="24"/>
          <w:szCs w:val="24"/>
        </w:rPr>
        <w:t xml:space="preserve">e l’esaurimento del potere di annullamento d’ufficio: il caso dei provvedimenti che coinvolgono interessi di rango costituzionale. Riflessioni a partire dalla sentenza della Corte costituzionale n. 88 del 26 giugno 2025, in www.giustamm.it, 2026, num. 2; G. Fonderico, La Corte costituzionale e la pazienza di semplificare, in Giurisprudenza costituzionale, 2025, </w:t>
      </w:r>
      <w:r w:rsidR="00186819" w:rsidRPr="00645FBB">
        <w:rPr>
          <w:rFonts w:ascii="Times New Roman" w:hAnsi="Times New Roman" w:cs="Times New Roman"/>
          <w:sz w:val="24"/>
          <w:szCs w:val="24"/>
        </w:rPr>
        <w:t>num. 3; A. Gandino, La lettura costituzionale dell’autotutela amministrativa: verso quale certezza</w:t>
      </w:r>
      <w:r w:rsidR="004C1DB1" w:rsidRPr="00645FBB">
        <w:rPr>
          <w:rFonts w:ascii="Times New Roman" w:hAnsi="Times New Roman" w:cs="Times New Roman"/>
          <w:sz w:val="24"/>
          <w:szCs w:val="24"/>
        </w:rPr>
        <w:t xml:space="preserve"> </w:t>
      </w:r>
      <w:r w:rsidR="00186819" w:rsidRPr="00645FBB">
        <w:rPr>
          <w:rFonts w:ascii="Times New Roman" w:hAnsi="Times New Roman" w:cs="Times New Roman"/>
          <w:sz w:val="24"/>
          <w:szCs w:val="24"/>
        </w:rPr>
        <w:t>?, in www.federalismi.it, 2025, num. 30; F. S. Pellegrino, Il limite temporale all’annullamento d’ufficio davanti alla Corte costituzionale, in Giornale di diritto amministrativo, 2026, num. 1; N</w:t>
      </w:r>
      <w:r w:rsidR="00186819" w:rsidRPr="00186819">
        <w:rPr>
          <w:rFonts w:ascii="Times New Roman" w:hAnsi="Times New Roman" w:cs="Times New Roman"/>
          <w:sz w:val="24"/>
          <w:szCs w:val="24"/>
        </w:rPr>
        <w:t>. Posteraro, Sulla legittimità costituzionale del termine fisso di 12 mesi per l’esercizio del potere di annullamento d’ufficio qualora vengano in rilievo interessi di rango costituzionale: prime riflessioni su tre importanti profili trattati dalla sentenza della Corte costituzionale numero 88 del 2025, in Diritto processuale amministrativo, 2025, num. 4</w:t>
      </w:r>
      <w:r w:rsidR="00186819" w:rsidRPr="00645FBB">
        <w:rPr>
          <w:rFonts w:ascii="Times New Roman" w:hAnsi="Times New Roman" w:cs="Times New Roman"/>
          <w:sz w:val="24"/>
          <w:szCs w:val="24"/>
        </w:rPr>
        <w:t>; C. Ramotti, Il «tempo» dell’annullamento d’ufficio tra normativa primaria e interessi di rango costituzionale: la tutela del patrimonio culturale, in www.federalismi.it, 2025, num. 26;</w:t>
      </w:r>
      <w:r w:rsidR="00186819" w:rsidRPr="00186819">
        <w:rPr>
          <w:rFonts w:ascii="Times New Roman" w:hAnsi="Times New Roman" w:cs="Times New Roman"/>
          <w:sz w:val="24"/>
          <w:szCs w:val="24"/>
        </w:rPr>
        <w:t xml:space="preserve"> G. Serra, Legittimità costituzionale del termine decadenziale fisso per l'annullamento d'ufficio, in Giurisprudenza italiana, 2025, num. Dicembre; G. Strazza, La Corte costituzionale definisce i limiti dell’annullamento d’ufficio (nota a prima lettura a Corte costituzionale 26 giugno 2025 n. 88), in www.giustiziainsieme.it, 2025, num. 3; F. Volpe, Riflessioni sull’annullamento d’ufficio come strumento di tutela (nota a Corte costituzionale, 26 giugno 2025, n. 88), in www.giustiziainsieme.it, 2025, num. 3.</w:t>
      </w:r>
    </w:p>
  </w:footnote>
  <w:footnote w:id="5">
    <w:p w14:paraId="127EDCA1" w14:textId="3056DC1E" w:rsidR="00B7169C" w:rsidRPr="00645FBB" w:rsidRDefault="00B7169C" w:rsidP="00154FE0">
      <w:pPr>
        <w:pStyle w:val="Testonotaapidipagina"/>
        <w:jc w:val="both"/>
        <w:rPr>
          <w:rFonts w:ascii="Times New Roman" w:hAnsi="Times New Roman" w:cs="Times New Roman"/>
          <w:sz w:val="24"/>
          <w:szCs w:val="24"/>
        </w:rPr>
      </w:pPr>
      <w:r w:rsidRPr="00186819">
        <w:rPr>
          <w:rStyle w:val="Rimandonotaapidipagina"/>
          <w:rFonts w:ascii="Times New Roman" w:hAnsi="Times New Roman" w:cs="Times New Roman"/>
          <w:sz w:val="24"/>
          <w:szCs w:val="24"/>
        </w:rPr>
        <w:footnoteRef/>
      </w:r>
      <w:r w:rsidRPr="00186819">
        <w:rPr>
          <w:rFonts w:ascii="Times New Roman" w:hAnsi="Times New Roman" w:cs="Times New Roman"/>
          <w:sz w:val="24"/>
          <w:szCs w:val="24"/>
        </w:rPr>
        <w:t xml:space="preserve"> </w:t>
      </w:r>
      <w:r w:rsidR="004E4E78" w:rsidRPr="00186819">
        <w:rPr>
          <w:rFonts w:ascii="Times New Roman" w:hAnsi="Times New Roman" w:cs="Times New Roman"/>
          <w:sz w:val="24"/>
          <w:szCs w:val="24"/>
        </w:rPr>
        <w:t xml:space="preserve">In Foro it., 2026, I, 17, nonché oggetto </w:t>
      </w:r>
      <w:r w:rsidR="004E4E78" w:rsidRPr="00645FBB">
        <w:rPr>
          <w:rFonts w:ascii="Times New Roman" w:hAnsi="Times New Roman" w:cs="Times New Roman"/>
          <w:sz w:val="24"/>
          <w:szCs w:val="24"/>
        </w:rPr>
        <w:t xml:space="preserve">della News dell’Ufficio del </w:t>
      </w:r>
      <w:r w:rsidR="00645FBB" w:rsidRPr="00645FBB">
        <w:rPr>
          <w:rFonts w:ascii="Times New Roman" w:hAnsi="Times New Roman" w:cs="Times New Roman"/>
          <w:sz w:val="24"/>
          <w:szCs w:val="24"/>
        </w:rPr>
        <w:t>m</w:t>
      </w:r>
      <w:r w:rsidR="004E4E78" w:rsidRPr="00645FBB">
        <w:rPr>
          <w:rFonts w:ascii="Times New Roman" w:hAnsi="Times New Roman" w:cs="Times New Roman"/>
          <w:sz w:val="24"/>
          <w:szCs w:val="24"/>
        </w:rPr>
        <w:t>assimario della giustizia amministrativa n. 100 del 2025.</w:t>
      </w:r>
    </w:p>
  </w:footnote>
  <w:footnote w:id="6">
    <w:p w14:paraId="79161596" w14:textId="3B02F2ED" w:rsidR="004F5A90" w:rsidRPr="00186819" w:rsidRDefault="004F5A90" w:rsidP="00154FE0">
      <w:pPr>
        <w:pStyle w:val="Testonotaapidipagina"/>
        <w:jc w:val="both"/>
        <w:rPr>
          <w:rFonts w:ascii="Times New Roman" w:hAnsi="Times New Roman" w:cs="Times New Roman"/>
          <w:sz w:val="24"/>
          <w:szCs w:val="24"/>
        </w:rPr>
      </w:pPr>
      <w:r w:rsidRPr="00645FBB">
        <w:rPr>
          <w:rStyle w:val="Rimandonotaapidipagina"/>
          <w:rFonts w:ascii="Times New Roman" w:hAnsi="Times New Roman" w:cs="Times New Roman"/>
          <w:sz w:val="24"/>
          <w:szCs w:val="24"/>
        </w:rPr>
        <w:footnoteRef/>
      </w:r>
      <w:r w:rsidRPr="00645FBB">
        <w:rPr>
          <w:rFonts w:ascii="Times New Roman" w:hAnsi="Times New Roman" w:cs="Times New Roman"/>
          <w:sz w:val="24"/>
          <w:szCs w:val="24"/>
        </w:rPr>
        <w:t xml:space="preserve"> Su cui si veda l’ampia e approfondita News </w:t>
      </w:r>
      <w:r w:rsidR="00645FBB" w:rsidRPr="00645FBB">
        <w:rPr>
          <w:rFonts w:ascii="Times New Roman" w:hAnsi="Times New Roman" w:cs="Times New Roman"/>
          <w:sz w:val="24"/>
          <w:szCs w:val="24"/>
        </w:rPr>
        <w:t xml:space="preserve">dell’Ufficio del massimario della giustizia amministrativa </w:t>
      </w:r>
      <w:r w:rsidRPr="00645FBB">
        <w:rPr>
          <w:rFonts w:ascii="Times New Roman" w:hAnsi="Times New Roman" w:cs="Times New Roman"/>
          <w:sz w:val="24"/>
          <w:szCs w:val="24"/>
        </w:rPr>
        <w:t>n. 44 del 2026.</w:t>
      </w:r>
    </w:p>
  </w:footnote>
  <w:footnote w:id="7">
    <w:p w14:paraId="09545C21" w14:textId="690FC5BC" w:rsidR="009511DB" w:rsidRPr="00186819" w:rsidRDefault="009511DB" w:rsidP="00154FE0">
      <w:pPr>
        <w:pStyle w:val="Testonotaapidipagina"/>
        <w:jc w:val="both"/>
        <w:rPr>
          <w:rFonts w:ascii="Times New Roman" w:hAnsi="Times New Roman" w:cs="Times New Roman"/>
          <w:sz w:val="24"/>
          <w:szCs w:val="24"/>
          <w:highlight w:val="yellow"/>
        </w:rPr>
      </w:pPr>
      <w:r w:rsidRPr="00186819">
        <w:rPr>
          <w:rStyle w:val="Rimandonotaapidipagina"/>
          <w:rFonts w:ascii="Times New Roman" w:hAnsi="Times New Roman" w:cs="Times New Roman"/>
          <w:sz w:val="24"/>
          <w:szCs w:val="24"/>
        </w:rPr>
        <w:footnoteRef/>
      </w:r>
      <w:r w:rsidRPr="00186819">
        <w:rPr>
          <w:rFonts w:ascii="Times New Roman" w:hAnsi="Times New Roman" w:cs="Times New Roman"/>
          <w:sz w:val="24"/>
          <w:szCs w:val="24"/>
        </w:rPr>
        <w:t xml:space="preserve"> Sul quale ci si intratterrà in maniera più diffusa</w:t>
      </w:r>
      <w:r w:rsidR="0024053B" w:rsidRPr="00186819">
        <w:rPr>
          <w:rFonts w:ascii="Times New Roman" w:hAnsi="Times New Roman" w:cs="Times New Roman"/>
          <w:sz w:val="24"/>
          <w:szCs w:val="24"/>
        </w:rPr>
        <w:t>,</w:t>
      </w:r>
      <w:r w:rsidRPr="00186819">
        <w:rPr>
          <w:rFonts w:ascii="Times New Roman" w:hAnsi="Times New Roman" w:cs="Times New Roman"/>
          <w:sz w:val="24"/>
          <w:szCs w:val="24"/>
        </w:rPr>
        <w:t xml:space="preserve"> in quanto (fisiologicamente) allo stato meno trattato.</w:t>
      </w:r>
    </w:p>
  </w:footnote>
  <w:footnote w:id="8">
    <w:p w14:paraId="01CC6A34" w14:textId="77777777" w:rsidR="006D10C8" w:rsidRPr="00186819" w:rsidRDefault="006D10C8" w:rsidP="00154FE0">
      <w:pPr>
        <w:spacing w:after="0" w:line="240" w:lineRule="auto"/>
        <w:jc w:val="both"/>
        <w:rPr>
          <w:rFonts w:ascii="Times New Roman" w:hAnsi="Times New Roman" w:cs="Times New Roman"/>
        </w:rPr>
      </w:pPr>
      <w:r w:rsidRPr="00186819">
        <w:rPr>
          <w:rStyle w:val="Rimandonotaapidipagina"/>
          <w:rFonts w:ascii="Times New Roman" w:hAnsi="Times New Roman" w:cs="Times New Roman"/>
        </w:rPr>
        <w:footnoteRef/>
      </w:r>
      <w:r w:rsidRPr="00186819">
        <w:rPr>
          <w:rFonts w:ascii="Times New Roman" w:hAnsi="Times New Roman" w:cs="Times New Roman"/>
        </w:rPr>
        <w:t xml:space="preserve"> Difatti, con riguardo al primo gruppo di censure (illegittimità della soglia dell’acquisto coattivo), da un lato, quanto alla disparità di trattamento, l’ordinanza evidenzia che per alcune tipologie di cose elencate dall’art. 65, comma 3, alle </w:t>
      </w:r>
      <w:r w:rsidRPr="004C1DB1">
        <w:rPr>
          <w:rFonts w:ascii="Times New Roman" w:hAnsi="Times New Roman" w:cs="Times New Roman"/>
        </w:rPr>
        <w:t>lettere b) e c) non</w:t>
      </w:r>
      <w:r w:rsidRPr="00186819">
        <w:rPr>
          <w:rFonts w:ascii="Times New Roman" w:hAnsi="Times New Roman" w:cs="Times New Roman"/>
        </w:rPr>
        <w:t xml:space="preserve"> è prevista alcuna soglia di valore, ma non argomenta in ordine alla esatta consistenza delle categorie di oggetti di rilievo culturale poste a raffronto con gli oggetti d’arte né indaga il contesto normativo in cui si colloca la differenziazione sul piano economico prevista solo per questi ultimi.</w:t>
      </w:r>
    </w:p>
    <w:p w14:paraId="3ECC41B2" w14:textId="46E3A95E" w:rsidR="006D10C8" w:rsidRPr="00186819" w:rsidRDefault="006D10C8" w:rsidP="00154FE0">
      <w:pPr>
        <w:spacing w:after="0" w:line="240" w:lineRule="auto"/>
        <w:jc w:val="both"/>
        <w:rPr>
          <w:rFonts w:ascii="Times New Roman" w:hAnsi="Times New Roman" w:cs="Times New Roman"/>
          <w:highlight w:val="yellow"/>
        </w:rPr>
      </w:pPr>
      <w:r w:rsidRPr="00186819">
        <w:rPr>
          <w:rFonts w:ascii="Times New Roman" w:hAnsi="Times New Roman" w:cs="Times New Roman"/>
        </w:rPr>
        <w:t>Dall’altro lato, l’ordinanza non espone i motivi della asserita lesione del compito della Repubblica di promuovere lo sviluppo della cultura (art. 9, primo comma, Cost.), concentrandosi invece sul principio di tutela del patrimonio culturale (art. 9, secondo comma, Cost.).</w:t>
      </w:r>
    </w:p>
  </w:footnote>
  <w:footnote w:id="9">
    <w:p w14:paraId="41AF4A15" w14:textId="02A920E6" w:rsidR="003407CD" w:rsidRPr="00186819" w:rsidRDefault="003407CD" w:rsidP="00154FE0">
      <w:pPr>
        <w:pStyle w:val="Testonotaapidipagina"/>
        <w:jc w:val="both"/>
        <w:rPr>
          <w:rFonts w:ascii="Times New Roman" w:hAnsi="Times New Roman" w:cs="Times New Roman"/>
          <w:sz w:val="24"/>
          <w:szCs w:val="24"/>
        </w:rPr>
      </w:pPr>
      <w:r w:rsidRPr="00186819">
        <w:rPr>
          <w:rStyle w:val="Rimandonotaapidipagina"/>
          <w:rFonts w:ascii="Times New Roman" w:hAnsi="Times New Roman" w:cs="Times New Roman"/>
          <w:sz w:val="24"/>
          <w:szCs w:val="24"/>
        </w:rPr>
        <w:footnoteRef/>
      </w:r>
      <w:r w:rsidRPr="00186819">
        <w:rPr>
          <w:rFonts w:ascii="Times New Roman" w:hAnsi="Times New Roman" w:cs="Times New Roman"/>
          <w:sz w:val="24"/>
          <w:szCs w:val="24"/>
        </w:rPr>
        <w:t xml:space="preserve"> Come accertato dalla menzionata sentenza n. 160/2025</w:t>
      </w:r>
      <w:r w:rsidR="00186819">
        <w:rPr>
          <w:rFonts w:ascii="Times New Roman" w:hAnsi="Times New Roman" w:cs="Times New Roman"/>
          <w:sz w:val="24"/>
          <w:szCs w:val="24"/>
        </w:rPr>
        <w:t xml:space="preserve"> della Corte costituzionale</w:t>
      </w:r>
      <w:r w:rsidRPr="00186819">
        <w:rPr>
          <w:rFonts w:ascii="Times New Roman" w:hAnsi="Times New Roman" w:cs="Times New Roman"/>
          <w:sz w:val="24"/>
          <w:szCs w:val="24"/>
        </w:rPr>
        <w:t>.</w:t>
      </w:r>
    </w:p>
  </w:footnote>
  <w:footnote w:id="10">
    <w:p w14:paraId="730BA5BE" w14:textId="5E2B5715" w:rsidR="002C09CD" w:rsidRPr="002C09CD" w:rsidRDefault="00FA3058" w:rsidP="002C09CD">
      <w:pPr>
        <w:pStyle w:val="Testonotaapidipagina"/>
        <w:jc w:val="both"/>
        <w:rPr>
          <w:rFonts w:ascii="Times New Roman" w:hAnsi="Times New Roman" w:cs="Times New Roman"/>
          <w:i/>
          <w:iCs/>
          <w:sz w:val="24"/>
          <w:szCs w:val="24"/>
        </w:rPr>
      </w:pPr>
      <w:r w:rsidRPr="00186819">
        <w:rPr>
          <w:rStyle w:val="Rimandonotaapidipagina"/>
          <w:rFonts w:ascii="Times New Roman" w:hAnsi="Times New Roman" w:cs="Times New Roman"/>
          <w:sz w:val="24"/>
          <w:szCs w:val="24"/>
        </w:rPr>
        <w:footnoteRef/>
      </w:r>
      <w:r w:rsidRPr="00186819">
        <w:rPr>
          <w:rFonts w:ascii="Times New Roman" w:hAnsi="Times New Roman" w:cs="Times New Roman"/>
          <w:sz w:val="24"/>
          <w:szCs w:val="24"/>
        </w:rPr>
        <w:t xml:space="preserve"> </w:t>
      </w:r>
      <w:r w:rsidR="00186819">
        <w:rPr>
          <w:rFonts w:ascii="Times New Roman" w:hAnsi="Times New Roman" w:cs="Times New Roman"/>
          <w:sz w:val="24"/>
          <w:szCs w:val="24"/>
        </w:rPr>
        <w:t xml:space="preserve">In questo senso si esprimono </w:t>
      </w:r>
      <w:r w:rsidR="002C09CD">
        <w:rPr>
          <w:rFonts w:ascii="Times New Roman" w:hAnsi="Times New Roman" w:cs="Times New Roman"/>
          <w:sz w:val="24"/>
          <w:szCs w:val="24"/>
        </w:rPr>
        <w:t xml:space="preserve">altresì le </w:t>
      </w:r>
      <w:r w:rsidRPr="00186819">
        <w:rPr>
          <w:rFonts w:ascii="Times New Roman" w:hAnsi="Times New Roman" w:cs="Times New Roman"/>
          <w:sz w:val="24"/>
          <w:szCs w:val="24"/>
        </w:rPr>
        <w:t>sentenze Cons. Stato, sez. VI, 5 gennaio 2026, n. 93, n. 94 e n. 95</w:t>
      </w:r>
      <w:r w:rsidR="002C09CD">
        <w:rPr>
          <w:rFonts w:ascii="Times New Roman" w:hAnsi="Times New Roman" w:cs="Times New Roman"/>
          <w:sz w:val="24"/>
          <w:szCs w:val="24"/>
        </w:rPr>
        <w:t>: “</w:t>
      </w:r>
      <w:r w:rsidR="002C09CD" w:rsidRPr="002C09CD">
        <w:rPr>
          <w:rFonts w:ascii="Times New Roman" w:hAnsi="Times New Roman" w:cs="Times New Roman"/>
          <w:i/>
          <w:iCs/>
          <w:sz w:val="24"/>
          <w:szCs w:val="24"/>
        </w:rPr>
        <w:t>In base a questa disciplina, colui che introduce in Italia tali opere può chiedere all'Ufficio Esportazione della competente Soprintendenza un certificato di avvenuta spedizione (cd. CAS, per opere provenienti da Stati UE) o un certificato di avvenuta importazione (cd. CAI, per opere provenienti da Stati extra UE), i quali hanno l'effetto di sottrarre quella cosa o quel bene, per un determinato periodo di tempo, all’applicazione della normativa nazionale di tutela, indipendentemente dall'interesse culturale da esso rivestito e pur restando esso nel territorio della Repubblica.</w:t>
      </w:r>
    </w:p>
    <w:p w14:paraId="287F6B57" w14:textId="3FB8BB36" w:rsidR="002C09CD" w:rsidRPr="002C09CD" w:rsidRDefault="002C09CD" w:rsidP="002C09CD">
      <w:pPr>
        <w:pStyle w:val="Testonotaapidipagina"/>
        <w:jc w:val="both"/>
        <w:rPr>
          <w:rFonts w:ascii="Times New Roman" w:hAnsi="Times New Roman" w:cs="Times New Roman"/>
          <w:i/>
          <w:iCs/>
          <w:sz w:val="24"/>
          <w:szCs w:val="24"/>
        </w:rPr>
      </w:pPr>
      <w:r w:rsidRPr="002C09CD">
        <w:rPr>
          <w:rFonts w:ascii="Times New Roman" w:hAnsi="Times New Roman" w:cs="Times New Roman"/>
          <w:i/>
          <w:iCs/>
          <w:sz w:val="24"/>
          <w:szCs w:val="24"/>
        </w:rPr>
        <w:t>3.6. Durante il periodo di validità di detto certificato, la cosa o il bene può essere ammesso all'uscita dai confini del Paese senza essere sottoposto alle procedure oggi previste dagli artt. 65 ss. Cod. beni culturali, in base alle quali è soggetta a previa autorizzazione l’esportazione dei beni culturali ovvero delle cose potenzialmente sottoponibili alla disciplina vincolistica.</w:t>
      </w:r>
    </w:p>
    <w:p w14:paraId="7B30A463" w14:textId="2CF2E6C0" w:rsidR="002C09CD" w:rsidRPr="002C09CD" w:rsidRDefault="002C09CD" w:rsidP="002C09CD">
      <w:pPr>
        <w:pStyle w:val="Testonotaapidipagina"/>
        <w:jc w:val="both"/>
        <w:rPr>
          <w:rFonts w:ascii="Times New Roman" w:hAnsi="Times New Roman" w:cs="Times New Roman"/>
          <w:i/>
          <w:iCs/>
          <w:sz w:val="24"/>
          <w:szCs w:val="24"/>
        </w:rPr>
      </w:pPr>
      <w:r w:rsidRPr="002C09CD">
        <w:rPr>
          <w:rFonts w:ascii="Times New Roman" w:hAnsi="Times New Roman" w:cs="Times New Roman"/>
          <w:i/>
          <w:iCs/>
          <w:sz w:val="24"/>
          <w:szCs w:val="24"/>
        </w:rPr>
        <w:t>Difatti, “le cose e i beni” di cui all’art. 65, comma 3, cit. che siano oggetto di un certificato di avvenuta importazione (o spedizione) sono sottratti, per il periodo di validità di tale certificato, alla detta disciplina autorizzativa potendo essere esportate a prescindere da qualsivoglia valutazione d'interesse culturale. Per poter lasciare il territorio nazionale, l’opera temporaneamente importata (o spedita) deve essere nuovamente sottoposta al controllo dell'Ufficio Esportazione il quale, una volta accertata la corrispondenza di esso con quello oggetto del precedente certificato, rilascia un ulteriore certificato a "scarico", conclusivo di tutto il procedimento (si vedano in questo senso l'art. 173 del r.d. n. 363 del 1913, ora abrogato, e l'art. 5 del d.m. n. 246 del 2018).</w:t>
      </w:r>
    </w:p>
    <w:p w14:paraId="16079079" w14:textId="7D8B2F4F" w:rsidR="002C09CD" w:rsidRPr="002C09CD" w:rsidRDefault="002C09CD" w:rsidP="002C09CD">
      <w:pPr>
        <w:pStyle w:val="Testonotaapidipagina"/>
        <w:jc w:val="both"/>
        <w:rPr>
          <w:rFonts w:ascii="Times New Roman" w:hAnsi="Times New Roman" w:cs="Times New Roman"/>
          <w:i/>
          <w:iCs/>
          <w:sz w:val="24"/>
          <w:szCs w:val="24"/>
        </w:rPr>
      </w:pPr>
      <w:r w:rsidRPr="002C09CD">
        <w:rPr>
          <w:rFonts w:ascii="Times New Roman" w:hAnsi="Times New Roman" w:cs="Times New Roman"/>
          <w:i/>
          <w:iCs/>
          <w:sz w:val="24"/>
          <w:szCs w:val="24"/>
        </w:rPr>
        <w:t>3.7. Testualmente l’art. 72 cit. prevede unicamente che il Ministero debba accertare l’identità della cosa o del bene e la provenienza dallo Stato UE o dal Paese terzo dai quali il privato dichiara di aver effettuato la spedizione o l’importazione.</w:t>
      </w:r>
    </w:p>
    <w:p w14:paraId="4C910150" w14:textId="5F6717C5" w:rsidR="00FA3058" w:rsidRPr="00186819" w:rsidRDefault="002C09CD" w:rsidP="002C09CD">
      <w:pPr>
        <w:pStyle w:val="Testonotaapidipagina"/>
        <w:jc w:val="both"/>
        <w:rPr>
          <w:rFonts w:ascii="Times New Roman" w:hAnsi="Times New Roman" w:cs="Times New Roman"/>
          <w:sz w:val="24"/>
          <w:szCs w:val="24"/>
        </w:rPr>
      </w:pPr>
      <w:r w:rsidRPr="002C09CD">
        <w:rPr>
          <w:rFonts w:ascii="Times New Roman" w:hAnsi="Times New Roman" w:cs="Times New Roman"/>
          <w:i/>
          <w:iCs/>
          <w:sz w:val="24"/>
          <w:szCs w:val="24"/>
        </w:rPr>
        <w:t>3.8. Tuttavia, alla luce delle finalità e degli effetti dei certificati di cui all’art. 72 cit., di cui si è sopra detto, deve ritenersi che il Ministero sia tenuto a verificare che la presenza all’estero della cosa o del bene non sia frutto di una previa illegittima esportazione dall’Italia. Ragionando diversamente, si consentirebbero operazioni fraudolente permettendo che un’opera illecitamente uscita dal territorio nazionale possa in seguito rientrarvi ottenendo un certificato di avvenuta importazione (o spedizione) grazie al quale potrà nuovamente uscire dal territorio nazionale “sfuggendo”, così, all’assoggettamento alla disciplina di tutela.</w:t>
      </w:r>
      <w:r>
        <w:rPr>
          <w:rFonts w:ascii="Times New Roman" w:hAnsi="Times New Roman" w:cs="Times New Roman"/>
          <w:i/>
          <w:iCs/>
          <w:sz w:val="24"/>
          <w:szCs w:val="24"/>
        </w:rPr>
        <w:t xml:space="preserve">” </w:t>
      </w:r>
      <w:r w:rsidRPr="002C09CD">
        <w:rPr>
          <w:rFonts w:ascii="Times New Roman" w:hAnsi="Times New Roman" w:cs="Times New Roman"/>
          <w:sz w:val="24"/>
          <w:szCs w:val="24"/>
        </w:rPr>
        <w:t>(cfr. sentenza n. 93 cit.)</w:t>
      </w:r>
      <w:r>
        <w:rPr>
          <w:rFonts w:ascii="Times New Roman" w:hAnsi="Times New Roman" w:cs="Times New Roman"/>
          <w:sz w:val="24"/>
          <w:szCs w:val="24"/>
        </w:rPr>
        <w:t>.</w:t>
      </w:r>
    </w:p>
  </w:footnote>
  <w:footnote w:id="11">
    <w:p w14:paraId="6C5C1088" w14:textId="42ACF564" w:rsidR="004B1C24" w:rsidRPr="00154FE0" w:rsidRDefault="000943B3" w:rsidP="00154FE0">
      <w:pPr>
        <w:pStyle w:val="Testonotaapidipagina"/>
        <w:jc w:val="both"/>
        <w:rPr>
          <w:rFonts w:ascii="Times New Roman" w:hAnsi="Times New Roman" w:cs="Times New Roman"/>
          <w:sz w:val="24"/>
          <w:szCs w:val="24"/>
        </w:rPr>
      </w:pPr>
      <w:r w:rsidRPr="00154FE0">
        <w:rPr>
          <w:rStyle w:val="Rimandonotaapidipagina"/>
          <w:rFonts w:ascii="Times New Roman" w:hAnsi="Times New Roman" w:cs="Times New Roman"/>
          <w:sz w:val="24"/>
          <w:szCs w:val="24"/>
        </w:rPr>
        <w:footnoteRef/>
      </w:r>
      <w:r w:rsidRPr="00154FE0">
        <w:rPr>
          <w:rFonts w:ascii="Times New Roman" w:hAnsi="Times New Roman" w:cs="Times New Roman"/>
          <w:sz w:val="24"/>
          <w:szCs w:val="24"/>
        </w:rPr>
        <w:t xml:space="preserve"> Si tratta peraltro di una tendenza riscontrabile anche nella giurisprudenza di merito,</w:t>
      </w:r>
      <w:r w:rsidR="004B1C24" w:rsidRPr="00154FE0">
        <w:rPr>
          <w:rFonts w:ascii="Times New Roman" w:hAnsi="Times New Roman" w:cs="Times New Roman"/>
          <w:sz w:val="24"/>
          <w:szCs w:val="24"/>
        </w:rPr>
        <w:t xml:space="preserve"> con particolare riferimento ai termini dell’autotutela: </w:t>
      </w:r>
      <w:r w:rsidRPr="00154FE0">
        <w:rPr>
          <w:rFonts w:ascii="Times New Roman" w:hAnsi="Times New Roman" w:cs="Times New Roman"/>
          <w:sz w:val="24"/>
          <w:szCs w:val="24"/>
        </w:rPr>
        <w:t xml:space="preserve">si veda al riguardo Cons. St., sez. VI, 21 novembre 2023, n. 9962, in </w:t>
      </w:r>
      <w:hyperlink r:id="rId2" w:history="1">
        <w:r w:rsidRPr="00154FE0">
          <w:rPr>
            <w:rStyle w:val="Collegamentoipertestuale"/>
            <w:rFonts w:ascii="Times New Roman" w:hAnsi="Times New Roman" w:cs="Times New Roman"/>
            <w:sz w:val="24"/>
            <w:szCs w:val="24"/>
          </w:rPr>
          <w:t>www.giustiziaamministrativa.it</w:t>
        </w:r>
      </w:hyperlink>
      <w:r w:rsidRPr="00154FE0">
        <w:rPr>
          <w:rFonts w:ascii="Times New Roman" w:hAnsi="Times New Roman" w:cs="Times New Roman"/>
          <w:sz w:val="24"/>
          <w:szCs w:val="24"/>
        </w:rPr>
        <w:t>, su cui si registrano numerosi interventi dottrinali tra cui:  G. Calabi, La contesa sul Bassano ora è un precedente, in www.ilgiornaledellarte.com; E. Rossi, A. Brancati, Quando il Consiglio di Stato decide di arte, in www.ilgiornaledellarte.co; G. Gatti, Le quaglie di Jacopo</w:t>
      </w:r>
      <w:r w:rsidR="004B1C24" w:rsidRPr="00154FE0">
        <w:rPr>
          <w:rFonts w:ascii="Times New Roman" w:hAnsi="Times New Roman" w:cs="Times New Roman"/>
          <w:sz w:val="24"/>
          <w:szCs w:val="24"/>
        </w:rPr>
        <w:t xml:space="preserve"> </w:t>
      </w:r>
      <w:r w:rsidRPr="00154FE0">
        <w:rPr>
          <w:rFonts w:ascii="Times New Roman" w:hAnsi="Times New Roman" w:cs="Times New Roman"/>
          <w:sz w:val="24"/>
          <w:szCs w:val="24"/>
        </w:rPr>
        <w:t>Bassano libere di volare via, in www.ilgiornaledellarte.com; F. Grassi, Il “modello” italiano per la circolazione internazionale dei beni culturali: stato attuale e possibili riforme, op. cit., 2024, p. 57 ss</w:t>
      </w:r>
      <w:r w:rsidR="004B1C24" w:rsidRPr="00154FE0">
        <w:rPr>
          <w:rFonts w:ascii="Times New Roman" w:hAnsi="Times New Roman" w:cs="Times New Roman"/>
          <w:sz w:val="24"/>
          <w:szCs w:val="24"/>
        </w:rPr>
        <w:t>..</w:t>
      </w:r>
    </w:p>
    <w:p w14:paraId="1B9BC238" w14:textId="6877F68D" w:rsidR="000943B3" w:rsidRPr="00154FE0" w:rsidRDefault="00B50E73" w:rsidP="00154FE0">
      <w:pPr>
        <w:pStyle w:val="Testonotaapidipagina"/>
        <w:jc w:val="both"/>
        <w:rPr>
          <w:rFonts w:ascii="Times New Roman" w:hAnsi="Times New Roman" w:cs="Times New Roman"/>
          <w:sz w:val="24"/>
          <w:szCs w:val="24"/>
        </w:rPr>
      </w:pPr>
      <w:r>
        <w:rPr>
          <w:rFonts w:ascii="Times New Roman" w:hAnsi="Times New Roman" w:cs="Times New Roman"/>
          <w:sz w:val="24"/>
          <w:szCs w:val="24"/>
        </w:rPr>
        <w:t xml:space="preserve">Diversamente, nel senso </w:t>
      </w:r>
      <w:r w:rsidR="002E0FB1" w:rsidRPr="00154FE0">
        <w:rPr>
          <w:rFonts w:ascii="Times New Roman" w:hAnsi="Times New Roman" w:cs="Times New Roman"/>
          <w:sz w:val="24"/>
          <w:szCs w:val="24"/>
        </w:rPr>
        <w:t xml:space="preserve">della (ipotizzata) incostituzionalità del termine dei 12 mesi, ma in consonanza </w:t>
      </w:r>
      <w:r w:rsidR="000A4103">
        <w:rPr>
          <w:rFonts w:ascii="Times New Roman" w:hAnsi="Times New Roman" w:cs="Times New Roman"/>
          <w:sz w:val="24"/>
          <w:szCs w:val="24"/>
        </w:rPr>
        <w:t>per ciò che concerne l’</w:t>
      </w:r>
      <w:r w:rsidR="002E0FB1" w:rsidRPr="00154FE0">
        <w:rPr>
          <w:rFonts w:ascii="Times New Roman" w:hAnsi="Times New Roman" w:cs="Times New Roman"/>
          <w:sz w:val="24"/>
          <w:szCs w:val="24"/>
        </w:rPr>
        <w:t xml:space="preserve">interpretazione non estensiva dei presupposti per applicare il comma 2 </w:t>
      </w:r>
      <w:r w:rsidR="002E0FB1" w:rsidRPr="004C1DB1">
        <w:rPr>
          <w:rFonts w:ascii="Times New Roman" w:hAnsi="Times New Roman" w:cs="Times New Roman"/>
          <w:i/>
          <w:iCs/>
          <w:sz w:val="24"/>
          <w:szCs w:val="24"/>
        </w:rPr>
        <w:t>bis</w:t>
      </w:r>
      <w:r w:rsidR="002E0FB1" w:rsidRPr="00154FE0">
        <w:rPr>
          <w:rFonts w:ascii="Times New Roman" w:hAnsi="Times New Roman" w:cs="Times New Roman"/>
          <w:sz w:val="24"/>
          <w:szCs w:val="24"/>
        </w:rPr>
        <w:t xml:space="preserve"> dell’art. 21-</w:t>
      </w:r>
      <w:r w:rsidR="002E0FB1" w:rsidRPr="00B50E73">
        <w:rPr>
          <w:rFonts w:ascii="Times New Roman" w:hAnsi="Times New Roman" w:cs="Times New Roman"/>
          <w:i/>
          <w:iCs/>
          <w:sz w:val="24"/>
          <w:szCs w:val="24"/>
        </w:rPr>
        <w:t>nonies</w:t>
      </w:r>
      <w:r w:rsidR="002E0FB1" w:rsidRP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 xml:space="preserve">della legge 241/90, </w:t>
      </w:r>
      <w:r w:rsidR="002E0FB1" w:rsidRPr="00154FE0">
        <w:rPr>
          <w:rFonts w:ascii="Times New Roman" w:hAnsi="Times New Roman" w:cs="Times New Roman"/>
          <w:sz w:val="24"/>
          <w:szCs w:val="24"/>
        </w:rPr>
        <w:t xml:space="preserve">si vedano i commenti alla sentenza non definitiva del Consiglio di </w:t>
      </w:r>
      <w:r>
        <w:rPr>
          <w:rFonts w:ascii="Times New Roman" w:hAnsi="Times New Roman" w:cs="Times New Roman"/>
          <w:sz w:val="24"/>
          <w:szCs w:val="24"/>
        </w:rPr>
        <w:t>S</w:t>
      </w:r>
      <w:r w:rsidR="002E0FB1" w:rsidRPr="00154FE0">
        <w:rPr>
          <w:rFonts w:ascii="Times New Roman" w:hAnsi="Times New Roman" w:cs="Times New Roman"/>
          <w:sz w:val="24"/>
          <w:szCs w:val="24"/>
        </w:rPr>
        <w:t>tato nel caso che ha poi portato alla pr</w:t>
      </w:r>
      <w:r w:rsidR="00154FE0" w:rsidRPr="00154FE0">
        <w:rPr>
          <w:rFonts w:ascii="Times New Roman" w:hAnsi="Times New Roman" w:cs="Times New Roman"/>
          <w:sz w:val="24"/>
          <w:szCs w:val="24"/>
        </w:rPr>
        <w:t>o</w:t>
      </w:r>
      <w:r w:rsidR="002E0FB1" w:rsidRPr="00154FE0">
        <w:rPr>
          <w:rFonts w:ascii="Times New Roman" w:hAnsi="Times New Roman" w:cs="Times New Roman"/>
          <w:sz w:val="24"/>
          <w:szCs w:val="24"/>
        </w:rPr>
        <w:t xml:space="preserve">nunzia della Consulta n. 88/2025: </w:t>
      </w:r>
      <w:r w:rsidR="000943B3" w:rsidRPr="00154FE0">
        <w:rPr>
          <w:rFonts w:ascii="Times New Roman" w:hAnsi="Times New Roman" w:cs="Times New Roman"/>
          <w:sz w:val="24"/>
          <w:szCs w:val="24"/>
        </w:rPr>
        <w:t xml:space="preserve">F. Campolo, Beni culturali. Attestato di libera circolazione di un bene culturale e potere di autotutela, nota a Cons. Stato, Sez. VI, 16 ottobre 2024, n. 8296, in lexambiente.it; </w:t>
      </w:r>
      <w:r w:rsidR="004B1C24" w:rsidRPr="00154FE0">
        <w:rPr>
          <w:rFonts w:ascii="Times New Roman" w:hAnsi="Times New Roman" w:cs="Times New Roman"/>
          <w:sz w:val="24"/>
          <w:szCs w:val="24"/>
        </w:rPr>
        <w:t>V</w:t>
      </w:r>
      <w:r w:rsidR="000943B3" w:rsidRPr="00154FE0">
        <w:rPr>
          <w:rFonts w:ascii="Times New Roman" w:hAnsi="Times New Roman" w:cs="Times New Roman"/>
          <w:sz w:val="24"/>
          <w:szCs w:val="24"/>
        </w:rPr>
        <w:t>. De Gioia, La previsione di un termine fisso per l'esercizio del</w:t>
      </w:r>
      <w:r w:rsidR="004B1C24" w:rsidRPr="00154FE0">
        <w:rPr>
          <w:rFonts w:ascii="Times New Roman" w:hAnsi="Times New Roman" w:cs="Times New Roman"/>
          <w:sz w:val="24"/>
          <w:szCs w:val="24"/>
        </w:rPr>
        <w:t xml:space="preserve"> </w:t>
      </w:r>
      <w:r w:rsidR="000943B3" w:rsidRPr="00154FE0">
        <w:rPr>
          <w:rFonts w:ascii="Times New Roman" w:hAnsi="Times New Roman" w:cs="Times New Roman"/>
          <w:sz w:val="24"/>
          <w:szCs w:val="24"/>
        </w:rPr>
        <w:t>potere di autoannullamento, in Njus.it.</w:t>
      </w:r>
    </w:p>
  </w:footnote>
  <w:footnote w:id="12">
    <w:p w14:paraId="67360137" w14:textId="577E0F5E" w:rsidR="00FA3058" w:rsidRPr="00186819" w:rsidRDefault="00FA3058" w:rsidP="00154FE0">
      <w:pPr>
        <w:pStyle w:val="Testonotaapidipagina"/>
        <w:jc w:val="both"/>
        <w:rPr>
          <w:rFonts w:ascii="Times New Roman" w:hAnsi="Times New Roman" w:cs="Times New Roman"/>
          <w:sz w:val="24"/>
          <w:szCs w:val="24"/>
        </w:rPr>
      </w:pPr>
      <w:r w:rsidRPr="00154FE0">
        <w:rPr>
          <w:rStyle w:val="Rimandonotaapidipagina"/>
          <w:rFonts w:ascii="Times New Roman" w:hAnsi="Times New Roman" w:cs="Times New Roman"/>
          <w:sz w:val="24"/>
          <w:szCs w:val="24"/>
        </w:rPr>
        <w:footnoteRef/>
      </w:r>
      <w:r w:rsidRPr="00154FE0">
        <w:rPr>
          <w:rFonts w:ascii="Times New Roman" w:hAnsi="Times New Roman" w:cs="Times New Roman"/>
          <w:sz w:val="24"/>
          <w:szCs w:val="24"/>
        </w:rPr>
        <w:t xml:space="preserve"> Cfr. sentenze Cons. Stato, sez. VI, 5 gennaio 2026, n. 93, n. 94 e n. 95.</w:t>
      </w:r>
    </w:p>
  </w:footnote>
  <w:footnote w:id="13">
    <w:p w14:paraId="2FFA20AA" w14:textId="192ED293" w:rsidR="00962388" w:rsidRPr="00186819" w:rsidRDefault="00962388" w:rsidP="00154FE0">
      <w:pPr>
        <w:pStyle w:val="Testonotaapidipagina"/>
        <w:jc w:val="both"/>
        <w:rPr>
          <w:rFonts w:ascii="Times New Roman" w:hAnsi="Times New Roman" w:cs="Times New Roman"/>
          <w:sz w:val="24"/>
          <w:szCs w:val="24"/>
        </w:rPr>
      </w:pPr>
      <w:r w:rsidRPr="00186819">
        <w:rPr>
          <w:rStyle w:val="Rimandonotaapidipagina"/>
          <w:rFonts w:ascii="Times New Roman" w:hAnsi="Times New Roman" w:cs="Times New Roman"/>
          <w:sz w:val="24"/>
          <w:szCs w:val="24"/>
        </w:rPr>
        <w:footnoteRef/>
      </w:r>
      <w:r w:rsidRPr="00186819">
        <w:rPr>
          <w:rFonts w:ascii="Times New Roman" w:hAnsi="Times New Roman" w:cs="Times New Roman"/>
          <w:sz w:val="24"/>
          <w:szCs w:val="24"/>
        </w:rPr>
        <w:t xml:space="preserve"> Cfr. B</w:t>
      </w:r>
      <w:r w:rsidR="009B5401" w:rsidRPr="00186819">
        <w:rPr>
          <w:rFonts w:ascii="Times New Roman" w:hAnsi="Times New Roman" w:cs="Times New Roman"/>
          <w:sz w:val="24"/>
          <w:szCs w:val="24"/>
        </w:rPr>
        <w:t xml:space="preserve">. </w:t>
      </w:r>
      <w:r w:rsidRPr="00186819">
        <w:rPr>
          <w:rFonts w:ascii="Times New Roman" w:hAnsi="Times New Roman" w:cs="Times New Roman"/>
          <w:sz w:val="24"/>
          <w:szCs w:val="24"/>
        </w:rPr>
        <w:t>Guastaferro, «Dissuadere» e persuadere: la Corte costituzionale tra pregiudiziale europea e pregiudiziale costituzionale, in Giurisprudenza Costituzionale, fascicolo 2, 2025, pag. 485</w:t>
      </w:r>
      <w:r w:rsidR="00154FE0">
        <w:rPr>
          <w:rFonts w:ascii="Times New Roman" w:hAnsi="Times New Roman" w:cs="Times New Roman"/>
          <w:sz w:val="24"/>
          <w:szCs w:val="24"/>
        </w:rPr>
        <w:t>.</w:t>
      </w:r>
    </w:p>
  </w:footnote>
  <w:footnote w:id="14">
    <w:p w14:paraId="63F7EA71" w14:textId="7E4D7592" w:rsidR="00962388" w:rsidRPr="00186819" w:rsidRDefault="00962388" w:rsidP="00154FE0">
      <w:pPr>
        <w:pStyle w:val="Testonotaapidipagina"/>
        <w:jc w:val="both"/>
        <w:rPr>
          <w:rFonts w:ascii="Times New Roman" w:hAnsi="Times New Roman" w:cs="Times New Roman"/>
          <w:sz w:val="24"/>
          <w:szCs w:val="24"/>
        </w:rPr>
      </w:pPr>
      <w:r w:rsidRPr="00186819">
        <w:rPr>
          <w:rStyle w:val="Rimandonotaapidipagina"/>
          <w:rFonts w:ascii="Times New Roman" w:hAnsi="Times New Roman" w:cs="Times New Roman"/>
          <w:sz w:val="24"/>
          <w:szCs w:val="24"/>
        </w:rPr>
        <w:footnoteRef/>
      </w:r>
      <w:r w:rsidRPr="00186819">
        <w:rPr>
          <w:rFonts w:ascii="Times New Roman" w:hAnsi="Times New Roman" w:cs="Times New Roman"/>
          <w:sz w:val="24"/>
          <w:szCs w:val="24"/>
        </w:rPr>
        <w:t xml:space="preserve"> Sull’evoluzione di cui si è appena detto il dibattito è molto vivo ed i contributi sono</w:t>
      </w:r>
      <w:r w:rsidR="00154FE0">
        <w:rPr>
          <w:rFonts w:ascii="Times New Roman" w:hAnsi="Times New Roman" w:cs="Times New Roman"/>
          <w:sz w:val="24"/>
          <w:szCs w:val="24"/>
        </w:rPr>
        <w:t xml:space="preserve"> </w:t>
      </w:r>
      <w:r w:rsidRPr="00186819">
        <w:rPr>
          <w:rFonts w:ascii="Times New Roman" w:hAnsi="Times New Roman" w:cs="Times New Roman"/>
          <w:sz w:val="24"/>
          <w:szCs w:val="24"/>
        </w:rPr>
        <w:t xml:space="preserve">numerosissimi, oltre a B. Guastaferro, op cit., si rinvia a: </w:t>
      </w:r>
      <w:r w:rsidR="00154FE0" w:rsidRPr="00154FE0">
        <w:rPr>
          <w:rFonts w:ascii="Times New Roman" w:hAnsi="Times New Roman" w:cs="Times New Roman"/>
          <w:sz w:val="24"/>
          <w:szCs w:val="24"/>
        </w:rPr>
        <w:t>G. Pitruzzella, La costruzione dello spazio</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costituzionale europeo nel “dialogo” tra Corte di giustizia e Corti costituzionali, in Quaderni</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costituzionali, n. 4, 2024, 795-821</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 xml:space="preserve">C. Caruso, F. Medico, A. Morrone (a cura di), </w:t>
      </w:r>
      <w:r w:rsidR="00154FE0" w:rsidRPr="004C1DB1">
        <w:rPr>
          <w:rFonts w:ascii="Times New Roman" w:hAnsi="Times New Roman" w:cs="Times New Roman"/>
          <w:i/>
          <w:iCs/>
          <w:sz w:val="24"/>
          <w:szCs w:val="24"/>
        </w:rPr>
        <w:t>Granital Revisited</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 L'integrazione europea attraverso il diritto giurisprudenziale, Bologna, 2020</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D. Chinni, Preservare la Costituzione italiana nello spazio costituzionale europeo. Il nuovo ruolo della Corte costituzionale nei rapporti tra ordinamenti, in Giurisprudenza Costituzionale, fasc. 2, 1</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aprile 2025, pag. 459</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G. Pistorio, Precisazioni e affinamenti giurisprudenziali per un aggiornamento della sentenza La Pergola, n. 170 del 1984, in Giurisprudenza Costituzionale, fasc. 2, 1 aprile 2025, pag. 543</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E. Malfatti, Per un tentativo di lettura “conforme” degli sviluppi giurisprudenziali recenti ai paradigmi della sentenza La Pergola, in Giurisprudenza Costituzionale, fasc. 2, 1 aprile 2025, pag. 505</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 xml:space="preserve">G. Martinico, Prove di ballo: un passo indietro e due avanti? A quarant'anni da </w:t>
      </w:r>
      <w:r w:rsidR="00154FE0" w:rsidRPr="004C1DB1">
        <w:rPr>
          <w:rFonts w:ascii="Times New Roman" w:hAnsi="Times New Roman" w:cs="Times New Roman"/>
          <w:i/>
          <w:iCs/>
          <w:sz w:val="24"/>
          <w:szCs w:val="24"/>
        </w:rPr>
        <w:t>Granital</w:t>
      </w:r>
      <w:r w:rsidR="00154FE0" w:rsidRPr="00154FE0">
        <w:rPr>
          <w:rFonts w:ascii="Times New Roman" w:hAnsi="Times New Roman" w:cs="Times New Roman"/>
          <w:sz w:val="24"/>
          <w:szCs w:val="24"/>
        </w:rPr>
        <w:t xml:space="preserve">, in Giurisprudenza Costituzionale, fasc. 2, </w:t>
      </w:r>
      <w:r w:rsidR="004C1DB1" w:rsidRPr="00154FE0">
        <w:rPr>
          <w:rFonts w:ascii="Times New Roman" w:hAnsi="Times New Roman" w:cs="Times New Roman"/>
          <w:sz w:val="24"/>
          <w:szCs w:val="24"/>
        </w:rPr>
        <w:t>1° aprile</w:t>
      </w:r>
      <w:r w:rsidR="00154FE0" w:rsidRPr="00154FE0">
        <w:rPr>
          <w:rFonts w:ascii="Times New Roman" w:hAnsi="Times New Roman" w:cs="Times New Roman"/>
          <w:sz w:val="24"/>
          <w:szCs w:val="24"/>
        </w:rPr>
        <w:t xml:space="preserve"> 2025, pag. 531</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 xml:space="preserve">S. Sciarra, Antonio La Pergola e l'Europa del diritto: a partire dalla sentenza </w:t>
      </w:r>
      <w:r w:rsidR="00154FE0" w:rsidRPr="004C1DB1">
        <w:rPr>
          <w:rFonts w:ascii="Times New Roman" w:hAnsi="Times New Roman" w:cs="Times New Roman"/>
          <w:i/>
          <w:iCs/>
          <w:sz w:val="24"/>
          <w:szCs w:val="24"/>
        </w:rPr>
        <w:t>Granital</w:t>
      </w:r>
      <w:r w:rsidR="00154FE0" w:rsidRPr="00154FE0">
        <w:rPr>
          <w:rFonts w:ascii="Times New Roman" w:hAnsi="Times New Roman" w:cs="Times New Roman"/>
          <w:sz w:val="24"/>
          <w:szCs w:val="24"/>
        </w:rPr>
        <w:t>, in Giurisprudenza Costituzionale, fasc. 1, 1 febbraio 2025, pag. 213</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 xml:space="preserve">P. Faraguna, </w:t>
      </w:r>
      <w:r w:rsidR="00154FE0" w:rsidRPr="004C1DB1">
        <w:rPr>
          <w:rFonts w:ascii="Times New Roman" w:hAnsi="Times New Roman" w:cs="Times New Roman"/>
          <w:i/>
          <w:iCs/>
          <w:sz w:val="24"/>
          <w:szCs w:val="24"/>
        </w:rPr>
        <w:t>Granital</w:t>
      </w:r>
      <w:r w:rsidR="00154FE0" w:rsidRPr="00154FE0">
        <w:rPr>
          <w:rFonts w:ascii="Times New Roman" w:hAnsi="Times New Roman" w:cs="Times New Roman"/>
          <w:sz w:val="24"/>
          <w:szCs w:val="24"/>
        </w:rPr>
        <w:t>, 40 anni dopo, alle prese con il tono costituzionale: “</w:t>
      </w:r>
      <w:r w:rsidR="00154FE0" w:rsidRPr="004C1DB1">
        <w:rPr>
          <w:rFonts w:ascii="Times New Roman" w:hAnsi="Times New Roman" w:cs="Times New Roman"/>
          <w:i/>
          <w:iCs/>
          <w:sz w:val="24"/>
          <w:szCs w:val="24"/>
        </w:rPr>
        <w:t>I know one, when I see none</w:t>
      </w:r>
      <w:r w:rsidR="00154FE0" w:rsidRPr="00154FE0">
        <w:rPr>
          <w:rFonts w:ascii="Times New Roman" w:hAnsi="Times New Roman" w:cs="Times New Roman"/>
          <w:sz w:val="24"/>
          <w:szCs w:val="24"/>
        </w:rPr>
        <w:t>”, in Giurisprudenza Costituzionale, fasc. 1, 1 febbraio 2025, pag. 157</w:t>
      </w:r>
      <w:r w:rsidR="00154FE0">
        <w:rPr>
          <w:rFonts w:ascii="Times New Roman" w:hAnsi="Times New Roman" w:cs="Times New Roman"/>
          <w:sz w:val="24"/>
          <w:szCs w:val="24"/>
        </w:rPr>
        <w:t>; F</w:t>
      </w:r>
      <w:r w:rsidR="00154FE0" w:rsidRPr="00154FE0">
        <w:rPr>
          <w:rFonts w:ascii="Times New Roman" w:hAnsi="Times New Roman" w:cs="Times New Roman"/>
          <w:sz w:val="24"/>
          <w:szCs w:val="24"/>
        </w:rPr>
        <w:t xml:space="preserve">. Viganò, Quel che resta di </w:t>
      </w:r>
      <w:r w:rsidR="00154FE0" w:rsidRPr="004C1DB1">
        <w:rPr>
          <w:rFonts w:ascii="Times New Roman" w:hAnsi="Times New Roman" w:cs="Times New Roman"/>
          <w:i/>
          <w:iCs/>
          <w:sz w:val="24"/>
          <w:szCs w:val="24"/>
        </w:rPr>
        <w:t>Granital</w:t>
      </w:r>
      <w:r w:rsidR="00154FE0" w:rsidRPr="00154FE0">
        <w:rPr>
          <w:rFonts w:ascii="Times New Roman" w:hAnsi="Times New Roman" w:cs="Times New Roman"/>
          <w:sz w:val="24"/>
          <w:szCs w:val="24"/>
        </w:rPr>
        <w:t>, in Giurisprudenza Costituzionale, fasc. 1, 1 febbraio 2025, pag. 223</w:t>
      </w:r>
      <w:r w:rsidR="00154FE0">
        <w:rPr>
          <w:rFonts w:ascii="Times New Roman" w:hAnsi="Times New Roman" w:cs="Times New Roman"/>
          <w:sz w:val="24"/>
          <w:szCs w:val="24"/>
        </w:rPr>
        <w:t xml:space="preserve">; </w:t>
      </w:r>
      <w:r w:rsidR="00154FE0" w:rsidRPr="00154FE0">
        <w:rPr>
          <w:rFonts w:ascii="Times New Roman" w:hAnsi="Times New Roman" w:cs="Times New Roman"/>
          <w:sz w:val="24"/>
          <w:szCs w:val="24"/>
        </w:rPr>
        <w:t>G. Silvestri, Dal coordinamento all'integrazione: con passo lento, ma continuo, la Corte costituzionale supera vecchie barriere, in Giurisprudenza Costituzionale, fasc. 6, 2024, pag. 2845.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E64"/>
    <w:multiLevelType w:val="multilevel"/>
    <w:tmpl w:val="9862789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DA6469A"/>
    <w:multiLevelType w:val="hybridMultilevel"/>
    <w:tmpl w:val="C42C57CC"/>
    <w:lvl w:ilvl="0" w:tplc="9A52B0D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3714EF"/>
    <w:multiLevelType w:val="hybridMultilevel"/>
    <w:tmpl w:val="56C095C6"/>
    <w:lvl w:ilvl="0" w:tplc="9A52B0D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253975"/>
    <w:multiLevelType w:val="hybridMultilevel"/>
    <w:tmpl w:val="1B6A1A48"/>
    <w:lvl w:ilvl="0" w:tplc="9A52B0D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C82ED5"/>
    <w:multiLevelType w:val="hybridMultilevel"/>
    <w:tmpl w:val="DCCC402E"/>
    <w:lvl w:ilvl="0" w:tplc="9A52B0D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7C1BAE"/>
    <w:multiLevelType w:val="hybridMultilevel"/>
    <w:tmpl w:val="41EA289E"/>
    <w:lvl w:ilvl="0" w:tplc="9A52B0D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4178889">
    <w:abstractNumId w:val="2"/>
  </w:num>
  <w:num w:numId="2" w16cid:durableId="1536382974">
    <w:abstractNumId w:val="5"/>
  </w:num>
  <w:num w:numId="3" w16cid:durableId="2001077146">
    <w:abstractNumId w:val="4"/>
  </w:num>
  <w:num w:numId="4" w16cid:durableId="1312173858">
    <w:abstractNumId w:val="3"/>
  </w:num>
  <w:num w:numId="5" w16cid:durableId="788166142">
    <w:abstractNumId w:val="1"/>
  </w:num>
  <w:num w:numId="6" w16cid:durableId="202809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A6"/>
    <w:rsid w:val="00006496"/>
    <w:rsid w:val="00006FC9"/>
    <w:rsid w:val="0002458F"/>
    <w:rsid w:val="00033760"/>
    <w:rsid w:val="00037201"/>
    <w:rsid w:val="000445FA"/>
    <w:rsid w:val="00056722"/>
    <w:rsid w:val="0006694A"/>
    <w:rsid w:val="00070D96"/>
    <w:rsid w:val="000943B3"/>
    <w:rsid w:val="0009598A"/>
    <w:rsid w:val="000A4103"/>
    <w:rsid w:val="000D2FF3"/>
    <w:rsid w:val="000F6ED9"/>
    <w:rsid w:val="0013727A"/>
    <w:rsid w:val="001375F8"/>
    <w:rsid w:val="00152BD8"/>
    <w:rsid w:val="00154FE0"/>
    <w:rsid w:val="00186819"/>
    <w:rsid w:val="001A4FB3"/>
    <w:rsid w:val="001C2AFC"/>
    <w:rsid w:val="001C75A9"/>
    <w:rsid w:val="001D097D"/>
    <w:rsid w:val="001D57C2"/>
    <w:rsid w:val="001F57B5"/>
    <w:rsid w:val="001F69C6"/>
    <w:rsid w:val="0024053B"/>
    <w:rsid w:val="00254589"/>
    <w:rsid w:val="00263D1E"/>
    <w:rsid w:val="00276154"/>
    <w:rsid w:val="00277943"/>
    <w:rsid w:val="002B099A"/>
    <w:rsid w:val="002B6E8E"/>
    <w:rsid w:val="002C09CD"/>
    <w:rsid w:val="002C332E"/>
    <w:rsid w:val="002E0FB1"/>
    <w:rsid w:val="002F098E"/>
    <w:rsid w:val="003046F2"/>
    <w:rsid w:val="003153AD"/>
    <w:rsid w:val="00333BD5"/>
    <w:rsid w:val="00336407"/>
    <w:rsid w:val="003407CD"/>
    <w:rsid w:val="0037484B"/>
    <w:rsid w:val="00376F7B"/>
    <w:rsid w:val="003914D5"/>
    <w:rsid w:val="003B35D3"/>
    <w:rsid w:val="003D64C1"/>
    <w:rsid w:val="003E0E9D"/>
    <w:rsid w:val="003F764D"/>
    <w:rsid w:val="00402763"/>
    <w:rsid w:val="004219ED"/>
    <w:rsid w:val="00436370"/>
    <w:rsid w:val="004523E7"/>
    <w:rsid w:val="00452F17"/>
    <w:rsid w:val="00465AF3"/>
    <w:rsid w:val="0047425D"/>
    <w:rsid w:val="004B0F30"/>
    <w:rsid w:val="004B1C24"/>
    <w:rsid w:val="004C1DB1"/>
    <w:rsid w:val="004E406E"/>
    <w:rsid w:val="004E4E78"/>
    <w:rsid w:val="004F5A90"/>
    <w:rsid w:val="00516027"/>
    <w:rsid w:val="00525209"/>
    <w:rsid w:val="00544CA9"/>
    <w:rsid w:val="005A4312"/>
    <w:rsid w:val="005B5A9B"/>
    <w:rsid w:val="005C037B"/>
    <w:rsid w:val="005F3AAE"/>
    <w:rsid w:val="006265C1"/>
    <w:rsid w:val="00645FBB"/>
    <w:rsid w:val="00647FB0"/>
    <w:rsid w:val="00651407"/>
    <w:rsid w:val="006630D3"/>
    <w:rsid w:val="006C0ED1"/>
    <w:rsid w:val="006C2A2F"/>
    <w:rsid w:val="006C6043"/>
    <w:rsid w:val="006D10C8"/>
    <w:rsid w:val="006F5273"/>
    <w:rsid w:val="00726873"/>
    <w:rsid w:val="00764B3F"/>
    <w:rsid w:val="007C1D31"/>
    <w:rsid w:val="00800DBC"/>
    <w:rsid w:val="008725D5"/>
    <w:rsid w:val="00877271"/>
    <w:rsid w:val="008E4E8F"/>
    <w:rsid w:val="008E5B18"/>
    <w:rsid w:val="008F6CFE"/>
    <w:rsid w:val="0090690F"/>
    <w:rsid w:val="00920199"/>
    <w:rsid w:val="009511DB"/>
    <w:rsid w:val="009549E5"/>
    <w:rsid w:val="00962388"/>
    <w:rsid w:val="00964725"/>
    <w:rsid w:val="009751CF"/>
    <w:rsid w:val="00982759"/>
    <w:rsid w:val="009B5401"/>
    <w:rsid w:val="009C09A6"/>
    <w:rsid w:val="009F6313"/>
    <w:rsid w:val="00A05EAC"/>
    <w:rsid w:val="00A21B0C"/>
    <w:rsid w:val="00A36998"/>
    <w:rsid w:val="00A4280F"/>
    <w:rsid w:val="00A47737"/>
    <w:rsid w:val="00A61B54"/>
    <w:rsid w:val="00A84E43"/>
    <w:rsid w:val="00A937C2"/>
    <w:rsid w:val="00AA0EF7"/>
    <w:rsid w:val="00AD3F5B"/>
    <w:rsid w:val="00B12068"/>
    <w:rsid w:val="00B50AD1"/>
    <w:rsid w:val="00B50E73"/>
    <w:rsid w:val="00B54BE3"/>
    <w:rsid w:val="00B54E10"/>
    <w:rsid w:val="00B553A0"/>
    <w:rsid w:val="00B7169C"/>
    <w:rsid w:val="00B80C39"/>
    <w:rsid w:val="00B820B9"/>
    <w:rsid w:val="00BC5DEB"/>
    <w:rsid w:val="00BD0293"/>
    <w:rsid w:val="00BF627C"/>
    <w:rsid w:val="00BF6692"/>
    <w:rsid w:val="00C123EE"/>
    <w:rsid w:val="00C640FD"/>
    <w:rsid w:val="00C766E8"/>
    <w:rsid w:val="00C97284"/>
    <w:rsid w:val="00CA114C"/>
    <w:rsid w:val="00CB03B5"/>
    <w:rsid w:val="00CC5324"/>
    <w:rsid w:val="00CD121B"/>
    <w:rsid w:val="00CD5E0A"/>
    <w:rsid w:val="00CF1CF0"/>
    <w:rsid w:val="00D12CAD"/>
    <w:rsid w:val="00D15554"/>
    <w:rsid w:val="00D22AB3"/>
    <w:rsid w:val="00D54F42"/>
    <w:rsid w:val="00D57F3D"/>
    <w:rsid w:val="00D93DB3"/>
    <w:rsid w:val="00DB5981"/>
    <w:rsid w:val="00DC418C"/>
    <w:rsid w:val="00DD68AE"/>
    <w:rsid w:val="00DE167C"/>
    <w:rsid w:val="00DE5837"/>
    <w:rsid w:val="00DF1BB5"/>
    <w:rsid w:val="00DF761C"/>
    <w:rsid w:val="00E0016B"/>
    <w:rsid w:val="00E20D7C"/>
    <w:rsid w:val="00E23538"/>
    <w:rsid w:val="00E24D98"/>
    <w:rsid w:val="00E33A60"/>
    <w:rsid w:val="00E5630C"/>
    <w:rsid w:val="00E670DC"/>
    <w:rsid w:val="00E82426"/>
    <w:rsid w:val="00E8565D"/>
    <w:rsid w:val="00EB1FDE"/>
    <w:rsid w:val="00EB7D01"/>
    <w:rsid w:val="00EC66F2"/>
    <w:rsid w:val="00EE238C"/>
    <w:rsid w:val="00F12C3E"/>
    <w:rsid w:val="00F31CAF"/>
    <w:rsid w:val="00F42F0D"/>
    <w:rsid w:val="00F43969"/>
    <w:rsid w:val="00F62FAF"/>
    <w:rsid w:val="00F74E62"/>
    <w:rsid w:val="00F974C2"/>
    <w:rsid w:val="00FA3058"/>
    <w:rsid w:val="00FB51A7"/>
    <w:rsid w:val="00FF2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5B46"/>
  <w15:chartTrackingRefBased/>
  <w15:docId w15:val="{660CC471-5147-4BAD-9EFE-E2C50882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0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9C0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09A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09A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09A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09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09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09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09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09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9C09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09A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09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09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09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09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09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09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0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09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09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09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09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09A6"/>
    <w:rPr>
      <w:i/>
      <w:iCs/>
      <w:color w:val="404040" w:themeColor="text1" w:themeTint="BF"/>
    </w:rPr>
  </w:style>
  <w:style w:type="paragraph" w:styleId="Paragrafoelenco">
    <w:name w:val="List Paragraph"/>
    <w:basedOn w:val="Normale"/>
    <w:uiPriority w:val="34"/>
    <w:qFormat/>
    <w:rsid w:val="009C09A6"/>
    <w:pPr>
      <w:ind w:left="720"/>
      <w:contextualSpacing/>
    </w:pPr>
  </w:style>
  <w:style w:type="character" w:styleId="Enfasiintensa">
    <w:name w:val="Intense Emphasis"/>
    <w:basedOn w:val="Carpredefinitoparagrafo"/>
    <w:uiPriority w:val="21"/>
    <w:qFormat/>
    <w:rsid w:val="009C09A6"/>
    <w:rPr>
      <w:i/>
      <w:iCs/>
      <w:color w:val="0F4761" w:themeColor="accent1" w:themeShade="BF"/>
    </w:rPr>
  </w:style>
  <w:style w:type="paragraph" w:styleId="Citazioneintensa">
    <w:name w:val="Intense Quote"/>
    <w:basedOn w:val="Normale"/>
    <w:next w:val="Normale"/>
    <w:link w:val="CitazioneintensaCarattere"/>
    <w:uiPriority w:val="30"/>
    <w:qFormat/>
    <w:rsid w:val="009C0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09A6"/>
    <w:rPr>
      <w:i/>
      <w:iCs/>
      <w:color w:val="0F4761" w:themeColor="accent1" w:themeShade="BF"/>
    </w:rPr>
  </w:style>
  <w:style w:type="character" w:styleId="Riferimentointenso">
    <w:name w:val="Intense Reference"/>
    <w:basedOn w:val="Carpredefinitoparagrafo"/>
    <w:uiPriority w:val="32"/>
    <w:qFormat/>
    <w:rsid w:val="009C09A6"/>
    <w:rPr>
      <w:b/>
      <w:bCs/>
      <w:smallCaps/>
      <w:color w:val="0F4761" w:themeColor="accent1" w:themeShade="BF"/>
      <w:spacing w:val="5"/>
    </w:rPr>
  </w:style>
  <w:style w:type="character" w:styleId="Collegamentoipertestuale">
    <w:name w:val="Hyperlink"/>
    <w:basedOn w:val="Carpredefinitoparagrafo"/>
    <w:uiPriority w:val="99"/>
    <w:unhideWhenUsed/>
    <w:rsid w:val="00F12C3E"/>
    <w:rPr>
      <w:color w:val="467886" w:themeColor="hyperlink"/>
      <w:u w:val="single"/>
    </w:rPr>
  </w:style>
  <w:style w:type="character" w:styleId="Menzionenonrisolta">
    <w:name w:val="Unresolved Mention"/>
    <w:basedOn w:val="Carpredefinitoparagrafo"/>
    <w:uiPriority w:val="99"/>
    <w:semiHidden/>
    <w:unhideWhenUsed/>
    <w:rsid w:val="00F12C3E"/>
    <w:rPr>
      <w:color w:val="605E5C"/>
      <w:shd w:val="clear" w:color="auto" w:fill="E1DFDD"/>
    </w:rPr>
  </w:style>
  <w:style w:type="paragraph" w:styleId="Testonotaapidipagina">
    <w:name w:val="footnote text"/>
    <w:basedOn w:val="Normale"/>
    <w:link w:val="TestonotaapidipaginaCarattere"/>
    <w:uiPriority w:val="99"/>
    <w:semiHidden/>
    <w:unhideWhenUsed/>
    <w:rsid w:val="006D10C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10C8"/>
    <w:rPr>
      <w:sz w:val="20"/>
      <w:szCs w:val="20"/>
    </w:rPr>
  </w:style>
  <w:style w:type="character" w:styleId="Rimandonotaapidipagina">
    <w:name w:val="footnote reference"/>
    <w:basedOn w:val="Carpredefinitoparagrafo"/>
    <w:uiPriority w:val="99"/>
    <w:semiHidden/>
    <w:unhideWhenUsed/>
    <w:rsid w:val="006D1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615">
      <w:bodyDiv w:val="1"/>
      <w:marLeft w:val="0"/>
      <w:marRight w:val="0"/>
      <w:marTop w:val="0"/>
      <w:marBottom w:val="0"/>
      <w:divBdr>
        <w:top w:val="none" w:sz="0" w:space="0" w:color="auto"/>
        <w:left w:val="none" w:sz="0" w:space="0" w:color="auto"/>
        <w:bottom w:val="none" w:sz="0" w:space="0" w:color="auto"/>
        <w:right w:val="none" w:sz="0" w:space="0" w:color="auto"/>
      </w:divBdr>
      <w:divsChild>
        <w:div w:id="43873684">
          <w:marLeft w:val="0"/>
          <w:marRight w:val="0"/>
          <w:marTop w:val="0"/>
          <w:marBottom w:val="0"/>
          <w:divBdr>
            <w:top w:val="none" w:sz="0" w:space="0" w:color="auto"/>
            <w:left w:val="none" w:sz="0" w:space="0" w:color="auto"/>
            <w:bottom w:val="none" w:sz="0" w:space="0" w:color="auto"/>
            <w:right w:val="none" w:sz="0" w:space="0" w:color="auto"/>
          </w:divBdr>
        </w:div>
        <w:div w:id="1747914930">
          <w:marLeft w:val="0"/>
          <w:marRight w:val="0"/>
          <w:marTop w:val="0"/>
          <w:marBottom w:val="0"/>
          <w:divBdr>
            <w:top w:val="none" w:sz="0" w:space="0" w:color="auto"/>
            <w:left w:val="none" w:sz="0" w:space="0" w:color="auto"/>
            <w:bottom w:val="none" w:sz="0" w:space="0" w:color="auto"/>
            <w:right w:val="none" w:sz="0" w:space="0" w:color="auto"/>
          </w:divBdr>
        </w:div>
      </w:divsChild>
    </w:div>
    <w:div w:id="381490221">
      <w:bodyDiv w:val="1"/>
      <w:marLeft w:val="0"/>
      <w:marRight w:val="0"/>
      <w:marTop w:val="0"/>
      <w:marBottom w:val="0"/>
      <w:divBdr>
        <w:top w:val="none" w:sz="0" w:space="0" w:color="auto"/>
        <w:left w:val="none" w:sz="0" w:space="0" w:color="auto"/>
        <w:bottom w:val="none" w:sz="0" w:space="0" w:color="auto"/>
        <w:right w:val="none" w:sz="0" w:space="0" w:color="auto"/>
      </w:divBdr>
    </w:div>
    <w:div w:id="552541568">
      <w:bodyDiv w:val="1"/>
      <w:marLeft w:val="0"/>
      <w:marRight w:val="0"/>
      <w:marTop w:val="0"/>
      <w:marBottom w:val="0"/>
      <w:divBdr>
        <w:top w:val="none" w:sz="0" w:space="0" w:color="auto"/>
        <w:left w:val="none" w:sz="0" w:space="0" w:color="auto"/>
        <w:bottom w:val="none" w:sz="0" w:space="0" w:color="auto"/>
        <w:right w:val="none" w:sz="0" w:space="0" w:color="auto"/>
      </w:divBdr>
    </w:div>
    <w:div w:id="578711071">
      <w:bodyDiv w:val="1"/>
      <w:marLeft w:val="0"/>
      <w:marRight w:val="0"/>
      <w:marTop w:val="0"/>
      <w:marBottom w:val="0"/>
      <w:divBdr>
        <w:top w:val="none" w:sz="0" w:space="0" w:color="auto"/>
        <w:left w:val="none" w:sz="0" w:space="0" w:color="auto"/>
        <w:bottom w:val="none" w:sz="0" w:space="0" w:color="auto"/>
        <w:right w:val="none" w:sz="0" w:space="0" w:color="auto"/>
      </w:divBdr>
    </w:div>
    <w:div w:id="789740084">
      <w:bodyDiv w:val="1"/>
      <w:marLeft w:val="0"/>
      <w:marRight w:val="0"/>
      <w:marTop w:val="0"/>
      <w:marBottom w:val="0"/>
      <w:divBdr>
        <w:top w:val="none" w:sz="0" w:space="0" w:color="auto"/>
        <w:left w:val="none" w:sz="0" w:space="0" w:color="auto"/>
        <w:bottom w:val="none" w:sz="0" w:space="0" w:color="auto"/>
        <w:right w:val="none" w:sz="0" w:space="0" w:color="auto"/>
      </w:divBdr>
      <w:divsChild>
        <w:div w:id="2175365">
          <w:marLeft w:val="0"/>
          <w:marRight w:val="0"/>
          <w:marTop w:val="0"/>
          <w:marBottom w:val="0"/>
          <w:divBdr>
            <w:top w:val="none" w:sz="0" w:space="0" w:color="auto"/>
            <w:left w:val="none" w:sz="0" w:space="0" w:color="auto"/>
            <w:bottom w:val="none" w:sz="0" w:space="0" w:color="auto"/>
            <w:right w:val="none" w:sz="0" w:space="0" w:color="auto"/>
          </w:divBdr>
        </w:div>
        <w:div w:id="1115904650">
          <w:marLeft w:val="0"/>
          <w:marRight w:val="0"/>
          <w:marTop w:val="0"/>
          <w:marBottom w:val="0"/>
          <w:divBdr>
            <w:top w:val="none" w:sz="0" w:space="0" w:color="auto"/>
            <w:left w:val="none" w:sz="0" w:space="0" w:color="auto"/>
            <w:bottom w:val="none" w:sz="0" w:space="0" w:color="auto"/>
            <w:right w:val="none" w:sz="0" w:space="0" w:color="auto"/>
          </w:divBdr>
        </w:div>
        <w:div w:id="185095849">
          <w:marLeft w:val="0"/>
          <w:marRight w:val="0"/>
          <w:marTop w:val="0"/>
          <w:marBottom w:val="0"/>
          <w:divBdr>
            <w:top w:val="none" w:sz="0" w:space="0" w:color="auto"/>
            <w:left w:val="none" w:sz="0" w:space="0" w:color="auto"/>
            <w:bottom w:val="none" w:sz="0" w:space="0" w:color="auto"/>
            <w:right w:val="none" w:sz="0" w:space="0" w:color="auto"/>
          </w:divBdr>
        </w:div>
        <w:div w:id="545068115">
          <w:marLeft w:val="0"/>
          <w:marRight w:val="0"/>
          <w:marTop w:val="0"/>
          <w:marBottom w:val="0"/>
          <w:divBdr>
            <w:top w:val="none" w:sz="0" w:space="0" w:color="auto"/>
            <w:left w:val="none" w:sz="0" w:space="0" w:color="auto"/>
            <w:bottom w:val="none" w:sz="0" w:space="0" w:color="auto"/>
            <w:right w:val="none" w:sz="0" w:space="0" w:color="auto"/>
          </w:divBdr>
        </w:div>
        <w:div w:id="792091509">
          <w:marLeft w:val="0"/>
          <w:marRight w:val="0"/>
          <w:marTop w:val="0"/>
          <w:marBottom w:val="0"/>
          <w:divBdr>
            <w:top w:val="none" w:sz="0" w:space="0" w:color="auto"/>
            <w:left w:val="none" w:sz="0" w:space="0" w:color="auto"/>
            <w:bottom w:val="none" w:sz="0" w:space="0" w:color="auto"/>
            <w:right w:val="none" w:sz="0" w:space="0" w:color="auto"/>
          </w:divBdr>
        </w:div>
      </w:divsChild>
    </w:div>
    <w:div w:id="996762575">
      <w:bodyDiv w:val="1"/>
      <w:marLeft w:val="0"/>
      <w:marRight w:val="0"/>
      <w:marTop w:val="0"/>
      <w:marBottom w:val="0"/>
      <w:divBdr>
        <w:top w:val="none" w:sz="0" w:space="0" w:color="auto"/>
        <w:left w:val="none" w:sz="0" w:space="0" w:color="auto"/>
        <w:bottom w:val="none" w:sz="0" w:space="0" w:color="auto"/>
        <w:right w:val="none" w:sz="0" w:space="0" w:color="auto"/>
      </w:divBdr>
    </w:div>
    <w:div w:id="1002977816">
      <w:bodyDiv w:val="1"/>
      <w:marLeft w:val="0"/>
      <w:marRight w:val="0"/>
      <w:marTop w:val="0"/>
      <w:marBottom w:val="0"/>
      <w:divBdr>
        <w:top w:val="none" w:sz="0" w:space="0" w:color="auto"/>
        <w:left w:val="none" w:sz="0" w:space="0" w:color="auto"/>
        <w:bottom w:val="none" w:sz="0" w:space="0" w:color="auto"/>
        <w:right w:val="none" w:sz="0" w:space="0" w:color="auto"/>
      </w:divBdr>
      <w:divsChild>
        <w:div w:id="1722752136">
          <w:marLeft w:val="0"/>
          <w:marRight w:val="0"/>
          <w:marTop w:val="0"/>
          <w:marBottom w:val="0"/>
          <w:divBdr>
            <w:top w:val="none" w:sz="0" w:space="0" w:color="auto"/>
            <w:left w:val="none" w:sz="0" w:space="0" w:color="auto"/>
            <w:bottom w:val="none" w:sz="0" w:space="0" w:color="auto"/>
            <w:right w:val="none" w:sz="0" w:space="0" w:color="auto"/>
          </w:divBdr>
        </w:div>
        <w:div w:id="722605678">
          <w:marLeft w:val="0"/>
          <w:marRight w:val="0"/>
          <w:marTop w:val="0"/>
          <w:marBottom w:val="0"/>
          <w:divBdr>
            <w:top w:val="none" w:sz="0" w:space="0" w:color="auto"/>
            <w:left w:val="none" w:sz="0" w:space="0" w:color="auto"/>
            <w:bottom w:val="none" w:sz="0" w:space="0" w:color="auto"/>
            <w:right w:val="none" w:sz="0" w:space="0" w:color="auto"/>
          </w:divBdr>
        </w:div>
        <w:div w:id="2123189891">
          <w:marLeft w:val="0"/>
          <w:marRight w:val="0"/>
          <w:marTop w:val="0"/>
          <w:marBottom w:val="0"/>
          <w:divBdr>
            <w:top w:val="none" w:sz="0" w:space="0" w:color="auto"/>
            <w:left w:val="none" w:sz="0" w:space="0" w:color="auto"/>
            <w:bottom w:val="none" w:sz="0" w:space="0" w:color="auto"/>
            <w:right w:val="none" w:sz="0" w:space="0" w:color="auto"/>
          </w:divBdr>
        </w:div>
        <w:div w:id="171729114">
          <w:marLeft w:val="0"/>
          <w:marRight w:val="0"/>
          <w:marTop w:val="0"/>
          <w:marBottom w:val="0"/>
          <w:divBdr>
            <w:top w:val="none" w:sz="0" w:space="0" w:color="auto"/>
            <w:left w:val="none" w:sz="0" w:space="0" w:color="auto"/>
            <w:bottom w:val="none" w:sz="0" w:space="0" w:color="auto"/>
            <w:right w:val="none" w:sz="0" w:space="0" w:color="auto"/>
          </w:divBdr>
        </w:div>
        <w:div w:id="638417410">
          <w:marLeft w:val="0"/>
          <w:marRight w:val="0"/>
          <w:marTop w:val="0"/>
          <w:marBottom w:val="0"/>
          <w:divBdr>
            <w:top w:val="none" w:sz="0" w:space="0" w:color="auto"/>
            <w:left w:val="none" w:sz="0" w:space="0" w:color="auto"/>
            <w:bottom w:val="none" w:sz="0" w:space="0" w:color="auto"/>
            <w:right w:val="none" w:sz="0" w:space="0" w:color="auto"/>
          </w:divBdr>
        </w:div>
      </w:divsChild>
    </w:div>
    <w:div w:id="1027680324">
      <w:bodyDiv w:val="1"/>
      <w:marLeft w:val="0"/>
      <w:marRight w:val="0"/>
      <w:marTop w:val="0"/>
      <w:marBottom w:val="0"/>
      <w:divBdr>
        <w:top w:val="none" w:sz="0" w:space="0" w:color="auto"/>
        <w:left w:val="none" w:sz="0" w:space="0" w:color="auto"/>
        <w:bottom w:val="none" w:sz="0" w:space="0" w:color="auto"/>
        <w:right w:val="none" w:sz="0" w:space="0" w:color="auto"/>
      </w:divBdr>
      <w:divsChild>
        <w:div w:id="386147435">
          <w:marLeft w:val="0"/>
          <w:marRight w:val="0"/>
          <w:marTop w:val="0"/>
          <w:marBottom w:val="0"/>
          <w:divBdr>
            <w:top w:val="none" w:sz="0" w:space="0" w:color="auto"/>
            <w:left w:val="none" w:sz="0" w:space="0" w:color="auto"/>
            <w:bottom w:val="none" w:sz="0" w:space="0" w:color="auto"/>
            <w:right w:val="none" w:sz="0" w:space="0" w:color="auto"/>
          </w:divBdr>
        </w:div>
        <w:div w:id="482965626">
          <w:marLeft w:val="0"/>
          <w:marRight w:val="0"/>
          <w:marTop w:val="0"/>
          <w:marBottom w:val="0"/>
          <w:divBdr>
            <w:top w:val="none" w:sz="0" w:space="0" w:color="auto"/>
            <w:left w:val="none" w:sz="0" w:space="0" w:color="auto"/>
            <w:bottom w:val="none" w:sz="0" w:space="0" w:color="auto"/>
            <w:right w:val="none" w:sz="0" w:space="0" w:color="auto"/>
          </w:divBdr>
        </w:div>
        <w:div w:id="2085368621">
          <w:marLeft w:val="0"/>
          <w:marRight w:val="0"/>
          <w:marTop w:val="0"/>
          <w:marBottom w:val="0"/>
          <w:divBdr>
            <w:top w:val="none" w:sz="0" w:space="0" w:color="auto"/>
            <w:left w:val="none" w:sz="0" w:space="0" w:color="auto"/>
            <w:bottom w:val="none" w:sz="0" w:space="0" w:color="auto"/>
            <w:right w:val="none" w:sz="0" w:space="0" w:color="auto"/>
          </w:divBdr>
        </w:div>
        <w:div w:id="1764912131">
          <w:marLeft w:val="0"/>
          <w:marRight w:val="0"/>
          <w:marTop w:val="0"/>
          <w:marBottom w:val="0"/>
          <w:divBdr>
            <w:top w:val="none" w:sz="0" w:space="0" w:color="auto"/>
            <w:left w:val="none" w:sz="0" w:space="0" w:color="auto"/>
            <w:bottom w:val="none" w:sz="0" w:space="0" w:color="auto"/>
            <w:right w:val="none" w:sz="0" w:space="0" w:color="auto"/>
          </w:divBdr>
        </w:div>
        <w:div w:id="1315256636">
          <w:marLeft w:val="0"/>
          <w:marRight w:val="0"/>
          <w:marTop w:val="0"/>
          <w:marBottom w:val="0"/>
          <w:divBdr>
            <w:top w:val="none" w:sz="0" w:space="0" w:color="auto"/>
            <w:left w:val="none" w:sz="0" w:space="0" w:color="auto"/>
            <w:bottom w:val="none" w:sz="0" w:space="0" w:color="auto"/>
            <w:right w:val="none" w:sz="0" w:space="0" w:color="auto"/>
          </w:divBdr>
        </w:div>
      </w:divsChild>
    </w:div>
    <w:div w:id="1299260537">
      <w:bodyDiv w:val="1"/>
      <w:marLeft w:val="0"/>
      <w:marRight w:val="0"/>
      <w:marTop w:val="0"/>
      <w:marBottom w:val="0"/>
      <w:divBdr>
        <w:top w:val="none" w:sz="0" w:space="0" w:color="auto"/>
        <w:left w:val="none" w:sz="0" w:space="0" w:color="auto"/>
        <w:bottom w:val="none" w:sz="0" w:space="0" w:color="auto"/>
        <w:right w:val="none" w:sz="0" w:space="0" w:color="auto"/>
      </w:divBdr>
    </w:div>
    <w:div w:id="1563254324">
      <w:bodyDiv w:val="1"/>
      <w:marLeft w:val="0"/>
      <w:marRight w:val="0"/>
      <w:marTop w:val="0"/>
      <w:marBottom w:val="0"/>
      <w:divBdr>
        <w:top w:val="none" w:sz="0" w:space="0" w:color="auto"/>
        <w:left w:val="none" w:sz="0" w:space="0" w:color="auto"/>
        <w:bottom w:val="none" w:sz="0" w:space="0" w:color="auto"/>
        <w:right w:val="none" w:sz="0" w:space="0" w:color="auto"/>
      </w:divBdr>
    </w:div>
    <w:div w:id="1619529401">
      <w:bodyDiv w:val="1"/>
      <w:marLeft w:val="0"/>
      <w:marRight w:val="0"/>
      <w:marTop w:val="0"/>
      <w:marBottom w:val="0"/>
      <w:divBdr>
        <w:top w:val="none" w:sz="0" w:space="0" w:color="auto"/>
        <w:left w:val="none" w:sz="0" w:space="0" w:color="auto"/>
        <w:bottom w:val="none" w:sz="0" w:space="0" w:color="auto"/>
        <w:right w:val="none" w:sz="0" w:space="0" w:color="auto"/>
      </w:divBdr>
    </w:div>
    <w:div w:id="1627924586">
      <w:bodyDiv w:val="1"/>
      <w:marLeft w:val="0"/>
      <w:marRight w:val="0"/>
      <w:marTop w:val="0"/>
      <w:marBottom w:val="0"/>
      <w:divBdr>
        <w:top w:val="none" w:sz="0" w:space="0" w:color="auto"/>
        <w:left w:val="none" w:sz="0" w:space="0" w:color="auto"/>
        <w:bottom w:val="none" w:sz="0" w:space="0" w:color="auto"/>
        <w:right w:val="none" w:sz="0" w:space="0" w:color="auto"/>
      </w:divBdr>
      <w:divsChild>
        <w:div w:id="732775165">
          <w:marLeft w:val="0"/>
          <w:marRight w:val="0"/>
          <w:marTop w:val="0"/>
          <w:marBottom w:val="0"/>
          <w:divBdr>
            <w:top w:val="none" w:sz="0" w:space="0" w:color="auto"/>
            <w:left w:val="none" w:sz="0" w:space="0" w:color="auto"/>
            <w:bottom w:val="none" w:sz="0" w:space="0" w:color="auto"/>
            <w:right w:val="none" w:sz="0" w:space="0" w:color="auto"/>
          </w:divBdr>
        </w:div>
        <w:div w:id="204022065">
          <w:marLeft w:val="0"/>
          <w:marRight w:val="0"/>
          <w:marTop w:val="0"/>
          <w:marBottom w:val="0"/>
          <w:divBdr>
            <w:top w:val="none" w:sz="0" w:space="0" w:color="auto"/>
            <w:left w:val="none" w:sz="0" w:space="0" w:color="auto"/>
            <w:bottom w:val="none" w:sz="0" w:space="0" w:color="auto"/>
            <w:right w:val="none" w:sz="0" w:space="0" w:color="auto"/>
          </w:divBdr>
        </w:div>
      </w:divsChild>
    </w:div>
    <w:div w:id="1721241464">
      <w:bodyDiv w:val="1"/>
      <w:marLeft w:val="0"/>
      <w:marRight w:val="0"/>
      <w:marTop w:val="0"/>
      <w:marBottom w:val="0"/>
      <w:divBdr>
        <w:top w:val="none" w:sz="0" w:space="0" w:color="auto"/>
        <w:left w:val="none" w:sz="0" w:space="0" w:color="auto"/>
        <w:bottom w:val="none" w:sz="0" w:space="0" w:color="auto"/>
        <w:right w:val="none" w:sz="0" w:space="0" w:color="auto"/>
      </w:divBdr>
    </w:div>
    <w:div w:id="1737630956">
      <w:bodyDiv w:val="1"/>
      <w:marLeft w:val="0"/>
      <w:marRight w:val="0"/>
      <w:marTop w:val="0"/>
      <w:marBottom w:val="0"/>
      <w:divBdr>
        <w:top w:val="none" w:sz="0" w:space="0" w:color="auto"/>
        <w:left w:val="none" w:sz="0" w:space="0" w:color="auto"/>
        <w:bottom w:val="none" w:sz="0" w:space="0" w:color="auto"/>
        <w:right w:val="none" w:sz="0" w:space="0" w:color="auto"/>
      </w:divBdr>
    </w:div>
    <w:div w:id="1783649041">
      <w:bodyDiv w:val="1"/>
      <w:marLeft w:val="0"/>
      <w:marRight w:val="0"/>
      <w:marTop w:val="0"/>
      <w:marBottom w:val="0"/>
      <w:divBdr>
        <w:top w:val="none" w:sz="0" w:space="0" w:color="auto"/>
        <w:left w:val="none" w:sz="0" w:space="0" w:color="auto"/>
        <w:bottom w:val="none" w:sz="0" w:space="0" w:color="auto"/>
        <w:right w:val="none" w:sz="0" w:space="0" w:color="auto"/>
      </w:divBdr>
    </w:div>
    <w:div w:id="1786540930">
      <w:bodyDiv w:val="1"/>
      <w:marLeft w:val="0"/>
      <w:marRight w:val="0"/>
      <w:marTop w:val="0"/>
      <w:marBottom w:val="0"/>
      <w:divBdr>
        <w:top w:val="none" w:sz="0" w:space="0" w:color="auto"/>
        <w:left w:val="none" w:sz="0" w:space="0" w:color="auto"/>
        <w:bottom w:val="none" w:sz="0" w:space="0" w:color="auto"/>
        <w:right w:val="none" w:sz="0" w:space="0" w:color="auto"/>
      </w:divBdr>
    </w:div>
    <w:div w:id="1860200604">
      <w:bodyDiv w:val="1"/>
      <w:marLeft w:val="0"/>
      <w:marRight w:val="0"/>
      <w:marTop w:val="0"/>
      <w:marBottom w:val="0"/>
      <w:divBdr>
        <w:top w:val="none" w:sz="0" w:space="0" w:color="auto"/>
        <w:left w:val="none" w:sz="0" w:space="0" w:color="auto"/>
        <w:bottom w:val="none" w:sz="0" w:space="0" w:color="auto"/>
        <w:right w:val="none" w:sz="0" w:space="0" w:color="auto"/>
      </w:divBdr>
    </w:div>
    <w:div w:id="2027167088">
      <w:bodyDiv w:val="1"/>
      <w:marLeft w:val="0"/>
      <w:marRight w:val="0"/>
      <w:marTop w:val="0"/>
      <w:marBottom w:val="0"/>
      <w:divBdr>
        <w:top w:val="none" w:sz="0" w:space="0" w:color="auto"/>
        <w:left w:val="none" w:sz="0" w:space="0" w:color="auto"/>
        <w:bottom w:val="none" w:sz="0" w:space="0" w:color="auto"/>
        <w:right w:val="none" w:sz="0" w:space="0" w:color="auto"/>
      </w:divBdr>
      <w:divsChild>
        <w:div w:id="619920708">
          <w:marLeft w:val="0"/>
          <w:marRight w:val="0"/>
          <w:marTop w:val="0"/>
          <w:marBottom w:val="0"/>
          <w:divBdr>
            <w:top w:val="none" w:sz="0" w:space="0" w:color="auto"/>
            <w:left w:val="none" w:sz="0" w:space="0" w:color="auto"/>
            <w:bottom w:val="none" w:sz="0" w:space="0" w:color="auto"/>
            <w:right w:val="none" w:sz="0" w:space="0" w:color="auto"/>
          </w:divBdr>
        </w:div>
        <w:div w:id="2111007861">
          <w:marLeft w:val="0"/>
          <w:marRight w:val="0"/>
          <w:marTop w:val="0"/>
          <w:marBottom w:val="0"/>
          <w:divBdr>
            <w:top w:val="none" w:sz="0" w:space="0" w:color="auto"/>
            <w:left w:val="none" w:sz="0" w:space="0" w:color="auto"/>
            <w:bottom w:val="none" w:sz="0" w:space="0" w:color="auto"/>
            <w:right w:val="none" w:sz="0" w:space="0" w:color="auto"/>
          </w:divBdr>
        </w:div>
        <w:div w:id="1946384180">
          <w:marLeft w:val="0"/>
          <w:marRight w:val="0"/>
          <w:marTop w:val="0"/>
          <w:marBottom w:val="0"/>
          <w:divBdr>
            <w:top w:val="none" w:sz="0" w:space="0" w:color="auto"/>
            <w:left w:val="none" w:sz="0" w:space="0" w:color="auto"/>
            <w:bottom w:val="none" w:sz="0" w:space="0" w:color="auto"/>
            <w:right w:val="none" w:sz="0" w:space="0" w:color="auto"/>
          </w:divBdr>
        </w:div>
        <w:div w:id="532352268">
          <w:marLeft w:val="0"/>
          <w:marRight w:val="0"/>
          <w:marTop w:val="0"/>
          <w:marBottom w:val="0"/>
          <w:divBdr>
            <w:top w:val="none" w:sz="0" w:space="0" w:color="auto"/>
            <w:left w:val="none" w:sz="0" w:space="0" w:color="auto"/>
            <w:bottom w:val="none" w:sz="0" w:space="0" w:color="auto"/>
            <w:right w:val="none" w:sz="0" w:space="0" w:color="auto"/>
          </w:divBdr>
        </w:div>
        <w:div w:id="10893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7F6C-A109-407E-B664-61785AED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17</Pages>
  <Words>5580</Words>
  <Characters>31811</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CAPUTI Giovanni</dc:creator>
  <cp:keywords/>
  <dc:description/>
  <cp:lastModifiedBy>COZZOLI Pamela</cp:lastModifiedBy>
  <cp:revision>30</cp:revision>
  <dcterms:created xsi:type="dcterms:W3CDTF">2026-04-23T10:50:00Z</dcterms:created>
  <dcterms:modified xsi:type="dcterms:W3CDTF">2026-05-14T15:29:00Z</dcterms:modified>
</cp:coreProperties>
</file>