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70A80" w14:textId="3EE9B7ED" w:rsidR="007B6327" w:rsidRDefault="00822F42" w:rsidP="00A42CE7">
      <w:pPr>
        <w:spacing w:line="288" w:lineRule="auto"/>
        <w:ind w:left="284" w:right="140"/>
        <w:jc w:val="both"/>
        <w:rPr>
          <w:rFonts w:ascii="Times New Roman" w:hAnsi="Times New Roman" w:cs="Times New Roman"/>
          <w:b/>
          <w:bCs/>
          <w:i/>
          <w:iCs/>
          <w:sz w:val="28"/>
          <w:szCs w:val="28"/>
        </w:rPr>
      </w:pPr>
      <w:r w:rsidRPr="00822F42">
        <w:rPr>
          <w:rFonts w:ascii="Times New Roman" w:hAnsi="Times New Roman" w:cs="Times New Roman"/>
          <w:b/>
          <w:bCs/>
          <w:i/>
          <w:iCs/>
          <w:sz w:val="28"/>
          <w:szCs w:val="28"/>
        </w:rPr>
        <w:t>Il diritto all’indennizzo del concessionario uscente tra legittimo affidamento</w:t>
      </w:r>
      <w:r w:rsidR="008E7E6E">
        <w:rPr>
          <w:rFonts w:ascii="Times New Roman" w:hAnsi="Times New Roman" w:cs="Times New Roman"/>
          <w:b/>
          <w:bCs/>
          <w:i/>
          <w:iCs/>
          <w:sz w:val="28"/>
          <w:szCs w:val="28"/>
        </w:rPr>
        <w:t xml:space="preserve"> e</w:t>
      </w:r>
      <w:r w:rsidRPr="00822F42">
        <w:rPr>
          <w:rFonts w:ascii="Times New Roman" w:hAnsi="Times New Roman" w:cs="Times New Roman"/>
          <w:b/>
          <w:bCs/>
          <w:i/>
          <w:iCs/>
          <w:sz w:val="28"/>
          <w:szCs w:val="28"/>
        </w:rPr>
        <w:t xml:space="preserve"> indebito arricchimento, alla luce del mai sopito dibattito sulla “facile rimozione” delle opere</w:t>
      </w:r>
      <w:r w:rsidR="00AD4599">
        <w:rPr>
          <w:rFonts w:ascii="Times New Roman" w:hAnsi="Times New Roman" w:cs="Times New Roman"/>
          <w:b/>
          <w:bCs/>
          <w:i/>
          <w:iCs/>
          <w:sz w:val="28"/>
          <w:szCs w:val="28"/>
        </w:rPr>
        <w:t>*</w:t>
      </w:r>
      <w:r w:rsidRPr="00822F42">
        <w:rPr>
          <w:rFonts w:ascii="Times New Roman" w:hAnsi="Times New Roman" w:cs="Times New Roman"/>
          <w:b/>
          <w:bCs/>
          <w:i/>
          <w:iCs/>
          <w:sz w:val="28"/>
          <w:szCs w:val="28"/>
        </w:rPr>
        <w:t xml:space="preserve">. </w:t>
      </w:r>
    </w:p>
    <w:p w14:paraId="0A444615" w14:textId="77777777" w:rsidR="00A42CE7" w:rsidRDefault="00A42CE7" w:rsidP="00A42CE7">
      <w:pPr>
        <w:spacing w:line="288" w:lineRule="auto"/>
        <w:ind w:left="284" w:right="140"/>
        <w:jc w:val="both"/>
        <w:rPr>
          <w:rFonts w:ascii="Times New Roman" w:hAnsi="Times New Roman" w:cs="Times New Roman"/>
          <w:b/>
          <w:bCs/>
          <w:i/>
          <w:iCs/>
          <w:sz w:val="28"/>
          <w:szCs w:val="28"/>
        </w:rPr>
      </w:pPr>
    </w:p>
    <w:p w14:paraId="5A019A58" w14:textId="265BEE91" w:rsidR="000D77ED" w:rsidRPr="00D62891" w:rsidRDefault="000D77ED" w:rsidP="00A42CE7">
      <w:pPr>
        <w:pStyle w:val="Paragrafoelenco"/>
        <w:numPr>
          <w:ilvl w:val="0"/>
          <w:numId w:val="13"/>
        </w:numPr>
        <w:spacing w:line="288" w:lineRule="auto"/>
        <w:ind w:left="284" w:right="140" w:firstLine="0"/>
        <w:jc w:val="both"/>
        <w:rPr>
          <w:rFonts w:ascii="Times New Roman" w:hAnsi="Times New Roman" w:cs="Times New Roman"/>
          <w:b/>
          <w:bCs/>
          <w:sz w:val="20"/>
          <w:szCs w:val="20"/>
        </w:rPr>
      </w:pPr>
      <w:r w:rsidRPr="00D62891">
        <w:rPr>
          <w:rFonts w:ascii="Times New Roman" w:hAnsi="Times New Roman" w:cs="Times New Roman"/>
          <w:b/>
          <w:bCs/>
          <w:i/>
          <w:iCs/>
          <w:sz w:val="20"/>
          <w:szCs w:val="20"/>
        </w:rPr>
        <w:t>Considerazioni generali. - 2.</w:t>
      </w:r>
      <w:r w:rsidR="00D62891" w:rsidRPr="00D62891">
        <w:rPr>
          <w:rFonts w:ascii="Times New Roman" w:hAnsi="Times New Roman" w:cs="Times New Roman"/>
          <w:b/>
          <w:bCs/>
          <w:i/>
          <w:iCs/>
          <w:sz w:val="20"/>
          <w:szCs w:val="20"/>
        </w:rPr>
        <w:t xml:space="preserve"> </w:t>
      </w:r>
      <w:r w:rsidRPr="00D62891">
        <w:rPr>
          <w:rFonts w:ascii="Times New Roman" w:hAnsi="Times New Roman" w:cs="Times New Roman"/>
          <w:b/>
          <w:bCs/>
          <w:i/>
          <w:iCs/>
          <w:sz w:val="20"/>
          <w:szCs w:val="20"/>
        </w:rPr>
        <w:t>La disciplina contenuta nel Codice della navigazione: la mancanza di indennizzo e l’incameramento dei beni “non amovibili”. - 3. Le indicazioni della CGUE sulle possibilità di introdurre un indennizzo.</w:t>
      </w:r>
      <w:r w:rsidR="00D62891" w:rsidRPr="00D62891">
        <w:rPr>
          <w:rFonts w:ascii="Times New Roman" w:hAnsi="Times New Roman" w:cs="Times New Roman"/>
          <w:b/>
          <w:bCs/>
          <w:i/>
          <w:iCs/>
          <w:sz w:val="20"/>
          <w:szCs w:val="20"/>
        </w:rPr>
        <w:t xml:space="preserve"> </w:t>
      </w:r>
      <w:r w:rsidRPr="00D62891">
        <w:rPr>
          <w:rFonts w:ascii="Times New Roman" w:hAnsi="Times New Roman" w:cs="Times New Roman"/>
          <w:b/>
          <w:bCs/>
          <w:i/>
          <w:iCs/>
          <w:sz w:val="20"/>
          <w:szCs w:val="20"/>
        </w:rPr>
        <w:t>-4.</w:t>
      </w:r>
      <w:r w:rsidR="00D62891" w:rsidRPr="00D62891">
        <w:rPr>
          <w:rFonts w:ascii="Times New Roman" w:hAnsi="Times New Roman" w:cs="Times New Roman"/>
          <w:b/>
          <w:bCs/>
          <w:i/>
          <w:iCs/>
          <w:sz w:val="20"/>
          <w:szCs w:val="20"/>
        </w:rPr>
        <w:t xml:space="preserve"> </w:t>
      </w:r>
      <w:r w:rsidRPr="00D62891">
        <w:rPr>
          <w:rFonts w:ascii="Times New Roman" w:hAnsi="Times New Roman" w:cs="Times New Roman"/>
          <w:b/>
          <w:bCs/>
          <w:i/>
          <w:iCs/>
          <w:sz w:val="20"/>
          <w:szCs w:val="20"/>
        </w:rPr>
        <w:t>Sulla natura dell’indennizzo.</w:t>
      </w:r>
      <w:r w:rsidR="00C10A38">
        <w:rPr>
          <w:rFonts w:ascii="Times New Roman" w:hAnsi="Times New Roman" w:cs="Times New Roman"/>
          <w:b/>
          <w:bCs/>
          <w:i/>
          <w:iCs/>
          <w:sz w:val="20"/>
          <w:szCs w:val="20"/>
        </w:rPr>
        <w:t xml:space="preserve"> </w:t>
      </w:r>
      <w:r w:rsidRPr="00D62891">
        <w:rPr>
          <w:rFonts w:ascii="Times New Roman" w:hAnsi="Times New Roman" w:cs="Times New Roman"/>
          <w:b/>
          <w:bCs/>
          <w:i/>
          <w:iCs/>
          <w:sz w:val="20"/>
          <w:szCs w:val="20"/>
        </w:rPr>
        <w:t>-</w:t>
      </w:r>
      <w:r w:rsidR="00C10A38">
        <w:rPr>
          <w:rFonts w:ascii="Times New Roman" w:hAnsi="Times New Roman" w:cs="Times New Roman"/>
          <w:b/>
          <w:bCs/>
          <w:i/>
          <w:iCs/>
          <w:sz w:val="20"/>
          <w:szCs w:val="20"/>
        </w:rPr>
        <w:t xml:space="preserve"> </w:t>
      </w:r>
      <w:r w:rsidRPr="00D62891">
        <w:rPr>
          <w:rFonts w:ascii="Times New Roman" w:hAnsi="Times New Roman" w:cs="Times New Roman"/>
          <w:b/>
          <w:bCs/>
          <w:i/>
          <w:iCs/>
          <w:sz w:val="20"/>
          <w:szCs w:val="20"/>
        </w:rPr>
        <w:t xml:space="preserve">5. </w:t>
      </w:r>
      <w:r w:rsidRPr="00D62891">
        <w:rPr>
          <w:rFonts w:ascii="Times New Roman" w:hAnsi="Times New Roman" w:cs="Times New Roman"/>
          <w:b/>
          <w:bCs/>
          <w:sz w:val="20"/>
          <w:szCs w:val="20"/>
        </w:rPr>
        <w:t>La disciplina dell’indennizzo secondo la legislazione nazionale. -6. La natura degli investimenti indennizzabili: beni amovibili, di facile e difficile rimozione</w:t>
      </w:r>
      <w:r w:rsidRPr="00D62891">
        <w:rPr>
          <w:rFonts w:ascii="Times New Roman" w:hAnsi="Times New Roman" w:cs="Times New Roman"/>
          <w:sz w:val="20"/>
          <w:szCs w:val="20"/>
        </w:rPr>
        <w:t xml:space="preserve">. - 7. </w:t>
      </w:r>
      <w:r w:rsidRPr="00D62891">
        <w:rPr>
          <w:rFonts w:ascii="Times New Roman" w:hAnsi="Times New Roman" w:cs="Times New Roman"/>
          <w:b/>
          <w:bCs/>
          <w:sz w:val="20"/>
          <w:szCs w:val="20"/>
        </w:rPr>
        <w:t>L’eterogeneità del linguaggio in ambito urbanistico-edilizio. - 8. Conclusioni.</w:t>
      </w:r>
    </w:p>
    <w:p w14:paraId="0DB251E3" w14:textId="77777777" w:rsidR="00D62891" w:rsidRPr="00D62891" w:rsidRDefault="00D62891" w:rsidP="00A42CE7">
      <w:pPr>
        <w:spacing w:line="288" w:lineRule="auto"/>
        <w:ind w:left="284" w:right="140"/>
        <w:jc w:val="both"/>
        <w:rPr>
          <w:rFonts w:ascii="Times New Roman" w:hAnsi="Times New Roman" w:cs="Times New Roman"/>
          <w:b/>
          <w:bCs/>
          <w:i/>
          <w:iCs/>
          <w:sz w:val="20"/>
          <w:szCs w:val="20"/>
        </w:rPr>
      </w:pPr>
    </w:p>
    <w:p w14:paraId="60314FDF" w14:textId="4301BABA" w:rsidR="00DB1E81" w:rsidRDefault="00855EBB" w:rsidP="00A42CE7">
      <w:pPr>
        <w:pStyle w:val="Paragrafoelenco"/>
        <w:numPr>
          <w:ilvl w:val="0"/>
          <w:numId w:val="14"/>
        </w:numPr>
        <w:spacing w:line="288" w:lineRule="auto"/>
        <w:ind w:left="284" w:right="140" w:firstLine="0"/>
        <w:jc w:val="both"/>
        <w:rPr>
          <w:rFonts w:ascii="Times New Roman" w:hAnsi="Times New Roman" w:cs="Times New Roman"/>
          <w:sz w:val="28"/>
          <w:szCs w:val="28"/>
        </w:rPr>
      </w:pPr>
      <w:r w:rsidRPr="00861646">
        <w:rPr>
          <w:rFonts w:ascii="Times New Roman" w:hAnsi="Times New Roman" w:cs="Times New Roman"/>
          <w:b/>
          <w:bCs/>
          <w:i/>
          <w:iCs/>
          <w:sz w:val="28"/>
          <w:szCs w:val="28"/>
        </w:rPr>
        <w:t>Considerazioni generali</w:t>
      </w:r>
      <w:r w:rsidR="00A1180E" w:rsidRPr="00861646">
        <w:rPr>
          <w:rFonts w:ascii="Times New Roman" w:hAnsi="Times New Roman" w:cs="Times New Roman"/>
          <w:b/>
          <w:bCs/>
          <w:sz w:val="28"/>
          <w:szCs w:val="28"/>
        </w:rPr>
        <w:t>.</w:t>
      </w:r>
      <w:r w:rsidR="000427EF" w:rsidRPr="00861646">
        <w:rPr>
          <w:rFonts w:ascii="Times New Roman" w:hAnsi="Times New Roman" w:cs="Times New Roman"/>
          <w:sz w:val="28"/>
          <w:szCs w:val="28"/>
        </w:rPr>
        <w:t xml:space="preserve"> L’accertata illegittimità del d</w:t>
      </w:r>
      <w:r w:rsidR="003556B6" w:rsidRPr="00861646">
        <w:rPr>
          <w:rFonts w:ascii="Times New Roman" w:hAnsi="Times New Roman" w:cs="Times New Roman"/>
          <w:sz w:val="28"/>
          <w:szCs w:val="28"/>
        </w:rPr>
        <w:t>i</w:t>
      </w:r>
      <w:r w:rsidR="000427EF" w:rsidRPr="00861646">
        <w:rPr>
          <w:rFonts w:ascii="Times New Roman" w:hAnsi="Times New Roman" w:cs="Times New Roman"/>
          <w:sz w:val="28"/>
          <w:szCs w:val="28"/>
        </w:rPr>
        <w:t xml:space="preserve">ritto nazionale, nella parte in cui ha disposto proroghe in origine pressoché </w:t>
      </w:r>
      <w:r w:rsidR="000427EF" w:rsidRPr="00861646">
        <w:rPr>
          <w:rFonts w:ascii="Times New Roman" w:hAnsi="Times New Roman" w:cs="Times New Roman"/>
          <w:i/>
          <w:iCs/>
          <w:sz w:val="28"/>
          <w:szCs w:val="28"/>
        </w:rPr>
        <w:t>sine die</w:t>
      </w:r>
      <w:r w:rsidR="000427EF" w:rsidRPr="00861646">
        <w:rPr>
          <w:rFonts w:ascii="Times New Roman" w:hAnsi="Times New Roman" w:cs="Times New Roman"/>
          <w:sz w:val="28"/>
          <w:szCs w:val="28"/>
        </w:rPr>
        <w:t>, e poi comunque di durata estremamente lunga</w:t>
      </w:r>
      <w:r w:rsidR="00A1180E" w:rsidRPr="00861646">
        <w:rPr>
          <w:rFonts w:ascii="Times New Roman" w:hAnsi="Times New Roman" w:cs="Times New Roman"/>
          <w:sz w:val="28"/>
          <w:szCs w:val="28"/>
        </w:rPr>
        <w:t>,</w:t>
      </w:r>
      <w:r w:rsidR="000427EF" w:rsidRPr="00861646">
        <w:rPr>
          <w:rFonts w:ascii="Times New Roman" w:hAnsi="Times New Roman" w:cs="Times New Roman"/>
          <w:sz w:val="28"/>
          <w:szCs w:val="28"/>
        </w:rPr>
        <w:t xml:space="preserve"> delle concessioni demaniali</w:t>
      </w:r>
      <w:r w:rsidR="00A1180E" w:rsidRPr="00861646">
        <w:rPr>
          <w:rFonts w:ascii="Times New Roman" w:hAnsi="Times New Roman" w:cs="Times New Roman"/>
          <w:sz w:val="28"/>
          <w:szCs w:val="28"/>
        </w:rPr>
        <w:t xml:space="preserve"> marittime con finalità turistico-ricettiva</w:t>
      </w:r>
      <w:r w:rsidR="000427EF" w:rsidRPr="00861646">
        <w:rPr>
          <w:rFonts w:ascii="Times New Roman" w:hAnsi="Times New Roman" w:cs="Times New Roman"/>
          <w:sz w:val="28"/>
          <w:szCs w:val="28"/>
        </w:rPr>
        <w:t xml:space="preserve">, ha </w:t>
      </w:r>
      <w:r w:rsidR="00A1180E" w:rsidRPr="00861646">
        <w:rPr>
          <w:rFonts w:ascii="Times New Roman" w:hAnsi="Times New Roman" w:cs="Times New Roman"/>
          <w:sz w:val="28"/>
          <w:szCs w:val="28"/>
        </w:rPr>
        <w:t xml:space="preserve">spostato l’asse dell’attenzione, </w:t>
      </w:r>
      <w:r w:rsidR="000427EF" w:rsidRPr="00861646">
        <w:rPr>
          <w:rFonts w:ascii="Times New Roman" w:hAnsi="Times New Roman" w:cs="Times New Roman"/>
          <w:sz w:val="28"/>
          <w:szCs w:val="28"/>
        </w:rPr>
        <w:t xml:space="preserve">nel </w:t>
      </w:r>
      <w:r w:rsidR="003556B6" w:rsidRPr="00861646">
        <w:rPr>
          <w:rFonts w:ascii="Times New Roman" w:hAnsi="Times New Roman" w:cs="Times New Roman"/>
          <w:sz w:val="28"/>
          <w:szCs w:val="28"/>
        </w:rPr>
        <w:t xml:space="preserve">mai sopito </w:t>
      </w:r>
      <w:r w:rsidR="000427EF" w:rsidRPr="00861646">
        <w:rPr>
          <w:rFonts w:ascii="Times New Roman" w:hAnsi="Times New Roman" w:cs="Times New Roman"/>
          <w:sz w:val="28"/>
          <w:szCs w:val="28"/>
        </w:rPr>
        <w:t>dibattito sulla materia</w:t>
      </w:r>
      <w:r w:rsidR="00A1180E" w:rsidRPr="00861646">
        <w:rPr>
          <w:rFonts w:ascii="Times New Roman" w:hAnsi="Times New Roman" w:cs="Times New Roman"/>
          <w:sz w:val="28"/>
          <w:szCs w:val="28"/>
        </w:rPr>
        <w:t xml:space="preserve">, sulle possibili modalità di tutela degli </w:t>
      </w:r>
      <w:r w:rsidR="003556B6" w:rsidRPr="00861646">
        <w:rPr>
          <w:rFonts w:ascii="Times New Roman" w:hAnsi="Times New Roman" w:cs="Times New Roman"/>
          <w:sz w:val="28"/>
          <w:szCs w:val="28"/>
        </w:rPr>
        <w:t>interessi de</w:t>
      </w:r>
      <w:r w:rsidR="00A1180E" w:rsidRPr="00861646">
        <w:rPr>
          <w:rFonts w:ascii="Times New Roman" w:hAnsi="Times New Roman" w:cs="Times New Roman"/>
          <w:sz w:val="28"/>
          <w:szCs w:val="28"/>
        </w:rPr>
        <w:t xml:space="preserve">gli attuali </w:t>
      </w:r>
      <w:r w:rsidR="003556B6" w:rsidRPr="00861646">
        <w:rPr>
          <w:rFonts w:ascii="Times New Roman" w:hAnsi="Times New Roman" w:cs="Times New Roman"/>
          <w:sz w:val="28"/>
          <w:szCs w:val="28"/>
        </w:rPr>
        <w:t>titolari</w:t>
      </w:r>
      <w:r w:rsidR="00A1180E" w:rsidRPr="00861646">
        <w:rPr>
          <w:rFonts w:ascii="Times New Roman" w:hAnsi="Times New Roman" w:cs="Times New Roman"/>
          <w:sz w:val="28"/>
          <w:szCs w:val="28"/>
        </w:rPr>
        <w:t xml:space="preserve">. Si è fatta strada, cioè, un’idea di salvaguardia dell’affidamento riposto dagli stessi nella continuità della propria attività imprenditoriale, paradossalmente </w:t>
      </w:r>
      <w:r w:rsidR="00AF5E65" w:rsidRPr="00861646">
        <w:rPr>
          <w:rFonts w:ascii="Times New Roman" w:hAnsi="Times New Roman" w:cs="Times New Roman"/>
          <w:sz w:val="28"/>
          <w:szCs w:val="28"/>
        </w:rPr>
        <w:t xml:space="preserve">ingenerato </w:t>
      </w:r>
      <w:r w:rsidR="00A1180E" w:rsidRPr="00861646">
        <w:rPr>
          <w:rFonts w:ascii="Times New Roman" w:hAnsi="Times New Roman" w:cs="Times New Roman"/>
          <w:sz w:val="28"/>
          <w:szCs w:val="28"/>
        </w:rPr>
        <w:t xml:space="preserve">proprio </w:t>
      </w:r>
      <w:r w:rsidR="00AF5E65" w:rsidRPr="00861646">
        <w:rPr>
          <w:rFonts w:ascii="Times New Roman" w:hAnsi="Times New Roman" w:cs="Times New Roman"/>
          <w:sz w:val="28"/>
          <w:szCs w:val="28"/>
        </w:rPr>
        <w:t xml:space="preserve">dalle </w:t>
      </w:r>
      <w:r w:rsidR="00A1180E" w:rsidRPr="00861646">
        <w:rPr>
          <w:rFonts w:ascii="Times New Roman" w:hAnsi="Times New Roman" w:cs="Times New Roman"/>
          <w:sz w:val="28"/>
          <w:szCs w:val="28"/>
        </w:rPr>
        <w:t>reiterate scelte d</w:t>
      </w:r>
      <w:r w:rsidR="00AF5E65" w:rsidRPr="00861646">
        <w:rPr>
          <w:rFonts w:ascii="Times New Roman" w:hAnsi="Times New Roman" w:cs="Times New Roman"/>
          <w:sz w:val="28"/>
          <w:szCs w:val="28"/>
        </w:rPr>
        <w:t xml:space="preserve">el legislatore. </w:t>
      </w:r>
      <w:r w:rsidR="00A1180E" w:rsidRPr="00861646">
        <w:rPr>
          <w:rFonts w:ascii="Times New Roman" w:hAnsi="Times New Roman" w:cs="Times New Roman"/>
          <w:sz w:val="28"/>
          <w:szCs w:val="28"/>
        </w:rPr>
        <w:t>V</w:t>
      </w:r>
      <w:r w:rsidR="00AF5E65" w:rsidRPr="00861646">
        <w:rPr>
          <w:rFonts w:ascii="Times New Roman" w:hAnsi="Times New Roman" w:cs="Times New Roman"/>
          <w:sz w:val="28"/>
          <w:szCs w:val="28"/>
        </w:rPr>
        <w:t xml:space="preserve">ero è che </w:t>
      </w:r>
      <w:r w:rsidR="00E96B88" w:rsidRPr="00861646">
        <w:rPr>
          <w:rFonts w:ascii="Times New Roman" w:hAnsi="Times New Roman" w:cs="Times New Roman"/>
          <w:sz w:val="28"/>
          <w:szCs w:val="28"/>
        </w:rPr>
        <w:t xml:space="preserve">in un ambito connotato da </w:t>
      </w:r>
      <w:r w:rsidR="00A1180E" w:rsidRPr="00861646">
        <w:rPr>
          <w:rFonts w:ascii="Times New Roman" w:hAnsi="Times New Roman" w:cs="Times New Roman"/>
          <w:sz w:val="28"/>
          <w:szCs w:val="28"/>
        </w:rPr>
        <w:t>innegabile peculiarità gestion</w:t>
      </w:r>
      <w:r w:rsidR="00E96B88" w:rsidRPr="00861646">
        <w:rPr>
          <w:rFonts w:ascii="Times New Roman" w:hAnsi="Times New Roman" w:cs="Times New Roman"/>
          <w:sz w:val="28"/>
          <w:szCs w:val="28"/>
        </w:rPr>
        <w:t xml:space="preserve">ale, </w:t>
      </w:r>
      <w:r w:rsidR="00A1180E" w:rsidRPr="00861646">
        <w:rPr>
          <w:rFonts w:ascii="Times New Roman" w:hAnsi="Times New Roman" w:cs="Times New Roman"/>
          <w:sz w:val="28"/>
          <w:szCs w:val="28"/>
        </w:rPr>
        <w:t xml:space="preserve">che vanta </w:t>
      </w:r>
      <w:r w:rsidR="00E96B88" w:rsidRPr="00861646">
        <w:rPr>
          <w:rFonts w:ascii="Times New Roman" w:hAnsi="Times New Roman" w:cs="Times New Roman"/>
          <w:sz w:val="28"/>
          <w:szCs w:val="28"/>
        </w:rPr>
        <w:t xml:space="preserve">servizi </w:t>
      </w:r>
      <w:r w:rsidR="00A1180E" w:rsidRPr="00861646">
        <w:rPr>
          <w:rFonts w:ascii="Times New Roman" w:hAnsi="Times New Roman" w:cs="Times New Roman"/>
          <w:sz w:val="28"/>
          <w:szCs w:val="28"/>
        </w:rPr>
        <w:t>di eccellenza</w:t>
      </w:r>
      <w:r w:rsidR="00E96B88" w:rsidRPr="00861646">
        <w:rPr>
          <w:rFonts w:ascii="Times New Roman" w:hAnsi="Times New Roman" w:cs="Times New Roman"/>
          <w:sz w:val="28"/>
          <w:szCs w:val="28"/>
        </w:rPr>
        <w:t xml:space="preserve">, l’interesse pubblico alla massimizzazione della reddittività, imposto dalla legislazione di contabilità pubblica per i contratti attivi – </w:t>
      </w:r>
      <w:r w:rsidR="00AF5E65" w:rsidRPr="00861646">
        <w:rPr>
          <w:rFonts w:ascii="Times New Roman" w:hAnsi="Times New Roman" w:cs="Times New Roman"/>
          <w:sz w:val="28"/>
          <w:szCs w:val="28"/>
        </w:rPr>
        <w:t>e</w:t>
      </w:r>
      <w:r w:rsidR="00E96B88" w:rsidRPr="00861646">
        <w:rPr>
          <w:rFonts w:ascii="Times New Roman" w:hAnsi="Times New Roman" w:cs="Times New Roman"/>
          <w:sz w:val="28"/>
          <w:szCs w:val="28"/>
        </w:rPr>
        <w:t xml:space="preserve"> scarsamente valorizzato, come in plurime occasioni </w:t>
      </w:r>
      <w:r w:rsidR="00AF5E65" w:rsidRPr="00861646">
        <w:rPr>
          <w:rFonts w:ascii="Times New Roman" w:hAnsi="Times New Roman" w:cs="Times New Roman"/>
          <w:sz w:val="28"/>
          <w:szCs w:val="28"/>
        </w:rPr>
        <w:t xml:space="preserve">fatto rilevare </w:t>
      </w:r>
      <w:r w:rsidR="00E96B88" w:rsidRPr="00861646">
        <w:rPr>
          <w:rFonts w:ascii="Times New Roman" w:hAnsi="Times New Roman" w:cs="Times New Roman"/>
          <w:sz w:val="28"/>
          <w:szCs w:val="28"/>
        </w:rPr>
        <w:t xml:space="preserve">dalla Corte dei conti – ne interseca di altri, </w:t>
      </w:r>
      <w:r w:rsidR="00AF5E65" w:rsidRPr="00861646">
        <w:rPr>
          <w:rFonts w:ascii="Times New Roman" w:hAnsi="Times New Roman" w:cs="Times New Roman"/>
          <w:sz w:val="28"/>
          <w:szCs w:val="28"/>
        </w:rPr>
        <w:t xml:space="preserve">meno palpabili in termini monetari, ma non per questo di minor rilevanza. </w:t>
      </w:r>
      <w:r w:rsidR="00E96B88" w:rsidRPr="00861646">
        <w:rPr>
          <w:rFonts w:ascii="Times New Roman" w:hAnsi="Times New Roman" w:cs="Times New Roman"/>
          <w:sz w:val="28"/>
          <w:szCs w:val="28"/>
        </w:rPr>
        <w:t>Si pensi alla</w:t>
      </w:r>
      <w:r w:rsidR="003556B6" w:rsidRPr="00861646">
        <w:rPr>
          <w:rFonts w:ascii="Times New Roman" w:hAnsi="Times New Roman" w:cs="Times New Roman"/>
          <w:sz w:val="28"/>
          <w:szCs w:val="28"/>
        </w:rPr>
        <w:t xml:space="preserve"> tutela del lavoro, </w:t>
      </w:r>
      <w:r w:rsidR="00E96B88" w:rsidRPr="00861646">
        <w:rPr>
          <w:rFonts w:ascii="Times New Roman" w:hAnsi="Times New Roman" w:cs="Times New Roman"/>
          <w:sz w:val="28"/>
          <w:szCs w:val="28"/>
        </w:rPr>
        <w:t>a</w:t>
      </w:r>
      <w:r w:rsidR="003556B6" w:rsidRPr="00861646">
        <w:rPr>
          <w:rFonts w:ascii="Times New Roman" w:hAnsi="Times New Roman" w:cs="Times New Roman"/>
          <w:sz w:val="28"/>
          <w:szCs w:val="28"/>
        </w:rPr>
        <w:t xml:space="preserve">lla </w:t>
      </w:r>
      <w:r w:rsidR="00952994" w:rsidRPr="00861646">
        <w:rPr>
          <w:rFonts w:ascii="Times New Roman" w:hAnsi="Times New Roman" w:cs="Times New Roman"/>
          <w:sz w:val="28"/>
          <w:szCs w:val="28"/>
        </w:rPr>
        <w:t xml:space="preserve">conservazione e diffusione </w:t>
      </w:r>
      <w:r w:rsidR="003556B6" w:rsidRPr="00861646">
        <w:rPr>
          <w:rFonts w:ascii="Times New Roman" w:hAnsi="Times New Roman" w:cs="Times New Roman"/>
          <w:sz w:val="28"/>
          <w:szCs w:val="28"/>
        </w:rPr>
        <w:t>d</w:t>
      </w:r>
      <w:r w:rsidR="00AF5E65" w:rsidRPr="00861646">
        <w:rPr>
          <w:rFonts w:ascii="Times New Roman" w:hAnsi="Times New Roman" w:cs="Times New Roman"/>
          <w:sz w:val="28"/>
          <w:szCs w:val="28"/>
        </w:rPr>
        <w:t xml:space="preserve">elle tradizioni locali, </w:t>
      </w:r>
      <w:r w:rsidR="00E96B88" w:rsidRPr="00861646">
        <w:rPr>
          <w:rFonts w:ascii="Times New Roman" w:hAnsi="Times New Roman" w:cs="Times New Roman"/>
          <w:sz w:val="28"/>
          <w:szCs w:val="28"/>
        </w:rPr>
        <w:t xml:space="preserve">alla salvaguardia </w:t>
      </w:r>
      <w:r w:rsidR="003556B6" w:rsidRPr="00861646">
        <w:rPr>
          <w:rFonts w:ascii="Times New Roman" w:hAnsi="Times New Roman" w:cs="Times New Roman"/>
          <w:sz w:val="28"/>
          <w:szCs w:val="28"/>
        </w:rPr>
        <w:t>delle micro, piccole e medie imprese</w:t>
      </w:r>
      <w:r w:rsidR="00AD48F2">
        <w:rPr>
          <w:rStyle w:val="Rimandonotaapidipagina"/>
          <w:rFonts w:ascii="Times New Roman" w:hAnsi="Times New Roman" w:cs="Times New Roman"/>
          <w:sz w:val="28"/>
          <w:szCs w:val="28"/>
        </w:rPr>
        <w:footnoteReference w:id="1"/>
      </w:r>
      <w:r w:rsidR="003556B6" w:rsidRPr="00861646">
        <w:rPr>
          <w:rFonts w:ascii="Times New Roman" w:hAnsi="Times New Roman" w:cs="Times New Roman"/>
          <w:sz w:val="28"/>
          <w:szCs w:val="28"/>
        </w:rPr>
        <w:t xml:space="preserve">. </w:t>
      </w:r>
      <w:r w:rsidR="00E96B88" w:rsidRPr="00861646">
        <w:rPr>
          <w:rFonts w:ascii="Times New Roman" w:hAnsi="Times New Roman" w:cs="Times New Roman"/>
          <w:sz w:val="28"/>
          <w:szCs w:val="28"/>
        </w:rPr>
        <w:t xml:space="preserve">Il legislatore ha inteso individuare il punto di equilibrio tra tali contrapposte istanze </w:t>
      </w:r>
      <w:r w:rsidR="00240B43" w:rsidRPr="00861646">
        <w:rPr>
          <w:rFonts w:ascii="Times New Roman" w:hAnsi="Times New Roman" w:cs="Times New Roman"/>
          <w:sz w:val="28"/>
          <w:szCs w:val="28"/>
        </w:rPr>
        <w:t xml:space="preserve">nella previsione di un “ristoro” a vantaggio del concessionario </w:t>
      </w:r>
      <w:r w:rsidR="00661F03" w:rsidRPr="00861646">
        <w:rPr>
          <w:rFonts w:ascii="Times New Roman" w:hAnsi="Times New Roman" w:cs="Times New Roman"/>
          <w:sz w:val="28"/>
          <w:szCs w:val="28"/>
        </w:rPr>
        <w:t>uscente</w:t>
      </w:r>
      <w:r w:rsidR="00240B43" w:rsidRPr="00861646">
        <w:rPr>
          <w:rFonts w:ascii="Times New Roman" w:hAnsi="Times New Roman" w:cs="Times New Roman"/>
          <w:sz w:val="28"/>
          <w:szCs w:val="28"/>
        </w:rPr>
        <w:t>, che lo tenga in qualche modo indenne degli introiti mancati d</w:t>
      </w:r>
      <w:r w:rsidR="00952994" w:rsidRPr="00861646">
        <w:rPr>
          <w:rFonts w:ascii="Times New Roman" w:hAnsi="Times New Roman" w:cs="Times New Roman"/>
          <w:sz w:val="28"/>
          <w:szCs w:val="28"/>
        </w:rPr>
        <w:t>a</w:t>
      </w:r>
      <w:r w:rsidR="00240B43" w:rsidRPr="00861646">
        <w:rPr>
          <w:rFonts w:ascii="Times New Roman" w:hAnsi="Times New Roman" w:cs="Times New Roman"/>
          <w:sz w:val="28"/>
          <w:szCs w:val="28"/>
        </w:rPr>
        <w:t xml:space="preserve">lla futura gestione, </w:t>
      </w:r>
      <w:r w:rsidR="00661F03" w:rsidRPr="00861646">
        <w:rPr>
          <w:rFonts w:ascii="Times New Roman" w:hAnsi="Times New Roman" w:cs="Times New Roman"/>
          <w:sz w:val="28"/>
          <w:szCs w:val="28"/>
        </w:rPr>
        <w:t xml:space="preserve">alla luce </w:t>
      </w:r>
      <w:r w:rsidR="00240B43" w:rsidRPr="00861646">
        <w:rPr>
          <w:rFonts w:ascii="Times New Roman" w:hAnsi="Times New Roman" w:cs="Times New Roman"/>
          <w:sz w:val="28"/>
          <w:szCs w:val="28"/>
        </w:rPr>
        <w:t>degli investimenti, anche strutturali, effettuati con</w:t>
      </w:r>
      <w:r w:rsidR="00661F03" w:rsidRPr="00861646">
        <w:rPr>
          <w:rFonts w:ascii="Times New Roman" w:hAnsi="Times New Roman" w:cs="Times New Roman"/>
          <w:sz w:val="28"/>
          <w:szCs w:val="28"/>
        </w:rPr>
        <w:t>fidando nella stessa</w:t>
      </w:r>
      <w:r w:rsidR="00240B43" w:rsidRPr="00861646">
        <w:rPr>
          <w:rFonts w:ascii="Times New Roman" w:hAnsi="Times New Roman" w:cs="Times New Roman"/>
          <w:sz w:val="28"/>
          <w:szCs w:val="28"/>
        </w:rPr>
        <w:t xml:space="preserve">. E collocandosi sulla scia di talune leggi regionali, ha inteso gravare di tale “ristoro” non l’amministrazione </w:t>
      </w:r>
      <w:r w:rsidR="00240B43" w:rsidRPr="00861646">
        <w:rPr>
          <w:rFonts w:ascii="Times New Roman" w:hAnsi="Times New Roman" w:cs="Times New Roman"/>
          <w:sz w:val="28"/>
          <w:szCs w:val="28"/>
        </w:rPr>
        <w:lastRenderedPageBreak/>
        <w:t>concedente, ma il beneficiario della (nuova</w:t>
      </w:r>
      <w:r w:rsidR="00661F03" w:rsidRPr="00861646">
        <w:rPr>
          <w:rFonts w:ascii="Times New Roman" w:hAnsi="Times New Roman" w:cs="Times New Roman"/>
          <w:sz w:val="28"/>
          <w:szCs w:val="28"/>
        </w:rPr>
        <w:t>)</w:t>
      </w:r>
      <w:r w:rsidR="00240B43" w:rsidRPr="00861646">
        <w:rPr>
          <w:rFonts w:ascii="Times New Roman" w:hAnsi="Times New Roman" w:cs="Times New Roman"/>
          <w:sz w:val="28"/>
          <w:szCs w:val="28"/>
        </w:rPr>
        <w:t xml:space="preserve"> concessione. </w:t>
      </w:r>
      <w:r w:rsidR="00661F03" w:rsidRPr="00861646">
        <w:rPr>
          <w:rFonts w:ascii="Times New Roman" w:hAnsi="Times New Roman" w:cs="Times New Roman"/>
          <w:sz w:val="28"/>
          <w:szCs w:val="28"/>
        </w:rPr>
        <w:t xml:space="preserve">La scelta rischia di </w:t>
      </w:r>
      <w:r w:rsidR="00A35D6A" w:rsidRPr="00861646">
        <w:rPr>
          <w:rFonts w:ascii="Times New Roman" w:hAnsi="Times New Roman" w:cs="Times New Roman"/>
          <w:sz w:val="28"/>
          <w:szCs w:val="28"/>
        </w:rPr>
        <w:t xml:space="preserve">scivolare </w:t>
      </w:r>
      <w:r w:rsidR="00240B43" w:rsidRPr="00861646">
        <w:rPr>
          <w:rFonts w:ascii="Times New Roman" w:hAnsi="Times New Roman" w:cs="Times New Roman"/>
          <w:sz w:val="28"/>
          <w:szCs w:val="28"/>
        </w:rPr>
        <w:t xml:space="preserve">nuovamente sul terreno del potenziale </w:t>
      </w:r>
      <w:r w:rsidR="00A35D6A" w:rsidRPr="00861646">
        <w:rPr>
          <w:rFonts w:ascii="Times New Roman" w:hAnsi="Times New Roman" w:cs="Times New Roman"/>
          <w:sz w:val="28"/>
          <w:szCs w:val="28"/>
        </w:rPr>
        <w:t xml:space="preserve">contrasto col diritto </w:t>
      </w:r>
      <w:proofErr w:type="spellStart"/>
      <w:r w:rsidR="00A35D6A" w:rsidRPr="00861646">
        <w:rPr>
          <w:rFonts w:ascii="Times New Roman" w:hAnsi="Times New Roman" w:cs="Times New Roman"/>
          <w:sz w:val="28"/>
          <w:szCs w:val="28"/>
        </w:rPr>
        <w:t>unionale</w:t>
      </w:r>
      <w:proofErr w:type="spellEnd"/>
      <w:r w:rsidR="00A35D6A" w:rsidRPr="00861646">
        <w:rPr>
          <w:rFonts w:ascii="Times New Roman" w:hAnsi="Times New Roman" w:cs="Times New Roman"/>
          <w:sz w:val="28"/>
          <w:szCs w:val="28"/>
        </w:rPr>
        <w:t xml:space="preserve">, e segnatamente con l’art. 12 della c.d. direttiva </w:t>
      </w:r>
      <w:r w:rsidR="00A35D6A" w:rsidRPr="00861646">
        <w:rPr>
          <w:rFonts w:ascii="Times New Roman" w:hAnsi="Times New Roman" w:cs="Times New Roman"/>
          <w:i/>
          <w:iCs/>
          <w:sz w:val="28"/>
          <w:szCs w:val="28"/>
        </w:rPr>
        <w:t>Bolkestein</w:t>
      </w:r>
      <w:r w:rsidR="00A35D6A" w:rsidRPr="00861646">
        <w:rPr>
          <w:rFonts w:ascii="Times New Roman" w:hAnsi="Times New Roman" w:cs="Times New Roman"/>
          <w:sz w:val="28"/>
          <w:szCs w:val="28"/>
        </w:rPr>
        <w:t xml:space="preserve">, potendo risolversi in un </w:t>
      </w:r>
      <w:r w:rsidR="00240B43" w:rsidRPr="00861646">
        <w:rPr>
          <w:rFonts w:ascii="Times New Roman" w:hAnsi="Times New Roman" w:cs="Times New Roman"/>
          <w:sz w:val="28"/>
          <w:szCs w:val="28"/>
        </w:rPr>
        <w:t>vantaggio</w:t>
      </w:r>
      <w:r w:rsidR="00A35D6A" w:rsidRPr="00861646">
        <w:rPr>
          <w:rFonts w:ascii="Times New Roman" w:hAnsi="Times New Roman" w:cs="Times New Roman"/>
          <w:sz w:val="28"/>
          <w:szCs w:val="28"/>
        </w:rPr>
        <w:t xml:space="preserve"> per il </w:t>
      </w:r>
      <w:r w:rsidR="00240B43" w:rsidRPr="00861646">
        <w:rPr>
          <w:rFonts w:ascii="Times New Roman" w:hAnsi="Times New Roman" w:cs="Times New Roman"/>
          <w:sz w:val="28"/>
          <w:szCs w:val="28"/>
        </w:rPr>
        <w:t xml:space="preserve">concessionario uscente rispetto agli altri </w:t>
      </w:r>
      <w:proofErr w:type="spellStart"/>
      <w:r w:rsidR="00240B43" w:rsidRPr="00861646">
        <w:rPr>
          <w:rFonts w:ascii="Times New Roman" w:hAnsi="Times New Roman" w:cs="Times New Roman"/>
          <w:i/>
          <w:iCs/>
          <w:sz w:val="28"/>
          <w:szCs w:val="28"/>
        </w:rPr>
        <w:t>competitores</w:t>
      </w:r>
      <w:proofErr w:type="spellEnd"/>
      <w:r w:rsidR="00A35D6A" w:rsidRPr="00861646">
        <w:rPr>
          <w:rFonts w:ascii="Times New Roman" w:hAnsi="Times New Roman" w:cs="Times New Roman"/>
          <w:i/>
          <w:iCs/>
          <w:sz w:val="28"/>
          <w:szCs w:val="28"/>
        </w:rPr>
        <w:t xml:space="preserve">. </w:t>
      </w:r>
      <w:r w:rsidR="00A35D6A" w:rsidRPr="00861646">
        <w:rPr>
          <w:rFonts w:ascii="Times New Roman" w:hAnsi="Times New Roman" w:cs="Times New Roman"/>
          <w:sz w:val="28"/>
          <w:szCs w:val="28"/>
        </w:rPr>
        <w:t>È evidente</w:t>
      </w:r>
      <w:r w:rsidR="00240B43" w:rsidRPr="00861646">
        <w:rPr>
          <w:rFonts w:ascii="Times New Roman" w:hAnsi="Times New Roman" w:cs="Times New Roman"/>
          <w:sz w:val="28"/>
          <w:szCs w:val="28"/>
        </w:rPr>
        <w:t xml:space="preserve">, infatti, </w:t>
      </w:r>
      <w:r w:rsidR="00A35D6A" w:rsidRPr="00861646">
        <w:rPr>
          <w:rFonts w:ascii="Times New Roman" w:hAnsi="Times New Roman" w:cs="Times New Roman"/>
          <w:sz w:val="28"/>
          <w:szCs w:val="28"/>
        </w:rPr>
        <w:t xml:space="preserve">che in termini generali e astratti </w:t>
      </w:r>
      <w:r w:rsidR="00240B43" w:rsidRPr="00861646">
        <w:rPr>
          <w:rFonts w:ascii="Times New Roman" w:hAnsi="Times New Roman" w:cs="Times New Roman"/>
          <w:sz w:val="28"/>
          <w:szCs w:val="28"/>
        </w:rPr>
        <w:t xml:space="preserve">non sussistono preclusioni al riconoscimento di </w:t>
      </w:r>
      <w:r w:rsidR="00C80001" w:rsidRPr="00861646">
        <w:rPr>
          <w:rFonts w:ascii="Times New Roman" w:hAnsi="Times New Roman" w:cs="Times New Roman"/>
          <w:sz w:val="28"/>
          <w:szCs w:val="28"/>
        </w:rPr>
        <w:t xml:space="preserve">una qualche forma di </w:t>
      </w:r>
      <w:r w:rsidR="00240B43" w:rsidRPr="00861646">
        <w:rPr>
          <w:rFonts w:ascii="Times New Roman" w:hAnsi="Times New Roman" w:cs="Times New Roman"/>
          <w:sz w:val="28"/>
          <w:szCs w:val="28"/>
        </w:rPr>
        <w:t xml:space="preserve">ristoro. </w:t>
      </w:r>
      <w:r w:rsidR="00A35D6A" w:rsidRPr="00861646">
        <w:rPr>
          <w:rFonts w:ascii="Times New Roman" w:hAnsi="Times New Roman" w:cs="Times New Roman"/>
          <w:sz w:val="28"/>
          <w:szCs w:val="28"/>
        </w:rPr>
        <w:t>E tuttavia assume rilievo l</w:t>
      </w:r>
      <w:r w:rsidR="00240B43" w:rsidRPr="00861646">
        <w:rPr>
          <w:rFonts w:ascii="Times New Roman" w:hAnsi="Times New Roman" w:cs="Times New Roman"/>
          <w:sz w:val="28"/>
          <w:szCs w:val="28"/>
        </w:rPr>
        <w:t>a modalità del relativo calcolo</w:t>
      </w:r>
      <w:r w:rsidR="00A35D6A" w:rsidRPr="00861646">
        <w:rPr>
          <w:rFonts w:ascii="Times New Roman" w:hAnsi="Times New Roman" w:cs="Times New Roman"/>
          <w:sz w:val="28"/>
          <w:szCs w:val="28"/>
        </w:rPr>
        <w:t xml:space="preserve">, </w:t>
      </w:r>
      <w:r w:rsidR="00240B43" w:rsidRPr="00861646">
        <w:rPr>
          <w:rFonts w:ascii="Times New Roman" w:hAnsi="Times New Roman" w:cs="Times New Roman"/>
          <w:sz w:val="28"/>
          <w:szCs w:val="28"/>
        </w:rPr>
        <w:t>e quindi la sua capacità di incidere</w:t>
      </w:r>
      <w:r w:rsidR="00A35D6A" w:rsidRPr="00861646">
        <w:rPr>
          <w:rFonts w:ascii="Times New Roman" w:hAnsi="Times New Roman" w:cs="Times New Roman"/>
          <w:sz w:val="28"/>
          <w:szCs w:val="28"/>
        </w:rPr>
        <w:t xml:space="preserve">, anche </w:t>
      </w:r>
      <w:r w:rsidR="00240B43" w:rsidRPr="00861646">
        <w:rPr>
          <w:rFonts w:ascii="Times New Roman" w:hAnsi="Times New Roman" w:cs="Times New Roman"/>
          <w:sz w:val="28"/>
          <w:szCs w:val="28"/>
        </w:rPr>
        <w:t>pesantemente</w:t>
      </w:r>
      <w:r w:rsidR="00A35D6A" w:rsidRPr="00861646">
        <w:rPr>
          <w:rFonts w:ascii="Times New Roman" w:hAnsi="Times New Roman" w:cs="Times New Roman"/>
          <w:sz w:val="28"/>
          <w:szCs w:val="28"/>
        </w:rPr>
        <w:t>,</w:t>
      </w:r>
      <w:r w:rsidR="00240B43" w:rsidRPr="00861646">
        <w:rPr>
          <w:rFonts w:ascii="Times New Roman" w:hAnsi="Times New Roman" w:cs="Times New Roman"/>
          <w:sz w:val="28"/>
          <w:szCs w:val="28"/>
        </w:rPr>
        <w:t xml:space="preserve"> sulla </w:t>
      </w:r>
      <w:r w:rsidR="00A35D6A" w:rsidRPr="00861646">
        <w:rPr>
          <w:rFonts w:ascii="Times New Roman" w:hAnsi="Times New Roman" w:cs="Times New Roman"/>
          <w:sz w:val="28"/>
          <w:szCs w:val="28"/>
        </w:rPr>
        <w:t xml:space="preserve">capacità di </w:t>
      </w:r>
      <w:r w:rsidR="00240B43" w:rsidRPr="00861646">
        <w:rPr>
          <w:rFonts w:ascii="Times New Roman" w:hAnsi="Times New Roman" w:cs="Times New Roman"/>
          <w:sz w:val="28"/>
          <w:szCs w:val="28"/>
        </w:rPr>
        <w:t xml:space="preserve">offerta </w:t>
      </w:r>
      <w:r w:rsidR="00A35D6A" w:rsidRPr="00861646">
        <w:rPr>
          <w:rFonts w:ascii="Times New Roman" w:hAnsi="Times New Roman" w:cs="Times New Roman"/>
          <w:sz w:val="28"/>
          <w:szCs w:val="28"/>
        </w:rPr>
        <w:t xml:space="preserve">competitiva da parte del terzo, ovvero </w:t>
      </w:r>
      <w:r w:rsidR="00952994" w:rsidRPr="00861646">
        <w:rPr>
          <w:rFonts w:ascii="Times New Roman" w:hAnsi="Times New Roman" w:cs="Times New Roman"/>
          <w:sz w:val="28"/>
          <w:szCs w:val="28"/>
        </w:rPr>
        <w:t xml:space="preserve">di ingenerare un </w:t>
      </w:r>
      <w:r w:rsidR="00A35D6A" w:rsidRPr="00861646">
        <w:rPr>
          <w:rFonts w:ascii="Times New Roman" w:hAnsi="Times New Roman" w:cs="Times New Roman"/>
          <w:sz w:val="28"/>
          <w:szCs w:val="28"/>
        </w:rPr>
        <w:t xml:space="preserve">effetto di deterrenza in ragione della rilevata insormontabile sperequazione </w:t>
      </w:r>
      <w:r w:rsidR="00240B43" w:rsidRPr="00861646">
        <w:rPr>
          <w:rFonts w:ascii="Times New Roman" w:hAnsi="Times New Roman" w:cs="Times New Roman"/>
          <w:sz w:val="28"/>
          <w:szCs w:val="28"/>
        </w:rPr>
        <w:t xml:space="preserve">a vantaggio del concessionario uscente. I parametri cui ancorare </w:t>
      </w:r>
      <w:r w:rsidR="00952994" w:rsidRPr="00861646">
        <w:rPr>
          <w:rFonts w:ascii="Times New Roman" w:hAnsi="Times New Roman" w:cs="Times New Roman"/>
          <w:sz w:val="28"/>
          <w:szCs w:val="28"/>
        </w:rPr>
        <w:t>il</w:t>
      </w:r>
      <w:r w:rsidR="00240B43" w:rsidRPr="00861646">
        <w:rPr>
          <w:rFonts w:ascii="Times New Roman" w:hAnsi="Times New Roman" w:cs="Times New Roman"/>
          <w:sz w:val="28"/>
          <w:szCs w:val="28"/>
        </w:rPr>
        <w:t xml:space="preserve"> calcolo, </w:t>
      </w:r>
      <w:r w:rsidR="00952994" w:rsidRPr="00861646">
        <w:rPr>
          <w:rFonts w:ascii="Times New Roman" w:hAnsi="Times New Roman" w:cs="Times New Roman"/>
          <w:sz w:val="28"/>
          <w:szCs w:val="28"/>
        </w:rPr>
        <w:t>poi</w:t>
      </w:r>
      <w:r w:rsidR="00240B43" w:rsidRPr="00861646">
        <w:rPr>
          <w:rFonts w:ascii="Times New Roman" w:hAnsi="Times New Roman" w:cs="Times New Roman"/>
          <w:sz w:val="28"/>
          <w:szCs w:val="28"/>
        </w:rPr>
        <w:t xml:space="preserve">, </w:t>
      </w:r>
      <w:r w:rsidR="00952994" w:rsidRPr="00861646">
        <w:rPr>
          <w:rFonts w:ascii="Times New Roman" w:hAnsi="Times New Roman" w:cs="Times New Roman"/>
          <w:sz w:val="28"/>
          <w:szCs w:val="28"/>
        </w:rPr>
        <w:t xml:space="preserve">in quanto riferibili evidentemente </w:t>
      </w:r>
      <w:r w:rsidR="00240B43" w:rsidRPr="00861646">
        <w:rPr>
          <w:rFonts w:ascii="Times New Roman" w:hAnsi="Times New Roman" w:cs="Times New Roman"/>
          <w:sz w:val="28"/>
          <w:szCs w:val="28"/>
        </w:rPr>
        <w:t>a</w:t>
      </w:r>
      <w:r w:rsidR="004905E0" w:rsidRPr="00861646">
        <w:rPr>
          <w:rFonts w:ascii="Times New Roman" w:hAnsi="Times New Roman" w:cs="Times New Roman"/>
          <w:sz w:val="28"/>
          <w:szCs w:val="28"/>
        </w:rPr>
        <w:t xml:space="preserve">gli </w:t>
      </w:r>
      <w:r w:rsidR="00240B43" w:rsidRPr="00861646">
        <w:rPr>
          <w:rFonts w:ascii="Times New Roman" w:hAnsi="Times New Roman" w:cs="Times New Roman"/>
          <w:sz w:val="28"/>
          <w:szCs w:val="28"/>
        </w:rPr>
        <w:t>investimenti effettuati, e quindi in primo luogo alle strutture e infrastrutture realizzate per consentire, ovvero migliorare</w:t>
      </w:r>
      <w:r w:rsidR="004905E0" w:rsidRPr="00861646">
        <w:rPr>
          <w:rFonts w:ascii="Times New Roman" w:hAnsi="Times New Roman" w:cs="Times New Roman"/>
          <w:sz w:val="28"/>
          <w:szCs w:val="28"/>
        </w:rPr>
        <w:t>,</w:t>
      </w:r>
      <w:r w:rsidR="00240B43" w:rsidRPr="00861646">
        <w:rPr>
          <w:rFonts w:ascii="Times New Roman" w:hAnsi="Times New Roman" w:cs="Times New Roman"/>
          <w:sz w:val="28"/>
          <w:szCs w:val="28"/>
        </w:rPr>
        <w:t xml:space="preserve"> il servizio offerto</w:t>
      </w:r>
      <w:r w:rsidR="00952994" w:rsidRPr="00861646">
        <w:rPr>
          <w:rFonts w:ascii="Times New Roman" w:hAnsi="Times New Roman" w:cs="Times New Roman"/>
          <w:sz w:val="28"/>
          <w:szCs w:val="28"/>
        </w:rPr>
        <w:t xml:space="preserve">, pongono una serie di problematiche aggiuntive in quanto </w:t>
      </w:r>
      <w:r w:rsidR="004905E0" w:rsidRPr="00861646">
        <w:rPr>
          <w:rFonts w:ascii="Times New Roman" w:hAnsi="Times New Roman" w:cs="Times New Roman"/>
          <w:sz w:val="28"/>
          <w:szCs w:val="28"/>
        </w:rPr>
        <w:t>interseca</w:t>
      </w:r>
      <w:r w:rsidR="00952994" w:rsidRPr="00861646">
        <w:rPr>
          <w:rFonts w:ascii="Times New Roman" w:hAnsi="Times New Roman" w:cs="Times New Roman"/>
          <w:sz w:val="28"/>
          <w:szCs w:val="28"/>
        </w:rPr>
        <w:t>no</w:t>
      </w:r>
      <w:r w:rsidR="004905E0" w:rsidRPr="00861646">
        <w:rPr>
          <w:rFonts w:ascii="Times New Roman" w:hAnsi="Times New Roman" w:cs="Times New Roman"/>
          <w:sz w:val="28"/>
          <w:szCs w:val="28"/>
        </w:rPr>
        <w:t xml:space="preserve"> la distinzione, da sempre al centro dei dibattiti sulla materia, tra </w:t>
      </w:r>
      <w:r w:rsidR="00240B43" w:rsidRPr="00861646">
        <w:rPr>
          <w:rFonts w:ascii="Times New Roman" w:hAnsi="Times New Roman" w:cs="Times New Roman"/>
          <w:sz w:val="28"/>
          <w:szCs w:val="28"/>
        </w:rPr>
        <w:t xml:space="preserve">opere di facile </w:t>
      </w:r>
      <w:r w:rsidR="00952994" w:rsidRPr="00861646">
        <w:rPr>
          <w:rFonts w:ascii="Times New Roman" w:hAnsi="Times New Roman" w:cs="Times New Roman"/>
          <w:sz w:val="28"/>
          <w:szCs w:val="28"/>
        </w:rPr>
        <w:t>e</w:t>
      </w:r>
      <w:r w:rsidR="00240B43" w:rsidRPr="00861646">
        <w:rPr>
          <w:rFonts w:ascii="Times New Roman" w:hAnsi="Times New Roman" w:cs="Times New Roman"/>
          <w:sz w:val="28"/>
          <w:szCs w:val="28"/>
        </w:rPr>
        <w:t xml:space="preserve"> difficile rimozione</w:t>
      </w:r>
      <w:r w:rsidR="00952994" w:rsidRPr="00861646">
        <w:rPr>
          <w:rFonts w:ascii="Times New Roman" w:hAnsi="Times New Roman" w:cs="Times New Roman"/>
          <w:sz w:val="28"/>
          <w:szCs w:val="28"/>
        </w:rPr>
        <w:t xml:space="preserve">. Il loro incameramento, ove si tratti di beni di </w:t>
      </w:r>
      <w:r w:rsidR="004E0AA8" w:rsidRPr="00861646">
        <w:rPr>
          <w:rFonts w:ascii="Times New Roman" w:hAnsi="Times New Roman" w:cs="Times New Roman"/>
          <w:sz w:val="28"/>
          <w:szCs w:val="28"/>
        </w:rPr>
        <w:t xml:space="preserve">un certo </w:t>
      </w:r>
      <w:r w:rsidR="00952994" w:rsidRPr="00861646">
        <w:rPr>
          <w:rFonts w:ascii="Times New Roman" w:hAnsi="Times New Roman" w:cs="Times New Roman"/>
          <w:sz w:val="28"/>
          <w:szCs w:val="28"/>
        </w:rPr>
        <w:t xml:space="preserve">valore, può </w:t>
      </w:r>
      <w:r w:rsidR="00C80001" w:rsidRPr="00861646">
        <w:rPr>
          <w:rFonts w:ascii="Times New Roman" w:hAnsi="Times New Roman" w:cs="Times New Roman"/>
          <w:sz w:val="28"/>
          <w:szCs w:val="28"/>
        </w:rPr>
        <w:t xml:space="preserve">effettivamente </w:t>
      </w:r>
      <w:r w:rsidR="00952994" w:rsidRPr="00861646">
        <w:rPr>
          <w:rFonts w:ascii="Times New Roman" w:hAnsi="Times New Roman" w:cs="Times New Roman"/>
          <w:sz w:val="28"/>
          <w:szCs w:val="28"/>
        </w:rPr>
        <w:t xml:space="preserve">costituire per lo Stato </w:t>
      </w:r>
      <w:r w:rsidR="004905E0" w:rsidRPr="00861646">
        <w:rPr>
          <w:rFonts w:ascii="Times New Roman" w:hAnsi="Times New Roman" w:cs="Times New Roman"/>
          <w:sz w:val="28"/>
          <w:szCs w:val="28"/>
        </w:rPr>
        <w:t xml:space="preserve">un indebito arricchimento, </w:t>
      </w:r>
      <w:r w:rsidR="00952994" w:rsidRPr="00861646">
        <w:rPr>
          <w:rFonts w:ascii="Times New Roman" w:hAnsi="Times New Roman" w:cs="Times New Roman"/>
          <w:sz w:val="28"/>
          <w:szCs w:val="28"/>
        </w:rPr>
        <w:t xml:space="preserve">a maggior ragione ove si abbia a mente che la loro costruzione in tale consistenza, pur non prevista </w:t>
      </w:r>
      <w:r w:rsidR="00C80001" w:rsidRPr="00861646">
        <w:rPr>
          <w:rFonts w:ascii="Times New Roman" w:hAnsi="Times New Roman" w:cs="Times New Roman"/>
          <w:sz w:val="28"/>
          <w:szCs w:val="28"/>
        </w:rPr>
        <w:t xml:space="preserve">all’atto del rilascio della concessione, </w:t>
      </w:r>
      <w:r w:rsidR="00952994" w:rsidRPr="00861646">
        <w:rPr>
          <w:rFonts w:ascii="Times New Roman" w:hAnsi="Times New Roman" w:cs="Times New Roman"/>
          <w:sz w:val="28"/>
          <w:szCs w:val="28"/>
        </w:rPr>
        <w:t>deve aver conseguito il preventivo avallo dell’Amministrazione</w:t>
      </w:r>
      <w:r w:rsidR="009C5CF8" w:rsidRPr="00861646">
        <w:rPr>
          <w:rFonts w:ascii="Times New Roman" w:hAnsi="Times New Roman" w:cs="Times New Roman"/>
          <w:sz w:val="28"/>
          <w:szCs w:val="28"/>
        </w:rPr>
        <w:t xml:space="preserve"> competente per territorio</w:t>
      </w:r>
      <w:r w:rsidR="00952994" w:rsidRPr="00861646">
        <w:rPr>
          <w:rFonts w:ascii="Times New Roman" w:hAnsi="Times New Roman" w:cs="Times New Roman"/>
          <w:sz w:val="28"/>
          <w:szCs w:val="28"/>
        </w:rPr>
        <w:t xml:space="preserve">. </w:t>
      </w:r>
      <w:r w:rsidR="009C5CF8" w:rsidRPr="00861646">
        <w:rPr>
          <w:rFonts w:ascii="Times New Roman" w:hAnsi="Times New Roman" w:cs="Times New Roman"/>
          <w:sz w:val="28"/>
          <w:szCs w:val="28"/>
        </w:rPr>
        <w:t xml:space="preserve">Merita al riguardo ricordare da subito che le funzioni amministrative </w:t>
      </w:r>
      <w:r w:rsidR="00C80001" w:rsidRPr="00861646">
        <w:rPr>
          <w:rFonts w:ascii="Times New Roman" w:hAnsi="Times New Roman" w:cs="Times New Roman"/>
          <w:sz w:val="28"/>
          <w:szCs w:val="28"/>
        </w:rPr>
        <w:t xml:space="preserve">in materia di </w:t>
      </w:r>
      <w:r w:rsidR="009C5CF8" w:rsidRPr="00861646">
        <w:rPr>
          <w:rFonts w:ascii="Times New Roman" w:hAnsi="Times New Roman" w:cs="Times New Roman"/>
          <w:sz w:val="28"/>
          <w:szCs w:val="28"/>
        </w:rPr>
        <w:t>concessioni in uso di beni del demanio marittimo risultano conferite alle Regioni in virtù di quanto previsto dall’art. 105, comma 2, lettera l), del decreto legislativo 31 marzo 1998, n. 112 (Conferimento di funzioni e compiti amministrativi dello Stato alle regioni ed agli enti locali, in attuazione del capo I della legge 15 marzo 1997, n. 59). Esse sono esercitate tuttavia, almeno di regola, dai Comuni in forza dell’art. 42 del d. lgs. 30 marzo 1999, n. 96 (Intervento sostitutivo del Governo per la ripartizione di funzioni amministrative tra regioni ed enti locali a norma dell’art. 4, comma 5, della legge 15 marzo 1997, n. 59 e successive modificazioni). Rispetto agli stessi le Regioni mantengono poteri di indirizzo (con riferimento alle attività di impresa turistico-balneari, anche in ragione delle previsioni di cui al comma 6 dell’art. 11 della legge 15 novembre 2011, n. 217, recante «</w:t>
      </w:r>
      <w:r w:rsidR="009C5CF8" w:rsidRPr="00861646">
        <w:rPr>
          <w:rFonts w:ascii="Times New Roman" w:hAnsi="Times New Roman" w:cs="Times New Roman"/>
          <w:i/>
          <w:iCs/>
          <w:sz w:val="28"/>
          <w:szCs w:val="28"/>
        </w:rPr>
        <w:t>Disposizioni per l’adempimento di obblighi derivanti dall’appartenenza dell’Italia alle Comunità europee-legge comunitaria 2010</w:t>
      </w:r>
      <w:r w:rsidR="009C5CF8" w:rsidRPr="00861646">
        <w:rPr>
          <w:rFonts w:ascii="Times New Roman" w:hAnsi="Times New Roman" w:cs="Times New Roman"/>
          <w:sz w:val="28"/>
          <w:szCs w:val="28"/>
        </w:rPr>
        <w:t xml:space="preserve">»). Con il decreto legislativo 28 maggio 2010, n. 85 (Attribuzione a comuni, province, città metropolitane e regioni di un proprio patrimonio, in attuazione dell’articolo 19 della legge 5 maggio 2009, n. 42) anche la titolarità dei beni demaniali in questione è stata – </w:t>
      </w:r>
      <w:r w:rsidR="00C80001" w:rsidRPr="00861646">
        <w:rPr>
          <w:rFonts w:ascii="Times New Roman" w:hAnsi="Times New Roman" w:cs="Times New Roman"/>
          <w:sz w:val="28"/>
          <w:szCs w:val="28"/>
        </w:rPr>
        <w:t xml:space="preserve">solo </w:t>
      </w:r>
      <w:r w:rsidR="009C5CF8" w:rsidRPr="00861646">
        <w:rPr>
          <w:rFonts w:ascii="Times New Roman" w:hAnsi="Times New Roman" w:cs="Times New Roman"/>
          <w:sz w:val="28"/>
          <w:szCs w:val="28"/>
        </w:rPr>
        <w:t xml:space="preserve">sulla carta – devoluta alle </w:t>
      </w:r>
      <w:r w:rsidR="009C5CF8" w:rsidRPr="00861646">
        <w:rPr>
          <w:rFonts w:ascii="Times New Roman" w:hAnsi="Times New Roman" w:cs="Times New Roman"/>
          <w:sz w:val="28"/>
          <w:szCs w:val="28"/>
        </w:rPr>
        <w:lastRenderedPageBreak/>
        <w:t xml:space="preserve">Regioni (artt. 3, comma 1, lettera a) e 5, comma 1, lettera a). Il trasferimento è stato infatti condizionato all’emanazione di specifici decreti del Presidente del Consiglio dei ministri volti alla individuazione dei singoli beni e alla conseguente traslazione della relativa proprietà: decreti allo stato non adottati. Emerge così appieno la più grande criticità del federalismo demaniale in Italia, ovvero la divaricazione tra titolarità dei beni e competenze amministrative inerenti alla gestione degli stessi (sulla non appartenenza al demanio regionale dei beni del demanio marittimo, v. Corte cost., n. 22 del 2013). </w:t>
      </w:r>
      <w:r w:rsidR="00B043F2" w:rsidRPr="00861646">
        <w:rPr>
          <w:rFonts w:ascii="Times New Roman" w:hAnsi="Times New Roman" w:cs="Times New Roman"/>
          <w:sz w:val="28"/>
          <w:szCs w:val="28"/>
        </w:rPr>
        <w:t>La realizzazione di interventi su demanio marittimo</w:t>
      </w:r>
      <w:r w:rsidR="00C80001" w:rsidRPr="00861646">
        <w:rPr>
          <w:rFonts w:ascii="Times New Roman" w:hAnsi="Times New Roman" w:cs="Times New Roman"/>
          <w:sz w:val="28"/>
          <w:szCs w:val="28"/>
        </w:rPr>
        <w:t xml:space="preserve"> </w:t>
      </w:r>
      <w:r w:rsidR="00952994" w:rsidRPr="00861646">
        <w:rPr>
          <w:rFonts w:ascii="Times New Roman" w:hAnsi="Times New Roman" w:cs="Times New Roman"/>
          <w:sz w:val="28"/>
          <w:szCs w:val="28"/>
        </w:rPr>
        <w:t xml:space="preserve">deve – </w:t>
      </w:r>
      <w:proofErr w:type="spellStart"/>
      <w:r w:rsidR="00952994" w:rsidRPr="00861646">
        <w:rPr>
          <w:rFonts w:ascii="Times New Roman" w:hAnsi="Times New Roman" w:cs="Times New Roman"/>
          <w:i/>
          <w:iCs/>
          <w:sz w:val="28"/>
          <w:szCs w:val="28"/>
        </w:rPr>
        <w:t>recte</w:t>
      </w:r>
      <w:proofErr w:type="spellEnd"/>
      <w:r w:rsidR="00952994" w:rsidRPr="00861646">
        <w:rPr>
          <w:rFonts w:ascii="Times New Roman" w:hAnsi="Times New Roman" w:cs="Times New Roman"/>
          <w:sz w:val="28"/>
          <w:szCs w:val="28"/>
        </w:rPr>
        <w:t xml:space="preserve">, </w:t>
      </w:r>
      <w:r w:rsidR="00B043F2" w:rsidRPr="00861646">
        <w:rPr>
          <w:rFonts w:ascii="Times New Roman" w:hAnsi="Times New Roman" w:cs="Times New Roman"/>
          <w:sz w:val="28"/>
          <w:szCs w:val="28"/>
        </w:rPr>
        <w:t>avrebbe dovuto</w:t>
      </w:r>
      <w:r w:rsidR="00952994" w:rsidRPr="00861646">
        <w:rPr>
          <w:rFonts w:ascii="Times New Roman" w:hAnsi="Times New Roman" w:cs="Times New Roman"/>
          <w:sz w:val="28"/>
          <w:szCs w:val="28"/>
        </w:rPr>
        <w:t xml:space="preserve"> –</w:t>
      </w:r>
      <w:r w:rsidR="00B043F2" w:rsidRPr="00861646">
        <w:rPr>
          <w:rFonts w:ascii="Times New Roman" w:hAnsi="Times New Roman" w:cs="Times New Roman"/>
          <w:sz w:val="28"/>
          <w:szCs w:val="28"/>
        </w:rPr>
        <w:t xml:space="preserve"> confrontarsi, a monte, con le regole sulla edificabilità dei suoli, </w:t>
      </w:r>
      <w:r w:rsidR="00952994" w:rsidRPr="00861646">
        <w:rPr>
          <w:rFonts w:ascii="Times New Roman" w:hAnsi="Times New Roman" w:cs="Times New Roman"/>
          <w:sz w:val="28"/>
          <w:szCs w:val="28"/>
        </w:rPr>
        <w:t xml:space="preserve">in base alle </w:t>
      </w:r>
      <w:r w:rsidR="00B043F2" w:rsidRPr="00861646">
        <w:rPr>
          <w:rFonts w:ascii="Times New Roman" w:hAnsi="Times New Roman" w:cs="Times New Roman"/>
          <w:sz w:val="28"/>
          <w:szCs w:val="28"/>
        </w:rPr>
        <w:t xml:space="preserve">quali tutto ciò che “trasforma” in maniera permanente </w:t>
      </w:r>
      <w:r w:rsidR="00DB1E81" w:rsidRPr="00861646">
        <w:rPr>
          <w:rFonts w:ascii="Times New Roman" w:hAnsi="Times New Roman" w:cs="Times New Roman"/>
          <w:sz w:val="28"/>
          <w:szCs w:val="28"/>
        </w:rPr>
        <w:t xml:space="preserve">il suolo </w:t>
      </w:r>
      <w:r w:rsidR="00B043F2" w:rsidRPr="00861646">
        <w:rPr>
          <w:rFonts w:ascii="Times New Roman" w:hAnsi="Times New Roman" w:cs="Times New Roman"/>
          <w:sz w:val="28"/>
          <w:szCs w:val="28"/>
        </w:rPr>
        <w:t>è “nuova costruzione” e necessita del titolo maggiore</w:t>
      </w:r>
      <w:r w:rsidR="00DB1E81" w:rsidRPr="00861646">
        <w:rPr>
          <w:rFonts w:ascii="Times New Roman" w:hAnsi="Times New Roman" w:cs="Times New Roman"/>
          <w:sz w:val="28"/>
          <w:szCs w:val="28"/>
        </w:rPr>
        <w:t xml:space="preserve"> (vale a dire il permesso di costruire)</w:t>
      </w:r>
      <w:r w:rsidR="00B043F2" w:rsidRPr="00861646">
        <w:rPr>
          <w:rFonts w:ascii="Times New Roman" w:hAnsi="Times New Roman" w:cs="Times New Roman"/>
          <w:sz w:val="28"/>
          <w:szCs w:val="28"/>
        </w:rPr>
        <w:t xml:space="preserve">. </w:t>
      </w:r>
      <w:r w:rsidR="00DB1E81" w:rsidRPr="00861646">
        <w:rPr>
          <w:rFonts w:ascii="Times New Roman" w:hAnsi="Times New Roman" w:cs="Times New Roman"/>
          <w:sz w:val="28"/>
          <w:szCs w:val="28"/>
        </w:rPr>
        <w:t>Tale angolazione fa e</w:t>
      </w:r>
      <w:r w:rsidR="00B043F2" w:rsidRPr="00861646">
        <w:rPr>
          <w:rFonts w:ascii="Times New Roman" w:hAnsi="Times New Roman" w:cs="Times New Roman"/>
          <w:sz w:val="28"/>
          <w:szCs w:val="28"/>
        </w:rPr>
        <w:t>merg</w:t>
      </w:r>
      <w:r w:rsidR="00DB1E81" w:rsidRPr="00861646">
        <w:rPr>
          <w:rFonts w:ascii="Times New Roman" w:hAnsi="Times New Roman" w:cs="Times New Roman"/>
          <w:sz w:val="28"/>
          <w:szCs w:val="28"/>
        </w:rPr>
        <w:t xml:space="preserve">ere nella </w:t>
      </w:r>
      <w:r w:rsidR="00B043F2" w:rsidRPr="00861646">
        <w:rPr>
          <w:rFonts w:ascii="Times New Roman" w:hAnsi="Times New Roman" w:cs="Times New Roman"/>
          <w:sz w:val="28"/>
          <w:szCs w:val="28"/>
        </w:rPr>
        <w:t>realtà approcci diversi ai medesimi concetti giuridici</w:t>
      </w:r>
      <w:r w:rsidR="00DB1E81" w:rsidRPr="00861646">
        <w:rPr>
          <w:rFonts w:ascii="Times New Roman" w:hAnsi="Times New Roman" w:cs="Times New Roman"/>
          <w:sz w:val="28"/>
          <w:szCs w:val="28"/>
        </w:rPr>
        <w:t xml:space="preserve">, </w:t>
      </w:r>
      <w:r w:rsidR="00B043F2" w:rsidRPr="00861646">
        <w:rPr>
          <w:rFonts w:ascii="Times New Roman" w:hAnsi="Times New Roman" w:cs="Times New Roman"/>
          <w:sz w:val="28"/>
          <w:szCs w:val="28"/>
        </w:rPr>
        <w:t xml:space="preserve">ove riguardati </w:t>
      </w:r>
      <w:r w:rsidR="00DB1E81" w:rsidRPr="00861646">
        <w:rPr>
          <w:rFonts w:ascii="Times New Roman" w:hAnsi="Times New Roman" w:cs="Times New Roman"/>
          <w:sz w:val="28"/>
          <w:szCs w:val="28"/>
        </w:rPr>
        <w:t xml:space="preserve">cioè </w:t>
      </w:r>
      <w:r w:rsidR="00B043F2" w:rsidRPr="00861646">
        <w:rPr>
          <w:rFonts w:ascii="Times New Roman" w:hAnsi="Times New Roman" w:cs="Times New Roman"/>
          <w:sz w:val="28"/>
          <w:szCs w:val="28"/>
        </w:rPr>
        <w:t xml:space="preserve">dall’ottica del diritto edilizio, appunto, ovvero da quello del calcolo del canone o dell’incameramento del bene, mettendo in luce </w:t>
      </w:r>
      <w:r w:rsidR="0003644B" w:rsidRPr="00861646">
        <w:rPr>
          <w:rFonts w:ascii="Times New Roman" w:hAnsi="Times New Roman" w:cs="Times New Roman"/>
          <w:sz w:val="28"/>
          <w:szCs w:val="28"/>
        </w:rPr>
        <w:t xml:space="preserve">tutte le contraddizioni di un sistema che </w:t>
      </w:r>
      <w:r w:rsidR="00B043F2" w:rsidRPr="00861646">
        <w:rPr>
          <w:rFonts w:ascii="Times New Roman" w:hAnsi="Times New Roman" w:cs="Times New Roman"/>
          <w:sz w:val="28"/>
          <w:szCs w:val="28"/>
        </w:rPr>
        <w:t xml:space="preserve">non si è mai preoccupato </w:t>
      </w:r>
      <w:r w:rsidR="00054C14" w:rsidRPr="00861646">
        <w:rPr>
          <w:rFonts w:ascii="Times New Roman" w:hAnsi="Times New Roman" w:cs="Times New Roman"/>
          <w:sz w:val="28"/>
          <w:szCs w:val="28"/>
        </w:rPr>
        <w:t xml:space="preserve">neppure </w:t>
      </w:r>
      <w:r w:rsidR="00B043F2" w:rsidRPr="00861646">
        <w:rPr>
          <w:rFonts w:ascii="Times New Roman" w:hAnsi="Times New Roman" w:cs="Times New Roman"/>
          <w:sz w:val="28"/>
          <w:szCs w:val="28"/>
        </w:rPr>
        <w:t xml:space="preserve">di armonizzare </w:t>
      </w:r>
      <w:r w:rsidR="00054C14" w:rsidRPr="00861646">
        <w:rPr>
          <w:rFonts w:ascii="Times New Roman" w:hAnsi="Times New Roman" w:cs="Times New Roman"/>
          <w:sz w:val="28"/>
          <w:szCs w:val="28"/>
        </w:rPr>
        <w:t>il linguaggio</w:t>
      </w:r>
      <w:r w:rsidR="00DB1E81" w:rsidRPr="00861646">
        <w:rPr>
          <w:rFonts w:ascii="Times New Roman" w:hAnsi="Times New Roman" w:cs="Times New Roman"/>
          <w:sz w:val="28"/>
          <w:szCs w:val="28"/>
        </w:rPr>
        <w:t xml:space="preserve">. La circostanza che il regime demaniale </w:t>
      </w:r>
      <w:r w:rsidR="008E7E6E" w:rsidRPr="00861646">
        <w:rPr>
          <w:rFonts w:ascii="Times New Roman" w:hAnsi="Times New Roman" w:cs="Times New Roman"/>
          <w:sz w:val="28"/>
          <w:szCs w:val="28"/>
        </w:rPr>
        <w:t xml:space="preserve">abbia </w:t>
      </w:r>
      <w:r w:rsidR="0003644B" w:rsidRPr="00861646">
        <w:rPr>
          <w:rFonts w:ascii="Times New Roman" w:hAnsi="Times New Roman" w:cs="Times New Roman"/>
          <w:sz w:val="28"/>
          <w:szCs w:val="28"/>
        </w:rPr>
        <w:t xml:space="preserve">da sempre </w:t>
      </w:r>
      <w:r w:rsidR="00C80001" w:rsidRPr="00861646">
        <w:rPr>
          <w:rFonts w:ascii="Times New Roman" w:hAnsi="Times New Roman" w:cs="Times New Roman"/>
          <w:sz w:val="28"/>
          <w:szCs w:val="28"/>
        </w:rPr>
        <w:t xml:space="preserve">e in concreto </w:t>
      </w:r>
      <w:r w:rsidR="0003644B" w:rsidRPr="00861646">
        <w:rPr>
          <w:rFonts w:ascii="Times New Roman" w:hAnsi="Times New Roman" w:cs="Times New Roman"/>
          <w:sz w:val="28"/>
          <w:szCs w:val="28"/>
        </w:rPr>
        <w:t xml:space="preserve">viaggiato su un piano parallelo rispetto alle regole di diritto edilizio, </w:t>
      </w:r>
      <w:r w:rsidR="00DB1E81" w:rsidRPr="00861646">
        <w:rPr>
          <w:rFonts w:ascii="Times New Roman" w:hAnsi="Times New Roman" w:cs="Times New Roman"/>
          <w:sz w:val="28"/>
          <w:szCs w:val="28"/>
        </w:rPr>
        <w:t xml:space="preserve">finisce ora per portare tutti i nodi in passato insoluti e comunque accantonati, al pettine. È per </w:t>
      </w:r>
      <w:r w:rsidR="00C80001" w:rsidRPr="00861646">
        <w:rPr>
          <w:rFonts w:ascii="Times New Roman" w:hAnsi="Times New Roman" w:cs="Times New Roman"/>
          <w:sz w:val="28"/>
          <w:szCs w:val="28"/>
        </w:rPr>
        <w:t xml:space="preserve">dare una risposta a tali problematiche, </w:t>
      </w:r>
      <w:r w:rsidR="00DB1E81" w:rsidRPr="00861646">
        <w:rPr>
          <w:rFonts w:ascii="Times New Roman" w:hAnsi="Times New Roman" w:cs="Times New Roman"/>
          <w:sz w:val="28"/>
          <w:szCs w:val="28"/>
        </w:rPr>
        <w:t>dunque, che s</w:t>
      </w:r>
      <w:r w:rsidR="00C80001" w:rsidRPr="00861646">
        <w:rPr>
          <w:rFonts w:ascii="Times New Roman" w:hAnsi="Times New Roman" w:cs="Times New Roman"/>
          <w:sz w:val="28"/>
          <w:szCs w:val="28"/>
        </w:rPr>
        <w:t xml:space="preserve">i sono registrate </w:t>
      </w:r>
      <w:r w:rsidR="00054C14" w:rsidRPr="00861646">
        <w:rPr>
          <w:rFonts w:ascii="Times New Roman" w:hAnsi="Times New Roman" w:cs="Times New Roman"/>
          <w:sz w:val="28"/>
          <w:szCs w:val="28"/>
        </w:rPr>
        <w:t>fughe in avanti da parte della legislazione regionale</w:t>
      </w:r>
      <w:r w:rsidR="00DB1E81" w:rsidRPr="00861646">
        <w:rPr>
          <w:rFonts w:ascii="Times New Roman" w:hAnsi="Times New Roman" w:cs="Times New Roman"/>
          <w:sz w:val="28"/>
          <w:szCs w:val="28"/>
        </w:rPr>
        <w:t>,</w:t>
      </w:r>
      <w:r w:rsidR="00054C14" w:rsidRPr="00861646">
        <w:rPr>
          <w:rFonts w:ascii="Times New Roman" w:hAnsi="Times New Roman" w:cs="Times New Roman"/>
          <w:sz w:val="28"/>
          <w:szCs w:val="28"/>
        </w:rPr>
        <w:t xml:space="preserve"> </w:t>
      </w:r>
      <w:r w:rsidR="00C80001" w:rsidRPr="00861646">
        <w:rPr>
          <w:rFonts w:ascii="Times New Roman" w:hAnsi="Times New Roman" w:cs="Times New Roman"/>
          <w:sz w:val="28"/>
          <w:szCs w:val="28"/>
        </w:rPr>
        <w:t xml:space="preserve">a ben guardare </w:t>
      </w:r>
      <w:r w:rsidR="00054C14" w:rsidRPr="00861646">
        <w:rPr>
          <w:rFonts w:ascii="Times New Roman" w:hAnsi="Times New Roman" w:cs="Times New Roman"/>
          <w:sz w:val="28"/>
          <w:szCs w:val="28"/>
        </w:rPr>
        <w:t xml:space="preserve">di dubbia coerenza </w:t>
      </w:r>
      <w:r w:rsidR="0003644B" w:rsidRPr="00861646">
        <w:rPr>
          <w:rFonts w:ascii="Times New Roman" w:hAnsi="Times New Roman" w:cs="Times New Roman"/>
          <w:sz w:val="28"/>
          <w:szCs w:val="28"/>
        </w:rPr>
        <w:t xml:space="preserve">con l’assetto delle competenze </w:t>
      </w:r>
      <w:r w:rsidR="00054C14" w:rsidRPr="00861646">
        <w:rPr>
          <w:rFonts w:ascii="Times New Roman" w:hAnsi="Times New Roman" w:cs="Times New Roman"/>
          <w:sz w:val="28"/>
          <w:szCs w:val="28"/>
        </w:rPr>
        <w:t>di cui al</w:t>
      </w:r>
      <w:r w:rsidR="0003644B" w:rsidRPr="00861646">
        <w:rPr>
          <w:rFonts w:ascii="Times New Roman" w:hAnsi="Times New Roman" w:cs="Times New Roman"/>
          <w:sz w:val="28"/>
          <w:szCs w:val="28"/>
        </w:rPr>
        <w:t xml:space="preserve"> Titolo V della Costituzione. </w:t>
      </w:r>
      <w:r w:rsidR="00C80001" w:rsidRPr="00861646">
        <w:rPr>
          <w:rFonts w:ascii="Times New Roman" w:hAnsi="Times New Roman" w:cs="Times New Roman"/>
          <w:sz w:val="28"/>
          <w:szCs w:val="28"/>
        </w:rPr>
        <w:t xml:space="preserve">Va tuttavia ricordato che la ricordata </w:t>
      </w:r>
      <w:r w:rsidR="00F63351" w:rsidRPr="00861646">
        <w:rPr>
          <w:rFonts w:ascii="Times New Roman" w:hAnsi="Times New Roman" w:cs="Times New Roman"/>
          <w:sz w:val="28"/>
          <w:szCs w:val="28"/>
        </w:rPr>
        <w:t>attribuzione d</w:t>
      </w:r>
      <w:r w:rsidR="00C80001" w:rsidRPr="00861646">
        <w:rPr>
          <w:rFonts w:ascii="Times New Roman" w:hAnsi="Times New Roman" w:cs="Times New Roman"/>
          <w:sz w:val="28"/>
          <w:szCs w:val="28"/>
        </w:rPr>
        <w:t>i</w:t>
      </w:r>
      <w:r w:rsidR="00F63351" w:rsidRPr="00861646">
        <w:rPr>
          <w:rFonts w:ascii="Times New Roman" w:hAnsi="Times New Roman" w:cs="Times New Roman"/>
          <w:sz w:val="28"/>
          <w:szCs w:val="28"/>
        </w:rPr>
        <w:t xml:space="preserve"> competenze amministrative non </w:t>
      </w:r>
      <w:r w:rsidR="00C80001" w:rsidRPr="00861646">
        <w:rPr>
          <w:rFonts w:ascii="Times New Roman" w:hAnsi="Times New Roman" w:cs="Times New Roman"/>
          <w:sz w:val="28"/>
          <w:szCs w:val="28"/>
        </w:rPr>
        <w:t xml:space="preserve">incide affatto sull’assetto di quelle regolatorie, determinando una sorta di </w:t>
      </w:r>
      <w:r w:rsidR="00F63351" w:rsidRPr="00861646">
        <w:rPr>
          <w:rFonts w:ascii="Times New Roman" w:hAnsi="Times New Roman" w:cs="Times New Roman"/>
          <w:sz w:val="28"/>
          <w:szCs w:val="28"/>
        </w:rPr>
        <w:t>viatico per attrar</w:t>
      </w:r>
      <w:r w:rsidR="00C80001" w:rsidRPr="00861646">
        <w:rPr>
          <w:rFonts w:ascii="Times New Roman" w:hAnsi="Times New Roman" w:cs="Times New Roman"/>
          <w:sz w:val="28"/>
          <w:szCs w:val="28"/>
        </w:rPr>
        <w:t xml:space="preserve">le </w:t>
      </w:r>
      <w:r w:rsidR="00F63351" w:rsidRPr="00861646">
        <w:rPr>
          <w:rFonts w:ascii="Times New Roman" w:hAnsi="Times New Roman" w:cs="Times New Roman"/>
          <w:sz w:val="28"/>
          <w:szCs w:val="28"/>
        </w:rPr>
        <w:t>alla Regione</w:t>
      </w:r>
      <w:r w:rsidR="00C80001" w:rsidRPr="00861646">
        <w:rPr>
          <w:rFonts w:ascii="Times New Roman" w:hAnsi="Times New Roman" w:cs="Times New Roman"/>
          <w:sz w:val="28"/>
          <w:szCs w:val="28"/>
        </w:rPr>
        <w:t xml:space="preserve">. Rientrano infatti in quelle di competenza esclusiva </w:t>
      </w:r>
      <w:r w:rsidR="00861646" w:rsidRPr="00861646">
        <w:rPr>
          <w:rFonts w:ascii="Times New Roman" w:hAnsi="Times New Roman" w:cs="Times New Roman"/>
          <w:sz w:val="28"/>
          <w:szCs w:val="28"/>
        </w:rPr>
        <w:t xml:space="preserve">statale </w:t>
      </w:r>
      <w:r w:rsidR="00F63351" w:rsidRPr="00861646">
        <w:rPr>
          <w:rFonts w:ascii="Times New Roman" w:hAnsi="Times New Roman" w:cs="Times New Roman"/>
          <w:sz w:val="28"/>
          <w:szCs w:val="28"/>
        </w:rPr>
        <w:t>la disciplina generale del demanio e del patrimonio, riconducibile all’art. 117, comma 2, lett. l), riferita all’ordinamento civile</w:t>
      </w:r>
      <w:r w:rsidR="00C80001" w:rsidRPr="00861646">
        <w:rPr>
          <w:rFonts w:ascii="Times New Roman" w:hAnsi="Times New Roman" w:cs="Times New Roman"/>
          <w:sz w:val="28"/>
          <w:szCs w:val="28"/>
        </w:rPr>
        <w:t>;</w:t>
      </w:r>
      <w:r w:rsidR="00F63351" w:rsidRPr="00861646">
        <w:rPr>
          <w:rFonts w:ascii="Times New Roman" w:hAnsi="Times New Roman" w:cs="Times New Roman"/>
          <w:sz w:val="28"/>
          <w:szCs w:val="28"/>
        </w:rPr>
        <w:t xml:space="preserve"> </w:t>
      </w:r>
      <w:r w:rsidR="00AB5689" w:rsidRPr="00861646">
        <w:rPr>
          <w:rFonts w:ascii="Times New Roman" w:hAnsi="Times New Roman" w:cs="Times New Roman"/>
          <w:sz w:val="28"/>
          <w:szCs w:val="28"/>
        </w:rPr>
        <w:t>la libertà di stabilimento e la tutela della concorrenza (lett. e)</w:t>
      </w:r>
      <w:r w:rsidR="00C80001" w:rsidRPr="00861646">
        <w:rPr>
          <w:rFonts w:ascii="Times New Roman" w:hAnsi="Times New Roman" w:cs="Times New Roman"/>
          <w:sz w:val="28"/>
          <w:szCs w:val="28"/>
        </w:rPr>
        <w:t>;</w:t>
      </w:r>
      <w:r w:rsidR="007B1675" w:rsidRPr="00861646">
        <w:rPr>
          <w:rFonts w:ascii="Times New Roman" w:hAnsi="Times New Roman" w:cs="Times New Roman"/>
          <w:sz w:val="28"/>
          <w:szCs w:val="28"/>
        </w:rPr>
        <w:t xml:space="preserve"> la tutela dell’ambiente e dell’ecosistema (lett. s)</w:t>
      </w:r>
      <w:r w:rsidR="00C80001" w:rsidRPr="00861646">
        <w:rPr>
          <w:rFonts w:ascii="Times New Roman" w:hAnsi="Times New Roman" w:cs="Times New Roman"/>
          <w:sz w:val="28"/>
          <w:szCs w:val="28"/>
        </w:rPr>
        <w:t>. Resta infine appannaggio esclusivo dello Stato la declinazione dei principi generali in materia di gov</w:t>
      </w:r>
      <w:r w:rsidR="00F63351" w:rsidRPr="00861646">
        <w:rPr>
          <w:rFonts w:ascii="Times New Roman" w:hAnsi="Times New Roman" w:cs="Times New Roman"/>
          <w:sz w:val="28"/>
          <w:szCs w:val="28"/>
        </w:rPr>
        <w:t>erno del territorio</w:t>
      </w:r>
      <w:r w:rsidR="007B1675" w:rsidRPr="00861646">
        <w:rPr>
          <w:rFonts w:ascii="Times New Roman" w:hAnsi="Times New Roman" w:cs="Times New Roman"/>
          <w:sz w:val="28"/>
          <w:szCs w:val="28"/>
        </w:rPr>
        <w:t xml:space="preserve"> (comma 3)</w:t>
      </w:r>
      <w:r w:rsidR="00C80001" w:rsidRPr="00861646">
        <w:rPr>
          <w:rFonts w:ascii="Times New Roman" w:hAnsi="Times New Roman" w:cs="Times New Roman"/>
          <w:sz w:val="28"/>
          <w:szCs w:val="28"/>
        </w:rPr>
        <w:t xml:space="preserve">, sicché anche per tale via appare difficile sfuggire alle indicazioni del d.P.R. n. 380 del 2001 e immaginare un sistema completamente autonomo. La complessità del sistema si palesa dunque in tutta la sua interezza, frutto non tanto e non solo di una legislazione multilivello, ma anche di una gestione multilivello che solo adesso, dopo tanti anni, mostra tutte le sue criticità. </w:t>
      </w:r>
      <w:r w:rsidR="00F63351" w:rsidRPr="00861646">
        <w:rPr>
          <w:rFonts w:ascii="Times New Roman" w:hAnsi="Times New Roman" w:cs="Times New Roman"/>
          <w:sz w:val="28"/>
          <w:szCs w:val="28"/>
        </w:rPr>
        <w:t xml:space="preserve"> </w:t>
      </w:r>
    </w:p>
    <w:p w14:paraId="6F490EF0" w14:textId="77777777" w:rsidR="00A42CE7" w:rsidRPr="00861646" w:rsidRDefault="00A42CE7" w:rsidP="00C2667C">
      <w:pPr>
        <w:pStyle w:val="Paragrafoelenco"/>
        <w:spacing w:line="288" w:lineRule="auto"/>
        <w:ind w:left="284" w:right="140"/>
        <w:jc w:val="both"/>
        <w:rPr>
          <w:rFonts w:ascii="Times New Roman" w:hAnsi="Times New Roman" w:cs="Times New Roman"/>
          <w:sz w:val="28"/>
          <w:szCs w:val="28"/>
        </w:rPr>
      </w:pPr>
    </w:p>
    <w:p w14:paraId="15712802" w14:textId="2F51782D" w:rsidR="004E0AA8" w:rsidRPr="003360D7" w:rsidRDefault="00361A0C" w:rsidP="00A42CE7">
      <w:pPr>
        <w:pStyle w:val="Paragrafoelenco"/>
        <w:numPr>
          <w:ilvl w:val="0"/>
          <w:numId w:val="14"/>
        </w:numPr>
        <w:spacing w:line="288" w:lineRule="auto"/>
        <w:ind w:left="284" w:right="140" w:firstLine="0"/>
        <w:jc w:val="both"/>
        <w:rPr>
          <w:rFonts w:ascii="Times New Roman" w:hAnsi="Times New Roman" w:cs="Times New Roman"/>
          <w:sz w:val="28"/>
          <w:szCs w:val="28"/>
        </w:rPr>
      </w:pPr>
      <w:r w:rsidRPr="003360D7">
        <w:rPr>
          <w:rFonts w:ascii="Times New Roman" w:hAnsi="Times New Roman" w:cs="Times New Roman"/>
          <w:b/>
          <w:bCs/>
          <w:i/>
          <w:iCs/>
          <w:sz w:val="28"/>
          <w:szCs w:val="28"/>
        </w:rPr>
        <w:t>La disciplina contenuta nel Codice della navigazione</w:t>
      </w:r>
      <w:r w:rsidR="00855EBB" w:rsidRPr="003360D7">
        <w:rPr>
          <w:rFonts w:ascii="Times New Roman" w:hAnsi="Times New Roman" w:cs="Times New Roman"/>
          <w:b/>
          <w:bCs/>
          <w:i/>
          <w:iCs/>
          <w:sz w:val="28"/>
          <w:szCs w:val="28"/>
        </w:rPr>
        <w:t xml:space="preserve">: la mancanza di indennizzo e l’incameramento dei beni </w:t>
      </w:r>
      <w:r w:rsidR="003F3E73" w:rsidRPr="003360D7">
        <w:rPr>
          <w:rFonts w:ascii="Times New Roman" w:hAnsi="Times New Roman" w:cs="Times New Roman"/>
          <w:b/>
          <w:bCs/>
          <w:i/>
          <w:iCs/>
          <w:sz w:val="28"/>
          <w:szCs w:val="28"/>
        </w:rPr>
        <w:t>“</w:t>
      </w:r>
      <w:r w:rsidR="00855EBB" w:rsidRPr="003360D7">
        <w:rPr>
          <w:rFonts w:ascii="Times New Roman" w:hAnsi="Times New Roman" w:cs="Times New Roman"/>
          <w:b/>
          <w:bCs/>
          <w:i/>
          <w:iCs/>
          <w:sz w:val="28"/>
          <w:szCs w:val="28"/>
        </w:rPr>
        <w:t>non amovibili</w:t>
      </w:r>
      <w:r w:rsidR="003F3E73" w:rsidRPr="003360D7">
        <w:rPr>
          <w:rFonts w:ascii="Times New Roman" w:hAnsi="Times New Roman" w:cs="Times New Roman"/>
          <w:b/>
          <w:bCs/>
          <w:i/>
          <w:iCs/>
          <w:sz w:val="28"/>
          <w:szCs w:val="28"/>
        </w:rPr>
        <w:t>”</w:t>
      </w:r>
      <w:r w:rsidRPr="003360D7">
        <w:rPr>
          <w:rFonts w:ascii="Times New Roman" w:hAnsi="Times New Roman" w:cs="Times New Roman"/>
          <w:sz w:val="28"/>
          <w:szCs w:val="28"/>
        </w:rPr>
        <w:t xml:space="preserve">. </w:t>
      </w:r>
      <w:r w:rsidR="00921508" w:rsidRPr="003360D7">
        <w:rPr>
          <w:rFonts w:ascii="Times New Roman" w:hAnsi="Times New Roman" w:cs="Times New Roman"/>
          <w:sz w:val="28"/>
          <w:szCs w:val="28"/>
        </w:rPr>
        <w:t xml:space="preserve">Punto di partenza </w:t>
      </w:r>
      <w:r w:rsidR="00FE0224" w:rsidRPr="003360D7">
        <w:rPr>
          <w:rFonts w:ascii="Times New Roman" w:hAnsi="Times New Roman" w:cs="Times New Roman"/>
          <w:sz w:val="28"/>
          <w:szCs w:val="28"/>
        </w:rPr>
        <w:t xml:space="preserve">per </w:t>
      </w:r>
      <w:r w:rsidR="00921508" w:rsidRPr="003360D7">
        <w:rPr>
          <w:rFonts w:ascii="Times New Roman" w:hAnsi="Times New Roman" w:cs="Times New Roman"/>
          <w:sz w:val="28"/>
          <w:szCs w:val="28"/>
        </w:rPr>
        <w:t xml:space="preserve">una corretta riflessione sul tema </w:t>
      </w:r>
      <w:r w:rsidR="00576594" w:rsidRPr="003360D7">
        <w:rPr>
          <w:rFonts w:ascii="Times New Roman" w:hAnsi="Times New Roman" w:cs="Times New Roman"/>
          <w:sz w:val="28"/>
          <w:szCs w:val="28"/>
        </w:rPr>
        <w:t xml:space="preserve">degli indennizzi è </w:t>
      </w:r>
      <w:r w:rsidR="00921508" w:rsidRPr="003360D7">
        <w:rPr>
          <w:rFonts w:ascii="Times New Roman" w:hAnsi="Times New Roman" w:cs="Times New Roman"/>
          <w:sz w:val="28"/>
          <w:szCs w:val="28"/>
        </w:rPr>
        <w:t xml:space="preserve">la disciplina </w:t>
      </w:r>
      <w:r w:rsidR="005319F5" w:rsidRPr="003360D7">
        <w:rPr>
          <w:rFonts w:ascii="Times New Roman" w:hAnsi="Times New Roman" w:cs="Times New Roman"/>
          <w:sz w:val="28"/>
          <w:szCs w:val="28"/>
        </w:rPr>
        <w:t xml:space="preserve">contenuta nell’art. 49 del </w:t>
      </w:r>
      <w:proofErr w:type="spellStart"/>
      <w:r w:rsidR="00576594" w:rsidRPr="003360D7">
        <w:rPr>
          <w:rFonts w:ascii="Times New Roman" w:hAnsi="Times New Roman" w:cs="Times New Roman"/>
          <w:sz w:val="28"/>
          <w:szCs w:val="28"/>
        </w:rPr>
        <w:t>r.d.</w:t>
      </w:r>
      <w:proofErr w:type="spellEnd"/>
      <w:r w:rsidR="00576594" w:rsidRPr="003360D7">
        <w:rPr>
          <w:rFonts w:ascii="Times New Roman" w:hAnsi="Times New Roman" w:cs="Times New Roman"/>
          <w:sz w:val="28"/>
          <w:szCs w:val="28"/>
        </w:rPr>
        <w:t xml:space="preserve"> 30 marzo 1942, n. 327, </w:t>
      </w:r>
      <w:r w:rsidR="005319F5" w:rsidRPr="003360D7">
        <w:rPr>
          <w:rFonts w:ascii="Times New Roman" w:hAnsi="Times New Roman" w:cs="Times New Roman"/>
          <w:sz w:val="28"/>
          <w:szCs w:val="28"/>
        </w:rPr>
        <w:t>Codice della navigazione</w:t>
      </w:r>
      <w:r w:rsidR="004834CE" w:rsidRPr="003360D7">
        <w:rPr>
          <w:rFonts w:ascii="Times New Roman" w:hAnsi="Times New Roman" w:cs="Times New Roman"/>
          <w:sz w:val="28"/>
          <w:szCs w:val="28"/>
        </w:rPr>
        <w:t xml:space="preserve">, sulla </w:t>
      </w:r>
      <w:r w:rsidR="004834CE" w:rsidRPr="003360D7">
        <w:rPr>
          <w:rFonts w:ascii="Arial" w:hAnsi="Arial" w:cs="Arial"/>
          <w:sz w:val="28"/>
          <w:szCs w:val="28"/>
        </w:rPr>
        <w:t>«</w:t>
      </w:r>
      <w:r w:rsidR="004834CE" w:rsidRPr="003360D7">
        <w:rPr>
          <w:rFonts w:ascii="Times New Roman" w:hAnsi="Times New Roman" w:cs="Times New Roman"/>
          <w:i/>
          <w:iCs/>
          <w:sz w:val="28"/>
          <w:szCs w:val="28"/>
        </w:rPr>
        <w:t>Devoluzione delle opere non amovibili</w:t>
      </w:r>
      <w:r w:rsidR="004834CE" w:rsidRPr="003360D7">
        <w:rPr>
          <w:rFonts w:ascii="Times New Roman" w:hAnsi="Times New Roman" w:cs="Times New Roman"/>
          <w:sz w:val="28"/>
          <w:szCs w:val="28"/>
        </w:rPr>
        <w:t>»</w:t>
      </w:r>
      <w:r w:rsidR="00FE0224">
        <w:rPr>
          <w:rStyle w:val="Rimandonotaapidipagina"/>
          <w:rFonts w:ascii="Times New Roman" w:hAnsi="Times New Roman" w:cs="Times New Roman"/>
          <w:sz w:val="28"/>
          <w:szCs w:val="28"/>
        </w:rPr>
        <w:footnoteReference w:id="2"/>
      </w:r>
      <w:r w:rsidR="005319F5" w:rsidRPr="003360D7">
        <w:rPr>
          <w:rFonts w:ascii="Times New Roman" w:hAnsi="Times New Roman" w:cs="Times New Roman"/>
          <w:sz w:val="28"/>
          <w:szCs w:val="28"/>
        </w:rPr>
        <w:t xml:space="preserve">. </w:t>
      </w:r>
      <w:r w:rsidR="00BD0FB2" w:rsidRPr="003360D7">
        <w:rPr>
          <w:rFonts w:ascii="Times New Roman" w:hAnsi="Times New Roman" w:cs="Times New Roman"/>
          <w:sz w:val="28"/>
          <w:szCs w:val="28"/>
        </w:rPr>
        <w:t xml:space="preserve">La norma va letta in combinato disposto con </w:t>
      </w:r>
      <w:r w:rsidR="00715F68" w:rsidRPr="003360D7">
        <w:rPr>
          <w:rFonts w:ascii="Times New Roman" w:hAnsi="Times New Roman" w:cs="Times New Roman"/>
          <w:sz w:val="28"/>
          <w:szCs w:val="28"/>
        </w:rPr>
        <w:t>l’a</w:t>
      </w:r>
      <w:r w:rsidR="00BD0FB2" w:rsidRPr="003360D7">
        <w:rPr>
          <w:rFonts w:ascii="Times New Roman" w:hAnsi="Times New Roman" w:cs="Times New Roman"/>
          <w:sz w:val="28"/>
          <w:szCs w:val="28"/>
        </w:rPr>
        <w:t>rticolo 822 del codice civile</w:t>
      </w:r>
      <w:r w:rsidR="00BD0FB2" w:rsidRPr="00BD0FB2">
        <w:rPr>
          <w:vertAlign w:val="superscript"/>
        </w:rPr>
        <w:footnoteReference w:id="3"/>
      </w:r>
      <w:r w:rsidR="00BD0FB2" w:rsidRPr="003360D7">
        <w:rPr>
          <w:rFonts w:ascii="Times New Roman" w:hAnsi="Times New Roman" w:cs="Times New Roman"/>
          <w:sz w:val="28"/>
          <w:szCs w:val="28"/>
        </w:rPr>
        <w:t>, che definisc</w:t>
      </w:r>
      <w:r w:rsidR="00715F68" w:rsidRPr="003360D7">
        <w:rPr>
          <w:rFonts w:ascii="Times New Roman" w:hAnsi="Times New Roman" w:cs="Times New Roman"/>
          <w:sz w:val="28"/>
          <w:szCs w:val="28"/>
        </w:rPr>
        <w:t>e</w:t>
      </w:r>
      <w:r w:rsidR="00FC090C" w:rsidRPr="003360D7">
        <w:rPr>
          <w:rFonts w:ascii="Times New Roman" w:hAnsi="Times New Roman" w:cs="Times New Roman"/>
          <w:sz w:val="28"/>
          <w:szCs w:val="28"/>
        </w:rPr>
        <w:t xml:space="preserve"> </w:t>
      </w:r>
      <w:r w:rsidR="00BD0FB2" w:rsidRPr="003360D7">
        <w:rPr>
          <w:rFonts w:ascii="Times New Roman" w:hAnsi="Times New Roman" w:cs="Times New Roman"/>
          <w:sz w:val="28"/>
          <w:szCs w:val="28"/>
        </w:rPr>
        <w:t>i beni appartenenti allo Stato e che fanno parte del demanio pubblico</w:t>
      </w:r>
      <w:r w:rsidR="00715F68" w:rsidRPr="003360D7">
        <w:rPr>
          <w:rFonts w:ascii="Times New Roman" w:hAnsi="Times New Roman" w:cs="Times New Roman"/>
          <w:sz w:val="28"/>
          <w:szCs w:val="28"/>
        </w:rPr>
        <w:t xml:space="preserve"> e con l’art. 29 del medesimo Codice, che fissa </w:t>
      </w:r>
      <w:r w:rsidR="00FC090C" w:rsidRPr="003360D7">
        <w:rPr>
          <w:rFonts w:ascii="Times New Roman" w:hAnsi="Times New Roman" w:cs="Times New Roman"/>
          <w:sz w:val="28"/>
          <w:szCs w:val="28"/>
        </w:rPr>
        <w:t xml:space="preserve">la regola </w:t>
      </w:r>
      <w:r w:rsidR="00BD0FB2" w:rsidRPr="003360D7">
        <w:rPr>
          <w:rFonts w:ascii="Times New Roman" w:hAnsi="Times New Roman" w:cs="Times New Roman"/>
          <w:sz w:val="28"/>
          <w:szCs w:val="28"/>
        </w:rPr>
        <w:t>in virtù del</w:t>
      </w:r>
      <w:r w:rsidR="00FC090C" w:rsidRPr="003360D7">
        <w:rPr>
          <w:rFonts w:ascii="Times New Roman" w:hAnsi="Times New Roman" w:cs="Times New Roman"/>
          <w:sz w:val="28"/>
          <w:szCs w:val="28"/>
        </w:rPr>
        <w:t>la</w:t>
      </w:r>
      <w:r w:rsidR="00BD0FB2" w:rsidRPr="003360D7">
        <w:rPr>
          <w:rFonts w:ascii="Times New Roman" w:hAnsi="Times New Roman" w:cs="Times New Roman"/>
          <w:sz w:val="28"/>
          <w:szCs w:val="28"/>
        </w:rPr>
        <w:t xml:space="preserve"> quale le costruzioni e le altre opere appartenenti allo Stato, che esistono entro i limiti del demanio marittimo e del mare territoriale, sono considerate come pertinenze del demanio stesso. </w:t>
      </w:r>
      <w:r w:rsidR="00715F68" w:rsidRPr="003360D7">
        <w:rPr>
          <w:rFonts w:ascii="Times New Roman" w:hAnsi="Times New Roman" w:cs="Times New Roman"/>
          <w:sz w:val="28"/>
          <w:szCs w:val="28"/>
        </w:rPr>
        <w:t xml:space="preserve">Si tratta dell’innesto del principio generale sull’accessione nella disciplina della proprietà pubblica (accessione demaniale o demanialità per accessione). </w:t>
      </w:r>
      <w:r w:rsidR="00BD0FB2" w:rsidRPr="003360D7">
        <w:rPr>
          <w:rFonts w:ascii="Times New Roman" w:hAnsi="Times New Roman" w:cs="Times New Roman"/>
          <w:sz w:val="28"/>
          <w:szCs w:val="28"/>
        </w:rPr>
        <w:t xml:space="preserve">Come noto, </w:t>
      </w:r>
      <w:r w:rsidR="00715F68" w:rsidRPr="003360D7">
        <w:rPr>
          <w:rFonts w:ascii="Times New Roman" w:hAnsi="Times New Roman" w:cs="Times New Roman"/>
          <w:sz w:val="28"/>
          <w:szCs w:val="28"/>
        </w:rPr>
        <w:t xml:space="preserve">infatti, </w:t>
      </w:r>
      <w:r w:rsidR="00BD0FB2" w:rsidRPr="003360D7">
        <w:rPr>
          <w:rFonts w:ascii="Times New Roman" w:hAnsi="Times New Roman" w:cs="Times New Roman"/>
          <w:sz w:val="28"/>
          <w:szCs w:val="28"/>
        </w:rPr>
        <w:t>in virtù d</w:t>
      </w:r>
      <w:r w:rsidR="00715F68" w:rsidRPr="003360D7">
        <w:rPr>
          <w:rFonts w:ascii="Times New Roman" w:hAnsi="Times New Roman" w:cs="Times New Roman"/>
          <w:sz w:val="28"/>
          <w:szCs w:val="28"/>
        </w:rPr>
        <w:t>ell’art. 934 c.c.</w:t>
      </w:r>
      <w:r w:rsidR="00BD0FB2" w:rsidRPr="003360D7">
        <w:rPr>
          <w:rFonts w:ascii="Times New Roman" w:hAnsi="Times New Roman" w:cs="Times New Roman"/>
          <w:sz w:val="28"/>
          <w:szCs w:val="28"/>
        </w:rPr>
        <w:t xml:space="preserve">, qualsiasi costruzione o opera realizzata sopra o sotto un suolo appartiene automaticamente al proprietario di quel suolo, </w:t>
      </w:r>
      <w:r w:rsidR="00715F68" w:rsidRPr="003360D7">
        <w:rPr>
          <w:rFonts w:ascii="Times New Roman" w:hAnsi="Times New Roman" w:cs="Times New Roman"/>
          <w:sz w:val="28"/>
          <w:szCs w:val="28"/>
        </w:rPr>
        <w:t xml:space="preserve">nel senso che </w:t>
      </w:r>
      <w:r w:rsidR="00BD0FB2" w:rsidRPr="003360D7">
        <w:rPr>
          <w:rFonts w:ascii="Times New Roman" w:hAnsi="Times New Roman" w:cs="Times New Roman"/>
          <w:sz w:val="28"/>
          <w:szCs w:val="28"/>
        </w:rPr>
        <w:t>quest</w:t>
      </w:r>
      <w:r w:rsidR="00715F68" w:rsidRPr="003360D7">
        <w:rPr>
          <w:rFonts w:ascii="Times New Roman" w:hAnsi="Times New Roman" w:cs="Times New Roman"/>
          <w:sz w:val="28"/>
          <w:szCs w:val="28"/>
        </w:rPr>
        <w:t>’</w:t>
      </w:r>
      <w:r w:rsidR="00BD0FB2" w:rsidRPr="003360D7">
        <w:rPr>
          <w:rFonts w:ascii="Times New Roman" w:hAnsi="Times New Roman" w:cs="Times New Roman"/>
          <w:sz w:val="28"/>
          <w:szCs w:val="28"/>
        </w:rPr>
        <w:t xml:space="preserve">ultimo </w:t>
      </w:r>
      <w:r w:rsidR="00715F68" w:rsidRPr="003360D7">
        <w:rPr>
          <w:rFonts w:ascii="Times New Roman" w:hAnsi="Times New Roman" w:cs="Times New Roman"/>
          <w:sz w:val="28"/>
          <w:szCs w:val="28"/>
        </w:rPr>
        <w:t xml:space="preserve">ne diviene </w:t>
      </w:r>
      <w:r w:rsidR="00BD0FB2" w:rsidRPr="003360D7">
        <w:rPr>
          <w:rFonts w:ascii="Times New Roman" w:hAnsi="Times New Roman" w:cs="Times New Roman"/>
          <w:sz w:val="28"/>
          <w:szCs w:val="28"/>
        </w:rPr>
        <w:t>propriet</w:t>
      </w:r>
      <w:r w:rsidR="00715F68" w:rsidRPr="003360D7">
        <w:rPr>
          <w:rFonts w:ascii="Times New Roman" w:hAnsi="Times New Roman" w:cs="Times New Roman"/>
          <w:sz w:val="28"/>
          <w:szCs w:val="28"/>
        </w:rPr>
        <w:t xml:space="preserve">ario </w:t>
      </w:r>
      <w:r w:rsidR="00BD0FB2" w:rsidRPr="003360D7">
        <w:rPr>
          <w:rFonts w:ascii="Times New Roman" w:hAnsi="Times New Roman" w:cs="Times New Roman"/>
          <w:sz w:val="28"/>
          <w:szCs w:val="28"/>
        </w:rPr>
        <w:t>per il solo fatto della loro incorporazione</w:t>
      </w:r>
      <w:r w:rsidR="00275E52">
        <w:rPr>
          <w:rStyle w:val="Rimandonotaapidipagina"/>
          <w:rFonts w:ascii="Times New Roman" w:hAnsi="Times New Roman" w:cs="Times New Roman"/>
          <w:sz w:val="28"/>
          <w:szCs w:val="28"/>
        </w:rPr>
        <w:footnoteReference w:id="4"/>
      </w:r>
      <w:r w:rsidR="00BD0FB2" w:rsidRPr="003360D7">
        <w:rPr>
          <w:rFonts w:ascii="Times New Roman" w:hAnsi="Times New Roman" w:cs="Times New Roman"/>
          <w:sz w:val="28"/>
          <w:szCs w:val="28"/>
        </w:rPr>
        <w:t>.</w:t>
      </w:r>
      <w:r w:rsidR="00914529" w:rsidRPr="003360D7">
        <w:rPr>
          <w:rFonts w:ascii="Times New Roman" w:hAnsi="Times New Roman" w:cs="Times New Roman"/>
          <w:sz w:val="28"/>
          <w:szCs w:val="28"/>
        </w:rPr>
        <w:t xml:space="preserve"> </w:t>
      </w:r>
      <w:r w:rsidR="001943A6" w:rsidRPr="003360D7">
        <w:rPr>
          <w:rFonts w:ascii="Times New Roman" w:hAnsi="Times New Roman" w:cs="Times New Roman"/>
          <w:sz w:val="28"/>
          <w:szCs w:val="28"/>
        </w:rPr>
        <w:t xml:space="preserve">L’art. 31 del Regolamento per l’esecuzione del Codice della navigazione, approvato con il d.P.R. 15 febbraio 1952 n. 328, completa il quadro prevedendo che </w:t>
      </w:r>
      <w:r w:rsidR="001943A6" w:rsidRPr="003360D7">
        <w:rPr>
          <w:rFonts w:ascii="Arial" w:hAnsi="Arial" w:cs="Arial"/>
          <w:sz w:val="28"/>
          <w:szCs w:val="28"/>
        </w:rPr>
        <w:t>«</w:t>
      </w:r>
      <w:r w:rsidR="001943A6" w:rsidRPr="003360D7">
        <w:rPr>
          <w:rFonts w:ascii="Times New Roman" w:hAnsi="Times New Roman" w:cs="Times New Roman"/>
          <w:sz w:val="28"/>
          <w:szCs w:val="28"/>
        </w:rPr>
        <w:t>1.</w:t>
      </w:r>
      <w:r w:rsidR="001943A6" w:rsidRPr="003360D7">
        <w:rPr>
          <w:rFonts w:ascii="Times New Roman" w:hAnsi="Times New Roman" w:cs="Times New Roman"/>
          <w:i/>
          <w:iCs/>
          <w:sz w:val="28"/>
          <w:szCs w:val="28"/>
        </w:rPr>
        <w:t xml:space="preserve"> Salvo che non sia diversamente stabilito nelle condizioni speciali che regolano la concessione, nei casi di revoca, di decadenza o di scadenza, il concessionario, se l</w:t>
      </w:r>
      <w:r w:rsidR="0032429C" w:rsidRPr="003360D7">
        <w:rPr>
          <w:rFonts w:ascii="Times New Roman" w:hAnsi="Times New Roman" w:cs="Times New Roman"/>
          <w:i/>
          <w:iCs/>
          <w:sz w:val="28"/>
          <w:szCs w:val="28"/>
        </w:rPr>
        <w:t>’</w:t>
      </w:r>
      <w:r w:rsidR="001943A6" w:rsidRPr="003360D7">
        <w:rPr>
          <w:rFonts w:ascii="Times New Roman" w:hAnsi="Times New Roman" w:cs="Times New Roman"/>
          <w:i/>
          <w:iCs/>
          <w:sz w:val="28"/>
          <w:szCs w:val="28"/>
        </w:rPr>
        <w:t xml:space="preserve">amministrazione non intenda avvalersi della facoltà di acquisire le opere, ha </w:t>
      </w:r>
      <w:r w:rsidR="008E7E6E" w:rsidRPr="003360D7">
        <w:rPr>
          <w:rFonts w:ascii="Times New Roman" w:hAnsi="Times New Roman" w:cs="Times New Roman"/>
          <w:i/>
          <w:iCs/>
          <w:sz w:val="28"/>
          <w:szCs w:val="28"/>
        </w:rPr>
        <w:t>l’obbligo</w:t>
      </w:r>
      <w:r w:rsidR="004834CE" w:rsidRPr="003360D7">
        <w:rPr>
          <w:rFonts w:ascii="Times New Roman" w:hAnsi="Times New Roman" w:cs="Times New Roman"/>
          <w:i/>
          <w:iCs/>
          <w:sz w:val="28"/>
          <w:szCs w:val="28"/>
        </w:rPr>
        <w:t xml:space="preserve"> </w:t>
      </w:r>
      <w:r w:rsidR="001943A6" w:rsidRPr="003360D7">
        <w:rPr>
          <w:rFonts w:ascii="Times New Roman" w:hAnsi="Times New Roman" w:cs="Times New Roman"/>
          <w:i/>
          <w:iCs/>
          <w:sz w:val="28"/>
          <w:szCs w:val="28"/>
        </w:rPr>
        <w:t>di provvedere, a sua cura e spese, alla demolizione delle opere stesse e alla rimessa in pristino e riconsegna dei beni concessigli, nei termini che gli saranno notificati. 2. Ove il concessionario non adempia a tale obbligo si fa luogo all</w:t>
      </w:r>
      <w:r w:rsidR="0032429C" w:rsidRPr="003360D7">
        <w:rPr>
          <w:rFonts w:ascii="Times New Roman" w:hAnsi="Times New Roman" w:cs="Times New Roman"/>
          <w:i/>
          <w:iCs/>
          <w:sz w:val="28"/>
          <w:szCs w:val="28"/>
        </w:rPr>
        <w:t>’</w:t>
      </w:r>
      <w:r w:rsidR="001943A6" w:rsidRPr="003360D7">
        <w:rPr>
          <w:rFonts w:ascii="Times New Roman" w:hAnsi="Times New Roman" w:cs="Times New Roman"/>
          <w:i/>
          <w:iCs/>
          <w:sz w:val="28"/>
          <w:szCs w:val="28"/>
        </w:rPr>
        <w:t xml:space="preserve"> applicazione del disposto dell</w:t>
      </w:r>
      <w:r w:rsidR="004834CE" w:rsidRPr="003360D7">
        <w:rPr>
          <w:rFonts w:ascii="Times New Roman" w:hAnsi="Times New Roman" w:cs="Times New Roman"/>
          <w:i/>
          <w:iCs/>
          <w:sz w:val="28"/>
          <w:szCs w:val="28"/>
        </w:rPr>
        <w:t>’</w:t>
      </w:r>
      <w:r w:rsidR="001943A6" w:rsidRPr="003360D7">
        <w:rPr>
          <w:rFonts w:ascii="Times New Roman" w:hAnsi="Times New Roman" w:cs="Times New Roman"/>
          <w:i/>
          <w:iCs/>
          <w:sz w:val="28"/>
          <w:szCs w:val="28"/>
        </w:rPr>
        <w:t>ultimo comma dell</w:t>
      </w:r>
      <w:r w:rsidR="004834CE" w:rsidRPr="003360D7">
        <w:rPr>
          <w:rFonts w:ascii="Times New Roman" w:hAnsi="Times New Roman" w:cs="Times New Roman"/>
          <w:i/>
          <w:iCs/>
          <w:sz w:val="28"/>
          <w:szCs w:val="28"/>
        </w:rPr>
        <w:t>’</w:t>
      </w:r>
      <w:r w:rsidR="001943A6" w:rsidRPr="003360D7">
        <w:rPr>
          <w:rFonts w:ascii="Times New Roman" w:hAnsi="Times New Roman" w:cs="Times New Roman"/>
          <w:i/>
          <w:iCs/>
          <w:sz w:val="28"/>
          <w:szCs w:val="28"/>
        </w:rPr>
        <w:t>articolo 49 del codice</w:t>
      </w:r>
      <w:r w:rsidR="001943A6" w:rsidRPr="003360D7">
        <w:rPr>
          <w:rFonts w:ascii="Arial" w:hAnsi="Arial" w:cs="Arial"/>
          <w:sz w:val="28"/>
          <w:szCs w:val="28"/>
        </w:rPr>
        <w:t>»</w:t>
      </w:r>
      <w:r w:rsidR="001943A6" w:rsidRPr="003360D7">
        <w:rPr>
          <w:rFonts w:ascii="Times New Roman" w:hAnsi="Times New Roman" w:cs="Times New Roman"/>
          <w:sz w:val="28"/>
          <w:szCs w:val="28"/>
        </w:rPr>
        <w:t>.</w:t>
      </w:r>
      <w:r w:rsidR="00BB52A6" w:rsidRPr="003360D7">
        <w:rPr>
          <w:rFonts w:ascii="Times New Roman" w:hAnsi="Times New Roman" w:cs="Times New Roman"/>
          <w:sz w:val="28"/>
          <w:szCs w:val="28"/>
        </w:rPr>
        <w:t xml:space="preserve"> </w:t>
      </w:r>
      <w:r w:rsidR="004834CE" w:rsidRPr="003360D7">
        <w:rPr>
          <w:rFonts w:ascii="Times New Roman" w:hAnsi="Times New Roman" w:cs="Times New Roman"/>
          <w:sz w:val="28"/>
          <w:szCs w:val="28"/>
        </w:rPr>
        <w:t xml:space="preserve">Le </w:t>
      </w:r>
      <w:r w:rsidR="005B350B" w:rsidRPr="003360D7">
        <w:rPr>
          <w:rFonts w:ascii="Times New Roman" w:hAnsi="Times New Roman" w:cs="Times New Roman"/>
          <w:sz w:val="28"/>
          <w:szCs w:val="28"/>
        </w:rPr>
        <w:t>“opere non amovibili”</w:t>
      </w:r>
      <w:r w:rsidR="004834CE" w:rsidRPr="003360D7">
        <w:rPr>
          <w:rFonts w:ascii="Times New Roman" w:hAnsi="Times New Roman" w:cs="Times New Roman"/>
          <w:sz w:val="28"/>
          <w:szCs w:val="28"/>
        </w:rPr>
        <w:t xml:space="preserve"> sono</w:t>
      </w:r>
      <w:r w:rsidR="001943A6" w:rsidRPr="003360D7">
        <w:rPr>
          <w:rFonts w:ascii="Times New Roman" w:hAnsi="Times New Roman" w:cs="Times New Roman"/>
          <w:sz w:val="28"/>
          <w:szCs w:val="28"/>
        </w:rPr>
        <w:t xml:space="preserve"> </w:t>
      </w:r>
      <w:r w:rsidR="004834CE" w:rsidRPr="003360D7">
        <w:rPr>
          <w:rFonts w:ascii="Times New Roman" w:hAnsi="Times New Roman" w:cs="Times New Roman"/>
          <w:sz w:val="28"/>
          <w:szCs w:val="28"/>
        </w:rPr>
        <w:t>destinate all’acquisizione gratuita</w:t>
      </w:r>
      <w:r w:rsidR="001943A6" w:rsidRPr="003360D7">
        <w:rPr>
          <w:rFonts w:ascii="Times New Roman" w:hAnsi="Times New Roman" w:cs="Times New Roman"/>
          <w:sz w:val="28"/>
          <w:szCs w:val="28"/>
        </w:rPr>
        <w:t xml:space="preserve"> proprio in ragione di tale connotazione “strutturale”</w:t>
      </w:r>
      <w:r w:rsidR="004834CE" w:rsidRPr="003360D7">
        <w:rPr>
          <w:rFonts w:ascii="Times New Roman" w:hAnsi="Times New Roman" w:cs="Times New Roman"/>
          <w:sz w:val="28"/>
          <w:szCs w:val="28"/>
        </w:rPr>
        <w:t xml:space="preserve"> che costringe </w:t>
      </w:r>
      <w:r w:rsidR="001943A6" w:rsidRPr="003360D7">
        <w:rPr>
          <w:rFonts w:ascii="Times New Roman" w:hAnsi="Times New Roman" w:cs="Times New Roman"/>
          <w:sz w:val="28"/>
          <w:szCs w:val="28"/>
        </w:rPr>
        <w:t>il concessionario a lasciar</w:t>
      </w:r>
      <w:r w:rsidR="004834CE" w:rsidRPr="003360D7">
        <w:rPr>
          <w:rFonts w:ascii="Times New Roman" w:hAnsi="Times New Roman" w:cs="Times New Roman"/>
          <w:sz w:val="28"/>
          <w:szCs w:val="28"/>
        </w:rPr>
        <w:t>l</w:t>
      </w:r>
      <w:r w:rsidR="001943A6" w:rsidRPr="003360D7">
        <w:rPr>
          <w:rFonts w:ascii="Times New Roman" w:hAnsi="Times New Roman" w:cs="Times New Roman"/>
          <w:sz w:val="28"/>
          <w:szCs w:val="28"/>
        </w:rPr>
        <w:t>e sul suolo pubblico</w:t>
      </w:r>
      <w:r w:rsidR="004834CE" w:rsidRPr="003360D7">
        <w:rPr>
          <w:rFonts w:ascii="Times New Roman" w:hAnsi="Times New Roman" w:cs="Times New Roman"/>
          <w:sz w:val="28"/>
          <w:szCs w:val="28"/>
        </w:rPr>
        <w:t>. L</w:t>
      </w:r>
      <w:r w:rsidR="001943A6" w:rsidRPr="003360D7">
        <w:rPr>
          <w:rFonts w:ascii="Times New Roman" w:hAnsi="Times New Roman" w:cs="Times New Roman"/>
          <w:sz w:val="28"/>
          <w:szCs w:val="28"/>
        </w:rPr>
        <w:t>’Amministrazione se ne appropria</w:t>
      </w:r>
      <w:r w:rsidR="004834CE" w:rsidRPr="003360D7">
        <w:rPr>
          <w:rFonts w:ascii="Times New Roman" w:hAnsi="Times New Roman" w:cs="Times New Roman"/>
          <w:sz w:val="28"/>
          <w:szCs w:val="28"/>
        </w:rPr>
        <w:t xml:space="preserve">, se del caso evitando la demolizione d’ufficio, con conseguente aumento di valore del suolo, </w:t>
      </w:r>
      <w:r w:rsidR="001943A6" w:rsidRPr="003360D7">
        <w:rPr>
          <w:rFonts w:ascii="Times New Roman" w:hAnsi="Times New Roman" w:cs="Times New Roman"/>
          <w:sz w:val="28"/>
          <w:szCs w:val="28"/>
        </w:rPr>
        <w:t xml:space="preserve">tant’è che ne consegue </w:t>
      </w:r>
      <w:r w:rsidR="004834CE" w:rsidRPr="003360D7">
        <w:rPr>
          <w:rFonts w:ascii="Times New Roman" w:hAnsi="Times New Roman" w:cs="Times New Roman"/>
          <w:sz w:val="28"/>
          <w:szCs w:val="28"/>
        </w:rPr>
        <w:t xml:space="preserve">anche </w:t>
      </w:r>
      <w:r w:rsidR="001943A6" w:rsidRPr="003360D7">
        <w:rPr>
          <w:rFonts w:ascii="Times New Roman" w:hAnsi="Times New Roman" w:cs="Times New Roman"/>
          <w:sz w:val="28"/>
          <w:szCs w:val="28"/>
        </w:rPr>
        <w:t>l’aumento del canone</w:t>
      </w:r>
      <w:r w:rsidR="004834CE" w:rsidRPr="003360D7">
        <w:rPr>
          <w:rFonts w:ascii="Times New Roman" w:hAnsi="Times New Roman" w:cs="Times New Roman"/>
          <w:sz w:val="28"/>
          <w:szCs w:val="28"/>
        </w:rPr>
        <w:t xml:space="preserve">. </w:t>
      </w:r>
      <w:r w:rsidR="001943A6" w:rsidRPr="003360D7">
        <w:rPr>
          <w:rFonts w:ascii="Times New Roman" w:hAnsi="Times New Roman" w:cs="Times New Roman"/>
          <w:sz w:val="28"/>
          <w:szCs w:val="28"/>
        </w:rPr>
        <w:t xml:space="preserve">Sull’implicito assunto che gli operatori del settore hanno realizzato </w:t>
      </w:r>
      <w:r w:rsidR="004834CE" w:rsidRPr="003360D7">
        <w:rPr>
          <w:rFonts w:ascii="Times New Roman" w:hAnsi="Times New Roman" w:cs="Times New Roman"/>
          <w:sz w:val="28"/>
          <w:szCs w:val="28"/>
        </w:rPr>
        <w:t xml:space="preserve">molte opere </w:t>
      </w:r>
      <w:r w:rsidR="001943A6" w:rsidRPr="003360D7">
        <w:rPr>
          <w:rFonts w:ascii="Times New Roman" w:hAnsi="Times New Roman" w:cs="Times New Roman"/>
          <w:sz w:val="28"/>
          <w:szCs w:val="28"/>
        </w:rPr>
        <w:t>sul suolo demaniale</w:t>
      </w:r>
      <w:r w:rsidR="004834CE" w:rsidRPr="003360D7">
        <w:rPr>
          <w:rFonts w:ascii="Times New Roman" w:hAnsi="Times New Roman" w:cs="Times New Roman"/>
          <w:sz w:val="28"/>
          <w:szCs w:val="28"/>
        </w:rPr>
        <w:t xml:space="preserve"> in funzione dell’eccellente gestione del correlato servizio</w:t>
      </w:r>
      <w:r w:rsidR="001943A6" w:rsidRPr="003360D7">
        <w:rPr>
          <w:rFonts w:ascii="Times New Roman" w:hAnsi="Times New Roman" w:cs="Times New Roman"/>
          <w:sz w:val="28"/>
          <w:szCs w:val="28"/>
        </w:rPr>
        <w:t xml:space="preserve">, </w:t>
      </w:r>
      <w:r w:rsidR="004834CE" w:rsidRPr="003360D7">
        <w:rPr>
          <w:rFonts w:ascii="Times New Roman" w:hAnsi="Times New Roman" w:cs="Times New Roman"/>
          <w:sz w:val="28"/>
          <w:szCs w:val="28"/>
        </w:rPr>
        <w:t xml:space="preserve">nasce l’idea dell’indennizzo </w:t>
      </w:r>
      <w:r w:rsidR="001943A6" w:rsidRPr="003360D7">
        <w:rPr>
          <w:rFonts w:ascii="Times New Roman" w:hAnsi="Times New Roman" w:cs="Times New Roman"/>
          <w:sz w:val="28"/>
          <w:szCs w:val="28"/>
        </w:rPr>
        <w:t xml:space="preserve">per evitare che alla scadenza </w:t>
      </w:r>
      <w:r w:rsidR="004834CE" w:rsidRPr="003360D7">
        <w:rPr>
          <w:rFonts w:ascii="Times New Roman" w:hAnsi="Times New Roman" w:cs="Times New Roman"/>
          <w:sz w:val="28"/>
          <w:szCs w:val="28"/>
        </w:rPr>
        <w:t xml:space="preserve">essi </w:t>
      </w:r>
      <w:r w:rsidR="001943A6" w:rsidRPr="003360D7">
        <w:rPr>
          <w:rFonts w:ascii="Times New Roman" w:hAnsi="Times New Roman" w:cs="Times New Roman"/>
          <w:sz w:val="28"/>
          <w:szCs w:val="28"/>
        </w:rPr>
        <w:t>si trovino depauperati delle ingenti somme correlate a tali investimenti</w:t>
      </w:r>
      <w:r w:rsidR="007231D4" w:rsidRPr="003360D7">
        <w:rPr>
          <w:rFonts w:ascii="Times New Roman" w:hAnsi="Times New Roman" w:cs="Times New Roman"/>
          <w:sz w:val="28"/>
          <w:szCs w:val="28"/>
        </w:rPr>
        <w:t xml:space="preserve">. </w:t>
      </w:r>
      <w:r w:rsidR="005B350B" w:rsidRPr="003360D7">
        <w:rPr>
          <w:rFonts w:ascii="Times New Roman" w:hAnsi="Times New Roman" w:cs="Times New Roman"/>
          <w:sz w:val="28"/>
          <w:szCs w:val="28"/>
        </w:rPr>
        <w:t xml:space="preserve">Recita </w:t>
      </w:r>
      <w:r w:rsidR="00AF3483" w:rsidRPr="003360D7">
        <w:rPr>
          <w:rFonts w:ascii="Times New Roman" w:hAnsi="Times New Roman" w:cs="Times New Roman"/>
          <w:sz w:val="28"/>
          <w:szCs w:val="28"/>
        </w:rPr>
        <w:t>dunque</w:t>
      </w:r>
      <w:r w:rsidR="005B350B" w:rsidRPr="003360D7">
        <w:rPr>
          <w:rFonts w:ascii="Times New Roman" w:hAnsi="Times New Roman" w:cs="Times New Roman"/>
          <w:sz w:val="28"/>
          <w:szCs w:val="28"/>
        </w:rPr>
        <w:t xml:space="preserve"> l</w:t>
      </w:r>
      <w:r w:rsidR="004E0AA8" w:rsidRPr="003360D7">
        <w:rPr>
          <w:rFonts w:ascii="Times New Roman" w:hAnsi="Times New Roman" w:cs="Times New Roman"/>
          <w:sz w:val="28"/>
          <w:szCs w:val="28"/>
        </w:rPr>
        <w:t>a prima parte dell</w:t>
      </w:r>
      <w:r w:rsidR="007231D4" w:rsidRPr="003360D7">
        <w:rPr>
          <w:rFonts w:ascii="Times New Roman" w:hAnsi="Times New Roman" w:cs="Times New Roman"/>
          <w:sz w:val="28"/>
          <w:szCs w:val="28"/>
        </w:rPr>
        <w:t>’art. 49 del Codice della navigazione</w:t>
      </w:r>
      <w:r w:rsidR="005B350B" w:rsidRPr="003360D7">
        <w:rPr>
          <w:rFonts w:ascii="Times New Roman" w:hAnsi="Times New Roman" w:cs="Times New Roman"/>
          <w:sz w:val="28"/>
          <w:szCs w:val="28"/>
        </w:rPr>
        <w:t xml:space="preserve">: </w:t>
      </w:r>
      <w:r w:rsidR="00BD0FB2" w:rsidRPr="003360D7">
        <w:rPr>
          <w:rFonts w:ascii="Arial" w:hAnsi="Arial" w:cs="Arial"/>
          <w:sz w:val="28"/>
          <w:szCs w:val="28"/>
        </w:rPr>
        <w:t>«</w:t>
      </w:r>
      <w:r w:rsidR="00BD0FB2" w:rsidRPr="003360D7">
        <w:rPr>
          <w:rFonts w:ascii="Times New Roman" w:hAnsi="Times New Roman" w:cs="Times New Roman"/>
          <w:i/>
          <w:iCs/>
          <w:sz w:val="28"/>
          <w:szCs w:val="28"/>
        </w:rPr>
        <w:t>Salvo che sia diversamente stabilito nell’atto di concessione, quando venga a cessare la concessione, le opere non amovibili, costruite sulla zona demaniale, restano acquisite allo Stato, senza alcun compenso o rimborso, salva la facoltà dell</w:t>
      </w:r>
      <w:r w:rsidR="007231D4" w:rsidRPr="003360D7">
        <w:rPr>
          <w:rFonts w:ascii="Times New Roman" w:hAnsi="Times New Roman" w:cs="Times New Roman"/>
          <w:i/>
          <w:iCs/>
          <w:sz w:val="28"/>
          <w:szCs w:val="28"/>
        </w:rPr>
        <w:t>’</w:t>
      </w:r>
      <w:r w:rsidR="00BD0FB2" w:rsidRPr="003360D7">
        <w:rPr>
          <w:rFonts w:ascii="Times New Roman" w:hAnsi="Times New Roman" w:cs="Times New Roman"/>
          <w:i/>
          <w:iCs/>
          <w:sz w:val="28"/>
          <w:szCs w:val="28"/>
        </w:rPr>
        <w:t>autorità concedente di ordinarne la demolizione, con restituzione del bene demaniale al pristino stato</w:t>
      </w:r>
      <w:r w:rsidR="00BD0FB2" w:rsidRPr="003360D7">
        <w:rPr>
          <w:rFonts w:ascii="Arial" w:hAnsi="Arial" w:cs="Arial"/>
          <w:sz w:val="28"/>
          <w:szCs w:val="28"/>
        </w:rPr>
        <w:t>»</w:t>
      </w:r>
      <w:r w:rsidR="00BD0FB2" w:rsidRPr="003360D7">
        <w:rPr>
          <w:rFonts w:ascii="Times New Roman" w:hAnsi="Times New Roman" w:cs="Times New Roman"/>
          <w:sz w:val="28"/>
          <w:szCs w:val="28"/>
        </w:rPr>
        <w:t xml:space="preserve">. </w:t>
      </w:r>
      <w:r w:rsidR="007231D4" w:rsidRPr="003360D7">
        <w:rPr>
          <w:rFonts w:ascii="Times New Roman" w:hAnsi="Times New Roman" w:cs="Times New Roman"/>
          <w:sz w:val="28"/>
          <w:szCs w:val="28"/>
        </w:rPr>
        <w:t xml:space="preserve">L’incipit lascia evidentemente spazio a deroghe pattizie al rigore dell’affermazione generale. </w:t>
      </w:r>
      <w:r w:rsidR="00275E52" w:rsidRPr="003360D7">
        <w:rPr>
          <w:rFonts w:ascii="Times New Roman" w:hAnsi="Times New Roman" w:cs="Times New Roman"/>
          <w:sz w:val="28"/>
          <w:szCs w:val="28"/>
        </w:rPr>
        <w:t>Si comprende pienamente l’accostamento dell</w:t>
      </w:r>
      <w:r w:rsidR="00AF3483" w:rsidRPr="003360D7">
        <w:rPr>
          <w:rFonts w:ascii="Times New Roman" w:hAnsi="Times New Roman" w:cs="Times New Roman"/>
          <w:sz w:val="28"/>
          <w:szCs w:val="28"/>
        </w:rPr>
        <w:t>’i</w:t>
      </w:r>
      <w:r w:rsidR="00275E52" w:rsidRPr="003360D7">
        <w:rPr>
          <w:rFonts w:ascii="Times New Roman" w:hAnsi="Times New Roman" w:cs="Times New Roman"/>
          <w:sz w:val="28"/>
          <w:szCs w:val="28"/>
        </w:rPr>
        <w:t>stituto dell’i</w:t>
      </w:r>
      <w:r w:rsidR="00AF3483" w:rsidRPr="003360D7">
        <w:rPr>
          <w:rFonts w:ascii="Times New Roman" w:hAnsi="Times New Roman" w:cs="Times New Roman"/>
          <w:sz w:val="28"/>
          <w:szCs w:val="28"/>
        </w:rPr>
        <w:t xml:space="preserve">ncameramento </w:t>
      </w:r>
      <w:r w:rsidR="00275E52" w:rsidRPr="003360D7">
        <w:rPr>
          <w:rFonts w:ascii="Times New Roman" w:hAnsi="Times New Roman" w:cs="Times New Roman"/>
          <w:sz w:val="28"/>
          <w:szCs w:val="28"/>
        </w:rPr>
        <w:t>a quello dell’acce</w:t>
      </w:r>
      <w:r w:rsidR="00BD0FB2" w:rsidRPr="003360D7">
        <w:rPr>
          <w:rFonts w:ascii="Times New Roman" w:hAnsi="Times New Roman" w:cs="Times New Roman"/>
          <w:sz w:val="28"/>
          <w:szCs w:val="28"/>
        </w:rPr>
        <w:t>ssione, di cui all</w:t>
      </w:r>
      <w:r w:rsidR="00AF3483" w:rsidRPr="003360D7">
        <w:rPr>
          <w:rFonts w:ascii="Times New Roman" w:hAnsi="Times New Roman" w:cs="Times New Roman"/>
          <w:sz w:val="28"/>
          <w:szCs w:val="28"/>
        </w:rPr>
        <w:t>’</w:t>
      </w:r>
      <w:r w:rsidR="00BD0FB2" w:rsidRPr="003360D7">
        <w:rPr>
          <w:rFonts w:ascii="Times New Roman" w:hAnsi="Times New Roman" w:cs="Times New Roman"/>
          <w:sz w:val="28"/>
          <w:szCs w:val="28"/>
        </w:rPr>
        <w:t>art. 934 c. c.</w:t>
      </w:r>
      <w:r w:rsidR="00AF3483" w:rsidRPr="003360D7">
        <w:rPr>
          <w:rFonts w:ascii="Times New Roman" w:hAnsi="Times New Roman" w:cs="Times New Roman"/>
          <w:sz w:val="28"/>
          <w:szCs w:val="28"/>
        </w:rPr>
        <w:t xml:space="preserve"> </w:t>
      </w:r>
      <w:r w:rsidR="007231D4" w:rsidRPr="003360D7">
        <w:rPr>
          <w:rFonts w:ascii="Times New Roman" w:hAnsi="Times New Roman" w:cs="Times New Roman"/>
          <w:sz w:val="28"/>
          <w:szCs w:val="28"/>
        </w:rPr>
        <w:t xml:space="preserve">Rispetto alla disciplina civilistica, tuttavia, manca una previsione analoga a quella contenuta nel successivo art. </w:t>
      </w:r>
      <w:r w:rsidRPr="003360D7">
        <w:rPr>
          <w:rFonts w:ascii="Times New Roman" w:hAnsi="Times New Roman" w:cs="Times New Roman"/>
          <w:sz w:val="28"/>
          <w:szCs w:val="28"/>
        </w:rPr>
        <w:t>936, comma 2, c.c.</w:t>
      </w:r>
      <w:r w:rsidR="00AF3483" w:rsidRPr="003360D7">
        <w:rPr>
          <w:rFonts w:ascii="Times New Roman" w:hAnsi="Times New Roman" w:cs="Times New Roman"/>
          <w:sz w:val="28"/>
          <w:szCs w:val="28"/>
        </w:rPr>
        <w:t xml:space="preserve">, </w:t>
      </w:r>
      <w:r w:rsidR="003F4A2B" w:rsidRPr="003360D7">
        <w:rPr>
          <w:rFonts w:ascii="Times New Roman" w:hAnsi="Times New Roman" w:cs="Times New Roman"/>
          <w:sz w:val="28"/>
          <w:szCs w:val="28"/>
        </w:rPr>
        <w:t xml:space="preserve">ai sensi del quale, ove </w:t>
      </w:r>
      <w:r w:rsidRPr="003360D7">
        <w:rPr>
          <w:rFonts w:ascii="Times New Roman" w:hAnsi="Times New Roman" w:cs="Times New Roman"/>
          <w:sz w:val="28"/>
          <w:szCs w:val="28"/>
        </w:rPr>
        <w:t xml:space="preserve">il proprietario del fondo su cui sono state realizzate opere da terzi </w:t>
      </w:r>
      <w:r w:rsidR="003F4A2B" w:rsidRPr="003360D7">
        <w:rPr>
          <w:rFonts w:ascii="Times New Roman" w:hAnsi="Times New Roman" w:cs="Times New Roman"/>
          <w:sz w:val="28"/>
          <w:szCs w:val="28"/>
        </w:rPr>
        <w:t xml:space="preserve">con materiali propri decida di </w:t>
      </w:r>
      <w:r w:rsidRPr="003360D7">
        <w:rPr>
          <w:rFonts w:ascii="Times New Roman" w:hAnsi="Times New Roman" w:cs="Times New Roman"/>
          <w:sz w:val="28"/>
          <w:szCs w:val="28"/>
        </w:rPr>
        <w:t>mantenerle, de</w:t>
      </w:r>
      <w:r w:rsidR="003F4A2B" w:rsidRPr="003360D7">
        <w:rPr>
          <w:rFonts w:ascii="Times New Roman" w:hAnsi="Times New Roman" w:cs="Times New Roman"/>
          <w:sz w:val="28"/>
          <w:szCs w:val="28"/>
        </w:rPr>
        <w:t>ve</w:t>
      </w:r>
      <w:r w:rsidRPr="003360D7">
        <w:rPr>
          <w:rFonts w:ascii="Times New Roman" w:hAnsi="Times New Roman" w:cs="Times New Roman"/>
          <w:sz w:val="28"/>
          <w:szCs w:val="28"/>
        </w:rPr>
        <w:t xml:space="preserve"> pagare al costruttore</w:t>
      </w:r>
      <w:r w:rsidR="003F4A2B" w:rsidRPr="003360D7">
        <w:rPr>
          <w:rFonts w:ascii="Times New Roman" w:hAnsi="Times New Roman" w:cs="Times New Roman"/>
          <w:sz w:val="28"/>
          <w:szCs w:val="28"/>
        </w:rPr>
        <w:t>, a sua scelta,</w:t>
      </w:r>
      <w:r w:rsidRPr="003360D7">
        <w:rPr>
          <w:rFonts w:ascii="Times New Roman" w:hAnsi="Times New Roman" w:cs="Times New Roman"/>
          <w:sz w:val="28"/>
          <w:szCs w:val="28"/>
        </w:rPr>
        <w:t xml:space="preserve"> il valore dei materiali e il prezzo della manodopera, oppure l’aumento di valore che l’opera ha recato al fondo stesso. </w:t>
      </w:r>
      <w:r w:rsidR="003F4A2B" w:rsidRPr="003360D7">
        <w:rPr>
          <w:rFonts w:ascii="Times New Roman" w:hAnsi="Times New Roman" w:cs="Times New Roman"/>
          <w:sz w:val="28"/>
          <w:szCs w:val="28"/>
        </w:rPr>
        <w:t xml:space="preserve">Quanto detto è coerente </w:t>
      </w:r>
      <w:r w:rsidR="00E851A1" w:rsidRPr="003360D7">
        <w:rPr>
          <w:rFonts w:ascii="Times New Roman" w:hAnsi="Times New Roman" w:cs="Times New Roman"/>
          <w:sz w:val="28"/>
          <w:szCs w:val="28"/>
        </w:rPr>
        <w:t xml:space="preserve">con </w:t>
      </w:r>
      <w:r w:rsidR="00275E52" w:rsidRPr="003360D7">
        <w:rPr>
          <w:rFonts w:ascii="Times New Roman" w:hAnsi="Times New Roman" w:cs="Times New Roman"/>
          <w:sz w:val="28"/>
          <w:szCs w:val="28"/>
        </w:rPr>
        <w:t xml:space="preserve">il </w:t>
      </w:r>
      <w:r w:rsidR="00AF3483" w:rsidRPr="003360D7">
        <w:rPr>
          <w:rFonts w:ascii="Times New Roman" w:hAnsi="Times New Roman" w:cs="Times New Roman"/>
          <w:sz w:val="28"/>
          <w:szCs w:val="28"/>
        </w:rPr>
        <w:t>disposto</w:t>
      </w:r>
      <w:r w:rsidR="00E851A1" w:rsidRPr="003360D7">
        <w:rPr>
          <w:rFonts w:ascii="Times New Roman" w:hAnsi="Times New Roman" w:cs="Times New Roman"/>
          <w:sz w:val="28"/>
          <w:szCs w:val="28"/>
        </w:rPr>
        <w:t>, in termini ancor più generali, d</w:t>
      </w:r>
      <w:r w:rsidR="00275E52" w:rsidRPr="003360D7">
        <w:rPr>
          <w:rFonts w:ascii="Times New Roman" w:hAnsi="Times New Roman" w:cs="Times New Roman"/>
          <w:sz w:val="28"/>
          <w:szCs w:val="28"/>
        </w:rPr>
        <w:t>e</w:t>
      </w:r>
      <w:r w:rsidR="00E851A1" w:rsidRPr="003360D7">
        <w:rPr>
          <w:rFonts w:ascii="Times New Roman" w:hAnsi="Times New Roman" w:cs="Times New Roman"/>
          <w:sz w:val="28"/>
          <w:szCs w:val="28"/>
        </w:rPr>
        <w:t>ll’art. 1150 c.c., che attribuisce al possessore il diritto a ricevere un indennizzo per le migliorie apportate al bene posseduto, purché sussistano al momento della restituzione del bene stesso.</w:t>
      </w:r>
      <w:r w:rsidR="009C3440" w:rsidRPr="003360D7">
        <w:rPr>
          <w:rFonts w:ascii="Open Sans" w:hAnsi="Open Sans" w:cs="Open Sans"/>
          <w:color w:val="000000"/>
          <w:sz w:val="27"/>
          <w:szCs w:val="27"/>
          <w:shd w:val="clear" w:color="auto" w:fill="FFFFFF"/>
        </w:rPr>
        <w:t xml:space="preserve"> </w:t>
      </w:r>
      <w:r w:rsidR="003F4A2B" w:rsidRPr="003360D7">
        <w:rPr>
          <w:rFonts w:ascii="Times New Roman" w:hAnsi="Times New Roman" w:cs="Times New Roman"/>
          <w:color w:val="000000"/>
          <w:sz w:val="28"/>
          <w:szCs w:val="28"/>
          <w:shd w:val="clear" w:color="auto" w:fill="FFFFFF"/>
        </w:rPr>
        <w:t xml:space="preserve">Il </w:t>
      </w:r>
      <w:r w:rsidR="00AF3483" w:rsidRPr="003360D7">
        <w:rPr>
          <w:rFonts w:ascii="Times New Roman" w:hAnsi="Times New Roman" w:cs="Times New Roman"/>
          <w:color w:val="000000"/>
          <w:sz w:val="28"/>
          <w:szCs w:val="28"/>
          <w:shd w:val="clear" w:color="auto" w:fill="FFFFFF"/>
        </w:rPr>
        <w:t>Codice della navigazione</w:t>
      </w:r>
      <w:r w:rsidR="003F4A2B" w:rsidRPr="003360D7">
        <w:rPr>
          <w:rFonts w:ascii="Times New Roman" w:hAnsi="Times New Roman" w:cs="Times New Roman"/>
          <w:color w:val="000000"/>
          <w:sz w:val="28"/>
          <w:szCs w:val="28"/>
          <w:shd w:val="clear" w:color="auto" w:fill="FFFFFF"/>
        </w:rPr>
        <w:t>, invece,</w:t>
      </w:r>
      <w:r w:rsidR="00AF3483" w:rsidRPr="003360D7">
        <w:rPr>
          <w:rFonts w:ascii="Times New Roman" w:hAnsi="Times New Roman" w:cs="Times New Roman"/>
          <w:color w:val="000000"/>
          <w:sz w:val="28"/>
          <w:szCs w:val="28"/>
          <w:shd w:val="clear" w:color="auto" w:fill="FFFFFF"/>
        </w:rPr>
        <w:t xml:space="preserve"> </w:t>
      </w:r>
      <w:r w:rsidR="00275E52" w:rsidRPr="003360D7">
        <w:rPr>
          <w:rFonts w:ascii="Times New Roman" w:hAnsi="Times New Roman" w:cs="Times New Roman"/>
          <w:color w:val="000000"/>
          <w:sz w:val="28"/>
          <w:szCs w:val="28"/>
          <w:shd w:val="clear" w:color="auto" w:fill="FFFFFF"/>
        </w:rPr>
        <w:t xml:space="preserve">come si vede, </w:t>
      </w:r>
      <w:r w:rsidR="00AF3483" w:rsidRPr="003360D7">
        <w:rPr>
          <w:rFonts w:ascii="Times New Roman" w:hAnsi="Times New Roman" w:cs="Times New Roman"/>
          <w:color w:val="000000"/>
          <w:sz w:val="28"/>
          <w:szCs w:val="28"/>
          <w:shd w:val="clear" w:color="auto" w:fill="FFFFFF"/>
        </w:rPr>
        <w:t xml:space="preserve">non contempla </w:t>
      </w:r>
      <w:r w:rsidR="00275E52" w:rsidRPr="003360D7">
        <w:rPr>
          <w:rFonts w:ascii="Times New Roman" w:hAnsi="Times New Roman" w:cs="Times New Roman"/>
          <w:color w:val="000000"/>
          <w:sz w:val="28"/>
          <w:szCs w:val="28"/>
          <w:shd w:val="clear" w:color="auto" w:fill="FFFFFF"/>
        </w:rPr>
        <w:t xml:space="preserve">in genere </w:t>
      </w:r>
      <w:r w:rsidR="003F4A2B" w:rsidRPr="003360D7">
        <w:rPr>
          <w:rFonts w:ascii="Times New Roman" w:hAnsi="Times New Roman" w:cs="Times New Roman"/>
          <w:color w:val="000000"/>
          <w:sz w:val="28"/>
          <w:szCs w:val="28"/>
          <w:shd w:val="clear" w:color="auto" w:fill="FFFFFF"/>
        </w:rPr>
        <w:t xml:space="preserve">alcun ristoro, </w:t>
      </w:r>
      <w:r w:rsidR="00AF3483" w:rsidRPr="003360D7">
        <w:rPr>
          <w:rFonts w:ascii="Times New Roman" w:hAnsi="Times New Roman" w:cs="Times New Roman"/>
          <w:color w:val="000000"/>
          <w:sz w:val="28"/>
          <w:szCs w:val="28"/>
          <w:shd w:val="clear" w:color="auto" w:fill="FFFFFF"/>
        </w:rPr>
        <w:t>salvo le parti si siano a monte accordate diversamente</w:t>
      </w:r>
      <w:r w:rsidR="00275E52" w:rsidRPr="003360D7">
        <w:rPr>
          <w:rFonts w:ascii="Times New Roman" w:hAnsi="Times New Roman" w:cs="Times New Roman"/>
          <w:color w:val="000000"/>
          <w:sz w:val="28"/>
          <w:szCs w:val="28"/>
          <w:shd w:val="clear" w:color="auto" w:fill="FFFFFF"/>
        </w:rPr>
        <w:t>. In tale ipotesi, infatti</w:t>
      </w:r>
      <w:r w:rsidR="00AF3483" w:rsidRPr="003360D7">
        <w:rPr>
          <w:rFonts w:ascii="Times New Roman" w:hAnsi="Times New Roman" w:cs="Times New Roman"/>
          <w:color w:val="000000"/>
          <w:sz w:val="28"/>
          <w:szCs w:val="28"/>
          <w:shd w:val="clear" w:color="auto" w:fill="FFFFFF"/>
        </w:rPr>
        <w:t xml:space="preserve">, </w:t>
      </w:r>
      <w:r w:rsidR="00275E52" w:rsidRPr="003360D7">
        <w:rPr>
          <w:rFonts w:ascii="Times New Roman" w:hAnsi="Times New Roman" w:cs="Times New Roman"/>
          <w:color w:val="000000"/>
          <w:sz w:val="28"/>
          <w:szCs w:val="28"/>
          <w:shd w:val="clear" w:color="auto" w:fill="FFFFFF"/>
        </w:rPr>
        <w:t xml:space="preserve">si dà rilievo evidentemente alla </w:t>
      </w:r>
      <w:r w:rsidR="00AF3483" w:rsidRPr="003360D7">
        <w:rPr>
          <w:rFonts w:ascii="Times New Roman" w:hAnsi="Times New Roman" w:cs="Times New Roman"/>
          <w:color w:val="000000"/>
          <w:sz w:val="28"/>
          <w:szCs w:val="28"/>
          <w:shd w:val="clear" w:color="auto" w:fill="FFFFFF"/>
        </w:rPr>
        <w:t xml:space="preserve">valutazione preventiva </w:t>
      </w:r>
      <w:r w:rsidR="003F4A2B" w:rsidRPr="003360D7">
        <w:rPr>
          <w:rFonts w:ascii="Times New Roman" w:hAnsi="Times New Roman" w:cs="Times New Roman"/>
          <w:color w:val="000000"/>
          <w:sz w:val="28"/>
          <w:szCs w:val="28"/>
          <w:shd w:val="clear" w:color="auto" w:fill="FFFFFF"/>
        </w:rPr>
        <w:t xml:space="preserve">da parte dell’Amministrazione concedente </w:t>
      </w:r>
      <w:r w:rsidR="00AF3483" w:rsidRPr="003360D7">
        <w:rPr>
          <w:rFonts w:ascii="Times New Roman" w:hAnsi="Times New Roman" w:cs="Times New Roman"/>
          <w:color w:val="000000"/>
          <w:sz w:val="28"/>
          <w:szCs w:val="28"/>
          <w:shd w:val="clear" w:color="auto" w:fill="FFFFFF"/>
        </w:rPr>
        <w:t>d</w:t>
      </w:r>
      <w:r w:rsidR="00275E52" w:rsidRPr="003360D7">
        <w:rPr>
          <w:rFonts w:ascii="Times New Roman" w:hAnsi="Times New Roman" w:cs="Times New Roman"/>
          <w:color w:val="000000"/>
          <w:sz w:val="28"/>
          <w:szCs w:val="28"/>
          <w:shd w:val="clear" w:color="auto" w:fill="FFFFFF"/>
        </w:rPr>
        <w:t>ella</w:t>
      </w:r>
      <w:r w:rsidR="00AF3483" w:rsidRPr="003360D7">
        <w:rPr>
          <w:rFonts w:ascii="Times New Roman" w:hAnsi="Times New Roman" w:cs="Times New Roman"/>
          <w:color w:val="000000"/>
          <w:sz w:val="28"/>
          <w:szCs w:val="28"/>
          <w:shd w:val="clear" w:color="auto" w:fill="FFFFFF"/>
        </w:rPr>
        <w:t xml:space="preserve"> convenienza </w:t>
      </w:r>
      <w:r w:rsidR="003F4A2B" w:rsidRPr="003360D7">
        <w:rPr>
          <w:rFonts w:ascii="Times New Roman" w:hAnsi="Times New Roman" w:cs="Times New Roman"/>
          <w:color w:val="000000"/>
          <w:sz w:val="28"/>
          <w:szCs w:val="28"/>
          <w:shd w:val="clear" w:color="auto" w:fill="FFFFFF"/>
        </w:rPr>
        <w:t>d</w:t>
      </w:r>
      <w:r w:rsidR="00AF3483" w:rsidRPr="003360D7">
        <w:rPr>
          <w:rFonts w:ascii="Times New Roman" w:hAnsi="Times New Roman" w:cs="Times New Roman"/>
          <w:color w:val="000000"/>
          <w:sz w:val="28"/>
          <w:szCs w:val="28"/>
          <w:shd w:val="clear" w:color="auto" w:fill="FFFFFF"/>
        </w:rPr>
        <w:t>ell’affidamento della realizzazione dell’opera al concessionario</w:t>
      </w:r>
      <w:r w:rsidR="003F4A2B" w:rsidRPr="003360D7">
        <w:rPr>
          <w:rFonts w:ascii="Times New Roman" w:hAnsi="Times New Roman" w:cs="Times New Roman"/>
          <w:color w:val="000000"/>
          <w:sz w:val="28"/>
          <w:szCs w:val="28"/>
          <w:shd w:val="clear" w:color="auto" w:fill="FFFFFF"/>
        </w:rPr>
        <w:t xml:space="preserve">. </w:t>
      </w:r>
      <w:r w:rsidR="009C3440" w:rsidRPr="003360D7">
        <w:rPr>
          <w:rFonts w:ascii="Times New Roman" w:hAnsi="Times New Roman" w:cs="Times New Roman"/>
          <w:sz w:val="28"/>
          <w:szCs w:val="28"/>
        </w:rPr>
        <w:t>Ai sensi dell</w:t>
      </w:r>
      <w:r w:rsidR="003F4A2B" w:rsidRPr="003360D7">
        <w:rPr>
          <w:rFonts w:ascii="Times New Roman" w:hAnsi="Times New Roman" w:cs="Times New Roman"/>
          <w:sz w:val="28"/>
          <w:szCs w:val="28"/>
        </w:rPr>
        <w:t>’</w:t>
      </w:r>
      <w:r w:rsidR="009C3440" w:rsidRPr="003360D7">
        <w:rPr>
          <w:rFonts w:ascii="Times New Roman" w:hAnsi="Times New Roman" w:cs="Times New Roman"/>
          <w:sz w:val="28"/>
          <w:szCs w:val="28"/>
        </w:rPr>
        <w:t>articolo 1, comma 251, della legge del 27 dicembre 2006, n. 296 - Disposizioni per la formazione del bilancio annuale e pluriennale dello Stato (legge finanziaria 2007)</w:t>
      </w:r>
      <w:r w:rsidR="00425C2D" w:rsidRPr="003360D7">
        <w:rPr>
          <w:rFonts w:ascii="Times New Roman" w:hAnsi="Times New Roman" w:cs="Times New Roman"/>
          <w:sz w:val="28"/>
          <w:szCs w:val="28"/>
        </w:rPr>
        <w:t xml:space="preserve"> </w:t>
      </w:r>
      <w:r w:rsidR="002F78BA" w:rsidRPr="003360D7">
        <w:rPr>
          <w:rFonts w:ascii="Times New Roman" w:hAnsi="Times New Roman" w:cs="Times New Roman"/>
          <w:sz w:val="28"/>
          <w:szCs w:val="28"/>
        </w:rPr>
        <w:t xml:space="preserve">-, che ha sostituito il comma 1 dell’articolo 03 del </w:t>
      </w:r>
      <w:proofErr w:type="spellStart"/>
      <w:r w:rsidR="002F78BA" w:rsidRPr="003360D7">
        <w:rPr>
          <w:rFonts w:ascii="Times New Roman" w:hAnsi="Times New Roman" w:cs="Times New Roman"/>
          <w:sz w:val="28"/>
          <w:szCs w:val="28"/>
        </w:rPr>
        <w:t>d.l.</w:t>
      </w:r>
      <w:proofErr w:type="spellEnd"/>
      <w:r w:rsidR="002F78BA" w:rsidRPr="003360D7">
        <w:rPr>
          <w:rFonts w:ascii="Times New Roman" w:hAnsi="Times New Roman" w:cs="Times New Roman"/>
          <w:sz w:val="28"/>
          <w:szCs w:val="28"/>
        </w:rPr>
        <w:t xml:space="preserve"> 5 ottobre 1993, n. 400, convertito, con modificazioni, dalla l. 4 dicembre 1993, n. 494, </w:t>
      </w:r>
      <w:r w:rsidR="009C3440" w:rsidRPr="003360D7">
        <w:rPr>
          <w:rFonts w:ascii="Times New Roman" w:hAnsi="Times New Roman" w:cs="Times New Roman"/>
          <w:sz w:val="28"/>
          <w:szCs w:val="28"/>
        </w:rPr>
        <w:t>l</w:t>
      </w:r>
      <w:r w:rsidR="002F78BA" w:rsidRPr="003360D7">
        <w:rPr>
          <w:rFonts w:ascii="Times New Roman" w:hAnsi="Times New Roman" w:cs="Times New Roman"/>
          <w:sz w:val="28"/>
          <w:szCs w:val="28"/>
        </w:rPr>
        <w:t>’</w:t>
      </w:r>
      <w:r w:rsidR="009C3440" w:rsidRPr="003360D7">
        <w:rPr>
          <w:rFonts w:ascii="Times New Roman" w:hAnsi="Times New Roman" w:cs="Times New Roman"/>
          <w:sz w:val="28"/>
          <w:szCs w:val="28"/>
        </w:rPr>
        <w:t>acquisizione al demanio pubblico di beni costruiti dal concessionario comporta l</w:t>
      </w:r>
      <w:r w:rsidR="002F78BA" w:rsidRPr="003360D7">
        <w:rPr>
          <w:rFonts w:ascii="Times New Roman" w:hAnsi="Times New Roman" w:cs="Times New Roman"/>
          <w:sz w:val="28"/>
          <w:szCs w:val="28"/>
        </w:rPr>
        <w:t>’</w:t>
      </w:r>
      <w:r w:rsidR="009C3440" w:rsidRPr="003360D7">
        <w:rPr>
          <w:rFonts w:ascii="Times New Roman" w:hAnsi="Times New Roman" w:cs="Times New Roman"/>
          <w:sz w:val="28"/>
          <w:szCs w:val="28"/>
        </w:rPr>
        <w:t>applicazione agli stessi del canone maggiorato, dato che tali opere sono considerate</w:t>
      </w:r>
      <w:r w:rsidR="00AF3483" w:rsidRPr="003360D7">
        <w:rPr>
          <w:rFonts w:ascii="Times New Roman" w:hAnsi="Times New Roman" w:cs="Times New Roman"/>
          <w:sz w:val="28"/>
          <w:szCs w:val="28"/>
        </w:rPr>
        <w:t>,</w:t>
      </w:r>
      <w:r w:rsidR="009C3440" w:rsidRPr="003360D7">
        <w:rPr>
          <w:rFonts w:ascii="Times New Roman" w:hAnsi="Times New Roman" w:cs="Times New Roman"/>
          <w:sz w:val="28"/>
          <w:szCs w:val="28"/>
        </w:rPr>
        <w:t xml:space="preserve"> come </w:t>
      </w:r>
      <w:r w:rsidR="00AF3483" w:rsidRPr="003360D7">
        <w:rPr>
          <w:rFonts w:ascii="Times New Roman" w:hAnsi="Times New Roman" w:cs="Times New Roman"/>
          <w:sz w:val="28"/>
          <w:szCs w:val="28"/>
        </w:rPr>
        <w:t xml:space="preserve">chiarito, </w:t>
      </w:r>
      <w:r w:rsidR="009C3440" w:rsidRPr="003360D7">
        <w:rPr>
          <w:rFonts w:ascii="Times New Roman" w:hAnsi="Times New Roman" w:cs="Times New Roman"/>
          <w:sz w:val="28"/>
          <w:szCs w:val="28"/>
        </w:rPr>
        <w:t>pertinenze del demanio pubblico.</w:t>
      </w:r>
      <w:r w:rsidR="003F3E73" w:rsidRPr="003360D7">
        <w:rPr>
          <w:rFonts w:ascii="Times New Roman" w:hAnsi="Times New Roman" w:cs="Times New Roman"/>
          <w:sz w:val="28"/>
          <w:szCs w:val="28"/>
        </w:rPr>
        <w:t xml:space="preserve"> In questa prospettiva, </w:t>
      </w:r>
      <w:r w:rsidR="00AF3483" w:rsidRPr="003360D7">
        <w:rPr>
          <w:rFonts w:ascii="Times New Roman" w:hAnsi="Times New Roman" w:cs="Times New Roman"/>
          <w:sz w:val="28"/>
          <w:szCs w:val="28"/>
        </w:rPr>
        <w:t xml:space="preserve">si parla di </w:t>
      </w:r>
      <w:r w:rsidR="003F3E73" w:rsidRPr="003360D7">
        <w:rPr>
          <w:rFonts w:ascii="Times New Roman" w:hAnsi="Times New Roman" w:cs="Times New Roman"/>
          <w:sz w:val="28"/>
          <w:szCs w:val="28"/>
        </w:rPr>
        <w:t>canoni commisurati ai valori di mercato</w:t>
      </w:r>
      <w:r w:rsidR="00AF3483" w:rsidRPr="003360D7">
        <w:rPr>
          <w:rFonts w:ascii="Times New Roman" w:hAnsi="Times New Roman" w:cs="Times New Roman"/>
          <w:sz w:val="28"/>
          <w:szCs w:val="28"/>
        </w:rPr>
        <w:t xml:space="preserve">, da distinguere dai c.d. </w:t>
      </w:r>
      <w:r w:rsidR="003F3E73" w:rsidRPr="003360D7">
        <w:rPr>
          <w:rFonts w:ascii="Times New Roman" w:hAnsi="Times New Roman" w:cs="Times New Roman"/>
          <w:sz w:val="28"/>
          <w:szCs w:val="28"/>
        </w:rPr>
        <w:t>canoni tabellari</w:t>
      </w:r>
      <w:r w:rsidR="00425C2D" w:rsidRPr="003360D7">
        <w:rPr>
          <w:rFonts w:ascii="Times New Roman" w:hAnsi="Times New Roman" w:cs="Times New Roman"/>
          <w:sz w:val="28"/>
          <w:szCs w:val="28"/>
        </w:rPr>
        <w:t xml:space="preserve">, calcolati in base a tariffe fisse al metro quadro per le sole aree demaniali “nude” o con strutture precarie. </w:t>
      </w:r>
      <w:r w:rsidR="00BD0FB2" w:rsidRPr="003360D7">
        <w:rPr>
          <w:rFonts w:ascii="Times New Roman" w:hAnsi="Times New Roman" w:cs="Times New Roman"/>
          <w:sz w:val="28"/>
          <w:szCs w:val="28"/>
        </w:rPr>
        <w:t xml:space="preserve">La giurisprudenza amministrativa maggioritaria ha interpretato la disposizione </w:t>
      </w:r>
      <w:r w:rsidR="00AF3483" w:rsidRPr="003360D7">
        <w:rPr>
          <w:rFonts w:ascii="Times New Roman" w:hAnsi="Times New Roman" w:cs="Times New Roman"/>
          <w:sz w:val="28"/>
          <w:szCs w:val="28"/>
        </w:rPr>
        <w:t xml:space="preserve">sull’incameramento </w:t>
      </w:r>
      <w:r w:rsidR="00BD0FB2" w:rsidRPr="003360D7">
        <w:rPr>
          <w:rFonts w:ascii="Times New Roman" w:hAnsi="Times New Roman" w:cs="Times New Roman"/>
          <w:sz w:val="28"/>
          <w:szCs w:val="28"/>
        </w:rPr>
        <w:t>nel senso che l</w:t>
      </w:r>
      <w:r w:rsidR="00425C2D" w:rsidRPr="003360D7">
        <w:rPr>
          <w:rFonts w:ascii="Times New Roman" w:hAnsi="Times New Roman" w:cs="Times New Roman"/>
          <w:sz w:val="28"/>
          <w:szCs w:val="28"/>
        </w:rPr>
        <w:t>’</w:t>
      </w:r>
      <w:r w:rsidR="00BD0FB2" w:rsidRPr="003360D7">
        <w:rPr>
          <w:rFonts w:ascii="Times New Roman" w:hAnsi="Times New Roman" w:cs="Times New Roman"/>
          <w:sz w:val="28"/>
          <w:szCs w:val="28"/>
        </w:rPr>
        <w:t xml:space="preserve">acquisto si verifica </w:t>
      </w:r>
      <w:r w:rsidR="00BD0FB2" w:rsidRPr="003360D7">
        <w:rPr>
          <w:rFonts w:ascii="Times New Roman" w:hAnsi="Times New Roman" w:cs="Times New Roman"/>
          <w:i/>
          <w:iCs/>
          <w:sz w:val="28"/>
          <w:szCs w:val="28"/>
        </w:rPr>
        <w:t>ipso iure</w:t>
      </w:r>
      <w:r w:rsidR="00BD0FB2" w:rsidRPr="003360D7">
        <w:rPr>
          <w:rFonts w:ascii="Times New Roman" w:hAnsi="Times New Roman" w:cs="Times New Roman"/>
          <w:sz w:val="28"/>
          <w:szCs w:val="28"/>
        </w:rPr>
        <w:t>, al termine del periodo di concessione</w:t>
      </w:r>
      <w:r w:rsidR="00425C2D" w:rsidRPr="003360D7">
        <w:rPr>
          <w:rFonts w:ascii="Times New Roman" w:hAnsi="Times New Roman" w:cs="Times New Roman"/>
          <w:sz w:val="28"/>
          <w:szCs w:val="28"/>
        </w:rPr>
        <w:t xml:space="preserve">, con effetto immediatamente costitutivo del diritto a favore dello Stato. </w:t>
      </w:r>
      <w:r w:rsidR="00D24117" w:rsidRPr="003360D7">
        <w:rPr>
          <w:rFonts w:ascii="Times New Roman" w:hAnsi="Times New Roman" w:cs="Times New Roman"/>
          <w:sz w:val="28"/>
          <w:szCs w:val="28"/>
        </w:rPr>
        <w:t xml:space="preserve">Da qui la difficoltà dell’individuazione del momento di applicazione del canone maggiorato in tutti i casi di rinnovo o proroga delle concessioni. L’art. 49 del Codice della navigazione, infatti, si limita a prevedere l’acquisto automatico e costitutivo del diritto sulle opere inamovibili in capo allo Stato, senza al contempo individuare lo strumento, anche amministrativo, per determinare e accertare in modo congruo, adeguato, ragionevole e proporzionato l’effettiva consistenza delle opere che vengono acquisite al patrimonio dello Stato. La non immediata intellegibilità del meccanismo </w:t>
      </w:r>
      <w:r w:rsidR="00275E52" w:rsidRPr="003360D7">
        <w:rPr>
          <w:rFonts w:ascii="Times New Roman" w:hAnsi="Times New Roman" w:cs="Times New Roman"/>
          <w:sz w:val="28"/>
          <w:szCs w:val="28"/>
        </w:rPr>
        <w:t xml:space="preserve">sta alla base della </w:t>
      </w:r>
      <w:r w:rsidR="00D24117" w:rsidRPr="003360D7">
        <w:rPr>
          <w:rFonts w:ascii="Times New Roman" w:hAnsi="Times New Roman" w:cs="Times New Roman"/>
          <w:sz w:val="28"/>
          <w:szCs w:val="28"/>
        </w:rPr>
        <w:t xml:space="preserve">richiesta di chiarimenti </w:t>
      </w:r>
      <w:r w:rsidR="00275E52" w:rsidRPr="003360D7">
        <w:rPr>
          <w:rFonts w:ascii="Times New Roman" w:hAnsi="Times New Roman" w:cs="Times New Roman"/>
          <w:sz w:val="28"/>
          <w:szCs w:val="28"/>
        </w:rPr>
        <w:t xml:space="preserve">che la </w:t>
      </w:r>
      <w:r w:rsidR="00D24117" w:rsidRPr="003360D7">
        <w:rPr>
          <w:rFonts w:ascii="Times New Roman" w:hAnsi="Times New Roman" w:cs="Times New Roman"/>
          <w:sz w:val="28"/>
          <w:szCs w:val="28"/>
        </w:rPr>
        <w:t xml:space="preserve">Corte di Giustizia dell’Unione Europea </w:t>
      </w:r>
      <w:r w:rsidR="00275E52" w:rsidRPr="003360D7">
        <w:rPr>
          <w:rFonts w:ascii="Times New Roman" w:hAnsi="Times New Roman" w:cs="Times New Roman"/>
          <w:sz w:val="28"/>
          <w:szCs w:val="28"/>
        </w:rPr>
        <w:t xml:space="preserve">ha avanzato </w:t>
      </w:r>
      <w:r w:rsidR="00D24117" w:rsidRPr="003360D7">
        <w:rPr>
          <w:rFonts w:ascii="Times New Roman" w:hAnsi="Times New Roman" w:cs="Times New Roman"/>
          <w:sz w:val="28"/>
          <w:szCs w:val="28"/>
        </w:rPr>
        <w:t xml:space="preserve">ai sensi dell’articolo 94 del </w:t>
      </w:r>
      <w:r w:rsidR="00275E52" w:rsidRPr="003360D7">
        <w:rPr>
          <w:rFonts w:ascii="Times New Roman" w:hAnsi="Times New Roman" w:cs="Times New Roman"/>
          <w:sz w:val="28"/>
          <w:szCs w:val="28"/>
        </w:rPr>
        <w:t xml:space="preserve">proprio </w:t>
      </w:r>
      <w:r w:rsidR="00D24117" w:rsidRPr="003360D7">
        <w:rPr>
          <w:rFonts w:ascii="Times New Roman" w:hAnsi="Times New Roman" w:cs="Times New Roman"/>
          <w:sz w:val="28"/>
          <w:szCs w:val="28"/>
        </w:rPr>
        <w:t xml:space="preserve">regolamento di procedura </w:t>
      </w:r>
      <w:r w:rsidR="00275E52" w:rsidRPr="003360D7">
        <w:rPr>
          <w:rFonts w:ascii="Times New Roman" w:hAnsi="Times New Roman" w:cs="Times New Roman"/>
          <w:sz w:val="28"/>
          <w:szCs w:val="28"/>
        </w:rPr>
        <w:t xml:space="preserve">alla sez. VII </w:t>
      </w:r>
      <w:r w:rsidR="00D24117" w:rsidRPr="003360D7">
        <w:rPr>
          <w:rFonts w:ascii="Times New Roman" w:hAnsi="Times New Roman" w:cs="Times New Roman"/>
          <w:sz w:val="28"/>
          <w:szCs w:val="28"/>
        </w:rPr>
        <w:t>del Consiglio di Stato</w:t>
      </w:r>
      <w:r w:rsidR="00275E52" w:rsidRPr="003360D7">
        <w:rPr>
          <w:rFonts w:ascii="Times New Roman" w:hAnsi="Times New Roman" w:cs="Times New Roman"/>
          <w:sz w:val="28"/>
          <w:szCs w:val="28"/>
        </w:rPr>
        <w:t>, nell’ambito del procedimento scaturito dall’ordinanza di rimessione</w:t>
      </w:r>
      <w:r w:rsidR="00D24117" w:rsidRPr="003360D7">
        <w:rPr>
          <w:rFonts w:ascii="Times New Roman" w:hAnsi="Times New Roman" w:cs="Times New Roman"/>
          <w:sz w:val="28"/>
          <w:szCs w:val="28"/>
        </w:rPr>
        <w:t xml:space="preserve"> n. 8010 del 15 settembre 2022 (dei cui esiti si dirà più avanti). Con l’ordinanza n. 8184 del 6 settembre 2023 la medesima Sezione ha </w:t>
      </w:r>
      <w:r w:rsidR="00275E52" w:rsidRPr="003360D7">
        <w:rPr>
          <w:rFonts w:ascii="Times New Roman" w:hAnsi="Times New Roman" w:cs="Times New Roman"/>
          <w:sz w:val="28"/>
          <w:szCs w:val="28"/>
        </w:rPr>
        <w:t xml:space="preserve">dunque avuto modo di precisare </w:t>
      </w:r>
      <w:r w:rsidR="00D24117" w:rsidRPr="003360D7">
        <w:rPr>
          <w:rFonts w:ascii="Times New Roman" w:hAnsi="Times New Roman" w:cs="Times New Roman"/>
          <w:sz w:val="28"/>
          <w:szCs w:val="28"/>
        </w:rPr>
        <w:t>lo stato del diritto italiano sul punto, ovvero l</w:t>
      </w:r>
      <w:r w:rsidR="00275E52" w:rsidRPr="003360D7">
        <w:rPr>
          <w:rFonts w:ascii="Times New Roman" w:hAnsi="Times New Roman" w:cs="Times New Roman"/>
          <w:sz w:val="28"/>
          <w:szCs w:val="28"/>
        </w:rPr>
        <w:t xml:space="preserve">a ritenuta </w:t>
      </w:r>
      <w:r w:rsidR="00D24117" w:rsidRPr="003360D7">
        <w:rPr>
          <w:rFonts w:ascii="Times New Roman" w:hAnsi="Times New Roman" w:cs="Times New Roman"/>
          <w:sz w:val="28"/>
          <w:szCs w:val="28"/>
        </w:rPr>
        <w:t xml:space="preserve">applicabilità dell’aumento del canone in ogni caso di rinnovo, non solo alla prima scadenza, </w:t>
      </w:r>
      <w:r w:rsidR="00275E52" w:rsidRPr="003360D7">
        <w:rPr>
          <w:rFonts w:ascii="Times New Roman" w:hAnsi="Times New Roman" w:cs="Times New Roman"/>
          <w:sz w:val="28"/>
          <w:szCs w:val="28"/>
        </w:rPr>
        <w:t xml:space="preserve">ma </w:t>
      </w:r>
      <w:r w:rsidR="00D24117" w:rsidRPr="003360D7">
        <w:rPr>
          <w:rFonts w:ascii="Times New Roman" w:hAnsi="Times New Roman" w:cs="Times New Roman"/>
          <w:sz w:val="28"/>
          <w:szCs w:val="28"/>
        </w:rPr>
        <w:t xml:space="preserve">pure laddove </w:t>
      </w:r>
      <w:r w:rsidR="00275E52" w:rsidRPr="003360D7">
        <w:rPr>
          <w:rFonts w:ascii="Times New Roman" w:hAnsi="Times New Roman" w:cs="Times New Roman"/>
          <w:sz w:val="28"/>
          <w:szCs w:val="28"/>
        </w:rPr>
        <w:t xml:space="preserve">se ne </w:t>
      </w:r>
      <w:r w:rsidR="00D24117" w:rsidRPr="003360D7">
        <w:rPr>
          <w:rFonts w:ascii="Times New Roman" w:hAnsi="Times New Roman" w:cs="Times New Roman"/>
          <w:sz w:val="28"/>
          <w:szCs w:val="28"/>
        </w:rPr>
        <w:t>susseguano per innumerevoli volte. A</w:t>
      </w:r>
      <w:r w:rsidR="00275E52" w:rsidRPr="003360D7">
        <w:rPr>
          <w:rFonts w:ascii="Times New Roman" w:hAnsi="Times New Roman" w:cs="Times New Roman"/>
          <w:sz w:val="28"/>
          <w:szCs w:val="28"/>
        </w:rPr>
        <w:t xml:space="preserve">naloga regola non è </w:t>
      </w:r>
      <w:r w:rsidR="00D24117" w:rsidRPr="003360D7">
        <w:rPr>
          <w:rFonts w:ascii="Times New Roman" w:hAnsi="Times New Roman" w:cs="Times New Roman"/>
          <w:sz w:val="28"/>
          <w:szCs w:val="28"/>
        </w:rPr>
        <w:t xml:space="preserve">estensibile alle proroghe, </w:t>
      </w:r>
      <w:r w:rsidR="00275E52" w:rsidRPr="003360D7">
        <w:rPr>
          <w:rFonts w:ascii="Times New Roman" w:hAnsi="Times New Roman" w:cs="Times New Roman"/>
          <w:sz w:val="28"/>
          <w:szCs w:val="28"/>
        </w:rPr>
        <w:t xml:space="preserve">in quanto </w:t>
      </w:r>
      <w:r w:rsidR="00D24117" w:rsidRPr="003360D7">
        <w:rPr>
          <w:rFonts w:ascii="Times New Roman" w:hAnsi="Times New Roman" w:cs="Times New Roman"/>
          <w:sz w:val="28"/>
          <w:szCs w:val="28"/>
        </w:rPr>
        <w:t xml:space="preserve">si connotano per la mancanza di soluzione di continuità </w:t>
      </w:r>
      <w:r w:rsidR="00275E52" w:rsidRPr="003360D7">
        <w:rPr>
          <w:rFonts w:ascii="Times New Roman" w:hAnsi="Times New Roman" w:cs="Times New Roman"/>
          <w:sz w:val="28"/>
          <w:szCs w:val="28"/>
        </w:rPr>
        <w:t xml:space="preserve">rispetto al </w:t>
      </w:r>
      <w:r w:rsidR="00D24117" w:rsidRPr="003360D7">
        <w:rPr>
          <w:rFonts w:ascii="Times New Roman" w:hAnsi="Times New Roman" w:cs="Times New Roman"/>
          <w:sz w:val="28"/>
          <w:szCs w:val="28"/>
        </w:rPr>
        <w:t xml:space="preserve">titolo originario, </w:t>
      </w:r>
      <w:r w:rsidR="00275E52" w:rsidRPr="003360D7">
        <w:rPr>
          <w:rFonts w:ascii="Times New Roman" w:hAnsi="Times New Roman" w:cs="Times New Roman"/>
          <w:sz w:val="28"/>
          <w:szCs w:val="28"/>
        </w:rPr>
        <w:t xml:space="preserve">del quale </w:t>
      </w:r>
      <w:r w:rsidR="00D24117" w:rsidRPr="003360D7">
        <w:rPr>
          <w:rFonts w:ascii="Times New Roman" w:hAnsi="Times New Roman" w:cs="Times New Roman"/>
          <w:sz w:val="28"/>
          <w:szCs w:val="28"/>
        </w:rPr>
        <w:t>costituisc</w:t>
      </w:r>
      <w:r w:rsidR="00275E52" w:rsidRPr="003360D7">
        <w:rPr>
          <w:rFonts w:ascii="Times New Roman" w:hAnsi="Times New Roman" w:cs="Times New Roman"/>
          <w:sz w:val="28"/>
          <w:szCs w:val="28"/>
        </w:rPr>
        <w:t xml:space="preserve">ono </w:t>
      </w:r>
      <w:r w:rsidR="00D24117" w:rsidRPr="003360D7">
        <w:rPr>
          <w:rFonts w:ascii="Times New Roman" w:hAnsi="Times New Roman" w:cs="Times New Roman"/>
          <w:sz w:val="28"/>
          <w:szCs w:val="28"/>
        </w:rPr>
        <w:t>la prosecuzione sul solo piano dell’efficacia</w:t>
      </w:r>
      <w:r w:rsidR="00275E52" w:rsidRPr="003360D7">
        <w:rPr>
          <w:rFonts w:ascii="Times New Roman" w:hAnsi="Times New Roman" w:cs="Times New Roman"/>
          <w:sz w:val="28"/>
          <w:szCs w:val="28"/>
        </w:rPr>
        <w:t xml:space="preserve">. Pertanto </w:t>
      </w:r>
      <w:r w:rsidR="00D24117" w:rsidRPr="003360D7">
        <w:rPr>
          <w:rFonts w:ascii="Arial" w:hAnsi="Arial" w:cs="Arial"/>
          <w:sz w:val="28"/>
          <w:szCs w:val="28"/>
        </w:rPr>
        <w:t>«</w:t>
      </w:r>
      <w:r w:rsidR="00D24117" w:rsidRPr="003360D7">
        <w:rPr>
          <w:rFonts w:ascii="Times New Roman" w:hAnsi="Times New Roman" w:cs="Times New Roman"/>
          <w:i/>
          <w:iCs/>
          <w:sz w:val="28"/>
          <w:szCs w:val="28"/>
        </w:rPr>
        <w:t>l’atto-fonte che disciplina il rapporto è sempre quello originario, che viene modificato soltanto per quanto attiene il termine di durata</w:t>
      </w:r>
      <w:r w:rsidR="00D24117" w:rsidRPr="003360D7">
        <w:rPr>
          <w:rFonts w:ascii="Arial" w:hAnsi="Arial" w:cs="Arial"/>
          <w:sz w:val="28"/>
          <w:szCs w:val="28"/>
        </w:rPr>
        <w:t>»</w:t>
      </w:r>
      <w:r w:rsidR="00DE36A7" w:rsidRPr="003360D7">
        <w:rPr>
          <w:rFonts w:ascii="Arial" w:hAnsi="Arial" w:cs="Arial"/>
          <w:sz w:val="28"/>
          <w:szCs w:val="28"/>
        </w:rPr>
        <w:t xml:space="preserve"> (</w:t>
      </w:r>
      <w:r w:rsidR="00DE36A7" w:rsidRPr="003360D7">
        <w:rPr>
          <w:rFonts w:ascii="Times New Roman" w:hAnsi="Times New Roman" w:cs="Times New Roman"/>
          <w:sz w:val="28"/>
          <w:szCs w:val="28"/>
        </w:rPr>
        <w:t>nello stesso senso, v. anche</w:t>
      </w:r>
      <w:r w:rsidR="00DE36A7" w:rsidRPr="003360D7">
        <w:rPr>
          <w:rFonts w:ascii="Arial" w:hAnsi="Arial" w:cs="Arial"/>
          <w:sz w:val="28"/>
          <w:szCs w:val="28"/>
        </w:rPr>
        <w:t xml:space="preserve"> </w:t>
      </w:r>
      <w:r w:rsidR="00DE36A7" w:rsidRPr="003360D7">
        <w:rPr>
          <w:rFonts w:ascii="Times New Roman" w:hAnsi="Times New Roman" w:cs="Times New Roman"/>
          <w:sz w:val="28"/>
          <w:szCs w:val="28"/>
        </w:rPr>
        <w:t>Cons. Stato, sez. VI, 3 dicembre 2018, n. 6852)</w:t>
      </w:r>
      <w:r w:rsidR="00D24117" w:rsidRPr="003360D7">
        <w:rPr>
          <w:rFonts w:ascii="Arial" w:hAnsi="Arial" w:cs="Arial"/>
          <w:sz w:val="28"/>
          <w:szCs w:val="28"/>
        </w:rPr>
        <w:t>.</w:t>
      </w:r>
      <w:r w:rsidR="00D24117" w:rsidRPr="003360D7">
        <w:rPr>
          <w:rFonts w:ascii="Times New Roman" w:hAnsi="Times New Roman" w:cs="Times New Roman"/>
          <w:sz w:val="28"/>
          <w:szCs w:val="28"/>
        </w:rPr>
        <w:t xml:space="preserve"> </w:t>
      </w:r>
      <w:r w:rsidR="00BD0FB2" w:rsidRPr="003360D7">
        <w:rPr>
          <w:rFonts w:ascii="Times New Roman" w:hAnsi="Times New Roman" w:cs="Times New Roman"/>
          <w:sz w:val="28"/>
          <w:szCs w:val="28"/>
        </w:rPr>
        <w:t>L’effetto acquisitivo automatico è in qualche modo assimilabile a quello devolutivo che si produce alla scadenza del termine per ottemperare ad un’ingiunzione demolitoria</w:t>
      </w:r>
      <w:r w:rsidR="00AF3483" w:rsidRPr="003360D7">
        <w:rPr>
          <w:rFonts w:ascii="Times New Roman" w:hAnsi="Times New Roman" w:cs="Times New Roman"/>
          <w:sz w:val="28"/>
          <w:szCs w:val="28"/>
        </w:rPr>
        <w:t xml:space="preserve"> </w:t>
      </w:r>
      <w:r w:rsidR="00D97AD6" w:rsidRPr="003360D7">
        <w:rPr>
          <w:rFonts w:ascii="Times New Roman" w:hAnsi="Times New Roman" w:cs="Times New Roman"/>
          <w:sz w:val="28"/>
          <w:szCs w:val="28"/>
        </w:rPr>
        <w:t xml:space="preserve">adottata </w:t>
      </w:r>
      <w:r w:rsidR="00AF3483" w:rsidRPr="003360D7">
        <w:rPr>
          <w:rFonts w:ascii="Times New Roman" w:hAnsi="Times New Roman" w:cs="Times New Roman"/>
          <w:sz w:val="28"/>
          <w:szCs w:val="28"/>
        </w:rPr>
        <w:t>ai sensi dell’art. 31 del d.P.R. 6 giugno 2001, n. 380</w:t>
      </w:r>
      <w:r w:rsidR="00372A6A" w:rsidRPr="003360D7">
        <w:rPr>
          <w:rFonts w:ascii="Times New Roman" w:hAnsi="Times New Roman" w:cs="Times New Roman"/>
          <w:sz w:val="28"/>
          <w:szCs w:val="28"/>
        </w:rPr>
        <w:t xml:space="preserve">, del quale tuttavia non replica la finalità </w:t>
      </w:r>
      <w:r w:rsidR="00D97AD6" w:rsidRPr="003360D7">
        <w:rPr>
          <w:rFonts w:ascii="Times New Roman" w:hAnsi="Times New Roman" w:cs="Times New Roman"/>
          <w:sz w:val="28"/>
          <w:szCs w:val="28"/>
        </w:rPr>
        <w:t xml:space="preserve">(anche) </w:t>
      </w:r>
      <w:r w:rsidR="00372A6A" w:rsidRPr="003360D7">
        <w:rPr>
          <w:rFonts w:ascii="Times New Roman" w:hAnsi="Times New Roman" w:cs="Times New Roman"/>
          <w:sz w:val="28"/>
          <w:szCs w:val="28"/>
        </w:rPr>
        <w:t>sanzionatoria</w:t>
      </w:r>
      <w:r w:rsidR="00BD0FB2" w:rsidRPr="003360D7">
        <w:rPr>
          <w:rFonts w:ascii="Times New Roman" w:hAnsi="Times New Roman" w:cs="Times New Roman"/>
          <w:sz w:val="28"/>
          <w:szCs w:val="28"/>
        </w:rPr>
        <w:t xml:space="preserve">. </w:t>
      </w:r>
      <w:r w:rsidR="001964CE" w:rsidRPr="003360D7">
        <w:rPr>
          <w:rFonts w:ascii="Times New Roman" w:hAnsi="Times New Roman" w:cs="Times New Roman"/>
          <w:sz w:val="28"/>
          <w:szCs w:val="28"/>
        </w:rPr>
        <w:t xml:space="preserve">Dunque, in forza dell’art. 49, comma primo, del codice della navigazione, la proprietà delle opere non amovibili realizzate dal concessionario sull’area demaniale viene acquistata dallo Stato automaticamente nel momento in cui cessa l’efficacia del titolo concessorio. </w:t>
      </w:r>
      <w:r w:rsidR="00372A6A" w:rsidRPr="003360D7">
        <w:rPr>
          <w:rFonts w:ascii="Times New Roman" w:hAnsi="Times New Roman" w:cs="Times New Roman"/>
          <w:sz w:val="28"/>
          <w:szCs w:val="28"/>
        </w:rPr>
        <w:t xml:space="preserve">Ove tali “opere non amovibili” siano state realizzate senza titolo edilizio, </w:t>
      </w:r>
      <w:r w:rsidR="00D97AD6" w:rsidRPr="003360D7">
        <w:rPr>
          <w:rFonts w:ascii="Times New Roman" w:hAnsi="Times New Roman" w:cs="Times New Roman"/>
          <w:sz w:val="28"/>
          <w:szCs w:val="28"/>
        </w:rPr>
        <w:t xml:space="preserve">astrattamente </w:t>
      </w:r>
      <w:r w:rsidR="00372A6A" w:rsidRPr="003360D7">
        <w:rPr>
          <w:rFonts w:ascii="Times New Roman" w:hAnsi="Times New Roman" w:cs="Times New Roman"/>
          <w:sz w:val="28"/>
          <w:szCs w:val="28"/>
        </w:rPr>
        <w:t>sempre necessario</w:t>
      </w:r>
      <w:r w:rsidR="00D97AD6" w:rsidRPr="003360D7">
        <w:rPr>
          <w:rFonts w:ascii="Times New Roman" w:hAnsi="Times New Roman" w:cs="Times New Roman"/>
          <w:sz w:val="28"/>
          <w:szCs w:val="28"/>
        </w:rPr>
        <w:t xml:space="preserve"> in caso di </w:t>
      </w:r>
      <w:r w:rsidR="00372A6A" w:rsidRPr="003360D7">
        <w:rPr>
          <w:rFonts w:ascii="Times New Roman" w:hAnsi="Times New Roman" w:cs="Times New Roman"/>
          <w:sz w:val="28"/>
          <w:szCs w:val="28"/>
        </w:rPr>
        <w:t xml:space="preserve">stabile </w:t>
      </w:r>
      <w:r w:rsidR="00D97AD6" w:rsidRPr="003360D7">
        <w:rPr>
          <w:rFonts w:ascii="Times New Roman" w:hAnsi="Times New Roman" w:cs="Times New Roman"/>
          <w:sz w:val="28"/>
          <w:szCs w:val="28"/>
        </w:rPr>
        <w:t xml:space="preserve">e non temporaneo </w:t>
      </w:r>
      <w:r w:rsidR="00372A6A" w:rsidRPr="003360D7">
        <w:rPr>
          <w:rFonts w:ascii="Times New Roman" w:hAnsi="Times New Roman" w:cs="Times New Roman"/>
          <w:sz w:val="28"/>
          <w:szCs w:val="28"/>
        </w:rPr>
        <w:t>ancoraggio al suolo, i due procedimenti dovrebbero cumularsi</w:t>
      </w:r>
      <w:r w:rsidR="00D97AD6" w:rsidRPr="003360D7">
        <w:rPr>
          <w:rFonts w:ascii="Times New Roman" w:hAnsi="Times New Roman" w:cs="Times New Roman"/>
          <w:sz w:val="28"/>
          <w:szCs w:val="28"/>
        </w:rPr>
        <w:t xml:space="preserve">. Ciò a maggior ragione ove si abbia a mente </w:t>
      </w:r>
      <w:r w:rsidR="00372A6A" w:rsidRPr="003360D7">
        <w:rPr>
          <w:rFonts w:ascii="Times New Roman" w:hAnsi="Times New Roman" w:cs="Times New Roman"/>
          <w:sz w:val="28"/>
          <w:szCs w:val="28"/>
        </w:rPr>
        <w:t xml:space="preserve">che </w:t>
      </w:r>
      <w:r w:rsidR="00D97AD6" w:rsidRPr="003360D7">
        <w:rPr>
          <w:rFonts w:ascii="Times New Roman" w:hAnsi="Times New Roman" w:cs="Times New Roman"/>
          <w:sz w:val="28"/>
          <w:szCs w:val="28"/>
        </w:rPr>
        <w:t xml:space="preserve">il richiamato </w:t>
      </w:r>
      <w:r w:rsidR="00372A6A" w:rsidRPr="003360D7">
        <w:rPr>
          <w:rFonts w:ascii="Times New Roman" w:hAnsi="Times New Roman" w:cs="Times New Roman"/>
          <w:sz w:val="28"/>
          <w:szCs w:val="28"/>
        </w:rPr>
        <w:t xml:space="preserve">art. 31 del </w:t>
      </w:r>
      <w:proofErr w:type="spellStart"/>
      <w:r w:rsidR="00372A6A" w:rsidRPr="003360D7">
        <w:rPr>
          <w:rFonts w:ascii="Times New Roman" w:hAnsi="Times New Roman" w:cs="Times New Roman"/>
          <w:sz w:val="28"/>
          <w:szCs w:val="28"/>
        </w:rPr>
        <w:t>T.u.ed</w:t>
      </w:r>
      <w:proofErr w:type="spellEnd"/>
      <w:r w:rsidR="00372A6A" w:rsidRPr="003360D7">
        <w:rPr>
          <w:rFonts w:ascii="Times New Roman" w:hAnsi="Times New Roman" w:cs="Times New Roman"/>
          <w:sz w:val="28"/>
          <w:szCs w:val="28"/>
        </w:rPr>
        <w:t xml:space="preserve">., </w:t>
      </w:r>
      <w:r w:rsidR="00372A6A" w:rsidRPr="00324EBF">
        <w:rPr>
          <w:rFonts w:ascii="Times New Roman" w:hAnsi="Times New Roman" w:cs="Times New Roman"/>
          <w:sz w:val="28"/>
          <w:szCs w:val="28"/>
        </w:rPr>
        <w:t xml:space="preserve">dopo le modifiche introdotte dal </w:t>
      </w:r>
      <w:proofErr w:type="spellStart"/>
      <w:r w:rsidR="00372A6A" w:rsidRPr="00324EBF">
        <w:rPr>
          <w:rFonts w:ascii="Times New Roman" w:hAnsi="Times New Roman" w:cs="Times New Roman"/>
          <w:sz w:val="28"/>
          <w:szCs w:val="28"/>
        </w:rPr>
        <w:t>d.l.</w:t>
      </w:r>
      <w:proofErr w:type="spellEnd"/>
      <w:r w:rsidR="00372A6A" w:rsidRPr="00324EBF">
        <w:rPr>
          <w:rFonts w:ascii="Times New Roman" w:hAnsi="Times New Roman" w:cs="Times New Roman"/>
          <w:sz w:val="28"/>
          <w:szCs w:val="28"/>
        </w:rPr>
        <w:t xml:space="preserve"> 12 settembre 2014, n. 133, convertito, con modificazioni, dalla l. 11 novembre 2014, n. 164</w:t>
      </w:r>
      <w:r w:rsidR="00372A6A" w:rsidRPr="003360D7">
        <w:rPr>
          <w:rFonts w:ascii="Times New Roman" w:hAnsi="Times New Roman" w:cs="Times New Roman"/>
          <w:sz w:val="28"/>
          <w:szCs w:val="28"/>
        </w:rPr>
        <w:t>, prevede anche (comma 4-</w:t>
      </w:r>
      <w:r w:rsidR="00372A6A" w:rsidRPr="003360D7">
        <w:rPr>
          <w:rFonts w:ascii="Times New Roman" w:hAnsi="Times New Roman" w:cs="Times New Roman"/>
          <w:i/>
          <w:iCs/>
          <w:sz w:val="28"/>
          <w:szCs w:val="28"/>
        </w:rPr>
        <w:t>bis</w:t>
      </w:r>
      <w:r w:rsidR="00372A6A" w:rsidRPr="003360D7">
        <w:rPr>
          <w:rFonts w:ascii="Times New Roman" w:hAnsi="Times New Roman" w:cs="Times New Roman"/>
          <w:sz w:val="28"/>
          <w:szCs w:val="28"/>
        </w:rPr>
        <w:t xml:space="preserve">) l’irrogazione di una sanzione amministrativa pecuniaria, che in caso di abusi realizzati su aree soggette a vincolo, quali quelle del demanio marittimo, </w:t>
      </w:r>
      <w:r w:rsidR="00D97AD6" w:rsidRPr="003360D7">
        <w:rPr>
          <w:rFonts w:ascii="Times New Roman" w:hAnsi="Times New Roman" w:cs="Times New Roman"/>
          <w:sz w:val="28"/>
          <w:szCs w:val="28"/>
        </w:rPr>
        <w:t xml:space="preserve">corrisponde </w:t>
      </w:r>
      <w:r w:rsidR="00372A6A" w:rsidRPr="003360D7">
        <w:rPr>
          <w:rFonts w:ascii="Times New Roman" w:hAnsi="Times New Roman" w:cs="Times New Roman"/>
          <w:sz w:val="28"/>
          <w:szCs w:val="28"/>
        </w:rPr>
        <w:t xml:space="preserve">sempre </w:t>
      </w:r>
      <w:r w:rsidR="00D97AD6" w:rsidRPr="003360D7">
        <w:rPr>
          <w:rFonts w:ascii="Times New Roman" w:hAnsi="Times New Roman" w:cs="Times New Roman"/>
          <w:sz w:val="28"/>
          <w:szCs w:val="28"/>
        </w:rPr>
        <w:t>al massimo edittale</w:t>
      </w:r>
      <w:r w:rsidR="00372A6A" w:rsidRPr="003360D7">
        <w:rPr>
          <w:rFonts w:ascii="Times New Roman" w:hAnsi="Times New Roman" w:cs="Times New Roman"/>
          <w:sz w:val="28"/>
          <w:szCs w:val="28"/>
        </w:rPr>
        <w:t xml:space="preserve">. Il che </w:t>
      </w:r>
      <w:r w:rsidR="00DE36A7" w:rsidRPr="003360D7">
        <w:rPr>
          <w:rFonts w:ascii="Times New Roman" w:hAnsi="Times New Roman" w:cs="Times New Roman"/>
          <w:sz w:val="28"/>
          <w:szCs w:val="28"/>
        </w:rPr>
        <w:t xml:space="preserve">sembrerebbe </w:t>
      </w:r>
      <w:r w:rsidR="00372A6A" w:rsidRPr="003360D7">
        <w:rPr>
          <w:rFonts w:ascii="Times New Roman" w:hAnsi="Times New Roman" w:cs="Times New Roman"/>
          <w:sz w:val="28"/>
          <w:szCs w:val="28"/>
        </w:rPr>
        <w:t>comporta</w:t>
      </w:r>
      <w:r w:rsidR="00DE36A7" w:rsidRPr="003360D7">
        <w:rPr>
          <w:rFonts w:ascii="Times New Roman" w:hAnsi="Times New Roman" w:cs="Times New Roman"/>
          <w:sz w:val="28"/>
          <w:szCs w:val="28"/>
        </w:rPr>
        <w:t>re</w:t>
      </w:r>
      <w:r w:rsidR="00372A6A" w:rsidRPr="003360D7">
        <w:rPr>
          <w:rFonts w:ascii="Times New Roman" w:hAnsi="Times New Roman" w:cs="Times New Roman"/>
          <w:sz w:val="28"/>
          <w:szCs w:val="28"/>
        </w:rPr>
        <w:t xml:space="preserve"> che </w:t>
      </w:r>
      <w:r w:rsidR="004E0AA8" w:rsidRPr="003360D7">
        <w:rPr>
          <w:rFonts w:ascii="Times New Roman" w:hAnsi="Times New Roman" w:cs="Times New Roman"/>
          <w:sz w:val="28"/>
          <w:szCs w:val="28"/>
        </w:rPr>
        <w:t xml:space="preserve">in tali ipotesi </w:t>
      </w:r>
      <w:r w:rsidR="00372A6A" w:rsidRPr="003360D7">
        <w:rPr>
          <w:rFonts w:ascii="Times New Roman" w:hAnsi="Times New Roman" w:cs="Times New Roman"/>
          <w:sz w:val="28"/>
          <w:szCs w:val="28"/>
        </w:rPr>
        <w:t xml:space="preserve">nel caso in cui l’Amministrazione opti, ai sensi dell’art. 49 del Codice della navigazione, per il mantenimento </w:t>
      </w:r>
      <w:r w:rsidR="00DE36A7" w:rsidRPr="003360D7">
        <w:rPr>
          <w:rFonts w:ascii="Times New Roman" w:hAnsi="Times New Roman" w:cs="Times New Roman"/>
          <w:sz w:val="28"/>
          <w:szCs w:val="28"/>
        </w:rPr>
        <w:t xml:space="preserve">dell’opera </w:t>
      </w:r>
      <w:r w:rsidR="004E0AA8" w:rsidRPr="003360D7">
        <w:rPr>
          <w:rFonts w:ascii="Times New Roman" w:hAnsi="Times New Roman" w:cs="Times New Roman"/>
          <w:sz w:val="28"/>
          <w:szCs w:val="28"/>
        </w:rPr>
        <w:t xml:space="preserve">incamerata </w:t>
      </w:r>
      <w:r w:rsidR="00372A6A" w:rsidRPr="003360D7">
        <w:rPr>
          <w:rFonts w:ascii="Times New Roman" w:hAnsi="Times New Roman" w:cs="Times New Roman"/>
          <w:sz w:val="28"/>
          <w:szCs w:val="28"/>
        </w:rPr>
        <w:t xml:space="preserve">in luogo della </w:t>
      </w:r>
      <w:r w:rsidR="004E0AA8" w:rsidRPr="003360D7">
        <w:rPr>
          <w:rFonts w:ascii="Times New Roman" w:hAnsi="Times New Roman" w:cs="Times New Roman"/>
          <w:sz w:val="28"/>
          <w:szCs w:val="28"/>
        </w:rPr>
        <w:t xml:space="preserve">sua </w:t>
      </w:r>
      <w:r w:rsidR="00372A6A" w:rsidRPr="003360D7">
        <w:rPr>
          <w:rFonts w:ascii="Times New Roman" w:hAnsi="Times New Roman" w:cs="Times New Roman"/>
          <w:sz w:val="28"/>
          <w:szCs w:val="28"/>
        </w:rPr>
        <w:t xml:space="preserve">demolizione, </w:t>
      </w:r>
      <w:r w:rsidR="00D97AD6" w:rsidRPr="003360D7">
        <w:rPr>
          <w:rFonts w:ascii="Times New Roman" w:hAnsi="Times New Roman" w:cs="Times New Roman"/>
          <w:sz w:val="28"/>
          <w:szCs w:val="28"/>
        </w:rPr>
        <w:t>senza darsi carico delle previe verifiche di regolarità edilizia, finisc</w:t>
      </w:r>
      <w:r w:rsidR="004E0AA8" w:rsidRPr="003360D7">
        <w:rPr>
          <w:rFonts w:ascii="Times New Roman" w:hAnsi="Times New Roman" w:cs="Times New Roman"/>
          <w:sz w:val="28"/>
          <w:szCs w:val="28"/>
        </w:rPr>
        <w:t>e</w:t>
      </w:r>
      <w:r w:rsidR="00D97AD6" w:rsidRPr="003360D7">
        <w:rPr>
          <w:rFonts w:ascii="Times New Roman" w:hAnsi="Times New Roman" w:cs="Times New Roman"/>
          <w:sz w:val="28"/>
          <w:szCs w:val="28"/>
        </w:rPr>
        <w:t xml:space="preserve"> </w:t>
      </w:r>
      <w:r w:rsidR="00DE36A7" w:rsidRPr="003360D7">
        <w:rPr>
          <w:rFonts w:ascii="Times New Roman" w:hAnsi="Times New Roman" w:cs="Times New Roman"/>
          <w:sz w:val="28"/>
          <w:szCs w:val="28"/>
        </w:rPr>
        <w:t>anche per sanarla da un punto di vista edilizio</w:t>
      </w:r>
      <w:r w:rsidR="00D97AD6" w:rsidRPr="003360D7">
        <w:rPr>
          <w:rFonts w:ascii="Times New Roman" w:hAnsi="Times New Roman" w:cs="Times New Roman"/>
          <w:sz w:val="28"/>
          <w:szCs w:val="28"/>
        </w:rPr>
        <w:t>; qualora invece azioni, come sarebbe obbligatorio, pure il procedimento sanzionatorio ripristinatorio, ponga in essere un meccanismo assimilabile a quello di cui al comma 5 dell’art. 31 del d.P.R., n. 380 del 2001, che egualmente consente di non demolire l’abuso edilizio, laddove reputi sussistenti prevalenti interessi pubblici al suo mantenimento</w:t>
      </w:r>
      <w:r w:rsidR="00DE36A7" w:rsidRPr="003360D7">
        <w:rPr>
          <w:rFonts w:ascii="Times New Roman" w:hAnsi="Times New Roman" w:cs="Times New Roman"/>
          <w:sz w:val="28"/>
          <w:szCs w:val="28"/>
        </w:rPr>
        <w:t>.</w:t>
      </w:r>
      <w:r w:rsidR="00BB52A6" w:rsidRPr="003360D7">
        <w:rPr>
          <w:rFonts w:ascii="Times New Roman" w:hAnsi="Times New Roman" w:cs="Times New Roman"/>
          <w:sz w:val="28"/>
          <w:szCs w:val="28"/>
        </w:rPr>
        <w:t xml:space="preserve"> </w:t>
      </w:r>
      <w:r w:rsidR="00DE36A7" w:rsidRPr="003360D7">
        <w:rPr>
          <w:rFonts w:ascii="Times New Roman" w:hAnsi="Times New Roman" w:cs="Times New Roman"/>
          <w:sz w:val="28"/>
          <w:szCs w:val="28"/>
        </w:rPr>
        <w:t>L</w:t>
      </w:r>
      <w:r w:rsidR="001964CE" w:rsidRPr="003360D7">
        <w:rPr>
          <w:rFonts w:ascii="Times New Roman" w:hAnsi="Times New Roman" w:cs="Times New Roman"/>
          <w:sz w:val="28"/>
          <w:szCs w:val="28"/>
        </w:rPr>
        <w:t xml:space="preserve">’eventuale ricognizione in via amministrativa o l’accertamento giurisdizionale del diritto di proprietà in capo allo Stato ha effetti soltanto dichiarativi e accertativi di una situazione giuridica già costituitasi per effetto della disposizione di legge. </w:t>
      </w:r>
      <w:r w:rsidR="00DE36A7" w:rsidRPr="003360D7">
        <w:rPr>
          <w:rFonts w:ascii="Times New Roman" w:hAnsi="Times New Roman" w:cs="Times New Roman"/>
          <w:sz w:val="28"/>
          <w:szCs w:val="28"/>
        </w:rPr>
        <w:t xml:space="preserve">Essa, </w:t>
      </w:r>
      <w:r w:rsidR="004E0AA8" w:rsidRPr="003360D7">
        <w:rPr>
          <w:rFonts w:ascii="Times New Roman" w:hAnsi="Times New Roman" w:cs="Times New Roman"/>
          <w:sz w:val="28"/>
          <w:szCs w:val="28"/>
        </w:rPr>
        <w:t>poi</w:t>
      </w:r>
      <w:r w:rsidR="00DE36A7" w:rsidRPr="003360D7">
        <w:rPr>
          <w:rFonts w:ascii="Times New Roman" w:hAnsi="Times New Roman" w:cs="Times New Roman"/>
          <w:sz w:val="28"/>
          <w:szCs w:val="28"/>
        </w:rPr>
        <w:t xml:space="preserve">, </w:t>
      </w:r>
      <w:r w:rsidR="001964CE" w:rsidRPr="003360D7">
        <w:rPr>
          <w:rFonts w:ascii="Times New Roman" w:hAnsi="Times New Roman" w:cs="Times New Roman"/>
          <w:sz w:val="28"/>
          <w:szCs w:val="28"/>
        </w:rPr>
        <w:t>spiega effett</w:t>
      </w:r>
      <w:r w:rsidR="00DE36A7" w:rsidRPr="003360D7">
        <w:rPr>
          <w:rFonts w:ascii="Times New Roman" w:hAnsi="Times New Roman" w:cs="Times New Roman"/>
          <w:sz w:val="28"/>
          <w:szCs w:val="28"/>
        </w:rPr>
        <w:t>i</w:t>
      </w:r>
      <w:r w:rsidR="001964CE" w:rsidRPr="003360D7">
        <w:rPr>
          <w:rFonts w:ascii="Times New Roman" w:hAnsi="Times New Roman" w:cs="Times New Roman"/>
          <w:sz w:val="28"/>
          <w:szCs w:val="28"/>
        </w:rPr>
        <w:t xml:space="preserve"> ai fini della determinazione e quantificazione del canone dovuto</w:t>
      </w:r>
      <w:r w:rsidR="00DE36A7" w:rsidRPr="003360D7">
        <w:rPr>
          <w:rFonts w:ascii="Times New Roman" w:hAnsi="Times New Roman" w:cs="Times New Roman"/>
          <w:sz w:val="28"/>
          <w:szCs w:val="28"/>
        </w:rPr>
        <w:t xml:space="preserve">. </w:t>
      </w:r>
      <w:r w:rsidR="001964CE" w:rsidRPr="003360D7">
        <w:rPr>
          <w:rFonts w:ascii="Times New Roman" w:hAnsi="Times New Roman" w:cs="Times New Roman"/>
          <w:sz w:val="28"/>
          <w:szCs w:val="28"/>
        </w:rPr>
        <w:t xml:space="preserve"> </w:t>
      </w:r>
      <w:r w:rsidR="003360D7">
        <w:rPr>
          <w:rFonts w:ascii="Times New Roman" w:hAnsi="Times New Roman" w:cs="Times New Roman"/>
          <w:sz w:val="28"/>
          <w:szCs w:val="28"/>
        </w:rPr>
        <w:t xml:space="preserve"> </w:t>
      </w:r>
      <w:r w:rsidR="004E0AA8" w:rsidRPr="003360D7">
        <w:rPr>
          <w:rFonts w:ascii="Times New Roman" w:hAnsi="Times New Roman" w:cs="Times New Roman"/>
          <w:sz w:val="28"/>
          <w:szCs w:val="28"/>
        </w:rPr>
        <w:t xml:space="preserve">Va ora ricordato come </w:t>
      </w:r>
      <w:r w:rsidR="00D97AD6" w:rsidRPr="003360D7">
        <w:rPr>
          <w:rFonts w:ascii="Times New Roman" w:hAnsi="Times New Roman" w:cs="Times New Roman"/>
          <w:sz w:val="28"/>
          <w:szCs w:val="28"/>
        </w:rPr>
        <w:t>i</w:t>
      </w:r>
      <w:r w:rsidR="001E4199" w:rsidRPr="003360D7">
        <w:rPr>
          <w:rFonts w:ascii="Times New Roman" w:hAnsi="Times New Roman" w:cs="Times New Roman"/>
          <w:sz w:val="28"/>
          <w:szCs w:val="28"/>
        </w:rPr>
        <w:t xml:space="preserve">l primo passo verso il superamento della </w:t>
      </w:r>
      <w:r w:rsidR="004E0AA8" w:rsidRPr="003360D7">
        <w:rPr>
          <w:rFonts w:ascii="Times New Roman" w:hAnsi="Times New Roman" w:cs="Times New Roman"/>
          <w:sz w:val="28"/>
          <w:szCs w:val="28"/>
        </w:rPr>
        <w:t xml:space="preserve">eccessiva </w:t>
      </w:r>
      <w:r w:rsidR="001E4199" w:rsidRPr="003360D7">
        <w:rPr>
          <w:rFonts w:ascii="Times New Roman" w:hAnsi="Times New Roman" w:cs="Times New Roman"/>
          <w:sz w:val="28"/>
          <w:szCs w:val="28"/>
        </w:rPr>
        <w:t>valorizzazione della posizione dei concessionari uscenti</w:t>
      </w:r>
      <w:r w:rsidR="004E0AA8" w:rsidRPr="003360D7">
        <w:rPr>
          <w:rFonts w:ascii="Times New Roman" w:hAnsi="Times New Roman" w:cs="Times New Roman"/>
          <w:sz w:val="28"/>
          <w:szCs w:val="28"/>
        </w:rPr>
        <w:t xml:space="preserve"> risale abbastanza negli anni. Esso si identifica nell’</w:t>
      </w:r>
      <w:r w:rsidR="001E4199" w:rsidRPr="003360D7">
        <w:rPr>
          <w:rFonts w:ascii="Times New Roman" w:hAnsi="Times New Roman" w:cs="Times New Roman"/>
          <w:sz w:val="28"/>
          <w:szCs w:val="28"/>
        </w:rPr>
        <w:t xml:space="preserve">abrogazione del </w:t>
      </w:r>
      <w:r w:rsidR="003678D6" w:rsidRPr="003360D7">
        <w:rPr>
          <w:rFonts w:ascii="Times New Roman" w:hAnsi="Times New Roman" w:cs="Times New Roman"/>
          <w:sz w:val="28"/>
          <w:szCs w:val="28"/>
        </w:rPr>
        <w:t>c.d. “diritto d’insistenza” di cui all</w:t>
      </w:r>
      <w:r w:rsidR="001E4199" w:rsidRPr="003360D7">
        <w:rPr>
          <w:rFonts w:ascii="Times New Roman" w:hAnsi="Times New Roman" w:cs="Times New Roman"/>
          <w:sz w:val="28"/>
          <w:szCs w:val="28"/>
        </w:rPr>
        <w:t>’art.</w:t>
      </w:r>
      <w:r w:rsidR="003678D6" w:rsidRPr="003360D7">
        <w:rPr>
          <w:rFonts w:ascii="Times New Roman" w:hAnsi="Times New Roman" w:cs="Times New Roman"/>
          <w:sz w:val="28"/>
          <w:szCs w:val="28"/>
        </w:rPr>
        <w:t>37</w:t>
      </w:r>
      <w:r w:rsidR="00324EBF">
        <w:rPr>
          <w:rFonts w:ascii="Times New Roman" w:hAnsi="Times New Roman" w:cs="Times New Roman"/>
          <w:sz w:val="28"/>
          <w:szCs w:val="28"/>
        </w:rPr>
        <w:t>, comma 3,</w:t>
      </w:r>
      <w:r w:rsidR="003678D6" w:rsidRPr="003360D7">
        <w:rPr>
          <w:rFonts w:ascii="Times New Roman" w:hAnsi="Times New Roman" w:cs="Times New Roman"/>
          <w:sz w:val="28"/>
          <w:szCs w:val="28"/>
        </w:rPr>
        <w:t xml:space="preserve"> del codice della navigazione</w:t>
      </w:r>
      <w:r w:rsidR="00DB4225">
        <w:rPr>
          <w:rFonts w:ascii="Times New Roman" w:hAnsi="Times New Roman" w:cs="Times New Roman"/>
          <w:sz w:val="28"/>
          <w:szCs w:val="28"/>
        </w:rPr>
        <w:t xml:space="preserve">. </w:t>
      </w:r>
      <w:r w:rsidR="00D97AD6" w:rsidRPr="003360D7">
        <w:rPr>
          <w:rFonts w:ascii="Times New Roman" w:hAnsi="Times New Roman" w:cs="Times New Roman"/>
          <w:sz w:val="28"/>
          <w:szCs w:val="28"/>
        </w:rPr>
        <w:t>Si trattava, come noto</w:t>
      </w:r>
      <w:r w:rsidR="001E4199" w:rsidRPr="003360D7">
        <w:rPr>
          <w:rFonts w:ascii="Times New Roman" w:hAnsi="Times New Roman" w:cs="Times New Roman"/>
          <w:sz w:val="28"/>
          <w:szCs w:val="28"/>
        </w:rPr>
        <w:t xml:space="preserve">, </w:t>
      </w:r>
      <w:r w:rsidR="00D97AD6" w:rsidRPr="003360D7">
        <w:rPr>
          <w:rFonts w:ascii="Times New Roman" w:hAnsi="Times New Roman" w:cs="Times New Roman"/>
          <w:sz w:val="28"/>
          <w:szCs w:val="28"/>
        </w:rPr>
        <w:t>di</w:t>
      </w:r>
      <w:r w:rsidR="00DE36A7" w:rsidRPr="003360D7">
        <w:rPr>
          <w:rFonts w:ascii="Times New Roman" w:hAnsi="Times New Roman" w:cs="Times New Roman"/>
          <w:sz w:val="28"/>
          <w:szCs w:val="28"/>
        </w:rPr>
        <w:t xml:space="preserve"> una sorta di prelazione a vantaggio del precedente titolare, rispetto alle nuove richieste, in caso di concorso di più domande per l’assegnazione o il rinnovo di una concessione </w:t>
      </w:r>
      <w:r w:rsidR="001E4199" w:rsidRPr="003360D7">
        <w:rPr>
          <w:rFonts w:ascii="Times New Roman" w:hAnsi="Times New Roman" w:cs="Times New Roman"/>
          <w:sz w:val="28"/>
          <w:szCs w:val="28"/>
        </w:rPr>
        <w:t>demaniale marittima</w:t>
      </w:r>
      <w:r w:rsidR="00DB4225">
        <w:rPr>
          <w:rFonts w:ascii="Times New Roman" w:hAnsi="Times New Roman" w:cs="Times New Roman"/>
          <w:sz w:val="28"/>
          <w:szCs w:val="28"/>
        </w:rPr>
        <w:t xml:space="preserve">, rimasta tale pure dopo le modifiche apportate dal </w:t>
      </w:r>
      <w:r w:rsidR="00DB4225" w:rsidRPr="00DB4225">
        <w:rPr>
          <w:rFonts w:ascii="Times New Roman" w:hAnsi="Times New Roman" w:cs="Times New Roman"/>
          <w:sz w:val="28"/>
          <w:szCs w:val="28"/>
        </w:rPr>
        <w:t xml:space="preserve">già ricordato </w:t>
      </w:r>
      <w:proofErr w:type="spellStart"/>
      <w:r w:rsidR="00DB4225" w:rsidRPr="00DB4225">
        <w:rPr>
          <w:rFonts w:ascii="Times New Roman" w:hAnsi="Times New Roman" w:cs="Times New Roman"/>
          <w:sz w:val="28"/>
          <w:szCs w:val="28"/>
        </w:rPr>
        <w:t>d.l.</w:t>
      </w:r>
      <w:proofErr w:type="spellEnd"/>
      <w:r w:rsidR="00DB4225" w:rsidRPr="00DB4225">
        <w:rPr>
          <w:rFonts w:ascii="Times New Roman" w:hAnsi="Times New Roman" w:cs="Times New Roman"/>
          <w:sz w:val="28"/>
          <w:szCs w:val="28"/>
        </w:rPr>
        <w:t xml:space="preserve"> n. 400 del 1993, che ha introdotto la priorità per le richieste </w:t>
      </w:r>
      <w:r w:rsidR="00DB4225" w:rsidRPr="00DB4225">
        <w:rPr>
          <w:rFonts w:ascii="Arial" w:hAnsi="Arial" w:cs="Arial"/>
          <w:sz w:val="28"/>
          <w:szCs w:val="28"/>
        </w:rPr>
        <w:t>«</w:t>
      </w:r>
      <w:r w:rsidR="00DB4225" w:rsidRPr="00DB4225">
        <w:rPr>
          <w:rFonts w:ascii="Times New Roman" w:hAnsi="Times New Roman" w:cs="Times New Roman"/>
          <w:i/>
          <w:iCs/>
          <w:sz w:val="28"/>
          <w:szCs w:val="28"/>
        </w:rPr>
        <w:t>che importino attrezzature non fisse e completamente amovibili</w:t>
      </w:r>
      <w:r w:rsidR="00DB4225" w:rsidRPr="00DB4225">
        <w:rPr>
          <w:rFonts w:ascii="Arial" w:hAnsi="Arial" w:cs="Arial"/>
          <w:sz w:val="28"/>
          <w:szCs w:val="28"/>
        </w:rPr>
        <w:t>»</w:t>
      </w:r>
      <w:r w:rsidR="00DB4225" w:rsidRPr="00DB4225">
        <w:rPr>
          <w:rFonts w:ascii="Times New Roman" w:hAnsi="Times New Roman" w:cs="Times New Roman"/>
          <w:sz w:val="28"/>
          <w:szCs w:val="28"/>
        </w:rPr>
        <w:t>. L’abrogazione</w:t>
      </w:r>
      <w:r w:rsidR="00DB4225">
        <w:rPr>
          <w:rFonts w:ascii="Times New Roman" w:hAnsi="Times New Roman" w:cs="Times New Roman"/>
          <w:sz w:val="28"/>
          <w:szCs w:val="28"/>
        </w:rPr>
        <w:t xml:space="preserve"> </w:t>
      </w:r>
      <w:r w:rsidR="001E4199" w:rsidRPr="003360D7">
        <w:rPr>
          <w:rFonts w:ascii="Times New Roman" w:hAnsi="Times New Roman" w:cs="Times New Roman"/>
          <w:sz w:val="28"/>
          <w:szCs w:val="28"/>
        </w:rPr>
        <w:t>è avvenut</w:t>
      </w:r>
      <w:r w:rsidR="00DB4225">
        <w:rPr>
          <w:rFonts w:ascii="Times New Roman" w:hAnsi="Times New Roman" w:cs="Times New Roman"/>
          <w:sz w:val="28"/>
          <w:szCs w:val="28"/>
        </w:rPr>
        <w:t>a</w:t>
      </w:r>
      <w:r w:rsidR="001E4199" w:rsidRPr="003360D7">
        <w:rPr>
          <w:rFonts w:ascii="Times New Roman" w:hAnsi="Times New Roman" w:cs="Times New Roman"/>
          <w:sz w:val="28"/>
          <w:szCs w:val="28"/>
        </w:rPr>
        <w:t xml:space="preserve"> con l’</w:t>
      </w:r>
      <w:r w:rsidR="003678D6" w:rsidRPr="003360D7">
        <w:rPr>
          <w:rFonts w:ascii="Times New Roman" w:hAnsi="Times New Roman" w:cs="Times New Roman"/>
          <w:sz w:val="28"/>
          <w:szCs w:val="28"/>
        </w:rPr>
        <w:t xml:space="preserve">art. 1, comma 18, del </w:t>
      </w:r>
      <w:proofErr w:type="spellStart"/>
      <w:r w:rsidR="003678D6" w:rsidRPr="003360D7">
        <w:rPr>
          <w:rFonts w:ascii="Times New Roman" w:hAnsi="Times New Roman" w:cs="Times New Roman"/>
          <w:sz w:val="28"/>
          <w:szCs w:val="28"/>
        </w:rPr>
        <w:t>d.l.</w:t>
      </w:r>
      <w:proofErr w:type="spellEnd"/>
      <w:r w:rsidR="003678D6" w:rsidRPr="003360D7">
        <w:rPr>
          <w:rFonts w:ascii="Times New Roman" w:hAnsi="Times New Roman" w:cs="Times New Roman"/>
          <w:sz w:val="28"/>
          <w:szCs w:val="28"/>
        </w:rPr>
        <w:t xml:space="preserve"> </w:t>
      </w:r>
      <w:r w:rsidR="001E4199" w:rsidRPr="003360D7">
        <w:rPr>
          <w:rFonts w:ascii="Times New Roman" w:hAnsi="Times New Roman" w:cs="Times New Roman"/>
          <w:sz w:val="28"/>
          <w:szCs w:val="28"/>
        </w:rPr>
        <w:t xml:space="preserve">30 dicembre 2009, </w:t>
      </w:r>
      <w:r w:rsidR="003678D6" w:rsidRPr="003360D7">
        <w:rPr>
          <w:rFonts w:ascii="Times New Roman" w:hAnsi="Times New Roman" w:cs="Times New Roman"/>
          <w:sz w:val="28"/>
          <w:szCs w:val="28"/>
        </w:rPr>
        <w:t>n. 194</w:t>
      </w:r>
      <w:r w:rsidR="001E4199" w:rsidRPr="003360D7">
        <w:rPr>
          <w:rFonts w:ascii="Times New Roman" w:hAnsi="Times New Roman" w:cs="Times New Roman"/>
          <w:sz w:val="28"/>
          <w:szCs w:val="28"/>
        </w:rPr>
        <w:t>,</w:t>
      </w:r>
      <w:r w:rsidR="003678D6" w:rsidRPr="003360D7">
        <w:rPr>
          <w:rFonts w:ascii="Times New Roman" w:hAnsi="Times New Roman" w:cs="Times New Roman"/>
          <w:sz w:val="28"/>
          <w:szCs w:val="28"/>
        </w:rPr>
        <w:t xml:space="preserve"> </w:t>
      </w:r>
      <w:r w:rsidR="004E0AA8" w:rsidRPr="003360D7">
        <w:rPr>
          <w:rFonts w:ascii="Times New Roman" w:hAnsi="Times New Roman" w:cs="Times New Roman"/>
          <w:sz w:val="28"/>
          <w:szCs w:val="28"/>
        </w:rPr>
        <w:t xml:space="preserve">convertito, con modificazioni, dalla l. 26 febbraio 2010, n. 25, </w:t>
      </w:r>
      <w:r w:rsidR="003678D6" w:rsidRPr="003360D7">
        <w:rPr>
          <w:rFonts w:ascii="Times New Roman" w:hAnsi="Times New Roman" w:cs="Times New Roman"/>
          <w:sz w:val="28"/>
          <w:szCs w:val="28"/>
        </w:rPr>
        <w:t xml:space="preserve">che </w:t>
      </w:r>
      <w:r w:rsidR="001E4199" w:rsidRPr="003360D7">
        <w:rPr>
          <w:rFonts w:ascii="Times New Roman" w:hAnsi="Times New Roman" w:cs="Times New Roman"/>
          <w:sz w:val="28"/>
          <w:szCs w:val="28"/>
        </w:rPr>
        <w:t xml:space="preserve">tuttavia </w:t>
      </w:r>
      <w:r w:rsidR="003678D6" w:rsidRPr="003360D7">
        <w:rPr>
          <w:rFonts w:ascii="Times New Roman" w:hAnsi="Times New Roman" w:cs="Times New Roman"/>
          <w:sz w:val="28"/>
          <w:szCs w:val="28"/>
        </w:rPr>
        <w:t xml:space="preserve">conteneva anche la previsione della possibilità di modulare tra sei e venti anni la durata delle concessioni, dando rilievo </w:t>
      </w:r>
      <w:r w:rsidR="004E0AA8" w:rsidRPr="003360D7">
        <w:rPr>
          <w:rFonts w:ascii="Times New Roman" w:hAnsi="Times New Roman" w:cs="Times New Roman"/>
          <w:sz w:val="28"/>
          <w:szCs w:val="28"/>
        </w:rPr>
        <w:t xml:space="preserve">proprio </w:t>
      </w:r>
      <w:r w:rsidR="003678D6" w:rsidRPr="003360D7">
        <w:rPr>
          <w:rFonts w:ascii="Times New Roman" w:hAnsi="Times New Roman" w:cs="Times New Roman"/>
          <w:sz w:val="28"/>
          <w:szCs w:val="28"/>
        </w:rPr>
        <w:t>all’entità e alla consistenza economica delle opere realizzate dal concessionario, nonché la proroga al 31 dicembre 2015 d</w:t>
      </w:r>
      <w:r w:rsidR="00D97AD6" w:rsidRPr="003360D7">
        <w:rPr>
          <w:rFonts w:ascii="Times New Roman" w:hAnsi="Times New Roman" w:cs="Times New Roman"/>
          <w:sz w:val="28"/>
          <w:szCs w:val="28"/>
        </w:rPr>
        <w:t>i quelle</w:t>
      </w:r>
      <w:r w:rsidR="003678D6" w:rsidRPr="003360D7">
        <w:rPr>
          <w:rFonts w:ascii="Times New Roman" w:hAnsi="Times New Roman" w:cs="Times New Roman"/>
          <w:sz w:val="28"/>
          <w:szCs w:val="28"/>
        </w:rPr>
        <w:t xml:space="preserve"> per finalità turistico-ricreative, in scadenza prima di tale data e in atto alla data di entrata in vigore dello stesso decreto-legge</w:t>
      </w:r>
      <w:r w:rsidR="001E4199" w:rsidRPr="003360D7">
        <w:rPr>
          <w:rFonts w:ascii="Times New Roman" w:hAnsi="Times New Roman" w:cs="Times New Roman"/>
          <w:sz w:val="28"/>
          <w:szCs w:val="28"/>
        </w:rPr>
        <w:t xml:space="preserve">. Da un lato, quindi, si cercava di bloccare la procedura d’infrazione avviata </w:t>
      </w:r>
      <w:r w:rsidR="004E0AA8" w:rsidRPr="003360D7">
        <w:rPr>
          <w:rFonts w:ascii="Times New Roman" w:hAnsi="Times New Roman" w:cs="Times New Roman"/>
          <w:sz w:val="28"/>
          <w:szCs w:val="28"/>
        </w:rPr>
        <w:t xml:space="preserve">già all’epoca </w:t>
      </w:r>
      <w:r w:rsidR="001E4199" w:rsidRPr="003360D7">
        <w:rPr>
          <w:rFonts w:ascii="Times New Roman" w:hAnsi="Times New Roman" w:cs="Times New Roman"/>
          <w:sz w:val="28"/>
          <w:szCs w:val="28"/>
        </w:rPr>
        <w:t xml:space="preserve">nei confronti dell’Italia (n. 2008/4908); dall’altro si dava l’avvio al regime delle proroghe, sfociato nella situazione attuale. </w:t>
      </w:r>
    </w:p>
    <w:p w14:paraId="12172029" w14:textId="256C8C3A" w:rsidR="00222AFA" w:rsidRDefault="001E4199" w:rsidP="00A42CE7">
      <w:pPr>
        <w:spacing w:line="288" w:lineRule="auto"/>
        <w:ind w:left="284" w:right="140"/>
        <w:jc w:val="both"/>
        <w:rPr>
          <w:rFonts w:ascii="Times New Roman" w:hAnsi="Times New Roman" w:cs="Times New Roman"/>
          <w:sz w:val="28"/>
          <w:szCs w:val="28"/>
        </w:rPr>
      </w:pPr>
      <w:r w:rsidRPr="004E0AA8">
        <w:rPr>
          <w:rFonts w:ascii="Times New Roman" w:hAnsi="Times New Roman" w:cs="Times New Roman"/>
          <w:sz w:val="28"/>
          <w:szCs w:val="28"/>
        </w:rPr>
        <w:t xml:space="preserve">La giurisprudenza riconobbe che </w:t>
      </w:r>
      <w:r w:rsidR="00BD0FB2" w:rsidRPr="004E0AA8">
        <w:rPr>
          <w:rFonts w:ascii="Times New Roman" w:hAnsi="Times New Roman" w:cs="Times New Roman"/>
          <w:sz w:val="28"/>
          <w:szCs w:val="28"/>
        </w:rPr>
        <w:t xml:space="preserve">nel caso in cui il titolo concessorio </w:t>
      </w:r>
      <w:r w:rsidRPr="004E0AA8">
        <w:rPr>
          <w:rFonts w:ascii="Times New Roman" w:hAnsi="Times New Roman" w:cs="Times New Roman"/>
          <w:sz w:val="28"/>
          <w:szCs w:val="28"/>
        </w:rPr>
        <w:t>fosse</w:t>
      </w:r>
      <w:r w:rsidR="00BD0FB2" w:rsidRPr="004E0AA8">
        <w:rPr>
          <w:rFonts w:ascii="Times New Roman" w:hAnsi="Times New Roman" w:cs="Times New Roman"/>
          <w:sz w:val="28"/>
          <w:szCs w:val="28"/>
        </w:rPr>
        <w:t xml:space="preserve"> stato oggetto di rinnovo automatico prima della data di naturale scadenza della concessione</w:t>
      </w:r>
      <w:r w:rsidR="005B350B" w:rsidRPr="004E0AA8">
        <w:rPr>
          <w:rFonts w:ascii="Times New Roman" w:hAnsi="Times New Roman" w:cs="Times New Roman"/>
          <w:sz w:val="28"/>
          <w:szCs w:val="28"/>
        </w:rPr>
        <w:t>,</w:t>
      </w:r>
      <w:r w:rsidR="00BD0FB2" w:rsidRPr="004E0AA8">
        <w:rPr>
          <w:rFonts w:ascii="Times New Roman" w:hAnsi="Times New Roman" w:cs="Times New Roman"/>
          <w:sz w:val="28"/>
          <w:szCs w:val="28"/>
        </w:rPr>
        <w:t xml:space="preserve"> tanto da configurare, al di là del </w:t>
      </w:r>
      <w:proofErr w:type="spellStart"/>
      <w:r w:rsidR="00BD0FB2" w:rsidRPr="004E0AA8">
        <w:rPr>
          <w:rFonts w:ascii="Times New Roman" w:hAnsi="Times New Roman" w:cs="Times New Roman"/>
          <w:i/>
          <w:iCs/>
          <w:sz w:val="28"/>
          <w:szCs w:val="28"/>
        </w:rPr>
        <w:t>nomen</w:t>
      </w:r>
      <w:proofErr w:type="spellEnd"/>
      <w:r w:rsidR="00BD0FB2" w:rsidRPr="004E0AA8">
        <w:rPr>
          <w:rFonts w:ascii="Times New Roman" w:hAnsi="Times New Roman" w:cs="Times New Roman"/>
          <w:i/>
          <w:iCs/>
          <w:sz w:val="28"/>
          <w:szCs w:val="28"/>
        </w:rPr>
        <w:t xml:space="preserve"> iuris</w:t>
      </w:r>
      <w:r w:rsidR="00BD0FB2" w:rsidRPr="004E0AA8">
        <w:rPr>
          <w:rFonts w:ascii="Times New Roman" w:hAnsi="Times New Roman" w:cs="Times New Roman"/>
          <w:sz w:val="28"/>
          <w:szCs w:val="28"/>
        </w:rPr>
        <w:t>, una piena proroga dell</w:t>
      </w:r>
      <w:r w:rsidRPr="004E0AA8">
        <w:rPr>
          <w:rFonts w:ascii="Times New Roman" w:hAnsi="Times New Roman" w:cs="Times New Roman"/>
          <w:sz w:val="28"/>
          <w:szCs w:val="28"/>
        </w:rPr>
        <w:t>’</w:t>
      </w:r>
      <w:r w:rsidR="00BD0FB2" w:rsidRPr="004E0AA8">
        <w:rPr>
          <w:rFonts w:ascii="Times New Roman" w:hAnsi="Times New Roman" w:cs="Times New Roman"/>
          <w:sz w:val="28"/>
          <w:szCs w:val="28"/>
        </w:rPr>
        <w:t>originario rapporto senza soluzione di continuità</w:t>
      </w:r>
      <w:r w:rsidR="005B350B" w:rsidRPr="004E0AA8">
        <w:rPr>
          <w:rFonts w:ascii="Times New Roman" w:hAnsi="Times New Roman" w:cs="Times New Roman"/>
          <w:sz w:val="28"/>
          <w:szCs w:val="28"/>
        </w:rPr>
        <w:t>, l’incameramento non opera</w:t>
      </w:r>
      <w:r w:rsidRPr="004E0AA8">
        <w:rPr>
          <w:rFonts w:ascii="Times New Roman" w:hAnsi="Times New Roman" w:cs="Times New Roman"/>
          <w:sz w:val="28"/>
          <w:szCs w:val="28"/>
        </w:rPr>
        <w:t>sse</w:t>
      </w:r>
      <w:r w:rsidR="005B350B" w:rsidRPr="004E0AA8">
        <w:rPr>
          <w:rFonts w:ascii="Times New Roman" w:hAnsi="Times New Roman" w:cs="Times New Roman"/>
          <w:sz w:val="28"/>
          <w:szCs w:val="28"/>
        </w:rPr>
        <w:t xml:space="preserve"> (</w:t>
      </w:r>
      <w:r w:rsidR="00BD0FB2" w:rsidRPr="004E0AA8">
        <w:rPr>
          <w:rFonts w:ascii="Times New Roman" w:hAnsi="Times New Roman" w:cs="Times New Roman"/>
          <w:sz w:val="28"/>
          <w:szCs w:val="28"/>
        </w:rPr>
        <w:t xml:space="preserve">Cons. Stato, </w:t>
      </w:r>
      <w:r w:rsidR="001E7261" w:rsidRPr="004E0AA8">
        <w:rPr>
          <w:rFonts w:ascii="Times New Roman" w:hAnsi="Times New Roman" w:cs="Times New Roman"/>
          <w:sz w:val="28"/>
          <w:szCs w:val="28"/>
        </w:rPr>
        <w:t>s</w:t>
      </w:r>
      <w:r w:rsidR="00BD0FB2" w:rsidRPr="004E0AA8">
        <w:rPr>
          <w:rFonts w:ascii="Times New Roman" w:hAnsi="Times New Roman" w:cs="Times New Roman"/>
          <w:sz w:val="28"/>
          <w:szCs w:val="28"/>
        </w:rPr>
        <w:t>ez. VI, 10</w:t>
      </w:r>
      <w:r w:rsidR="001E7261" w:rsidRPr="004E0AA8">
        <w:rPr>
          <w:rFonts w:ascii="Times New Roman" w:hAnsi="Times New Roman" w:cs="Times New Roman"/>
          <w:sz w:val="28"/>
          <w:szCs w:val="28"/>
        </w:rPr>
        <w:t xml:space="preserve"> giugno </w:t>
      </w:r>
      <w:r w:rsidR="00BD0FB2" w:rsidRPr="004E0AA8">
        <w:rPr>
          <w:rFonts w:ascii="Times New Roman" w:hAnsi="Times New Roman" w:cs="Times New Roman"/>
          <w:sz w:val="28"/>
          <w:szCs w:val="28"/>
        </w:rPr>
        <w:t>2013</w:t>
      </w:r>
      <w:r w:rsidR="001E7261" w:rsidRPr="004E0AA8">
        <w:rPr>
          <w:rFonts w:ascii="Times New Roman" w:hAnsi="Times New Roman" w:cs="Times New Roman"/>
          <w:sz w:val="28"/>
          <w:szCs w:val="28"/>
        </w:rPr>
        <w:t>,</w:t>
      </w:r>
      <w:r w:rsidR="00BD0FB2" w:rsidRPr="004E0AA8">
        <w:rPr>
          <w:rFonts w:ascii="Times New Roman" w:hAnsi="Times New Roman" w:cs="Times New Roman"/>
          <w:sz w:val="28"/>
          <w:szCs w:val="28"/>
        </w:rPr>
        <w:t xml:space="preserve"> n. 3196; </w:t>
      </w:r>
      <w:r w:rsidR="005B350B" w:rsidRPr="004E0AA8">
        <w:rPr>
          <w:rFonts w:ascii="Times New Roman" w:hAnsi="Times New Roman" w:cs="Times New Roman"/>
          <w:i/>
          <w:iCs/>
          <w:sz w:val="28"/>
          <w:szCs w:val="28"/>
        </w:rPr>
        <w:t>id</w:t>
      </w:r>
      <w:r w:rsidR="005B350B" w:rsidRPr="004E0AA8">
        <w:rPr>
          <w:rFonts w:ascii="Times New Roman" w:hAnsi="Times New Roman" w:cs="Times New Roman"/>
          <w:sz w:val="28"/>
          <w:szCs w:val="28"/>
        </w:rPr>
        <w:t xml:space="preserve">., </w:t>
      </w:r>
      <w:r w:rsidR="00BD0FB2" w:rsidRPr="004E0AA8">
        <w:rPr>
          <w:rFonts w:ascii="Times New Roman" w:hAnsi="Times New Roman" w:cs="Times New Roman"/>
          <w:sz w:val="28"/>
          <w:szCs w:val="28"/>
        </w:rPr>
        <w:t>17</w:t>
      </w:r>
      <w:r w:rsidR="001E7261" w:rsidRPr="004E0AA8">
        <w:rPr>
          <w:rFonts w:ascii="Times New Roman" w:hAnsi="Times New Roman" w:cs="Times New Roman"/>
          <w:sz w:val="28"/>
          <w:szCs w:val="28"/>
        </w:rPr>
        <w:t xml:space="preserve"> febbraio </w:t>
      </w:r>
      <w:r w:rsidR="00BD0FB2" w:rsidRPr="004E0AA8">
        <w:rPr>
          <w:rFonts w:ascii="Times New Roman" w:hAnsi="Times New Roman" w:cs="Times New Roman"/>
          <w:sz w:val="28"/>
          <w:szCs w:val="28"/>
        </w:rPr>
        <w:t>2017</w:t>
      </w:r>
      <w:r w:rsidR="001E7261" w:rsidRPr="004E0AA8">
        <w:rPr>
          <w:rFonts w:ascii="Times New Roman" w:hAnsi="Times New Roman" w:cs="Times New Roman"/>
          <w:sz w:val="28"/>
          <w:szCs w:val="28"/>
        </w:rPr>
        <w:t>,</w:t>
      </w:r>
      <w:r w:rsidR="00BD0FB2" w:rsidRPr="004E0AA8">
        <w:rPr>
          <w:rFonts w:ascii="Times New Roman" w:hAnsi="Times New Roman" w:cs="Times New Roman"/>
          <w:sz w:val="28"/>
          <w:szCs w:val="28"/>
        </w:rPr>
        <w:t xml:space="preserve"> n. 729; </w:t>
      </w:r>
      <w:r w:rsidR="005B350B" w:rsidRPr="004E0AA8">
        <w:rPr>
          <w:rFonts w:ascii="Times New Roman" w:hAnsi="Times New Roman" w:cs="Times New Roman"/>
          <w:sz w:val="28"/>
          <w:szCs w:val="28"/>
        </w:rPr>
        <w:t>s</w:t>
      </w:r>
      <w:r w:rsidR="00BD0FB2" w:rsidRPr="004E0AA8">
        <w:rPr>
          <w:rFonts w:ascii="Times New Roman" w:hAnsi="Times New Roman" w:cs="Times New Roman"/>
          <w:sz w:val="28"/>
          <w:szCs w:val="28"/>
        </w:rPr>
        <w:t>ez. IV, 13</w:t>
      </w:r>
      <w:r w:rsidR="001E7261" w:rsidRPr="004E0AA8">
        <w:rPr>
          <w:rFonts w:ascii="Times New Roman" w:hAnsi="Times New Roman" w:cs="Times New Roman"/>
          <w:sz w:val="28"/>
          <w:szCs w:val="28"/>
        </w:rPr>
        <w:t xml:space="preserve"> febbraio </w:t>
      </w:r>
      <w:r w:rsidR="00BD0FB2" w:rsidRPr="004E0AA8">
        <w:rPr>
          <w:rFonts w:ascii="Times New Roman" w:hAnsi="Times New Roman" w:cs="Times New Roman"/>
          <w:sz w:val="28"/>
          <w:szCs w:val="28"/>
        </w:rPr>
        <w:t>2020</w:t>
      </w:r>
      <w:r w:rsidR="001E7261" w:rsidRPr="004E0AA8">
        <w:rPr>
          <w:rFonts w:ascii="Times New Roman" w:hAnsi="Times New Roman" w:cs="Times New Roman"/>
          <w:sz w:val="28"/>
          <w:szCs w:val="28"/>
        </w:rPr>
        <w:t>,</w:t>
      </w:r>
      <w:r w:rsidR="00BD0FB2" w:rsidRPr="004E0AA8">
        <w:rPr>
          <w:rFonts w:ascii="Times New Roman" w:hAnsi="Times New Roman" w:cs="Times New Roman"/>
          <w:sz w:val="28"/>
          <w:szCs w:val="28"/>
        </w:rPr>
        <w:t xml:space="preserve"> n. 1146)</w:t>
      </w:r>
      <w:r w:rsidR="00E851A1" w:rsidRPr="004E0AA8">
        <w:rPr>
          <w:rFonts w:ascii="Times New Roman" w:hAnsi="Times New Roman" w:cs="Times New Roman"/>
          <w:sz w:val="28"/>
          <w:szCs w:val="28"/>
        </w:rPr>
        <w:t xml:space="preserve">. </w:t>
      </w:r>
      <w:r w:rsidR="004E0AA8">
        <w:rPr>
          <w:rFonts w:ascii="Times New Roman" w:hAnsi="Times New Roman" w:cs="Times New Roman"/>
          <w:sz w:val="28"/>
          <w:szCs w:val="28"/>
        </w:rPr>
        <w:t>L’affermazione si è nel tempo arricchita dell’ulteriore affermazione secondo la quale i</w:t>
      </w:r>
      <w:r w:rsidRPr="004E0AA8">
        <w:rPr>
          <w:rFonts w:ascii="Times New Roman" w:hAnsi="Times New Roman" w:cs="Times New Roman"/>
          <w:sz w:val="28"/>
          <w:szCs w:val="28"/>
        </w:rPr>
        <w:t>l rinnovo automatico prima della scadenza non comporta nemmeno l’ulteriore effetto che tipicamente consegue all’incameramento, ovvero l’incremento del canone (Cons. St</w:t>
      </w:r>
      <w:r w:rsidR="00A76AF4">
        <w:rPr>
          <w:rFonts w:ascii="Times New Roman" w:hAnsi="Times New Roman" w:cs="Times New Roman"/>
          <w:sz w:val="28"/>
          <w:szCs w:val="28"/>
        </w:rPr>
        <w:t>ato</w:t>
      </w:r>
      <w:r w:rsidRPr="004E0AA8">
        <w:rPr>
          <w:rFonts w:ascii="Times New Roman" w:hAnsi="Times New Roman" w:cs="Times New Roman"/>
          <w:sz w:val="28"/>
          <w:szCs w:val="28"/>
        </w:rPr>
        <w:t xml:space="preserve">, sez. VI, 13 gennaio 2022, n. 229). </w:t>
      </w:r>
      <w:r w:rsidR="001E7261" w:rsidRPr="004E0AA8">
        <w:rPr>
          <w:rFonts w:ascii="Times New Roman" w:hAnsi="Times New Roman" w:cs="Times New Roman"/>
          <w:sz w:val="28"/>
          <w:szCs w:val="28"/>
        </w:rPr>
        <w:t xml:space="preserve">Nell’escludere che in tali casi </w:t>
      </w:r>
      <w:r w:rsidR="00E851A1" w:rsidRPr="004E0AA8">
        <w:rPr>
          <w:rFonts w:ascii="Times New Roman" w:hAnsi="Times New Roman" w:cs="Times New Roman"/>
          <w:sz w:val="28"/>
          <w:szCs w:val="28"/>
        </w:rPr>
        <w:t xml:space="preserve">trovi applicazione </w:t>
      </w:r>
      <w:r w:rsidR="00BD0FB2" w:rsidRPr="004E0AA8">
        <w:rPr>
          <w:rFonts w:ascii="Times New Roman" w:hAnsi="Times New Roman" w:cs="Times New Roman"/>
          <w:sz w:val="28"/>
          <w:szCs w:val="28"/>
        </w:rPr>
        <w:t>il richiamato principio dell</w:t>
      </w:r>
      <w:r w:rsidRPr="004E0AA8">
        <w:rPr>
          <w:rFonts w:ascii="Times New Roman" w:hAnsi="Times New Roman" w:cs="Times New Roman"/>
          <w:sz w:val="28"/>
          <w:szCs w:val="28"/>
        </w:rPr>
        <w:t>’</w:t>
      </w:r>
      <w:r w:rsidR="00BD0FB2" w:rsidRPr="004E0AA8">
        <w:rPr>
          <w:rFonts w:ascii="Times New Roman" w:hAnsi="Times New Roman" w:cs="Times New Roman"/>
          <w:sz w:val="28"/>
          <w:szCs w:val="28"/>
        </w:rPr>
        <w:t>accessione gratuita di cui all</w:t>
      </w:r>
      <w:r w:rsidRPr="004E0AA8">
        <w:rPr>
          <w:rFonts w:ascii="Times New Roman" w:hAnsi="Times New Roman" w:cs="Times New Roman"/>
          <w:sz w:val="28"/>
          <w:szCs w:val="28"/>
        </w:rPr>
        <w:t>’</w:t>
      </w:r>
      <w:r w:rsidR="00BD0FB2" w:rsidRPr="004E0AA8">
        <w:rPr>
          <w:rFonts w:ascii="Times New Roman" w:hAnsi="Times New Roman" w:cs="Times New Roman"/>
          <w:sz w:val="28"/>
          <w:szCs w:val="28"/>
        </w:rPr>
        <w:t>art. 49 Cod. nav.</w:t>
      </w:r>
      <w:r w:rsidR="00E851A1" w:rsidRPr="004E0AA8">
        <w:rPr>
          <w:rFonts w:ascii="Times New Roman" w:hAnsi="Times New Roman" w:cs="Times New Roman"/>
          <w:sz w:val="28"/>
          <w:szCs w:val="28"/>
        </w:rPr>
        <w:t xml:space="preserve">, </w:t>
      </w:r>
      <w:r w:rsidR="001E7261" w:rsidRPr="004E0AA8">
        <w:rPr>
          <w:rFonts w:ascii="Times New Roman" w:hAnsi="Times New Roman" w:cs="Times New Roman"/>
          <w:sz w:val="28"/>
          <w:szCs w:val="28"/>
        </w:rPr>
        <w:t xml:space="preserve">si è anche </w:t>
      </w:r>
      <w:r w:rsidR="00E851A1" w:rsidRPr="004E0AA8">
        <w:rPr>
          <w:rFonts w:ascii="Times New Roman" w:hAnsi="Times New Roman" w:cs="Times New Roman"/>
          <w:sz w:val="28"/>
          <w:szCs w:val="28"/>
        </w:rPr>
        <w:t>inquadrat</w:t>
      </w:r>
      <w:r w:rsidR="001E7261" w:rsidRPr="004E0AA8">
        <w:rPr>
          <w:rFonts w:ascii="Times New Roman" w:hAnsi="Times New Roman" w:cs="Times New Roman"/>
          <w:sz w:val="28"/>
          <w:szCs w:val="28"/>
        </w:rPr>
        <w:t>a</w:t>
      </w:r>
      <w:r w:rsidR="00E851A1" w:rsidRPr="004E0AA8">
        <w:rPr>
          <w:rFonts w:ascii="Times New Roman" w:hAnsi="Times New Roman" w:cs="Times New Roman"/>
          <w:sz w:val="28"/>
          <w:szCs w:val="28"/>
        </w:rPr>
        <w:t xml:space="preserve"> la posizione del concessionario rispetto ai manufatti da lui stesso realizzati su suolo pubblico</w:t>
      </w:r>
      <w:r w:rsidR="00222AFA">
        <w:rPr>
          <w:rFonts w:ascii="Times New Roman" w:hAnsi="Times New Roman" w:cs="Times New Roman"/>
          <w:sz w:val="28"/>
          <w:szCs w:val="28"/>
        </w:rPr>
        <w:t xml:space="preserve">. Essa è stata qualificata </w:t>
      </w:r>
      <w:r w:rsidR="00E851A1" w:rsidRPr="004E0AA8">
        <w:rPr>
          <w:rFonts w:ascii="Times New Roman" w:hAnsi="Times New Roman" w:cs="Times New Roman"/>
          <w:sz w:val="28"/>
          <w:szCs w:val="28"/>
        </w:rPr>
        <w:t xml:space="preserve">come </w:t>
      </w:r>
      <w:r w:rsidR="00BD0FB2" w:rsidRPr="004E0AA8">
        <w:rPr>
          <w:rFonts w:ascii="Times New Roman" w:hAnsi="Times New Roman" w:cs="Times New Roman"/>
          <w:sz w:val="28"/>
          <w:szCs w:val="28"/>
        </w:rPr>
        <w:t xml:space="preserve">esclusiva proprietà privata c.d. superficiaria </w:t>
      </w:r>
      <w:r w:rsidR="00E851A1" w:rsidRPr="004E0AA8">
        <w:rPr>
          <w:rFonts w:ascii="Times New Roman" w:hAnsi="Times New Roman" w:cs="Times New Roman"/>
          <w:sz w:val="28"/>
          <w:szCs w:val="28"/>
        </w:rPr>
        <w:t xml:space="preserve">ai sensi dell’art. 952 c.c., destinata a perdurare </w:t>
      </w:r>
      <w:r w:rsidR="00D97AD6" w:rsidRPr="004E0AA8">
        <w:rPr>
          <w:rFonts w:ascii="Times New Roman" w:hAnsi="Times New Roman" w:cs="Times New Roman"/>
          <w:sz w:val="28"/>
          <w:szCs w:val="28"/>
        </w:rPr>
        <w:t xml:space="preserve">solo </w:t>
      </w:r>
      <w:r w:rsidR="00BD0FB2" w:rsidRPr="004E0AA8">
        <w:rPr>
          <w:rFonts w:ascii="Times New Roman" w:hAnsi="Times New Roman" w:cs="Times New Roman"/>
          <w:sz w:val="28"/>
          <w:szCs w:val="28"/>
        </w:rPr>
        <w:t>fino al momento dell’effettiva scadenza o revoca anticipata della concessione</w:t>
      </w:r>
      <w:r w:rsidR="00D7038B" w:rsidRPr="004E0AA8">
        <w:rPr>
          <w:rFonts w:ascii="Times New Roman" w:hAnsi="Times New Roman" w:cs="Times New Roman"/>
          <w:sz w:val="28"/>
          <w:szCs w:val="28"/>
        </w:rPr>
        <w:t xml:space="preserve"> (cfr. Cons. Stato, sez. VI, 11 agosto 2020, n. 5008, che definisce </w:t>
      </w:r>
      <w:r w:rsidR="00222AFA">
        <w:rPr>
          <w:rFonts w:ascii="Times New Roman" w:hAnsi="Times New Roman" w:cs="Times New Roman"/>
          <w:sz w:val="28"/>
          <w:szCs w:val="28"/>
        </w:rPr>
        <w:t xml:space="preserve">appunto un </w:t>
      </w:r>
      <w:r w:rsidR="00222AFA">
        <w:rPr>
          <w:rFonts w:ascii="Arial" w:hAnsi="Arial" w:cs="Arial"/>
          <w:sz w:val="28"/>
          <w:szCs w:val="28"/>
        </w:rPr>
        <w:t>«</w:t>
      </w:r>
      <w:r w:rsidR="00D7038B" w:rsidRPr="00222AFA">
        <w:rPr>
          <w:rFonts w:ascii="Times New Roman" w:hAnsi="Times New Roman" w:cs="Times New Roman"/>
          <w:i/>
          <w:iCs/>
          <w:sz w:val="28"/>
          <w:szCs w:val="28"/>
        </w:rPr>
        <w:t>implicito diritto di superficie</w:t>
      </w:r>
      <w:r w:rsidR="00222AFA">
        <w:rPr>
          <w:rFonts w:ascii="Arial" w:hAnsi="Arial" w:cs="Arial"/>
          <w:sz w:val="28"/>
          <w:szCs w:val="28"/>
        </w:rPr>
        <w:t>»</w:t>
      </w:r>
      <w:r w:rsidR="00D7038B" w:rsidRPr="004E0AA8">
        <w:rPr>
          <w:rFonts w:ascii="Times New Roman" w:hAnsi="Times New Roman" w:cs="Times New Roman"/>
          <w:sz w:val="28"/>
          <w:szCs w:val="28"/>
        </w:rPr>
        <w:t xml:space="preserve"> quello sui beni inamovibili realizzati dal concessionario, tale da non impattare, per tutta la durata della concessione, sull’aumento del canone, salvo incidervi all’atto dell’incameramento a scadenza</w:t>
      </w:r>
      <w:r w:rsidR="00A93995" w:rsidRPr="004E0AA8">
        <w:rPr>
          <w:rFonts w:ascii="Times New Roman" w:hAnsi="Times New Roman" w:cs="Times New Roman"/>
          <w:sz w:val="28"/>
          <w:szCs w:val="28"/>
        </w:rPr>
        <w:t xml:space="preserve">). </w:t>
      </w:r>
      <w:r w:rsidR="004D7551" w:rsidRPr="004E0AA8">
        <w:rPr>
          <w:rFonts w:ascii="Times New Roman" w:hAnsi="Times New Roman" w:cs="Times New Roman"/>
          <w:sz w:val="28"/>
          <w:szCs w:val="28"/>
        </w:rPr>
        <w:t xml:space="preserve">Le </w:t>
      </w:r>
      <w:r w:rsidR="001E7261" w:rsidRPr="004E0AA8">
        <w:rPr>
          <w:rFonts w:ascii="Times New Roman" w:hAnsi="Times New Roman" w:cs="Times New Roman"/>
          <w:sz w:val="28"/>
          <w:szCs w:val="28"/>
        </w:rPr>
        <w:t xml:space="preserve">legislazioni regionali hanno tentato di mitigare il rigore della previsione, </w:t>
      </w:r>
      <w:r w:rsidR="004D7551" w:rsidRPr="004E0AA8">
        <w:rPr>
          <w:rFonts w:ascii="Times New Roman" w:hAnsi="Times New Roman" w:cs="Times New Roman"/>
          <w:sz w:val="28"/>
          <w:szCs w:val="28"/>
        </w:rPr>
        <w:t>andando ad incidere proprio sulla p</w:t>
      </w:r>
      <w:r w:rsidR="001E7261" w:rsidRPr="004E0AA8">
        <w:rPr>
          <w:rFonts w:ascii="Times New Roman" w:hAnsi="Times New Roman" w:cs="Times New Roman"/>
          <w:sz w:val="28"/>
          <w:szCs w:val="28"/>
        </w:rPr>
        <w:t>ossibilità di ristoro alla scadenza per i concessionari uscenti</w:t>
      </w:r>
      <w:r w:rsidR="004D7551" w:rsidRPr="004E0AA8">
        <w:rPr>
          <w:rFonts w:ascii="Times New Roman" w:hAnsi="Times New Roman" w:cs="Times New Roman"/>
          <w:sz w:val="28"/>
          <w:szCs w:val="28"/>
        </w:rPr>
        <w:t xml:space="preserve">, in parallelo con il </w:t>
      </w:r>
      <w:r w:rsidR="001E7261" w:rsidRPr="004E0AA8">
        <w:rPr>
          <w:rFonts w:ascii="Times New Roman" w:hAnsi="Times New Roman" w:cs="Times New Roman"/>
          <w:sz w:val="28"/>
          <w:szCs w:val="28"/>
        </w:rPr>
        <w:t xml:space="preserve">consolidarsi dei principi di assoluta contrarietà </w:t>
      </w:r>
      <w:r w:rsidR="004D7551" w:rsidRPr="004E0AA8">
        <w:rPr>
          <w:rFonts w:ascii="Times New Roman" w:hAnsi="Times New Roman" w:cs="Times New Roman"/>
          <w:sz w:val="28"/>
          <w:szCs w:val="28"/>
        </w:rPr>
        <w:t xml:space="preserve">al diritto </w:t>
      </w:r>
      <w:proofErr w:type="spellStart"/>
      <w:r w:rsidR="004D7551" w:rsidRPr="004E0AA8">
        <w:rPr>
          <w:rFonts w:ascii="Times New Roman" w:hAnsi="Times New Roman" w:cs="Times New Roman"/>
          <w:sz w:val="28"/>
          <w:szCs w:val="28"/>
        </w:rPr>
        <w:t>unionale</w:t>
      </w:r>
      <w:proofErr w:type="spellEnd"/>
      <w:r w:rsidR="004D7551" w:rsidRPr="004E0AA8">
        <w:rPr>
          <w:rFonts w:ascii="Times New Roman" w:hAnsi="Times New Roman" w:cs="Times New Roman"/>
          <w:sz w:val="28"/>
          <w:szCs w:val="28"/>
        </w:rPr>
        <w:t xml:space="preserve"> dei</w:t>
      </w:r>
      <w:r w:rsidR="001E7261" w:rsidRPr="004E0AA8">
        <w:rPr>
          <w:rFonts w:ascii="Times New Roman" w:hAnsi="Times New Roman" w:cs="Times New Roman"/>
          <w:sz w:val="28"/>
          <w:szCs w:val="28"/>
        </w:rPr>
        <w:t xml:space="preserve"> rinnovi automatici o </w:t>
      </w:r>
      <w:r w:rsidR="004D7551" w:rsidRPr="004E0AA8">
        <w:rPr>
          <w:rFonts w:ascii="Times New Roman" w:hAnsi="Times New Roman" w:cs="Times New Roman"/>
          <w:sz w:val="28"/>
          <w:szCs w:val="28"/>
        </w:rPr>
        <w:t>de</w:t>
      </w:r>
      <w:r w:rsidR="001E7261" w:rsidRPr="004E0AA8">
        <w:rPr>
          <w:rFonts w:ascii="Times New Roman" w:hAnsi="Times New Roman" w:cs="Times New Roman"/>
          <w:sz w:val="28"/>
          <w:szCs w:val="28"/>
        </w:rPr>
        <w:t xml:space="preserve">lle proroghe reiterate. </w:t>
      </w:r>
      <w:r w:rsidR="004D7551" w:rsidRPr="004E0AA8">
        <w:rPr>
          <w:rFonts w:ascii="Times New Roman" w:hAnsi="Times New Roman" w:cs="Times New Roman"/>
          <w:sz w:val="28"/>
          <w:szCs w:val="28"/>
        </w:rPr>
        <w:t xml:space="preserve">Esemplificative in tal senso sono </w:t>
      </w:r>
      <w:r w:rsidR="001E7261" w:rsidRPr="004E0AA8">
        <w:rPr>
          <w:rFonts w:ascii="Times New Roman" w:hAnsi="Times New Roman" w:cs="Times New Roman"/>
          <w:sz w:val="28"/>
          <w:szCs w:val="28"/>
        </w:rPr>
        <w:t xml:space="preserve">la </w:t>
      </w:r>
      <w:proofErr w:type="spellStart"/>
      <w:r w:rsidR="001E7261" w:rsidRPr="004E0AA8">
        <w:rPr>
          <w:rFonts w:ascii="Times New Roman" w:hAnsi="Times New Roman" w:cs="Times New Roman"/>
          <w:sz w:val="28"/>
          <w:szCs w:val="28"/>
        </w:rPr>
        <w:t>l.r</w:t>
      </w:r>
      <w:proofErr w:type="spellEnd"/>
      <w:r w:rsidR="001E7261" w:rsidRPr="004E0AA8">
        <w:rPr>
          <w:rFonts w:ascii="Times New Roman" w:hAnsi="Times New Roman" w:cs="Times New Roman"/>
          <w:sz w:val="28"/>
          <w:szCs w:val="28"/>
        </w:rPr>
        <w:t xml:space="preserve">. </w:t>
      </w:r>
      <w:r w:rsidR="00E851A1" w:rsidRPr="004E0AA8">
        <w:rPr>
          <w:rFonts w:ascii="Times New Roman" w:hAnsi="Times New Roman" w:cs="Times New Roman"/>
          <w:sz w:val="28"/>
          <w:szCs w:val="28"/>
        </w:rPr>
        <w:t xml:space="preserve"> della Toscana 9 maggio 2016, n. 31</w:t>
      </w:r>
      <w:r w:rsidR="001E7261" w:rsidRPr="004E0AA8">
        <w:rPr>
          <w:rFonts w:ascii="Times New Roman" w:hAnsi="Times New Roman" w:cs="Times New Roman"/>
          <w:sz w:val="28"/>
          <w:szCs w:val="28"/>
        </w:rPr>
        <w:t xml:space="preserve">; quella del </w:t>
      </w:r>
      <w:r w:rsidR="00E851A1" w:rsidRPr="004E0AA8">
        <w:rPr>
          <w:rFonts w:ascii="Times New Roman" w:hAnsi="Times New Roman" w:cs="Times New Roman"/>
          <w:sz w:val="28"/>
          <w:szCs w:val="28"/>
        </w:rPr>
        <w:t xml:space="preserve">Friuli Venezia Giulia </w:t>
      </w:r>
      <w:r w:rsidR="00A214EA" w:rsidRPr="004E0AA8">
        <w:rPr>
          <w:rFonts w:ascii="Times New Roman" w:hAnsi="Times New Roman" w:cs="Times New Roman"/>
          <w:sz w:val="28"/>
          <w:szCs w:val="28"/>
        </w:rPr>
        <w:t>(</w:t>
      </w:r>
      <w:proofErr w:type="spellStart"/>
      <w:r w:rsidR="00A214EA" w:rsidRPr="004E0AA8">
        <w:rPr>
          <w:rFonts w:ascii="Times New Roman" w:hAnsi="Times New Roman" w:cs="Times New Roman"/>
          <w:sz w:val="28"/>
          <w:szCs w:val="28"/>
        </w:rPr>
        <w:t>l.r</w:t>
      </w:r>
      <w:proofErr w:type="spellEnd"/>
      <w:r w:rsidR="00A214EA" w:rsidRPr="004E0AA8">
        <w:rPr>
          <w:rFonts w:ascii="Times New Roman" w:hAnsi="Times New Roman" w:cs="Times New Roman"/>
          <w:sz w:val="28"/>
          <w:szCs w:val="28"/>
        </w:rPr>
        <w:t xml:space="preserve">. </w:t>
      </w:r>
      <w:r w:rsidR="00E851A1" w:rsidRPr="004E0AA8">
        <w:rPr>
          <w:rFonts w:ascii="Times New Roman" w:hAnsi="Times New Roman" w:cs="Times New Roman"/>
          <w:sz w:val="28"/>
          <w:szCs w:val="28"/>
        </w:rPr>
        <w:t>21 aprile 2017, n. 10</w:t>
      </w:r>
      <w:r w:rsidR="00A214EA" w:rsidRPr="004E0AA8">
        <w:rPr>
          <w:rFonts w:ascii="Times New Roman" w:hAnsi="Times New Roman" w:cs="Times New Roman"/>
          <w:sz w:val="28"/>
          <w:szCs w:val="28"/>
        </w:rPr>
        <w:t>,</w:t>
      </w:r>
      <w:r w:rsidR="001943A6" w:rsidRPr="004E0AA8">
        <w:rPr>
          <w:rFonts w:ascii="Times New Roman" w:hAnsi="Times New Roman" w:cs="Times New Roman"/>
          <w:sz w:val="28"/>
          <w:szCs w:val="28"/>
        </w:rPr>
        <w:t xml:space="preserve"> </w:t>
      </w:r>
      <w:r w:rsidR="00E851A1" w:rsidRPr="004E0AA8">
        <w:rPr>
          <w:rFonts w:ascii="Times New Roman" w:hAnsi="Times New Roman" w:cs="Times New Roman"/>
          <w:sz w:val="28"/>
          <w:szCs w:val="28"/>
        </w:rPr>
        <w:t>art. 49)</w:t>
      </w:r>
      <w:r w:rsidR="001E7261" w:rsidRPr="004E0AA8">
        <w:rPr>
          <w:rFonts w:ascii="Times New Roman" w:hAnsi="Times New Roman" w:cs="Times New Roman"/>
          <w:sz w:val="28"/>
          <w:szCs w:val="28"/>
        </w:rPr>
        <w:t xml:space="preserve">; quella del </w:t>
      </w:r>
      <w:r w:rsidR="00A214EA" w:rsidRPr="004E0AA8">
        <w:rPr>
          <w:rFonts w:ascii="Times New Roman" w:hAnsi="Times New Roman" w:cs="Times New Roman"/>
          <w:sz w:val="28"/>
          <w:szCs w:val="28"/>
        </w:rPr>
        <w:t>Veneto (</w:t>
      </w:r>
      <w:proofErr w:type="spellStart"/>
      <w:r w:rsidR="00A214EA" w:rsidRPr="004E0AA8">
        <w:rPr>
          <w:rFonts w:ascii="Times New Roman" w:hAnsi="Times New Roman" w:cs="Times New Roman"/>
          <w:sz w:val="28"/>
          <w:szCs w:val="28"/>
        </w:rPr>
        <w:t>l.r</w:t>
      </w:r>
      <w:proofErr w:type="spellEnd"/>
      <w:r w:rsidR="00A214EA" w:rsidRPr="004E0AA8">
        <w:rPr>
          <w:rFonts w:ascii="Times New Roman" w:hAnsi="Times New Roman" w:cs="Times New Roman"/>
          <w:sz w:val="28"/>
          <w:szCs w:val="28"/>
        </w:rPr>
        <w:t>. 4 novembre 2002, n. 33)</w:t>
      </w:r>
      <w:r w:rsidR="00374E23" w:rsidRPr="004E0AA8">
        <w:rPr>
          <w:rFonts w:ascii="Times New Roman" w:hAnsi="Times New Roman" w:cs="Times New Roman"/>
          <w:sz w:val="28"/>
          <w:szCs w:val="28"/>
        </w:rPr>
        <w:t>, tutte oggetto, non a caso, di pronunce de</w:t>
      </w:r>
      <w:r w:rsidR="00A214EA" w:rsidRPr="004E0AA8">
        <w:rPr>
          <w:rFonts w:ascii="Times New Roman" w:hAnsi="Times New Roman" w:cs="Times New Roman"/>
          <w:sz w:val="28"/>
          <w:szCs w:val="28"/>
        </w:rPr>
        <w:t>lla Corte c</w:t>
      </w:r>
      <w:r w:rsidR="00C61BDC" w:rsidRPr="004E0AA8">
        <w:rPr>
          <w:rFonts w:ascii="Times New Roman" w:hAnsi="Times New Roman" w:cs="Times New Roman"/>
          <w:sz w:val="28"/>
          <w:szCs w:val="28"/>
        </w:rPr>
        <w:t>o</w:t>
      </w:r>
      <w:r w:rsidR="00A214EA" w:rsidRPr="004E0AA8">
        <w:rPr>
          <w:rFonts w:ascii="Times New Roman" w:hAnsi="Times New Roman" w:cs="Times New Roman"/>
          <w:sz w:val="28"/>
          <w:szCs w:val="28"/>
        </w:rPr>
        <w:t>stituzionale</w:t>
      </w:r>
      <w:r w:rsidR="00374E23" w:rsidRPr="004E0AA8">
        <w:rPr>
          <w:rFonts w:ascii="Times New Roman" w:hAnsi="Times New Roman" w:cs="Times New Roman"/>
          <w:sz w:val="28"/>
          <w:szCs w:val="28"/>
        </w:rPr>
        <w:t xml:space="preserve">: le relative previsioni sono state annullate, </w:t>
      </w:r>
      <w:r w:rsidR="00A214EA" w:rsidRPr="004E0AA8">
        <w:rPr>
          <w:rFonts w:ascii="Times New Roman" w:hAnsi="Times New Roman" w:cs="Times New Roman"/>
          <w:sz w:val="28"/>
          <w:szCs w:val="28"/>
        </w:rPr>
        <w:t xml:space="preserve">rispettivamente, con sentenza n. 157 del 7 luglio 2017; con sentenza n. 109 del 30 maggio 2018, n. 109 e con sentenza n. 222 del 23 ottobre 2020. </w:t>
      </w:r>
      <w:r w:rsidR="001E7261" w:rsidRPr="004E0AA8">
        <w:rPr>
          <w:rFonts w:ascii="Times New Roman" w:hAnsi="Times New Roman" w:cs="Times New Roman"/>
          <w:sz w:val="28"/>
          <w:szCs w:val="28"/>
        </w:rPr>
        <w:t xml:space="preserve">La vicenda processuale sfociata nelle ricordate sentenze riveste grande interesse al fine di comprendere le contrapposte tesi delle amministrazioni coinvolte. </w:t>
      </w:r>
      <w:r w:rsidR="00914529" w:rsidRPr="004E0AA8">
        <w:rPr>
          <w:rFonts w:ascii="Times New Roman" w:hAnsi="Times New Roman" w:cs="Times New Roman"/>
          <w:sz w:val="28"/>
          <w:szCs w:val="28"/>
        </w:rPr>
        <w:t>La difesa delle regioni si basava in particolare su</w:t>
      </w:r>
      <w:r w:rsidR="00374E23" w:rsidRPr="004E0AA8">
        <w:rPr>
          <w:rFonts w:ascii="Times New Roman" w:hAnsi="Times New Roman" w:cs="Times New Roman"/>
          <w:sz w:val="28"/>
          <w:szCs w:val="28"/>
        </w:rPr>
        <w:t xml:space="preserve"> un articolato costrutto argomentativo:</w:t>
      </w:r>
      <w:r w:rsidR="00BB52A6" w:rsidRPr="004E0AA8">
        <w:rPr>
          <w:rFonts w:ascii="Times New Roman" w:hAnsi="Times New Roman" w:cs="Times New Roman"/>
          <w:sz w:val="28"/>
          <w:szCs w:val="28"/>
        </w:rPr>
        <w:t xml:space="preserve"> </w:t>
      </w:r>
      <w:r w:rsidR="00374E23" w:rsidRPr="004E0AA8">
        <w:rPr>
          <w:rFonts w:ascii="Times New Roman" w:hAnsi="Times New Roman" w:cs="Times New Roman"/>
          <w:sz w:val="28"/>
          <w:szCs w:val="28"/>
        </w:rPr>
        <w:t>-</w:t>
      </w:r>
      <w:r w:rsidR="00914529" w:rsidRPr="004E0AA8">
        <w:rPr>
          <w:rFonts w:ascii="Times New Roman" w:hAnsi="Times New Roman" w:cs="Times New Roman"/>
          <w:sz w:val="28"/>
          <w:szCs w:val="28"/>
        </w:rPr>
        <w:t>la previsione inerente l’indennizzo destinato al</w:t>
      </w:r>
      <w:r w:rsidR="00374E23" w:rsidRPr="004E0AA8">
        <w:rPr>
          <w:rFonts w:ascii="Times New Roman" w:hAnsi="Times New Roman" w:cs="Times New Roman"/>
          <w:sz w:val="28"/>
          <w:szCs w:val="28"/>
        </w:rPr>
        <w:t xml:space="preserve"> concessionario </w:t>
      </w:r>
      <w:r w:rsidR="00914529" w:rsidRPr="004E0AA8">
        <w:rPr>
          <w:rFonts w:ascii="Times New Roman" w:hAnsi="Times New Roman" w:cs="Times New Roman"/>
          <w:sz w:val="28"/>
          <w:szCs w:val="28"/>
        </w:rPr>
        <w:t xml:space="preserve">uscente </w:t>
      </w:r>
      <w:r w:rsidR="00374E23" w:rsidRPr="004E0AA8">
        <w:rPr>
          <w:rFonts w:ascii="Times New Roman" w:hAnsi="Times New Roman" w:cs="Times New Roman"/>
          <w:sz w:val="28"/>
          <w:szCs w:val="28"/>
        </w:rPr>
        <w:t>risponderebbe a</w:t>
      </w:r>
      <w:r w:rsidR="00914529" w:rsidRPr="004E0AA8">
        <w:rPr>
          <w:rFonts w:ascii="Times New Roman" w:hAnsi="Times New Roman" w:cs="Times New Roman"/>
          <w:sz w:val="28"/>
          <w:szCs w:val="28"/>
        </w:rPr>
        <w:t xml:space="preserve"> quanto dettato nell’ordinamento in altre ipotesi </w:t>
      </w:r>
      <w:r w:rsidR="00934DD5" w:rsidRPr="004E0AA8">
        <w:rPr>
          <w:rFonts w:ascii="Times New Roman" w:hAnsi="Times New Roman" w:cs="Times New Roman"/>
          <w:sz w:val="28"/>
          <w:szCs w:val="28"/>
        </w:rPr>
        <w:t xml:space="preserve">di affidamento di </w:t>
      </w:r>
      <w:r w:rsidR="00914529" w:rsidRPr="004E0AA8">
        <w:rPr>
          <w:rFonts w:ascii="Times New Roman" w:hAnsi="Times New Roman" w:cs="Times New Roman"/>
          <w:sz w:val="28"/>
          <w:szCs w:val="28"/>
        </w:rPr>
        <w:t xml:space="preserve">gestione di un servizio </w:t>
      </w:r>
      <w:r w:rsidR="00934DD5" w:rsidRPr="004E0AA8">
        <w:rPr>
          <w:rFonts w:ascii="Times New Roman" w:hAnsi="Times New Roman" w:cs="Times New Roman"/>
          <w:sz w:val="28"/>
          <w:szCs w:val="28"/>
        </w:rPr>
        <w:t xml:space="preserve">pubblico, e mira ad evitare, attraverso </w:t>
      </w:r>
      <w:r w:rsidR="00914529" w:rsidRPr="004E0AA8">
        <w:rPr>
          <w:rFonts w:ascii="Times New Roman" w:hAnsi="Times New Roman" w:cs="Times New Roman"/>
          <w:sz w:val="28"/>
          <w:szCs w:val="28"/>
        </w:rPr>
        <w:t xml:space="preserve">l’integrale ammortamento degli investimenti </w:t>
      </w:r>
      <w:r w:rsidR="00934DD5" w:rsidRPr="004E0AA8">
        <w:rPr>
          <w:rFonts w:ascii="Times New Roman" w:hAnsi="Times New Roman" w:cs="Times New Roman"/>
          <w:sz w:val="28"/>
          <w:szCs w:val="28"/>
        </w:rPr>
        <w:t xml:space="preserve">effettuati, </w:t>
      </w:r>
      <w:r w:rsidR="00914529" w:rsidRPr="004E0AA8">
        <w:rPr>
          <w:rFonts w:ascii="Times New Roman" w:hAnsi="Times New Roman" w:cs="Times New Roman"/>
          <w:sz w:val="28"/>
          <w:szCs w:val="28"/>
        </w:rPr>
        <w:t>indebiti arricchimenti del subentrante</w:t>
      </w:r>
      <w:r w:rsidR="00374E23" w:rsidRPr="004E0AA8">
        <w:rPr>
          <w:rFonts w:ascii="Times New Roman" w:hAnsi="Times New Roman" w:cs="Times New Roman"/>
          <w:sz w:val="28"/>
          <w:szCs w:val="28"/>
        </w:rPr>
        <w:t>;</w:t>
      </w:r>
      <w:r w:rsidR="00BB52A6" w:rsidRPr="004E0AA8">
        <w:rPr>
          <w:rFonts w:ascii="Times New Roman" w:hAnsi="Times New Roman" w:cs="Times New Roman"/>
          <w:sz w:val="28"/>
          <w:szCs w:val="28"/>
        </w:rPr>
        <w:t xml:space="preserve"> </w:t>
      </w:r>
      <w:r w:rsidR="00374E23" w:rsidRPr="004E0AA8">
        <w:rPr>
          <w:rFonts w:ascii="Times New Roman" w:hAnsi="Times New Roman" w:cs="Times New Roman"/>
          <w:sz w:val="28"/>
          <w:szCs w:val="28"/>
        </w:rPr>
        <w:t xml:space="preserve">- la valorizzazione anche dell’avviamento commerciale sarebbe doverosa, non potendo essere considerati </w:t>
      </w:r>
      <w:r w:rsidR="00914529" w:rsidRPr="004E0AA8">
        <w:rPr>
          <w:rFonts w:ascii="Times New Roman" w:hAnsi="Times New Roman" w:cs="Times New Roman"/>
          <w:sz w:val="28"/>
          <w:szCs w:val="28"/>
        </w:rPr>
        <w:t xml:space="preserve">i </w:t>
      </w:r>
      <w:r w:rsidR="00934DD5" w:rsidRPr="004E0AA8">
        <w:rPr>
          <w:rFonts w:ascii="Times New Roman" w:hAnsi="Times New Roman" w:cs="Times New Roman"/>
          <w:sz w:val="28"/>
          <w:szCs w:val="28"/>
        </w:rPr>
        <w:t xml:space="preserve">soli </w:t>
      </w:r>
      <w:r w:rsidR="00914529" w:rsidRPr="004E0AA8">
        <w:rPr>
          <w:rFonts w:ascii="Times New Roman" w:hAnsi="Times New Roman" w:cs="Times New Roman"/>
          <w:sz w:val="28"/>
          <w:szCs w:val="28"/>
        </w:rPr>
        <w:t>beni inamovibili, computabili non oltre il limite degli investimenti non ammortizzati</w:t>
      </w:r>
      <w:r w:rsidR="00374E23" w:rsidRPr="004E0AA8">
        <w:rPr>
          <w:rFonts w:ascii="Times New Roman" w:hAnsi="Times New Roman" w:cs="Times New Roman"/>
          <w:sz w:val="28"/>
          <w:szCs w:val="28"/>
        </w:rPr>
        <w:t>;</w:t>
      </w:r>
      <w:r w:rsidR="00BB52A6" w:rsidRPr="004E0AA8">
        <w:rPr>
          <w:rFonts w:ascii="Times New Roman" w:hAnsi="Times New Roman" w:cs="Times New Roman"/>
          <w:sz w:val="28"/>
          <w:szCs w:val="28"/>
        </w:rPr>
        <w:t xml:space="preserve"> </w:t>
      </w:r>
      <w:r w:rsidR="00374E23" w:rsidRPr="004E0AA8">
        <w:rPr>
          <w:rFonts w:ascii="Times New Roman" w:hAnsi="Times New Roman" w:cs="Times New Roman"/>
          <w:sz w:val="28"/>
          <w:szCs w:val="28"/>
        </w:rPr>
        <w:t xml:space="preserve">- </w:t>
      </w:r>
      <w:r w:rsidR="00914529" w:rsidRPr="004E0AA8">
        <w:rPr>
          <w:rFonts w:ascii="Times New Roman" w:hAnsi="Times New Roman" w:cs="Times New Roman"/>
          <w:sz w:val="28"/>
          <w:szCs w:val="28"/>
        </w:rPr>
        <w:t>l’art. 45-</w:t>
      </w:r>
      <w:r w:rsidR="00914529" w:rsidRPr="004E0AA8">
        <w:rPr>
          <w:rFonts w:ascii="Times New Roman" w:hAnsi="Times New Roman" w:cs="Times New Roman"/>
          <w:i/>
          <w:iCs/>
          <w:sz w:val="28"/>
          <w:szCs w:val="28"/>
        </w:rPr>
        <w:t>bis</w:t>
      </w:r>
      <w:r w:rsidR="00374E23" w:rsidRPr="004E0AA8">
        <w:rPr>
          <w:rFonts w:ascii="Times New Roman" w:hAnsi="Times New Roman" w:cs="Times New Roman"/>
          <w:i/>
          <w:iCs/>
          <w:sz w:val="28"/>
          <w:szCs w:val="28"/>
        </w:rPr>
        <w:t>,</w:t>
      </w:r>
      <w:r w:rsidR="00914529" w:rsidRPr="004E0AA8">
        <w:rPr>
          <w:rFonts w:ascii="Times New Roman" w:hAnsi="Times New Roman" w:cs="Times New Roman"/>
          <w:sz w:val="28"/>
          <w:szCs w:val="28"/>
        </w:rPr>
        <w:t xml:space="preserve"> in combinato disposto con l’art. 46 </w:t>
      </w:r>
      <w:r w:rsidR="00934DD5" w:rsidRPr="004E0AA8">
        <w:rPr>
          <w:rFonts w:ascii="Times New Roman" w:hAnsi="Times New Roman" w:cs="Times New Roman"/>
          <w:sz w:val="28"/>
          <w:szCs w:val="28"/>
        </w:rPr>
        <w:t xml:space="preserve">cod. nav., </w:t>
      </w:r>
      <w:r w:rsidR="00914529" w:rsidRPr="004E0AA8">
        <w:rPr>
          <w:rFonts w:ascii="Times New Roman" w:hAnsi="Times New Roman" w:cs="Times New Roman"/>
          <w:sz w:val="28"/>
          <w:szCs w:val="28"/>
        </w:rPr>
        <w:t>consent</w:t>
      </w:r>
      <w:r w:rsidR="00374E23" w:rsidRPr="004E0AA8">
        <w:rPr>
          <w:rFonts w:ascii="Times New Roman" w:hAnsi="Times New Roman" w:cs="Times New Roman"/>
          <w:sz w:val="28"/>
          <w:szCs w:val="28"/>
        </w:rPr>
        <w:t>e</w:t>
      </w:r>
      <w:r w:rsidR="00914529" w:rsidRPr="004E0AA8">
        <w:rPr>
          <w:rFonts w:ascii="Times New Roman" w:hAnsi="Times New Roman" w:cs="Times New Roman"/>
          <w:sz w:val="28"/>
          <w:szCs w:val="28"/>
        </w:rPr>
        <w:t xml:space="preserve"> l’affidamento a terzi della gestione delle attività oggetto della concessione purché vi sia la previa autorizzazione dell’autorità competente. </w:t>
      </w:r>
      <w:r w:rsidR="00222AFA">
        <w:rPr>
          <w:rFonts w:ascii="Times New Roman" w:hAnsi="Times New Roman" w:cs="Times New Roman"/>
          <w:sz w:val="28"/>
          <w:szCs w:val="28"/>
        </w:rPr>
        <w:t>Per quanto qui di interesse, la Corte costituzionale, nelle richiamate sentenze, ha innanzi tutto ricollocato con forza la materia degli indennizzi all’interno della competenza legislativa statale. I principi affermati in tali pronunce meritano di essere tenuti a mente anche dal legislatore nazionale, in quanto attingono in maniera inequivoca anche la tematica della facile e difficile rimozione quale criterio di parametrazione. In generale, si è ribadito come l</w:t>
      </w:r>
      <w:r w:rsidR="00222AFA" w:rsidRPr="00A214EA">
        <w:rPr>
          <w:rFonts w:ascii="Times New Roman" w:hAnsi="Times New Roman" w:cs="Times New Roman"/>
          <w:sz w:val="28"/>
          <w:szCs w:val="28"/>
        </w:rPr>
        <w:t>a disciplina delle concessioni su beni demaniali marittimi</w:t>
      </w:r>
      <w:r w:rsidR="00222AFA">
        <w:rPr>
          <w:rFonts w:ascii="Times New Roman" w:hAnsi="Times New Roman" w:cs="Times New Roman"/>
          <w:sz w:val="28"/>
          <w:szCs w:val="28"/>
        </w:rPr>
        <w:t xml:space="preserve">, pur attenendo a </w:t>
      </w:r>
      <w:r w:rsidR="00222AFA" w:rsidRPr="00A214EA">
        <w:rPr>
          <w:rFonts w:ascii="Times New Roman" w:hAnsi="Times New Roman" w:cs="Times New Roman"/>
          <w:sz w:val="28"/>
          <w:szCs w:val="28"/>
        </w:rPr>
        <w:t xml:space="preserve">diversi ambiti materiali, attribuiti alla competenza sia statale, sia regionale, </w:t>
      </w:r>
      <w:r w:rsidR="00222AFA">
        <w:rPr>
          <w:rFonts w:ascii="Times New Roman" w:hAnsi="Times New Roman" w:cs="Times New Roman"/>
          <w:sz w:val="28"/>
          <w:szCs w:val="28"/>
        </w:rPr>
        <w:t xml:space="preserve">intercetta la </w:t>
      </w:r>
      <w:r w:rsidR="00222AFA" w:rsidRPr="00A214EA">
        <w:rPr>
          <w:rFonts w:ascii="Times New Roman" w:hAnsi="Times New Roman" w:cs="Times New Roman"/>
          <w:sz w:val="28"/>
          <w:szCs w:val="28"/>
        </w:rPr>
        <w:t xml:space="preserve">particolare rilevanza, quanto ai criteri e alle modalità di affidamento delle concessioni, </w:t>
      </w:r>
      <w:r w:rsidR="00222AFA">
        <w:rPr>
          <w:rFonts w:ascii="Times New Roman" w:hAnsi="Times New Roman" w:cs="Times New Roman"/>
          <w:sz w:val="28"/>
          <w:szCs w:val="28"/>
        </w:rPr>
        <w:t xml:space="preserve">dei </w:t>
      </w:r>
      <w:r w:rsidR="00222AFA" w:rsidRPr="00A214EA">
        <w:rPr>
          <w:rFonts w:ascii="Times New Roman" w:hAnsi="Times New Roman" w:cs="Times New Roman"/>
          <w:sz w:val="28"/>
          <w:szCs w:val="28"/>
        </w:rPr>
        <w:t>principi della libera concorrenza e della libertà di stabilimento, previsti dalla normativa comunitaria e nazionale (</w:t>
      </w:r>
      <w:r w:rsidR="00222AFA">
        <w:rPr>
          <w:rFonts w:ascii="Times New Roman" w:hAnsi="Times New Roman" w:cs="Times New Roman"/>
          <w:sz w:val="28"/>
          <w:szCs w:val="28"/>
        </w:rPr>
        <w:t xml:space="preserve">su cui vedi anche le </w:t>
      </w:r>
      <w:r w:rsidR="00222AFA" w:rsidRPr="00A214EA">
        <w:rPr>
          <w:rFonts w:ascii="Times New Roman" w:hAnsi="Times New Roman" w:cs="Times New Roman"/>
          <w:sz w:val="28"/>
          <w:szCs w:val="28"/>
        </w:rPr>
        <w:t>sentenze </w:t>
      </w:r>
      <w:r w:rsidR="00222AFA">
        <w:rPr>
          <w:rFonts w:ascii="Times New Roman" w:hAnsi="Times New Roman" w:cs="Times New Roman"/>
          <w:sz w:val="28"/>
          <w:szCs w:val="28"/>
        </w:rPr>
        <w:t xml:space="preserve">n. 86 del 2019 e n. 40 del 2017, entrambe richiamate dalla n. 222 del 2020). Trattasi dunque di </w:t>
      </w:r>
      <w:r w:rsidR="00222AFA" w:rsidRPr="00A214EA">
        <w:rPr>
          <w:rFonts w:ascii="Times New Roman" w:hAnsi="Times New Roman" w:cs="Times New Roman"/>
          <w:sz w:val="28"/>
          <w:szCs w:val="28"/>
        </w:rPr>
        <w:t>ambiti riservati alla competenza esclusiva statale dall’art. 117, secondo comma, lettera e), Cost</w:t>
      </w:r>
      <w:r w:rsidR="00222AFA">
        <w:rPr>
          <w:rFonts w:ascii="Times New Roman" w:hAnsi="Times New Roman" w:cs="Times New Roman"/>
          <w:sz w:val="28"/>
          <w:szCs w:val="28"/>
        </w:rPr>
        <w:t xml:space="preserve">. Si riporta un significativo passaggio della sentenza n. 222 del 2020: </w:t>
      </w:r>
      <w:r w:rsidR="00222AFA">
        <w:rPr>
          <w:rFonts w:ascii="Arial" w:hAnsi="Arial" w:cs="Arial"/>
          <w:sz w:val="28"/>
          <w:szCs w:val="28"/>
        </w:rPr>
        <w:t>«</w:t>
      </w:r>
      <w:r w:rsidR="00222AFA" w:rsidRPr="002647A6">
        <w:rPr>
          <w:rFonts w:ascii="Lato" w:hAnsi="Lato"/>
          <w:color w:val="000000"/>
          <w:sz w:val="23"/>
          <w:szCs w:val="23"/>
          <w:shd w:val="clear" w:color="auto" w:fill="FFFFFF"/>
        </w:rPr>
        <w:t xml:space="preserve"> </w:t>
      </w:r>
      <w:r w:rsidR="00222AFA" w:rsidRPr="00934DD5">
        <w:rPr>
          <w:rFonts w:ascii="Times New Roman" w:hAnsi="Times New Roman" w:cs="Times New Roman"/>
          <w:i/>
          <w:iCs/>
          <w:sz w:val="28"/>
          <w:szCs w:val="28"/>
        </w:rPr>
        <w:t>Ed infatti, anche a voler ipotizzare, in linea del tutto astratta, che le disposizioni in questione siano riconducibili alla materia “governo del territorio”, in quanto funzionali, come affermato dalla Regione, a obiettivi di “federalismo demaniale”, dev’essere ribadito che, secondo il costante orientamento di questa Corte, le norme che stabiliscono i criteri e le modalità di affidamento delle concessioni demaniali marittime sono riconducibili alla competenza esclusiva statale di cui all’art. 117, secondo comma, lettera e), Cost., ed “in siffatta competenza esclusiva, le pur concorrenti competenze regionali trovano così un limite insuperabile” (sentenze n. 161 del 2020 e n. 109 del 2018)</w:t>
      </w:r>
      <w:r w:rsidR="00222AFA">
        <w:rPr>
          <w:rFonts w:ascii="Times New Roman" w:hAnsi="Times New Roman" w:cs="Times New Roman"/>
          <w:sz w:val="28"/>
          <w:szCs w:val="28"/>
        </w:rPr>
        <w:t xml:space="preserve"> </w:t>
      </w:r>
      <w:r w:rsidR="00222AFA" w:rsidRPr="002647A6">
        <w:rPr>
          <w:rFonts w:ascii="Times New Roman" w:hAnsi="Times New Roman" w:cs="Times New Roman"/>
          <w:sz w:val="28"/>
          <w:szCs w:val="28"/>
        </w:rPr>
        <w:t>» (§ 3.4</w:t>
      </w:r>
      <w:r w:rsidR="00222AFA">
        <w:rPr>
          <w:rFonts w:ascii="Times New Roman" w:hAnsi="Times New Roman" w:cs="Times New Roman"/>
          <w:sz w:val="28"/>
          <w:szCs w:val="28"/>
        </w:rPr>
        <w:t xml:space="preserve">). La Corte non ha escluso categoricamente la compatibilità dell’attribuzione di una qualche forma di ristoro per il concessionario uscente - pur trattandosi di questione non sottoposta al suo vaglio -, ma ne ha rivendicato la disciplina al legislatore nazionale. In sintesi, non è consentito alle Regioni per ciò solo </w:t>
      </w:r>
      <w:r w:rsidR="00222AFA" w:rsidRPr="002647A6">
        <w:rPr>
          <w:rFonts w:ascii="Times New Roman" w:hAnsi="Times New Roman" w:cs="Times New Roman"/>
          <w:sz w:val="28"/>
          <w:szCs w:val="28"/>
        </w:rPr>
        <w:t>alterare le modalità con cui il legislatore statale, nell’ambito della sua competenza esclusiva, ha inteso dare attuazione a detta prerogativa</w:t>
      </w:r>
      <w:r w:rsidR="00222AFA">
        <w:rPr>
          <w:rFonts w:ascii="Times New Roman" w:hAnsi="Times New Roman" w:cs="Times New Roman"/>
          <w:sz w:val="28"/>
          <w:szCs w:val="28"/>
        </w:rPr>
        <w:t>. I</w:t>
      </w:r>
      <w:r w:rsidR="00222AFA" w:rsidRPr="00571A5C">
        <w:rPr>
          <w:rFonts w:ascii="Times New Roman" w:hAnsi="Times New Roman" w:cs="Times New Roman"/>
          <w:sz w:val="28"/>
          <w:szCs w:val="28"/>
        </w:rPr>
        <w:t>l principio dettato dalla direttiva n. 2006/123/CE</w:t>
      </w:r>
      <w:r w:rsidR="00222AFA">
        <w:rPr>
          <w:rFonts w:ascii="Times New Roman" w:hAnsi="Times New Roman" w:cs="Times New Roman"/>
          <w:sz w:val="28"/>
          <w:szCs w:val="28"/>
        </w:rPr>
        <w:t xml:space="preserve">, c.d. Direttiva “servizi” o Bolkestein, in forza del quale, </w:t>
      </w:r>
      <w:r w:rsidR="00222AFA" w:rsidRPr="00571A5C">
        <w:rPr>
          <w:rFonts w:ascii="Times New Roman" w:hAnsi="Times New Roman" w:cs="Times New Roman"/>
          <w:sz w:val="28"/>
          <w:szCs w:val="28"/>
        </w:rPr>
        <w:t>ove il numero di titoli autorizzatori disponibili per una determinata attività di servizi sia limitato, non possono essere accordati vantaggi al prestatore uscente</w:t>
      </w:r>
      <w:r w:rsidR="00222AFA">
        <w:rPr>
          <w:rFonts w:ascii="Times New Roman" w:hAnsi="Times New Roman" w:cs="Times New Roman"/>
          <w:sz w:val="28"/>
          <w:szCs w:val="28"/>
        </w:rPr>
        <w:t>,</w:t>
      </w:r>
      <w:r w:rsidR="00222AFA" w:rsidRPr="00571A5C">
        <w:rPr>
          <w:rFonts w:ascii="Times New Roman" w:hAnsi="Times New Roman" w:cs="Times New Roman"/>
          <w:sz w:val="28"/>
          <w:szCs w:val="28"/>
        </w:rPr>
        <w:t xml:space="preserve"> non consente di escludere in assoluto che, allo spirare della concessione, possa riconoscersi</w:t>
      </w:r>
      <w:r w:rsidR="00222AFA">
        <w:rPr>
          <w:rFonts w:ascii="Times New Roman" w:hAnsi="Times New Roman" w:cs="Times New Roman"/>
          <w:sz w:val="28"/>
          <w:szCs w:val="28"/>
        </w:rPr>
        <w:t>,</w:t>
      </w:r>
      <w:r w:rsidR="00222AFA" w:rsidRPr="00571A5C">
        <w:rPr>
          <w:rFonts w:ascii="Times New Roman" w:hAnsi="Times New Roman" w:cs="Times New Roman"/>
          <w:sz w:val="28"/>
          <w:szCs w:val="28"/>
        </w:rPr>
        <w:t xml:space="preserve"> entro certi limiti, una tutela agli investimenti realizzati dal concessionario, soprattutto se effettuati durante un’epoca in cui egli poteva confidare sulla stabilità del titolo concessorio, in forza del </w:t>
      </w:r>
      <w:r w:rsidR="0060329A">
        <w:rPr>
          <w:rFonts w:ascii="Times New Roman" w:hAnsi="Times New Roman" w:cs="Times New Roman"/>
          <w:sz w:val="28"/>
          <w:szCs w:val="28"/>
        </w:rPr>
        <w:t xml:space="preserve">ricordato </w:t>
      </w:r>
      <w:r w:rsidR="00222AFA" w:rsidRPr="0060329A">
        <w:rPr>
          <w:rFonts w:ascii="Times New Roman" w:hAnsi="Times New Roman" w:cs="Times New Roman"/>
          <w:sz w:val="28"/>
          <w:szCs w:val="28"/>
        </w:rPr>
        <w:t>diritto di insistenza</w:t>
      </w:r>
      <w:r w:rsidR="00222AFA" w:rsidRPr="00571A5C">
        <w:rPr>
          <w:rFonts w:ascii="Times New Roman" w:hAnsi="Times New Roman" w:cs="Times New Roman"/>
          <w:sz w:val="28"/>
          <w:szCs w:val="28"/>
        </w:rPr>
        <w:t> o delle proroghe </w:t>
      </w:r>
      <w:proofErr w:type="spellStart"/>
      <w:r w:rsidR="00222AFA" w:rsidRPr="00571A5C">
        <w:rPr>
          <w:rFonts w:ascii="Times New Roman" w:hAnsi="Times New Roman" w:cs="Times New Roman"/>
          <w:i/>
          <w:iCs/>
          <w:sz w:val="28"/>
          <w:szCs w:val="28"/>
        </w:rPr>
        <w:t>ope</w:t>
      </w:r>
      <w:proofErr w:type="spellEnd"/>
      <w:r w:rsidR="00222AFA" w:rsidRPr="00571A5C">
        <w:rPr>
          <w:rFonts w:ascii="Times New Roman" w:hAnsi="Times New Roman" w:cs="Times New Roman"/>
          <w:i/>
          <w:iCs/>
          <w:sz w:val="28"/>
          <w:szCs w:val="28"/>
        </w:rPr>
        <w:t xml:space="preserve"> legis</w:t>
      </w:r>
      <w:r w:rsidR="00222AFA" w:rsidRPr="00571A5C">
        <w:rPr>
          <w:rFonts w:ascii="Times New Roman" w:hAnsi="Times New Roman" w:cs="Times New Roman"/>
          <w:sz w:val="28"/>
          <w:szCs w:val="28"/>
        </w:rPr>
        <w:t xml:space="preserve">. </w:t>
      </w:r>
      <w:r w:rsidR="00222AFA">
        <w:rPr>
          <w:rFonts w:ascii="Times New Roman" w:hAnsi="Times New Roman" w:cs="Times New Roman"/>
          <w:sz w:val="28"/>
          <w:szCs w:val="28"/>
        </w:rPr>
        <w:t xml:space="preserve">Ma un meccanismo che condiziona </w:t>
      </w:r>
      <w:r w:rsidR="00222AFA" w:rsidRPr="002647A6">
        <w:rPr>
          <w:rFonts w:ascii="Times New Roman" w:hAnsi="Times New Roman" w:cs="Times New Roman"/>
          <w:sz w:val="28"/>
          <w:szCs w:val="28"/>
        </w:rPr>
        <w:t>il subentro nel rapporto concessorio al pagamento di un indennizzo in favore del concessionario uscente</w:t>
      </w:r>
      <w:r w:rsidR="00222AFA">
        <w:rPr>
          <w:rFonts w:ascii="Times New Roman" w:hAnsi="Times New Roman" w:cs="Times New Roman"/>
          <w:sz w:val="28"/>
          <w:szCs w:val="28"/>
        </w:rPr>
        <w:t xml:space="preserve">, </w:t>
      </w:r>
      <w:r w:rsidR="00222AFA" w:rsidRPr="002647A6">
        <w:rPr>
          <w:rFonts w:ascii="Times New Roman" w:hAnsi="Times New Roman" w:cs="Times New Roman"/>
          <w:sz w:val="28"/>
          <w:szCs w:val="28"/>
        </w:rPr>
        <w:t xml:space="preserve">influisce </w:t>
      </w:r>
      <w:r w:rsidR="00222AFA">
        <w:rPr>
          <w:rFonts w:ascii="Times New Roman" w:hAnsi="Times New Roman" w:cs="Times New Roman"/>
          <w:sz w:val="28"/>
          <w:szCs w:val="28"/>
        </w:rPr>
        <w:t xml:space="preserve">sicuramente </w:t>
      </w:r>
      <w:r w:rsidR="00222AFA" w:rsidRPr="002647A6">
        <w:rPr>
          <w:rFonts w:ascii="Times New Roman" w:hAnsi="Times New Roman" w:cs="Times New Roman"/>
          <w:sz w:val="28"/>
          <w:szCs w:val="28"/>
        </w:rPr>
        <w:t>«</w:t>
      </w:r>
      <w:r w:rsidR="00222AFA" w:rsidRPr="00571A5C">
        <w:rPr>
          <w:rFonts w:ascii="Times New Roman" w:hAnsi="Times New Roman" w:cs="Times New Roman"/>
          <w:i/>
          <w:iCs/>
          <w:sz w:val="28"/>
          <w:szCs w:val="28"/>
        </w:rPr>
        <w:t>sulle possibilità di accesso al mercato di riferimento e sulla uniforme regolamentazione dello stesso, potendo costituire, per le imprese diverse dal concessionario uscente, un disincentivo alla partecipazione al concorso che porta all’affidamento</w:t>
      </w:r>
      <w:r w:rsidR="00222AFA" w:rsidRPr="002647A6">
        <w:rPr>
          <w:rFonts w:ascii="Times New Roman" w:hAnsi="Times New Roman" w:cs="Times New Roman"/>
          <w:sz w:val="28"/>
          <w:szCs w:val="28"/>
        </w:rPr>
        <w:t>»</w:t>
      </w:r>
      <w:r w:rsidR="00222AFA">
        <w:rPr>
          <w:rFonts w:ascii="Times New Roman" w:hAnsi="Times New Roman" w:cs="Times New Roman"/>
          <w:sz w:val="28"/>
          <w:szCs w:val="28"/>
        </w:rPr>
        <w:t xml:space="preserve"> (</w:t>
      </w:r>
      <w:r w:rsidR="00222AFA" w:rsidRPr="00DB4225">
        <w:rPr>
          <w:rFonts w:ascii="Times New Roman" w:hAnsi="Times New Roman" w:cs="Times New Roman"/>
          <w:sz w:val="28"/>
          <w:szCs w:val="28"/>
        </w:rPr>
        <w:t>Corte cost., n. 157 del 2017, n.  6.4.1., che specifica meglio la precedente affermazio</w:t>
      </w:r>
      <w:r w:rsidR="00222AFA">
        <w:rPr>
          <w:rFonts w:ascii="Times New Roman" w:hAnsi="Times New Roman" w:cs="Times New Roman"/>
          <w:sz w:val="28"/>
          <w:szCs w:val="28"/>
        </w:rPr>
        <w:t xml:space="preserve">ne in forza della quale: </w:t>
      </w:r>
      <w:r w:rsidR="00222AFA">
        <w:rPr>
          <w:rFonts w:ascii="Arial" w:hAnsi="Arial" w:cs="Arial"/>
          <w:sz w:val="28"/>
          <w:szCs w:val="28"/>
        </w:rPr>
        <w:t>«</w:t>
      </w:r>
      <w:r w:rsidR="00222AFA" w:rsidRPr="00AC5754">
        <w:rPr>
          <w:rFonts w:ascii="Times New Roman" w:hAnsi="Times New Roman" w:cs="Times New Roman"/>
          <w:i/>
          <w:iCs/>
          <w:sz w:val="28"/>
          <w:szCs w:val="28"/>
        </w:rPr>
        <w:t>A prescindere dalle giustificazioni addotte dalla Regione a sostegno della scelta normativa in esame, è di chiara evidenza che un siffatto obbligo, cui risulta condizionato il subentro al concessionario uscente, influisce sensibilmente sulle prospettive di acquisizione della concessione, rappresentando una delle componenti del costo dell’affidamento</w:t>
      </w:r>
      <w:r w:rsidR="00222AFA">
        <w:rPr>
          <w:rFonts w:ascii="Arial" w:hAnsi="Arial" w:cs="Arial"/>
          <w:sz w:val="28"/>
          <w:szCs w:val="28"/>
        </w:rPr>
        <w:t>»</w:t>
      </w:r>
      <w:r w:rsidR="00222AFA" w:rsidRPr="00AC5754">
        <w:rPr>
          <w:rFonts w:ascii="Times New Roman" w:hAnsi="Times New Roman" w:cs="Times New Roman"/>
          <w:sz w:val="28"/>
          <w:szCs w:val="28"/>
        </w:rPr>
        <w:t>.</w:t>
      </w:r>
      <w:r w:rsidR="00222AFA">
        <w:rPr>
          <w:rFonts w:ascii="Times New Roman" w:hAnsi="Times New Roman" w:cs="Times New Roman"/>
          <w:sz w:val="28"/>
          <w:szCs w:val="28"/>
        </w:rPr>
        <w:t xml:space="preserve"> Esso, dunque, costituisce </w:t>
      </w:r>
      <w:r w:rsidR="00222AFA" w:rsidRPr="00571A5C">
        <w:rPr>
          <w:rFonts w:ascii="Times New Roman" w:hAnsi="Times New Roman" w:cs="Times New Roman"/>
          <w:i/>
          <w:iCs/>
          <w:sz w:val="28"/>
          <w:szCs w:val="28"/>
        </w:rPr>
        <w:t>ex se</w:t>
      </w:r>
      <w:r w:rsidR="00222AFA">
        <w:rPr>
          <w:rFonts w:ascii="Times New Roman" w:hAnsi="Times New Roman" w:cs="Times New Roman"/>
          <w:sz w:val="28"/>
          <w:szCs w:val="28"/>
        </w:rPr>
        <w:t xml:space="preserve"> </w:t>
      </w:r>
      <w:r w:rsidR="00222AFA" w:rsidRPr="002647A6">
        <w:rPr>
          <w:rFonts w:ascii="Times New Roman" w:hAnsi="Times New Roman" w:cs="Times New Roman"/>
          <w:sz w:val="28"/>
          <w:szCs w:val="28"/>
        </w:rPr>
        <w:t xml:space="preserve">un’eccessiva barriera a discapito dei nuovi entranti nel settore economico di interesse, </w:t>
      </w:r>
      <w:r w:rsidR="00222AFA">
        <w:rPr>
          <w:rFonts w:ascii="Arial" w:hAnsi="Arial" w:cs="Arial"/>
          <w:sz w:val="28"/>
          <w:szCs w:val="28"/>
        </w:rPr>
        <w:t>«</w:t>
      </w:r>
      <w:r w:rsidR="00222AFA" w:rsidRPr="00571A5C">
        <w:rPr>
          <w:rFonts w:ascii="Times New Roman" w:hAnsi="Times New Roman" w:cs="Times New Roman"/>
          <w:i/>
          <w:iCs/>
          <w:sz w:val="28"/>
          <w:szCs w:val="28"/>
        </w:rPr>
        <w:t>avendo il coacervo dei beni cui si riferisce l’indennizzo da pagare, confini incerti, suscettibili di comprendere sia beni già in proprietà del gestore uscente, sia beni (immobili) che in linea di principio dovrebbero risultare automaticamente acquisiti al demanio per accessione</w:t>
      </w:r>
      <w:r w:rsidR="00222AFA">
        <w:rPr>
          <w:rFonts w:ascii="Arial" w:hAnsi="Arial" w:cs="Arial"/>
          <w:i/>
          <w:iCs/>
          <w:sz w:val="28"/>
          <w:szCs w:val="28"/>
        </w:rPr>
        <w:t>»</w:t>
      </w:r>
      <w:r w:rsidR="00222AFA">
        <w:rPr>
          <w:rFonts w:ascii="Arial" w:hAnsi="Arial" w:cs="Arial"/>
          <w:sz w:val="28"/>
          <w:szCs w:val="28"/>
        </w:rPr>
        <w:t xml:space="preserve"> </w:t>
      </w:r>
      <w:r w:rsidR="00222AFA" w:rsidRPr="00AC5754">
        <w:rPr>
          <w:rFonts w:ascii="Times New Roman" w:hAnsi="Times New Roman" w:cs="Times New Roman"/>
          <w:sz w:val="28"/>
          <w:szCs w:val="28"/>
        </w:rPr>
        <w:t xml:space="preserve">(così testualmente nell’ordinanza di rimessione alla Corte cost. della ricordata legge regionale da parte del </w:t>
      </w:r>
      <w:proofErr w:type="spellStart"/>
      <w:r w:rsidR="00222AFA" w:rsidRPr="00AC5754">
        <w:rPr>
          <w:rFonts w:ascii="Times New Roman" w:hAnsi="Times New Roman" w:cs="Times New Roman"/>
          <w:sz w:val="28"/>
          <w:szCs w:val="28"/>
        </w:rPr>
        <w:t>T.a.r</w:t>
      </w:r>
      <w:proofErr w:type="spellEnd"/>
      <w:r w:rsidR="00222AFA" w:rsidRPr="00AC5754">
        <w:rPr>
          <w:rFonts w:ascii="Times New Roman" w:hAnsi="Times New Roman" w:cs="Times New Roman"/>
          <w:sz w:val="28"/>
          <w:szCs w:val="28"/>
        </w:rPr>
        <w:t>. per il Veneto, sez. II, 3 giugno 2019, n. 22, nonché nella sentenza della Corte cost., n. 222 del 2020, che ne ha ripreso testualmente il passaggio in motivazione).</w:t>
      </w:r>
      <w:r w:rsidR="00222AFA">
        <w:rPr>
          <w:rFonts w:ascii="Arial" w:hAnsi="Arial" w:cs="Arial"/>
          <w:sz w:val="28"/>
          <w:szCs w:val="28"/>
        </w:rPr>
        <w:t xml:space="preserve"> </w:t>
      </w:r>
      <w:r w:rsidR="00222AFA">
        <w:rPr>
          <w:rFonts w:ascii="Times New Roman" w:hAnsi="Times New Roman" w:cs="Times New Roman"/>
          <w:sz w:val="28"/>
          <w:szCs w:val="28"/>
        </w:rPr>
        <w:t>In altre parole, l</w:t>
      </w:r>
      <w:r w:rsidR="00222AFA" w:rsidRPr="002647A6">
        <w:rPr>
          <w:rFonts w:ascii="Times New Roman" w:hAnsi="Times New Roman" w:cs="Times New Roman"/>
          <w:sz w:val="28"/>
          <w:szCs w:val="28"/>
        </w:rPr>
        <w:t xml:space="preserve">’obbligo di indennizzo, </w:t>
      </w:r>
      <w:r w:rsidR="00222AFA">
        <w:rPr>
          <w:rFonts w:ascii="Times New Roman" w:hAnsi="Times New Roman" w:cs="Times New Roman"/>
          <w:sz w:val="28"/>
          <w:szCs w:val="28"/>
        </w:rPr>
        <w:t xml:space="preserve">pur non essendo astrattamente contrario al diritto europeo, ove gli si </w:t>
      </w:r>
      <w:r w:rsidR="00222AFA" w:rsidRPr="002647A6">
        <w:rPr>
          <w:rFonts w:ascii="Times New Roman" w:hAnsi="Times New Roman" w:cs="Times New Roman"/>
          <w:sz w:val="28"/>
          <w:szCs w:val="28"/>
        </w:rPr>
        <w:t>subordin</w:t>
      </w:r>
      <w:r w:rsidR="00222AFA">
        <w:rPr>
          <w:rFonts w:ascii="Times New Roman" w:hAnsi="Times New Roman" w:cs="Times New Roman"/>
          <w:sz w:val="28"/>
          <w:szCs w:val="28"/>
        </w:rPr>
        <w:t>i</w:t>
      </w:r>
      <w:r w:rsidR="00222AFA" w:rsidRPr="002647A6">
        <w:rPr>
          <w:rFonts w:ascii="Times New Roman" w:hAnsi="Times New Roman" w:cs="Times New Roman"/>
          <w:sz w:val="28"/>
          <w:szCs w:val="28"/>
        </w:rPr>
        <w:t xml:space="preserve"> il subentro nella concessione</w:t>
      </w:r>
      <w:r w:rsidR="00222AFA">
        <w:rPr>
          <w:rFonts w:ascii="Times New Roman" w:hAnsi="Times New Roman" w:cs="Times New Roman"/>
          <w:sz w:val="28"/>
          <w:szCs w:val="28"/>
        </w:rPr>
        <w:t xml:space="preserve"> </w:t>
      </w:r>
      <w:r w:rsidR="00222AFA" w:rsidRPr="002647A6">
        <w:rPr>
          <w:rFonts w:ascii="Times New Roman" w:hAnsi="Times New Roman" w:cs="Times New Roman"/>
          <w:sz w:val="28"/>
          <w:szCs w:val="28"/>
        </w:rPr>
        <w:t xml:space="preserve">incide </w:t>
      </w:r>
      <w:r w:rsidR="00222AFA">
        <w:rPr>
          <w:rFonts w:ascii="Times New Roman" w:hAnsi="Times New Roman" w:cs="Times New Roman"/>
          <w:sz w:val="28"/>
          <w:szCs w:val="28"/>
        </w:rPr>
        <w:t xml:space="preserve">inequivocabilmente </w:t>
      </w:r>
      <w:r w:rsidR="00222AFA" w:rsidRPr="002647A6">
        <w:rPr>
          <w:rFonts w:ascii="Times New Roman" w:hAnsi="Times New Roman" w:cs="Times New Roman"/>
          <w:sz w:val="28"/>
          <w:szCs w:val="28"/>
        </w:rPr>
        <w:t>sulle possibilità di accesso al mercato di riferimento e sulla regolazione uniforme dello stesso</w:t>
      </w:r>
      <w:r w:rsidR="00222AFA">
        <w:rPr>
          <w:rFonts w:ascii="Times New Roman" w:hAnsi="Times New Roman" w:cs="Times New Roman"/>
          <w:sz w:val="28"/>
          <w:szCs w:val="28"/>
        </w:rPr>
        <w:t xml:space="preserve">. Esso </w:t>
      </w:r>
      <w:r w:rsidR="00222AFA" w:rsidRPr="002647A6">
        <w:rPr>
          <w:rFonts w:ascii="Times New Roman" w:hAnsi="Times New Roman" w:cs="Times New Roman"/>
          <w:sz w:val="28"/>
          <w:szCs w:val="28"/>
        </w:rPr>
        <w:t xml:space="preserve">può </w:t>
      </w:r>
      <w:r w:rsidR="00222AFA">
        <w:rPr>
          <w:rFonts w:ascii="Times New Roman" w:hAnsi="Times New Roman" w:cs="Times New Roman"/>
          <w:sz w:val="28"/>
          <w:szCs w:val="28"/>
        </w:rPr>
        <w:t xml:space="preserve">cioè </w:t>
      </w:r>
      <w:r w:rsidR="00222AFA" w:rsidRPr="002647A6">
        <w:rPr>
          <w:rFonts w:ascii="Times New Roman" w:hAnsi="Times New Roman" w:cs="Times New Roman"/>
          <w:sz w:val="28"/>
          <w:szCs w:val="28"/>
        </w:rPr>
        <w:t>costituire, per le ditte diverse dal concessionario uscente, un disincentivo a partecipare alla procedura concorsuale che conduce all’affidamento</w:t>
      </w:r>
      <w:r w:rsidR="00222AFA">
        <w:rPr>
          <w:rFonts w:ascii="Times New Roman" w:hAnsi="Times New Roman" w:cs="Times New Roman"/>
          <w:sz w:val="28"/>
          <w:szCs w:val="28"/>
        </w:rPr>
        <w:t xml:space="preserve">. È chiaro il monito al legislatore futuro, affinché nell’introdurre ridetto ristoro si faccia carico, con non semplice opera di cesello, di individuare il giusto punto di mediazione tra la salvaguardia degli investimenti del concessionario uscente, di per sé legittima, e il divieto di arrecargli in tal modo indebiti vantaggi a discapito della libertà di stabilimento di cui all’art. 49 TFUE. </w:t>
      </w:r>
    </w:p>
    <w:p w14:paraId="0B8BE107" w14:textId="5D87EB47" w:rsidR="00481BFD" w:rsidRDefault="007B2AA9" w:rsidP="00A42CE7">
      <w:pPr>
        <w:spacing w:line="288" w:lineRule="auto"/>
        <w:ind w:left="284" w:right="140"/>
        <w:jc w:val="both"/>
        <w:rPr>
          <w:rFonts w:ascii="Times New Roman" w:hAnsi="Times New Roman" w:cs="Times New Roman"/>
          <w:sz w:val="28"/>
          <w:szCs w:val="28"/>
        </w:rPr>
      </w:pPr>
      <w:r>
        <w:rPr>
          <w:rFonts w:ascii="Times New Roman" w:hAnsi="Times New Roman" w:cs="Times New Roman"/>
          <w:sz w:val="28"/>
          <w:szCs w:val="28"/>
        </w:rPr>
        <w:t xml:space="preserve">La necessità di rispettare l’assetto delle competenze e dunque la riserva statale in materia di concorrenza è alla base anche della </w:t>
      </w:r>
      <w:r w:rsidR="00481BFD">
        <w:rPr>
          <w:rFonts w:ascii="Times New Roman" w:hAnsi="Times New Roman" w:cs="Times New Roman"/>
          <w:sz w:val="28"/>
          <w:szCs w:val="28"/>
        </w:rPr>
        <w:t>più recente pronuncia del 1° luglio 2025, n. 27</w:t>
      </w:r>
      <w:r>
        <w:rPr>
          <w:rFonts w:ascii="Times New Roman" w:hAnsi="Times New Roman" w:cs="Times New Roman"/>
          <w:sz w:val="28"/>
          <w:szCs w:val="28"/>
        </w:rPr>
        <w:t xml:space="preserve">. Ancora una volta è finita sotto la lente della Corte costituzionale </w:t>
      </w:r>
      <w:r w:rsidR="00481BFD">
        <w:rPr>
          <w:rFonts w:ascii="Times New Roman" w:hAnsi="Times New Roman" w:cs="Times New Roman"/>
          <w:sz w:val="28"/>
          <w:szCs w:val="28"/>
        </w:rPr>
        <w:t>la legislazione regionale Toscana (</w:t>
      </w:r>
      <w:r w:rsidR="00481BFD" w:rsidRPr="00481BFD">
        <w:rPr>
          <w:rFonts w:ascii="Times New Roman" w:hAnsi="Times New Roman" w:cs="Times New Roman"/>
          <w:sz w:val="28"/>
          <w:szCs w:val="28"/>
        </w:rPr>
        <w:t xml:space="preserve">artt. 1, 2, commi 3 e 4, e 3 della </w:t>
      </w:r>
      <w:proofErr w:type="spellStart"/>
      <w:r w:rsidR="00481BFD" w:rsidRPr="00481BFD">
        <w:rPr>
          <w:rFonts w:ascii="Times New Roman" w:hAnsi="Times New Roman" w:cs="Times New Roman"/>
          <w:sz w:val="28"/>
          <w:szCs w:val="28"/>
        </w:rPr>
        <w:t>l</w:t>
      </w:r>
      <w:r w:rsidR="00481BFD">
        <w:rPr>
          <w:rFonts w:ascii="Times New Roman" w:hAnsi="Times New Roman" w:cs="Times New Roman"/>
          <w:sz w:val="28"/>
          <w:szCs w:val="28"/>
        </w:rPr>
        <w:t>.r</w:t>
      </w:r>
      <w:proofErr w:type="spellEnd"/>
      <w:r w:rsidR="00481BFD">
        <w:rPr>
          <w:rFonts w:ascii="Times New Roman" w:hAnsi="Times New Roman" w:cs="Times New Roman"/>
          <w:sz w:val="28"/>
          <w:szCs w:val="28"/>
        </w:rPr>
        <w:t xml:space="preserve">. </w:t>
      </w:r>
      <w:r w:rsidR="00481BFD" w:rsidRPr="00481BFD">
        <w:rPr>
          <w:rFonts w:ascii="Times New Roman" w:hAnsi="Times New Roman" w:cs="Times New Roman"/>
          <w:sz w:val="28"/>
          <w:szCs w:val="28"/>
        </w:rPr>
        <w:t>29 luglio 2024, n. 30</w:t>
      </w:r>
      <w:r w:rsidR="00481BFD">
        <w:rPr>
          <w:rFonts w:ascii="Times New Roman" w:hAnsi="Times New Roman" w:cs="Times New Roman"/>
          <w:sz w:val="28"/>
          <w:szCs w:val="28"/>
        </w:rPr>
        <w:t xml:space="preserve">, che è andata a modificare la </w:t>
      </w:r>
      <w:proofErr w:type="spellStart"/>
      <w:r w:rsidR="00481BFD">
        <w:rPr>
          <w:rFonts w:ascii="Times New Roman" w:hAnsi="Times New Roman" w:cs="Times New Roman"/>
          <w:sz w:val="28"/>
          <w:szCs w:val="28"/>
        </w:rPr>
        <w:t>l.r</w:t>
      </w:r>
      <w:proofErr w:type="spellEnd"/>
      <w:r w:rsidR="00481BFD">
        <w:rPr>
          <w:rFonts w:ascii="Times New Roman" w:hAnsi="Times New Roman" w:cs="Times New Roman"/>
          <w:sz w:val="28"/>
          <w:szCs w:val="28"/>
        </w:rPr>
        <w:t xml:space="preserve">. 31 del 2016, allo scopo, espressamente enunciato nel preambolo, di adeguarla e attualizzarla   </w:t>
      </w:r>
      <w:r w:rsidR="00481BFD" w:rsidRPr="00481BFD">
        <w:rPr>
          <w:rFonts w:ascii="Times New Roman" w:hAnsi="Times New Roman" w:cs="Times New Roman"/>
          <w:sz w:val="28"/>
          <w:szCs w:val="28"/>
        </w:rPr>
        <w:t>alle sopravvenienze normative e giurisprudenziali succedutesi negli anni in materia di concessioni demaniali marittime per finalità turistico-ricreative</w:t>
      </w:r>
      <w:r>
        <w:rPr>
          <w:rFonts w:ascii="Times New Roman" w:hAnsi="Times New Roman" w:cs="Times New Roman"/>
          <w:sz w:val="28"/>
          <w:szCs w:val="28"/>
        </w:rPr>
        <w:t>)</w:t>
      </w:r>
      <w:r w:rsidR="00481BFD" w:rsidRPr="00481BFD">
        <w:rPr>
          <w:rFonts w:ascii="Times New Roman" w:hAnsi="Times New Roman" w:cs="Times New Roman"/>
          <w:sz w:val="28"/>
          <w:szCs w:val="28"/>
        </w:rPr>
        <w:t>.</w:t>
      </w:r>
      <w:r w:rsidR="00481BFD">
        <w:rPr>
          <w:rFonts w:ascii="Times New Roman" w:hAnsi="Times New Roman" w:cs="Times New Roman"/>
          <w:sz w:val="28"/>
          <w:szCs w:val="28"/>
        </w:rPr>
        <w:t xml:space="preserve"> </w:t>
      </w:r>
      <w:r>
        <w:rPr>
          <w:rFonts w:ascii="Times New Roman" w:hAnsi="Times New Roman" w:cs="Times New Roman"/>
          <w:sz w:val="28"/>
          <w:szCs w:val="28"/>
        </w:rPr>
        <w:t xml:space="preserve">In maggior dettaglio, </w:t>
      </w:r>
      <w:r w:rsidRPr="007B2AA9">
        <w:rPr>
          <w:rFonts w:ascii="Times New Roman" w:hAnsi="Times New Roman" w:cs="Times New Roman"/>
          <w:sz w:val="28"/>
          <w:szCs w:val="28"/>
        </w:rPr>
        <w:t>il comma 3 dell’art. 2</w:t>
      </w:r>
      <w:r>
        <w:rPr>
          <w:rFonts w:ascii="Times New Roman" w:hAnsi="Times New Roman" w:cs="Times New Roman"/>
          <w:sz w:val="28"/>
          <w:szCs w:val="28"/>
        </w:rPr>
        <w:t xml:space="preserve">, di tale legge, attribuiva, </w:t>
      </w:r>
      <w:r w:rsidRPr="007B2AA9">
        <w:rPr>
          <w:rFonts w:ascii="Times New Roman" w:hAnsi="Times New Roman" w:cs="Times New Roman"/>
          <w:sz w:val="28"/>
          <w:szCs w:val="28"/>
        </w:rPr>
        <w:t>nella fase di valutazione delle domande dei concorrenti, un vantaggio – mediante il riconoscimento di un punteggio ulteriore (un premio) – al micro, piccolo o medio operatore turistico-balneare, rispetto all’operatore che non rientri in tale dimensione imprenditoriale</w:t>
      </w:r>
      <w:r>
        <w:rPr>
          <w:rFonts w:ascii="Times New Roman" w:hAnsi="Times New Roman" w:cs="Times New Roman"/>
          <w:sz w:val="28"/>
          <w:szCs w:val="28"/>
        </w:rPr>
        <w:t xml:space="preserve">; al successivo </w:t>
      </w:r>
      <w:r w:rsidRPr="007B2AA9">
        <w:rPr>
          <w:rFonts w:ascii="Times New Roman" w:hAnsi="Times New Roman" w:cs="Times New Roman"/>
          <w:sz w:val="28"/>
          <w:szCs w:val="28"/>
        </w:rPr>
        <w:t xml:space="preserve">comma 4, </w:t>
      </w:r>
      <w:r>
        <w:rPr>
          <w:rFonts w:ascii="Times New Roman" w:hAnsi="Times New Roman" w:cs="Times New Roman"/>
          <w:sz w:val="28"/>
          <w:szCs w:val="28"/>
        </w:rPr>
        <w:t xml:space="preserve">per </w:t>
      </w:r>
      <w:r w:rsidRPr="007B2AA9">
        <w:rPr>
          <w:rFonts w:ascii="Times New Roman" w:hAnsi="Times New Roman" w:cs="Times New Roman"/>
          <w:sz w:val="28"/>
          <w:szCs w:val="28"/>
        </w:rPr>
        <w:t>creare un potenziale «</w:t>
      </w:r>
      <w:r w:rsidRPr="007B2AA9">
        <w:rPr>
          <w:rFonts w:ascii="Times New Roman" w:hAnsi="Times New Roman" w:cs="Times New Roman"/>
          <w:i/>
          <w:iCs/>
          <w:sz w:val="28"/>
          <w:szCs w:val="28"/>
        </w:rPr>
        <w:t>disincentivo alla partecipazione al concorso che porta all’affidamento</w:t>
      </w:r>
      <w:r w:rsidRPr="007B2AA9">
        <w:rPr>
          <w:rFonts w:ascii="Times New Roman" w:hAnsi="Times New Roman" w:cs="Times New Roman"/>
          <w:sz w:val="28"/>
          <w:szCs w:val="28"/>
        </w:rPr>
        <w:t xml:space="preserve">» (sentenza n. 157 del 2017) con riguardo ai soggetti diversi dal gestore uscente, </w:t>
      </w:r>
      <w:r>
        <w:rPr>
          <w:rFonts w:ascii="Times New Roman" w:hAnsi="Times New Roman" w:cs="Times New Roman"/>
          <w:sz w:val="28"/>
          <w:szCs w:val="28"/>
        </w:rPr>
        <w:t xml:space="preserve">li onerava, </w:t>
      </w:r>
      <w:r w:rsidRPr="007B2AA9">
        <w:rPr>
          <w:rFonts w:ascii="Times New Roman" w:hAnsi="Times New Roman" w:cs="Times New Roman"/>
          <w:sz w:val="28"/>
          <w:szCs w:val="28"/>
        </w:rPr>
        <w:t xml:space="preserve">in caso di aggiudicazione, </w:t>
      </w:r>
      <w:r>
        <w:rPr>
          <w:rFonts w:ascii="Times New Roman" w:hAnsi="Times New Roman" w:cs="Times New Roman"/>
          <w:sz w:val="28"/>
          <w:szCs w:val="28"/>
        </w:rPr>
        <w:t xml:space="preserve">della corresponsione di un </w:t>
      </w:r>
      <w:r w:rsidRPr="007B2AA9">
        <w:rPr>
          <w:rFonts w:ascii="Times New Roman" w:hAnsi="Times New Roman" w:cs="Times New Roman"/>
          <w:sz w:val="28"/>
          <w:szCs w:val="28"/>
        </w:rPr>
        <w:t>indennizzo in favore di quest’ultimo</w:t>
      </w:r>
      <w:r>
        <w:rPr>
          <w:rFonts w:ascii="Times New Roman" w:hAnsi="Times New Roman" w:cs="Times New Roman"/>
          <w:sz w:val="28"/>
          <w:szCs w:val="28"/>
        </w:rPr>
        <w:t xml:space="preserve">. </w:t>
      </w:r>
    </w:p>
    <w:p w14:paraId="28BECBD5" w14:textId="3722B3A4" w:rsidR="00222AFA" w:rsidRDefault="00934DD5" w:rsidP="00A42CE7">
      <w:pPr>
        <w:spacing w:line="288" w:lineRule="auto"/>
        <w:ind w:left="284" w:right="140"/>
        <w:jc w:val="both"/>
        <w:rPr>
          <w:rFonts w:ascii="Times New Roman" w:hAnsi="Times New Roman" w:cs="Times New Roman"/>
          <w:sz w:val="28"/>
          <w:szCs w:val="28"/>
        </w:rPr>
      </w:pPr>
      <w:r w:rsidRPr="00BB52A6">
        <w:rPr>
          <w:rFonts w:ascii="Times New Roman" w:hAnsi="Times New Roman" w:cs="Times New Roman"/>
          <w:sz w:val="28"/>
          <w:szCs w:val="28"/>
        </w:rPr>
        <w:t xml:space="preserve">La cornice regionale, </w:t>
      </w:r>
      <w:r w:rsidR="00222AFA">
        <w:rPr>
          <w:rFonts w:ascii="Times New Roman" w:hAnsi="Times New Roman" w:cs="Times New Roman"/>
          <w:sz w:val="28"/>
          <w:szCs w:val="28"/>
        </w:rPr>
        <w:t xml:space="preserve">tuttavia, ha fatto </w:t>
      </w:r>
      <w:r w:rsidRPr="00BB52A6">
        <w:rPr>
          <w:rFonts w:ascii="Times New Roman" w:hAnsi="Times New Roman" w:cs="Times New Roman"/>
          <w:sz w:val="28"/>
          <w:szCs w:val="28"/>
        </w:rPr>
        <w:t xml:space="preserve">emergere </w:t>
      </w:r>
      <w:r w:rsidR="00222AFA">
        <w:rPr>
          <w:rFonts w:ascii="Times New Roman" w:hAnsi="Times New Roman" w:cs="Times New Roman"/>
          <w:sz w:val="28"/>
          <w:szCs w:val="28"/>
        </w:rPr>
        <w:t>un’</w:t>
      </w:r>
      <w:r w:rsidRPr="00BB52A6">
        <w:rPr>
          <w:rFonts w:ascii="Times New Roman" w:hAnsi="Times New Roman" w:cs="Times New Roman"/>
          <w:sz w:val="28"/>
          <w:szCs w:val="28"/>
        </w:rPr>
        <w:t xml:space="preserve">idea di “affidamento” </w:t>
      </w:r>
      <w:r w:rsidR="00934427" w:rsidRPr="00BB52A6">
        <w:rPr>
          <w:rFonts w:ascii="Times New Roman" w:hAnsi="Times New Roman" w:cs="Times New Roman"/>
          <w:sz w:val="28"/>
          <w:szCs w:val="28"/>
        </w:rPr>
        <w:t xml:space="preserve">del concessionario uscente </w:t>
      </w:r>
      <w:r w:rsidR="00222AFA">
        <w:rPr>
          <w:rFonts w:ascii="Times New Roman" w:hAnsi="Times New Roman" w:cs="Times New Roman"/>
          <w:sz w:val="28"/>
          <w:szCs w:val="28"/>
        </w:rPr>
        <w:t xml:space="preserve">basata sostanzialmente sulla fiducia ingenerata </w:t>
      </w:r>
      <w:r w:rsidRPr="00BB52A6">
        <w:rPr>
          <w:rFonts w:ascii="Times New Roman" w:hAnsi="Times New Roman" w:cs="Times New Roman"/>
          <w:sz w:val="28"/>
          <w:szCs w:val="28"/>
        </w:rPr>
        <w:t xml:space="preserve">non </w:t>
      </w:r>
      <w:r w:rsidR="00222AFA">
        <w:rPr>
          <w:rFonts w:ascii="Times New Roman" w:hAnsi="Times New Roman" w:cs="Times New Roman"/>
          <w:sz w:val="28"/>
          <w:szCs w:val="28"/>
        </w:rPr>
        <w:t>dal</w:t>
      </w:r>
      <w:r w:rsidRPr="00BB52A6">
        <w:rPr>
          <w:rFonts w:ascii="Times New Roman" w:hAnsi="Times New Roman" w:cs="Times New Roman"/>
          <w:sz w:val="28"/>
          <w:szCs w:val="28"/>
        </w:rPr>
        <w:t xml:space="preserve"> comportamento </w:t>
      </w:r>
      <w:r w:rsidR="00374E23" w:rsidRPr="00BB52A6">
        <w:rPr>
          <w:rFonts w:ascii="Times New Roman" w:hAnsi="Times New Roman" w:cs="Times New Roman"/>
          <w:sz w:val="28"/>
          <w:szCs w:val="28"/>
        </w:rPr>
        <w:t>“</w:t>
      </w:r>
      <w:r w:rsidRPr="00BB52A6">
        <w:rPr>
          <w:rFonts w:ascii="Times New Roman" w:hAnsi="Times New Roman" w:cs="Times New Roman"/>
          <w:sz w:val="28"/>
          <w:szCs w:val="28"/>
        </w:rPr>
        <w:t>ambiguo</w:t>
      </w:r>
      <w:r w:rsidR="00374E23" w:rsidRPr="00BB52A6">
        <w:rPr>
          <w:rFonts w:ascii="Times New Roman" w:hAnsi="Times New Roman" w:cs="Times New Roman"/>
          <w:sz w:val="28"/>
          <w:szCs w:val="28"/>
        </w:rPr>
        <w:t>”</w:t>
      </w:r>
      <w:r w:rsidRPr="00BB52A6">
        <w:rPr>
          <w:rFonts w:ascii="Times New Roman" w:hAnsi="Times New Roman" w:cs="Times New Roman"/>
          <w:sz w:val="28"/>
          <w:szCs w:val="28"/>
        </w:rPr>
        <w:t xml:space="preserve"> della p.a., ma </w:t>
      </w:r>
      <w:r w:rsidR="00222AFA">
        <w:rPr>
          <w:rFonts w:ascii="Times New Roman" w:hAnsi="Times New Roman" w:cs="Times New Roman"/>
          <w:sz w:val="28"/>
          <w:szCs w:val="28"/>
        </w:rPr>
        <w:t>dalle</w:t>
      </w:r>
      <w:r w:rsidR="00374E23" w:rsidRPr="00BB52A6">
        <w:rPr>
          <w:rFonts w:ascii="Times New Roman" w:hAnsi="Times New Roman" w:cs="Times New Roman"/>
          <w:sz w:val="28"/>
          <w:szCs w:val="28"/>
        </w:rPr>
        <w:t xml:space="preserve"> scelte univoche </w:t>
      </w:r>
      <w:r w:rsidR="00222AFA">
        <w:rPr>
          <w:rFonts w:ascii="Times New Roman" w:hAnsi="Times New Roman" w:cs="Times New Roman"/>
          <w:sz w:val="28"/>
          <w:szCs w:val="28"/>
        </w:rPr>
        <w:t xml:space="preserve">e reiterate </w:t>
      </w:r>
      <w:r w:rsidR="00374E23" w:rsidRPr="00BB52A6">
        <w:rPr>
          <w:rFonts w:ascii="Times New Roman" w:hAnsi="Times New Roman" w:cs="Times New Roman"/>
          <w:sz w:val="28"/>
          <w:szCs w:val="28"/>
        </w:rPr>
        <w:t>d</w:t>
      </w:r>
      <w:r w:rsidR="00222AFA">
        <w:rPr>
          <w:rFonts w:ascii="Times New Roman" w:hAnsi="Times New Roman" w:cs="Times New Roman"/>
          <w:sz w:val="28"/>
          <w:szCs w:val="28"/>
        </w:rPr>
        <w:t xml:space="preserve">el legislatore nazionale che lo </w:t>
      </w:r>
      <w:r w:rsidR="00861646">
        <w:rPr>
          <w:rFonts w:ascii="Times New Roman" w:hAnsi="Times New Roman" w:cs="Times New Roman"/>
          <w:sz w:val="28"/>
          <w:szCs w:val="28"/>
        </w:rPr>
        <w:t xml:space="preserve">ha </w:t>
      </w:r>
      <w:r w:rsidR="00222AFA">
        <w:rPr>
          <w:rFonts w:ascii="Times New Roman" w:hAnsi="Times New Roman" w:cs="Times New Roman"/>
          <w:sz w:val="28"/>
          <w:szCs w:val="28"/>
        </w:rPr>
        <w:t>ispirato</w:t>
      </w:r>
      <w:r w:rsidR="0060329A">
        <w:rPr>
          <w:rFonts w:ascii="Times New Roman" w:hAnsi="Times New Roman" w:cs="Times New Roman"/>
          <w:sz w:val="28"/>
          <w:szCs w:val="28"/>
        </w:rPr>
        <w:t xml:space="preserve">. </w:t>
      </w:r>
      <w:r w:rsidR="007B2AA9">
        <w:rPr>
          <w:rFonts w:ascii="Times New Roman" w:hAnsi="Times New Roman" w:cs="Times New Roman"/>
          <w:sz w:val="28"/>
          <w:szCs w:val="28"/>
        </w:rPr>
        <w:t>Non a caso, le argomentazioni addotte dalla Regione Toscana nel giudizio sfociato nella sentenza da ultimo citata fanno leva sulla situazione di inerzia del legislatore nazionale</w:t>
      </w:r>
      <w:r w:rsidR="006C273A">
        <w:rPr>
          <w:rFonts w:ascii="Times New Roman" w:hAnsi="Times New Roman" w:cs="Times New Roman"/>
          <w:sz w:val="28"/>
          <w:szCs w:val="28"/>
        </w:rPr>
        <w:t xml:space="preserve"> e sulla finalità di tutelare l’affidamento, appunto, e la certezza del diritto degli operatori locali </w:t>
      </w:r>
      <w:r w:rsidR="006C273A">
        <w:rPr>
          <w:rStyle w:val="Rimandonotaapidipagina"/>
          <w:rFonts w:ascii="Times New Roman" w:hAnsi="Times New Roman" w:cs="Times New Roman"/>
          <w:sz w:val="28"/>
          <w:szCs w:val="28"/>
        </w:rPr>
        <w:footnoteReference w:id="5"/>
      </w:r>
      <w:r w:rsidR="006C273A">
        <w:rPr>
          <w:rFonts w:ascii="Times New Roman" w:hAnsi="Times New Roman" w:cs="Times New Roman"/>
          <w:sz w:val="28"/>
          <w:szCs w:val="28"/>
        </w:rPr>
        <w:t xml:space="preserve">. </w:t>
      </w:r>
      <w:r w:rsidR="00D50C2B">
        <w:rPr>
          <w:rFonts w:ascii="Times New Roman" w:hAnsi="Times New Roman" w:cs="Times New Roman"/>
          <w:sz w:val="28"/>
          <w:szCs w:val="28"/>
        </w:rPr>
        <w:t xml:space="preserve">Le Regioni, dunque, </w:t>
      </w:r>
      <w:r w:rsidRPr="00BB52A6">
        <w:rPr>
          <w:rFonts w:ascii="Times New Roman" w:hAnsi="Times New Roman" w:cs="Times New Roman"/>
          <w:sz w:val="28"/>
          <w:szCs w:val="28"/>
        </w:rPr>
        <w:t>ha</w:t>
      </w:r>
      <w:r w:rsidR="00374E23" w:rsidRPr="00BB52A6">
        <w:rPr>
          <w:rFonts w:ascii="Times New Roman" w:hAnsi="Times New Roman" w:cs="Times New Roman"/>
          <w:sz w:val="28"/>
          <w:szCs w:val="28"/>
        </w:rPr>
        <w:t xml:space="preserve">nno </w:t>
      </w:r>
      <w:r w:rsidR="00D50C2B">
        <w:rPr>
          <w:rFonts w:ascii="Times New Roman" w:hAnsi="Times New Roman" w:cs="Times New Roman"/>
          <w:sz w:val="28"/>
          <w:szCs w:val="28"/>
        </w:rPr>
        <w:t xml:space="preserve">a loro volta </w:t>
      </w:r>
      <w:r w:rsidR="00374E23" w:rsidRPr="00BB52A6">
        <w:rPr>
          <w:rFonts w:ascii="Times New Roman" w:hAnsi="Times New Roman" w:cs="Times New Roman"/>
          <w:sz w:val="28"/>
          <w:szCs w:val="28"/>
        </w:rPr>
        <w:t xml:space="preserve">finito per </w:t>
      </w:r>
      <w:r w:rsidRPr="00BB52A6">
        <w:rPr>
          <w:rFonts w:ascii="Times New Roman" w:hAnsi="Times New Roman" w:cs="Times New Roman"/>
          <w:sz w:val="28"/>
          <w:szCs w:val="28"/>
        </w:rPr>
        <w:t>consolida</w:t>
      </w:r>
      <w:r w:rsidR="00374E23" w:rsidRPr="00BB52A6">
        <w:rPr>
          <w:rFonts w:ascii="Times New Roman" w:hAnsi="Times New Roman" w:cs="Times New Roman"/>
          <w:sz w:val="28"/>
          <w:szCs w:val="28"/>
        </w:rPr>
        <w:t xml:space="preserve">re l’idea di una </w:t>
      </w:r>
      <w:r w:rsidR="00934427" w:rsidRPr="00BB52A6">
        <w:rPr>
          <w:rFonts w:ascii="Times New Roman" w:hAnsi="Times New Roman" w:cs="Times New Roman"/>
          <w:sz w:val="28"/>
          <w:szCs w:val="28"/>
        </w:rPr>
        <w:t xml:space="preserve">durata </w:t>
      </w:r>
      <w:r w:rsidR="00374E23" w:rsidRPr="00BB52A6">
        <w:rPr>
          <w:rFonts w:ascii="Times New Roman" w:hAnsi="Times New Roman" w:cs="Times New Roman"/>
          <w:i/>
          <w:iCs/>
          <w:sz w:val="28"/>
          <w:szCs w:val="28"/>
        </w:rPr>
        <w:t>sine die</w:t>
      </w:r>
      <w:r w:rsidR="00374E23" w:rsidRPr="00BB52A6">
        <w:rPr>
          <w:rFonts w:ascii="Times New Roman" w:hAnsi="Times New Roman" w:cs="Times New Roman"/>
          <w:sz w:val="28"/>
          <w:szCs w:val="28"/>
        </w:rPr>
        <w:t xml:space="preserve"> </w:t>
      </w:r>
      <w:r w:rsidR="00934427" w:rsidRPr="00BB52A6">
        <w:rPr>
          <w:rFonts w:ascii="Times New Roman" w:hAnsi="Times New Roman" w:cs="Times New Roman"/>
          <w:sz w:val="28"/>
          <w:szCs w:val="28"/>
        </w:rPr>
        <w:t xml:space="preserve">del rapporto, </w:t>
      </w:r>
      <w:r w:rsidR="00374E23" w:rsidRPr="00BB52A6">
        <w:rPr>
          <w:rFonts w:ascii="Times New Roman" w:hAnsi="Times New Roman" w:cs="Times New Roman"/>
          <w:sz w:val="28"/>
          <w:szCs w:val="28"/>
        </w:rPr>
        <w:t xml:space="preserve">in quanto </w:t>
      </w:r>
      <w:r w:rsidRPr="00BB52A6">
        <w:rPr>
          <w:rFonts w:ascii="Times New Roman" w:hAnsi="Times New Roman" w:cs="Times New Roman"/>
          <w:sz w:val="28"/>
          <w:szCs w:val="28"/>
        </w:rPr>
        <w:t xml:space="preserve">liberamente prorogabile. </w:t>
      </w:r>
      <w:r w:rsidR="00374E23" w:rsidRPr="00BB52A6">
        <w:rPr>
          <w:rFonts w:ascii="Times New Roman" w:hAnsi="Times New Roman" w:cs="Times New Roman"/>
          <w:sz w:val="28"/>
          <w:szCs w:val="28"/>
        </w:rPr>
        <w:t>Il mutamento (tardivo) di impostazione si sarebbe</w:t>
      </w:r>
      <w:r w:rsidR="00A93995" w:rsidRPr="00BB52A6">
        <w:rPr>
          <w:rFonts w:ascii="Times New Roman" w:hAnsi="Times New Roman" w:cs="Times New Roman"/>
          <w:sz w:val="28"/>
          <w:szCs w:val="28"/>
        </w:rPr>
        <w:t xml:space="preserve"> </w:t>
      </w:r>
      <w:proofErr w:type="spellStart"/>
      <w:r w:rsidR="00374E23" w:rsidRPr="00BB52A6">
        <w:rPr>
          <w:rFonts w:ascii="Times New Roman" w:hAnsi="Times New Roman" w:cs="Times New Roman"/>
          <w:sz w:val="28"/>
          <w:szCs w:val="28"/>
        </w:rPr>
        <w:t>avuto</w:t>
      </w:r>
      <w:proofErr w:type="spellEnd"/>
      <w:r w:rsidR="00374E23" w:rsidRPr="00BB52A6">
        <w:rPr>
          <w:rFonts w:ascii="Times New Roman" w:hAnsi="Times New Roman" w:cs="Times New Roman"/>
          <w:sz w:val="28"/>
          <w:szCs w:val="28"/>
        </w:rPr>
        <w:t xml:space="preserve"> </w:t>
      </w:r>
      <w:r w:rsidR="00222AFA">
        <w:rPr>
          <w:rFonts w:ascii="Times New Roman" w:hAnsi="Times New Roman" w:cs="Times New Roman"/>
          <w:sz w:val="28"/>
          <w:szCs w:val="28"/>
        </w:rPr>
        <w:t xml:space="preserve">- </w:t>
      </w:r>
      <w:proofErr w:type="spellStart"/>
      <w:r w:rsidR="00222AFA" w:rsidRPr="00222AFA">
        <w:rPr>
          <w:rFonts w:ascii="Times New Roman" w:hAnsi="Times New Roman" w:cs="Times New Roman"/>
          <w:i/>
          <w:iCs/>
          <w:sz w:val="28"/>
          <w:szCs w:val="28"/>
        </w:rPr>
        <w:t>rectius</w:t>
      </w:r>
      <w:proofErr w:type="spellEnd"/>
      <w:r w:rsidR="00222AFA">
        <w:rPr>
          <w:rFonts w:ascii="Times New Roman" w:hAnsi="Times New Roman" w:cs="Times New Roman"/>
          <w:sz w:val="28"/>
          <w:szCs w:val="28"/>
        </w:rPr>
        <w:t xml:space="preserve">, si sarebbe dovuto avere – almeno </w:t>
      </w:r>
      <w:r w:rsidR="00934427" w:rsidRPr="00BB52A6">
        <w:rPr>
          <w:rFonts w:ascii="Times New Roman" w:hAnsi="Times New Roman" w:cs="Times New Roman"/>
          <w:sz w:val="28"/>
          <w:szCs w:val="28"/>
        </w:rPr>
        <w:t>a partire dalla sentenza della CGUE del 14 luglio 2016</w:t>
      </w:r>
      <w:r w:rsidR="00374E23" w:rsidRPr="00BB52A6">
        <w:rPr>
          <w:rFonts w:ascii="Times New Roman" w:hAnsi="Times New Roman" w:cs="Times New Roman"/>
          <w:sz w:val="28"/>
          <w:szCs w:val="28"/>
        </w:rPr>
        <w:t xml:space="preserve"> (c.d. caso “</w:t>
      </w:r>
      <w:proofErr w:type="spellStart"/>
      <w:r w:rsidR="00374E23" w:rsidRPr="00BB52A6">
        <w:rPr>
          <w:rFonts w:ascii="Times New Roman" w:hAnsi="Times New Roman" w:cs="Times New Roman"/>
          <w:sz w:val="28"/>
          <w:szCs w:val="28"/>
        </w:rPr>
        <w:t>Prom</w:t>
      </w:r>
      <w:r w:rsidR="00426758" w:rsidRPr="00BB52A6">
        <w:rPr>
          <w:rFonts w:ascii="Times New Roman" w:hAnsi="Times New Roman" w:cs="Times New Roman"/>
          <w:sz w:val="28"/>
          <w:szCs w:val="28"/>
        </w:rPr>
        <w:t>o</w:t>
      </w:r>
      <w:r w:rsidR="00374E23" w:rsidRPr="00BB52A6">
        <w:rPr>
          <w:rFonts w:ascii="Times New Roman" w:hAnsi="Times New Roman" w:cs="Times New Roman"/>
          <w:sz w:val="28"/>
          <w:szCs w:val="28"/>
        </w:rPr>
        <w:t>impresa</w:t>
      </w:r>
      <w:proofErr w:type="spellEnd"/>
      <w:r w:rsidR="00374E23" w:rsidRPr="00BB52A6">
        <w:rPr>
          <w:rFonts w:ascii="Times New Roman" w:hAnsi="Times New Roman" w:cs="Times New Roman"/>
          <w:sz w:val="28"/>
          <w:szCs w:val="28"/>
        </w:rPr>
        <w:t>”</w:t>
      </w:r>
      <w:r w:rsidR="00222AFA">
        <w:rPr>
          <w:rFonts w:ascii="Times New Roman" w:hAnsi="Times New Roman" w:cs="Times New Roman"/>
          <w:sz w:val="28"/>
          <w:szCs w:val="28"/>
        </w:rPr>
        <w:t>)</w:t>
      </w:r>
      <w:r w:rsidR="00374E23" w:rsidRPr="00BB52A6">
        <w:rPr>
          <w:rFonts w:ascii="Times New Roman" w:hAnsi="Times New Roman" w:cs="Times New Roman"/>
          <w:sz w:val="28"/>
          <w:szCs w:val="28"/>
        </w:rPr>
        <w:t xml:space="preserve">, che ha stigmatizzato in maniera inequivoca tale approccio, </w:t>
      </w:r>
      <w:r w:rsidRPr="00BB52A6">
        <w:rPr>
          <w:rFonts w:ascii="Times New Roman" w:hAnsi="Times New Roman" w:cs="Times New Roman"/>
          <w:sz w:val="28"/>
          <w:szCs w:val="28"/>
        </w:rPr>
        <w:t xml:space="preserve">costringendo gli operatori economici a confrontarsi con un quadro ordinamentale </w:t>
      </w:r>
      <w:r w:rsidR="00222AFA">
        <w:rPr>
          <w:rFonts w:ascii="Times New Roman" w:hAnsi="Times New Roman" w:cs="Times New Roman"/>
          <w:sz w:val="28"/>
          <w:szCs w:val="28"/>
        </w:rPr>
        <w:t xml:space="preserve">completamente diverso. </w:t>
      </w:r>
      <w:r w:rsidR="00426758" w:rsidRPr="00BB52A6">
        <w:rPr>
          <w:rFonts w:ascii="Times New Roman" w:hAnsi="Times New Roman" w:cs="Times New Roman"/>
          <w:sz w:val="28"/>
          <w:szCs w:val="28"/>
        </w:rPr>
        <w:t xml:space="preserve">Il percorso iniziato nel 2016 ha trovato poi, come noto, la sua massima espressione interna con le sentenze gemelle del Consiglio di Stato in Adunanza Plenaria (n. 17 e 18 del </w:t>
      </w:r>
      <w:r w:rsidR="00222AFA">
        <w:rPr>
          <w:rFonts w:ascii="Times New Roman" w:hAnsi="Times New Roman" w:cs="Times New Roman"/>
          <w:sz w:val="28"/>
          <w:szCs w:val="28"/>
        </w:rPr>
        <w:t xml:space="preserve">9 </w:t>
      </w:r>
      <w:r w:rsidR="00426758" w:rsidRPr="00BB52A6">
        <w:rPr>
          <w:rFonts w:ascii="Times New Roman" w:hAnsi="Times New Roman" w:cs="Times New Roman"/>
          <w:sz w:val="28"/>
          <w:szCs w:val="28"/>
        </w:rPr>
        <w:t xml:space="preserve">novembre 2021). </w:t>
      </w:r>
      <w:r w:rsidR="00D50C2B">
        <w:rPr>
          <w:rFonts w:ascii="Times New Roman" w:hAnsi="Times New Roman" w:cs="Times New Roman"/>
          <w:sz w:val="28"/>
          <w:szCs w:val="28"/>
        </w:rPr>
        <w:t xml:space="preserve">A quel punto, infatti, </w:t>
      </w:r>
      <w:r w:rsidR="00D50C2B" w:rsidRPr="00D50C2B">
        <w:rPr>
          <w:rFonts w:ascii="Times New Roman" w:hAnsi="Times New Roman" w:cs="Times New Roman"/>
          <w:sz w:val="28"/>
          <w:szCs w:val="28"/>
        </w:rPr>
        <w:t xml:space="preserve">erano </w:t>
      </w:r>
      <w:r w:rsidR="00D50C2B">
        <w:rPr>
          <w:rFonts w:ascii="Times New Roman" w:hAnsi="Times New Roman" w:cs="Times New Roman"/>
          <w:sz w:val="28"/>
          <w:szCs w:val="28"/>
        </w:rPr>
        <w:t xml:space="preserve">perfettamente </w:t>
      </w:r>
      <w:r w:rsidR="00D50C2B" w:rsidRPr="00D50C2B">
        <w:rPr>
          <w:rFonts w:ascii="Times New Roman" w:hAnsi="Times New Roman" w:cs="Times New Roman"/>
          <w:sz w:val="28"/>
          <w:szCs w:val="28"/>
        </w:rPr>
        <w:t>enucleabili dall’ordinamento, sia europeo che nazionale, principi e altri indicatori normativi utili in base ai quali indire le relative gare, valorizzati dalla stessa giurisprudenza amministrativa</w:t>
      </w:r>
      <w:r w:rsidR="00D50C2B">
        <w:rPr>
          <w:rFonts w:ascii="Times New Roman" w:hAnsi="Times New Roman" w:cs="Times New Roman"/>
          <w:sz w:val="28"/>
          <w:szCs w:val="28"/>
        </w:rPr>
        <w:t xml:space="preserve">. Circostanza questa che, come meglio chiarito nel prosieguo, a ben guardare non dovrebbe palesarsi neutra non tanto e non solo ai fini della qualificazione dell’attuale regime di efficacia nel quale versano le concessioni, siccome formalmente scadute, ma soprattutto in relazione alla tempistica dell’effettuazione degli investimenti dei quali tenere conto per il calcolo dell’indennizzo. </w:t>
      </w:r>
    </w:p>
    <w:p w14:paraId="7FEDF3F9" w14:textId="37025379" w:rsidR="000B40B6" w:rsidRPr="00C2667C" w:rsidRDefault="00C61BDC" w:rsidP="00A42CE7">
      <w:pPr>
        <w:pStyle w:val="Paragrafoelenco"/>
        <w:numPr>
          <w:ilvl w:val="0"/>
          <w:numId w:val="14"/>
        </w:numPr>
        <w:spacing w:line="288" w:lineRule="auto"/>
        <w:ind w:left="284" w:right="140" w:firstLine="0"/>
        <w:jc w:val="both"/>
        <w:rPr>
          <w:rFonts w:ascii="Times New Roman" w:hAnsi="Times New Roman" w:cs="Times New Roman"/>
          <w:b/>
          <w:bCs/>
          <w:sz w:val="28"/>
          <w:szCs w:val="28"/>
        </w:rPr>
      </w:pPr>
      <w:r w:rsidRPr="00861646">
        <w:rPr>
          <w:rFonts w:ascii="Times New Roman" w:hAnsi="Times New Roman" w:cs="Times New Roman"/>
          <w:b/>
          <w:bCs/>
          <w:sz w:val="28"/>
          <w:szCs w:val="28"/>
        </w:rPr>
        <w:t>Le indicazioni della CGUE sulle possibilità di introdurre un indennizzo</w:t>
      </w:r>
      <w:r w:rsidR="00083EEA" w:rsidRPr="00861646">
        <w:rPr>
          <w:rFonts w:ascii="Times New Roman" w:hAnsi="Times New Roman" w:cs="Times New Roman"/>
          <w:b/>
          <w:bCs/>
          <w:sz w:val="28"/>
          <w:szCs w:val="28"/>
        </w:rPr>
        <w:t xml:space="preserve"> per i concessionari uscenti</w:t>
      </w:r>
      <w:r w:rsidRPr="00861646">
        <w:rPr>
          <w:rFonts w:ascii="Times New Roman" w:hAnsi="Times New Roman" w:cs="Times New Roman"/>
          <w:sz w:val="28"/>
          <w:szCs w:val="28"/>
        </w:rPr>
        <w:t xml:space="preserve">. </w:t>
      </w:r>
      <w:r w:rsidR="00083EEA" w:rsidRPr="00861646">
        <w:rPr>
          <w:rFonts w:ascii="Times New Roman" w:hAnsi="Times New Roman" w:cs="Times New Roman"/>
          <w:sz w:val="28"/>
          <w:szCs w:val="28"/>
        </w:rPr>
        <w:t xml:space="preserve">La sostanziale apertura della Corte costituzionale, seppur con tutti i </w:t>
      </w:r>
      <w:r w:rsidR="00083EEA" w:rsidRPr="00861646">
        <w:rPr>
          <w:rFonts w:ascii="Times New Roman" w:hAnsi="Times New Roman" w:cs="Times New Roman"/>
          <w:i/>
          <w:iCs/>
          <w:sz w:val="28"/>
          <w:szCs w:val="28"/>
        </w:rPr>
        <w:t>caveat</w:t>
      </w:r>
      <w:r w:rsidR="00083EEA" w:rsidRPr="00861646">
        <w:rPr>
          <w:rFonts w:ascii="Times New Roman" w:hAnsi="Times New Roman" w:cs="Times New Roman"/>
          <w:sz w:val="28"/>
          <w:szCs w:val="28"/>
        </w:rPr>
        <w:t xml:space="preserve"> ricordati, alla </w:t>
      </w:r>
      <w:r w:rsidRPr="00861646">
        <w:rPr>
          <w:rFonts w:ascii="Times New Roman" w:hAnsi="Times New Roman" w:cs="Times New Roman"/>
          <w:sz w:val="28"/>
          <w:szCs w:val="28"/>
        </w:rPr>
        <w:t>compatibilità con il diritto dell’Unione della previsione di forme di ristoro per i concessionari uscenti</w:t>
      </w:r>
      <w:r w:rsidR="00083EEA" w:rsidRPr="00861646">
        <w:rPr>
          <w:rFonts w:ascii="Times New Roman" w:hAnsi="Times New Roman" w:cs="Times New Roman"/>
          <w:sz w:val="28"/>
          <w:szCs w:val="28"/>
        </w:rPr>
        <w:t>,</w:t>
      </w:r>
      <w:r w:rsidRPr="00861646">
        <w:rPr>
          <w:rFonts w:ascii="Times New Roman" w:hAnsi="Times New Roman" w:cs="Times New Roman"/>
          <w:sz w:val="28"/>
          <w:szCs w:val="28"/>
        </w:rPr>
        <w:t xml:space="preserve"> </w:t>
      </w:r>
      <w:r w:rsidR="008E7E6E" w:rsidRPr="00861646">
        <w:rPr>
          <w:rFonts w:ascii="Times New Roman" w:hAnsi="Times New Roman" w:cs="Times New Roman"/>
          <w:sz w:val="28"/>
          <w:szCs w:val="28"/>
        </w:rPr>
        <w:t xml:space="preserve">ha </w:t>
      </w:r>
      <w:r w:rsidR="00083EEA" w:rsidRPr="00861646">
        <w:rPr>
          <w:rFonts w:ascii="Times New Roman" w:hAnsi="Times New Roman" w:cs="Times New Roman"/>
          <w:sz w:val="28"/>
          <w:szCs w:val="28"/>
        </w:rPr>
        <w:t xml:space="preserve">infine </w:t>
      </w:r>
      <w:r w:rsidRPr="00861646">
        <w:rPr>
          <w:rFonts w:ascii="Times New Roman" w:hAnsi="Times New Roman" w:cs="Times New Roman"/>
          <w:sz w:val="28"/>
          <w:szCs w:val="28"/>
        </w:rPr>
        <w:t>trovato un esplicito ricon</w:t>
      </w:r>
      <w:r w:rsidR="00934427" w:rsidRPr="00861646">
        <w:rPr>
          <w:rFonts w:ascii="Times New Roman" w:hAnsi="Times New Roman" w:cs="Times New Roman"/>
          <w:sz w:val="28"/>
          <w:szCs w:val="28"/>
        </w:rPr>
        <w:t>o</w:t>
      </w:r>
      <w:r w:rsidRPr="00861646">
        <w:rPr>
          <w:rFonts w:ascii="Times New Roman" w:hAnsi="Times New Roman" w:cs="Times New Roman"/>
          <w:sz w:val="28"/>
          <w:szCs w:val="28"/>
        </w:rPr>
        <w:t xml:space="preserve">scimento nella </w:t>
      </w:r>
      <w:r w:rsidR="00083EEA" w:rsidRPr="00861646">
        <w:rPr>
          <w:rFonts w:ascii="Times New Roman" w:hAnsi="Times New Roman" w:cs="Times New Roman"/>
          <w:sz w:val="28"/>
          <w:szCs w:val="28"/>
        </w:rPr>
        <w:t xml:space="preserve">giurisprudenza </w:t>
      </w:r>
      <w:proofErr w:type="spellStart"/>
      <w:r w:rsidR="00083EEA" w:rsidRPr="00861646">
        <w:rPr>
          <w:rFonts w:ascii="Times New Roman" w:hAnsi="Times New Roman" w:cs="Times New Roman"/>
          <w:sz w:val="28"/>
          <w:szCs w:val="28"/>
        </w:rPr>
        <w:t>eurounitaria</w:t>
      </w:r>
      <w:proofErr w:type="spellEnd"/>
      <w:r w:rsidR="00083EEA" w:rsidRPr="00861646">
        <w:rPr>
          <w:rFonts w:ascii="Times New Roman" w:hAnsi="Times New Roman" w:cs="Times New Roman"/>
          <w:sz w:val="28"/>
          <w:szCs w:val="28"/>
        </w:rPr>
        <w:t xml:space="preserve">. Con </w:t>
      </w:r>
      <w:r w:rsidRPr="00861646">
        <w:rPr>
          <w:rFonts w:ascii="Times New Roman" w:hAnsi="Times New Roman" w:cs="Times New Roman"/>
          <w:sz w:val="28"/>
          <w:szCs w:val="28"/>
        </w:rPr>
        <w:t>sentenza della terza sezione, 11 luglio 2024, in C-598/22</w:t>
      </w:r>
      <w:r w:rsidR="00083EEA" w:rsidRPr="00861646">
        <w:rPr>
          <w:rFonts w:ascii="Times New Roman" w:hAnsi="Times New Roman" w:cs="Times New Roman"/>
          <w:sz w:val="28"/>
          <w:szCs w:val="28"/>
        </w:rPr>
        <w:t xml:space="preserve">, la CGUE ha infatti riconosciuto espressamente tale compatibilità. Merita ricostruire la fattispecie sin dalla sua prospettazione, per gli interessanti spunti di riflessione che ne derivano, già a partire dall’assunto difensivo della Società ricorrente. </w:t>
      </w:r>
      <w:r w:rsidR="0060329A" w:rsidRPr="00861646">
        <w:rPr>
          <w:rFonts w:ascii="Times New Roman" w:hAnsi="Times New Roman" w:cs="Times New Roman"/>
          <w:sz w:val="28"/>
          <w:szCs w:val="28"/>
        </w:rPr>
        <w:t>Si ritiene infatti che la visione parziale e frammentata che si è inteso dare allo sviluppo argomentativo seguito, stralciandone segmenti sì da decontestualizzarne la lettura, rischia a sua volta di essere fonte di equivoci</w:t>
      </w:r>
      <w:r w:rsidR="0060329A">
        <w:rPr>
          <w:rStyle w:val="Rimandonotaapidipagina"/>
          <w:rFonts w:ascii="Times New Roman" w:hAnsi="Times New Roman" w:cs="Times New Roman"/>
          <w:sz w:val="28"/>
          <w:szCs w:val="28"/>
        </w:rPr>
        <w:footnoteReference w:id="6"/>
      </w:r>
      <w:r w:rsidR="0060329A" w:rsidRPr="00861646">
        <w:rPr>
          <w:rFonts w:ascii="Times New Roman" w:hAnsi="Times New Roman" w:cs="Times New Roman"/>
          <w:sz w:val="28"/>
          <w:szCs w:val="28"/>
        </w:rPr>
        <w:t xml:space="preserve">.  </w:t>
      </w:r>
      <w:r w:rsidR="00083EEA" w:rsidRPr="00861646">
        <w:rPr>
          <w:rFonts w:ascii="Times New Roman" w:hAnsi="Times New Roman" w:cs="Times New Roman"/>
          <w:sz w:val="28"/>
          <w:szCs w:val="28"/>
        </w:rPr>
        <w:t xml:space="preserve">La </w:t>
      </w:r>
      <w:r w:rsidR="0060329A" w:rsidRPr="00861646">
        <w:rPr>
          <w:rFonts w:ascii="Times New Roman" w:hAnsi="Times New Roman" w:cs="Times New Roman"/>
          <w:sz w:val="28"/>
          <w:szCs w:val="28"/>
        </w:rPr>
        <w:t xml:space="preserve">controversia dalla quale la vicenda è scaturita, posta </w:t>
      </w:r>
      <w:r w:rsidR="00083EEA" w:rsidRPr="00861646">
        <w:rPr>
          <w:rFonts w:ascii="Times New Roman" w:hAnsi="Times New Roman" w:cs="Times New Roman"/>
          <w:sz w:val="28"/>
          <w:szCs w:val="28"/>
        </w:rPr>
        <w:t xml:space="preserve">all’esame del Consiglio di Stato, riguardava non </w:t>
      </w:r>
      <w:r w:rsidR="0060329A" w:rsidRPr="00861646">
        <w:rPr>
          <w:rFonts w:ascii="Times New Roman" w:hAnsi="Times New Roman" w:cs="Times New Roman"/>
          <w:sz w:val="28"/>
          <w:szCs w:val="28"/>
        </w:rPr>
        <w:t xml:space="preserve">a caso non </w:t>
      </w:r>
      <w:r w:rsidR="00083EEA" w:rsidRPr="00861646">
        <w:rPr>
          <w:rFonts w:ascii="Times New Roman" w:hAnsi="Times New Roman" w:cs="Times New Roman"/>
          <w:sz w:val="28"/>
          <w:szCs w:val="28"/>
        </w:rPr>
        <w:t xml:space="preserve">il regime temporale delle concessioni demaniali, bensì l’avvenuta </w:t>
      </w:r>
      <w:r w:rsidR="00EB3118" w:rsidRPr="00861646">
        <w:rPr>
          <w:rFonts w:ascii="Times New Roman" w:hAnsi="Times New Roman" w:cs="Times New Roman"/>
          <w:sz w:val="28"/>
          <w:szCs w:val="28"/>
        </w:rPr>
        <w:t>(</w:t>
      </w:r>
      <w:proofErr w:type="spellStart"/>
      <w:r w:rsidR="00083EEA" w:rsidRPr="00861646">
        <w:rPr>
          <w:rFonts w:ascii="Times New Roman" w:hAnsi="Times New Roman" w:cs="Times New Roman"/>
          <w:sz w:val="28"/>
          <w:szCs w:val="28"/>
        </w:rPr>
        <w:t>ri</w:t>
      </w:r>
      <w:proofErr w:type="spellEnd"/>
      <w:r w:rsidR="00EB3118" w:rsidRPr="00861646">
        <w:rPr>
          <w:rFonts w:ascii="Times New Roman" w:hAnsi="Times New Roman" w:cs="Times New Roman"/>
          <w:sz w:val="28"/>
          <w:szCs w:val="28"/>
        </w:rPr>
        <w:t>)</w:t>
      </w:r>
      <w:r w:rsidR="00083EEA" w:rsidRPr="00861646">
        <w:rPr>
          <w:rFonts w:ascii="Times New Roman" w:hAnsi="Times New Roman" w:cs="Times New Roman"/>
          <w:sz w:val="28"/>
          <w:szCs w:val="28"/>
        </w:rPr>
        <w:t>qualificazione come pertinenze demaniali di una serie di manufatti, in precedenza individuati dal Comune interessato come “di facile rimozione”, con conseguente inc</w:t>
      </w:r>
      <w:r w:rsidR="00EB3118" w:rsidRPr="00861646">
        <w:rPr>
          <w:rFonts w:ascii="Times New Roman" w:hAnsi="Times New Roman" w:cs="Times New Roman"/>
          <w:sz w:val="28"/>
          <w:szCs w:val="28"/>
        </w:rPr>
        <w:t xml:space="preserve">remento del canone in ragione dell’acquisizione automatica delle opere, </w:t>
      </w:r>
      <w:r w:rsidR="00D57044" w:rsidRPr="00861646">
        <w:rPr>
          <w:rFonts w:ascii="Times New Roman" w:hAnsi="Times New Roman" w:cs="Times New Roman"/>
          <w:sz w:val="28"/>
          <w:szCs w:val="28"/>
        </w:rPr>
        <w:t xml:space="preserve">nonché contestuale </w:t>
      </w:r>
      <w:r w:rsidR="00EB3118" w:rsidRPr="00861646">
        <w:rPr>
          <w:rFonts w:ascii="Times New Roman" w:hAnsi="Times New Roman" w:cs="Times New Roman"/>
          <w:sz w:val="28"/>
          <w:szCs w:val="28"/>
        </w:rPr>
        <w:t xml:space="preserve">formale </w:t>
      </w:r>
      <w:r w:rsidR="00D57044" w:rsidRPr="00861646">
        <w:rPr>
          <w:rFonts w:ascii="Times New Roman" w:hAnsi="Times New Roman" w:cs="Times New Roman"/>
          <w:sz w:val="28"/>
          <w:szCs w:val="28"/>
        </w:rPr>
        <w:t xml:space="preserve">avvio del </w:t>
      </w:r>
      <w:r w:rsidR="00EB3118" w:rsidRPr="00861646">
        <w:rPr>
          <w:rFonts w:ascii="Times New Roman" w:hAnsi="Times New Roman" w:cs="Times New Roman"/>
          <w:sz w:val="28"/>
          <w:szCs w:val="28"/>
        </w:rPr>
        <w:t>procedimento d</w:t>
      </w:r>
      <w:r w:rsidR="00083EEA" w:rsidRPr="00861646">
        <w:rPr>
          <w:rFonts w:ascii="Times New Roman" w:hAnsi="Times New Roman" w:cs="Times New Roman"/>
          <w:sz w:val="28"/>
          <w:szCs w:val="28"/>
        </w:rPr>
        <w:t>i incameramento</w:t>
      </w:r>
      <w:r w:rsidR="00D57044" w:rsidRPr="00861646">
        <w:rPr>
          <w:rFonts w:ascii="Times New Roman" w:hAnsi="Times New Roman" w:cs="Times New Roman"/>
          <w:sz w:val="28"/>
          <w:szCs w:val="28"/>
        </w:rPr>
        <w:t xml:space="preserve">. </w:t>
      </w:r>
      <w:r w:rsidR="0060329A" w:rsidRPr="00861646">
        <w:rPr>
          <w:rFonts w:ascii="Times New Roman" w:hAnsi="Times New Roman" w:cs="Times New Roman"/>
          <w:sz w:val="28"/>
          <w:szCs w:val="28"/>
        </w:rPr>
        <w:t xml:space="preserve">Il caso </w:t>
      </w:r>
      <w:r w:rsidR="00EB3118" w:rsidRPr="00861646">
        <w:rPr>
          <w:rFonts w:ascii="Times New Roman" w:hAnsi="Times New Roman" w:cs="Times New Roman"/>
          <w:sz w:val="28"/>
          <w:szCs w:val="28"/>
        </w:rPr>
        <w:t xml:space="preserve">è </w:t>
      </w:r>
      <w:r w:rsidR="0060329A" w:rsidRPr="00861646">
        <w:rPr>
          <w:rFonts w:ascii="Times New Roman" w:hAnsi="Times New Roman" w:cs="Times New Roman"/>
          <w:sz w:val="28"/>
          <w:szCs w:val="28"/>
        </w:rPr>
        <w:t xml:space="preserve">emblematico </w:t>
      </w:r>
      <w:r w:rsidR="00EB3118" w:rsidRPr="00861646">
        <w:rPr>
          <w:rFonts w:ascii="Times New Roman" w:hAnsi="Times New Roman" w:cs="Times New Roman"/>
          <w:sz w:val="28"/>
          <w:szCs w:val="28"/>
        </w:rPr>
        <w:t>dell</w:t>
      </w:r>
      <w:r w:rsidR="0060329A" w:rsidRPr="00861646">
        <w:rPr>
          <w:rFonts w:ascii="Times New Roman" w:hAnsi="Times New Roman" w:cs="Times New Roman"/>
          <w:sz w:val="28"/>
          <w:szCs w:val="28"/>
        </w:rPr>
        <w:t>e</w:t>
      </w:r>
      <w:r w:rsidR="00EB3118" w:rsidRPr="00861646">
        <w:rPr>
          <w:rFonts w:ascii="Times New Roman" w:hAnsi="Times New Roman" w:cs="Times New Roman"/>
          <w:sz w:val="28"/>
          <w:szCs w:val="28"/>
        </w:rPr>
        <w:t xml:space="preserve"> situazion</w:t>
      </w:r>
      <w:r w:rsidR="0060329A" w:rsidRPr="00861646">
        <w:rPr>
          <w:rFonts w:ascii="Times New Roman" w:hAnsi="Times New Roman" w:cs="Times New Roman"/>
          <w:sz w:val="28"/>
          <w:szCs w:val="28"/>
        </w:rPr>
        <w:t>i</w:t>
      </w:r>
      <w:r w:rsidR="00EB3118" w:rsidRPr="00861646">
        <w:rPr>
          <w:rFonts w:ascii="Times New Roman" w:hAnsi="Times New Roman" w:cs="Times New Roman"/>
          <w:sz w:val="28"/>
          <w:szCs w:val="28"/>
        </w:rPr>
        <w:t xml:space="preserve"> con l</w:t>
      </w:r>
      <w:r w:rsidR="0060329A" w:rsidRPr="00861646">
        <w:rPr>
          <w:rFonts w:ascii="Times New Roman" w:hAnsi="Times New Roman" w:cs="Times New Roman"/>
          <w:sz w:val="28"/>
          <w:szCs w:val="28"/>
        </w:rPr>
        <w:t>e</w:t>
      </w:r>
      <w:r w:rsidR="00EB3118" w:rsidRPr="00861646">
        <w:rPr>
          <w:rFonts w:ascii="Times New Roman" w:hAnsi="Times New Roman" w:cs="Times New Roman"/>
          <w:sz w:val="28"/>
          <w:szCs w:val="28"/>
        </w:rPr>
        <w:t xml:space="preserve"> qual</w:t>
      </w:r>
      <w:r w:rsidR="0060329A" w:rsidRPr="00861646">
        <w:rPr>
          <w:rFonts w:ascii="Times New Roman" w:hAnsi="Times New Roman" w:cs="Times New Roman"/>
          <w:sz w:val="28"/>
          <w:szCs w:val="28"/>
        </w:rPr>
        <w:t>i</w:t>
      </w:r>
      <w:r w:rsidR="00EB3118" w:rsidRPr="00861646">
        <w:rPr>
          <w:rFonts w:ascii="Times New Roman" w:hAnsi="Times New Roman" w:cs="Times New Roman"/>
          <w:sz w:val="28"/>
          <w:szCs w:val="28"/>
        </w:rPr>
        <w:t xml:space="preserve"> il legislatore</w:t>
      </w:r>
      <w:r w:rsidR="0060329A" w:rsidRPr="00861646">
        <w:rPr>
          <w:rFonts w:ascii="Times New Roman" w:hAnsi="Times New Roman" w:cs="Times New Roman"/>
          <w:sz w:val="28"/>
          <w:szCs w:val="28"/>
        </w:rPr>
        <w:t xml:space="preserve">, chiamato oggi ad affrontare il problema, </w:t>
      </w:r>
      <w:r w:rsidR="00EB3118" w:rsidRPr="00861646">
        <w:rPr>
          <w:rFonts w:ascii="Times New Roman" w:hAnsi="Times New Roman" w:cs="Times New Roman"/>
          <w:sz w:val="28"/>
          <w:szCs w:val="28"/>
        </w:rPr>
        <w:t>è c</w:t>
      </w:r>
      <w:r w:rsidR="0060329A" w:rsidRPr="00861646">
        <w:rPr>
          <w:rFonts w:ascii="Times New Roman" w:hAnsi="Times New Roman" w:cs="Times New Roman"/>
          <w:sz w:val="28"/>
          <w:szCs w:val="28"/>
        </w:rPr>
        <w:t xml:space="preserve">ostretto </w:t>
      </w:r>
      <w:r w:rsidR="00EB3118" w:rsidRPr="00861646">
        <w:rPr>
          <w:rFonts w:ascii="Times New Roman" w:hAnsi="Times New Roman" w:cs="Times New Roman"/>
          <w:sz w:val="28"/>
          <w:szCs w:val="28"/>
        </w:rPr>
        <w:t>a confrontarsi</w:t>
      </w:r>
      <w:r w:rsidR="0060329A" w:rsidRPr="00861646">
        <w:rPr>
          <w:rFonts w:ascii="Times New Roman" w:hAnsi="Times New Roman" w:cs="Times New Roman"/>
          <w:sz w:val="28"/>
          <w:szCs w:val="28"/>
        </w:rPr>
        <w:t>: la Società ricorrente assume</w:t>
      </w:r>
      <w:r w:rsidR="00FA1B02" w:rsidRPr="00861646">
        <w:rPr>
          <w:rFonts w:ascii="Times New Roman" w:hAnsi="Times New Roman" w:cs="Times New Roman"/>
          <w:sz w:val="28"/>
          <w:szCs w:val="28"/>
        </w:rPr>
        <w:t>va</w:t>
      </w:r>
      <w:r w:rsidR="0060329A" w:rsidRPr="00861646">
        <w:rPr>
          <w:rFonts w:ascii="Times New Roman" w:hAnsi="Times New Roman" w:cs="Times New Roman"/>
          <w:sz w:val="28"/>
          <w:szCs w:val="28"/>
        </w:rPr>
        <w:t xml:space="preserve"> di gestire il </w:t>
      </w:r>
      <w:r w:rsidR="00EB3118" w:rsidRPr="00861646">
        <w:rPr>
          <w:rFonts w:ascii="Times New Roman" w:hAnsi="Times New Roman" w:cs="Times New Roman"/>
          <w:sz w:val="28"/>
          <w:szCs w:val="28"/>
        </w:rPr>
        <w:t xml:space="preserve">bene pubblico in concessione dal 1928, </w:t>
      </w:r>
      <w:r w:rsidR="0060329A" w:rsidRPr="00861646">
        <w:rPr>
          <w:rFonts w:ascii="Times New Roman" w:hAnsi="Times New Roman" w:cs="Times New Roman"/>
          <w:sz w:val="28"/>
          <w:szCs w:val="28"/>
        </w:rPr>
        <w:t xml:space="preserve">ancorché </w:t>
      </w:r>
      <w:r w:rsidR="00EB3118" w:rsidRPr="00861646">
        <w:rPr>
          <w:rFonts w:ascii="Times New Roman" w:hAnsi="Times New Roman" w:cs="Times New Roman"/>
          <w:sz w:val="28"/>
          <w:szCs w:val="28"/>
        </w:rPr>
        <w:t xml:space="preserve">in forza di titoli concessori </w:t>
      </w:r>
      <w:r w:rsidR="0060329A" w:rsidRPr="00861646">
        <w:rPr>
          <w:rFonts w:ascii="Times New Roman" w:hAnsi="Times New Roman" w:cs="Times New Roman"/>
          <w:sz w:val="28"/>
          <w:szCs w:val="28"/>
        </w:rPr>
        <w:t>mutevoli, il cui esatto inquadramento (come nuovi rilasci, rinnovi o proroghe) incide evidentemente sul</w:t>
      </w:r>
      <w:r w:rsidR="00FA1B02" w:rsidRPr="00861646">
        <w:rPr>
          <w:rFonts w:ascii="Times New Roman" w:hAnsi="Times New Roman" w:cs="Times New Roman"/>
          <w:sz w:val="28"/>
          <w:szCs w:val="28"/>
        </w:rPr>
        <w:t xml:space="preserve"> </w:t>
      </w:r>
      <w:proofErr w:type="spellStart"/>
      <w:r w:rsidR="00FA1B02" w:rsidRPr="00861646">
        <w:rPr>
          <w:rFonts w:ascii="Times New Roman" w:hAnsi="Times New Roman" w:cs="Times New Roman"/>
          <w:i/>
          <w:iCs/>
          <w:sz w:val="28"/>
          <w:szCs w:val="28"/>
        </w:rPr>
        <w:t>dies</w:t>
      </w:r>
      <w:proofErr w:type="spellEnd"/>
      <w:r w:rsidR="00FA1B02" w:rsidRPr="00861646">
        <w:rPr>
          <w:rFonts w:ascii="Times New Roman" w:hAnsi="Times New Roman" w:cs="Times New Roman"/>
          <w:i/>
          <w:iCs/>
          <w:sz w:val="28"/>
          <w:szCs w:val="28"/>
        </w:rPr>
        <w:t xml:space="preserve"> a quo</w:t>
      </w:r>
      <w:r w:rsidR="00FA1B02" w:rsidRPr="00861646">
        <w:rPr>
          <w:rFonts w:ascii="Times New Roman" w:hAnsi="Times New Roman" w:cs="Times New Roman"/>
          <w:sz w:val="28"/>
          <w:szCs w:val="28"/>
        </w:rPr>
        <w:t xml:space="preserve"> per l’applicazione dell’aumento di canone che consegue all’incameramento dell’opera non rimovibile alla scadenza. </w:t>
      </w:r>
      <w:r w:rsidR="00EB3118" w:rsidRPr="00861646">
        <w:rPr>
          <w:rFonts w:ascii="Times New Roman" w:hAnsi="Times New Roman" w:cs="Times New Roman"/>
          <w:sz w:val="28"/>
          <w:szCs w:val="28"/>
        </w:rPr>
        <w:t xml:space="preserve">La </w:t>
      </w:r>
      <w:r w:rsidRPr="00861646">
        <w:rPr>
          <w:rFonts w:ascii="Times New Roman" w:hAnsi="Times New Roman" w:cs="Times New Roman"/>
          <w:sz w:val="28"/>
          <w:szCs w:val="28"/>
        </w:rPr>
        <w:t>sez. VII del Consiglio di Stato</w:t>
      </w:r>
      <w:r w:rsidR="00EB3118" w:rsidRPr="00861646">
        <w:rPr>
          <w:rFonts w:ascii="Times New Roman" w:hAnsi="Times New Roman" w:cs="Times New Roman"/>
          <w:sz w:val="28"/>
          <w:szCs w:val="28"/>
        </w:rPr>
        <w:t xml:space="preserve">, con la già ricordata </w:t>
      </w:r>
      <w:r w:rsidRPr="00861646">
        <w:rPr>
          <w:rFonts w:ascii="Times New Roman" w:hAnsi="Times New Roman" w:cs="Times New Roman"/>
          <w:sz w:val="28"/>
          <w:szCs w:val="28"/>
        </w:rPr>
        <w:t xml:space="preserve">ordinanza </w:t>
      </w:r>
      <w:r w:rsidR="00EB3118" w:rsidRPr="00861646">
        <w:rPr>
          <w:rFonts w:ascii="Times New Roman" w:hAnsi="Times New Roman" w:cs="Times New Roman"/>
          <w:sz w:val="28"/>
          <w:szCs w:val="28"/>
        </w:rPr>
        <w:t xml:space="preserve">del </w:t>
      </w:r>
      <w:r w:rsidRPr="00861646">
        <w:rPr>
          <w:rFonts w:ascii="Times New Roman" w:hAnsi="Times New Roman" w:cs="Times New Roman"/>
          <w:sz w:val="28"/>
          <w:szCs w:val="28"/>
        </w:rPr>
        <w:t>15 settembre 2022, n. 8010</w:t>
      </w:r>
      <w:r w:rsidR="00EB3118" w:rsidRPr="00861646">
        <w:rPr>
          <w:rFonts w:ascii="Times New Roman" w:hAnsi="Times New Roman" w:cs="Times New Roman"/>
          <w:sz w:val="28"/>
          <w:szCs w:val="28"/>
        </w:rPr>
        <w:t xml:space="preserve">, ha formulato alla CGUE il </w:t>
      </w:r>
      <w:r w:rsidR="00934427" w:rsidRPr="00861646">
        <w:rPr>
          <w:rFonts w:ascii="Times New Roman" w:hAnsi="Times New Roman" w:cs="Times New Roman"/>
          <w:sz w:val="28"/>
          <w:szCs w:val="28"/>
        </w:rPr>
        <w:t xml:space="preserve">seguente quesito: </w:t>
      </w:r>
      <w:r w:rsidR="00934427" w:rsidRPr="00861646">
        <w:rPr>
          <w:rFonts w:ascii="Arial" w:hAnsi="Arial" w:cs="Arial"/>
          <w:sz w:val="28"/>
          <w:szCs w:val="28"/>
        </w:rPr>
        <w:t>«</w:t>
      </w:r>
      <w:r w:rsidR="00934427" w:rsidRPr="00861646">
        <w:rPr>
          <w:rFonts w:ascii="Times New Roman" w:hAnsi="Times New Roman" w:cs="Times New Roman"/>
          <w:i/>
          <w:iCs/>
          <w:sz w:val="28"/>
          <w:szCs w:val="28"/>
        </w:rPr>
        <w:t>Se gli artt. 49 e 56 TFUE ed i principi desumibili dalla sentenza Laezza (C- 375/14)</w:t>
      </w:r>
      <w:r w:rsidR="00441817" w:rsidRPr="00861646">
        <w:rPr>
          <w:rFonts w:ascii="Times New Roman" w:hAnsi="Times New Roman" w:cs="Times New Roman"/>
          <w:sz w:val="28"/>
          <w:szCs w:val="28"/>
        </w:rPr>
        <w:t xml:space="preserve"> </w:t>
      </w:r>
      <w:r w:rsidR="00934427" w:rsidRPr="00861646">
        <w:rPr>
          <w:rFonts w:ascii="Arial" w:hAnsi="Arial" w:cs="Arial"/>
          <w:sz w:val="28"/>
          <w:szCs w:val="28"/>
        </w:rPr>
        <w:t>[</w:t>
      </w:r>
      <w:r w:rsidR="00934427" w:rsidRPr="00861646">
        <w:rPr>
          <w:rFonts w:ascii="Times New Roman" w:hAnsi="Times New Roman" w:cs="Times New Roman"/>
          <w:sz w:val="28"/>
          <w:szCs w:val="28"/>
        </w:rPr>
        <w:t xml:space="preserve"> sentenza </w:t>
      </w:r>
      <w:r w:rsidR="00441817" w:rsidRPr="00861646">
        <w:rPr>
          <w:rFonts w:ascii="Times New Roman" w:hAnsi="Times New Roman" w:cs="Times New Roman"/>
          <w:sz w:val="28"/>
          <w:szCs w:val="28"/>
        </w:rPr>
        <w:t xml:space="preserve">del </w:t>
      </w:r>
      <w:r w:rsidR="00EB3118" w:rsidRPr="00861646">
        <w:rPr>
          <w:rFonts w:ascii="Times New Roman" w:hAnsi="Times New Roman" w:cs="Times New Roman"/>
          <w:sz w:val="28"/>
          <w:szCs w:val="28"/>
        </w:rPr>
        <w:t xml:space="preserve">28 gennaio </w:t>
      </w:r>
      <w:r w:rsidR="00441817" w:rsidRPr="00861646">
        <w:rPr>
          <w:rFonts w:ascii="Times New Roman" w:hAnsi="Times New Roman" w:cs="Times New Roman"/>
          <w:sz w:val="28"/>
          <w:szCs w:val="28"/>
        </w:rPr>
        <w:t xml:space="preserve">2016, </w:t>
      </w:r>
      <w:r w:rsidR="00EB3118" w:rsidRPr="00861646">
        <w:rPr>
          <w:rFonts w:ascii="Times New Roman" w:hAnsi="Times New Roman" w:cs="Times New Roman"/>
          <w:sz w:val="28"/>
          <w:szCs w:val="28"/>
        </w:rPr>
        <w:t>che con riferimento al settore scommesse, ha ritenuto l’obbligo di cessione a titolo gratuito dei beni aziendali alla scadenza di una concessione ostacolo alla libera prestazione dei servizi e alla libertà di stabilimento</w:t>
      </w:r>
      <w:r w:rsidR="00441817" w:rsidRPr="00861646">
        <w:rPr>
          <w:rFonts w:ascii="Times New Roman" w:hAnsi="Times New Roman" w:cs="Times New Roman"/>
          <w:sz w:val="28"/>
          <w:szCs w:val="28"/>
        </w:rPr>
        <w:t xml:space="preserve">, n.d.r. </w:t>
      </w:r>
      <w:r w:rsidR="00441817" w:rsidRPr="00861646">
        <w:rPr>
          <w:rFonts w:ascii="Arial" w:hAnsi="Arial" w:cs="Arial"/>
          <w:sz w:val="28"/>
          <w:szCs w:val="28"/>
        </w:rPr>
        <w:t>]</w:t>
      </w:r>
      <w:r w:rsidR="00934427" w:rsidRPr="00861646">
        <w:rPr>
          <w:rFonts w:ascii="Times New Roman" w:hAnsi="Times New Roman" w:cs="Times New Roman"/>
          <w:sz w:val="28"/>
          <w:szCs w:val="28"/>
        </w:rPr>
        <w:t xml:space="preserve"> </w:t>
      </w:r>
      <w:r w:rsidR="00934427" w:rsidRPr="00861646">
        <w:rPr>
          <w:rFonts w:ascii="Times New Roman" w:hAnsi="Times New Roman" w:cs="Times New Roman"/>
          <w:i/>
          <w:iCs/>
          <w:sz w:val="28"/>
          <w:szCs w:val="28"/>
        </w:rPr>
        <w:t>ove ritenuti applicabili, ostino all’interpretazione di una disposizione nazionale quale l’art. 49 cod. nav. nel senso di determinare la cessione a titolo non oneroso e senza indennizzo da parte del concessionario alla scadenza della concessione quando questa venga rinnovata, senza soluzione di continuità, pure in forza di un nuovo provvedimento, delle opere edilizie realizzate sull’area demaniale facenti parte del complesso di beni organizzati per l’esercizio dell’impresa balneare, potendo configurare tale effetto di immediato incameramento una restrizione eccedente quanto necessario al conseguimento dell’obiettivo effettivamente perseguito dal legislatore nazionale e dunque sproporzionato allo scopo</w:t>
      </w:r>
      <w:r w:rsidR="00441817" w:rsidRPr="00861646">
        <w:rPr>
          <w:rFonts w:ascii="Arial" w:hAnsi="Arial" w:cs="Arial"/>
          <w:sz w:val="28"/>
          <w:szCs w:val="28"/>
        </w:rPr>
        <w:t>»</w:t>
      </w:r>
      <w:r w:rsidR="00441817" w:rsidRPr="00861646">
        <w:rPr>
          <w:rFonts w:ascii="Times New Roman" w:hAnsi="Times New Roman" w:cs="Times New Roman"/>
          <w:sz w:val="28"/>
          <w:szCs w:val="28"/>
        </w:rPr>
        <w:t xml:space="preserve">. Il quesito e </w:t>
      </w:r>
      <w:r w:rsidR="00FA1B02" w:rsidRPr="00861646">
        <w:rPr>
          <w:rFonts w:ascii="Times New Roman" w:hAnsi="Times New Roman" w:cs="Times New Roman"/>
          <w:sz w:val="28"/>
          <w:szCs w:val="28"/>
        </w:rPr>
        <w:t>la</w:t>
      </w:r>
      <w:r w:rsidR="00441817" w:rsidRPr="00861646">
        <w:rPr>
          <w:rFonts w:ascii="Times New Roman" w:hAnsi="Times New Roman" w:cs="Times New Roman"/>
          <w:sz w:val="28"/>
          <w:szCs w:val="28"/>
        </w:rPr>
        <w:t xml:space="preserve"> fattispecie </w:t>
      </w:r>
      <w:r w:rsidR="00FA1B02" w:rsidRPr="00861646">
        <w:rPr>
          <w:rFonts w:ascii="Times New Roman" w:hAnsi="Times New Roman" w:cs="Times New Roman"/>
          <w:sz w:val="28"/>
          <w:szCs w:val="28"/>
        </w:rPr>
        <w:t xml:space="preserve">ad esso </w:t>
      </w:r>
      <w:r w:rsidR="00441817" w:rsidRPr="00861646">
        <w:rPr>
          <w:rFonts w:ascii="Times New Roman" w:hAnsi="Times New Roman" w:cs="Times New Roman"/>
          <w:sz w:val="28"/>
          <w:szCs w:val="28"/>
        </w:rPr>
        <w:t xml:space="preserve">sottesa si riferisce </w:t>
      </w:r>
      <w:r w:rsidR="00FA1B02" w:rsidRPr="00861646">
        <w:rPr>
          <w:rFonts w:ascii="Times New Roman" w:hAnsi="Times New Roman" w:cs="Times New Roman"/>
          <w:sz w:val="28"/>
          <w:szCs w:val="28"/>
        </w:rPr>
        <w:t xml:space="preserve">dichiaratamente, dunque, </w:t>
      </w:r>
      <w:r w:rsidR="00441817" w:rsidRPr="00861646">
        <w:rPr>
          <w:rFonts w:ascii="Times New Roman" w:hAnsi="Times New Roman" w:cs="Times New Roman"/>
          <w:sz w:val="28"/>
          <w:szCs w:val="28"/>
        </w:rPr>
        <w:t xml:space="preserve">a </w:t>
      </w:r>
      <w:r w:rsidR="00FA1B02" w:rsidRPr="00861646">
        <w:rPr>
          <w:rFonts w:ascii="Arial" w:hAnsi="Arial" w:cs="Arial"/>
          <w:sz w:val="28"/>
          <w:szCs w:val="28"/>
        </w:rPr>
        <w:t>«</w:t>
      </w:r>
      <w:r w:rsidR="00441817" w:rsidRPr="00861646">
        <w:rPr>
          <w:rFonts w:ascii="Times New Roman" w:hAnsi="Times New Roman" w:cs="Times New Roman"/>
          <w:i/>
          <w:iCs/>
          <w:sz w:val="28"/>
          <w:szCs w:val="28"/>
        </w:rPr>
        <w:t>opere edilizie</w:t>
      </w:r>
      <w:r w:rsidR="00FA1B02" w:rsidRPr="00861646">
        <w:rPr>
          <w:rFonts w:ascii="Arial" w:hAnsi="Arial" w:cs="Arial"/>
          <w:sz w:val="28"/>
          <w:szCs w:val="28"/>
        </w:rPr>
        <w:t>»</w:t>
      </w:r>
      <w:r w:rsidR="00DE0422" w:rsidRPr="00861646">
        <w:rPr>
          <w:rFonts w:ascii="Times New Roman" w:hAnsi="Times New Roman" w:cs="Times New Roman"/>
          <w:sz w:val="28"/>
          <w:szCs w:val="28"/>
        </w:rPr>
        <w:t xml:space="preserve">. </w:t>
      </w:r>
      <w:r w:rsidR="00FA1B02" w:rsidRPr="00861646">
        <w:rPr>
          <w:rFonts w:ascii="Times New Roman" w:hAnsi="Times New Roman" w:cs="Times New Roman"/>
          <w:sz w:val="28"/>
          <w:szCs w:val="28"/>
        </w:rPr>
        <w:t xml:space="preserve">Tale riferimento </w:t>
      </w:r>
      <w:r w:rsidR="00DE0422" w:rsidRPr="00861646">
        <w:rPr>
          <w:rFonts w:ascii="Times New Roman" w:hAnsi="Times New Roman" w:cs="Times New Roman"/>
          <w:sz w:val="28"/>
          <w:szCs w:val="28"/>
        </w:rPr>
        <w:t xml:space="preserve">testuale non è privo di significatività. In linea di massima, </w:t>
      </w:r>
      <w:r w:rsidR="00EB3118" w:rsidRPr="00861646">
        <w:rPr>
          <w:rFonts w:ascii="Times New Roman" w:hAnsi="Times New Roman" w:cs="Times New Roman"/>
          <w:sz w:val="28"/>
          <w:szCs w:val="28"/>
        </w:rPr>
        <w:t>cioè, il giudice tende a far coincidere, come sopra anticipato, la locuzione “o</w:t>
      </w:r>
      <w:r w:rsidR="00DE0422" w:rsidRPr="00861646">
        <w:rPr>
          <w:rFonts w:ascii="Times New Roman" w:hAnsi="Times New Roman" w:cs="Times New Roman"/>
          <w:sz w:val="28"/>
          <w:szCs w:val="28"/>
        </w:rPr>
        <w:t>pera non amovibile”</w:t>
      </w:r>
      <w:r w:rsidR="00EB3118" w:rsidRPr="00861646">
        <w:rPr>
          <w:rFonts w:ascii="Times New Roman" w:hAnsi="Times New Roman" w:cs="Times New Roman"/>
          <w:sz w:val="28"/>
          <w:szCs w:val="28"/>
        </w:rPr>
        <w:t xml:space="preserve"> con quella di “opera rilevante sotto il profilo edilizio”, da sussumere poi, a seconda dei casi, nell’alveo della “nuova costruzione”, ovvero dell’intervento su patrimonio edilizio esistente </w:t>
      </w:r>
      <w:r w:rsidR="00EB3118" w:rsidRPr="00861646">
        <w:rPr>
          <w:rFonts w:ascii="Times New Roman" w:hAnsi="Times New Roman" w:cs="Times New Roman"/>
          <w:i/>
          <w:iCs/>
          <w:sz w:val="28"/>
          <w:szCs w:val="28"/>
        </w:rPr>
        <w:t>ex</w:t>
      </w:r>
      <w:r w:rsidR="00EB3118" w:rsidRPr="00861646">
        <w:rPr>
          <w:rFonts w:ascii="Times New Roman" w:hAnsi="Times New Roman" w:cs="Times New Roman"/>
          <w:sz w:val="28"/>
          <w:szCs w:val="28"/>
        </w:rPr>
        <w:t xml:space="preserve"> art. </w:t>
      </w:r>
      <w:r w:rsidR="00441817" w:rsidRPr="00861646">
        <w:rPr>
          <w:rFonts w:ascii="Times New Roman" w:hAnsi="Times New Roman" w:cs="Times New Roman"/>
          <w:sz w:val="28"/>
          <w:szCs w:val="28"/>
        </w:rPr>
        <w:t xml:space="preserve">3 del </w:t>
      </w:r>
      <w:proofErr w:type="spellStart"/>
      <w:r w:rsidR="00441817" w:rsidRPr="00861646">
        <w:rPr>
          <w:rFonts w:ascii="Times New Roman" w:hAnsi="Times New Roman" w:cs="Times New Roman"/>
          <w:sz w:val="28"/>
          <w:szCs w:val="28"/>
        </w:rPr>
        <w:t>T.u.ed</w:t>
      </w:r>
      <w:proofErr w:type="spellEnd"/>
      <w:r w:rsidR="00441817" w:rsidRPr="00861646">
        <w:rPr>
          <w:rFonts w:ascii="Times New Roman" w:hAnsi="Times New Roman" w:cs="Times New Roman"/>
          <w:sz w:val="28"/>
          <w:szCs w:val="28"/>
        </w:rPr>
        <w:t>.</w:t>
      </w:r>
      <w:r w:rsidR="00DE0422" w:rsidRPr="00861646">
        <w:rPr>
          <w:rFonts w:ascii="Times New Roman" w:hAnsi="Times New Roman" w:cs="Times New Roman"/>
          <w:sz w:val="28"/>
          <w:szCs w:val="28"/>
        </w:rPr>
        <w:t xml:space="preserve"> </w:t>
      </w:r>
      <w:r w:rsidR="00FF14E2" w:rsidRPr="00861646">
        <w:rPr>
          <w:rFonts w:ascii="Times New Roman" w:hAnsi="Times New Roman" w:cs="Times New Roman"/>
          <w:sz w:val="28"/>
          <w:szCs w:val="28"/>
        </w:rPr>
        <w:t xml:space="preserve">Non </w:t>
      </w:r>
      <w:r w:rsidR="00FA1B02" w:rsidRPr="00861646">
        <w:rPr>
          <w:rFonts w:ascii="Times New Roman" w:hAnsi="Times New Roman" w:cs="Times New Roman"/>
          <w:sz w:val="28"/>
          <w:szCs w:val="28"/>
        </w:rPr>
        <w:t xml:space="preserve">dovrebbero rientrarvi, e dunque sarebbero </w:t>
      </w:r>
      <w:r w:rsidR="00FF14E2" w:rsidRPr="00861646">
        <w:rPr>
          <w:rFonts w:ascii="Times New Roman" w:hAnsi="Times New Roman" w:cs="Times New Roman"/>
          <w:sz w:val="28"/>
          <w:szCs w:val="28"/>
        </w:rPr>
        <w:t xml:space="preserve">estranee anche alla disciplina dell’incameramento, le strutture stagionali, che </w:t>
      </w:r>
      <w:r w:rsidR="00FA1B02" w:rsidRPr="00861646">
        <w:rPr>
          <w:rFonts w:ascii="Times New Roman" w:hAnsi="Times New Roman" w:cs="Times New Roman"/>
          <w:sz w:val="28"/>
          <w:szCs w:val="28"/>
        </w:rPr>
        <w:t xml:space="preserve">proprio in quanto tali, </w:t>
      </w:r>
      <w:r w:rsidR="00FF14E2" w:rsidRPr="00861646">
        <w:rPr>
          <w:rFonts w:ascii="Times New Roman" w:hAnsi="Times New Roman" w:cs="Times New Roman"/>
          <w:sz w:val="28"/>
          <w:szCs w:val="28"/>
        </w:rPr>
        <w:t>sempre mutuando le definizioni dal d.P.R. n. 380 del 2001</w:t>
      </w:r>
      <w:r w:rsidR="00FA1B02" w:rsidRPr="00861646">
        <w:rPr>
          <w:rFonts w:ascii="Times New Roman" w:hAnsi="Times New Roman" w:cs="Times New Roman"/>
          <w:sz w:val="28"/>
          <w:szCs w:val="28"/>
        </w:rPr>
        <w:t>, sono strutturalmente</w:t>
      </w:r>
      <w:r w:rsidR="00FF14E2" w:rsidRPr="00861646">
        <w:rPr>
          <w:rFonts w:ascii="Times New Roman" w:hAnsi="Times New Roman" w:cs="Times New Roman"/>
          <w:sz w:val="28"/>
          <w:szCs w:val="28"/>
        </w:rPr>
        <w:t xml:space="preserve"> destinate a soddisfare esigenze temporanee e ad essere rimosse al cessare delle stesse, comunque entro un termine massimo normativamente determinato </w:t>
      </w:r>
      <w:r w:rsidR="00441817" w:rsidRPr="00861646">
        <w:rPr>
          <w:rFonts w:ascii="Times New Roman" w:hAnsi="Times New Roman" w:cs="Times New Roman"/>
          <w:sz w:val="28"/>
          <w:szCs w:val="28"/>
        </w:rPr>
        <w:t xml:space="preserve">(art. 6, comma 1, lett. </w:t>
      </w:r>
      <w:proofErr w:type="spellStart"/>
      <w:r w:rsidR="00441817" w:rsidRPr="00861646">
        <w:rPr>
          <w:rFonts w:ascii="Times New Roman" w:hAnsi="Times New Roman" w:cs="Times New Roman"/>
          <w:sz w:val="28"/>
          <w:szCs w:val="28"/>
        </w:rPr>
        <w:t>e.</w:t>
      </w:r>
      <w:r w:rsidR="00FA1B02" w:rsidRPr="00861646">
        <w:rPr>
          <w:rFonts w:ascii="Times New Roman" w:hAnsi="Times New Roman" w:cs="Times New Roman"/>
          <w:i/>
          <w:iCs/>
          <w:sz w:val="28"/>
          <w:szCs w:val="28"/>
        </w:rPr>
        <w:t>bis</w:t>
      </w:r>
      <w:proofErr w:type="spellEnd"/>
      <w:r w:rsidR="00441817" w:rsidRPr="00861646">
        <w:rPr>
          <w:rFonts w:ascii="Times New Roman" w:hAnsi="Times New Roman" w:cs="Times New Roman"/>
          <w:sz w:val="28"/>
          <w:szCs w:val="28"/>
        </w:rPr>
        <w:t>)</w:t>
      </w:r>
      <w:r w:rsidR="00FA1B02" w:rsidRPr="00861646">
        <w:rPr>
          <w:rFonts w:ascii="Times New Roman" w:hAnsi="Times New Roman" w:cs="Times New Roman"/>
          <w:sz w:val="28"/>
          <w:szCs w:val="28"/>
        </w:rPr>
        <w:t xml:space="preserve">, in combinato disposto con la previsione di cui all’art. 3, comma 1, lett. </w:t>
      </w:r>
      <w:r w:rsidR="00486E08" w:rsidRPr="00861646">
        <w:rPr>
          <w:rFonts w:ascii="Times New Roman" w:hAnsi="Times New Roman" w:cs="Times New Roman"/>
          <w:sz w:val="28"/>
          <w:szCs w:val="28"/>
        </w:rPr>
        <w:t>e.5)</w:t>
      </w:r>
      <w:r w:rsidR="00486E08">
        <w:rPr>
          <w:rStyle w:val="Rimandonotaapidipagina"/>
          <w:rFonts w:ascii="Times New Roman" w:hAnsi="Times New Roman" w:cs="Times New Roman"/>
          <w:sz w:val="28"/>
          <w:szCs w:val="28"/>
        </w:rPr>
        <w:footnoteReference w:id="7"/>
      </w:r>
      <w:r w:rsidR="00FA1B02" w:rsidRPr="00861646">
        <w:rPr>
          <w:rFonts w:ascii="Times New Roman" w:hAnsi="Times New Roman" w:cs="Times New Roman"/>
          <w:sz w:val="28"/>
          <w:szCs w:val="28"/>
        </w:rPr>
        <w:t xml:space="preserve">. Proprio tale temporaneità “funzionale” ne consente la catalogazione come attività edilizia </w:t>
      </w:r>
      <w:r w:rsidR="00FF14E2" w:rsidRPr="00861646">
        <w:rPr>
          <w:rFonts w:ascii="Times New Roman" w:hAnsi="Times New Roman" w:cs="Times New Roman"/>
          <w:sz w:val="28"/>
          <w:szCs w:val="28"/>
        </w:rPr>
        <w:t>“libera”, cioè esente da qualsivoglia titolo edilizio, ferm</w:t>
      </w:r>
      <w:r w:rsidR="00FA1B02" w:rsidRPr="00861646">
        <w:rPr>
          <w:rFonts w:ascii="Times New Roman" w:hAnsi="Times New Roman" w:cs="Times New Roman"/>
          <w:sz w:val="28"/>
          <w:szCs w:val="28"/>
        </w:rPr>
        <w:t>a</w:t>
      </w:r>
      <w:r w:rsidR="00FF14E2" w:rsidRPr="00861646">
        <w:rPr>
          <w:rFonts w:ascii="Times New Roman" w:hAnsi="Times New Roman" w:cs="Times New Roman"/>
          <w:sz w:val="28"/>
          <w:szCs w:val="28"/>
        </w:rPr>
        <w:t xml:space="preserve"> restando</w:t>
      </w:r>
      <w:r w:rsidR="00FA1B02" w:rsidRPr="00861646">
        <w:rPr>
          <w:rFonts w:ascii="Times New Roman" w:hAnsi="Times New Roman" w:cs="Times New Roman"/>
          <w:sz w:val="28"/>
          <w:szCs w:val="28"/>
        </w:rPr>
        <w:t xml:space="preserve"> la permanente necessità di quello paesaggistico. Il regime delle tutele, infatti, che lo stesso </w:t>
      </w:r>
      <w:proofErr w:type="spellStart"/>
      <w:r w:rsidR="00FA1B02" w:rsidRPr="00861646">
        <w:rPr>
          <w:rFonts w:ascii="Times New Roman" w:hAnsi="Times New Roman" w:cs="Times New Roman"/>
          <w:sz w:val="28"/>
          <w:szCs w:val="28"/>
        </w:rPr>
        <w:t>T.u.ed</w:t>
      </w:r>
      <w:proofErr w:type="spellEnd"/>
      <w:r w:rsidR="00FA1B02" w:rsidRPr="00861646">
        <w:rPr>
          <w:rFonts w:ascii="Times New Roman" w:hAnsi="Times New Roman" w:cs="Times New Roman"/>
          <w:sz w:val="28"/>
          <w:szCs w:val="28"/>
        </w:rPr>
        <w:t>. fa salvo, segue a sua volta canoni di irrilevanza autonomi e declinati essi pure in relazione al fattore temporale</w:t>
      </w:r>
      <w:r w:rsidR="00486E08" w:rsidRPr="00861646">
        <w:rPr>
          <w:rFonts w:ascii="Times New Roman" w:hAnsi="Times New Roman" w:cs="Times New Roman"/>
          <w:sz w:val="28"/>
          <w:szCs w:val="28"/>
        </w:rPr>
        <w:t>, in maniera peraltro neppure del tutto sovrapponibile (d.P.R. 13 febbraio 2017, n. 31, di recente modificato dal d.P.R. 20 febbraio 2026, n. 73)</w:t>
      </w:r>
      <w:r w:rsidR="00486E08">
        <w:rPr>
          <w:rStyle w:val="Rimandonotaapidipagina"/>
          <w:rFonts w:ascii="Times New Roman" w:hAnsi="Times New Roman" w:cs="Times New Roman"/>
          <w:sz w:val="28"/>
          <w:szCs w:val="28"/>
        </w:rPr>
        <w:footnoteReference w:id="8"/>
      </w:r>
      <w:r w:rsidR="00FA1B02" w:rsidRPr="00861646">
        <w:rPr>
          <w:rFonts w:ascii="Times New Roman" w:hAnsi="Times New Roman" w:cs="Times New Roman"/>
          <w:sz w:val="28"/>
          <w:szCs w:val="28"/>
        </w:rPr>
        <w:t xml:space="preserve">. </w:t>
      </w:r>
      <w:r w:rsidR="00DE0422" w:rsidRPr="00861646">
        <w:rPr>
          <w:rFonts w:ascii="Times New Roman" w:hAnsi="Times New Roman" w:cs="Times New Roman"/>
          <w:sz w:val="28"/>
          <w:szCs w:val="28"/>
        </w:rPr>
        <w:t>Secondo la tesi della società appellante</w:t>
      </w:r>
      <w:r w:rsidR="00486E08" w:rsidRPr="00861646">
        <w:rPr>
          <w:rFonts w:ascii="Times New Roman" w:hAnsi="Times New Roman" w:cs="Times New Roman"/>
          <w:sz w:val="28"/>
          <w:szCs w:val="28"/>
        </w:rPr>
        <w:t xml:space="preserve">, dunque, </w:t>
      </w:r>
      <w:r w:rsidR="00DE0422" w:rsidRPr="00861646">
        <w:rPr>
          <w:rFonts w:ascii="Times New Roman" w:hAnsi="Times New Roman" w:cs="Times New Roman"/>
          <w:sz w:val="28"/>
          <w:szCs w:val="28"/>
        </w:rPr>
        <w:t>l</w:t>
      </w:r>
      <w:r w:rsidR="002B1860" w:rsidRPr="00861646">
        <w:rPr>
          <w:rFonts w:ascii="Times New Roman" w:hAnsi="Times New Roman" w:cs="Times New Roman"/>
          <w:sz w:val="28"/>
          <w:szCs w:val="28"/>
        </w:rPr>
        <w:t xml:space="preserve">a contrarietà </w:t>
      </w:r>
      <w:r w:rsidR="00486E08" w:rsidRPr="00861646">
        <w:rPr>
          <w:rFonts w:ascii="Times New Roman" w:hAnsi="Times New Roman" w:cs="Times New Roman"/>
          <w:sz w:val="28"/>
          <w:szCs w:val="28"/>
        </w:rPr>
        <w:t xml:space="preserve">al diritto dell’Unione </w:t>
      </w:r>
      <w:r w:rsidR="002B1860" w:rsidRPr="00861646">
        <w:rPr>
          <w:rFonts w:ascii="Times New Roman" w:hAnsi="Times New Roman" w:cs="Times New Roman"/>
          <w:sz w:val="28"/>
          <w:szCs w:val="28"/>
        </w:rPr>
        <w:t>dell’effetto di incameramento delle opere difficilmente amovibili realizzate su area demaniale</w:t>
      </w:r>
      <w:r w:rsidR="00DE0422" w:rsidRPr="00861646">
        <w:rPr>
          <w:rFonts w:ascii="Times New Roman" w:hAnsi="Times New Roman" w:cs="Times New Roman"/>
          <w:sz w:val="28"/>
          <w:szCs w:val="28"/>
        </w:rPr>
        <w:t xml:space="preserve"> starebbe nel suo verificarsi </w:t>
      </w:r>
      <w:r w:rsidR="002B1860" w:rsidRPr="00861646">
        <w:rPr>
          <w:rFonts w:ascii="Times New Roman" w:hAnsi="Times New Roman" w:cs="Times New Roman"/>
          <w:sz w:val="28"/>
          <w:szCs w:val="28"/>
        </w:rPr>
        <w:t xml:space="preserve"> </w:t>
      </w:r>
      <w:r w:rsidR="00486E08" w:rsidRPr="00861646">
        <w:rPr>
          <w:rFonts w:ascii="Times New Roman" w:hAnsi="Times New Roman" w:cs="Times New Roman"/>
          <w:sz w:val="28"/>
          <w:szCs w:val="28"/>
        </w:rPr>
        <w:t xml:space="preserve">anche </w:t>
      </w:r>
      <w:r w:rsidR="002B1860" w:rsidRPr="00861646">
        <w:rPr>
          <w:rFonts w:ascii="Times New Roman" w:hAnsi="Times New Roman" w:cs="Times New Roman"/>
          <w:sz w:val="28"/>
          <w:szCs w:val="28"/>
        </w:rPr>
        <w:t>in corso di concessione (</w:t>
      </w:r>
      <w:r w:rsidR="00486E08" w:rsidRPr="00861646">
        <w:rPr>
          <w:rFonts w:ascii="Times New Roman" w:hAnsi="Times New Roman" w:cs="Times New Roman"/>
          <w:sz w:val="28"/>
          <w:szCs w:val="28"/>
        </w:rPr>
        <w:t xml:space="preserve">come tipicamente in caso </w:t>
      </w:r>
      <w:r w:rsidR="002B1860" w:rsidRPr="00861646">
        <w:rPr>
          <w:rFonts w:ascii="Times New Roman" w:hAnsi="Times New Roman" w:cs="Times New Roman"/>
          <w:sz w:val="28"/>
          <w:szCs w:val="28"/>
        </w:rPr>
        <w:t>di rinnovo del titolo)</w:t>
      </w:r>
      <w:r w:rsidR="00DE0422" w:rsidRPr="00861646">
        <w:rPr>
          <w:rFonts w:ascii="Times New Roman" w:hAnsi="Times New Roman" w:cs="Times New Roman"/>
          <w:sz w:val="28"/>
          <w:szCs w:val="28"/>
        </w:rPr>
        <w:t xml:space="preserve">, in dispregio </w:t>
      </w:r>
      <w:r w:rsidR="002B1860" w:rsidRPr="00861646">
        <w:rPr>
          <w:rFonts w:ascii="Times New Roman" w:hAnsi="Times New Roman" w:cs="Times New Roman"/>
          <w:sz w:val="28"/>
          <w:szCs w:val="28"/>
        </w:rPr>
        <w:t xml:space="preserve"> del principio di proporzionalità delle restrizioni delle libertà fondamentali sancito dagli artt. 49 e 56 TFUE rispetto alla realizzazione degli obiettivi di interesse generale perseguiti, per come enucleato dalla Corte di Giustizia nella sentenza Laezza, seppure in materia di concessione di servizi (</w:t>
      </w:r>
      <w:r w:rsidR="00DE0422" w:rsidRPr="00861646">
        <w:rPr>
          <w:rFonts w:ascii="Times New Roman" w:hAnsi="Times New Roman" w:cs="Times New Roman"/>
          <w:sz w:val="28"/>
          <w:szCs w:val="28"/>
        </w:rPr>
        <w:t xml:space="preserve">v. ancora </w:t>
      </w:r>
      <w:r w:rsidR="002B1860" w:rsidRPr="00861646">
        <w:rPr>
          <w:rFonts w:ascii="Times New Roman" w:hAnsi="Times New Roman" w:cs="Times New Roman"/>
          <w:sz w:val="28"/>
          <w:szCs w:val="28"/>
        </w:rPr>
        <w:t>C</w:t>
      </w:r>
      <w:r w:rsidR="00DE0422" w:rsidRPr="00861646">
        <w:rPr>
          <w:rFonts w:ascii="Times New Roman" w:hAnsi="Times New Roman" w:cs="Times New Roman"/>
          <w:sz w:val="28"/>
          <w:szCs w:val="28"/>
        </w:rPr>
        <w:t>GUE, s</w:t>
      </w:r>
      <w:r w:rsidR="002B1860" w:rsidRPr="00861646">
        <w:rPr>
          <w:rFonts w:ascii="Times New Roman" w:hAnsi="Times New Roman" w:cs="Times New Roman"/>
          <w:sz w:val="28"/>
          <w:szCs w:val="28"/>
        </w:rPr>
        <w:t>ez. III, 28</w:t>
      </w:r>
      <w:r w:rsidR="00DE0422" w:rsidRPr="00861646">
        <w:rPr>
          <w:rFonts w:ascii="Times New Roman" w:hAnsi="Times New Roman" w:cs="Times New Roman"/>
          <w:sz w:val="28"/>
          <w:szCs w:val="28"/>
        </w:rPr>
        <w:t xml:space="preserve"> gennaio </w:t>
      </w:r>
      <w:r w:rsidR="002B1860" w:rsidRPr="00861646">
        <w:rPr>
          <w:rFonts w:ascii="Times New Roman" w:hAnsi="Times New Roman" w:cs="Times New Roman"/>
          <w:sz w:val="28"/>
          <w:szCs w:val="28"/>
        </w:rPr>
        <w:t xml:space="preserve">2016 in C – 375/14). </w:t>
      </w:r>
      <w:r w:rsidR="00DE0422" w:rsidRPr="00861646">
        <w:rPr>
          <w:rFonts w:ascii="Times New Roman" w:hAnsi="Times New Roman" w:cs="Times New Roman"/>
          <w:sz w:val="28"/>
          <w:szCs w:val="28"/>
        </w:rPr>
        <w:t xml:space="preserve">Incontestato tra le parti era invece </w:t>
      </w:r>
      <w:r w:rsidR="00486E08" w:rsidRPr="00861646">
        <w:rPr>
          <w:rFonts w:ascii="Times New Roman" w:hAnsi="Times New Roman" w:cs="Times New Roman"/>
          <w:sz w:val="28"/>
          <w:szCs w:val="28"/>
        </w:rPr>
        <w:t xml:space="preserve">la legittimità </w:t>
      </w:r>
      <w:r w:rsidR="00486E08" w:rsidRPr="00861646">
        <w:rPr>
          <w:rFonts w:ascii="Times New Roman" w:hAnsi="Times New Roman" w:cs="Times New Roman"/>
          <w:i/>
          <w:iCs/>
          <w:sz w:val="28"/>
          <w:szCs w:val="28"/>
        </w:rPr>
        <w:t>ex se</w:t>
      </w:r>
      <w:r w:rsidR="00486E08" w:rsidRPr="00861646">
        <w:rPr>
          <w:rFonts w:ascii="Times New Roman" w:hAnsi="Times New Roman" w:cs="Times New Roman"/>
          <w:sz w:val="28"/>
          <w:szCs w:val="28"/>
        </w:rPr>
        <w:t xml:space="preserve"> del</w:t>
      </w:r>
      <w:r w:rsidR="002B1860" w:rsidRPr="00861646">
        <w:rPr>
          <w:rFonts w:ascii="Times New Roman" w:hAnsi="Times New Roman" w:cs="Times New Roman"/>
          <w:sz w:val="28"/>
          <w:szCs w:val="28"/>
        </w:rPr>
        <w:t xml:space="preserve">l’istituto dell’accessione </w:t>
      </w:r>
      <w:r w:rsidR="00486E08" w:rsidRPr="00861646">
        <w:rPr>
          <w:rFonts w:ascii="Times New Roman" w:hAnsi="Times New Roman" w:cs="Times New Roman"/>
          <w:sz w:val="28"/>
          <w:szCs w:val="28"/>
        </w:rPr>
        <w:t>demaniale di cui all’</w:t>
      </w:r>
      <w:r w:rsidR="002B1860" w:rsidRPr="00861646">
        <w:rPr>
          <w:rFonts w:ascii="Times New Roman" w:hAnsi="Times New Roman" w:cs="Times New Roman"/>
          <w:sz w:val="28"/>
          <w:szCs w:val="28"/>
        </w:rPr>
        <w:t>art. 49 cod. nav.</w:t>
      </w:r>
      <w:r w:rsidR="00486E08" w:rsidRPr="00861646">
        <w:rPr>
          <w:rFonts w:ascii="Times New Roman" w:hAnsi="Times New Roman" w:cs="Times New Roman"/>
          <w:sz w:val="28"/>
          <w:szCs w:val="28"/>
        </w:rPr>
        <w:t xml:space="preserve">, sull’assunto che esso </w:t>
      </w:r>
      <w:r w:rsidR="002B1860" w:rsidRPr="00861646">
        <w:rPr>
          <w:rFonts w:ascii="Times New Roman" w:hAnsi="Times New Roman" w:cs="Times New Roman"/>
          <w:sz w:val="28"/>
          <w:szCs w:val="28"/>
        </w:rPr>
        <w:t>rispond</w:t>
      </w:r>
      <w:r w:rsidR="00DE0422" w:rsidRPr="00861646">
        <w:rPr>
          <w:rFonts w:ascii="Times New Roman" w:hAnsi="Times New Roman" w:cs="Times New Roman"/>
          <w:sz w:val="28"/>
          <w:szCs w:val="28"/>
        </w:rPr>
        <w:t>e</w:t>
      </w:r>
      <w:r w:rsidR="002B1860" w:rsidRPr="00861646">
        <w:rPr>
          <w:rFonts w:ascii="Times New Roman" w:hAnsi="Times New Roman" w:cs="Times New Roman"/>
          <w:sz w:val="28"/>
          <w:szCs w:val="28"/>
        </w:rPr>
        <w:t xml:space="preserve"> all’esigenza di assicurare che le opere non amovibili destinate a restare sul territorio o ad essere rimosse con inevitabile distruzione finiscano nella piena disponibilità dell’ente proprietario dell’area </w:t>
      </w:r>
      <w:r w:rsidR="00DE0422" w:rsidRPr="00861646">
        <w:rPr>
          <w:rFonts w:ascii="Times New Roman" w:hAnsi="Times New Roman" w:cs="Times New Roman"/>
          <w:sz w:val="28"/>
          <w:szCs w:val="28"/>
        </w:rPr>
        <w:t xml:space="preserve">per </w:t>
      </w:r>
      <w:r w:rsidR="002B1860" w:rsidRPr="00861646">
        <w:rPr>
          <w:rFonts w:ascii="Times New Roman" w:hAnsi="Times New Roman" w:cs="Times New Roman"/>
          <w:sz w:val="28"/>
          <w:szCs w:val="28"/>
        </w:rPr>
        <w:t xml:space="preserve">una sua corretta </w:t>
      </w:r>
      <w:r w:rsidR="00DE0422" w:rsidRPr="00861646">
        <w:rPr>
          <w:rFonts w:ascii="Times New Roman" w:hAnsi="Times New Roman" w:cs="Times New Roman"/>
          <w:sz w:val="28"/>
          <w:szCs w:val="28"/>
        </w:rPr>
        <w:t xml:space="preserve">futura </w:t>
      </w:r>
      <w:r w:rsidR="002B1860" w:rsidRPr="00861646">
        <w:rPr>
          <w:rFonts w:ascii="Times New Roman" w:hAnsi="Times New Roman" w:cs="Times New Roman"/>
          <w:sz w:val="28"/>
          <w:szCs w:val="28"/>
        </w:rPr>
        <w:t xml:space="preserve">gestione per prevalenti finalità di interesse pubblico. </w:t>
      </w:r>
      <w:r w:rsidR="00D57044" w:rsidRPr="00861646">
        <w:rPr>
          <w:rFonts w:ascii="Times New Roman" w:hAnsi="Times New Roman" w:cs="Times New Roman"/>
          <w:sz w:val="28"/>
          <w:szCs w:val="28"/>
        </w:rPr>
        <w:t xml:space="preserve"> </w:t>
      </w:r>
      <w:r w:rsidR="002A4472" w:rsidRPr="00861646">
        <w:rPr>
          <w:rFonts w:ascii="Times New Roman" w:hAnsi="Times New Roman" w:cs="Times New Roman"/>
          <w:sz w:val="28"/>
          <w:szCs w:val="28"/>
        </w:rPr>
        <w:t xml:space="preserve">La </w:t>
      </w:r>
      <w:r w:rsidR="00486E08" w:rsidRPr="00861646">
        <w:rPr>
          <w:rFonts w:ascii="Times New Roman" w:hAnsi="Times New Roman" w:cs="Times New Roman"/>
          <w:sz w:val="28"/>
          <w:szCs w:val="28"/>
        </w:rPr>
        <w:t xml:space="preserve">sentenza della </w:t>
      </w:r>
      <w:r w:rsidR="002A4472" w:rsidRPr="00861646">
        <w:rPr>
          <w:rFonts w:ascii="Times New Roman" w:hAnsi="Times New Roman" w:cs="Times New Roman"/>
          <w:sz w:val="28"/>
          <w:szCs w:val="28"/>
        </w:rPr>
        <w:t>CGUE</w:t>
      </w:r>
      <w:r w:rsidR="00486E08" w:rsidRPr="00861646">
        <w:rPr>
          <w:rFonts w:ascii="Times New Roman" w:hAnsi="Times New Roman" w:cs="Times New Roman"/>
          <w:sz w:val="28"/>
          <w:szCs w:val="28"/>
        </w:rPr>
        <w:t xml:space="preserve"> </w:t>
      </w:r>
      <w:r w:rsidR="002A4472" w:rsidRPr="00861646">
        <w:rPr>
          <w:rFonts w:ascii="Times New Roman" w:hAnsi="Times New Roman" w:cs="Times New Roman"/>
          <w:sz w:val="28"/>
          <w:szCs w:val="28"/>
        </w:rPr>
        <w:t>dell’11 luglio 2024 (causa C-598/22</w:t>
      </w:r>
      <w:r w:rsidR="00486E08" w:rsidRPr="00861646">
        <w:rPr>
          <w:rFonts w:ascii="Times New Roman" w:hAnsi="Times New Roman" w:cs="Times New Roman"/>
          <w:sz w:val="28"/>
          <w:szCs w:val="28"/>
        </w:rPr>
        <w:t>) ha innanzi tutto individuato i</w:t>
      </w:r>
      <w:r w:rsidR="002A4472" w:rsidRPr="00861646">
        <w:rPr>
          <w:rFonts w:ascii="Times New Roman" w:hAnsi="Times New Roman" w:cs="Times New Roman"/>
          <w:sz w:val="28"/>
          <w:szCs w:val="28"/>
        </w:rPr>
        <w:t>l</w:t>
      </w:r>
      <w:r w:rsidR="003F703A" w:rsidRPr="00861646">
        <w:rPr>
          <w:rFonts w:ascii="Times New Roman" w:hAnsi="Times New Roman" w:cs="Times New Roman"/>
          <w:sz w:val="28"/>
          <w:szCs w:val="28"/>
        </w:rPr>
        <w:t xml:space="preserve"> parametro comunitario di riferimento nell’art. 49 TFUE, </w:t>
      </w:r>
      <w:r w:rsidR="00665246" w:rsidRPr="00861646">
        <w:rPr>
          <w:rFonts w:ascii="Times New Roman" w:hAnsi="Times New Roman" w:cs="Times New Roman"/>
          <w:sz w:val="28"/>
          <w:szCs w:val="28"/>
        </w:rPr>
        <w:t xml:space="preserve">ovvero nella </w:t>
      </w:r>
      <w:r w:rsidR="003F703A" w:rsidRPr="00861646">
        <w:rPr>
          <w:rFonts w:ascii="Times New Roman" w:hAnsi="Times New Roman" w:cs="Times New Roman"/>
          <w:sz w:val="28"/>
          <w:szCs w:val="28"/>
        </w:rPr>
        <w:t xml:space="preserve">tutela </w:t>
      </w:r>
      <w:r w:rsidR="00665246" w:rsidRPr="00861646">
        <w:rPr>
          <w:rFonts w:ascii="Times New Roman" w:hAnsi="Times New Roman" w:cs="Times New Roman"/>
          <w:sz w:val="28"/>
          <w:szCs w:val="28"/>
        </w:rPr>
        <w:t>del</w:t>
      </w:r>
      <w:r w:rsidR="003F703A" w:rsidRPr="00861646">
        <w:rPr>
          <w:rFonts w:ascii="Times New Roman" w:hAnsi="Times New Roman" w:cs="Times New Roman"/>
          <w:sz w:val="28"/>
          <w:szCs w:val="28"/>
        </w:rPr>
        <w:t>la libertà di stabilimento</w:t>
      </w:r>
      <w:r w:rsidR="00665246" w:rsidRPr="00861646">
        <w:rPr>
          <w:rFonts w:ascii="Times New Roman" w:hAnsi="Times New Roman" w:cs="Times New Roman"/>
          <w:sz w:val="28"/>
          <w:szCs w:val="28"/>
        </w:rPr>
        <w:t>. Ciò in quanto</w:t>
      </w:r>
      <w:r w:rsidR="003F703A" w:rsidRPr="00861646">
        <w:rPr>
          <w:rFonts w:ascii="Times New Roman" w:hAnsi="Times New Roman" w:cs="Times New Roman"/>
          <w:sz w:val="28"/>
          <w:szCs w:val="28"/>
        </w:rPr>
        <w:t xml:space="preserve"> </w:t>
      </w:r>
      <w:r w:rsidR="00B21684" w:rsidRPr="00861646">
        <w:rPr>
          <w:rFonts w:ascii="Times New Roman" w:hAnsi="Times New Roman" w:cs="Times New Roman"/>
          <w:sz w:val="28"/>
          <w:szCs w:val="28"/>
        </w:rPr>
        <w:t>«[…]</w:t>
      </w:r>
      <w:r w:rsidR="00C50DD1" w:rsidRPr="00861646">
        <w:rPr>
          <w:rFonts w:ascii="Times New Roman" w:hAnsi="Times New Roman" w:cs="Times New Roman"/>
          <w:sz w:val="28"/>
          <w:szCs w:val="28"/>
        </w:rPr>
        <w:t xml:space="preserve"> </w:t>
      </w:r>
      <w:r w:rsidR="00B21684" w:rsidRPr="00861646">
        <w:rPr>
          <w:rFonts w:ascii="Times New Roman" w:hAnsi="Times New Roman" w:cs="Times New Roman"/>
          <w:i/>
          <w:iCs/>
          <w:sz w:val="28"/>
          <w:szCs w:val="28"/>
        </w:rPr>
        <w:t>l</w:t>
      </w:r>
      <w:r w:rsidR="00665246" w:rsidRPr="00861646">
        <w:rPr>
          <w:rFonts w:ascii="Times New Roman" w:hAnsi="Times New Roman" w:cs="Times New Roman"/>
          <w:i/>
          <w:iCs/>
          <w:sz w:val="28"/>
          <w:szCs w:val="28"/>
        </w:rPr>
        <w:t>’</w:t>
      </w:r>
      <w:r w:rsidR="00B21684" w:rsidRPr="00861646">
        <w:rPr>
          <w:rFonts w:ascii="Times New Roman" w:hAnsi="Times New Roman" w:cs="Times New Roman"/>
          <w:i/>
          <w:iCs/>
          <w:sz w:val="28"/>
          <w:szCs w:val="28"/>
        </w:rPr>
        <w:t xml:space="preserve">attribuzione di una concessione di occupazione del demanio pubblico marittimo implica necessariamente l'accesso del concessionario al territorio dello Stato membro ospitante in vista di una partecipazione stabile e continua, per una durata relativamente lunga, alla vita economica di tale Stato. Ne consegue che l'assegnazione di una tale concessione rientra nel diritto di stabilimento previsto dall'articolo 49 TFUE (v., in tal senso, sentenze del 30 novembre 1995, </w:t>
      </w:r>
      <w:proofErr w:type="spellStart"/>
      <w:r w:rsidR="00B21684" w:rsidRPr="00861646">
        <w:rPr>
          <w:rFonts w:ascii="Times New Roman" w:hAnsi="Times New Roman" w:cs="Times New Roman"/>
          <w:i/>
          <w:iCs/>
          <w:sz w:val="28"/>
          <w:szCs w:val="28"/>
        </w:rPr>
        <w:t>Gebhard</w:t>
      </w:r>
      <w:proofErr w:type="spellEnd"/>
      <w:r w:rsidR="00B21684" w:rsidRPr="00861646">
        <w:rPr>
          <w:rFonts w:ascii="Times New Roman" w:hAnsi="Times New Roman" w:cs="Times New Roman"/>
          <w:i/>
          <w:iCs/>
          <w:sz w:val="28"/>
          <w:szCs w:val="28"/>
        </w:rPr>
        <w:t>, C-55/94, EU:</w:t>
      </w:r>
      <w:r w:rsidR="00A42CE7">
        <w:rPr>
          <w:rFonts w:ascii="Times New Roman" w:hAnsi="Times New Roman" w:cs="Times New Roman"/>
          <w:i/>
          <w:iCs/>
          <w:sz w:val="28"/>
          <w:szCs w:val="28"/>
        </w:rPr>
        <w:t xml:space="preserve"> </w:t>
      </w:r>
      <w:r w:rsidR="00B21684" w:rsidRPr="00861646">
        <w:rPr>
          <w:rFonts w:ascii="Times New Roman" w:hAnsi="Times New Roman" w:cs="Times New Roman"/>
          <w:i/>
          <w:iCs/>
          <w:sz w:val="28"/>
          <w:szCs w:val="28"/>
        </w:rPr>
        <w:t xml:space="preserve">C:1995:411, punto 25; dell'11 marzo 2010, Attanasio Group, C-384/08, EU:C:2010:133, punto 39, e del 21 dicembre 2016, AGET </w:t>
      </w:r>
      <w:proofErr w:type="spellStart"/>
      <w:r w:rsidR="00B21684" w:rsidRPr="00861646">
        <w:rPr>
          <w:rFonts w:ascii="Times New Roman" w:hAnsi="Times New Roman" w:cs="Times New Roman"/>
          <w:i/>
          <w:iCs/>
          <w:sz w:val="28"/>
          <w:szCs w:val="28"/>
        </w:rPr>
        <w:t>Iraklis</w:t>
      </w:r>
      <w:proofErr w:type="spellEnd"/>
      <w:r w:rsidR="00B21684" w:rsidRPr="00861646">
        <w:rPr>
          <w:rFonts w:ascii="Times New Roman" w:hAnsi="Times New Roman" w:cs="Times New Roman"/>
          <w:i/>
          <w:iCs/>
          <w:sz w:val="28"/>
          <w:szCs w:val="28"/>
        </w:rPr>
        <w:t>, C-201/15, EU:C:2016:972, punto 50)</w:t>
      </w:r>
      <w:r w:rsidR="00B21684" w:rsidRPr="00861646">
        <w:rPr>
          <w:rFonts w:ascii="Times New Roman" w:hAnsi="Times New Roman" w:cs="Times New Roman"/>
          <w:sz w:val="28"/>
          <w:szCs w:val="28"/>
        </w:rPr>
        <w:t>» (§ 44</w:t>
      </w:r>
      <w:r w:rsidR="002A4472" w:rsidRPr="00861646">
        <w:rPr>
          <w:rFonts w:ascii="Times New Roman" w:hAnsi="Times New Roman" w:cs="Times New Roman"/>
          <w:sz w:val="28"/>
          <w:szCs w:val="28"/>
        </w:rPr>
        <w:t>)</w:t>
      </w:r>
      <w:r w:rsidR="00B21684" w:rsidRPr="00861646">
        <w:rPr>
          <w:rFonts w:ascii="Times New Roman" w:hAnsi="Times New Roman" w:cs="Times New Roman"/>
          <w:sz w:val="28"/>
          <w:szCs w:val="28"/>
        </w:rPr>
        <w:t xml:space="preserve">. </w:t>
      </w:r>
      <w:r w:rsidR="002A4472" w:rsidRPr="00861646">
        <w:rPr>
          <w:rFonts w:ascii="Times New Roman" w:hAnsi="Times New Roman" w:cs="Times New Roman"/>
          <w:sz w:val="28"/>
          <w:szCs w:val="28"/>
        </w:rPr>
        <w:t xml:space="preserve">La Corte ha poi escluso </w:t>
      </w:r>
      <w:r w:rsidR="003F703A" w:rsidRPr="00861646">
        <w:rPr>
          <w:rFonts w:ascii="Times New Roman" w:hAnsi="Times New Roman" w:cs="Times New Roman"/>
          <w:sz w:val="28"/>
          <w:szCs w:val="28"/>
        </w:rPr>
        <w:t>che la previsione dell</w:t>
      </w:r>
      <w:r w:rsidR="00567B19" w:rsidRPr="00861646">
        <w:rPr>
          <w:rFonts w:ascii="Times New Roman" w:hAnsi="Times New Roman" w:cs="Times New Roman"/>
          <w:sz w:val="28"/>
          <w:szCs w:val="28"/>
        </w:rPr>
        <w:t>’</w:t>
      </w:r>
      <w:r w:rsidR="003F703A" w:rsidRPr="00861646">
        <w:rPr>
          <w:rFonts w:ascii="Times New Roman" w:hAnsi="Times New Roman" w:cs="Times New Roman"/>
          <w:sz w:val="28"/>
          <w:szCs w:val="28"/>
        </w:rPr>
        <w:t xml:space="preserve">acquisizione gratuita dei beni non amovibili al demanio allo scadere della concessione, a prescindere dal suo successivo rinnovo, </w:t>
      </w:r>
      <w:r w:rsidR="00567B19" w:rsidRPr="00861646">
        <w:rPr>
          <w:rFonts w:ascii="Times New Roman" w:hAnsi="Times New Roman" w:cs="Times New Roman"/>
          <w:sz w:val="28"/>
          <w:szCs w:val="28"/>
        </w:rPr>
        <w:t xml:space="preserve">costituisca una qualche forma di esproprio. </w:t>
      </w:r>
      <w:r w:rsidR="002A4472" w:rsidRPr="00861646">
        <w:rPr>
          <w:rFonts w:ascii="Times New Roman" w:hAnsi="Times New Roman" w:cs="Times New Roman"/>
          <w:sz w:val="28"/>
          <w:szCs w:val="28"/>
        </w:rPr>
        <w:t xml:space="preserve">Ha </w:t>
      </w:r>
      <w:r w:rsidR="00DE2213" w:rsidRPr="00861646">
        <w:rPr>
          <w:rFonts w:ascii="Times New Roman" w:hAnsi="Times New Roman" w:cs="Times New Roman"/>
          <w:sz w:val="28"/>
          <w:szCs w:val="28"/>
        </w:rPr>
        <w:t xml:space="preserve">infine </w:t>
      </w:r>
      <w:r w:rsidR="002A4472" w:rsidRPr="00861646">
        <w:rPr>
          <w:rFonts w:ascii="Times New Roman" w:hAnsi="Times New Roman" w:cs="Times New Roman"/>
          <w:sz w:val="28"/>
          <w:szCs w:val="28"/>
        </w:rPr>
        <w:t xml:space="preserve">ammesso, </w:t>
      </w:r>
      <w:r w:rsidR="00DE2213" w:rsidRPr="00861646">
        <w:rPr>
          <w:rFonts w:ascii="Times New Roman" w:hAnsi="Times New Roman" w:cs="Times New Roman"/>
          <w:sz w:val="28"/>
          <w:szCs w:val="28"/>
        </w:rPr>
        <w:t xml:space="preserve">per quanto qui di specifico interesse, </w:t>
      </w:r>
      <w:r w:rsidR="002A4472" w:rsidRPr="00861646">
        <w:rPr>
          <w:rFonts w:ascii="Times New Roman" w:hAnsi="Times New Roman" w:cs="Times New Roman"/>
          <w:sz w:val="28"/>
          <w:szCs w:val="28"/>
        </w:rPr>
        <w:t xml:space="preserve">che possa essere prevista una qualche forma di </w:t>
      </w:r>
      <w:r w:rsidR="00567B19" w:rsidRPr="00861646">
        <w:rPr>
          <w:rFonts w:ascii="Times New Roman" w:hAnsi="Times New Roman" w:cs="Times New Roman"/>
          <w:sz w:val="28"/>
          <w:szCs w:val="28"/>
        </w:rPr>
        <w:t>ristoro del concessionario uscente</w:t>
      </w:r>
      <w:r w:rsidR="002A4472" w:rsidRPr="00861646">
        <w:rPr>
          <w:rFonts w:ascii="Times New Roman" w:hAnsi="Times New Roman" w:cs="Times New Roman"/>
          <w:sz w:val="28"/>
          <w:szCs w:val="28"/>
        </w:rPr>
        <w:t>,</w:t>
      </w:r>
      <w:r w:rsidR="00DE2213" w:rsidRPr="00861646">
        <w:rPr>
          <w:rFonts w:ascii="Times New Roman" w:hAnsi="Times New Roman" w:cs="Times New Roman"/>
          <w:sz w:val="28"/>
          <w:szCs w:val="28"/>
        </w:rPr>
        <w:t xml:space="preserve"> ma senza approfondire </w:t>
      </w:r>
      <w:r w:rsidR="002A4472" w:rsidRPr="00861646">
        <w:rPr>
          <w:rFonts w:ascii="Times New Roman" w:hAnsi="Times New Roman" w:cs="Times New Roman"/>
          <w:sz w:val="28"/>
          <w:szCs w:val="28"/>
        </w:rPr>
        <w:t xml:space="preserve">la tematica in quanto </w:t>
      </w:r>
      <w:r w:rsidR="00DE2213" w:rsidRPr="00861646">
        <w:rPr>
          <w:rFonts w:ascii="Times New Roman" w:hAnsi="Times New Roman" w:cs="Times New Roman"/>
          <w:sz w:val="28"/>
          <w:szCs w:val="28"/>
        </w:rPr>
        <w:t xml:space="preserve">essa </w:t>
      </w:r>
      <w:r w:rsidR="002A4472" w:rsidRPr="00861646">
        <w:rPr>
          <w:rFonts w:ascii="Times New Roman" w:hAnsi="Times New Roman" w:cs="Times New Roman"/>
          <w:sz w:val="28"/>
          <w:szCs w:val="28"/>
        </w:rPr>
        <w:t>si colloca nella f</w:t>
      </w:r>
      <w:r w:rsidR="003F703A" w:rsidRPr="00861646">
        <w:rPr>
          <w:rFonts w:ascii="Times New Roman" w:hAnsi="Times New Roman" w:cs="Times New Roman"/>
          <w:sz w:val="28"/>
          <w:szCs w:val="28"/>
        </w:rPr>
        <w:t>ase finale del rapporto concessorio</w:t>
      </w:r>
      <w:r w:rsidR="00567B19" w:rsidRPr="00861646">
        <w:rPr>
          <w:rFonts w:ascii="Times New Roman" w:hAnsi="Times New Roman" w:cs="Times New Roman"/>
          <w:sz w:val="28"/>
          <w:szCs w:val="28"/>
        </w:rPr>
        <w:t xml:space="preserve">, non </w:t>
      </w:r>
      <w:r w:rsidR="002A4472" w:rsidRPr="00861646">
        <w:rPr>
          <w:rFonts w:ascii="Times New Roman" w:hAnsi="Times New Roman" w:cs="Times New Roman"/>
          <w:sz w:val="28"/>
          <w:szCs w:val="28"/>
        </w:rPr>
        <w:t xml:space="preserve">al momento del suo </w:t>
      </w:r>
      <w:r w:rsidR="00567B19" w:rsidRPr="00861646">
        <w:rPr>
          <w:rFonts w:ascii="Times New Roman" w:hAnsi="Times New Roman" w:cs="Times New Roman"/>
          <w:sz w:val="28"/>
          <w:szCs w:val="28"/>
        </w:rPr>
        <w:t>sorgere</w:t>
      </w:r>
      <w:r w:rsidR="00DE2213" w:rsidRPr="00861646">
        <w:rPr>
          <w:rFonts w:ascii="Times New Roman" w:hAnsi="Times New Roman" w:cs="Times New Roman"/>
          <w:sz w:val="28"/>
          <w:szCs w:val="28"/>
        </w:rPr>
        <w:t>, oggetto della decisione</w:t>
      </w:r>
      <w:r w:rsidR="00567B19" w:rsidRPr="00861646">
        <w:rPr>
          <w:rFonts w:ascii="Times New Roman" w:hAnsi="Times New Roman" w:cs="Times New Roman"/>
          <w:sz w:val="28"/>
          <w:szCs w:val="28"/>
        </w:rPr>
        <w:t>.</w:t>
      </w:r>
      <w:r w:rsidR="00DE2213" w:rsidRPr="00861646">
        <w:rPr>
          <w:rFonts w:ascii="Times New Roman" w:hAnsi="Times New Roman" w:cs="Times New Roman"/>
          <w:sz w:val="28"/>
          <w:szCs w:val="28"/>
        </w:rPr>
        <w:t xml:space="preserve"> Si ritiene che la distinzione non sia di poco conto. </w:t>
      </w:r>
      <w:r w:rsidR="00567B19" w:rsidRPr="00861646">
        <w:rPr>
          <w:rFonts w:ascii="Times New Roman" w:hAnsi="Times New Roman" w:cs="Times New Roman"/>
          <w:sz w:val="28"/>
          <w:szCs w:val="28"/>
        </w:rPr>
        <w:t xml:space="preserve">Nella disciplina esaminata, </w:t>
      </w:r>
      <w:r w:rsidR="00DE2213" w:rsidRPr="00861646">
        <w:rPr>
          <w:rFonts w:ascii="Times New Roman" w:hAnsi="Times New Roman" w:cs="Times New Roman"/>
          <w:sz w:val="28"/>
          <w:szCs w:val="28"/>
        </w:rPr>
        <w:t xml:space="preserve">la possibilità di indennizzo </w:t>
      </w:r>
      <w:r w:rsidR="002A4472" w:rsidRPr="00861646">
        <w:rPr>
          <w:rFonts w:ascii="Times New Roman" w:hAnsi="Times New Roman" w:cs="Times New Roman"/>
          <w:sz w:val="28"/>
          <w:szCs w:val="28"/>
        </w:rPr>
        <w:t xml:space="preserve">trova fondamento nella </w:t>
      </w:r>
      <w:r w:rsidR="003F703A" w:rsidRPr="00861646">
        <w:rPr>
          <w:rFonts w:ascii="Times New Roman" w:hAnsi="Times New Roman" w:cs="Times New Roman"/>
          <w:sz w:val="28"/>
          <w:szCs w:val="28"/>
        </w:rPr>
        <w:t>matrice consensuale del</w:t>
      </w:r>
      <w:r w:rsidR="002A4472" w:rsidRPr="00861646">
        <w:rPr>
          <w:rFonts w:ascii="Times New Roman" w:hAnsi="Times New Roman" w:cs="Times New Roman"/>
          <w:sz w:val="28"/>
          <w:szCs w:val="28"/>
        </w:rPr>
        <w:t xml:space="preserve"> rapporto</w:t>
      </w:r>
      <w:r w:rsidR="003F703A" w:rsidRPr="00861646">
        <w:rPr>
          <w:rFonts w:ascii="Times New Roman" w:hAnsi="Times New Roman" w:cs="Times New Roman"/>
          <w:sz w:val="28"/>
          <w:szCs w:val="28"/>
        </w:rPr>
        <w:t xml:space="preserve"> (</w:t>
      </w:r>
      <w:r w:rsidR="00DE2213" w:rsidRPr="00861646">
        <w:rPr>
          <w:rFonts w:ascii="Times New Roman" w:hAnsi="Times New Roman" w:cs="Times New Roman"/>
          <w:sz w:val="28"/>
          <w:szCs w:val="28"/>
        </w:rPr>
        <w:t xml:space="preserve">v. </w:t>
      </w:r>
      <w:r w:rsidR="003F703A" w:rsidRPr="00861646">
        <w:rPr>
          <w:rFonts w:ascii="Times New Roman" w:hAnsi="Times New Roman" w:cs="Times New Roman"/>
          <w:sz w:val="28"/>
          <w:szCs w:val="28"/>
        </w:rPr>
        <w:t>§§ da 50 a 58</w:t>
      </w:r>
      <w:r w:rsidR="00DE2213" w:rsidRPr="00861646">
        <w:rPr>
          <w:rFonts w:ascii="Times New Roman" w:hAnsi="Times New Roman" w:cs="Times New Roman"/>
          <w:sz w:val="28"/>
          <w:szCs w:val="28"/>
        </w:rPr>
        <w:t xml:space="preserve"> della sentenza della CGUE</w:t>
      </w:r>
      <w:r w:rsidR="003F703A" w:rsidRPr="00861646">
        <w:rPr>
          <w:rFonts w:ascii="Times New Roman" w:hAnsi="Times New Roman" w:cs="Times New Roman"/>
          <w:sz w:val="28"/>
          <w:szCs w:val="28"/>
        </w:rPr>
        <w:t xml:space="preserve">). </w:t>
      </w:r>
      <w:r w:rsidR="00567B19" w:rsidRPr="00861646">
        <w:rPr>
          <w:rFonts w:ascii="Times New Roman" w:hAnsi="Times New Roman" w:cs="Times New Roman"/>
          <w:sz w:val="28"/>
          <w:szCs w:val="28"/>
        </w:rPr>
        <w:t>La</w:t>
      </w:r>
      <w:r w:rsidR="003F703A" w:rsidRPr="00861646">
        <w:rPr>
          <w:rFonts w:ascii="Times New Roman" w:hAnsi="Times New Roman" w:cs="Times New Roman"/>
          <w:sz w:val="28"/>
          <w:szCs w:val="28"/>
        </w:rPr>
        <w:t xml:space="preserve"> dimensione contrattuale, e dunque consensuale, di una concessione</w:t>
      </w:r>
      <w:r w:rsidR="002A4472" w:rsidRPr="00861646">
        <w:rPr>
          <w:rFonts w:ascii="Times New Roman" w:hAnsi="Times New Roman" w:cs="Times New Roman"/>
          <w:sz w:val="28"/>
          <w:szCs w:val="28"/>
        </w:rPr>
        <w:t>, nella specie</w:t>
      </w:r>
      <w:r w:rsidR="003F703A" w:rsidRPr="00861646">
        <w:rPr>
          <w:rFonts w:ascii="Times New Roman" w:hAnsi="Times New Roman" w:cs="Times New Roman"/>
          <w:sz w:val="28"/>
          <w:szCs w:val="28"/>
        </w:rPr>
        <w:t xml:space="preserve"> di occupazione del demanio pubblico</w:t>
      </w:r>
      <w:r w:rsidR="002A4472" w:rsidRPr="00861646">
        <w:rPr>
          <w:rFonts w:ascii="Times New Roman" w:hAnsi="Times New Roman" w:cs="Times New Roman"/>
          <w:sz w:val="28"/>
          <w:szCs w:val="28"/>
        </w:rPr>
        <w:t>,</w:t>
      </w:r>
      <w:r w:rsidR="003F703A" w:rsidRPr="00861646">
        <w:rPr>
          <w:rFonts w:ascii="Times New Roman" w:hAnsi="Times New Roman" w:cs="Times New Roman"/>
          <w:sz w:val="28"/>
          <w:szCs w:val="28"/>
        </w:rPr>
        <w:t xml:space="preserve"> si estrinseca </w:t>
      </w:r>
      <w:r w:rsidR="00567B19" w:rsidRPr="00861646">
        <w:rPr>
          <w:rFonts w:ascii="Times New Roman" w:hAnsi="Times New Roman" w:cs="Times New Roman"/>
          <w:sz w:val="28"/>
          <w:szCs w:val="28"/>
        </w:rPr>
        <w:t xml:space="preserve">infatti </w:t>
      </w:r>
      <w:r w:rsidR="003F703A" w:rsidRPr="00861646">
        <w:rPr>
          <w:rFonts w:ascii="Times New Roman" w:hAnsi="Times New Roman" w:cs="Times New Roman"/>
          <w:sz w:val="28"/>
          <w:szCs w:val="28"/>
        </w:rPr>
        <w:t xml:space="preserve">nella piena consapevolezza </w:t>
      </w:r>
      <w:r w:rsidR="003F703A" w:rsidRPr="00861646">
        <w:rPr>
          <w:rFonts w:ascii="Times New Roman" w:hAnsi="Times New Roman" w:cs="Times New Roman"/>
          <w:i/>
          <w:iCs/>
          <w:sz w:val="28"/>
          <w:szCs w:val="28"/>
        </w:rPr>
        <w:t>ab origine</w:t>
      </w:r>
      <w:r w:rsidR="003F703A" w:rsidRPr="00861646">
        <w:rPr>
          <w:rFonts w:ascii="Times New Roman" w:hAnsi="Times New Roman" w:cs="Times New Roman"/>
          <w:sz w:val="28"/>
          <w:szCs w:val="28"/>
        </w:rPr>
        <w:t xml:space="preserve"> degli esiti delle costruzioni su suolo demaniale, </w:t>
      </w:r>
      <w:r w:rsidR="002A4472" w:rsidRPr="00861646">
        <w:rPr>
          <w:rFonts w:ascii="Times New Roman" w:hAnsi="Times New Roman" w:cs="Times New Roman"/>
          <w:sz w:val="28"/>
          <w:szCs w:val="28"/>
        </w:rPr>
        <w:t xml:space="preserve">e dunque nella possibilità di deroga pattizia agli stessi. </w:t>
      </w:r>
      <w:r w:rsidR="00DE2213" w:rsidRPr="00861646">
        <w:rPr>
          <w:rFonts w:ascii="Times New Roman" w:hAnsi="Times New Roman" w:cs="Times New Roman"/>
          <w:sz w:val="28"/>
          <w:szCs w:val="28"/>
        </w:rPr>
        <w:t xml:space="preserve">Ed è in ragione di tale piena consapevolezza che le parti possono decidere preventivamente in base alla convenienza reciproca quale sorte riservare a manufatti e strutture delle quali si valuta l’utilità, originaria e postuma. L’art. 49 del Codice della navigazione, dunque, complessivamente </w:t>
      </w:r>
      <w:r w:rsidR="003F703A" w:rsidRPr="00861646">
        <w:rPr>
          <w:rFonts w:ascii="Times New Roman" w:hAnsi="Times New Roman" w:cs="Times New Roman"/>
          <w:sz w:val="28"/>
          <w:szCs w:val="28"/>
        </w:rPr>
        <w:t xml:space="preserve">non tocca </w:t>
      </w:r>
      <w:r w:rsidR="003F703A" w:rsidRPr="00861646">
        <w:rPr>
          <w:rFonts w:ascii="Times New Roman" w:hAnsi="Times New Roman" w:cs="Times New Roman"/>
          <w:i/>
          <w:iCs/>
          <w:sz w:val="28"/>
          <w:szCs w:val="28"/>
        </w:rPr>
        <w:t>ex se</w:t>
      </w:r>
      <w:r w:rsidR="003F703A" w:rsidRPr="00861646">
        <w:rPr>
          <w:rFonts w:ascii="Times New Roman" w:hAnsi="Times New Roman" w:cs="Times New Roman"/>
          <w:sz w:val="28"/>
          <w:szCs w:val="28"/>
        </w:rPr>
        <w:t xml:space="preserve"> </w:t>
      </w:r>
      <w:r w:rsidR="00B21684" w:rsidRPr="00861646">
        <w:rPr>
          <w:rFonts w:ascii="Times New Roman" w:hAnsi="Times New Roman" w:cs="Times New Roman"/>
          <w:sz w:val="28"/>
          <w:szCs w:val="28"/>
        </w:rPr>
        <w:t xml:space="preserve">le condizioni per lo </w:t>
      </w:r>
      <w:r w:rsidR="003F703A" w:rsidRPr="00861646">
        <w:rPr>
          <w:rFonts w:ascii="Times New Roman" w:hAnsi="Times New Roman" w:cs="Times New Roman"/>
          <w:sz w:val="28"/>
          <w:szCs w:val="28"/>
        </w:rPr>
        <w:t>“</w:t>
      </w:r>
      <w:r w:rsidR="00B21684" w:rsidRPr="00861646">
        <w:rPr>
          <w:rFonts w:ascii="Times New Roman" w:hAnsi="Times New Roman" w:cs="Times New Roman"/>
          <w:sz w:val="28"/>
          <w:szCs w:val="28"/>
        </w:rPr>
        <w:t>stabilimento</w:t>
      </w:r>
      <w:r w:rsidR="003F703A" w:rsidRPr="00861646">
        <w:rPr>
          <w:rFonts w:ascii="Times New Roman" w:hAnsi="Times New Roman" w:cs="Times New Roman"/>
          <w:sz w:val="28"/>
          <w:szCs w:val="28"/>
        </w:rPr>
        <w:t>”</w:t>
      </w:r>
      <w:r w:rsidR="00B21684" w:rsidRPr="00861646">
        <w:rPr>
          <w:rFonts w:ascii="Times New Roman" w:hAnsi="Times New Roman" w:cs="Times New Roman"/>
          <w:sz w:val="28"/>
          <w:szCs w:val="28"/>
        </w:rPr>
        <w:t xml:space="preserve"> dei concessionari autorizzati a gestire un</w:t>
      </w:r>
      <w:r w:rsidR="002A4472" w:rsidRPr="00861646">
        <w:rPr>
          <w:rFonts w:ascii="Times New Roman" w:hAnsi="Times New Roman" w:cs="Times New Roman"/>
          <w:sz w:val="28"/>
          <w:szCs w:val="28"/>
        </w:rPr>
        <w:t>’</w:t>
      </w:r>
      <w:r w:rsidR="00B21684" w:rsidRPr="00861646">
        <w:rPr>
          <w:rFonts w:ascii="Times New Roman" w:hAnsi="Times New Roman" w:cs="Times New Roman"/>
          <w:sz w:val="28"/>
          <w:szCs w:val="28"/>
        </w:rPr>
        <w:t>attività turistico-ricreativa sul demanio pubblico marittimo italiano</w:t>
      </w:r>
      <w:r w:rsidR="002A4472" w:rsidRPr="00861646">
        <w:rPr>
          <w:rFonts w:ascii="Times New Roman" w:hAnsi="Times New Roman" w:cs="Times New Roman"/>
          <w:sz w:val="28"/>
          <w:szCs w:val="28"/>
        </w:rPr>
        <w:t xml:space="preserve">. Essa riguarda piuttosto la </w:t>
      </w:r>
      <w:r w:rsidR="003F703A" w:rsidRPr="00861646">
        <w:rPr>
          <w:rFonts w:ascii="Times New Roman" w:hAnsi="Times New Roman" w:cs="Times New Roman"/>
          <w:sz w:val="28"/>
          <w:szCs w:val="28"/>
        </w:rPr>
        <w:t xml:space="preserve">disciplina </w:t>
      </w:r>
      <w:r w:rsidR="002A4472" w:rsidRPr="00861646">
        <w:rPr>
          <w:rFonts w:ascii="Times New Roman" w:hAnsi="Times New Roman" w:cs="Times New Roman"/>
          <w:sz w:val="28"/>
          <w:szCs w:val="28"/>
        </w:rPr>
        <w:t>de</w:t>
      </w:r>
      <w:r w:rsidR="003F703A" w:rsidRPr="00861646">
        <w:rPr>
          <w:rFonts w:ascii="Times New Roman" w:hAnsi="Times New Roman" w:cs="Times New Roman"/>
          <w:sz w:val="28"/>
          <w:szCs w:val="28"/>
        </w:rPr>
        <w:t xml:space="preserve">gli effetti sullo stato dei luoghi </w:t>
      </w:r>
      <w:r w:rsidR="00567B19" w:rsidRPr="00861646">
        <w:rPr>
          <w:rFonts w:ascii="Times New Roman" w:hAnsi="Times New Roman" w:cs="Times New Roman"/>
          <w:sz w:val="28"/>
          <w:szCs w:val="28"/>
        </w:rPr>
        <w:t>de</w:t>
      </w:r>
      <w:r w:rsidR="00B21684" w:rsidRPr="00861646">
        <w:rPr>
          <w:rFonts w:ascii="Times New Roman" w:hAnsi="Times New Roman" w:cs="Times New Roman"/>
          <w:sz w:val="28"/>
          <w:szCs w:val="28"/>
        </w:rPr>
        <w:t>lla scadenza della concessione</w:t>
      </w:r>
      <w:r w:rsidR="003F703A" w:rsidRPr="00861646">
        <w:rPr>
          <w:rFonts w:ascii="Times New Roman" w:hAnsi="Times New Roman" w:cs="Times New Roman"/>
          <w:sz w:val="28"/>
          <w:szCs w:val="28"/>
        </w:rPr>
        <w:t>, prevedendo che</w:t>
      </w:r>
      <w:r w:rsidR="002A4472" w:rsidRPr="00861646">
        <w:rPr>
          <w:rFonts w:ascii="Times New Roman" w:hAnsi="Times New Roman" w:cs="Times New Roman"/>
          <w:sz w:val="28"/>
          <w:szCs w:val="28"/>
        </w:rPr>
        <w:t>,</w:t>
      </w:r>
      <w:r w:rsidR="003F703A" w:rsidRPr="00861646">
        <w:rPr>
          <w:rFonts w:ascii="Times New Roman" w:hAnsi="Times New Roman" w:cs="Times New Roman"/>
          <w:sz w:val="28"/>
          <w:szCs w:val="28"/>
        </w:rPr>
        <w:t xml:space="preserve"> </w:t>
      </w:r>
      <w:r w:rsidR="00B21684" w:rsidRPr="00861646">
        <w:rPr>
          <w:rFonts w:ascii="Times New Roman" w:hAnsi="Times New Roman" w:cs="Times New Roman"/>
          <w:sz w:val="28"/>
          <w:szCs w:val="28"/>
        </w:rPr>
        <w:t>salvo che sia diversamente stabilito nell</w:t>
      </w:r>
      <w:r w:rsidR="002A4472" w:rsidRPr="00861646">
        <w:rPr>
          <w:rFonts w:ascii="Times New Roman" w:hAnsi="Times New Roman" w:cs="Times New Roman"/>
          <w:sz w:val="28"/>
          <w:szCs w:val="28"/>
        </w:rPr>
        <w:t>’</w:t>
      </w:r>
      <w:r w:rsidR="00B21684" w:rsidRPr="00861646">
        <w:rPr>
          <w:rFonts w:ascii="Times New Roman" w:hAnsi="Times New Roman" w:cs="Times New Roman"/>
          <w:sz w:val="28"/>
          <w:szCs w:val="28"/>
        </w:rPr>
        <w:t>atto di concessione, le opere non amovibili costruite dal concessionario s</w:t>
      </w:r>
      <w:r w:rsidR="00567B19" w:rsidRPr="00861646">
        <w:rPr>
          <w:rFonts w:ascii="Times New Roman" w:hAnsi="Times New Roman" w:cs="Times New Roman"/>
          <w:sz w:val="28"/>
          <w:szCs w:val="28"/>
        </w:rPr>
        <w:t xml:space="preserve">iano </w:t>
      </w:r>
      <w:r w:rsidR="00B21684" w:rsidRPr="00861646">
        <w:rPr>
          <w:rFonts w:ascii="Times New Roman" w:hAnsi="Times New Roman" w:cs="Times New Roman"/>
          <w:sz w:val="28"/>
          <w:szCs w:val="28"/>
        </w:rPr>
        <w:t xml:space="preserve">incamerate immediatamente e senza compensazione finanziaria nel demanio pubblico marittimo. </w:t>
      </w:r>
      <w:r w:rsidR="00567B19" w:rsidRPr="00861646">
        <w:rPr>
          <w:rFonts w:ascii="Times New Roman" w:hAnsi="Times New Roman" w:cs="Times New Roman"/>
          <w:sz w:val="28"/>
          <w:szCs w:val="28"/>
        </w:rPr>
        <w:t>La</w:t>
      </w:r>
      <w:r w:rsidR="00B21684" w:rsidRPr="00861646">
        <w:rPr>
          <w:rFonts w:ascii="Times New Roman" w:hAnsi="Times New Roman" w:cs="Times New Roman"/>
          <w:sz w:val="28"/>
          <w:szCs w:val="28"/>
        </w:rPr>
        <w:t xml:space="preserve"> previsione </w:t>
      </w:r>
      <w:r w:rsidR="003F703A" w:rsidRPr="00861646">
        <w:rPr>
          <w:rFonts w:ascii="Times New Roman" w:hAnsi="Times New Roman" w:cs="Times New Roman"/>
          <w:sz w:val="28"/>
          <w:szCs w:val="28"/>
        </w:rPr>
        <w:t xml:space="preserve">trova la sua ragion d’essere nell’intrinseca natura dei beni demaniali, che in quanto </w:t>
      </w:r>
      <w:r w:rsidR="00D7038B" w:rsidRPr="00861646">
        <w:rPr>
          <w:rFonts w:ascii="Times New Roman" w:hAnsi="Times New Roman" w:cs="Times New Roman"/>
          <w:sz w:val="28"/>
          <w:szCs w:val="28"/>
        </w:rPr>
        <w:t xml:space="preserve">appartenenti alla collettività sono </w:t>
      </w:r>
      <w:r w:rsidR="003F703A" w:rsidRPr="00861646">
        <w:rPr>
          <w:rFonts w:ascii="Times New Roman" w:hAnsi="Times New Roman" w:cs="Times New Roman"/>
          <w:sz w:val="28"/>
          <w:szCs w:val="28"/>
        </w:rPr>
        <w:t xml:space="preserve">inalienabili </w:t>
      </w:r>
      <w:r w:rsidR="00D7038B" w:rsidRPr="00861646">
        <w:rPr>
          <w:rFonts w:ascii="Times New Roman" w:hAnsi="Times New Roman" w:cs="Times New Roman"/>
          <w:sz w:val="28"/>
          <w:szCs w:val="28"/>
        </w:rPr>
        <w:t xml:space="preserve">e </w:t>
      </w:r>
      <w:r w:rsidR="003F703A" w:rsidRPr="00861646">
        <w:rPr>
          <w:rFonts w:ascii="Times New Roman" w:hAnsi="Times New Roman" w:cs="Times New Roman"/>
          <w:sz w:val="28"/>
          <w:szCs w:val="28"/>
        </w:rPr>
        <w:t xml:space="preserve">tollerano solo occupazioni di carattere precario, vale a dire di </w:t>
      </w:r>
      <w:r w:rsidR="00721F0C" w:rsidRPr="00861646">
        <w:rPr>
          <w:rFonts w:ascii="Times New Roman" w:hAnsi="Times New Roman" w:cs="Times New Roman"/>
          <w:sz w:val="28"/>
          <w:szCs w:val="28"/>
        </w:rPr>
        <w:t>durata determinata</w:t>
      </w:r>
      <w:r w:rsidR="00D7038B" w:rsidRPr="00861646">
        <w:rPr>
          <w:rFonts w:ascii="Times New Roman" w:hAnsi="Times New Roman" w:cs="Times New Roman"/>
          <w:sz w:val="28"/>
          <w:szCs w:val="28"/>
        </w:rPr>
        <w:t xml:space="preserve">. </w:t>
      </w:r>
      <w:r w:rsidR="003F703A" w:rsidRPr="00861646">
        <w:rPr>
          <w:rFonts w:ascii="Times New Roman" w:hAnsi="Times New Roman" w:cs="Times New Roman"/>
          <w:sz w:val="28"/>
          <w:szCs w:val="28"/>
        </w:rPr>
        <w:t>«</w:t>
      </w:r>
      <w:r w:rsidR="00721F0C" w:rsidRPr="00861646">
        <w:rPr>
          <w:rFonts w:ascii="Times New Roman" w:hAnsi="Times New Roman" w:cs="Times New Roman"/>
          <w:i/>
          <w:iCs/>
          <w:sz w:val="28"/>
          <w:szCs w:val="28"/>
        </w:rPr>
        <w:t>Ne consegue che l</w:t>
      </w:r>
      <w:r w:rsidR="00D7038B" w:rsidRPr="00861646">
        <w:rPr>
          <w:rFonts w:ascii="Times New Roman" w:hAnsi="Times New Roman" w:cs="Times New Roman"/>
          <w:i/>
          <w:iCs/>
          <w:sz w:val="28"/>
          <w:szCs w:val="28"/>
        </w:rPr>
        <w:t>’</w:t>
      </w:r>
      <w:r w:rsidR="00721F0C" w:rsidRPr="00861646">
        <w:rPr>
          <w:rFonts w:ascii="Times New Roman" w:hAnsi="Times New Roman" w:cs="Times New Roman"/>
          <w:i/>
          <w:iCs/>
          <w:sz w:val="28"/>
          <w:szCs w:val="28"/>
        </w:rPr>
        <w:t>acquisizione immediata, gratuita e senza indennizzo delle opere non amovibili costruite dal concessionario su tale demanio non può essere considerata come una modalità di cessione forzosa delle opere suddette</w:t>
      </w:r>
      <w:r w:rsidR="003F703A" w:rsidRPr="00861646">
        <w:rPr>
          <w:rFonts w:ascii="Times New Roman" w:hAnsi="Times New Roman" w:cs="Times New Roman"/>
          <w:sz w:val="28"/>
          <w:szCs w:val="28"/>
        </w:rPr>
        <w:t>», in quanto basata, appunto, sull’accordo preventivo tra le parti</w:t>
      </w:r>
      <w:r w:rsidR="00721F0C" w:rsidRPr="00861646">
        <w:rPr>
          <w:rFonts w:ascii="Times New Roman" w:hAnsi="Times New Roman" w:cs="Times New Roman"/>
          <w:sz w:val="28"/>
          <w:szCs w:val="28"/>
        </w:rPr>
        <w:t>.</w:t>
      </w:r>
      <w:r w:rsidR="003F703A" w:rsidRPr="00861646">
        <w:rPr>
          <w:rFonts w:ascii="Times New Roman" w:hAnsi="Times New Roman" w:cs="Times New Roman"/>
          <w:sz w:val="28"/>
          <w:szCs w:val="28"/>
        </w:rPr>
        <w:t xml:space="preserve"> </w:t>
      </w:r>
      <w:r w:rsidR="00D7038B" w:rsidRPr="00861646">
        <w:rPr>
          <w:rFonts w:ascii="Times New Roman" w:hAnsi="Times New Roman" w:cs="Times New Roman"/>
          <w:sz w:val="28"/>
          <w:szCs w:val="28"/>
        </w:rPr>
        <w:t xml:space="preserve">Quando il concessionario firma l’atto di concessione, accetta consapevolmente la clausola in forza della quale, a fronte del diritto di sfruttare economicamente una spiaggia pubblica per un determinato numero di anni, la controprestazione finale sarà la cessione allo Stato delle </w:t>
      </w:r>
      <w:r w:rsidR="00861646" w:rsidRPr="00861646">
        <w:rPr>
          <w:rFonts w:ascii="Times New Roman" w:hAnsi="Times New Roman" w:cs="Times New Roman"/>
          <w:sz w:val="28"/>
          <w:szCs w:val="28"/>
        </w:rPr>
        <w:t xml:space="preserve">opere </w:t>
      </w:r>
      <w:r w:rsidR="00D7038B" w:rsidRPr="00861646">
        <w:rPr>
          <w:rFonts w:ascii="Times New Roman" w:hAnsi="Times New Roman" w:cs="Times New Roman"/>
          <w:sz w:val="28"/>
          <w:szCs w:val="28"/>
        </w:rPr>
        <w:t xml:space="preserve">non amovibili che deciderà di costruire. Da qui la ribadita </w:t>
      </w:r>
      <w:r w:rsidR="003F703A" w:rsidRPr="00861646">
        <w:rPr>
          <w:rFonts w:ascii="Times New Roman" w:hAnsi="Times New Roman" w:cs="Times New Roman"/>
          <w:sz w:val="28"/>
          <w:szCs w:val="28"/>
        </w:rPr>
        <w:t xml:space="preserve">neutralità </w:t>
      </w:r>
      <w:r w:rsidR="00D7038B" w:rsidRPr="00861646">
        <w:rPr>
          <w:rFonts w:ascii="Times New Roman" w:hAnsi="Times New Roman" w:cs="Times New Roman"/>
          <w:sz w:val="28"/>
          <w:szCs w:val="28"/>
        </w:rPr>
        <w:t xml:space="preserve">- coerente con gli approdi della giurisprudenza amministrativa - </w:t>
      </w:r>
      <w:r w:rsidR="003F703A" w:rsidRPr="00861646">
        <w:rPr>
          <w:rFonts w:ascii="Times New Roman" w:hAnsi="Times New Roman" w:cs="Times New Roman"/>
          <w:sz w:val="28"/>
          <w:szCs w:val="28"/>
        </w:rPr>
        <w:t>della circostanza che si tratti di un rinnovo o della prima attribuzione di una concessione</w:t>
      </w:r>
      <w:r w:rsidR="00D7038B" w:rsidRPr="00861646">
        <w:rPr>
          <w:rFonts w:ascii="Times New Roman" w:hAnsi="Times New Roman" w:cs="Times New Roman"/>
          <w:sz w:val="28"/>
          <w:szCs w:val="28"/>
        </w:rPr>
        <w:t xml:space="preserve">: </w:t>
      </w:r>
      <w:r w:rsidR="003F703A" w:rsidRPr="00861646">
        <w:rPr>
          <w:rFonts w:ascii="Times New Roman" w:hAnsi="Times New Roman" w:cs="Times New Roman"/>
          <w:sz w:val="28"/>
          <w:szCs w:val="28"/>
        </w:rPr>
        <w:t>«</w:t>
      </w:r>
      <w:r w:rsidR="003F703A" w:rsidRPr="00861646">
        <w:rPr>
          <w:rFonts w:ascii="Times New Roman" w:hAnsi="Times New Roman" w:cs="Times New Roman"/>
          <w:i/>
          <w:iCs/>
          <w:sz w:val="28"/>
          <w:szCs w:val="28"/>
        </w:rPr>
        <w:t>A questo proposito, è sufficiente constatare che il rinnovo di una concessione di occupazione del demanio pubblico si traduce nella successione di due titoli di occupazione di tale demanio e non nella perpetuazione o nella proroga del primo. Tale interpretazione è peraltro idonea a garantire che l'attribuzione di una concessione possa avvenire soltanto all'esito di una procedura concorrenziale che ponga tutti i candidati e gli offerenti su un piede di parità</w:t>
      </w:r>
      <w:r w:rsidR="003F703A" w:rsidRPr="00861646">
        <w:rPr>
          <w:rFonts w:ascii="Times New Roman" w:hAnsi="Times New Roman" w:cs="Times New Roman"/>
          <w:sz w:val="28"/>
          <w:szCs w:val="28"/>
        </w:rPr>
        <w:t>»</w:t>
      </w:r>
      <w:r w:rsidR="00D7038B" w:rsidRPr="00861646">
        <w:rPr>
          <w:rFonts w:ascii="Times New Roman" w:hAnsi="Times New Roman" w:cs="Times New Roman"/>
          <w:sz w:val="28"/>
          <w:szCs w:val="28"/>
        </w:rPr>
        <w:t xml:space="preserve"> § 58)</w:t>
      </w:r>
      <w:r w:rsidR="003F703A" w:rsidRPr="00861646">
        <w:rPr>
          <w:rFonts w:ascii="Times New Roman" w:hAnsi="Times New Roman" w:cs="Times New Roman"/>
          <w:sz w:val="28"/>
          <w:szCs w:val="28"/>
        </w:rPr>
        <w:t xml:space="preserve">. </w:t>
      </w:r>
      <w:r w:rsidR="00D7038B" w:rsidRPr="00861646">
        <w:rPr>
          <w:rFonts w:ascii="Times New Roman" w:hAnsi="Times New Roman" w:cs="Times New Roman"/>
          <w:sz w:val="28"/>
          <w:szCs w:val="28"/>
        </w:rPr>
        <w:t xml:space="preserve">Coerente con gli arresti, anche risalenti, del Consiglio di Stato, è anche la qualificazione </w:t>
      </w:r>
      <w:r w:rsidR="00AB77AE" w:rsidRPr="00861646">
        <w:rPr>
          <w:rFonts w:ascii="Times New Roman" w:hAnsi="Times New Roman" w:cs="Times New Roman"/>
          <w:sz w:val="28"/>
          <w:szCs w:val="28"/>
        </w:rPr>
        <w:t xml:space="preserve">come </w:t>
      </w:r>
      <w:r w:rsidR="00AB77AE" w:rsidRPr="00861646">
        <w:rPr>
          <w:rFonts w:ascii="Arial" w:hAnsi="Arial" w:cs="Arial"/>
          <w:sz w:val="28"/>
          <w:szCs w:val="28"/>
        </w:rPr>
        <w:t>«</w:t>
      </w:r>
      <w:r w:rsidR="00AB77AE" w:rsidRPr="00861646">
        <w:rPr>
          <w:rFonts w:ascii="Times New Roman" w:hAnsi="Times New Roman" w:cs="Times New Roman"/>
          <w:i/>
          <w:iCs/>
          <w:sz w:val="28"/>
          <w:szCs w:val="28"/>
        </w:rPr>
        <w:t>semplice diritto di superficie a carattere transitorio</w:t>
      </w:r>
      <w:r w:rsidR="00AB77AE" w:rsidRPr="00861646">
        <w:rPr>
          <w:rFonts w:ascii="Arial" w:hAnsi="Arial" w:cs="Arial"/>
          <w:sz w:val="28"/>
          <w:szCs w:val="28"/>
        </w:rPr>
        <w:t>»</w:t>
      </w:r>
      <w:r w:rsidR="00AB77AE" w:rsidRPr="00861646">
        <w:rPr>
          <w:rFonts w:ascii="Times New Roman" w:hAnsi="Times New Roman" w:cs="Times New Roman"/>
          <w:sz w:val="28"/>
          <w:szCs w:val="28"/>
        </w:rPr>
        <w:t xml:space="preserve"> </w:t>
      </w:r>
      <w:r w:rsidR="00D7038B" w:rsidRPr="00861646">
        <w:rPr>
          <w:rFonts w:ascii="Times New Roman" w:hAnsi="Times New Roman" w:cs="Times New Roman"/>
          <w:sz w:val="28"/>
          <w:szCs w:val="28"/>
        </w:rPr>
        <w:t xml:space="preserve">di </w:t>
      </w:r>
      <w:r w:rsidR="00AB77AE" w:rsidRPr="00861646">
        <w:rPr>
          <w:rFonts w:ascii="Times New Roman" w:hAnsi="Times New Roman" w:cs="Times New Roman"/>
          <w:sz w:val="28"/>
          <w:szCs w:val="28"/>
        </w:rPr>
        <w:t xml:space="preserve">quello sulle opere non amovibili costruite sul demanio marittimo. </w:t>
      </w:r>
      <w:r w:rsidR="00DE2213" w:rsidRPr="00861646">
        <w:rPr>
          <w:rFonts w:ascii="Times New Roman" w:hAnsi="Times New Roman" w:cs="Times New Roman"/>
          <w:sz w:val="28"/>
          <w:szCs w:val="28"/>
        </w:rPr>
        <w:t xml:space="preserve">Tale aspetto in particolare marca la </w:t>
      </w:r>
      <w:r w:rsidR="00AB77AE" w:rsidRPr="00861646">
        <w:rPr>
          <w:rFonts w:ascii="Times New Roman" w:hAnsi="Times New Roman" w:cs="Times New Roman"/>
          <w:sz w:val="28"/>
          <w:szCs w:val="28"/>
        </w:rPr>
        <w:t xml:space="preserve">differenza </w:t>
      </w:r>
      <w:r w:rsidR="00D7038B" w:rsidRPr="00861646">
        <w:rPr>
          <w:rFonts w:ascii="Times New Roman" w:hAnsi="Times New Roman" w:cs="Times New Roman"/>
          <w:sz w:val="28"/>
          <w:szCs w:val="28"/>
        </w:rPr>
        <w:t xml:space="preserve">tra la situazione esaminata e quella sottesa </w:t>
      </w:r>
      <w:r w:rsidR="00AB77AE" w:rsidRPr="00861646">
        <w:rPr>
          <w:rFonts w:ascii="Times New Roman" w:hAnsi="Times New Roman" w:cs="Times New Roman"/>
          <w:sz w:val="28"/>
          <w:szCs w:val="28"/>
        </w:rPr>
        <w:t xml:space="preserve">alla sentenza del 28 gennaio 2016, Laezza (C-375/14), ove   i concessionari (della gestione dei giochi d’azzardo) utilizzavano, per esercitare la loro attività economica, beni di cui erano realmente proprietari. </w:t>
      </w:r>
      <w:r w:rsidR="00A93995" w:rsidRPr="00861646">
        <w:rPr>
          <w:rFonts w:ascii="Times New Roman" w:hAnsi="Times New Roman" w:cs="Times New Roman"/>
          <w:sz w:val="28"/>
          <w:szCs w:val="28"/>
        </w:rPr>
        <w:t xml:space="preserve">È innegabile, dunque, che la Corte di Giustizia si sia espressa a favore della astratta </w:t>
      </w:r>
      <w:r w:rsidR="001964CE" w:rsidRPr="00861646">
        <w:rPr>
          <w:rFonts w:ascii="Times New Roman" w:hAnsi="Times New Roman" w:cs="Times New Roman"/>
          <w:sz w:val="28"/>
          <w:szCs w:val="28"/>
        </w:rPr>
        <w:t xml:space="preserve">legittimità </w:t>
      </w:r>
      <w:r w:rsidR="003F3E73" w:rsidRPr="00861646">
        <w:rPr>
          <w:rFonts w:ascii="Times New Roman" w:hAnsi="Times New Roman" w:cs="Times New Roman"/>
          <w:sz w:val="28"/>
          <w:szCs w:val="28"/>
        </w:rPr>
        <w:t>dell’indennizzo al concessionario uscente: l</w:t>
      </w:r>
      <w:r w:rsidR="00A93995" w:rsidRPr="00861646">
        <w:rPr>
          <w:rFonts w:ascii="Times New Roman" w:hAnsi="Times New Roman" w:cs="Times New Roman"/>
          <w:sz w:val="28"/>
          <w:szCs w:val="28"/>
        </w:rPr>
        <w:t xml:space="preserve">a ritenuta compatibilità col diritto </w:t>
      </w:r>
      <w:proofErr w:type="spellStart"/>
      <w:r w:rsidR="00A93995" w:rsidRPr="00861646">
        <w:rPr>
          <w:rFonts w:ascii="Times New Roman" w:hAnsi="Times New Roman" w:cs="Times New Roman"/>
          <w:sz w:val="28"/>
          <w:szCs w:val="28"/>
        </w:rPr>
        <w:t>unionale</w:t>
      </w:r>
      <w:proofErr w:type="spellEnd"/>
      <w:r w:rsidR="00A93995" w:rsidRPr="00861646">
        <w:rPr>
          <w:rFonts w:ascii="Times New Roman" w:hAnsi="Times New Roman" w:cs="Times New Roman"/>
          <w:sz w:val="28"/>
          <w:szCs w:val="28"/>
        </w:rPr>
        <w:t xml:space="preserve"> della possibilità, contenuta nell</w:t>
      </w:r>
      <w:r w:rsidR="003F3E73" w:rsidRPr="00861646">
        <w:rPr>
          <w:rFonts w:ascii="Times New Roman" w:hAnsi="Times New Roman" w:cs="Times New Roman"/>
          <w:sz w:val="28"/>
          <w:szCs w:val="28"/>
        </w:rPr>
        <w:t xml:space="preserve">’articolo 49, primo comma, di derogare per convenzione al principio dell’acquisizione immediata senza alcun indennizzo o rimborso delle opere non amovibili costruite dal concessionario sul demanio pubblico marittimo, </w:t>
      </w:r>
      <w:r w:rsidR="00A93995" w:rsidRPr="00861646">
        <w:rPr>
          <w:rFonts w:ascii="Times New Roman" w:hAnsi="Times New Roman" w:cs="Times New Roman"/>
          <w:sz w:val="28"/>
          <w:szCs w:val="28"/>
        </w:rPr>
        <w:t>implica l’afferma</w:t>
      </w:r>
      <w:r w:rsidR="00F61AC9" w:rsidRPr="00861646">
        <w:rPr>
          <w:rFonts w:ascii="Times New Roman" w:hAnsi="Times New Roman" w:cs="Times New Roman"/>
          <w:sz w:val="28"/>
          <w:szCs w:val="28"/>
        </w:rPr>
        <w:t xml:space="preserve">zione </w:t>
      </w:r>
      <w:r w:rsidR="003F3E73" w:rsidRPr="00861646">
        <w:rPr>
          <w:rFonts w:ascii="Times New Roman" w:hAnsi="Times New Roman" w:cs="Times New Roman"/>
          <w:sz w:val="28"/>
          <w:szCs w:val="28"/>
        </w:rPr>
        <w:t xml:space="preserve">che l’istituto dell’incameramento dei beni inamovibili senza indennizzo non </w:t>
      </w:r>
      <w:r w:rsidR="001964CE" w:rsidRPr="00861646">
        <w:rPr>
          <w:rFonts w:ascii="Times New Roman" w:hAnsi="Times New Roman" w:cs="Times New Roman"/>
          <w:sz w:val="28"/>
          <w:szCs w:val="28"/>
        </w:rPr>
        <w:t xml:space="preserve">sia </w:t>
      </w:r>
      <w:r w:rsidR="003F3E73" w:rsidRPr="00861646">
        <w:rPr>
          <w:rFonts w:ascii="Times New Roman" w:hAnsi="Times New Roman" w:cs="Times New Roman"/>
          <w:sz w:val="28"/>
          <w:szCs w:val="28"/>
        </w:rPr>
        <w:t>di derivazione europea</w:t>
      </w:r>
      <w:r w:rsidR="001964CE" w:rsidRPr="00861646">
        <w:rPr>
          <w:rFonts w:ascii="Times New Roman" w:hAnsi="Times New Roman" w:cs="Times New Roman"/>
          <w:i/>
          <w:iCs/>
          <w:sz w:val="28"/>
          <w:szCs w:val="28"/>
        </w:rPr>
        <w:t>.</w:t>
      </w:r>
      <w:r w:rsidR="00F61AC9" w:rsidRPr="00861646">
        <w:rPr>
          <w:rFonts w:ascii="Times New Roman" w:hAnsi="Times New Roman" w:cs="Times New Roman"/>
          <w:sz w:val="28"/>
          <w:szCs w:val="28"/>
        </w:rPr>
        <w:t xml:space="preserve"> </w:t>
      </w:r>
      <w:r w:rsidR="00DE2213" w:rsidRPr="00861646">
        <w:rPr>
          <w:rFonts w:ascii="Times New Roman" w:hAnsi="Times New Roman" w:cs="Times New Roman"/>
          <w:sz w:val="28"/>
          <w:szCs w:val="28"/>
        </w:rPr>
        <w:t>Ma non ci pare se ne possa trarre anche una più ampia legittimazione all</w:t>
      </w:r>
      <w:r w:rsidR="00F61AC9" w:rsidRPr="00861646">
        <w:rPr>
          <w:rFonts w:ascii="Times New Roman" w:hAnsi="Times New Roman" w:cs="Times New Roman"/>
          <w:sz w:val="28"/>
          <w:szCs w:val="28"/>
        </w:rPr>
        <w:t>’introduzione dell’indennizzo come criterio di aggiudicazione</w:t>
      </w:r>
      <w:r w:rsidR="00DE2213" w:rsidRPr="00861646">
        <w:rPr>
          <w:rFonts w:ascii="Times New Roman" w:hAnsi="Times New Roman" w:cs="Times New Roman"/>
          <w:sz w:val="28"/>
          <w:szCs w:val="28"/>
        </w:rPr>
        <w:t xml:space="preserve">. A distanza di pochi mesi, tuttavia, il Governo ha approvato il </w:t>
      </w:r>
      <w:proofErr w:type="spellStart"/>
      <w:r w:rsidR="00DE2213" w:rsidRPr="00861646">
        <w:rPr>
          <w:rFonts w:ascii="Times New Roman" w:hAnsi="Times New Roman" w:cs="Times New Roman"/>
          <w:sz w:val="28"/>
          <w:szCs w:val="28"/>
        </w:rPr>
        <w:t>d.l.</w:t>
      </w:r>
      <w:proofErr w:type="spellEnd"/>
      <w:r w:rsidR="00DE2213" w:rsidRPr="00861646">
        <w:rPr>
          <w:rFonts w:ascii="Times New Roman" w:hAnsi="Times New Roman" w:cs="Times New Roman"/>
          <w:sz w:val="28"/>
          <w:szCs w:val="28"/>
        </w:rPr>
        <w:t xml:space="preserve"> 16 settembre 2024, n. 131, che non sembra tenere nella giusta considerazione i principi affermati in tale pronuncia. Va in verità detto che i</w:t>
      </w:r>
      <w:r w:rsidR="00F61AC9" w:rsidRPr="00861646">
        <w:rPr>
          <w:rFonts w:ascii="Times New Roman" w:hAnsi="Times New Roman" w:cs="Times New Roman"/>
          <w:sz w:val="28"/>
          <w:szCs w:val="28"/>
        </w:rPr>
        <w:t>l Consiglio di Stato, t</w:t>
      </w:r>
      <w:r w:rsidR="00D42F1D" w:rsidRPr="00861646">
        <w:rPr>
          <w:rFonts w:ascii="Times New Roman" w:hAnsi="Times New Roman" w:cs="Times New Roman"/>
          <w:sz w:val="28"/>
          <w:szCs w:val="28"/>
        </w:rPr>
        <w:t xml:space="preserve">irando le fila del complesso procedimento contenzioso sospeso per rimessione della questione alla CGUE, </w:t>
      </w:r>
      <w:r w:rsidR="000B40B6" w:rsidRPr="00861646">
        <w:rPr>
          <w:rFonts w:ascii="Times New Roman" w:hAnsi="Times New Roman" w:cs="Times New Roman"/>
          <w:sz w:val="28"/>
          <w:szCs w:val="28"/>
        </w:rPr>
        <w:t xml:space="preserve">non si è limitato a riconoscere </w:t>
      </w:r>
      <w:r w:rsidR="00D42F1D" w:rsidRPr="00861646">
        <w:rPr>
          <w:rFonts w:ascii="Times New Roman" w:hAnsi="Times New Roman" w:cs="Times New Roman"/>
          <w:sz w:val="28"/>
          <w:szCs w:val="28"/>
        </w:rPr>
        <w:t xml:space="preserve">la possibilità </w:t>
      </w:r>
      <w:r w:rsidR="00F61AC9" w:rsidRPr="00861646">
        <w:rPr>
          <w:rFonts w:ascii="Times New Roman" w:hAnsi="Times New Roman" w:cs="Times New Roman"/>
          <w:sz w:val="28"/>
          <w:szCs w:val="28"/>
        </w:rPr>
        <w:t xml:space="preserve">che le </w:t>
      </w:r>
      <w:r w:rsidR="00D42F1D" w:rsidRPr="00861646">
        <w:rPr>
          <w:rFonts w:ascii="Times New Roman" w:hAnsi="Times New Roman" w:cs="Times New Roman"/>
          <w:sz w:val="28"/>
          <w:szCs w:val="28"/>
        </w:rPr>
        <w:t xml:space="preserve">future gare da espletarsi per l’affidamento delle concessioni demaniali marittime e, quindi, i relativi bandi, </w:t>
      </w:r>
      <w:r w:rsidR="00F61AC9" w:rsidRPr="00861646">
        <w:rPr>
          <w:rFonts w:ascii="Times New Roman" w:hAnsi="Times New Roman" w:cs="Times New Roman"/>
          <w:sz w:val="28"/>
          <w:szCs w:val="28"/>
        </w:rPr>
        <w:t xml:space="preserve">prevedano un indennizzo </w:t>
      </w:r>
      <w:r w:rsidR="00D42F1D" w:rsidRPr="00861646">
        <w:rPr>
          <w:rFonts w:ascii="Times New Roman" w:hAnsi="Times New Roman" w:cs="Times New Roman"/>
          <w:sz w:val="28"/>
          <w:szCs w:val="28"/>
        </w:rPr>
        <w:t>al concessionario uscente</w:t>
      </w:r>
      <w:r w:rsidR="00F61AC9" w:rsidRPr="00861646">
        <w:rPr>
          <w:rFonts w:ascii="Times New Roman" w:hAnsi="Times New Roman" w:cs="Times New Roman"/>
          <w:sz w:val="28"/>
          <w:szCs w:val="28"/>
        </w:rPr>
        <w:t xml:space="preserve"> (Cons. Stato, sez. VII, 14 ottobre 2025, n. 8024). Esso si è spinto fino a legittimare in qualche modo la (in verità discutibile) scelta del legislatore del 2024</w:t>
      </w:r>
      <w:r w:rsidR="000B40B6" w:rsidRPr="00861646">
        <w:rPr>
          <w:rFonts w:ascii="Times New Roman" w:hAnsi="Times New Roman" w:cs="Times New Roman"/>
          <w:sz w:val="28"/>
          <w:szCs w:val="28"/>
        </w:rPr>
        <w:t xml:space="preserve">, richiamando finanche l’ </w:t>
      </w:r>
      <w:r w:rsidR="000B40B6" w:rsidRPr="00861646">
        <w:rPr>
          <w:rFonts w:ascii="Arial" w:hAnsi="Arial" w:cs="Arial"/>
          <w:sz w:val="28"/>
          <w:szCs w:val="28"/>
        </w:rPr>
        <w:t>«</w:t>
      </w:r>
      <w:r w:rsidR="000B40B6" w:rsidRPr="00861646">
        <w:rPr>
          <w:rFonts w:ascii="Times New Roman" w:hAnsi="Times New Roman" w:cs="Times New Roman"/>
          <w:i/>
          <w:iCs/>
          <w:sz w:val="28"/>
          <w:szCs w:val="28"/>
        </w:rPr>
        <w:t>equa remunerazione</w:t>
      </w:r>
      <w:r w:rsidR="000B40B6" w:rsidRPr="00861646">
        <w:rPr>
          <w:rFonts w:ascii="Arial" w:hAnsi="Arial" w:cs="Arial"/>
          <w:sz w:val="28"/>
          <w:szCs w:val="28"/>
        </w:rPr>
        <w:t>»</w:t>
      </w:r>
      <w:r w:rsidR="000B40B6" w:rsidRPr="00861646">
        <w:rPr>
          <w:rFonts w:ascii="Times New Roman" w:hAnsi="Times New Roman" w:cs="Times New Roman"/>
          <w:sz w:val="28"/>
          <w:szCs w:val="28"/>
        </w:rPr>
        <w:t>, oltre che il principio più generale ivi affermat</w:t>
      </w:r>
      <w:r w:rsidR="00861646" w:rsidRPr="00861646">
        <w:rPr>
          <w:rFonts w:ascii="Times New Roman" w:hAnsi="Times New Roman" w:cs="Times New Roman"/>
          <w:sz w:val="28"/>
          <w:szCs w:val="28"/>
        </w:rPr>
        <w:t>o</w:t>
      </w:r>
      <w:r w:rsidR="000B40B6" w:rsidRPr="00861646">
        <w:rPr>
          <w:rFonts w:ascii="Times New Roman" w:hAnsi="Times New Roman" w:cs="Times New Roman"/>
          <w:sz w:val="28"/>
          <w:szCs w:val="28"/>
        </w:rPr>
        <w:t xml:space="preserve"> che pone </w:t>
      </w:r>
      <w:r w:rsidR="00D42F1D" w:rsidRPr="00861646">
        <w:rPr>
          <w:rFonts w:ascii="Arial" w:hAnsi="Arial" w:cs="Arial"/>
          <w:sz w:val="28"/>
          <w:szCs w:val="28"/>
        </w:rPr>
        <w:t>«</w:t>
      </w:r>
      <w:r w:rsidR="00F61AC9" w:rsidRPr="00861646">
        <w:rPr>
          <w:rFonts w:ascii="Arial" w:hAnsi="Arial" w:cs="Arial"/>
          <w:sz w:val="28"/>
          <w:szCs w:val="28"/>
        </w:rPr>
        <w:t xml:space="preserve">[…] </w:t>
      </w:r>
      <w:r w:rsidR="00D42F1D" w:rsidRPr="00861646">
        <w:rPr>
          <w:rFonts w:ascii="Times New Roman" w:hAnsi="Times New Roman" w:cs="Times New Roman"/>
          <w:i/>
          <w:iCs/>
          <w:sz w:val="28"/>
          <w:szCs w:val="28"/>
        </w:rPr>
        <w:t>a carico di quello subentrante l’equa remunerazione degli investimenti effettuati per le opere installate sul demanio marittimo, nel caso vi siano investimenti non ammortizzati e per la sola parte non ammortizzata mediante l’attività economica svolta sull’area demaniale in concessione</w:t>
      </w:r>
      <w:r w:rsidR="00F61AC9" w:rsidRPr="00861646">
        <w:rPr>
          <w:rFonts w:ascii="Arial" w:hAnsi="Arial" w:cs="Arial"/>
          <w:i/>
          <w:iCs/>
          <w:sz w:val="28"/>
          <w:szCs w:val="28"/>
        </w:rPr>
        <w:t>»</w:t>
      </w:r>
      <w:r w:rsidR="000B40B6" w:rsidRPr="00861646">
        <w:rPr>
          <w:rFonts w:ascii="Arial" w:hAnsi="Arial" w:cs="Arial"/>
          <w:i/>
          <w:iCs/>
          <w:sz w:val="28"/>
          <w:szCs w:val="28"/>
        </w:rPr>
        <w:t xml:space="preserve">. </w:t>
      </w:r>
      <w:r w:rsidR="000B40B6" w:rsidRPr="00861646">
        <w:rPr>
          <w:rFonts w:ascii="Times New Roman" w:hAnsi="Times New Roman" w:cs="Times New Roman"/>
          <w:sz w:val="28"/>
          <w:szCs w:val="28"/>
        </w:rPr>
        <w:t xml:space="preserve">Ha tuttavia precisato che ciò dovrebbe avvenire </w:t>
      </w:r>
      <w:r w:rsidR="00F61AC9" w:rsidRPr="00861646">
        <w:rPr>
          <w:rFonts w:ascii="Times New Roman" w:hAnsi="Times New Roman" w:cs="Times New Roman"/>
          <w:sz w:val="28"/>
          <w:szCs w:val="28"/>
        </w:rPr>
        <w:t xml:space="preserve">in modo da </w:t>
      </w:r>
      <w:r w:rsidR="00F61AC9" w:rsidRPr="00861646">
        <w:rPr>
          <w:rFonts w:ascii="Arial" w:hAnsi="Arial" w:cs="Arial"/>
          <w:sz w:val="28"/>
          <w:szCs w:val="28"/>
        </w:rPr>
        <w:t>«</w:t>
      </w:r>
      <w:r w:rsidR="00D42F1D" w:rsidRPr="00861646">
        <w:rPr>
          <w:rFonts w:ascii="Times New Roman" w:hAnsi="Times New Roman" w:cs="Times New Roman"/>
          <w:i/>
          <w:iCs/>
          <w:sz w:val="28"/>
          <w:szCs w:val="28"/>
        </w:rPr>
        <w:t>contemperare la libertà di iniziativa economica costituzionalmente tutelata (v. art. 41 Cost.) con l</w:t>
      </w:r>
      <w:r w:rsidR="00F61AC9" w:rsidRPr="00861646">
        <w:rPr>
          <w:rFonts w:ascii="Times New Roman" w:hAnsi="Times New Roman" w:cs="Times New Roman"/>
          <w:i/>
          <w:iCs/>
          <w:sz w:val="28"/>
          <w:szCs w:val="28"/>
        </w:rPr>
        <w:t>’</w:t>
      </w:r>
      <w:r w:rsidR="00D42F1D" w:rsidRPr="00861646">
        <w:rPr>
          <w:rFonts w:ascii="Times New Roman" w:hAnsi="Times New Roman" w:cs="Times New Roman"/>
          <w:i/>
          <w:iCs/>
          <w:sz w:val="28"/>
          <w:szCs w:val="28"/>
        </w:rPr>
        <w:t xml:space="preserve">accesso al mercato degli operatori economici, il quale va favorito dalle pubbliche amministrazioni, nel rispetto dei principi di concorrenza, di imparzialità, di non discriminazione, di pubblicità e trasparenza, di proporzionalità (cfr. art. 3 </w:t>
      </w:r>
      <w:r w:rsidR="00F61AC9" w:rsidRPr="00861646">
        <w:rPr>
          <w:rFonts w:ascii="Times New Roman" w:hAnsi="Times New Roman" w:cs="Times New Roman"/>
          <w:i/>
          <w:iCs/>
          <w:sz w:val="28"/>
          <w:szCs w:val="28"/>
        </w:rPr>
        <w:t>d</w:t>
      </w:r>
      <w:r w:rsidR="00D42F1D" w:rsidRPr="00861646">
        <w:rPr>
          <w:rFonts w:ascii="Times New Roman" w:hAnsi="Times New Roman" w:cs="Times New Roman"/>
          <w:i/>
          <w:iCs/>
          <w:sz w:val="28"/>
          <w:szCs w:val="28"/>
        </w:rPr>
        <w:t>ecreto legislativo 31 marzo 2023, n. 36, Codice dei contratti pubblici, come integrato e modificato dal decreto legislativo 31 dicembre 2024, n. 209)</w:t>
      </w:r>
      <w:r w:rsidR="00D42F1D" w:rsidRPr="00861646">
        <w:rPr>
          <w:rFonts w:ascii="Arial" w:hAnsi="Arial" w:cs="Arial"/>
          <w:sz w:val="28"/>
          <w:szCs w:val="28"/>
        </w:rPr>
        <w:t xml:space="preserve">» </w:t>
      </w:r>
      <w:r w:rsidR="00D42F1D" w:rsidRPr="00861646">
        <w:rPr>
          <w:rFonts w:ascii="Times New Roman" w:hAnsi="Times New Roman" w:cs="Times New Roman"/>
          <w:sz w:val="28"/>
          <w:szCs w:val="28"/>
        </w:rPr>
        <w:t>(§ 16.8 della sentenza n. 8024</w:t>
      </w:r>
      <w:r w:rsidR="00F61AC9" w:rsidRPr="00861646">
        <w:rPr>
          <w:rFonts w:ascii="Times New Roman" w:hAnsi="Times New Roman" w:cs="Times New Roman"/>
          <w:sz w:val="28"/>
          <w:szCs w:val="28"/>
        </w:rPr>
        <w:t xml:space="preserve">/2025). </w:t>
      </w:r>
      <w:r w:rsidR="000B40B6" w:rsidRPr="00861646">
        <w:rPr>
          <w:rFonts w:ascii="Times New Roman" w:hAnsi="Times New Roman" w:cs="Times New Roman"/>
          <w:sz w:val="28"/>
          <w:szCs w:val="28"/>
        </w:rPr>
        <w:t xml:space="preserve">Si ritiene che l’autentico nodo gordiano della vicenda si collochi proprio sul </w:t>
      </w:r>
      <w:proofErr w:type="spellStart"/>
      <w:r w:rsidR="000B40B6" w:rsidRPr="00861646">
        <w:rPr>
          <w:rFonts w:ascii="Times New Roman" w:hAnsi="Times New Roman" w:cs="Times New Roman"/>
          <w:i/>
          <w:iCs/>
          <w:sz w:val="28"/>
          <w:szCs w:val="28"/>
        </w:rPr>
        <w:t>quomodo</w:t>
      </w:r>
      <w:proofErr w:type="spellEnd"/>
      <w:r w:rsidR="000B40B6" w:rsidRPr="00861646">
        <w:rPr>
          <w:rFonts w:ascii="Times New Roman" w:hAnsi="Times New Roman" w:cs="Times New Roman"/>
          <w:i/>
          <w:iCs/>
          <w:sz w:val="28"/>
          <w:szCs w:val="28"/>
        </w:rPr>
        <w:t xml:space="preserve"> </w:t>
      </w:r>
      <w:r w:rsidR="000B40B6" w:rsidRPr="00861646">
        <w:rPr>
          <w:rFonts w:ascii="Times New Roman" w:hAnsi="Times New Roman" w:cs="Times New Roman"/>
          <w:sz w:val="28"/>
          <w:szCs w:val="28"/>
        </w:rPr>
        <w:t xml:space="preserve">dell’indennizzo, non </w:t>
      </w:r>
      <w:proofErr w:type="spellStart"/>
      <w:r w:rsidR="000B40B6" w:rsidRPr="00861646">
        <w:rPr>
          <w:rFonts w:ascii="Times New Roman" w:hAnsi="Times New Roman" w:cs="Times New Roman"/>
          <w:sz w:val="28"/>
          <w:szCs w:val="28"/>
        </w:rPr>
        <w:t>sull’</w:t>
      </w:r>
      <w:r w:rsidR="000B40B6" w:rsidRPr="00861646">
        <w:rPr>
          <w:rFonts w:ascii="Times New Roman" w:hAnsi="Times New Roman" w:cs="Times New Roman"/>
          <w:i/>
          <w:iCs/>
          <w:sz w:val="28"/>
          <w:szCs w:val="28"/>
        </w:rPr>
        <w:t>an</w:t>
      </w:r>
      <w:proofErr w:type="spellEnd"/>
      <w:r w:rsidR="000B40B6" w:rsidRPr="00861646">
        <w:rPr>
          <w:rFonts w:ascii="Times New Roman" w:hAnsi="Times New Roman" w:cs="Times New Roman"/>
          <w:sz w:val="28"/>
          <w:szCs w:val="28"/>
        </w:rPr>
        <w:t xml:space="preserve">: una corretta lettura della pronuncia della CGUE, infatti, sembrerebbe imporne la </w:t>
      </w:r>
      <w:r w:rsidR="00567B19" w:rsidRPr="00861646">
        <w:rPr>
          <w:rFonts w:ascii="Times New Roman" w:hAnsi="Times New Roman" w:cs="Times New Roman"/>
          <w:sz w:val="28"/>
          <w:szCs w:val="28"/>
        </w:rPr>
        <w:t xml:space="preserve">collocazione </w:t>
      </w:r>
      <w:r w:rsidR="000B40B6" w:rsidRPr="00861646">
        <w:rPr>
          <w:rFonts w:ascii="Times New Roman" w:hAnsi="Times New Roman" w:cs="Times New Roman"/>
          <w:sz w:val="28"/>
          <w:szCs w:val="28"/>
        </w:rPr>
        <w:t>n</w:t>
      </w:r>
      <w:r w:rsidR="00D747E8" w:rsidRPr="00861646">
        <w:rPr>
          <w:rFonts w:ascii="Times New Roman" w:hAnsi="Times New Roman" w:cs="Times New Roman"/>
          <w:sz w:val="28"/>
          <w:szCs w:val="28"/>
        </w:rPr>
        <w:t xml:space="preserve">ella sede che gli sarebbe propria, ovvero </w:t>
      </w:r>
      <w:r w:rsidR="00567B19" w:rsidRPr="00861646">
        <w:rPr>
          <w:rFonts w:ascii="Times New Roman" w:hAnsi="Times New Roman" w:cs="Times New Roman"/>
          <w:sz w:val="28"/>
          <w:szCs w:val="28"/>
        </w:rPr>
        <w:t>a</w:t>
      </w:r>
      <w:r w:rsidR="00D747E8" w:rsidRPr="00861646">
        <w:rPr>
          <w:rFonts w:ascii="Times New Roman" w:hAnsi="Times New Roman" w:cs="Times New Roman"/>
          <w:sz w:val="28"/>
          <w:szCs w:val="28"/>
        </w:rPr>
        <w:t xml:space="preserve">l di fuori </w:t>
      </w:r>
      <w:r w:rsidR="00567B19" w:rsidRPr="00861646">
        <w:rPr>
          <w:rFonts w:ascii="Times New Roman" w:hAnsi="Times New Roman" w:cs="Times New Roman"/>
          <w:sz w:val="28"/>
          <w:szCs w:val="28"/>
        </w:rPr>
        <w:t xml:space="preserve">della </w:t>
      </w:r>
      <w:r w:rsidR="00D747E8" w:rsidRPr="00861646">
        <w:rPr>
          <w:rFonts w:ascii="Times New Roman" w:hAnsi="Times New Roman" w:cs="Times New Roman"/>
          <w:sz w:val="28"/>
          <w:szCs w:val="28"/>
        </w:rPr>
        <w:t xml:space="preserve">(nuova) </w:t>
      </w:r>
      <w:r w:rsidR="00567B19" w:rsidRPr="00861646">
        <w:rPr>
          <w:rFonts w:ascii="Times New Roman" w:hAnsi="Times New Roman" w:cs="Times New Roman"/>
          <w:sz w:val="28"/>
          <w:szCs w:val="28"/>
        </w:rPr>
        <w:t xml:space="preserve">procedura evidenziale, </w:t>
      </w:r>
      <w:r w:rsidR="00D747E8" w:rsidRPr="00861646">
        <w:rPr>
          <w:rFonts w:ascii="Times New Roman" w:hAnsi="Times New Roman" w:cs="Times New Roman"/>
          <w:sz w:val="28"/>
          <w:szCs w:val="28"/>
        </w:rPr>
        <w:t xml:space="preserve">in quanto </w:t>
      </w:r>
      <w:r w:rsidR="00567B19" w:rsidRPr="00861646">
        <w:rPr>
          <w:rFonts w:ascii="Times New Roman" w:hAnsi="Times New Roman" w:cs="Times New Roman"/>
          <w:sz w:val="28"/>
          <w:szCs w:val="28"/>
        </w:rPr>
        <w:t>esito dell</w:t>
      </w:r>
      <w:r w:rsidR="00D747E8" w:rsidRPr="00861646">
        <w:rPr>
          <w:rFonts w:ascii="Times New Roman" w:hAnsi="Times New Roman" w:cs="Times New Roman"/>
          <w:sz w:val="28"/>
          <w:szCs w:val="28"/>
        </w:rPr>
        <w:t xml:space="preserve">a precedente </w:t>
      </w:r>
      <w:r w:rsidR="00567B19" w:rsidRPr="00861646">
        <w:rPr>
          <w:rFonts w:ascii="Times New Roman" w:hAnsi="Times New Roman" w:cs="Times New Roman"/>
          <w:sz w:val="28"/>
          <w:szCs w:val="28"/>
        </w:rPr>
        <w:t>concessione</w:t>
      </w:r>
      <w:r w:rsidR="000B40B6" w:rsidRPr="00861646">
        <w:rPr>
          <w:rFonts w:ascii="Times New Roman" w:hAnsi="Times New Roman" w:cs="Times New Roman"/>
          <w:sz w:val="28"/>
          <w:szCs w:val="28"/>
        </w:rPr>
        <w:t xml:space="preserve">, non condizione di efficacia della successiva.  In tale ambito, il ristoro si pone </w:t>
      </w:r>
      <w:r w:rsidR="00D747E8" w:rsidRPr="00861646">
        <w:rPr>
          <w:rFonts w:ascii="Times New Roman" w:hAnsi="Times New Roman" w:cs="Times New Roman"/>
          <w:sz w:val="28"/>
          <w:szCs w:val="28"/>
        </w:rPr>
        <w:t xml:space="preserve">completamente </w:t>
      </w:r>
      <w:r w:rsidR="00567B19" w:rsidRPr="00861646">
        <w:rPr>
          <w:rFonts w:ascii="Times New Roman" w:hAnsi="Times New Roman" w:cs="Times New Roman"/>
          <w:sz w:val="28"/>
          <w:szCs w:val="28"/>
        </w:rPr>
        <w:t>al</w:t>
      </w:r>
      <w:r w:rsidR="000B40B6" w:rsidRPr="00861646">
        <w:rPr>
          <w:rFonts w:ascii="Times New Roman" w:hAnsi="Times New Roman" w:cs="Times New Roman"/>
          <w:sz w:val="28"/>
          <w:szCs w:val="28"/>
        </w:rPr>
        <w:t>l’esterno del</w:t>
      </w:r>
      <w:r w:rsidR="00567B19" w:rsidRPr="00861646">
        <w:rPr>
          <w:rFonts w:ascii="Times New Roman" w:hAnsi="Times New Roman" w:cs="Times New Roman"/>
          <w:sz w:val="28"/>
          <w:szCs w:val="28"/>
        </w:rPr>
        <w:t xml:space="preserve"> focus dei principi </w:t>
      </w:r>
      <w:proofErr w:type="spellStart"/>
      <w:r w:rsidR="00567B19" w:rsidRPr="00861646">
        <w:rPr>
          <w:rFonts w:ascii="Times New Roman" w:hAnsi="Times New Roman" w:cs="Times New Roman"/>
          <w:sz w:val="28"/>
          <w:szCs w:val="28"/>
        </w:rPr>
        <w:t>unionali</w:t>
      </w:r>
      <w:proofErr w:type="spellEnd"/>
      <w:r w:rsidR="00D747E8" w:rsidRPr="00861646">
        <w:rPr>
          <w:rFonts w:ascii="Times New Roman" w:hAnsi="Times New Roman" w:cs="Times New Roman"/>
          <w:sz w:val="28"/>
          <w:szCs w:val="28"/>
        </w:rPr>
        <w:t xml:space="preserve"> di libertà di stabilimento, che afferiscono</w:t>
      </w:r>
      <w:r w:rsidR="000B40B6" w:rsidRPr="00861646">
        <w:rPr>
          <w:rFonts w:ascii="Times New Roman" w:hAnsi="Times New Roman" w:cs="Times New Roman"/>
          <w:sz w:val="28"/>
          <w:szCs w:val="28"/>
        </w:rPr>
        <w:t>, appunto,</w:t>
      </w:r>
      <w:r w:rsidR="00D747E8" w:rsidRPr="00861646">
        <w:rPr>
          <w:rFonts w:ascii="Times New Roman" w:hAnsi="Times New Roman" w:cs="Times New Roman"/>
          <w:sz w:val="28"/>
          <w:szCs w:val="28"/>
        </w:rPr>
        <w:t xml:space="preserve"> alle regole dell’aggiudicazione, non a quelle della </w:t>
      </w:r>
      <w:r w:rsidR="000B40B6" w:rsidRPr="00861646">
        <w:rPr>
          <w:rFonts w:ascii="Times New Roman" w:hAnsi="Times New Roman" w:cs="Times New Roman"/>
          <w:sz w:val="28"/>
          <w:szCs w:val="28"/>
        </w:rPr>
        <w:t>“</w:t>
      </w:r>
      <w:r w:rsidR="00D747E8" w:rsidRPr="00861646">
        <w:rPr>
          <w:rFonts w:ascii="Times New Roman" w:hAnsi="Times New Roman" w:cs="Times New Roman"/>
          <w:sz w:val="28"/>
          <w:szCs w:val="28"/>
        </w:rPr>
        <w:t>liquidazione</w:t>
      </w:r>
      <w:r w:rsidR="000B40B6" w:rsidRPr="00861646">
        <w:rPr>
          <w:rFonts w:ascii="Times New Roman" w:hAnsi="Times New Roman" w:cs="Times New Roman"/>
          <w:sz w:val="28"/>
          <w:szCs w:val="28"/>
        </w:rPr>
        <w:t>”</w:t>
      </w:r>
      <w:r w:rsidR="00D747E8" w:rsidRPr="00861646">
        <w:rPr>
          <w:rFonts w:ascii="Times New Roman" w:hAnsi="Times New Roman" w:cs="Times New Roman"/>
          <w:sz w:val="28"/>
          <w:szCs w:val="28"/>
        </w:rPr>
        <w:t xml:space="preserve"> del</w:t>
      </w:r>
      <w:r w:rsidR="000B40B6" w:rsidRPr="00861646">
        <w:rPr>
          <w:rFonts w:ascii="Times New Roman" w:hAnsi="Times New Roman" w:cs="Times New Roman"/>
          <w:sz w:val="28"/>
          <w:szCs w:val="28"/>
        </w:rPr>
        <w:t>le eventuali spettanze del</w:t>
      </w:r>
      <w:r w:rsidR="00D747E8" w:rsidRPr="00861646">
        <w:rPr>
          <w:rFonts w:ascii="Times New Roman" w:hAnsi="Times New Roman" w:cs="Times New Roman"/>
          <w:sz w:val="28"/>
          <w:szCs w:val="28"/>
        </w:rPr>
        <w:t xml:space="preserve"> soggetto uscente. </w:t>
      </w:r>
      <w:r w:rsidR="000B40B6" w:rsidRPr="00861646">
        <w:rPr>
          <w:rFonts w:ascii="Times New Roman" w:hAnsi="Times New Roman" w:cs="Times New Roman"/>
          <w:sz w:val="28"/>
          <w:szCs w:val="28"/>
        </w:rPr>
        <w:t xml:space="preserve">Assai più problematica pare invece la scelta di far entrare </w:t>
      </w:r>
      <w:r w:rsidR="00D747E8" w:rsidRPr="00861646">
        <w:rPr>
          <w:rFonts w:ascii="Times New Roman" w:hAnsi="Times New Roman" w:cs="Times New Roman"/>
          <w:sz w:val="28"/>
          <w:szCs w:val="28"/>
        </w:rPr>
        <w:t xml:space="preserve">a pieno titolo </w:t>
      </w:r>
      <w:r w:rsidR="000B40B6" w:rsidRPr="00861646">
        <w:rPr>
          <w:rFonts w:ascii="Times New Roman" w:hAnsi="Times New Roman" w:cs="Times New Roman"/>
          <w:sz w:val="28"/>
          <w:szCs w:val="28"/>
        </w:rPr>
        <w:t xml:space="preserve">l’indennizzo </w:t>
      </w:r>
      <w:r w:rsidR="00D747E8" w:rsidRPr="00861646">
        <w:rPr>
          <w:rFonts w:ascii="Times New Roman" w:hAnsi="Times New Roman" w:cs="Times New Roman"/>
          <w:sz w:val="28"/>
          <w:szCs w:val="28"/>
        </w:rPr>
        <w:t xml:space="preserve">tra gli elementi della </w:t>
      </w:r>
      <w:r w:rsidR="00567B19" w:rsidRPr="00861646">
        <w:rPr>
          <w:rFonts w:ascii="Times New Roman" w:hAnsi="Times New Roman" w:cs="Times New Roman"/>
          <w:sz w:val="28"/>
          <w:szCs w:val="28"/>
        </w:rPr>
        <w:t xml:space="preserve">procedura, </w:t>
      </w:r>
      <w:r w:rsidR="000B40B6" w:rsidRPr="00861646">
        <w:rPr>
          <w:rFonts w:ascii="Times New Roman" w:hAnsi="Times New Roman" w:cs="Times New Roman"/>
          <w:sz w:val="28"/>
          <w:szCs w:val="28"/>
        </w:rPr>
        <w:t xml:space="preserve">prevedendo </w:t>
      </w:r>
      <w:r w:rsidR="00D747E8" w:rsidRPr="00861646">
        <w:rPr>
          <w:rFonts w:ascii="Times New Roman" w:hAnsi="Times New Roman" w:cs="Times New Roman"/>
          <w:sz w:val="28"/>
          <w:szCs w:val="28"/>
        </w:rPr>
        <w:t>a</w:t>
      </w:r>
      <w:r w:rsidR="00567B19" w:rsidRPr="00861646">
        <w:rPr>
          <w:rFonts w:ascii="Times New Roman" w:hAnsi="Times New Roman" w:cs="Times New Roman"/>
          <w:sz w:val="28"/>
          <w:szCs w:val="28"/>
        </w:rPr>
        <w:t xml:space="preserve">ddirittura </w:t>
      </w:r>
      <w:r w:rsidR="000B40B6" w:rsidRPr="00861646">
        <w:rPr>
          <w:rFonts w:ascii="Times New Roman" w:hAnsi="Times New Roman" w:cs="Times New Roman"/>
          <w:sz w:val="28"/>
          <w:szCs w:val="28"/>
        </w:rPr>
        <w:t xml:space="preserve">una </w:t>
      </w:r>
      <w:r w:rsidR="00567B19" w:rsidRPr="00861646">
        <w:rPr>
          <w:rFonts w:ascii="Times New Roman" w:hAnsi="Times New Roman" w:cs="Times New Roman"/>
          <w:sz w:val="28"/>
          <w:szCs w:val="28"/>
        </w:rPr>
        <w:t>possibile offerta “al rialzo”</w:t>
      </w:r>
      <w:r w:rsidR="00D747E8" w:rsidRPr="00861646">
        <w:rPr>
          <w:rFonts w:ascii="Times New Roman" w:hAnsi="Times New Roman" w:cs="Times New Roman"/>
          <w:sz w:val="28"/>
          <w:szCs w:val="28"/>
        </w:rPr>
        <w:t xml:space="preserve"> </w:t>
      </w:r>
      <w:r w:rsidR="000B40B6" w:rsidRPr="00861646">
        <w:rPr>
          <w:rFonts w:ascii="Times New Roman" w:hAnsi="Times New Roman" w:cs="Times New Roman"/>
          <w:sz w:val="28"/>
          <w:szCs w:val="28"/>
        </w:rPr>
        <w:t xml:space="preserve">quale </w:t>
      </w:r>
      <w:r w:rsidR="00D747E8" w:rsidRPr="00861646">
        <w:rPr>
          <w:rFonts w:ascii="Times New Roman" w:hAnsi="Times New Roman" w:cs="Times New Roman"/>
          <w:sz w:val="28"/>
          <w:szCs w:val="28"/>
        </w:rPr>
        <w:t>criteri</w:t>
      </w:r>
      <w:r w:rsidR="000B40B6" w:rsidRPr="00861646">
        <w:rPr>
          <w:rFonts w:ascii="Times New Roman" w:hAnsi="Times New Roman" w:cs="Times New Roman"/>
          <w:sz w:val="28"/>
          <w:szCs w:val="28"/>
        </w:rPr>
        <w:t>o</w:t>
      </w:r>
      <w:r w:rsidR="00D747E8" w:rsidRPr="00861646">
        <w:rPr>
          <w:rFonts w:ascii="Times New Roman" w:hAnsi="Times New Roman" w:cs="Times New Roman"/>
          <w:sz w:val="28"/>
          <w:szCs w:val="28"/>
        </w:rPr>
        <w:t xml:space="preserve"> di aggiudicazione</w:t>
      </w:r>
      <w:r w:rsidR="00567B19" w:rsidRPr="00861646">
        <w:rPr>
          <w:rFonts w:ascii="Times New Roman" w:hAnsi="Times New Roman" w:cs="Times New Roman"/>
          <w:sz w:val="28"/>
          <w:szCs w:val="28"/>
        </w:rPr>
        <w:t xml:space="preserve">, </w:t>
      </w:r>
      <w:r w:rsidR="000B40B6" w:rsidRPr="00861646">
        <w:rPr>
          <w:rFonts w:ascii="Times New Roman" w:hAnsi="Times New Roman" w:cs="Times New Roman"/>
          <w:sz w:val="28"/>
          <w:szCs w:val="28"/>
        </w:rPr>
        <w:t xml:space="preserve">nonché, come detto, </w:t>
      </w:r>
      <w:r w:rsidR="00B268DC" w:rsidRPr="00861646">
        <w:rPr>
          <w:rFonts w:ascii="Times New Roman" w:hAnsi="Times New Roman" w:cs="Times New Roman"/>
          <w:sz w:val="28"/>
          <w:szCs w:val="28"/>
        </w:rPr>
        <w:t>condizion</w:t>
      </w:r>
      <w:r w:rsidR="00D747E8" w:rsidRPr="00861646">
        <w:rPr>
          <w:rFonts w:ascii="Times New Roman" w:hAnsi="Times New Roman" w:cs="Times New Roman"/>
          <w:sz w:val="28"/>
          <w:szCs w:val="28"/>
        </w:rPr>
        <w:t xml:space="preserve">ando la </w:t>
      </w:r>
      <w:r w:rsidR="00B268DC" w:rsidRPr="00861646">
        <w:rPr>
          <w:rFonts w:ascii="Times New Roman" w:hAnsi="Times New Roman" w:cs="Times New Roman"/>
          <w:sz w:val="28"/>
          <w:szCs w:val="28"/>
        </w:rPr>
        <w:t>validità della nuova concessione</w:t>
      </w:r>
      <w:r w:rsidR="00D747E8" w:rsidRPr="00861646">
        <w:rPr>
          <w:rFonts w:ascii="Times New Roman" w:hAnsi="Times New Roman" w:cs="Times New Roman"/>
          <w:sz w:val="28"/>
          <w:szCs w:val="28"/>
        </w:rPr>
        <w:t xml:space="preserve"> all’effettivo pagamento delle “spettanze” dell’operatore uscente. I</w:t>
      </w:r>
      <w:r w:rsidR="00B268DC" w:rsidRPr="00861646">
        <w:rPr>
          <w:rFonts w:ascii="Times New Roman" w:hAnsi="Times New Roman" w:cs="Times New Roman"/>
          <w:sz w:val="28"/>
          <w:szCs w:val="28"/>
        </w:rPr>
        <w:t xml:space="preserve"> dubbi di interferenza con le garanzie di </w:t>
      </w:r>
      <w:r w:rsidR="00B268DC" w:rsidRPr="00861646">
        <w:rPr>
          <w:rFonts w:ascii="Times New Roman" w:hAnsi="Times New Roman" w:cs="Times New Roman"/>
          <w:i/>
          <w:iCs/>
          <w:sz w:val="28"/>
          <w:szCs w:val="28"/>
        </w:rPr>
        <w:t xml:space="preserve">par condicio </w:t>
      </w:r>
      <w:proofErr w:type="spellStart"/>
      <w:r w:rsidR="00B268DC" w:rsidRPr="00861646">
        <w:rPr>
          <w:rFonts w:ascii="Times New Roman" w:hAnsi="Times New Roman" w:cs="Times New Roman"/>
          <w:i/>
          <w:iCs/>
          <w:sz w:val="28"/>
          <w:szCs w:val="28"/>
        </w:rPr>
        <w:t>competitorum</w:t>
      </w:r>
      <w:proofErr w:type="spellEnd"/>
      <w:r w:rsidR="00B268DC" w:rsidRPr="00861646">
        <w:rPr>
          <w:rFonts w:ascii="Times New Roman" w:hAnsi="Times New Roman" w:cs="Times New Roman"/>
          <w:sz w:val="28"/>
          <w:szCs w:val="28"/>
        </w:rPr>
        <w:t xml:space="preserve"> riaffiora</w:t>
      </w:r>
      <w:r w:rsidR="00D747E8" w:rsidRPr="00861646">
        <w:rPr>
          <w:rFonts w:ascii="Times New Roman" w:hAnsi="Times New Roman" w:cs="Times New Roman"/>
          <w:sz w:val="28"/>
          <w:szCs w:val="28"/>
        </w:rPr>
        <w:t xml:space="preserve">no prepotentemente e inducono qualche riflessione aggiuntiva. </w:t>
      </w:r>
    </w:p>
    <w:p w14:paraId="54E69B87" w14:textId="77777777" w:rsidR="00A42CE7" w:rsidRPr="00861646" w:rsidRDefault="00A42CE7" w:rsidP="00C2667C">
      <w:pPr>
        <w:pStyle w:val="Paragrafoelenco"/>
        <w:spacing w:line="288" w:lineRule="auto"/>
        <w:ind w:left="284" w:right="140"/>
        <w:jc w:val="both"/>
        <w:rPr>
          <w:rFonts w:ascii="Times New Roman" w:hAnsi="Times New Roman" w:cs="Times New Roman"/>
          <w:b/>
          <w:bCs/>
          <w:sz w:val="28"/>
          <w:szCs w:val="28"/>
        </w:rPr>
      </w:pPr>
    </w:p>
    <w:p w14:paraId="27BDD42A" w14:textId="58AF9C56" w:rsidR="00F5611D" w:rsidRPr="00C2667C" w:rsidRDefault="00D33809" w:rsidP="00A42CE7">
      <w:pPr>
        <w:pStyle w:val="Paragrafoelenco"/>
        <w:numPr>
          <w:ilvl w:val="0"/>
          <w:numId w:val="14"/>
        </w:numPr>
        <w:spacing w:line="288" w:lineRule="auto"/>
        <w:ind w:left="284" w:right="140" w:firstLine="0"/>
        <w:jc w:val="both"/>
        <w:rPr>
          <w:rFonts w:ascii="Times New Roman" w:hAnsi="Times New Roman" w:cs="Times New Roman"/>
          <w:b/>
          <w:bCs/>
          <w:sz w:val="28"/>
          <w:szCs w:val="28"/>
        </w:rPr>
      </w:pPr>
      <w:r w:rsidRPr="00861646">
        <w:rPr>
          <w:rFonts w:ascii="Times New Roman" w:hAnsi="Times New Roman" w:cs="Times New Roman"/>
          <w:b/>
          <w:bCs/>
          <w:sz w:val="28"/>
          <w:szCs w:val="28"/>
        </w:rPr>
        <w:t>Sulla natura dell’indennizzo.</w:t>
      </w:r>
      <w:r w:rsidR="00E7523F" w:rsidRPr="00861646">
        <w:rPr>
          <w:rFonts w:ascii="Times New Roman" w:hAnsi="Times New Roman" w:cs="Times New Roman"/>
          <w:b/>
          <w:bCs/>
          <w:sz w:val="28"/>
          <w:szCs w:val="28"/>
        </w:rPr>
        <w:t xml:space="preserve"> </w:t>
      </w:r>
      <w:r w:rsidR="00B268DC" w:rsidRPr="00861646">
        <w:rPr>
          <w:rFonts w:ascii="Times New Roman" w:hAnsi="Times New Roman" w:cs="Times New Roman"/>
          <w:sz w:val="28"/>
          <w:szCs w:val="28"/>
        </w:rPr>
        <w:t>Prima di</w:t>
      </w:r>
      <w:r w:rsidR="00B268DC" w:rsidRPr="00861646">
        <w:rPr>
          <w:rFonts w:ascii="Times New Roman" w:hAnsi="Times New Roman" w:cs="Times New Roman"/>
          <w:b/>
          <w:bCs/>
          <w:sz w:val="28"/>
          <w:szCs w:val="28"/>
        </w:rPr>
        <w:t xml:space="preserve"> </w:t>
      </w:r>
      <w:r w:rsidR="00D747E8" w:rsidRPr="00861646">
        <w:rPr>
          <w:rFonts w:ascii="Times New Roman" w:hAnsi="Times New Roman" w:cs="Times New Roman"/>
          <w:sz w:val="28"/>
          <w:szCs w:val="28"/>
        </w:rPr>
        <w:t>entrare</w:t>
      </w:r>
      <w:r w:rsidR="00D747E8" w:rsidRPr="00861646">
        <w:rPr>
          <w:rFonts w:ascii="Times New Roman" w:hAnsi="Times New Roman" w:cs="Times New Roman"/>
          <w:b/>
          <w:bCs/>
          <w:sz w:val="28"/>
          <w:szCs w:val="28"/>
        </w:rPr>
        <w:t xml:space="preserve"> </w:t>
      </w:r>
      <w:r w:rsidR="000B40B6" w:rsidRPr="00861646">
        <w:rPr>
          <w:rFonts w:ascii="Times New Roman" w:hAnsi="Times New Roman" w:cs="Times New Roman"/>
          <w:sz w:val="28"/>
          <w:szCs w:val="28"/>
        </w:rPr>
        <w:t>in un’analisi di</w:t>
      </w:r>
      <w:r w:rsidR="000B40B6" w:rsidRPr="00861646">
        <w:rPr>
          <w:rFonts w:ascii="Times New Roman" w:hAnsi="Times New Roman" w:cs="Times New Roman"/>
          <w:b/>
          <w:bCs/>
          <w:sz w:val="28"/>
          <w:szCs w:val="28"/>
        </w:rPr>
        <w:t xml:space="preserve"> </w:t>
      </w:r>
      <w:r w:rsidR="000B40B6" w:rsidRPr="00861646">
        <w:rPr>
          <w:rFonts w:ascii="Times New Roman" w:hAnsi="Times New Roman" w:cs="Times New Roman"/>
          <w:sz w:val="28"/>
          <w:szCs w:val="28"/>
        </w:rPr>
        <w:t xml:space="preserve">maggior dettaglio della disciplina del </w:t>
      </w:r>
      <w:r w:rsidR="00D747E8" w:rsidRPr="00861646">
        <w:rPr>
          <w:rFonts w:ascii="Times New Roman" w:hAnsi="Times New Roman" w:cs="Times New Roman"/>
          <w:sz w:val="28"/>
          <w:szCs w:val="28"/>
        </w:rPr>
        <w:t xml:space="preserve">legislatore in materia di indennizzi ai concessionari uscenti, </w:t>
      </w:r>
      <w:r w:rsidR="00EA7BDC" w:rsidRPr="00861646">
        <w:rPr>
          <w:rFonts w:ascii="Times New Roman" w:hAnsi="Times New Roman" w:cs="Times New Roman"/>
          <w:sz w:val="28"/>
          <w:szCs w:val="28"/>
        </w:rPr>
        <w:t xml:space="preserve">si ritiene opportuno qualche sintetico richiamo ai principi sottesi </w:t>
      </w:r>
      <w:r w:rsidR="00D747E8" w:rsidRPr="00861646">
        <w:rPr>
          <w:rFonts w:ascii="Times New Roman" w:hAnsi="Times New Roman" w:cs="Times New Roman"/>
          <w:sz w:val="28"/>
          <w:szCs w:val="28"/>
        </w:rPr>
        <w:t xml:space="preserve">all’istituto </w:t>
      </w:r>
      <w:r w:rsidR="00D747E8" w:rsidRPr="00861646">
        <w:rPr>
          <w:rFonts w:ascii="Times New Roman" w:hAnsi="Times New Roman" w:cs="Times New Roman"/>
          <w:i/>
          <w:iCs/>
          <w:sz w:val="28"/>
          <w:szCs w:val="28"/>
        </w:rPr>
        <w:t>de quo</w:t>
      </w:r>
      <w:r w:rsidR="00D747E8" w:rsidRPr="00861646">
        <w:rPr>
          <w:rFonts w:ascii="Times New Roman" w:hAnsi="Times New Roman" w:cs="Times New Roman"/>
          <w:sz w:val="28"/>
          <w:szCs w:val="28"/>
        </w:rPr>
        <w:t xml:space="preserve">. </w:t>
      </w:r>
      <w:r w:rsidR="00B268DC" w:rsidRPr="00861646">
        <w:rPr>
          <w:rFonts w:ascii="Times New Roman" w:hAnsi="Times New Roman" w:cs="Times New Roman"/>
          <w:sz w:val="28"/>
          <w:szCs w:val="28"/>
        </w:rPr>
        <w:t>In generale, c</w:t>
      </w:r>
      <w:r w:rsidR="00E7523F" w:rsidRPr="00861646">
        <w:rPr>
          <w:rFonts w:ascii="Times New Roman" w:hAnsi="Times New Roman" w:cs="Times New Roman"/>
          <w:sz w:val="28"/>
          <w:szCs w:val="28"/>
        </w:rPr>
        <w:t xml:space="preserve">ol termine </w:t>
      </w:r>
      <w:r w:rsidR="00F55DCB" w:rsidRPr="00861646">
        <w:rPr>
          <w:rFonts w:ascii="Times New Roman" w:hAnsi="Times New Roman" w:cs="Times New Roman"/>
          <w:sz w:val="28"/>
          <w:szCs w:val="28"/>
        </w:rPr>
        <w:t>“</w:t>
      </w:r>
      <w:r w:rsidR="00E7523F" w:rsidRPr="00861646">
        <w:rPr>
          <w:rFonts w:ascii="Times New Roman" w:hAnsi="Times New Roman" w:cs="Times New Roman"/>
          <w:sz w:val="28"/>
          <w:szCs w:val="28"/>
        </w:rPr>
        <w:t>indennizzo</w:t>
      </w:r>
      <w:r w:rsidR="00F55DCB" w:rsidRPr="00861646">
        <w:rPr>
          <w:rFonts w:ascii="Times New Roman" w:hAnsi="Times New Roman" w:cs="Times New Roman"/>
          <w:sz w:val="28"/>
          <w:szCs w:val="28"/>
        </w:rPr>
        <w:t>”</w:t>
      </w:r>
      <w:r w:rsidR="00E7523F" w:rsidRPr="00861646">
        <w:rPr>
          <w:rFonts w:ascii="Times New Roman" w:hAnsi="Times New Roman" w:cs="Times New Roman"/>
          <w:sz w:val="28"/>
          <w:szCs w:val="28"/>
        </w:rPr>
        <w:t xml:space="preserve"> si intende un ristoro patrimoniale a compensazione di sacrifici imposti ai </w:t>
      </w:r>
      <w:r w:rsidR="00F55DCB" w:rsidRPr="00861646">
        <w:rPr>
          <w:rFonts w:ascii="Times New Roman" w:hAnsi="Times New Roman" w:cs="Times New Roman"/>
          <w:sz w:val="28"/>
          <w:szCs w:val="28"/>
        </w:rPr>
        <w:t>privati</w:t>
      </w:r>
      <w:r w:rsidR="00E7523F" w:rsidRPr="00861646">
        <w:rPr>
          <w:rFonts w:ascii="Times New Roman" w:hAnsi="Times New Roman" w:cs="Times New Roman"/>
          <w:sz w:val="28"/>
          <w:szCs w:val="28"/>
        </w:rPr>
        <w:t xml:space="preserve"> dall’Amministrazione. La dottrina ha sempre tenuto separato </w:t>
      </w:r>
      <w:proofErr w:type="gramStart"/>
      <w:r w:rsidR="00F55DCB" w:rsidRPr="00861646">
        <w:rPr>
          <w:rFonts w:ascii="Times New Roman" w:hAnsi="Times New Roman" w:cs="Times New Roman"/>
          <w:sz w:val="28"/>
          <w:szCs w:val="28"/>
        </w:rPr>
        <w:t>l’</w:t>
      </w:r>
      <w:r w:rsidR="00A76AF4" w:rsidRPr="00861646">
        <w:rPr>
          <w:rFonts w:ascii="Times New Roman" w:hAnsi="Times New Roman" w:cs="Times New Roman"/>
          <w:sz w:val="28"/>
          <w:szCs w:val="28"/>
        </w:rPr>
        <w:t xml:space="preserve"> </w:t>
      </w:r>
      <w:r w:rsidR="00F55DCB" w:rsidRPr="00861646">
        <w:rPr>
          <w:rFonts w:ascii="Times New Roman" w:hAnsi="Times New Roman" w:cs="Times New Roman"/>
          <w:sz w:val="28"/>
          <w:szCs w:val="28"/>
        </w:rPr>
        <w:t>“</w:t>
      </w:r>
      <w:proofErr w:type="gramEnd"/>
      <w:r w:rsidR="00F55DCB" w:rsidRPr="00861646">
        <w:rPr>
          <w:rFonts w:ascii="Times New Roman" w:hAnsi="Times New Roman" w:cs="Times New Roman"/>
          <w:sz w:val="28"/>
          <w:szCs w:val="28"/>
        </w:rPr>
        <w:t xml:space="preserve">indennizzo” </w:t>
      </w:r>
      <w:r w:rsidR="00E7523F" w:rsidRPr="00861646">
        <w:rPr>
          <w:rFonts w:ascii="Times New Roman" w:hAnsi="Times New Roman" w:cs="Times New Roman"/>
          <w:sz w:val="28"/>
          <w:szCs w:val="28"/>
        </w:rPr>
        <w:t xml:space="preserve">dal </w:t>
      </w:r>
      <w:r w:rsidR="00F55DCB" w:rsidRPr="00861646">
        <w:rPr>
          <w:rFonts w:ascii="Times New Roman" w:hAnsi="Times New Roman" w:cs="Times New Roman"/>
          <w:sz w:val="28"/>
          <w:szCs w:val="28"/>
        </w:rPr>
        <w:t>“</w:t>
      </w:r>
      <w:r w:rsidR="00E7523F" w:rsidRPr="00861646">
        <w:rPr>
          <w:rFonts w:ascii="Times New Roman" w:hAnsi="Times New Roman" w:cs="Times New Roman"/>
          <w:sz w:val="28"/>
          <w:szCs w:val="28"/>
        </w:rPr>
        <w:t>corrispettivo</w:t>
      </w:r>
      <w:r w:rsidR="00F55DCB" w:rsidRPr="00861646">
        <w:rPr>
          <w:rFonts w:ascii="Times New Roman" w:hAnsi="Times New Roman" w:cs="Times New Roman"/>
          <w:sz w:val="28"/>
          <w:szCs w:val="28"/>
        </w:rPr>
        <w:t>”</w:t>
      </w:r>
      <w:r w:rsidR="00E7523F" w:rsidRPr="00861646">
        <w:rPr>
          <w:rFonts w:ascii="Times New Roman" w:hAnsi="Times New Roman" w:cs="Times New Roman"/>
          <w:sz w:val="28"/>
          <w:szCs w:val="28"/>
        </w:rPr>
        <w:t xml:space="preserve">, </w:t>
      </w:r>
      <w:r w:rsidR="00B268DC" w:rsidRPr="00861646">
        <w:rPr>
          <w:rFonts w:ascii="Times New Roman" w:hAnsi="Times New Roman" w:cs="Times New Roman"/>
          <w:sz w:val="28"/>
          <w:szCs w:val="28"/>
        </w:rPr>
        <w:t xml:space="preserve">in </w:t>
      </w:r>
      <w:r w:rsidR="00F55DCB" w:rsidRPr="00861646">
        <w:rPr>
          <w:rFonts w:ascii="Times New Roman" w:hAnsi="Times New Roman" w:cs="Times New Roman"/>
          <w:sz w:val="28"/>
          <w:szCs w:val="28"/>
        </w:rPr>
        <w:t xml:space="preserve">quanto </w:t>
      </w:r>
      <w:r w:rsidR="00B268DC" w:rsidRPr="00861646">
        <w:rPr>
          <w:rFonts w:ascii="Times New Roman" w:hAnsi="Times New Roman" w:cs="Times New Roman"/>
          <w:sz w:val="28"/>
          <w:szCs w:val="28"/>
        </w:rPr>
        <w:t xml:space="preserve">privo </w:t>
      </w:r>
      <w:r w:rsidR="00E7523F" w:rsidRPr="00861646">
        <w:rPr>
          <w:rFonts w:ascii="Times New Roman" w:hAnsi="Times New Roman" w:cs="Times New Roman"/>
          <w:sz w:val="28"/>
          <w:szCs w:val="28"/>
        </w:rPr>
        <w:t>d</w:t>
      </w:r>
      <w:r w:rsidR="00F55DCB" w:rsidRPr="00861646">
        <w:rPr>
          <w:rFonts w:ascii="Times New Roman" w:hAnsi="Times New Roman" w:cs="Times New Roman"/>
          <w:sz w:val="28"/>
          <w:szCs w:val="28"/>
        </w:rPr>
        <w:t>i</w:t>
      </w:r>
      <w:r w:rsidR="00E7523F" w:rsidRPr="00861646">
        <w:rPr>
          <w:rFonts w:ascii="Times New Roman" w:hAnsi="Times New Roman" w:cs="Times New Roman"/>
          <w:sz w:val="28"/>
          <w:szCs w:val="28"/>
        </w:rPr>
        <w:t xml:space="preserve"> carattere retributivo, </w:t>
      </w:r>
      <w:r w:rsidR="00F55DCB" w:rsidRPr="00861646">
        <w:rPr>
          <w:rFonts w:ascii="Times New Roman" w:hAnsi="Times New Roman" w:cs="Times New Roman"/>
          <w:sz w:val="28"/>
          <w:szCs w:val="28"/>
        </w:rPr>
        <w:t xml:space="preserve">nonché </w:t>
      </w:r>
      <w:r w:rsidR="00E7523F" w:rsidRPr="00861646">
        <w:rPr>
          <w:rFonts w:ascii="Times New Roman" w:hAnsi="Times New Roman" w:cs="Times New Roman"/>
          <w:sz w:val="28"/>
          <w:szCs w:val="28"/>
        </w:rPr>
        <w:t>dal risarcimento, in quanto</w:t>
      </w:r>
      <w:r w:rsidR="00F55DCB" w:rsidRPr="00861646">
        <w:rPr>
          <w:rFonts w:ascii="Times New Roman" w:hAnsi="Times New Roman" w:cs="Times New Roman"/>
          <w:sz w:val="28"/>
          <w:szCs w:val="28"/>
        </w:rPr>
        <w:t xml:space="preserve"> a differenza di questo </w:t>
      </w:r>
      <w:r w:rsidR="00E7523F" w:rsidRPr="00861646">
        <w:rPr>
          <w:rFonts w:ascii="Times New Roman" w:hAnsi="Times New Roman" w:cs="Times New Roman"/>
          <w:sz w:val="28"/>
          <w:szCs w:val="28"/>
        </w:rPr>
        <w:t xml:space="preserve">non consegue alla violazione di un obbligo. Il </w:t>
      </w:r>
      <w:r w:rsidR="00B268DC" w:rsidRPr="00861646">
        <w:rPr>
          <w:rFonts w:ascii="Times New Roman" w:hAnsi="Times New Roman" w:cs="Times New Roman"/>
          <w:sz w:val="28"/>
          <w:szCs w:val="28"/>
        </w:rPr>
        <w:t>“</w:t>
      </w:r>
      <w:r w:rsidR="00E7523F" w:rsidRPr="00861646">
        <w:rPr>
          <w:rFonts w:ascii="Times New Roman" w:hAnsi="Times New Roman" w:cs="Times New Roman"/>
          <w:sz w:val="28"/>
          <w:szCs w:val="28"/>
        </w:rPr>
        <w:t>danno</w:t>
      </w:r>
      <w:r w:rsidR="00B268DC" w:rsidRPr="00861646">
        <w:rPr>
          <w:rFonts w:ascii="Times New Roman" w:hAnsi="Times New Roman" w:cs="Times New Roman"/>
          <w:sz w:val="28"/>
          <w:szCs w:val="28"/>
        </w:rPr>
        <w:t>”</w:t>
      </w:r>
      <w:r w:rsidR="00E7523F" w:rsidRPr="00861646">
        <w:rPr>
          <w:rFonts w:ascii="Times New Roman" w:hAnsi="Times New Roman" w:cs="Times New Roman"/>
          <w:sz w:val="28"/>
          <w:szCs w:val="28"/>
        </w:rPr>
        <w:t xml:space="preserve"> che l’indennizzo tende</w:t>
      </w:r>
      <w:r w:rsidR="00FD777A" w:rsidRPr="00861646">
        <w:rPr>
          <w:rFonts w:ascii="Times New Roman" w:hAnsi="Times New Roman" w:cs="Times New Roman"/>
          <w:sz w:val="28"/>
          <w:szCs w:val="28"/>
        </w:rPr>
        <w:t xml:space="preserve"> </w:t>
      </w:r>
      <w:r w:rsidR="00E7523F" w:rsidRPr="00861646">
        <w:rPr>
          <w:rFonts w:ascii="Times New Roman" w:hAnsi="Times New Roman" w:cs="Times New Roman"/>
          <w:sz w:val="28"/>
          <w:szCs w:val="28"/>
        </w:rPr>
        <w:t>a ristorare</w:t>
      </w:r>
      <w:r w:rsidR="00F55DCB" w:rsidRPr="00861646">
        <w:rPr>
          <w:rFonts w:ascii="Times New Roman" w:hAnsi="Times New Roman" w:cs="Times New Roman"/>
          <w:sz w:val="28"/>
          <w:szCs w:val="28"/>
        </w:rPr>
        <w:t>, cioè,</w:t>
      </w:r>
      <w:r w:rsidR="00E7523F" w:rsidRPr="00861646">
        <w:rPr>
          <w:rFonts w:ascii="Times New Roman" w:hAnsi="Times New Roman" w:cs="Times New Roman"/>
          <w:sz w:val="28"/>
          <w:szCs w:val="28"/>
        </w:rPr>
        <w:t xml:space="preserve"> non è “antigiuridico”</w:t>
      </w:r>
      <w:r w:rsidR="00F55DCB" w:rsidRPr="00861646">
        <w:rPr>
          <w:rFonts w:ascii="Times New Roman" w:hAnsi="Times New Roman" w:cs="Times New Roman"/>
          <w:sz w:val="28"/>
          <w:szCs w:val="28"/>
        </w:rPr>
        <w:t xml:space="preserve"> nel senso che </w:t>
      </w:r>
      <w:r w:rsidR="00B268DC" w:rsidRPr="00861646">
        <w:rPr>
          <w:rFonts w:ascii="Times New Roman" w:hAnsi="Times New Roman" w:cs="Times New Roman"/>
          <w:sz w:val="28"/>
          <w:szCs w:val="28"/>
        </w:rPr>
        <w:t>n</w:t>
      </w:r>
      <w:r w:rsidR="00E7523F" w:rsidRPr="00861646">
        <w:rPr>
          <w:rFonts w:ascii="Times New Roman" w:hAnsi="Times New Roman" w:cs="Times New Roman"/>
          <w:sz w:val="28"/>
          <w:szCs w:val="28"/>
        </w:rPr>
        <w:t xml:space="preserve">on consegue a un comportamento </w:t>
      </w:r>
      <w:r w:rsidR="00E7523F" w:rsidRPr="00861646">
        <w:rPr>
          <w:rFonts w:ascii="Times New Roman" w:hAnsi="Times New Roman" w:cs="Times New Roman"/>
          <w:i/>
          <w:iCs/>
          <w:sz w:val="28"/>
          <w:szCs w:val="28"/>
        </w:rPr>
        <w:t>contra ius</w:t>
      </w:r>
      <w:r w:rsidR="00E7523F" w:rsidRPr="00861646">
        <w:rPr>
          <w:rFonts w:ascii="Times New Roman" w:hAnsi="Times New Roman" w:cs="Times New Roman"/>
          <w:sz w:val="28"/>
          <w:szCs w:val="28"/>
        </w:rPr>
        <w:t xml:space="preserve">, </w:t>
      </w:r>
      <w:r w:rsidR="00F55DCB" w:rsidRPr="00861646">
        <w:rPr>
          <w:rFonts w:ascii="Times New Roman" w:hAnsi="Times New Roman" w:cs="Times New Roman"/>
          <w:sz w:val="28"/>
          <w:szCs w:val="28"/>
        </w:rPr>
        <w:t>bensì</w:t>
      </w:r>
      <w:r w:rsidR="00E7523F" w:rsidRPr="00861646">
        <w:rPr>
          <w:rFonts w:ascii="Times New Roman" w:hAnsi="Times New Roman" w:cs="Times New Roman"/>
          <w:sz w:val="28"/>
          <w:szCs w:val="28"/>
        </w:rPr>
        <w:t xml:space="preserve"> arrecato al patrimonio </w:t>
      </w:r>
      <w:proofErr w:type="spellStart"/>
      <w:r w:rsidR="00E7523F" w:rsidRPr="00861646">
        <w:rPr>
          <w:rFonts w:ascii="Times New Roman" w:hAnsi="Times New Roman" w:cs="Times New Roman"/>
          <w:i/>
          <w:iCs/>
          <w:sz w:val="28"/>
          <w:szCs w:val="28"/>
        </w:rPr>
        <w:t>secundum</w:t>
      </w:r>
      <w:proofErr w:type="spellEnd"/>
      <w:r w:rsidR="00E7523F" w:rsidRPr="00861646">
        <w:rPr>
          <w:rFonts w:ascii="Times New Roman" w:hAnsi="Times New Roman" w:cs="Times New Roman"/>
          <w:i/>
          <w:iCs/>
          <w:sz w:val="28"/>
          <w:szCs w:val="28"/>
        </w:rPr>
        <w:t xml:space="preserve"> ius</w:t>
      </w:r>
      <w:r w:rsidR="00F55DCB">
        <w:rPr>
          <w:rStyle w:val="Rimandonotaapidipagina"/>
          <w:rFonts w:ascii="Times New Roman" w:hAnsi="Times New Roman" w:cs="Times New Roman"/>
          <w:sz w:val="28"/>
          <w:szCs w:val="28"/>
        </w:rPr>
        <w:footnoteReference w:id="9"/>
      </w:r>
      <w:r w:rsidR="00E7523F" w:rsidRPr="00861646">
        <w:rPr>
          <w:rFonts w:ascii="Times New Roman" w:hAnsi="Times New Roman" w:cs="Times New Roman"/>
          <w:sz w:val="28"/>
          <w:szCs w:val="28"/>
        </w:rPr>
        <w:t xml:space="preserve">. </w:t>
      </w:r>
      <w:r w:rsidR="00B268DC" w:rsidRPr="00861646">
        <w:rPr>
          <w:rFonts w:ascii="Times New Roman" w:hAnsi="Times New Roman" w:cs="Times New Roman"/>
          <w:sz w:val="28"/>
          <w:szCs w:val="28"/>
        </w:rPr>
        <w:t xml:space="preserve">In alcuni casi, il legislatore consente espressamente sia il risarcimento che l’indennizzo, </w:t>
      </w:r>
      <w:r w:rsidR="00F55DCB" w:rsidRPr="00861646">
        <w:rPr>
          <w:rFonts w:ascii="Times New Roman" w:hAnsi="Times New Roman" w:cs="Times New Roman"/>
          <w:sz w:val="28"/>
          <w:szCs w:val="28"/>
        </w:rPr>
        <w:t xml:space="preserve">in tal modo rendendo ancora più agevole tratteggiare i caratteri distintivi dei due istituti. Ciò è avvenuto tipicamente con l’inserimento del </w:t>
      </w:r>
      <w:r w:rsidR="005604D4" w:rsidRPr="00861646">
        <w:rPr>
          <w:rFonts w:ascii="Times New Roman" w:hAnsi="Times New Roman" w:cs="Times New Roman"/>
          <w:sz w:val="28"/>
          <w:szCs w:val="28"/>
        </w:rPr>
        <w:t xml:space="preserve">comma </w:t>
      </w:r>
      <w:r w:rsidR="00C37026" w:rsidRPr="00861646">
        <w:rPr>
          <w:rFonts w:ascii="Times New Roman" w:hAnsi="Times New Roman" w:cs="Times New Roman"/>
          <w:sz w:val="28"/>
          <w:szCs w:val="28"/>
        </w:rPr>
        <w:t>1</w:t>
      </w:r>
      <w:r w:rsidR="005604D4" w:rsidRPr="00861646">
        <w:rPr>
          <w:rFonts w:ascii="Times New Roman" w:hAnsi="Times New Roman" w:cs="Times New Roman"/>
          <w:sz w:val="28"/>
          <w:szCs w:val="28"/>
        </w:rPr>
        <w:t>-</w:t>
      </w:r>
      <w:r w:rsidR="005604D4" w:rsidRPr="00861646">
        <w:rPr>
          <w:rFonts w:ascii="Times New Roman" w:hAnsi="Times New Roman" w:cs="Times New Roman"/>
          <w:i/>
          <w:iCs/>
          <w:sz w:val="28"/>
          <w:szCs w:val="28"/>
        </w:rPr>
        <w:t>bis</w:t>
      </w:r>
      <w:r w:rsidR="005604D4" w:rsidRPr="00861646">
        <w:rPr>
          <w:rFonts w:ascii="Times New Roman" w:hAnsi="Times New Roman" w:cs="Times New Roman"/>
          <w:sz w:val="28"/>
          <w:szCs w:val="28"/>
        </w:rPr>
        <w:t>, nell’art. 2-</w:t>
      </w:r>
      <w:r w:rsidR="004748C3" w:rsidRPr="00861646">
        <w:rPr>
          <w:rFonts w:ascii="Times New Roman" w:hAnsi="Times New Roman" w:cs="Times New Roman"/>
          <w:i/>
          <w:iCs/>
          <w:sz w:val="28"/>
          <w:szCs w:val="28"/>
        </w:rPr>
        <w:t>bis</w:t>
      </w:r>
      <w:r w:rsidR="004748C3" w:rsidRPr="00861646">
        <w:rPr>
          <w:rFonts w:ascii="Times New Roman" w:hAnsi="Times New Roman" w:cs="Times New Roman"/>
          <w:sz w:val="28"/>
          <w:szCs w:val="28"/>
        </w:rPr>
        <w:t xml:space="preserve"> –</w:t>
      </w:r>
      <w:r w:rsidR="00F55DCB" w:rsidRPr="00861646">
        <w:rPr>
          <w:rFonts w:ascii="Times New Roman" w:hAnsi="Times New Roman" w:cs="Times New Roman"/>
          <w:sz w:val="28"/>
          <w:szCs w:val="28"/>
        </w:rPr>
        <w:t xml:space="preserve"> a sua volta inserito a novella </w:t>
      </w:r>
      <w:r w:rsidR="00C37026" w:rsidRPr="00861646">
        <w:rPr>
          <w:rFonts w:ascii="Times New Roman" w:hAnsi="Times New Roman" w:cs="Times New Roman"/>
          <w:sz w:val="28"/>
          <w:szCs w:val="28"/>
        </w:rPr>
        <w:t>dalla l. 18 giugno 2009, n. 69 – della legge n. 241 del 1990, ad opera dell’art. 28, comma 9, del</w:t>
      </w:r>
      <w:r w:rsidR="00B268DC" w:rsidRPr="00861646">
        <w:rPr>
          <w:rFonts w:ascii="Times New Roman" w:hAnsi="Times New Roman" w:cs="Times New Roman"/>
          <w:sz w:val="28"/>
          <w:szCs w:val="28"/>
        </w:rPr>
        <w:t xml:space="preserve"> </w:t>
      </w:r>
      <w:proofErr w:type="spellStart"/>
      <w:r w:rsidR="005604D4" w:rsidRPr="00861646">
        <w:rPr>
          <w:rFonts w:ascii="Times New Roman" w:hAnsi="Times New Roman" w:cs="Times New Roman"/>
          <w:sz w:val="28"/>
          <w:szCs w:val="28"/>
        </w:rPr>
        <w:t>d.l.</w:t>
      </w:r>
      <w:proofErr w:type="spellEnd"/>
      <w:r w:rsidR="005604D4" w:rsidRPr="00861646">
        <w:rPr>
          <w:rFonts w:ascii="Times New Roman" w:hAnsi="Times New Roman" w:cs="Times New Roman"/>
          <w:sz w:val="28"/>
          <w:szCs w:val="28"/>
        </w:rPr>
        <w:t xml:space="preserve"> 21 giugno 2013, n. 69, convertito, con modificazioni, dalla l. 9 agosto 2013, n. 98</w:t>
      </w:r>
      <w:r w:rsidR="00C37026" w:rsidRPr="00861646">
        <w:rPr>
          <w:rFonts w:ascii="Times New Roman" w:hAnsi="Times New Roman" w:cs="Times New Roman"/>
          <w:sz w:val="28"/>
          <w:szCs w:val="28"/>
        </w:rPr>
        <w:t xml:space="preserve">. </w:t>
      </w:r>
      <w:r w:rsidR="001410EB" w:rsidRPr="00861646">
        <w:rPr>
          <w:rFonts w:ascii="Times New Roman" w:hAnsi="Times New Roman" w:cs="Times New Roman"/>
          <w:sz w:val="28"/>
          <w:szCs w:val="28"/>
        </w:rPr>
        <w:t xml:space="preserve">La norma prevede infatti un indennizzo </w:t>
      </w:r>
      <w:r w:rsidR="001410EB" w:rsidRPr="00861646">
        <w:rPr>
          <w:rFonts w:ascii="Arial" w:hAnsi="Arial" w:cs="Arial"/>
          <w:sz w:val="28"/>
          <w:szCs w:val="28"/>
        </w:rPr>
        <w:t>«</w:t>
      </w:r>
      <w:r w:rsidR="00E7523F" w:rsidRPr="00861646">
        <w:rPr>
          <w:rFonts w:ascii="Times New Roman" w:hAnsi="Times New Roman" w:cs="Times New Roman"/>
          <w:i/>
          <w:iCs/>
          <w:sz w:val="28"/>
          <w:szCs w:val="28"/>
        </w:rPr>
        <w:t>per il mero ritardo</w:t>
      </w:r>
      <w:r w:rsidR="001410EB" w:rsidRPr="00861646">
        <w:rPr>
          <w:rFonts w:ascii="Arial" w:hAnsi="Arial" w:cs="Arial"/>
          <w:sz w:val="28"/>
          <w:szCs w:val="28"/>
        </w:rPr>
        <w:t xml:space="preserve">» </w:t>
      </w:r>
      <w:r w:rsidR="001410EB" w:rsidRPr="00861646">
        <w:rPr>
          <w:rFonts w:ascii="Times New Roman" w:hAnsi="Times New Roman" w:cs="Times New Roman"/>
          <w:sz w:val="28"/>
          <w:szCs w:val="28"/>
        </w:rPr>
        <w:t>in caso di inosservanza del termine di conclusione di un procedimento ad istanza di parte,</w:t>
      </w:r>
      <w:r w:rsidR="001410EB" w:rsidRPr="00861646">
        <w:rPr>
          <w:rFonts w:ascii="Arial" w:hAnsi="Arial" w:cs="Arial"/>
          <w:sz w:val="28"/>
          <w:szCs w:val="28"/>
        </w:rPr>
        <w:t xml:space="preserve"> </w:t>
      </w:r>
      <w:r w:rsidR="005604D4" w:rsidRPr="00861646">
        <w:rPr>
          <w:rFonts w:ascii="Times New Roman" w:hAnsi="Times New Roman" w:cs="Times New Roman"/>
          <w:sz w:val="28"/>
          <w:szCs w:val="28"/>
        </w:rPr>
        <w:t>il cui importo va detratto dall’eventuale risarcimento</w:t>
      </w:r>
      <w:r w:rsidR="00B268DC" w:rsidRPr="00861646">
        <w:rPr>
          <w:rFonts w:ascii="Times New Roman" w:hAnsi="Times New Roman" w:cs="Times New Roman"/>
          <w:sz w:val="28"/>
          <w:szCs w:val="28"/>
        </w:rPr>
        <w:t xml:space="preserve">. A prescindere dalla </w:t>
      </w:r>
      <w:r w:rsidR="001410EB" w:rsidRPr="00861646">
        <w:rPr>
          <w:rFonts w:ascii="Times New Roman" w:hAnsi="Times New Roman" w:cs="Times New Roman"/>
          <w:sz w:val="28"/>
          <w:szCs w:val="28"/>
        </w:rPr>
        <w:t xml:space="preserve">scarsa </w:t>
      </w:r>
      <w:r w:rsidR="00B268DC" w:rsidRPr="00861646">
        <w:rPr>
          <w:rFonts w:ascii="Times New Roman" w:hAnsi="Times New Roman" w:cs="Times New Roman"/>
          <w:sz w:val="28"/>
          <w:szCs w:val="28"/>
        </w:rPr>
        <w:t xml:space="preserve">applicazione che ha avuto l’istituto, anche in relazione alla disciplina transitoria originaria, </w:t>
      </w:r>
      <w:r w:rsidR="001410EB" w:rsidRPr="00861646">
        <w:rPr>
          <w:rFonts w:ascii="Times New Roman" w:hAnsi="Times New Roman" w:cs="Times New Roman"/>
          <w:sz w:val="28"/>
          <w:szCs w:val="28"/>
        </w:rPr>
        <w:t xml:space="preserve">la duplicazione delle voci ne palesa la diversa natura: l’indennizzo, infatti, spetta </w:t>
      </w:r>
      <w:r w:rsidR="005604D4" w:rsidRPr="00861646">
        <w:rPr>
          <w:rFonts w:ascii="Times New Roman" w:hAnsi="Times New Roman" w:cs="Times New Roman"/>
          <w:sz w:val="28"/>
          <w:szCs w:val="28"/>
        </w:rPr>
        <w:t xml:space="preserve">per il solo fatto del superamento del termine previsto dalla legge, </w:t>
      </w:r>
      <w:r w:rsidR="001410EB" w:rsidRPr="00861646">
        <w:rPr>
          <w:rFonts w:ascii="Times New Roman" w:hAnsi="Times New Roman" w:cs="Times New Roman"/>
          <w:sz w:val="28"/>
          <w:szCs w:val="28"/>
        </w:rPr>
        <w:t xml:space="preserve">mentre il risarcimento presuppone che tale superamento, dovuto a dolo o colpa, abbia causato un </w:t>
      </w:r>
      <w:r w:rsidR="005604D4" w:rsidRPr="00861646">
        <w:rPr>
          <w:rFonts w:ascii="Times New Roman" w:hAnsi="Times New Roman" w:cs="Times New Roman"/>
          <w:sz w:val="28"/>
          <w:szCs w:val="28"/>
        </w:rPr>
        <w:t>danno ingiusto</w:t>
      </w:r>
      <w:r w:rsidR="001410EB" w:rsidRPr="00861646">
        <w:rPr>
          <w:rFonts w:ascii="Times New Roman" w:hAnsi="Times New Roman" w:cs="Times New Roman"/>
          <w:sz w:val="28"/>
          <w:szCs w:val="28"/>
        </w:rPr>
        <w:t xml:space="preserve">, secondo i canoni tradizionali di delineazione </w:t>
      </w:r>
      <w:r w:rsidR="005604D4" w:rsidRPr="00861646">
        <w:rPr>
          <w:rFonts w:ascii="Times New Roman" w:hAnsi="Times New Roman" w:cs="Times New Roman"/>
          <w:sz w:val="28"/>
          <w:szCs w:val="28"/>
        </w:rPr>
        <w:t xml:space="preserve">dell’illecito aquiliano (art. 2043 c.c.). </w:t>
      </w:r>
      <w:r w:rsidR="001410EB" w:rsidRPr="00861646">
        <w:rPr>
          <w:rFonts w:ascii="Times New Roman" w:hAnsi="Times New Roman" w:cs="Times New Roman"/>
          <w:sz w:val="28"/>
          <w:szCs w:val="28"/>
        </w:rPr>
        <w:t>La legge n. 241 del 1990 contiene un’altra ipotesi generale di prevista corresponsione di un indennizzo: l’</w:t>
      </w:r>
      <w:r w:rsidR="002528CC" w:rsidRPr="00861646">
        <w:rPr>
          <w:rFonts w:ascii="Times New Roman" w:hAnsi="Times New Roman" w:cs="Times New Roman"/>
          <w:sz w:val="28"/>
          <w:szCs w:val="28"/>
        </w:rPr>
        <w:t>art. 21-</w:t>
      </w:r>
      <w:r w:rsidR="002528CC" w:rsidRPr="00861646">
        <w:rPr>
          <w:rFonts w:ascii="Times New Roman" w:hAnsi="Times New Roman" w:cs="Times New Roman"/>
          <w:i/>
          <w:iCs/>
          <w:sz w:val="28"/>
          <w:szCs w:val="28"/>
        </w:rPr>
        <w:t>quinquies</w:t>
      </w:r>
      <w:r w:rsidR="002528CC" w:rsidRPr="00861646">
        <w:rPr>
          <w:rFonts w:ascii="Times New Roman" w:hAnsi="Times New Roman" w:cs="Times New Roman"/>
          <w:sz w:val="28"/>
          <w:szCs w:val="28"/>
        </w:rPr>
        <w:t xml:space="preserve"> </w:t>
      </w:r>
      <w:r w:rsidR="001410EB" w:rsidRPr="00861646">
        <w:rPr>
          <w:rFonts w:ascii="Times New Roman" w:hAnsi="Times New Roman" w:cs="Times New Roman"/>
          <w:sz w:val="28"/>
          <w:szCs w:val="28"/>
        </w:rPr>
        <w:t xml:space="preserve">lo prevede in ogni caso di </w:t>
      </w:r>
      <w:r w:rsidR="002528CC" w:rsidRPr="00861646">
        <w:rPr>
          <w:rFonts w:ascii="Times New Roman" w:hAnsi="Times New Roman" w:cs="Times New Roman"/>
          <w:sz w:val="28"/>
          <w:szCs w:val="28"/>
        </w:rPr>
        <w:t xml:space="preserve">revoca di un provvedimento amministrativo </w:t>
      </w:r>
      <w:r w:rsidR="001410EB" w:rsidRPr="00861646">
        <w:rPr>
          <w:rFonts w:ascii="Times New Roman" w:hAnsi="Times New Roman" w:cs="Times New Roman"/>
          <w:sz w:val="28"/>
          <w:szCs w:val="28"/>
        </w:rPr>
        <w:t xml:space="preserve">che </w:t>
      </w:r>
      <w:r w:rsidR="002528CC" w:rsidRPr="00861646">
        <w:rPr>
          <w:rFonts w:ascii="Times New Roman" w:hAnsi="Times New Roman" w:cs="Times New Roman"/>
          <w:sz w:val="28"/>
          <w:szCs w:val="28"/>
        </w:rPr>
        <w:t>comport</w:t>
      </w:r>
      <w:r w:rsidR="001410EB" w:rsidRPr="00861646">
        <w:rPr>
          <w:rFonts w:ascii="Times New Roman" w:hAnsi="Times New Roman" w:cs="Times New Roman"/>
          <w:sz w:val="28"/>
          <w:szCs w:val="28"/>
        </w:rPr>
        <w:t>i</w:t>
      </w:r>
      <w:r w:rsidR="002528CC" w:rsidRPr="00861646">
        <w:rPr>
          <w:rFonts w:ascii="Times New Roman" w:hAnsi="Times New Roman" w:cs="Times New Roman"/>
          <w:sz w:val="28"/>
          <w:szCs w:val="28"/>
        </w:rPr>
        <w:t xml:space="preserve"> pregiudizi in danno dei soggetti direttamente interessati</w:t>
      </w:r>
      <w:r w:rsidR="001410EB" w:rsidRPr="00861646">
        <w:rPr>
          <w:rFonts w:ascii="Times New Roman" w:hAnsi="Times New Roman" w:cs="Times New Roman"/>
          <w:sz w:val="28"/>
          <w:szCs w:val="28"/>
        </w:rPr>
        <w:t xml:space="preserve">. </w:t>
      </w:r>
      <w:r w:rsidR="002528CC" w:rsidRPr="00861646">
        <w:rPr>
          <w:rFonts w:ascii="Times New Roman" w:hAnsi="Times New Roman" w:cs="Times New Roman"/>
          <w:sz w:val="28"/>
          <w:szCs w:val="28"/>
        </w:rPr>
        <w:t>Dall</w:t>
      </w:r>
      <w:r w:rsidR="001410EB" w:rsidRPr="00861646">
        <w:rPr>
          <w:rFonts w:ascii="Times New Roman" w:hAnsi="Times New Roman" w:cs="Times New Roman"/>
          <w:sz w:val="28"/>
          <w:szCs w:val="28"/>
        </w:rPr>
        <w:t>’</w:t>
      </w:r>
      <w:r w:rsidR="002528CC" w:rsidRPr="00861646">
        <w:rPr>
          <w:rFonts w:ascii="Times New Roman" w:hAnsi="Times New Roman" w:cs="Times New Roman"/>
          <w:sz w:val="28"/>
          <w:szCs w:val="28"/>
        </w:rPr>
        <w:t>autonomia sul piano sostanziale di questa disposizione amministrativa di esborso finanziario rispetto al presupposto ritiro di un precedente provvedimento per sopravvenute ragioni di interesse pubblico discende che la mancata corresponsione dell’indennizzo non costituisce un vizio della revoca (</w:t>
      </w:r>
      <w:r w:rsidR="002528CC" w:rsidRPr="00861646">
        <w:rPr>
          <w:rFonts w:ascii="Times New Roman" w:hAnsi="Times New Roman" w:cs="Times New Roman"/>
          <w:i/>
          <w:iCs/>
          <w:sz w:val="28"/>
          <w:szCs w:val="28"/>
        </w:rPr>
        <w:t xml:space="preserve">utile per inutile non </w:t>
      </w:r>
      <w:proofErr w:type="spellStart"/>
      <w:r w:rsidR="002528CC" w:rsidRPr="00861646">
        <w:rPr>
          <w:rFonts w:ascii="Times New Roman" w:hAnsi="Times New Roman" w:cs="Times New Roman"/>
          <w:i/>
          <w:iCs/>
          <w:sz w:val="28"/>
          <w:szCs w:val="28"/>
        </w:rPr>
        <w:t>vitiatur</w:t>
      </w:r>
      <w:proofErr w:type="spellEnd"/>
      <w:r w:rsidR="00FD777A" w:rsidRPr="00861646">
        <w:rPr>
          <w:rFonts w:ascii="Times New Roman" w:hAnsi="Times New Roman" w:cs="Times New Roman"/>
          <w:sz w:val="28"/>
          <w:szCs w:val="28"/>
        </w:rPr>
        <w:t xml:space="preserve">, </w:t>
      </w:r>
      <w:r w:rsidR="002528CC" w:rsidRPr="00861646">
        <w:rPr>
          <w:rFonts w:ascii="Times New Roman" w:hAnsi="Times New Roman" w:cs="Times New Roman"/>
          <w:sz w:val="28"/>
          <w:szCs w:val="28"/>
        </w:rPr>
        <w:t xml:space="preserve">art. 1419 cod. civ.). </w:t>
      </w:r>
      <w:r w:rsidR="00EA7BDC" w:rsidRPr="00861646">
        <w:rPr>
          <w:rFonts w:ascii="Times New Roman" w:hAnsi="Times New Roman" w:cs="Times New Roman"/>
          <w:sz w:val="28"/>
          <w:szCs w:val="28"/>
        </w:rPr>
        <w:t>Non a caso, i</w:t>
      </w:r>
      <w:r w:rsidR="001410EB" w:rsidRPr="00861646">
        <w:rPr>
          <w:rFonts w:ascii="Times New Roman" w:hAnsi="Times New Roman" w:cs="Times New Roman"/>
          <w:sz w:val="28"/>
          <w:szCs w:val="28"/>
        </w:rPr>
        <w:t xml:space="preserve">l Ministero dei trasporti e delle infrastrutture, nella relazione di accompagnamento della bozza di decreto attuativo della legge n. 118 del 2022, come modificata nel 2024, </w:t>
      </w:r>
      <w:r w:rsidR="00EA7BDC" w:rsidRPr="00861646">
        <w:rPr>
          <w:rFonts w:ascii="Times New Roman" w:hAnsi="Times New Roman" w:cs="Times New Roman"/>
          <w:sz w:val="28"/>
          <w:szCs w:val="28"/>
        </w:rPr>
        <w:t>tra i vari richiami che cerca di fare allo scopo di argomentare la legittimità della propria scelta, attinge anche all’</w:t>
      </w:r>
      <w:r w:rsidR="001410EB" w:rsidRPr="00861646">
        <w:rPr>
          <w:rFonts w:ascii="Times New Roman" w:hAnsi="Times New Roman" w:cs="Times New Roman"/>
          <w:sz w:val="28"/>
          <w:szCs w:val="28"/>
        </w:rPr>
        <w:t>istituto dell’indennizzo che consegue ad una revoca</w:t>
      </w:r>
      <w:r w:rsidR="00EA7BDC" w:rsidRPr="00861646">
        <w:rPr>
          <w:rFonts w:ascii="Times New Roman" w:hAnsi="Times New Roman" w:cs="Times New Roman"/>
          <w:sz w:val="28"/>
          <w:szCs w:val="28"/>
        </w:rPr>
        <w:t xml:space="preserve">. In tal modo viene tuttavia ad operare un’indebita e impropria assimilazione tra scadenza di una concessione e revoca della stessa. Anzi, a ben guardare, la revoca della concessione demaniale costituisce una modalità specifica di cessazione del rapporto concessorio, laddove quella di un qualsivoglia provvedimento amministrativo (astrattamente, anche concessorio) è espressione generale del potere di riedizione del potere della P.A. </w:t>
      </w:r>
      <w:r w:rsidR="001D25FD" w:rsidRPr="00861646">
        <w:rPr>
          <w:rFonts w:ascii="Times New Roman" w:hAnsi="Times New Roman" w:cs="Times New Roman"/>
          <w:sz w:val="28"/>
          <w:szCs w:val="28"/>
        </w:rPr>
        <w:t>per sopravvenuti motivi di pubblico interesse o mutamento della situazione di fatto non prevedibile al momento dell’adozione del provvedimento.</w:t>
      </w:r>
      <w:r w:rsidR="00EA7BDC" w:rsidRPr="00861646">
        <w:rPr>
          <w:rFonts w:ascii="Times New Roman" w:hAnsi="Times New Roman" w:cs="Times New Roman"/>
          <w:sz w:val="28"/>
          <w:szCs w:val="28"/>
        </w:rPr>
        <w:t xml:space="preserve"> In sintesi, una concessione demaniale può essere revocata anticipatamente in applicazione dell’art. 21-</w:t>
      </w:r>
      <w:r w:rsidR="00EA7BDC" w:rsidRPr="00861646">
        <w:rPr>
          <w:rFonts w:ascii="Times New Roman" w:hAnsi="Times New Roman" w:cs="Times New Roman"/>
          <w:i/>
          <w:iCs/>
          <w:sz w:val="28"/>
          <w:szCs w:val="28"/>
        </w:rPr>
        <w:t>quinquies</w:t>
      </w:r>
      <w:r w:rsidR="00EA7BDC" w:rsidRPr="00861646">
        <w:rPr>
          <w:rFonts w:ascii="Times New Roman" w:hAnsi="Times New Roman" w:cs="Times New Roman"/>
          <w:sz w:val="28"/>
          <w:szCs w:val="28"/>
        </w:rPr>
        <w:t xml:space="preserve"> della l. n. 241 del 1990, ovvero, più tipicamente, della specifica norma contenuta </w:t>
      </w:r>
      <w:r w:rsidR="001D25FD" w:rsidRPr="00861646">
        <w:rPr>
          <w:rFonts w:ascii="Times New Roman" w:hAnsi="Times New Roman" w:cs="Times New Roman"/>
          <w:sz w:val="28"/>
          <w:szCs w:val="28"/>
        </w:rPr>
        <w:t>nell’art. 42 del Codice della navigazione</w:t>
      </w:r>
      <w:r w:rsidR="00127A7E" w:rsidRPr="00861646">
        <w:rPr>
          <w:rFonts w:ascii="Times New Roman" w:hAnsi="Times New Roman" w:cs="Times New Roman"/>
          <w:sz w:val="28"/>
          <w:szCs w:val="28"/>
        </w:rPr>
        <w:t xml:space="preserve">. </w:t>
      </w:r>
      <w:r w:rsidR="00EA7BDC" w:rsidRPr="00861646">
        <w:rPr>
          <w:rFonts w:ascii="Times New Roman" w:hAnsi="Times New Roman" w:cs="Times New Roman"/>
          <w:sz w:val="28"/>
          <w:szCs w:val="28"/>
        </w:rPr>
        <w:t>Sulla base di tale disposizione, e</w:t>
      </w:r>
      <w:r w:rsidR="00127A7E" w:rsidRPr="00861646">
        <w:rPr>
          <w:rFonts w:ascii="Times New Roman" w:hAnsi="Times New Roman" w:cs="Times New Roman"/>
          <w:sz w:val="28"/>
          <w:szCs w:val="28"/>
        </w:rPr>
        <w:t>ssa è rimessa alla totale discrezionalità dell’</w:t>
      </w:r>
      <w:r w:rsidR="001D25FD" w:rsidRPr="00861646">
        <w:rPr>
          <w:rFonts w:ascii="Times New Roman" w:hAnsi="Times New Roman" w:cs="Times New Roman"/>
          <w:sz w:val="28"/>
          <w:szCs w:val="28"/>
        </w:rPr>
        <w:t xml:space="preserve">Amministrazione </w:t>
      </w:r>
      <w:r w:rsidR="00127A7E" w:rsidRPr="00861646">
        <w:rPr>
          <w:rFonts w:ascii="Times New Roman" w:hAnsi="Times New Roman" w:cs="Times New Roman"/>
          <w:sz w:val="28"/>
          <w:szCs w:val="28"/>
        </w:rPr>
        <w:t xml:space="preserve">in caso di </w:t>
      </w:r>
      <w:r w:rsidR="001D25FD" w:rsidRPr="00861646">
        <w:rPr>
          <w:rFonts w:ascii="Times New Roman" w:hAnsi="Times New Roman" w:cs="Times New Roman"/>
          <w:sz w:val="28"/>
          <w:szCs w:val="28"/>
        </w:rPr>
        <w:t xml:space="preserve">concessioni di durata non superiore al quadriennio che non importino impianti </w:t>
      </w:r>
      <w:r w:rsidR="001D25FD" w:rsidRPr="00861646">
        <w:rPr>
          <w:rFonts w:ascii="Arial" w:hAnsi="Arial" w:cs="Arial"/>
          <w:sz w:val="28"/>
          <w:szCs w:val="28"/>
        </w:rPr>
        <w:t>«</w:t>
      </w:r>
      <w:r w:rsidR="001D25FD" w:rsidRPr="00861646">
        <w:rPr>
          <w:rFonts w:ascii="Times New Roman" w:hAnsi="Times New Roman" w:cs="Times New Roman"/>
          <w:i/>
          <w:iCs/>
          <w:sz w:val="28"/>
          <w:szCs w:val="28"/>
        </w:rPr>
        <w:t>di difficile sgombero</w:t>
      </w:r>
      <w:r w:rsidR="001D25FD" w:rsidRPr="00861646">
        <w:rPr>
          <w:rFonts w:ascii="Times New Roman" w:hAnsi="Times New Roman" w:cs="Times New Roman"/>
          <w:sz w:val="28"/>
          <w:szCs w:val="28"/>
        </w:rPr>
        <w:t>»</w:t>
      </w:r>
      <w:r w:rsidR="00127A7E" w:rsidRPr="00861646">
        <w:rPr>
          <w:rFonts w:ascii="Times New Roman" w:hAnsi="Times New Roman" w:cs="Times New Roman"/>
          <w:sz w:val="28"/>
          <w:szCs w:val="28"/>
        </w:rPr>
        <w:t xml:space="preserve">; è adottabile </w:t>
      </w:r>
      <w:r w:rsidR="001D25FD" w:rsidRPr="00861646">
        <w:rPr>
          <w:rFonts w:ascii="Times New Roman" w:hAnsi="Times New Roman" w:cs="Times New Roman"/>
          <w:sz w:val="28"/>
          <w:szCs w:val="28"/>
        </w:rPr>
        <w:t>«</w:t>
      </w:r>
      <w:r w:rsidR="001D25FD" w:rsidRPr="00861646">
        <w:rPr>
          <w:rFonts w:ascii="Times New Roman" w:hAnsi="Times New Roman" w:cs="Times New Roman"/>
          <w:i/>
          <w:iCs/>
          <w:sz w:val="28"/>
          <w:szCs w:val="28"/>
        </w:rPr>
        <w:t>per specifici motivi inerenti al pubblico uso del mare o per altre ragioni di pubblico interesse</w:t>
      </w:r>
      <w:r w:rsidR="001D25FD" w:rsidRPr="00861646">
        <w:rPr>
          <w:rFonts w:ascii="Times New Roman" w:hAnsi="Times New Roman" w:cs="Times New Roman"/>
          <w:sz w:val="28"/>
          <w:szCs w:val="28"/>
        </w:rPr>
        <w:t xml:space="preserve">», per quelle di durata superiore o che importino tale tipologia di impianti. </w:t>
      </w:r>
      <w:r w:rsidR="00127A7E" w:rsidRPr="00861646">
        <w:rPr>
          <w:rFonts w:ascii="Times New Roman" w:hAnsi="Times New Roman" w:cs="Times New Roman"/>
          <w:sz w:val="28"/>
          <w:szCs w:val="28"/>
        </w:rPr>
        <w:t xml:space="preserve">In queste ipotesi, se la concessione ha </w:t>
      </w:r>
      <w:r w:rsidR="00127A7E" w:rsidRPr="00861646">
        <w:rPr>
          <w:rFonts w:ascii="Arial" w:hAnsi="Arial" w:cs="Arial"/>
          <w:sz w:val="28"/>
          <w:szCs w:val="28"/>
        </w:rPr>
        <w:t>«</w:t>
      </w:r>
      <w:r w:rsidR="00127A7E" w:rsidRPr="00861646">
        <w:rPr>
          <w:rFonts w:ascii="Times New Roman" w:hAnsi="Times New Roman" w:cs="Times New Roman"/>
          <w:i/>
          <w:iCs/>
          <w:sz w:val="28"/>
          <w:szCs w:val="28"/>
        </w:rPr>
        <w:t>dato luogo a costruzione di opere stabili</w:t>
      </w:r>
      <w:r w:rsidR="00127A7E" w:rsidRPr="00861646">
        <w:rPr>
          <w:rFonts w:ascii="Arial" w:hAnsi="Arial" w:cs="Arial"/>
          <w:sz w:val="28"/>
          <w:szCs w:val="28"/>
        </w:rPr>
        <w:t>»</w:t>
      </w:r>
      <w:r w:rsidR="00127A7E" w:rsidRPr="00861646">
        <w:rPr>
          <w:rFonts w:ascii="Times New Roman" w:hAnsi="Times New Roman" w:cs="Times New Roman"/>
          <w:sz w:val="28"/>
          <w:szCs w:val="28"/>
        </w:rPr>
        <w:t xml:space="preserve"> (cioè se la loro costruzione rientrava negli accordi sottesi alla concessione), </w:t>
      </w:r>
      <w:proofErr w:type="gramStart"/>
      <w:r w:rsidR="00127A7E" w:rsidRPr="00861646">
        <w:rPr>
          <w:rFonts w:ascii="Arial" w:hAnsi="Arial" w:cs="Arial"/>
          <w:sz w:val="28"/>
          <w:szCs w:val="28"/>
        </w:rPr>
        <w:t>« </w:t>
      </w:r>
      <w:r w:rsidR="00127A7E" w:rsidRPr="00861646">
        <w:rPr>
          <w:rFonts w:ascii="Times New Roman" w:hAnsi="Times New Roman" w:cs="Times New Roman"/>
          <w:i/>
          <w:iCs/>
          <w:sz w:val="28"/>
          <w:szCs w:val="28"/>
        </w:rPr>
        <w:t>l’amministrazione</w:t>
      </w:r>
      <w:proofErr w:type="gramEnd"/>
      <w:r w:rsidR="00127A7E" w:rsidRPr="00861646">
        <w:rPr>
          <w:rFonts w:ascii="Times New Roman" w:hAnsi="Times New Roman" w:cs="Times New Roman"/>
          <w:i/>
          <w:iCs/>
          <w:sz w:val="28"/>
          <w:szCs w:val="28"/>
        </w:rPr>
        <w:t xml:space="preserve"> marittima, salvo che non sia diversamente stabilito, è tenuta a corrispondere un indennizzo pari al rimborso di tante quote parti del costo delle opere quanti sono gli anni mancanti al termine</w:t>
      </w:r>
      <w:r w:rsidR="00D57044" w:rsidRPr="00861646">
        <w:rPr>
          <w:rFonts w:ascii="Times New Roman" w:hAnsi="Times New Roman" w:cs="Times New Roman"/>
          <w:i/>
          <w:iCs/>
          <w:sz w:val="28"/>
          <w:szCs w:val="28"/>
        </w:rPr>
        <w:t xml:space="preserve"> </w:t>
      </w:r>
      <w:r w:rsidR="00127A7E" w:rsidRPr="00861646">
        <w:rPr>
          <w:rFonts w:ascii="Times New Roman" w:hAnsi="Times New Roman" w:cs="Times New Roman"/>
          <w:i/>
          <w:iCs/>
          <w:sz w:val="28"/>
          <w:szCs w:val="28"/>
        </w:rPr>
        <w:t>di scadenza fissato.</w:t>
      </w:r>
      <w:r w:rsidR="004748C3" w:rsidRPr="00861646">
        <w:rPr>
          <w:rFonts w:ascii="Times New Roman" w:hAnsi="Times New Roman" w:cs="Times New Roman"/>
          <w:i/>
          <w:iCs/>
          <w:sz w:val="28"/>
          <w:szCs w:val="28"/>
        </w:rPr>
        <w:t xml:space="preserve"> </w:t>
      </w:r>
      <w:r w:rsidR="00127A7E" w:rsidRPr="00861646">
        <w:rPr>
          <w:rFonts w:ascii="Times New Roman" w:hAnsi="Times New Roman" w:cs="Times New Roman"/>
          <w:i/>
          <w:iCs/>
          <w:sz w:val="28"/>
          <w:szCs w:val="28"/>
        </w:rPr>
        <w:t>In ogni caso l’indennizzo non può essere superiore al valore delle opere al momento della revoca, detratto l’ammontare degli effettuati ammortamenti</w:t>
      </w:r>
      <w:r w:rsidR="00127A7E" w:rsidRPr="00861646">
        <w:rPr>
          <w:rFonts w:ascii="Arial" w:hAnsi="Arial" w:cs="Arial"/>
          <w:sz w:val="28"/>
          <w:szCs w:val="28"/>
        </w:rPr>
        <w:t xml:space="preserve">». </w:t>
      </w:r>
      <w:r w:rsidR="002528CC" w:rsidRPr="00861646">
        <w:rPr>
          <w:rFonts w:ascii="Times New Roman" w:hAnsi="Times New Roman" w:cs="Times New Roman"/>
          <w:sz w:val="28"/>
          <w:szCs w:val="28"/>
        </w:rPr>
        <w:t xml:space="preserve">L’articolo 42 del codice della navigazione, </w:t>
      </w:r>
      <w:r w:rsidR="00127A7E" w:rsidRPr="00861646">
        <w:rPr>
          <w:rFonts w:ascii="Times New Roman" w:hAnsi="Times New Roman" w:cs="Times New Roman"/>
          <w:sz w:val="28"/>
          <w:szCs w:val="28"/>
        </w:rPr>
        <w:t>dunque,</w:t>
      </w:r>
      <w:r w:rsidR="00162AA8" w:rsidRPr="00861646">
        <w:rPr>
          <w:rFonts w:ascii="Times New Roman" w:hAnsi="Times New Roman" w:cs="Times New Roman"/>
          <w:sz w:val="28"/>
          <w:szCs w:val="28"/>
        </w:rPr>
        <w:t xml:space="preserve"> si riferisce all’interruzione di un rapporto concessorio (la “</w:t>
      </w:r>
      <w:r w:rsidR="00162AA8" w:rsidRPr="00861646">
        <w:rPr>
          <w:rFonts w:ascii="Times New Roman" w:hAnsi="Times New Roman" w:cs="Times New Roman"/>
          <w:i/>
          <w:iCs/>
          <w:sz w:val="28"/>
          <w:szCs w:val="28"/>
        </w:rPr>
        <w:t>revoca”</w:t>
      </w:r>
      <w:r w:rsidR="00162AA8" w:rsidRPr="00861646">
        <w:rPr>
          <w:rFonts w:ascii="Times New Roman" w:hAnsi="Times New Roman" w:cs="Times New Roman"/>
          <w:sz w:val="28"/>
          <w:szCs w:val="28"/>
        </w:rPr>
        <w:t xml:space="preserve">, appunto) anteriormente al termine della relativa scadenza, </w:t>
      </w:r>
      <w:r w:rsidR="00EA7BDC" w:rsidRPr="00861646">
        <w:rPr>
          <w:rFonts w:ascii="Times New Roman" w:hAnsi="Times New Roman" w:cs="Times New Roman"/>
          <w:sz w:val="28"/>
          <w:szCs w:val="28"/>
        </w:rPr>
        <w:t xml:space="preserve">e prevede </w:t>
      </w:r>
      <w:r w:rsidR="00162AA8" w:rsidRPr="00861646">
        <w:rPr>
          <w:rFonts w:ascii="Times New Roman" w:hAnsi="Times New Roman" w:cs="Times New Roman"/>
          <w:sz w:val="28"/>
          <w:szCs w:val="28"/>
        </w:rPr>
        <w:t>un indennizzo</w:t>
      </w:r>
      <w:r w:rsidR="00EA7BDC" w:rsidRPr="00861646">
        <w:rPr>
          <w:rFonts w:ascii="Times New Roman" w:hAnsi="Times New Roman" w:cs="Times New Roman"/>
          <w:sz w:val="28"/>
          <w:szCs w:val="28"/>
        </w:rPr>
        <w:t xml:space="preserve"> proprio in ragione della tangibile necessità di salvaguardare </w:t>
      </w:r>
      <w:r w:rsidR="00162AA8" w:rsidRPr="00861646">
        <w:rPr>
          <w:rFonts w:ascii="Times New Roman" w:hAnsi="Times New Roman" w:cs="Times New Roman"/>
          <w:sz w:val="28"/>
          <w:szCs w:val="28"/>
        </w:rPr>
        <w:t xml:space="preserve">il legittimo affidamento dei concessionari in relazione agli investimenti effettuati per la realizzazione di opere concretamente non suscettibili di utile rimozione </w:t>
      </w:r>
      <w:r w:rsidR="00127A7E" w:rsidRPr="00861646">
        <w:rPr>
          <w:rFonts w:ascii="Times New Roman" w:hAnsi="Times New Roman" w:cs="Times New Roman"/>
          <w:sz w:val="28"/>
          <w:szCs w:val="28"/>
        </w:rPr>
        <w:t xml:space="preserve">concordate a monte, </w:t>
      </w:r>
      <w:r w:rsidR="00EA7BDC" w:rsidRPr="00861646">
        <w:rPr>
          <w:rFonts w:ascii="Times New Roman" w:hAnsi="Times New Roman" w:cs="Times New Roman"/>
          <w:sz w:val="28"/>
          <w:szCs w:val="28"/>
        </w:rPr>
        <w:t xml:space="preserve">in una pianificata prospettiva temporale più ampia. Essa </w:t>
      </w:r>
      <w:r w:rsidR="00162AA8" w:rsidRPr="00861646">
        <w:rPr>
          <w:rFonts w:ascii="Times New Roman" w:hAnsi="Times New Roman" w:cs="Times New Roman"/>
          <w:sz w:val="28"/>
          <w:szCs w:val="28"/>
        </w:rPr>
        <w:t xml:space="preserve">obbedisce </w:t>
      </w:r>
      <w:r w:rsidR="00EA7BDC" w:rsidRPr="00861646">
        <w:rPr>
          <w:rFonts w:ascii="Times New Roman" w:hAnsi="Times New Roman" w:cs="Times New Roman"/>
          <w:sz w:val="28"/>
          <w:szCs w:val="28"/>
        </w:rPr>
        <w:t xml:space="preserve">davvero ad una </w:t>
      </w:r>
      <w:r w:rsidR="00162AA8" w:rsidRPr="00861646">
        <w:rPr>
          <w:rFonts w:ascii="Times New Roman" w:hAnsi="Times New Roman" w:cs="Times New Roman"/>
          <w:sz w:val="28"/>
          <w:szCs w:val="28"/>
        </w:rPr>
        <w:t>logica di adeguato bilanciamento di interessi</w:t>
      </w:r>
      <w:r w:rsidR="00EA7BDC" w:rsidRPr="00861646">
        <w:rPr>
          <w:rFonts w:ascii="Times New Roman" w:hAnsi="Times New Roman" w:cs="Times New Roman"/>
          <w:sz w:val="28"/>
          <w:szCs w:val="28"/>
        </w:rPr>
        <w:t xml:space="preserve">, al pari di quanto accade laddove la P.A. eserciti il proprio </w:t>
      </w:r>
      <w:r w:rsidR="00EA7BDC" w:rsidRPr="00861646">
        <w:rPr>
          <w:rFonts w:ascii="Times New Roman" w:hAnsi="Times New Roman" w:cs="Times New Roman"/>
          <w:i/>
          <w:iCs/>
          <w:sz w:val="28"/>
          <w:szCs w:val="28"/>
        </w:rPr>
        <w:t xml:space="preserve">ius </w:t>
      </w:r>
      <w:proofErr w:type="spellStart"/>
      <w:r w:rsidR="00EA7BDC" w:rsidRPr="00861646">
        <w:rPr>
          <w:rFonts w:ascii="Times New Roman" w:hAnsi="Times New Roman" w:cs="Times New Roman"/>
          <w:i/>
          <w:iCs/>
          <w:sz w:val="28"/>
          <w:szCs w:val="28"/>
        </w:rPr>
        <w:t>poenitendi</w:t>
      </w:r>
      <w:proofErr w:type="spellEnd"/>
      <w:r w:rsidR="00D00597" w:rsidRPr="00861646">
        <w:rPr>
          <w:rFonts w:ascii="Times New Roman" w:hAnsi="Times New Roman" w:cs="Times New Roman"/>
          <w:i/>
          <w:iCs/>
          <w:sz w:val="28"/>
          <w:szCs w:val="28"/>
        </w:rPr>
        <w:t xml:space="preserve"> </w:t>
      </w:r>
      <w:r w:rsidR="00D00597" w:rsidRPr="00861646">
        <w:rPr>
          <w:rFonts w:ascii="Times New Roman" w:hAnsi="Times New Roman" w:cs="Times New Roman"/>
          <w:sz w:val="28"/>
          <w:szCs w:val="28"/>
        </w:rPr>
        <w:t>per sopravvenienze non valutate</w:t>
      </w:r>
      <w:r w:rsidR="00162AA8" w:rsidRPr="00861646">
        <w:rPr>
          <w:rFonts w:ascii="Times New Roman" w:hAnsi="Times New Roman" w:cs="Times New Roman"/>
          <w:i/>
          <w:iCs/>
          <w:sz w:val="28"/>
          <w:szCs w:val="28"/>
        </w:rPr>
        <w:t xml:space="preserve">. </w:t>
      </w:r>
      <w:r w:rsidR="005A509D" w:rsidRPr="00861646">
        <w:rPr>
          <w:rFonts w:ascii="Times New Roman" w:hAnsi="Times New Roman" w:cs="Times New Roman"/>
          <w:sz w:val="28"/>
          <w:szCs w:val="28"/>
        </w:rPr>
        <w:t>Al di fuori d</w:t>
      </w:r>
      <w:r w:rsidR="00D00597" w:rsidRPr="00861646">
        <w:rPr>
          <w:rFonts w:ascii="Times New Roman" w:hAnsi="Times New Roman" w:cs="Times New Roman"/>
          <w:sz w:val="28"/>
          <w:szCs w:val="28"/>
        </w:rPr>
        <w:t xml:space="preserve">elle ricordate norme speciali, </w:t>
      </w:r>
      <w:r w:rsidR="005A509D" w:rsidRPr="00861646">
        <w:rPr>
          <w:rFonts w:ascii="Times New Roman" w:hAnsi="Times New Roman" w:cs="Times New Roman"/>
          <w:sz w:val="28"/>
          <w:szCs w:val="28"/>
        </w:rPr>
        <w:t xml:space="preserve">l’indennizzo è previsto in </w:t>
      </w:r>
      <w:r w:rsidR="00E3289B" w:rsidRPr="00861646">
        <w:rPr>
          <w:rFonts w:ascii="Times New Roman" w:hAnsi="Times New Roman" w:cs="Times New Roman"/>
          <w:sz w:val="28"/>
          <w:szCs w:val="28"/>
        </w:rPr>
        <w:t xml:space="preserve">alcune </w:t>
      </w:r>
      <w:r w:rsidR="005A509D" w:rsidRPr="00861646">
        <w:rPr>
          <w:rFonts w:ascii="Times New Roman" w:hAnsi="Times New Roman" w:cs="Times New Roman"/>
          <w:sz w:val="28"/>
          <w:szCs w:val="28"/>
        </w:rPr>
        <w:t>disposizion</w:t>
      </w:r>
      <w:r w:rsidR="00E3289B" w:rsidRPr="00861646">
        <w:rPr>
          <w:rFonts w:ascii="Times New Roman" w:hAnsi="Times New Roman" w:cs="Times New Roman"/>
          <w:sz w:val="28"/>
          <w:szCs w:val="28"/>
        </w:rPr>
        <w:t>i</w:t>
      </w:r>
      <w:r w:rsidR="005A509D" w:rsidRPr="00861646">
        <w:rPr>
          <w:rFonts w:ascii="Times New Roman" w:hAnsi="Times New Roman" w:cs="Times New Roman"/>
          <w:sz w:val="28"/>
          <w:szCs w:val="28"/>
        </w:rPr>
        <w:t xml:space="preserve"> di legge speciale</w:t>
      </w:r>
      <w:r w:rsidR="00D00597" w:rsidRPr="00861646">
        <w:rPr>
          <w:rFonts w:ascii="Times New Roman" w:hAnsi="Times New Roman" w:cs="Times New Roman"/>
          <w:sz w:val="28"/>
          <w:szCs w:val="28"/>
        </w:rPr>
        <w:t xml:space="preserve"> –cui va ricondotto anche l’art. 42 del Codice della navigazione. Tale specialità, non consente di esportarne le regole oltre il caso che le giustifica. Al contrario, pure a tali eterogenee situazioni il Governo ha inteso “agganciarsi” per trovare un solido tessuto preesistente nella presentazione del già ricordato decreto attuativo sugli indennizzi al Consiglio di Stato in sede consultiva. Il decreto peraltro, come noto, non ha mai visto la luce, essendosi arrestato al  vaglio critico cui è stato sottoposto, finanche negli aspetti formali (quali modalità del “concerto” fra Ministeri e finanche firma, v. parere n. 750 del 22 luglio 2025 reso, appunto, sullo schema di decreto recante </w:t>
      </w:r>
      <w:r w:rsidR="00D00597" w:rsidRPr="00861646">
        <w:rPr>
          <w:rFonts w:ascii="Arial" w:hAnsi="Arial" w:cs="Arial"/>
          <w:sz w:val="28"/>
          <w:szCs w:val="28"/>
        </w:rPr>
        <w:t>«</w:t>
      </w:r>
      <w:r w:rsidR="00D00597" w:rsidRPr="00861646">
        <w:rPr>
          <w:rFonts w:ascii="Times New Roman" w:hAnsi="Times New Roman" w:cs="Times New Roman"/>
          <w:i/>
          <w:iCs/>
          <w:sz w:val="28"/>
          <w:szCs w:val="28"/>
        </w:rPr>
        <w:t>individuazione dei criteri per calcolare l’indennizzo dovuto da parte del concessionario subentrante al concessionario uscente a seguito della procedura di affidamento delle concessioni demaniali per finalità turistico-ricreative e sportive nonché per la rideterminazione degli importi unitari dei canoni</w:t>
      </w:r>
      <w:r w:rsidR="00D00597" w:rsidRPr="00861646">
        <w:rPr>
          <w:rFonts w:ascii="Arial" w:hAnsi="Arial" w:cs="Arial"/>
          <w:i/>
          <w:iCs/>
          <w:sz w:val="28"/>
          <w:szCs w:val="28"/>
        </w:rPr>
        <w:t>»</w:t>
      </w:r>
      <w:r w:rsidR="00D00597" w:rsidRPr="00861646">
        <w:rPr>
          <w:rFonts w:ascii="Times New Roman" w:hAnsi="Times New Roman" w:cs="Times New Roman"/>
          <w:sz w:val="28"/>
          <w:szCs w:val="28"/>
        </w:rPr>
        <w:t xml:space="preserve">). Del tutto inconferente è stato dunque ritenuto il richiamo alla </w:t>
      </w:r>
      <w:r w:rsidR="00E3289B" w:rsidRPr="00861646">
        <w:rPr>
          <w:rFonts w:ascii="Times New Roman" w:hAnsi="Times New Roman" w:cs="Times New Roman"/>
          <w:sz w:val="28"/>
          <w:szCs w:val="28"/>
        </w:rPr>
        <w:t>previsione di cui all’art. 12, comma 1, del d.lgs. 16 marzo 1999, n. 79. Con riferimento alle concessioni di grandi derivazioni idroelettriche</w:t>
      </w:r>
      <w:r w:rsidR="00E3289B" w:rsidRPr="00861646">
        <w:rPr>
          <w:rFonts w:ascii="Arial" w:hAnsi="Arial" w:cs="Arial"/>
          <w:sz w:val="28"/>
          <w:szCs w:val="28"/>
        </w:rPr>
        <w:t xml:space="preserve"> </w:t>
      </w:r>
      <w:r w:rsidR="00E3289B" w:rsidRPr="00861646">
        <w:rPr>
          <w:rFonts w:ascii="Times New Roman" w:hAnsi="Times New Roman" w:cs="Times New Roman"/>
          <w:sz w:val="28"/>
          <w:szCs w:val="28"/>
        </w:rPr>
        <w:t xml:space="preserve">la norma prevede che sia in caso di decadenza o rinuncia, che di scadenza, il concessionario uscente, che abbia effettuato investimenti </w:t>
      </w:r>
      <w:r w:rsidR="00E3289B" w:rsidRPr="00861646">
        <w:rPr>
          <w:rFonts w:ascii="Arial" w:hAnsi="Arial" w:cs="Arial"/>
          <w:sz w:val="28"/>
          <w:szCs w:val="28"/>
        </w:rPr>
        <w:t>«</w:t>
      </w:r>
      <w:r w:rsidR="00E3289B" w:rsidRPr="00861646">
        <w:rPr>
          <w:rFonts w:ascii="Times New Roman" w:hAnsi="Times New Roman" w:cs="Times New Roman"/>
          <w:i/>
          <w:iCs/>
          <w:sz w:val="28"/>
          <w:szCs w:val="28"/>
        </w:rPr>
        <w:t>a proprie spese</w:t>
      </w:r>
      <w:r w:rsidR="00E3289B" w:rsidRPr="00861646">
        <w:rPr>
          <w:rFonts w:ascii="Arial" w:hAnsi="Arial" w:cs="Arial"/>
          <w:i/>
          <w:iCs/>
          <w:sz w:val="28"/>
          <w:szCs w:val="28"/>
        </w:rPr>
        <w:t>»</w:t>
      </w:r>
      <w:r w:rsidR="00E3289B" w:rsidRPr="00861646">
        <w:rPr>
          <w:rFonts w:ascii="Times New Roman" w:hAnsi="Times New Roman" w:cs="Times New Roman"/>
          <w:sz w:val="28"/>
          <w:szCs w:val="28"/>
        </w:rPr>
        <w:t xml:space="preserve"> sulle opere di cui all’articolo 25, primo comma, del testo unico di cui al regio decreto 11 dicembre 1933, n. 1775</w:t>
      </w:r>
      <w:r w:rsidR="00E3289B">
        <w:rPr>
          <w:rStyle w:val="Rimandonotaapidipagina"/>
          <w:rFonts w:ascii="Times New Roman" w:hAnsi="Times New Roman" w:cs="Times New Roman"/>
          <w:sz w:val="28"/>
          <w:szCs w:val="28"/>
        </w:rPr>
        <w:footnoteReference w:id="10"/>
      </w:r>
      <w:r w:rsidR="00E3289B" w:rsidRPr="00861646">
        <w:rPr>
          <w:rFonts w:ascii="Times New Roman" w:hAnsi="Times New Roman" w:cs="Times New Roman"/>
          <w:sz w:val="28"/>
          <w:szCs w:val="28"/>
        </w:rPr>
        <w:t xml:space="preserve">, ha diritto al riconoscimento di un indennizzo </w:t>
      </w:r>
      <w:r w:rsidR="00E3289B" w:rsidRPr="00861646">
        <w:rPr>
          <w:rFonts w:ascii="Arial" w:hAnsi="Arial" w:cs="Arial"/>
          <w:sz w:val="28"/>
          <w:szCs w:val="28"/>
        </w:rPr>
        <w:t>«</w:t>
      </w:r>
      <w:r w:rsidR="00E3289B" w:rsidRPr="00861646">
        <w:rPr>
          <w:rFonts w:ascii="Times New Roman" w:hAnsi="Times New Roman" w:cs="Times New Roman"/>
          <w:i/>
          <w:iCs/>
          <w:sz w:val="28"/>
          <w:szCs w:val="28"/>
        </w:rPr>
        <w:t>pari al valore non ammortizzato</w:t>
      </w:r>
      <w:r w:rsidR="00E3289B" w:rsidRPr="00861646">
        <w:rPr>
          <w:rFonts w:ascii="Arial" w:hAnsi="Arial" w:cs="Arial"/>
          <w:i/>
          <w:iCs/>
          <w:sz w:val="28"/>
          <w:szCs w:val="28"/>
        </w:rPr>
        <w:t>»</w:t>
      </w:r>
      <w:r w:rsidR="00E3289B" w:rsidRPr="00861646">
        <w:rPr>
          <w:rFonts w:ascii="Times New Roman" w:hAnsi="Times New Roman" w:cs="Times New Roman"/>
          <w:sz w:val="28"/>
          <w:szCs w:val="28"/>
        </w:rPr>
        <w:t xml:space="preserve">, oltre alla </w:t>
      </w:r>
      <w:r w:rsidR="00E3289B" w:rsidRPr="00861646">
        <w:rPr>
          <w:rFonts w:ascii="Arial" w:hAnsi="Arial" w:cs="Arial"/>
          <w:sz w:val="28"/>
          <w:szCs w:val="28"/>
        </w:rPr>
        <w:t>«</w:t>
      </w:r>
      <w:r w:rsidR="00E3289B" w:rsidRPr="00861646">
        <w:rPr>
          <w:rFonts w:ascii="Times New Roman" w:hAnsi="Times New Roman" w:cs="Times New Roman"/>
          <w:i/>
          <w:iCs/>
          <w:sz w:val="28"/>
          <w:szCs w:val="28"/>
        </w:rPr>
        <w:t>corresponsione del prezzo</w:t>
      </w:r>
      <w:r w:rsidR="00E3289B" w:rsidRPr="00861646">
        <w:rPr>
          <w:rFonts w:ascii="Arial" w:hAnsi="Arial" w:cs="Arial"/>
          <w:i/>
          <w:iCs/>
          <w:sz w:val="28"/>
          <w:szCs w:val="28"/>
        </w:rPr>
        <w:t>»</w:t>
      </w:r>
      <w:r w:rsidR="00E3289B" w:rsidRPr="00861646">
        <w:rPr>
          <w:rFonts w:ascii="Times New Roman" w:hAnsi="Times New Roman" w:cs="Times New Roman"/>
          <w:sz w:val="28"/>
          <w:szCs w:val="28"/>
        </w:rPr>
        <w:t xml:space="preserve"> per i beni diversi. </w:t>
      </w:r>
      <w:r w:rsidR="00D00597" w:rsidRPr="00861646">
        <w:rPr>
          <w:rFonts w:ascii="Times New Roman" w:hAnsi="Times New Roman" w:cs="Times New Roman"/>
          <w:sz w:val="28"/>
          <w:szCs w:val="28"/>
        </w:rPr>
        <w:t xml:space="preserve">Ciò vale tuttavia sempre che gli investimenti fossero previsti dall’atto di concessione o che esso sia stato comunque autorizzato dal concedente. </w:t>
      </w:r>
      <w:r w:rsidR="00E3289B" w:rsidRPr="00861646">
        <w:rPr>
          <w:rFonts w:ascii="Times New Roman" w:hAnsi="Times New Roman" w:cs="Times New Roman"/>
          <w:sz w:val="28"/>
          <w:szCs w:val="28"/>
        </w:rPr>
        <w:t>Anc</w:t>
      </w:r>
      <w:r w:rsidR="00D00597" w:rsidRPr="00861646">
        <w:rPr>
          <w:rFonts w:ascii="Times New Roman" w:hAnsi="Times New Roman" w:cs="Times New Roman"/>
          <w:sz w:val="28"/>
          <w:szCs w:val="28"/>
        </w:rPr>
        <w:t xml:space="preserve">he in questo caso, cioè, </w:t>
      </w:r>
      <w:r w:rsidR="00E3289B" w:rsidRPr="00861646">
        <w:rPr>
          <w:rFonts w:ascii="Times New Roman" w:hAnsi="Times New Roman" w:cs="Times New Roman"/>
          <w:sz w:val="28"/>
          <w:szCs w:val="28"/>
        </w:rPr>
        <w:t xml:space="preserve">è l’elemento pattizio a monte che fonda la possibilità di ristoro a valle (similmente a quanto </w:t>
      </w:r>
      <w:r w:rsidR="00D00597" w:rsidRPr="00861646">
        <w:rPr>
          <w:rFonts w:ascii="Times New Roman" w:hAnsi="Times New Roman" w:cs="Times New Roman"/>
          <w:sz w:val="28"/>
          <w:szCs w:val="28"/>
        </w:rPr>
        <w:t xml:space="preserve">possibile, tutto sommato, </w:t>
      </w:r>
      <w:r w:rsidR="00E3289B" w:rsidRPr="00861646">
        <w:rPr>
          <w:rFonts w:ascii="Times New Roman" w:hAnsi="Times New Roman" w:cs="Times New Roman"/>
          <w:sz w:val="28"/>
          <w:szCs w:val="28"/>
        </w:rPr>
        <w:t xml:space="preserve">per i casi di </w:t>
      </w:r>
      <w:r w:rsidR="00D00597" w:rsidRPr="00861646">
        <w:rPr>
          <w:rFonts w:ascii="Times New Roman" w:hAnsi="Times New Roman" w:cs="Times New Roman"/>
          <w:sz w:val="28"/>
          <w:szCs w:val="28"/>
        </w:rPr>
        <w:t xml:space="preserve">incameramento delle opere inamovibili a scadenza </w:t>
      </w:r>
      <w:r w:rsidR="00E3289B" w:rsidRPr="00861646">
        <w:rPr>
          <w:rFonts w:ascii="Times New Roman" w:hAnsi="Times New Roman" w:cs="Times New Roman"/>
          <w:sz w:val="28"/>
          <w:szCs w:val="28"/>
        </w:rPr>
        <w:t xml:space="preserve">delle concessioni demaniali marittime). </w:t>
      </w:r>
      <w:r w:rsidR="00D00597" w:rsidRPr="00861646">
        <w:rPr>
          <w:rFonts w:ascii="Times New Roman" w:hAnsi="Times New Roman" w:cs="Times New Roman"/>
          <w:sz w:val="28"/>
          <w:szCs w:val="28"/>
        </w:rPr>
        <w:t>Ancor più improprio appare il riferimento all’</w:t>
      </w:r>
      <w:r w:rsidR="002C30F2" w:rsidRPr="00861646">
        <w:rPr>
          <w:rFonts w:ascii="Times New Roman" w:hAnsi="Times New Roman" w:cs="Times New Roman"/>
          <w:sz w:val="28"/>
          <w:szCs w:val="28"/>
        </w:rPr>
        <w:t xml:space="preserve">art. 191 </w:t>
      </w:r>
      <w:r w:rsidR="00D5693A" w:rsidRPr="00861646">
        <w:rPr>
          <w:rFonts w:ascii="Times New Roman" w:hAnsi="Times New Roman" w:cs="Times New Roman"/>
          <w:sz w:val="28"/>
          <w:szCs w:val="28"/>
        </w:rPr>
        <w:t>del d.lgs. 31 marzo 2023, n. 36, recante il codice dei contratti pubblici</w:t>
      </w:r>
      <w:r w:rsidR="002C30F2" w:rsidRPr="00861646">
        <w:rPr>
          <w:rFonts w:ascii="Times New Roman" w:hAnsi="Times New Roman" w:cs="Times New Roman"/>
          <w:sz w:val="28"/>
          <w:szCs w:val="28"/>
        </w:rPr>
        <w:t xml:space="preserve">. Trattasi della disciplina del </w:t>
      </w:r>
      <w:r w:rsidR="00D5693A" w:rsidRPr="00861646">
        <w:rPr>
          <w:rFonts w:ascii="Times New Roman" w:hAnsi="Times New Roman" w:cs="Times New Roman"/>
          <w:sz w:val="28"/>
          <w:szCs w:val="28"/>
        </w:rPr>
        <w:t xml:space="preserve">“subentro” nei contratti di concessione, sia </w:t>
      </w:r>
      <w:r w:rsidR="00D5693A" w:rsidRPr="00861646">
        <w:rPr>
          <w:rFonts w:ascii="Arial" w:hAnsi="Arial" w:cs="Arial"/>
          <w:sz w:val="28"/>
          <w:szCs w:val="28"/>
        </w:rPr>
        <w:t>«</w:t>
      </w:r>
      <w:r w:rsidR="00D5693A" w:rsidRPr="00861646">
        <w:rPr>
          <w:rFonts w:ascii="Times New Roman" w:hAnsi="Times New Roman" w:cs="Times New Roman"/>
          <w:i/>
          <w:iCs/>
          <w:sz w:val="28"/>
          <w:szCs w:val="28"/>
        </w:rPr>
        <w:t>alla scadenza del periodo di affidamento e in conseguenza del nuovo affidamento</w:t>
      </w:r>
      <w:r w:rsidR="00D5693A" w:rsidRPr="00861646">
        <w:rPr>
          <w:rFonts w:ascii="Arial" w:hAnsi="Arial" w:cs="Arial"/>
          <w:i/>
          <w:iCs/>
          <w:sz w:val="28"/>
          <w:szCs w:val="28"/>
        </w:rPr>
        <w:t>»</w:t>
      </w:r>
      <w:r w:rsidR="00D5693A" w:rsidRPr="00861646">
        <w:rPr>
          <w:rFonts w:ascii="Times New Roman" w:hAnsi="Times New Roman" w:cs="Times New Roman"/>
          <w:sz w:val="28"/>
          <w:szCs w:val="28"/>
        </w:rPr>
        <w:t xml:space="preserve">, sia in caso di </w:t>
      </w:r>
      <w:r w:rsidR="00D5693A" w:rsidRPr="00861646">
        <w:rPr>
          <w:rFonts w:ascii="Arial" w:hAnsi="Arial" w:cs="Arial"/>
          <w:sz w:val="28"/>
          <w:szCs w:val="28"/>
        </w:rPr>
        <w:t>«</w:t>
      </w:r>
      <w:r w:rsidR="00D5693A" w:rsidRPr="00861646">
        <w:rPr>
          <w:rFonts w:ascii="Times New Roman" w:hAnsi="Times New Roman" w:cs="Times New Roman"/>
          <w:i/>
          <w:iCs/>
          <w:sz w:val="28"/>
          <w:szCs w:val="28"/>
        </w:rPr>
        <w:t>cessazione anticipata</w:t>
      </w:r>
      <w:r w:rsidR="00D5693A" w:rsidRPr="00861646">
        <w:rPr>
          <w:rFonts w:ascii="Arial" w:hAnsi="Arial" w:cs="Arial"/>
          <w:i/>
          <w:iCs/>
          <w:sz w:val="28"/>
          <w:szCs w:val="28"/>
        </w:rPr>
        <w:t>»</w:t>
      </w:r>
      <w:r w:rsidR="00D5693A" w:rsidRPr="00861646">
        <w:rPr>
          <w:rFonts w:ascii="Times New Roman" w:hAnsi="Times New Roman" w:cs="Times New Roman"/>
          <w:i/>
          <w:iCs/>
          <w:sz w:val="28"/>
          <w:szCs w:val="28"/>
        </w:rPr>
        <w:t>.</w:t>
      </w:r>
      <w:r w:rsidR="00D00597" w:rsidRPr="00861646">
        <w:rPr>
          <w:rFonts w:ascii="Times New Roman" w:hAnsi="Times New Roman" w:cs="Times New Roman"/>
          <w:sz w:val="28"/>
          <w:szCs w:val="28"/>
        </w:rPr>
        <w:t xml:space="preserve"> Il richiamo ha consentito al Consiglio di Stato, nel già ricordato p</w:t>
      </w:r>
      <w:r w:rsidR="00D5693A" w:rsidRPr="00861646">
        <w:rPr>
          <w:rFonts w:ascii="Times New Roman" w:hAnsi="Times New Roman" w:cs="Times New Roman"/>
          <w:sz w:val="28"/>
          <w:szCs w:val="28"/>
        </w:rPr>
        <w:t>arere n. 750 del 2025</w:t>
      </w:r>
      <w:r w:rsidR="002C30F2" w:rsidRPr="00861646">
        <w:rPr>
          <w:rFonts w:ascii="Times New Roman" w:hAnsi="Times New Roman" w:cs="Times New Roman"/>
          <w:sz w:val="28"/>
          <w:szCs w:val="28"/>
        </w:rPr>
        <w:t xml:space="preserve">, </w:t>
      </w:r>
      <w:r w:rsidR="00D00597" w:rsidRPr="00861646">
        <w:rPr>
          <w:rFonts w:ascii="Times New Roman" w:hAnsi="Times New Roman" w:cs="Times New Roman"/>
          <w:sz w:val="28"/>
          <w:szCs w:val="28"/>
        </w:rPr>
        <w:t xml:space="preserve">di precisare che </w:t>
      </w:r>
      <w:r w:rsidR="002C30F2" w:rsidRPr="00861646">
        <w:rPr>
          <w:rFonts w:ascii="Times New Roman" w:hAnsi="Times New Roman" w:cs="Times New Roman"/>
          <w:sz w:val="28"/>
          <w:szCs w:val="28"/>
        </w:rPr>
        <w:t xml:space="preserve">il </w:t>
      </w:r>
      <w:r w:rsidR="00F5611D" w:rsidRPr="00861646">
        <w:rPr>
          <w:rFonts w:ascii="Times New Roman" w:hAnsi="Times New Roman" w:cs="Times New Roman"/>
          <w:sz w:val="28"/>
          <w:szCs w:val="28"/>
        </w:rPr>
        <w:t xml:space="preserve">d.lgs. n. 36 del 2023 </w:t>
      </w:r>
      <w:r w:rsidR="002C30F2" w:rsidRPr="00861646">
        <w:rPr>
          <w:rFonts w:ascii="Times New Roman" w:hAnsi="Times New Roman" w:cs="Times New Roman"/>
          <w:sz w:val="28"/>
          <w:szCs w:val="28"/>
        </w:rPr>
        <w:t xml:space="preserve">riguarda i </w:t>
      </w:r>
      <w:r w:rsidR="00D5693A" w:rsidRPr="00861646">
        <w:rPr>
          <w:rFonts w:ascii="Arial" w:hAnsi="Arial" w:cs="Arial"/>
          <w:sz w:val="28"/>
          <w:szCs w:val="28"/>
        </w:rPr>
        <w:t>«</w:t>
      </w:r>
      <w:r w:rsidR="00D5693A" w:rsidRPr="00861646">
        <w:rPr>
          <w:rFonts w:ascii="Times New Roman" w:hAnsi="Times New Roman" w:cs="Times New Roman"/>
          <w:i/>
          <w:iCs/>
          <w:sz w:val="28"/>
          <w:szCs w:val="28"/>
        </w:rPr>
        <w:t>contratti a titolo oneroso</w:t>
      </w:r>
      <w:r w:rsidR="00D5693A" w:rsidRPr="00861646">
        <w:rPr>
          <w:rFonts w:ascii="Times New Roman" w:hAnsi="Times New Roman" w:cs="Times New Roman"/>
          <w:sz w:val="28"/>
          <w:szCs w:val="28"/>
        </w:rPr>
        <w:t> […] </w:t>
      </w:r>
      <w:r w:rsidR="00D5693A" w:rsidRPr="00861646">
        <w:rPr>
          <w:rFonts w:ascii="Times New Roman" w:hAnsi="Times New Roman" w:cs="Times New Roman"/>
          <w:i/>
          <w:iCs/>
          <w:sz w:val="28"/>
          <w:szCs w:val="28"/>
        </w:rPr>
        <w:t>in virtù dei quali una o più amministrazioni aggiudicatrici o uno o più enti aggiudicatori affidano l’esecuzione di lavori o la fornitura e la gestione di servizi a uno o più operatori economici, ove il corrispettivo consista unicamente nel diritto di gestire i lavori o i servizi oggetto de</w:t>
      </w:r>
      <w:r w:rsidR="00166913" w:rsidRPr="00861646">
        <w:rPr>
          <w:rFonts w:ascii="Times New Roman" w:hAnsi="Times New Roman" w:cs="Times New Roman"/>
          <w:i/>
          <w:iCs/>
          <w:sz w:val="28"/>
          <w:szCs w:val="28"/>
        </w:rPr>
        <w:t>l</w:t>
      </w:r>
      <w:r w:rsidR="00D5693A" w:rsidRPr="00861646">
        <w:rPr>
          <w:rFonts w:ascii="Times New Roman" w:hAnsi="Times New Roman" w:cs="Times New Roman"/>
          <w:i/>
          <w:iCs/>
          <w:sz w:val="28"/>
          <w:szCs w:val="28"/>
        </w:rPr>
        <w:t xml:space="preserve"> contratto o in un tale diritto accompagnato da un prezzo</w:t>
      </w:r>
      <w:r w:rsidR="00D5693A" w:rsidRPr="00861646">
        <w:rPr>
          <w:rFonts w:ascii="Arial" w:hAnsi="Arial" w:cs="Arial"/>
          <w:i/>
          <w:iCs/>
          <w:sz w:val="28"/>
          <w:szCs w:val="28"/>
        </w:rPr>
        <w:t>»</w:t>
      </w:r>
      <w:r w:rsidR="00D5693A" w:rsidRPr="00861646">
        <w:rPr>
          <w:rFonts w:ascii="Times New Roman" w:hAnsi="Times New Roman" w:cs="Times New Roman"/>
          <w:sz w:val="28"/>
          <w:szCs w:val="28"/>
        </w:rPr>
        <w:t> (articolo 2, comma 1, lettera </w:t>
      </w:r>
      <w:r w:rsidR="00D5693A" w:rsidRPr="00861646">
        <w:rPr>
          <w:rFonts w:ascii="Times New Roman" w:hAnsi="Times New Roman" w:cs="Times New Roman"/>
          <w:i/>
          <w:iCs/>
          <w:sz w:val="28"/>
          <w:szCs w:val="28"/>
        </w:rPr>
        <w:t>c</w:t>
      </w:r>
      <w:r w:rsidR="00D5693A" w:rsidRPr="00861646">
        <w:rPr>
          <w:rFonts w:ascii="Times New Roman" w:hAnsi="Times New Roman" w:cs="Times New Roman"/>
          <w:sz w:val="28"/>
          <w:szCs w:val="28"/>
        </w:rPr>
        <w:t>) dell’allegato I.1 al codice)</w:t>
      </w:r>
      <w:r w:rsidR="00F5611D" w:rsidRPr="00861646">
        <w:rPr>
          <w:rFonts w:ascii="Times New Roman" w:hAnsi="Times New Roman" w:cs="Times New Roman"/>
          <w:sz w:val="28"/>
          <w:szCs w:val="28"/>
        </w:rPr>
        <w:t xml:space="preserve">, ovvero </w:t>
      </w:r>
      <w:r w:rsidR="00D5693A" w:rsidRPr="00861646">
        <w:rPr>
          <w:rFonts w:ascii="Times New Roman" w:hAnsi="Times New Roman" w:cs="Times New Roman"/>
          <w:sz w:val="28"/>
          <w:szCs w:val="28"/>
        </w:rPr>
        <w:t>contratti c.d. passivi</w:t>
      </w:r>
      <w:r w:rsidR="00F5611D" w:rsidRPr="00861646">
        <w:rPr>
          <w:rFonts w:ascii="Times New Roman" w:hAnsi="Times New Roman" w:cs="Times New Roman"/>
          <w:sz w:val="28"/>
          <w:szCs w:val="28"/>
        </w:rPr>
        <w:t>. L</w:t>
      </w:r>
      <w:r w:rsidR="00D5693A" w:rsidRPr="00861646">
        <w:rPr>
          <w:rFonts w:ascii="Times New Roman" w:hAnsi="Times New Roman" w:cs="Times New Roman"/>
          <w:sz w:val="28"/>
          <w:szCs w:val="28"/>
        </w:rPr>
        <w:t xml:space="preserve">e concessioni di beni demaniali </w:t>
      </w:r>
      <w:r w:rsidR="00F5611D" w:rsidRPr="00861646">
        <w:rPr>
          <w:rFonts w:ascii="Times New Roman" w:hAnsi="Times New Roman" w:cs="Times New Roman"/>
          <w:sz w:val="28"/>
          <w:szCs w:val="28"/>
        </w:rPr>
        <w:t xml:space="preserve">invece </w:t>
      </w:r>
      <w:r w:rsidR="00D5693A" w:rsidRPr="00861646">
        <w:rPr>
          <w:rFonts w:ascii="Times New Roman" w:hAnsi="Times New Roman" w:cs="Times New Roman"/>
          <w:sz w:val="28"/>
          <w:szCs w:val="28"/>
        </w:rPr>
        <w:t xml:space="preserve">rientrano, in quanto </w:t>
      </w:r>
      <w:r w:rsidR="00127A7E" w:rsidRPr="00861646">
        <w:rPr>
          <w:rFonts w:ascii="Times New Roman" w:hAnsi="Times New Roman" w:cs="Times New Roman"/>
          <w:sz w:val="28"/>
          <w:szCs w:val="28"/>
        </w:rPr>
        <w:t xml:space="preserve">aventi ad oggetto </w:t>
      </w:r>
      <w:r w:rsidR="00D5693A" w:rsidRPr="00861646">
        <w:rPr>
          <w:rFonts w:ascii="Times New Roman" w:hAnsi="Times New Roman" w:cs="Times New Roman"/>
          <w:sz w:val="28"/>
          <w:szCs w:val="28"/>
        </w:rPr>
        <w:t>beni pubblici</w:t>
      </w:r>
      <w:r w:rsidR="00D5693A" w:rsidRPr="00861646">
        <w:rPr>
          <w:rFonts w:ascii="Times New Roman" w:hAnsi="Times New Roman" w:cs="Times New Roman"/>
          <w:i/>
          <w:iCs/>
          <w:sz w:val="28"/>
          <w:szCs w:val="28"/>
        </w:rPr>
        <w:t>, </w:t>
      </w:r>
      <w:r w:rsidR="00D5693A" w:rsidRPr="00861646">
        <w:rPr>
          <w:rFonts w:ascii="Times New Roman" w:hAnsi="Times New Roman" w:cs="Times New Roman"/>
          <w:sz w:val="28"/>
          <w:szCs w:val="28"/>
        </w:rPr>
        <w:t xml:space="preserve">tra i contratti attivi, sottratti </w:t>
      </w:r>
      <w:r w:rsidR="00F5611D" w:rsidRPr="00861646">
        <w:rPr>
          <w:rFonts w:ascii="Times New Roman" w:hAnsi="Times New Roman" w:cs="Times New Roman"/>
          <w:sz w:val="28"/>
          <w:szCs w:val="28"/>
        </w:rPr>
        <w:t xml:space="preserve">come </w:t>
      </w:r>
      <w:r w:rsidR="00127A7E" w:rsidRPr="00861646">
        <w:rPr>
          <w:rFonts w:ascii="Times New Roman" w:hAnsi="Times New Roman" w:cs="Times New Roman"/>
          <w:sz w:val="28"/>
          <w:szCs w:val="28"/>
        </w:rPr>
        <w:t xml:space="preserve">tali </w:t>
      </w:r>
      <w:r w:rsidR="00D5693A" w:rsidRPr="00861646">
        <w:rPr>
          <w:rFonts w:ascii="Times New Roman" w:hAnsi="Times New Roman" w:cs="Times New Roman"/>
          <w:sz w:val="28"/>
          <w:szCs w:val="28"/>
        </w:rPr>
        <w:t>alla disciplina del codice</w:t>
      </w:r>
      <w:r w:rsidR="00D5693A" w:rsidRPr="00861646">
        <w:rPr>
          <w:rFonts w:ascii="Times New Roman" w:hAnsi="Times New Roman" w:cs="Times New Roman"/>
          <w:i/>
          <w:iCs/>
          <w:sz w:val="28"/>
          <w:szCs w:val="28"/>
        </w:rPr>
        <w:t> </w:t>
      </w:r>
      <w:r w:rsidR="00D5693A" w:rsidRPr="00861646">
        <w:rPr>
          <w:rFonts w:ascii="Times New Roman" w:hAnsi="Times New Roman" w:cs="Times New Roman"/>
          <w:sz w:val="28"/>
          <w:szCs w:val="28"/>
        </w:rPr>
        <w:t>(cfr. articolo 13, comma 2)</w:t>
      </w:r>
      <w:r w:rsidR="00127A7E" w:rsidRPr="00861646">
        <w:rPr>
          <w:rFonts w:ascii="Times New Roman" w:hAnsi="Times New Roman" w:cs="Times New Roman"/>
          <w:sz w:val="28"/>
          <w:szCs w:val="28"/>
        </w:rPr>
        <w:t>. In essi i</w:t>
      </w:r>
      <w:r w:rsidR="00D5693A" w:rsidRPr="00861646">
        <w:rPr>
          <w:rFonts w:ascii="Times New Roman" w:hAnsi="Times New Roman" w:cs="Times New Roman"/>
          <w:sz w:val="28"/>
          <w:szCs w:val="28"/>
        </w:rPr>
        <w:t>l concessionario è tenuto al pagamento di un canone a favore dell’ente concedente</w:t>
      </w:r>
      <w:r w:rsidR="00127A7E" w:rsidRPr="00861646">
        <w:rPr>
          <w:rFonts w:ascii="Times New Roman" w:hAnsi="Times New Roman" w:cs="Times New Roman"/>
          <w:sz w:val="28"/>
          <w:szCs w:val="28"/>
        </w:rPr>
        <w:t>. Da qui l</w:t>
      </w:r>
      <w:r w:rsidR="00F5611D" w:rsidRPr="00861646">
        <w:rPr>
          <w:rFonts w:ascii="Times New Roman" w:hAnsi="Times New Roman" w:cs="Times New Roman"/>
          <w:sz w:val="28"/>
          <w:szCs w:val="28"/>
        </w:rPr>
        <w:t>’</w:t>
      </w:r>
      <w:r w:rsidR="00127A7E" w:rsidRPr="00861646">
        <w:rPr>
          <w:rFonts w:ascii="Times New Roman" w:hAnsi="Times New Roman" w:cs="Times New Roman"/>
          <w:sz w:val="28"/>
          <w:szCs w:val="28"/>
        </w:rPr>
        <w:t xml:space="preserve">estraneità di determinati concetti, pure ampiamente utilizzati dai Comuni nella predisposizione </w:t>
      </w:r>
      <w:r w:rsidR="005A509D" w:rsidRPr="00861646">
        <w:rPr>
          <w:rFonts w:ascii="Times New Roman" w:hAnsi="Times New Roman" w:cs="Times New Roman"/>
          <w:sz w:val="28"/>
          <w:szCs w:val="28"/>
        </w:rPr>
        <w:t xml:space="preserve">dei bandi di gara, </w:t>
      </w:r>
      <w:r w:rsidR="00F5611D" w:rsidRPr="00861646">
        <w:rPr>
          <w:rFonts w:ascii="Times New Roman" w:hAnsi="Times New Roman" w:cs="Times New Roman"/>
          <w:sz w:val="28"/>
          <w:szCs w:val="28"/>
        </w:rPr>
        <w:t xml:space="preserve">rispetto alla tipologia di </w:t>
      </w:r>
      <w:r w:rsidR="00D5693A" w:rsidRPr="00861646">
        <w:rPr>
          <w:rFonts w:ascii="Times New Roman" w:hAnsi="Times New Roman" w:cs="Times New Roman"/>
          <w:sz w:val="28"/>
          <w:szCs w:val="28"/>
        </w:rPr>
        <w:t>procedure evidenziali</w:t>
      </w:r>
      <w:r w:rsidR="005A509D" w:rsidRPr="00861646">
        <w:rPr>
          <w:rFonts w:ascii="Times New Roman" w:hAnsi="Times New Roman" w:cs="Times New Roman"/>
          <w:sz w:val="28"/>
          <w:szCs w:val="28"/>
        </w:rPr>
        <w:t xml:space="preserve"> </w:t>
      </w:r>
      <w:r w:rsidR="00F5611D" w:rsidRPr="00861646">
        <w:rPr>
          <w:rFonts w:ascii="Times New Roman" w:hAnsi="Times New Roman" w:cs="Times New Roman"/>
          <w:sz w:val="28"/>
          <w:szCs w:val="28"/>
        </w:rPr>
        <w:t xml:space="preserve">che devono essere avviate (e in parte già lo sono state). Tipico esempio al riguardo, egualmente tratto dalla casistica giurisprudenziale, è il ricorso alla </w:t>
      </w:r>
      <w:r w:rsidR="005A509D" w:rsidRPr="00861646">
        <w:rPr>
          <w:rFonts w:ascii="Times New Roman" w:hAnsi="Times New Roman" w:cs="Times New Roman"/>
          <w:sz w:val="28"/>
          <w:szCs w:val="28"/>
        </w:rPr>
        <w:t>predisposizione del pia</w:t>
      </w:r>
      <w:r w:rsidR="00C61003" w:rsidRPr="00861646">
        <w:rPr>
          <w:rFonts w:ascii="Times New Roman" w:hAnsi="Times New Roman" w:cs="Times New Roman"/>
          <w:sz w:val="28"/>
          <w:szCs w:val="28"/>
        </w:rPr>
        <w:t>no economico finanziario -PEF</w:t>
      </w:r>
      <w:r w:rsidR="005A509D" w:rsidRPr="00861646">
        <w:rPr>
          <w:rFonts w:ascii="Times New Roman" w:hAnsi="Times New Roman" w:cs="Times New Roman"/>
          <w:sz w:val="28"/>
          <w:szCs w:val="28"/>
        </w:rPr>
        <w:t xml:space="preserve">- </w:t>
      </w:r>
      <w:r w:rsidR="000C3F2D" w:rsidRPr="00861646">
        <w:rPr>
          <w:rFonts w:ascii="Times New Roman" w:hAnsi="Times New Roman" w:cs="Times New Roman"/>
          <w:sz w:val="28"/>
          <w:szCs w:val="28"/>
        </w:rPr>
        <w:t xml:space="preserve">per dimostrare </w:t>
      </w:r>
      <w:r w:rsidR="005A509D" w:rsidRPr="00861646">
        <w:rPr>
          <w:rFonts w:ascii="Times New Roman" w:hAnsi="Times New Roman" w:cs="Times New Roman"/>
          <w:sz w:val="28"/>
          <w:szCs w:val="28"/>
        </w:rPr>
        <w:t xml:space="preserve">la </w:t>
      </w:r>
      <w:r w:rsidR="00C61003" w:rsidRPr="00861646">
        <w:rPr>
          <w:rFonts w:ascii="Times New Roman" w:hAnsi="Times New Roman" w:cs="Times New Roman"/>
          <w:sz w:val="28"/>
          <w:szCs w:val="28"/>
        </w:rPr>
        <w:t>sostenibilità economica e quantifica</w:t>
      </w:r>
      <w:r w:rsidR="005A509D" w:rsidRPr="00861646">
        <w:rPr>
          <w:rFonts w:ascii="Times New Roman" w:hAnsi="Times New Roman" w:cs="Times New Roman"/>
          <w:sz w:val="28"/>
          <w:szCs w:val="28"/>
        </w:rPr>
        <w:t xml:space="preserve">re </w:t>
      </w:r>
      <w:r w:rsidR="00C61003" w:rsidRPr="00861646">
        <w:rPr>
          <w:rFonts w:ascii="Times New Roman" w:hAnsi="Times New Roman" w:cs="Times New Roman"/>
          <w:sz w:val="28"/>
          <w:szCs w:val="28"/>
        </w:rPr>
        <w:t xml:space="preserve">gli investimenti da realizzare, </w:t>
      </w:r>
      <w:r w:rsidR="00F5611D" w:rsidRPr="00861646">
        <w:rPr>
          <w:rFonts w:ascii="Times New Roman" w:hAnsi="Times New Roman" w:cs="Times New Roman"/>
          <w:sz w:val="28"/>
          <w:szCs w:val="28"/>
        </w:rPr>
        <w:t>che appare eterogeneo al sistema laddove attinga</w:t>
      </w:r>
      <w:r w:rsidR="000C3F2D" w:rsidRPr="00861646">
        <w:rPr>
          <w:rFonts w:ascii="Times New Roman" w:hAnsi="Times New Roman" w:cs="Times New Roman"/>
          <w:sz w:val="28"/>
          <w:szCs w:val="28"/>
        </w:rPr>
        <w:t xml:space="preserve"> direttamente al </w:t>
      </w:r>
      <w:r w:rsidR="00C61003" w:rsidRPr="00861646">
        <w:rPr>
          <w:rFonts w:ascii="Times New Roman" w:hAnsi="Times New Roman" w:cs="Times New Roman"/>
          <w:sz w:val="28"/>
          <w:szCs w:val="28"/>
        </w:rPr>
        <w:t xml:space="preserve">modello del </w:t>
      </w:r>
      <w:r w:rsidR="00C61003" w:rsidRPr="00861646">
        <w:rPr>
          <w:rFonts w:ascii="Times New Roman" w:hAnsi="Times New Roman" w:cs="Times New Roman"/>
          <w:i/>
          <w:iCs/>
          <w:sz w:val="28"/>
          <w:szCs w:val="28"/>
        </w:rPr>
        <w:t>project financing</w:t>
      </w:r>
      <w:r w:rsidR="005A509D">
        <w:rPr>
          <w:rStyle w:val="Rimandonotaapidipagina"/>
          <w:rFonts w:ascii="Times New Roman" w:hAnsi="Times New Roman" w:cs="Times New Roman"/>
          <w:i/>
          <w:iCs/>
          <w:sz w:val="28"/>
          <w:szCs w:val="28"/>
        </w:rPr>
        <w:footnoteReference w:id="11"/>
      </w:r>
      <w:r w:rsidR="005A509D" w:rsidRPr="00861646">
        <w:rPr>
          <w:rFonts w:ascii="Times New Roman" w:hAnsi="Times New Roman" w:cs="Times New Roman"/>
          <w:i/>
          <w:iCs/>
          <w:sz w:val="28"/>
          <w:szCs w:val="28"/>
        </w:rPr>
        <w:t xml:space="preserve">. </w:t>
      </w:r>
    </w:p>
    <w:p w14:paraId="2DE971E5" w14:textId="77777777" w:rsidR="00A42CE7" w:rsidRPr="00861646" w:rsidRDefault="00A42CE7" w:rsidP="00C2667C">
      <w:pPr>
        <w:pStyle w:val="Paragrafoelenco"/>
        <w:spacing w:line="288" w:lineRule="auto"/>
        <w:ind w:left="284" w:right="140"/>
        <w:jc w:val="both"/>
        <w:rPr>
          <w:rFonts w:ascii="Times New Roman" w:hAnsi="Times New Roman" w:cs="Times New Roman"/>
          <w:b/>
          <w:bCs/>
          <w:sz w:val="28"/>
          <w:szCs w:val="28"/>
        </w:rPr>
      </w:pPr>
    </w:p>
    <w:p w14:paraId="363088C8" w14:textId="52F1D4B9" w:rsidR="006764C9" w:rsidRPr="006764C9" w:rsidRDefault="0074239E" w:rsidP="00A42CE7">
      <w:pPr>
        <w:pStyle w:val="Paragrafoelenco"/>
        <w:numPr>
          <w:ilvl w:val="0"/>
          <w:numId w:val="14"/>
        </w:numPr>
        <w:spacing w:line="288" w:lineRule="auto"/>
        <w:ind w:left="284" w:right="140" w:firstLine="0"/>
        <w:jc w:val="both"/>
        <w:rPr>
          <w:rFonts w:ascii="Times New Roman" w:hAnsi="Times New Roman" w:cs="Times New Roman"/>
        </w:rPr>
      </w:pPr>
      <w:r w:rsidRPr="006764C9">
        <w:rPr>
          <w:rFonts w:ascii="Times New Roman" w:hAnsi="Times New Roman" w:cs="Times New Roman"/>
          <w:b/>
          <w:bCs/>
          <w:sz w:val="28"/>
          <w:szCs w:val="28"/>
        </w:rPr>
        <w:t>La disciplina dell’indennizzo secondo la legislazione nazionale</w:t>
      </w:r>
      <w:r w:rsidR="00F5611D" w:rsidRPr="006764C9">
        <w:rPr>
          <w:rFonts w:ascii="Times New Roman" w:hAnsi="Times New Roman" w:cs="Times New Roman"/>
          <w:b/>
          <w:bCs/>
          <w:sz w:val="28"/>
          <w:szCs w:val="28"/>
        </w:rPr>
        <w:t xml:space="preserve">. </w:t>
      </w:r>
      <w:r w:rsidR="00F5611D" w:rsidRPr="006764C9">
        <w:rPr>
          <w:rFonts w:ascii="Times New Roman" w:hAnsi="Times New Roman" w:cs="Times New Roman"/>
          <w:sz w:val="28"/>
          <w:szCs w:val="28"/>
        </w:rPr>
        <w:t>L</w:t>
      </w:r>
      <w:r w:rsidRPr="006764C9">
        <w:rPr>
          <w:rFonts w:ascii="Times New Roman" w:hAnsi="Times New Roman" w:cs="Times New Roman"/>
          <w:sz w:val="28"/>
          <w:szCs w:val="28"/>
        </w:rPr>
        <w:t xml:space="preserve">a </w:t>
      </w:r>
      <w:r w:rsidR="00F5611D" w:rsidRPr="006764C9">
        <w:rPr>
          <w:rFonts w:ascii="Times New Roman" w:hAnsi="Times New Roman" w:cs="Times New Roman"/>
          <w:sz w:val="28"/>
          <w:szCs w:val="28"/>
        </w:rPr>
        <w:t xml:space="preserve">previsione </w:t>
      </w:r>
      <w:r w:rsidRPr="006764C9">
        <w:rPr>
          <w:rFonts w:ascii="Times New Roman" w:hAnsi="Times New Roman" w:cs="Times New Roman"/>
          <w:sz w:val="28"/>
          <w:szCs w:val="28"/>
        </w:rPr>
        <w:t xml:space="preserve">dell’indennizzo al concessionario </w:t>
      </w:r>
      <w:r w:rsidR="00166913" w:rsidRPr="006764C9">
        <w:rPr>
          <w:rFonts w:ascii="Times New Roman" w:hAnsi="Times New Roman" w:cs="Times New Roman"/>
          <w:sz w:val="28"/>
          <w:szCs w:val="28"/>
        </w:rPr>
        <w:t xml:space="preserve">uscente </w:t>
      </w:r>
      <w:r w:rsidRPr="006764C9">
        <w:rPr>
          <w:rFonts w:ascii="Times New Roman" w:hAnsi="Times New Roman" w:cs="Times New Roman"/>
          <w:sz w:val="28"/>
          <w:szCs w:val="28"/>
        </w:rPr>
        <w:t xml:space="preserve">trova </w:t>
      </w:r>
      <w:r w:rsidR="00F5611D" w:rsidRPr="006764C9">
        <w:rPr>
          <w:rFonts w:ascii="Times New Roman" w:hAnsi="Times New Roman" w:cs="Times New Roman"/>
          <w:sz w:val="28"/>
          <w:szCs w:val="28"/>
        </w:rPr>
        <w:t xml:space="preserve">dunque </w:t>
      </w:r>
      <w:r w:rsidRPr="006764C9">
        <w:rPr>
          <w:rFonts w:ascii="Times New Roman" w:hAnsi="Times New Roman" w:cs="Times New Roman"/>
          <w:sz w:val="28"/>
          <w:szCs w:val="28"/>
        </w:rPr>
        <w:t xml:space="preserve">consacrazione nel comma 8 dell’articolo 4 della legge annuale per il mercato e la concorrenza, 5 agosto 2022, n. 118, come modificato dall’art. 1 del decreto-legge 16 settembre 2024, n. 131, convertito, con modificazioni, dalla legge 14 novembre 2024, n. 166. </w:t>
      </w:r>
      <w:r w:rsidR="00F5611D" w:rsidRPr="006764C9">
        <w:rPr>
          <w:rFonts w:ascii="Times New Roman" w:hAnsi="Times New Roman" w:cs="Times New Roman"/>
          <w:sz w:val="28"/>
          <w:szCs w:val="28"/>
        </w:rPr>
        <w:t>T</w:t>
      </w:r>
      <w:r w:rsidRPr="006764C9">
        <w:rPr>
          <w:rFonts w:ascii="Times New Roman" w:hAnsi="Times New Roman" w:cs="Times New Roman"/>
          <w:sz w:val="28"/>
          <w:szCs w:val="28"/>
        </w:rPr>
        <w:t xml:space="preserve">ale testo di legge risponde alla finalità, esplicitata nella rubrica, di scongiurare le procedure di infrazione e </w:t>
      </w:r>
      <w:proofErr w:type="spellStart"/>
      <w:r w:rsidRPr="006764C9">
        <w:rPr>
          <w:rFonts w:ascii="Times New Roman" w:hAnsi="Times New Roman" w:cs="Times New Roman"/>
          <w:sz w:val="28"/>
          <w:szCs w:val="28"/>
        </w:rPr>
        <w:t>pre</w:t>
      </w:r>
      <w:proofErr w:type="spellEnd"/>
      <w:r w:rsidRPr="006764C9">
        <w:rPr>
          <w:rFonts w:ascii="Times New Roman" w:hAnsi="Times New Roman" w:cs="Times New Roman"/>
          <w:sz w:val="28"/>
          <w:szCs w:val="28"/>
        </w:rPr>
        <w:t xml:space="preserve">-infrazione pendenti nei confronti dello Stato italiano. Il comma 9 prevede che in caso di rilascio della concessione a favore di un nuovo concessionario, quello uscente </w:t>
      </w:r>
      <w:r w:rsidRPr="006764C9">
        <w:rPr>
          <w:rFonts w:ascii="Arial" w:hAnsi="Arial" w:cs="Arial"/>
          <w:sz w:val="28"/>
          <w:szCs w:val="28"/>
        </w:rPr>
        <w:t>«</w:t>
      </w:r>
      <w:r w:rsidRPr="006764C9">
        <w:rPr>
          <w:rFonts w:ascii="Times New Roman" w:hAnsi="Times New Roman" w:cs="Times New Roman"/>
          <w:i/>
          <w:iCs/>
          <w:sz w:val="28"/>
          <w:szCs w:val="28"/>
        </w:rPr>
        <w:t>ha diritto</w:t>
      </w:r>
      <w:r w:rsidRPr="006764C9">
        <w:rPr>
          <w:rFonts w:ascii="Arial" w:hAnsi="Arial" w:cs="Arial"/>
          <w:sz w:val="28"/>
          <w:szCs w:val="28"/>
        </w:rPr>
        <w:t>»</w:t>
      </w:r>
      <w:r w:rsidRPr="006764C9">
        <w:rPr>
          <w:rFonts w:ascii="Times New Roman" w:hAnsi="Times New Roman" w:cs="Times New Roman"/>
          <w:sz w:val="28"/>
          <w:szCs w:val="28"/>
        </w:rPr>
        <w:t xml:space="preserve"> al riconoscimento di un indennizzo </w:t>
      </w:r>
      <w:r w:rsidRPr="006764C9">
        <w:rPr>
          <w:rFonts w:ascii="Arial" w:hAnsi="Arial" w:cs="Arial"/>
          <w:sz w:val="28"/>
          <w:szCs w:val="28"/>
        </w:rPr>
        <w:t>«</w:t>
      </w:r>
      <w:r w:rsidRPr="006764C9">
        <w:rPr>
          <w:rFonts w:ascii="Times New Roman" w:hAnsi="Times New Roman" w:cs="Times New Roman"/>
          <w:i/>
          <w:iCs/>
          <w:sz w:val="28"/>
          <w:szCs w:val="28"/>
        </w:rPr>
        <w:t>a carico del concessionario subentrante pari al valore degli investimenti effettuati e non ancora ammortizzati al termine della concessione, ivi compresi gli investimenti effettuati in conseguenza di eventi calamitosi debitamente dichiarati dalle autorità competenti ovvero in conseguenza di sopravvenuti obblighi di legge, al netto di ogni misura di aiuto o sovvenzione pubblica eventualmente percepita e non rimborsata, nonché pari a quanto necessario per garantire al concessionario uscente un’equa remunerazione sugli investimenti effettuati negli ultimi cinque anni</w:t>
      </w:r>
      <w:r w:rsidRPr="006764C9">
        <w:rPr>
          <w:rFonts w:ascii="Times New Roman" w:hAnsi="Times New Roman" w:cs="Times New Roman"/>
          <w:sz w:val="28"/>
          <w:szCs w:val="28"/>
        </w:rPr>
        <w:t xml:space="preserve"> </w:t>
      </w:r>
      <w:r w:rsidRPr="006764C9">
        <w:rPr>
          <w:rFonts w:ascii="Arial" w:hAnsi="Arial" w:cs="Arial"/>
          <w:sz w:val="28"/>
          <w:szCs w:val="28"/>
        </w:rPr>
        <w:t>[</w:t>
      </w:r>
      <w:r w:rsidRPr="006764C9">
        <w:rPr>
          <w:rFonts w:ascii="Times New Roman" w:hAnsi="Times New Roman" w:cs="Times New Roman"/>
          <w:sz w:val="28"/>
          <w:szCs w:val="28"/>
        </w:rPr>
        <w:t>…</w:t>
      </w:r>
      <w:r w:rsidRPr="006764C9">
        <w:rPr>
          <w:rFonts w:ascii="Arial" w:hAnsi="Arial" w:cs="Arial"/>
          <w:sz w:val="28"/>
          <w:szCs w:val="28"/>
        </w:rPr>
        <w:t>]»</w:t>
      </w:r>
      <w:r w:rsidRPr="006764C9">
        <w:rPr>
          <w:rFonts w:ascii="Times New Roman" w:hAnsi="Times New Roman" w:cs="Times New Roman"/>
          <w:sz w:val="28"/>
          <w:szCs w:val="28"/>
        </w:rPr>
        <w:t>.</w:t>
      </w:r>
      <w:r w:rsidRPr="006764C9">
        <w:rPr>
          <w:rFonts w:ascii="Times New Roman" w:hAnsi="Times New Roman" w:cs="Times New Roman"/>
        </w:rPr>
        <w:t xml:space="preserve"> </w:t>
      </w:r>
      <w:r w:rsidR="00F5611D" w:rsidRPr="006764C9">
        <w:rPr>
          <w:rFonts w:ascii="Times New Roman" w:hAnsi="Times New Roman" w:cs="Times New Roman"/>
          <w:sz w:val="28"/>
          <w:szCs w:val="28"/>
        </w:rPr>
        <w:t xml:space="preserve">La previsione, peraltro, segue quella (contenuta nel comma precedente) che solo in apparenza ribadisce la regola generale già contenuta nel Codice della navigazione. Essa afferma che: </w:t>
      </w:r>
      <w:r w:rsidR="00F5611D" w:rsidRPr="006764C9">
        <w:rPr>
          <w:rFonts w:ascii="Arial" w:hAnsi="Arial" w:cs="Arial"/>
          <w:sz w:val="28"/>
          <w:szCs w:val="28"/>
        </w:rPr>
        <w:t>«</w:t>
      </w:r>
      <w:r w:rsidR="00F5611D" w:rsidRPr="006764C9">
        <w:rPr>
          <w:rFonts w:ascii="Times New Roman" w:hAnsi="Times New Roman" w:cs="Times New Roman"/>
          <w:i/>
          <w:iCs/>
          <w:sz w:val="28"/>
          <w:szCs w:val="28"/>
        </w:rPr>
        <w:t>In caso di rilascio della concessione a favore di un nuovo concessionario, l’ente concedente può ordinare al concessionario uscente, in assenza di diversa previsione nell’atto concessorio e con provvedimento motivato ai sensi dell’</w:t>
      </w:r>
      <w:hyperlink r:id="rId8" w:tgtFrame="_blank" w:history="1">
        <w:r w:rsidR="00F5611D" w:rsidRPr="006764C9">
          <w:rPr>
            <w:rStyle w:val="Collegamentoipertestuale"/>
            <w:rFonts w:ascii="Times New Roman" w:hAnsi="Times New Roman" w:cs="Times New Roman"/>
            <w:i/>
            <w:iCs/>
            <w:color w:val="auto"/>
            <w:sz w:val="28"/>
            <w:szCs w:val="28"/>
            <w:u w:val="none"/>
          </w:rPr>
          <w:t>articolo 49 del codice della navigazione</w:t>
        </w:r>
      </w:hyperlink>
      <w:r w:rsidR="00F5611D" w:rsidRPr="006764C9">
        <w:rPr>
          <w:rFonts w:ascii="Times New Roman" w:hAnsi="Times New Roman" w:cs="Times New Roman"/>
          <w:i/>
          <w:iCs/>
          <w:sz w:val="28"/>
          <w:szCs w:val="28"/>
        </w:rPr>
        <w:t>, la demolizione, a spese del medesimo, delle opere non amovibili autorizzate e realizzate da detto concessionario</w:t>
      </w:r>
      <w:r w:rsidR="00F5611D" w:rsidRPr="006764C9">
        <w:rPr>
          <w:rFonts w:ascii="Arial" w:hAnsi="Arial" w:cs="Arial"/>
          <w:i/>
          <w:iCs/>
          <w:sz w:val="28"/>
          <w:szCs w:val="28"/>
        </w:rPr>
        <w:t>»</w:t>
      </w:r>
      <w:r w:rsidR="00F5611D" w:rsidRPr="006764C9">
        <w:rPr>
          <w:rFonts w:ascii="Times New Roman" w:hAnsi="Times New Roman" w:cs="Times New Roman"/>
          <w:sz w:val="28"/>
          <w:szCs w:val="28"/>
        </w:rPr>
        <w:t xml:space="preserve">. Sicché astrattamente, laddove non si addivenga al rilascio di concessioni senza soluzione di continuità, il problema del ripristino dello stato dei luoghi sembrerebbe non porsi. </w:t>
      </w:r>
      <w:r w:rsidRPr="006764C9">
        <w:rPr>
          <w:rFonts w:ascii="Times New Roman" w:hAnsi="Times New Roman" w:cs="Times New Roman"/>
          <w:sz w:val="28"/>
          <w:szCs w:val="28"/>
        </w:rPr>
        <w:t xml:space="preserve">Di fatto, dunque, l’eventualità </w:t>
      </w:r>
      <w:r w:rsidR="00F5611D" w:rsidRPr="006764C9">
        <w:rPr>
          <w:rFonts w:ascii="Times New Roman" w:hAnsi="Times New Roman" w:cs="Times New Roman"/>
          <w:sz w:val="28"/>
          <w:szCs w:val="28"/>
        </w:rPr>
        <w:t xml:space="preserve">di un ristoro </w:t>
      </w:r>
      <w:r w:rsidRPr="006764C9">
        <w:rPr>
          <w:rFonts w:ascii="Times New Roman" w:hAnsi="Times New Roman" w:cs="Times New Roman"/>
          <w:sz w:val="28"/>
          <w:szCs w:val="28"/>
        </w:rPr>
        <w:t xml:space="preserve">è </w:t>
      </w:r>
      <w:r w:rsidR="00F5611D" w:rsidRPr="006764C9">
        <w:rPr>
          <w:rFonts w:ascii="Times New Roman" w:hAnsi="Times New Roman" w:cs="Times New Roman"/>
          <w:sz w:val="28"/>
          <w:szCs w:val="28"/>
        </w:rPr>
        <w:t xml:space="preserve">concepita dal legislatore come </w:t>
      </w:r>
      <w:r w:rsidRPr="006764C9">
        <w:rPr>
          <w:rFonts w:ascii="Times New Roman" w:hAnsi="Times New Roman" w:cs="Times New Roman"/>
          <w:sz w:val="28"/>
          <w:szCs w:val="28"/>
        </w:rPr>
        <w:t>un vero e proprio diritto</w:t>
      </w:r>
      <w:r w:rsidR="00F5611D" w:rsidRPr="006764C9">
        <w:rPr>
          <w:rFonts w:ascii="Times New Roman" w:hAnsi="Times New Roman" w:cs="Times New Roman"/>
          <w:sz w:val="28"/>
          <w:szCs w:val="28"/>
        </w:rPr>
        <w:t>. La sua</w:t>
      </w:r>
      <w:r w:rsidRPr="006764C9">
        <w:rPr>
          <w:rFonts w:ascii="Times New Roman" w:hAnsi="Times New Roman" w:cs="Times New Roman"/>
          <w:sz w:val="28"/>
          <w:szCs w:val="28"/>
        </w:rPr>
        <w:t xml:space="preserve"> corresponsione è posta a carico del subentrante e </w:t>
      </w:r>
      <w:r w:rsidR="00F5611D" w:rsidRPr="006764C9">
        <w:rPr>
          <w:rFonts w:ascii="Times New Roman" w:hAnsi="Times New Roman" w:cs="Times New Roman"/>
          <w:sz w:val="28"/>
          <w:szCs w:val="28"/>
        </w:rPr>
        <w:t>esso si compone di due voci distinte, di non agevole individuazione: l’</w:t>
      </w:r>
      <w:r w:rsidRPr="006764C9">
        <w:rPr>
          <w:rFonts w:ascii="Times New Roman" w:hAnsi="Times New Roman" w:cs="Times New Roman"/>
          <w:sz w:val="28"/>
          <w:szCs w:val="28"/>
        </w:rPr>
        <w:t>“indennizzo” degli investimenti non ancora ammortizzati</w:t>
      </w:r>
      <w:r w:rsidR="00F5611D" w:rsidRPr="006764C9">
        <w:rPr>
          <w:rFonts w:ascii="Times New Roman" w:hAnsi="Times New Roman" w:cs="Times New Roman"/>
          <w:sz w:val="28"/>
          <w:szCs w:val="28"/>
        </w:rPr>
        <w:t xml:space="preserve"> e</w:t>
      </w:r>
      <w:r w:rsidRPr="006764C9">
        <w:rPr>
          <w:rFonts w:ascii="Times New Roman" w:hAnsi="Times New Roman" w:cs="Times New Roman"/>
          <w:sz w:val="28"/>
          <w:szCs w:val="28"/>
        </w:rPr>
        <w:t xml:space="preserve"> un</w:t>
      </w:r>
      <w:r w:rsidR="004F7857" w:rsidRPr="006764C9">
        <w:rPr>
          <w:rFonts w:ascii="Times New Roman" w:hAnsi="Times New Roman" w:cs="Times New Roman"/>
          <w:sz w:val="28"/>
          <w:szCs w:val="28"/>
        </w:rPr>
        <w:t>a</w:t>
      </w:r>
      <w:r w:rsidRPr="006764C9">
        <w:rPr>
          <w:rFonts w:ascii="Times New Roman" w:hAnsi="Times New Roman" w:cs="Times New Roman"/>
          <w:sz w:val="28"/>
          <w:szCs w:val="28"/>
        </w:rPr>
        <w:t xml:space="preserve"> </w:t>
      </w:r>
      <w:r w:rsidR="004F7857" w:rsidRPr="006764C9">
        <w:rPr>
          <w:rFonts w:ascii="Times New Roman" w:hAnsi="Times New Roman" w:cs="Times New Roman"/>
          <w:sz w:val="28"/>
          <w:szCs w:val="28"/>
        </w:rPr>
        <w:t xml:space="preserve">non meglio precisata </w:t>
      </w:r>
      <w:r w:rsidRPr="006764C9">
        <w:rPr>
          <w:rFonts w:ascii="Times New Roman" w:hAnsi="Times New Roman" w:cs="Times New Roman"/>
          <w:sz w:val="28"/>
          <w:szCs w:val="28"/>
        </w:rPr>
        <w:t>“equ</w:t>
      </w:r>
      <w:r w:rsidR="004F7857" w:rsidRPr="006764C9">
        <w:rPr>
          <w:rFonts w:ascii="Times New Roman" w:hAnsi="Times New Roman" w:cs="Times New Roman"/>
          <w:sz w:val="28"/>
          <w:szCs w:val="28"/>
        </w:rPr>
        <w:t>a remunerazione”, commisurata essa pure agli investimenti effettuati, ma limitatamente agli ultimi cinque anni. Il valore degli investimenti effettuati e non ammortizzati e di quanto necessario a garantire l’equa remunerazione</w:t>
      </w:r>
      <w:r w:rsidR="009332AD" w:rsidRPr="006764C9">
        <w:rPr>
          <w:rFonts w:ascii="Times New Roman" w:hAnsi="Times New Roman" w:cs="Times New Roman"/>
          <w:sz w:val="28"/>
          <w:szCs w:val="28"/>
        </w:rPr>
        <w:t xml:space="preserve"> è rimesso a una </w:t>
      </w:r>
      <w:r w:rsidR="004F7857" w:rsidRPr="006764C9">
        <w:rPr>
          <w:rFonts w:ascii="Times New Roman" w:hAnsi="Times New Roman" w:cs="Times New Roman"/>
          <w:sz w:val="28"/>
          <w:szCs w:val="28"/>
        </w:rPr>
        <w:t>perizia acquisita dall</w:t>
      </w:r>
      <w:r w:rsidR="009332AD" w:rsidRPr="006764C9">
        <w:rPr>
          <w:rFonts w:ascii="Times New Roman" w:hAnsi="Times New Roman" w:cs="Times New Roman"/>
          <w:sz w:val="28"/>
          <w:szCs w:val="28"/>
        </w:rPr>
        <w:t>’</w:t>
      </w:r>
      <w:r w:rsidR="004F7857" w:rsidRPr="006764C9">
        <w:rPr>
          <w:rFonts w:ascii="Times New Roman" w:hAnsi="Times New Roman" w:cs="Times New Roman"/>
          <w:sz w:val="28"/>
          <w:szCs w:val="28"/>
        </w:rPr>
        <w:t>ente concedente prima della pubblicazione del bando di gara, rilasciata in forma asseverata e con esplicita dichiarazione di responsabilità da parte di un professionista ovvero di un collegio di professionisti nominati</w:t>
      </w:r>
      <w:r w:rsidR="009332AD" w:rsidRPr="006764C9">
        <w:rPr>
          <w:rFonts w:ascii="Times New Roman" w:hAnsi="Times New Roman" w:cs="Times New Roman"/>
          <w:b/>
          <w:bCs/>
          <w:i/>
          <w:iCs/>
          <w:sz w:val="28"/>
          <w:szCs w:val="28"/>
        </w:rPr>
        <w:t xml:space="preserve"> </w:t>
      </w:r>
      <w:r w:rsidR="004F7857" w:rsidRPr="006764C9">
        <w:rPr>
          <w:rFonts w:ascii="Times New Roman" w:hAnsi="Times New Roman" w:cs="Times New Roman"/>
          <w:sz w:val="28"/>
          <w:szCs w:val="28"/>
        </w:rPr>
        <w:t>dal medesimo ente concedente tra cinque nominativi indicati dal Presidente del Consiglio nazionale dei dottori commercialisti e degli esperti contabili.</w:t>
      </w:r>
      <w:r w:rsidR="009332AD" w:rsidRPr="006764C9">
        <w:rPr>
          <w:rFonts w:ascii="Times New Roman" w:hAnsi="Times New Roman" w:cs="Times New Roman"/>
          <w:sz w:val="28"/>
          <w:szCs w:val="28"/>
        </w:rPr>
        <w:t xml:space="preserve"> </w:t>
      </w:r>
      <w:r w:rsidR="002B647C" w:rsidRPr="006764C9">
        <w:rPr>
          <w:rFonts w:ascii="Times New Roman" w:hAnsi="Times New Roman" w:cs="Times New Roman"/>
          <w:sz w:val="28"/>
          <w:szCs w:val="28"/>
        </w:rPr>
        <w:t xml:space="preserve">Sembrerebbe dunque gravare su tali professionisti l’onere di sciogliere gli inestricabili dubbi interpretativi che la disposizione, a maggior ragione in assenza del decreto attuativo, obiettivamente pone. </w:t>
      </w:r>
      <w:r w:rsidR="009332AD" w:rsidRPr="006764C9">
        <w:rPr>
          <w:rFonts w:ascii="Times New Roman" w:hAnsi="Times New Roman" w:cs="Times New Roman"/>
          <w:sz w:val="28"/>
          <w:szCs w:val="28"/>
        </w:rPr>
        <w:t xml:space="preserve">Il perfezionamento del nuovo rapporto concessorio è subordinato all’avvenuto pagamento dell’indennizzo da parte del concessionario subentrante in misura non inferiore al venti per cento, a pena di decadenza dalla concessione. </w:t>
      </w:r>
      <w:r w:rsidR="004F7857" w:rsidRPr="006764C9">
        <w:rPr>
          <w:rFonts w:ascii="Times New Roman" w:hAnsi="Times New Roman" w:cs="Times New Roman"/>
          <w:sz w:val="28"/>
          <w:szCs w:val="28"/>
        </w:rPr>
        <w:t xml:space="preserve">I criteri per individuare tale “equa remunerazione” sono demandati ad un </w:t>
      </w:r>
      <w:r w:rsidRPr="006764C9">
        <w:rPr>
          <w:rFonts w:ascii="Times New Roman" w:hAnsi="Times New Roman" w:cs="Times New Roman"/>
          <w:sz w:val="28"/>
          <w:szCs w:val="28"/>
        </w:rPr>
        <w:t>decreto del Ministro delle infrastrutture e dei trasporti, di concerto con il Ministro dell'economia e delle finanze</w:t>
      </w:r>
      <w:r w:rsidR="004F7857" w:rsidRPr="006764C9">
        <w:rPr>
          <w:rFonts w:ascii="Times New Roman" w:hAnsi="Times New Roman" w:cs="Times New Roman"/>
          <w:sz w:val="28"/>
          <w:szCs w:val="28"/>
        </w:rPr>
        <w:t>, i cui termini di adozione (fissati al 31 marzo 2025) sono ormai ampiamente scaduti</w:t>
      </w:r>
      <w:r w:rsidRPr="006764C9">
        <w:rPr>
          <w:rFonts w:ascii="Times New Roman" w:hAnsi="Times New Roman" w:cs="Times New Roman"/>
          <w:sz w:val="28"/>
          <w:szCs w:val="28"/>
        </w:rPr>
        <w:t>.</w:t>
      </w:r>
      <w:r w:rsidR="004F7857" w:rsidRPr="006764C9">
        <w:rPr>
          <w:rFonts w:ascii="Times New Roman" w:hAnsi="Times New Roman" w:cs="Times New Roman"/>
          <w:sz w:val="28"/>
          <w:szCs w:val="28"/>
        </w:rPr>
        <w:t xml:space="preserve"> Il tentativo di ottemperare alla delega, infatti, </w:t>
      </w:r>
      <w:r w:rsidR="002B647C" w:rsidRPr="006764C9">
        <w:rPr>
          <w:rFonts w:ascii="Times New Roman" w:hAnsi="Times New Roman" w:cs="Times New Roman"/>
          <w:sz w:val="28"/>
          <w:szCs w:val="28"/>
        </w:rPr>
        <w:t xml:space="preserve">come sopra ricordato, </w:t>
      </w:r>
      <w:r w:rsidR="004F7857" w:rsidRPr="006764C9">
        <w:rPr>
          <w:rFonts w:ascii="Times New Roman" w:hAnsi="Times New Roman" w:cs="Times New Roman"/>
          <w:sz w:val="28"/>
          <w:szCs w:val="28"/>
        </w:rPr>
        <w:t xml:space="preserve">si </w:t>
      </w:r>
      <w:r w:rsidR="002B647C" w:rsidRPr="006764C9">
        <w:rPr>
          <w:rFonts w:ascii="Times New Roman" w:hAnsi="Times New Roman" w:cs="Times New Roman"/>
          <w:sz w:val="28"/>
          <w:szCs w:val="28"/>
        </w:rPr>
        <w:t xml:space="preserve">sono arrestati all’ipotesi di testo su cui il </w:t>
      </w:r>
      <w:r w:rsidR="004F7857" w:rsidRPr="006764C9">
        <w:rPr>
          <w:rFonts w:ascii="Times New Roman" w:hAnsi="Times New Roman" w:cs="Times New Roman"/>
          <w:sz w:val="28"/>
          <w:szCs w:val="28"/>
        </w:rPr>
        <w:t xml:space="preserve">Consiglio di Stato </w:t>
      </w:r>
      <w:r w:rsidR="002B647C" w:rsidRPr="006764C9">
        <w:rPr>
          <w:rFonts w:ascii="Times New Roman" w:hAnsi="Times New Roman" w:cs="Times New Roman"/>
          <w:sz w:val="28"/>
          <w:szCs w:val="28"/>
        </w:rPr>
        <w:t xml:space="preserve">ha rilasciato il </w:t>
      </w:r>
      <w:r w:rsidR="004F7857" w:rsidRPr="006764C9">
        <w:rPr>
          <w:rFonts w:ascii="Times New Roman" w:hAnsi="Times New Roman" w:cs="Times New Roman"/>
          <w:sz w:val="28"/>
          <w:szCs w:val="28"/>
        </w:rPr>
        <w:t xml:space="preserve">parere n. 750 del 2025, </w:t>
      </w:r>
      <w:r w:rsidR="002B647C" w:rsidRPr="006764C9">
        <w:rPr>
          <w:rFonts w:ascii="Times New Roman" w:hAnsi="Times New Roman" w:cs="Times New Roman"/>
          <w:sz w:val="28"/>
          <w:szCs w:val="28"/>
        </w:rPr>
        <w:t xml:space="preserve">ampiamente motivato in senso critico, si ritiene anche nei confronti della norma primaria di delega. </w:t>
      </w:r>
      <w:r w:rsidR="009332AD" w:rsidRPr="006764C9">
        <w:rPr>
          <w:rFonts w:ascii="Times New Roman" w:hAnsi="Times New Roman" w:cs="Times New Roman"/>
          <w:sz w:val="28"/>
          <w:szCs w:val="28"/>
        </w:rPr>
        <w:t>La norma prevede tuttavia espressamente che la mancata adozione del decreto non giustifichi il mancato avvio delle procedure di affidamento</w:t>
      </w:r>
      <w:r w:rsidR="002B647C" w:rsidRPr="006764C9">
        <w:rPr>
          <w:rFonts w:ascii="Times New Roman" w:hAnsi="Times New Roman" w:cs="Times New Roman"/>
          <w:sz w:val="28"/>
          <w:szCs w:val="28"/>
        </w:rPr>
        <w:t>: da qui le difficoltà aggiuntive con le quali sono chiamate a cimentarsi i Comuni</w:t>
      </w:r>
      <w:r w:rsidR="009332AD" w:rsidRPr="006764C9">
        <w:rPr>
          <w:rFonts w:ascii="Times New Roman" w:hAnsi="Times New Roman" w:cs="Times New Roman"/>
          <w:sz w:val="28"/>
          <w:szCs w:val="28"/>
        </w:rPr>
        <w:t xml:space="preserve">. </w:t>
      </w:r>
      <w:r w:rsidR="004F7857" w:rsidRPr="006764C9">
        <w:rPr>
          <w:rFonts w:ascii="Times New Roman" w:hAnsi="Times New Roman" w:cs="Times New Roman"/>
          <w:sz w:val="28"/>
          <w:szCs w:val="28"/>
        </w:rPr>
        <w:t xml:space="preserve">Il comma 4 dell’art. 4 della legge n. 118/2022 include </w:t>
      </w:r>
      <w:r w:rsidR="002B647C" w:rsidRPr="006764C9">
        <w:rPr>
          <w:rFonts w:ascii="Times New Roman" w:hAnsi="Times New Roman" w:cs="Times New Roman"/>
          <w:sz w:val="28"/>
          <w:szCs w:val="28"/>
        </w:rPr>
        <w:t xml:space="preserve">poi </w:t>
      </w:r>
      <w:r w:rsidR="004F7857" w:rsidRPr="006764C9">
        <w:rPr>
          <w:rFonts w:ascii="Times New Roman" w:hAnsi="Times New Roman" w:cs="Times New Roman"/>
          <w:sz w:val="28"/>
          <w:szCs w:val="28"/>
        </w:rPr>
        <w:t xml:space="preserve">tra i contenuti obbligatori del bando di gara </w:t>
      </w:r>
      <w:r w:rsidR="004F7857" w:rsidRPr="006764C9">
        <w:rPr>
          <w:rFonts w:ascii="Arial" w:hAnsi="Arial" w:cs="Arial"/>
          <w:sz w:val="28"/>
          <w:szCs w:val="28"/>
        </w:rPr>
        <w:t>«</w:t>
      </w:r>
      <w:r w:rsidR="004F7857" w:rsidRPr="006764C9">
        <w:rPr>
          <w:rFonts w:ascii="Times New Roman" w:hAnsi="Times New Roman" w:cs="Times New Roman"/>
          <w:i/>
          <w:iCs/>
          <w:sz w:val="28"/>
          <w:szCs w:val="28"/>
        </w:rPr>
        <w:t>il valore dell’indennizzo di cui al comma 9, nonché i termini e le modalità di corresponsione dello stesso</w:t>
      </w:r>
      <w:r w:rsidR="004F7857" w:rsidRPr="006764C9">
        <w:rPr>
          <w:rFonts w:ascii="Arial" w:hAnsi="Arial" w:cs="Arial"/>
          <w:sz w:val="28"/>
          <w:szCs w:val="28"/>
        </w:rPr>
        <w:t xml:space="preserve">». </w:t>
      </w:r>
      <w:r w:rsidR="009332AD" w:rsidRPr="006764C9">
        <w:rPr>
          <w:rFonts w:ascii="Times New Roman" w:hAnsi="Times New Roman" w:cs="Times New Roman"/>
          <w:sz w:val="28"/>
          <w:szCs w:val="28"/>
        </w:rPr>
        <w:t>Non menziona l’“equa remunerazione”</w:t>
      </w:r>
      <w:r w:rsidR="002B647C" w:rsidRPr="006764C9">
        <w:rPr>
          <w:rFonts w:ascii="Times New Roman" w:hAnsi="Times New Roman" w:cs="Times New Roman"/>
          <w:sz w:val="28"/>
          <w:szCs w:val="28"/>
        </w:rPr>
        <w:t>, sicché astrattamente, in assenza di chiarimenti sull’esatta portata della locuzione, se ne può prescindere</w:t>
      </w:r>
      <w:r w:rsidR="009332AD" w:rsidRPr="006764C9">
        <w:rPr>
          <w:rFonts w:ascii="Times New Roman" w:hAnsi="Times New Roman" w:cs="Times New Roman"/>
          <w:sz w:val="28"/>
          <w:szCs w:val="28"/>
        </w:rPr>
        <w:t>. Il comma 6 infine in</w:t>
      </w:r>
      <w:r w:rsidR="002B647C" w:rsidRPr="006764C9">
        <w:rPr>
          <w:rFonts w:ascii="Times New Roman" w:hAnsi="Times New Roman" w:cs="Times New Roman"/>
          <w:sz w:val="28"/>
          <w:szCs w:val="28"/>
        </w:rPr>
        <w:t xml:space="preserve">serisce </w:t>
      </w:r>
      <w:r w:rsidR="009332AD" w:rsidRPr="006764C9">
        <w:rPr>
          <w:rFonts w:ascii="Times New Roman" w:hAnsi="Times New Roman" w:cs="Times New Roman"/>
          <w:sz w:val="28"/>
          <w:szCs w:val="28"/>
        </w:rPr>
        <w:t xml:space="preserve">il rialzo rispetto all’importo “minimo” dovuto a titolo di indennizzo tra </w:t>
      </w:r>
      <w:r w:rsidR="002B647C" w:rsidRPr="006764C9">
        <w:rPr>
          <w:rFonts w:ascii="Times New Roman" w:hAnsi="Times New Roman" w:cs="Times New Roman"/>
          <w:sz w:val="28"/>
          <w:szCs w:val="28"/>
        </w:rPr>
        <w:t xml:space="preserve">i </w:t>
      </w:r>
      <w:r w:rsidR="009332AD" w:rsidRPr="006764C9">
        <w:rPr>
          <w:rFonts w:ascii="Times New Roman" w:hAnsi="Times New Roman" w:cs="Times New Roman"/>
          <w:sz w:val="28"/>
          <w:szCs w:val="28"/>
        </w:rPr>
        <w:t>criteri di valutazione delle offerte</w:t>
      </w:r>
      <w:r w:rsidR="009332AD">
        <w:rPr>
          <w:rStyle w:val="Rimandonotaapidipagina"/>
          <w:rFonts w:ascii="Times New Roman" w:hAnsi="Times New Roman" w:cs="Times New Roman"/>
          <w:sz w:val="28"/>
          <w:szCs w:val="28"/>
        </w:rPr>
        <w:footnoteReference w:id="12"/>
      </w:r>
      <w:r w:rsidR="009332AD" w:rsidRPr="006764C9">
        <w:rPr>
          <w:rFonts w:ascii="Arial" w:hAnsi="Arial" w:cs="Arial"/>
          <w:sz w:val="28"/>
          <w:szCs w:val="28"/>
        </w:rPr>
        <w:t xml:space="preserve">. </w:t>
      </w:r>
      <w:r w:rsidR="00DE0939" w:rsidRPr="006764C9">
        <w:rPr>
          <w:rFonts w:ascii="Times New Roman" w:hAnsi="Times New Roman" w:cs="Times New Roman"/>
          <w:sz w:val="28"/>
          <w:szCs w:val="28"/>
        </w:rPr>
        <w:t xml:space="preserve">A ciò consegue </w:t>
      </w:r>
      <w:r w:rsidR="002B647C" w:rsidRPr="006764C9">
        <w:rPr>
          <w:rFonts w:ascii="Times New Roman" w:hAnsi="Times New Roman" w:cs="Times New Roman"/>
          <w:sz w:val="28"/>
          <w:szCs w:val="28"/>
        </w:rPr>
        <w:t xml:space="preserve">anche, in termini più generali, </w:t>
      </w:r>
      <w:r w:rsidR="00DE0939" w:rsidRPr="006764C9">
        <w:rPr>
          <w:rFonts w:ascii="Times New Roman" w:hAnsi="Times New Roman" w:cs="Times New Roman"/>
          <w:sz w:val="28"/>
          <w:szCs w:val="28"/>
        </w:rPr>
        <w:t xml:space="preserve">che </w:t>
      </w:r>
      <w:r w:rsidRPr="006764C9">
        <w:rPr>
          <w:rFonts w:ascii="Times New Roman" w:hAnsi="Times New Roman" w:cs="Times New Roman"/>
          <w:sz w:val="28"/>
          <w:szCs w:val="28"/>
        </w:rPr>
        <w:t>sotto il profilo economico, la selezione comparativa degli operatori si incentra</w:t>
      </w:r>
      <w:r w:rsidR="002B647C" w:rsidRPr="006764C9">
        <w:rPr>
          <w:rFonts w:ascii="Times New Roman" w:hAnsi="Times New Roman" w:cs="Times New Roman"/>
          <w:sz w:val="28"/>
          <w:szCs w:val="28"/>
        </w:rPr>
        <w:t xml:space="preserve"> (anche)</w:t>
      </w:r>
      <w:r w:rsidRPr="006764C9">
        <w:rPr>
          <w:rFonts w:ascii="Times New Roman" w:hAnsi="Times New Roman" w:cs="Times New Roman"/>
          <w:sz w:val="28"/>
          <w:szCs w:val="28"/>
        </w:rPr>
        <w:t xml:space="preserve"> sull’offerta al rialzo dell’indennizzo rispetto al suo “importo minimo”, quantificato nel bando di gara, e non sulla “misura del canone”</w:t>
      </w:r>
      <w:r w:rsidR="00DE0939" w:rsidRPr="006764C9">
        <w:rPr>
          <w:rFonts w:ascii="Times New Roman" w:hAnsi="Times New Roman" w:cs="Times New Roman"/>
          <w:sz w:val="28"/>
          <w:szCs w:val="28"/>
        </w:rPr>
        <w:t xml:space="preserve">, </w:t>
      </w:r>
      <w:r w:rsidRPr="006764C9">
        <w:rPr>
          <w:rFonts w:ascii="Times New Roman" w:hAnsi="Times New Roman" w:cs="Times New Roman"/>
          <w:sz w:val="28"/>
          <w:szCs w:val="28"/>
        </w:rPr>
        <w:t xml:space="preserve">che deve </w:t>
      </w:r>
      <w:r w:rsidR="00DE0939" w:rsidRPr="006764C9">
        <w:rPr>
          <w:rFonts w:ascii="Times New Roman" w:hAnsi="Times New Roman" w:cs="Times New Roman"/>
          <w:sz w:val="28"/>
          <w:szCs w:val="28"/>
        </w:rPr>
        <w:t xml:space="preserve">solo </w:t>
      </w:r>
      <w:r w:rsidRPr="006764C9">
        <w:rPr>
          <w:rFonts w:ascii="Times New Roman" w:hAnsi="Times New Roman" w:cs="Times New Roman"/>
          <w:sz w:val="28"/>
          <w:szCs w:val="28"/>
        </w:rPr>
        <w:t>essere indicata</w:t>
      </w:r>
      <w:r w:rsidR="00DE0939" w:rsidRPr="006764C9">
        <w:rPr>
          <w:rFonts w:ascii="Times New Roman" w:hAnsi="Times New Roman" w:cs="Times New Roman"/>
          <w:sz w:val="28"/>
          <w:szCs w:val="28"/>
        </w:rPr>
        <w:t xml:space="preserve"> nel bando (</w:t>
      </w:r>
      <w:r w:rsidRPr="006764C9">
        <w:rPr>
          <w:rFonts w:ascii="Times New Roman" w:hAnsi="Times New Roman" w:cs="Times New Roman"/>
          <w:sz w:val="28"/>
          <w:szCs w:val="28"/>
        </w:rPr>
        <w:t>comma 4, lettera d) del medesimo articolo).</w:t>
      </w:r>
      <w:r w:rsidR="00DE0939" w:rsidRPr="006764C9">
        <w:rPr>
          <w:rFonts w:ascii="Times New Roman" w:hAnsi="Times New Roman" w:cs="Times New Roman"/>
          <w:sz w:val="28"/>
          <w:szCs w:val="28"/>
        </w:rPr>
        <w:t xml:space="preserve"> Va infine ricordato che con l’art. 8 del </w:t>
      </w:r>
      <w:proofErr w:type="spellStart"/>
      <w:r w:rsidR="00DE0939" w:rsidRPr="006764C9">
        <w:rPr>
          <w:rFonts w:ascii="Times New Roman" w:hAnsi="Times New Roman" w:cs="Times New Roman"/>
          <w:sz w:val="28"/>
          <w:szCs w:val="28"/>
        </w:rPr>
        <w:t>d.l.</w:t>
      </w:r>
      <w:proofErr w:type="spellEnd"/>
      <w:r w:rsidR="00DE0939" w:rsidRPr="006764C9">
        <w:rPr>
          <w:rFonts w:ascii="Times New Roman" w:hAnsi="Times New Roman" w:cs="Times New Roman"/>
          <w:sz w:val="28"/>
          <w:szCs w:val="28"/>
        </w:rPr>
        <w:t xml:space="preserve"> 11 marzo 2026, n. 32, convertito, con modificazioni, dalla l. 8 maggio 2026, n. 71, al fine di promuovere condizioni omogenee di affidamento, si è prevista l’approvazione di uno schema di bando-tipo con decreto del M</w:t>
      </w:r>
      <w:r w:rsidR="002B647C" w:rsidRPr="006764C9">
        <w:rPr>
          <w:rFonts w:ascii="Times New Roman" w:hAnsi="Times New Roman" w:cs="Times New Roman"/>
          <w:sz w:val="28"/>
          <w:szCs w:val="28"/>
        </w:rPr>
        <w:t xml:space="preserve">inistero delle infrastrutture e dei trasporti </w:t>
      </w:r>
      <w:r w:rsidR="00DE0939" w:rsidRPr="006764C9">
        <w:rPr>
          <w:rFonts w:ascii="Times New Roman" w:hAnsi="Times New Roman" w:cs="Times New Roman"/>
          <w:sz w:val="28"/>
          <w:szCs w:val="28"/>
        </w:rPr>
        <w:t xml:space="preserve">da sottoporre alla Conferenza unificata per l’acquisizione del parere ai sensi dell’art. 2 del d.lgs. 28 agosto 1997, n. 281. Senza addentrarsi oltre nella tematica delle modalità di svolgimento delle procedure evidenziali, che ci porterebbe ben </w:t>
      </w:r>
      <w:r w:rsidR="002B647C" w:rsidRPr="006764C9">
        <w:rPr>
          <w:rFonts w:ascii="Times New Roman" w:hAnsi="Times New Roman" w:cs="Times New Roman"/>
          <w:sz w:val="28"/>
          <w:szCs w:val="28"/>
        </w:rPr>
        <w:t xml:space="preserve">al di là dello </w:t>
      </w:r>
      <w:r w:rsidR="00DE0939" w:rsidRPr="006764C9">
        <w:rPr>
          <w:rFonts w:ascii="Times New Roman" w:hAnsi="Times New Roman" w:cs="Times New Roman"/>
          <w:sz w:val="28"/>
          <w:szCs w:val="28"/>
        </w:rPr>
        <w:t xml:space="preserve">specifico </w:t>
      </w:r>
      <w:proofErr w:type="spellStart"/>
      <w:r w:rsidR="00DE0939" w:rsidRPr="006764C9">
        <w:rPr>
          <w:rFonts w:ascii="Times New Roman" w:hAnsi="Times New Roman" w:cs="Times New Roman"/>
          <w:i/>
          <w:iCs/>
          <w:sz w:val="28"/>
          <w:szCs w:val="28"/>
        </w:rPr>
        <w:t>thema</w:t>
      </w:r>
      <w:proofErr w:type="spellEnd"/>
      <w:r w:rsidR="00DE0939" w:rsidRPr="006764C9">
        <w:rPr>
          <w:rFonts w:ascii="Times New Roman" w:hAnsi="Times New Roman" w:cs="Times New Roman"/>
          <w:i/>
          <w:iCs/>
          <w:sz w:val="28"/>
          <w:szCs w:val="28"/>
        </w:rPr>
        <w:t xml:space="preserve"> </w:t>
      </w:r>
      <w:proofErr w:type="spellStart"/>
      <w:r w:rsidR="00DE0939" w:rsidRPr="006764C9">
        <w:rPr>
          <w:rFonts w:ascii="Times New Roman" w:hAnsi="Times New Roman" w:cs="Times New Roman"/>
          <w:i/>
          <w:iCs/>
          <w:sz w:val="28"/>
          <w:szCs w:val="28"/>
        </w:rPr>
        <w:t>tractandum</w:t>
      </w:r>
      <w:proofErr w:type="spellEnd"/>
      <w:r w:rsidR="00DE0939" w:rsidRPr="006764C9">
        <w:rPr>
          <w:rFonts w:ascii="Times New Roman" w:hAnsi="Times New Roman" w:cs="Times New Roman"/>
          <w:sz w:val="28"/>
          <w:szCs w:val="28"/>
        </w:rPr>
        <w:t xml:space="preserve">, è sufficiente in questa sede ricordare come da quanto </w:t>
      </w:r>
      <w:r w:rsidR="00E14128" w:rsidRPr="006764C9">
        <w:rPr>
          <w:rFonts w:ascii="Times New Roman" w:hAnsi="Times New Roman" w:cs="Times New Roman"/>
          <w:sz w:val="28"/>
          <w:szCs w:val="28"/>
        </w:rPr>
        <w:t>emerge dalla stampa la mancata definizione del testo è da ascrivere proprio alla difficoltà di addivenire ad un accordo sulla delicata questione degli indennizzi</w:t>
      </w:r>
      <w:r w:rsidR="00E14128">
        <w:rPr>
          <w:rStyle w:val="Rimandonotaapidipagina"/>
          <w:rFonts w:ascii="Times New Roman" w:hAnsi="Times New Roman" w:cs="Times New Roman"/>
          <w:sz w:val="28"/>
          <w:szCs w:val="28"/>
        </w:rPr>
        <w:footnoteReference w:id="13"/>
      </w:r>
      <w:r w:rsidR="00E14128" w:rsidRPr="006764C9">
        <w:rPr>
          <w:rFonts w:ascii="Times New Roman" w:hAnsi="Times New Roman" w:cs="Times New Roman"/>
          <w:sz w:val="28"/>
          <w:szCs w:val="28"/>
        </w:rPr>
        <w:t xml:space="preserve">. </w:t>
      </w:r>
      <w:r w:rsidR="00DE0939" w:rsidRPr="006764C9">
        <w:rPr>
          <w:rFonts w:ascii="Times New Roman" w:hAnsi="Times New Roman" w:cs="Times New Roman"/>
          <w:sz w:val="28"/>
          <w:szCs w:val="28"/>
        </w:rPr>
        <w:t xml:space="preserve">Il sistema, per come strutturato, </w:t>
      </w:r>
      <w:r w:rsidR="002B647C" w:rsidRPr="006764C9">
        <w:rPr>
          <w:rFonts w:ascii="Times New Roman" w:hAnsi="Times New Roman" w:cs="Times New Roman"/>
          <w:sz w:val="28"/>
          <w:szCs w:val="28"/>
        </w:rPr>
        <w:t xml:space="preserve">anche ad una sommaria analisi ricostruttiva come quella che si è cercato di proporre, </w:t>
      </w:r>
      <w:r w:rsidRPr="006764C9">
        <w:rPr>
          <w:rFonts w:ascii="Times New Roman" w:hAnsi="Times New Roman" w:cs="Times New Roman"/>
          <w:sz w:val="28"/>
          <w:szCs w:val="28"/>
        </w:rPr>
        <w:t>presenta molteplici criticità e apre a nuovi interrogativi</w:t>
      </w:r>
      <w:r w:rsidR="00DE0939" w:rsidRPr="006764C9">
        <w:rPr>
          <w:rFonts w:ascii="Times New Roman" w:hAnsi="Times New Roman" w:cs="Times New Roman"/>
          <w:sz w:val="28"/>
          <w:szCs w:val="28"/>
        </w:rPr>
        <w:t xml:space="preserve">. </w:t>
      </w:r>
      <w:r w:rsidRPr="006764C9">
        <w:rPr>
          <w:rFonts w:ascii="Times New Roman" w:hAnsi="Times New Roman" w:cs="Times New Roman"/>
          <w:sz w:val="28"/>
          <w:szCs w:val="28"/>
        </w:rPr>
        <w:t xml:space="preserve">Con ogni evidenza, </w:t>
      </w:r>
      <w:r w:rsidR="00B473D2" w:rsidRPr="006764C9">
        <w:rPr>
          <w:rFonts w:ascii="Times New Roman" w:hAnsi="Times New Roman" w:cs="Times New Roman"/>
          <w:sz w:val="28"/>
          <w:szCs w:val="28"/>
        </w:rPr>
        <w:t>il prefigurato criterio del rilancio competitivo sulla misura dell’indennizzo</w:t>
      </w:r>
      <w:r w:rsidRPr="006764C9">
        <w:rPr>
          <w:rFonts w:ascii="Times New Roman" w:hAnsi="Times New Roman" w:cs="Times New Roman"/>
          <w:sz w:val="28"/>
          <w:szCs w:val="28"/>
        </w:rPr>
        <w:t xml:space="preserve"> finisce per sovrappesare, senza adeguata giustificazione, gli interessi degli operatori economici privati, a scapito di quelli erariali e collettivi. Inoltre, sotto un profilo più tecnico, non sono chiare le modalità con le quali il meccanismo potrà operare relativamente alla posizione dei gestori uscenti, per i quali, in via di principio, non è configurabile una voce di offerta dedicata ad un “indennizzo a sé stessi”.</w:t>
      </w:r>
      <w:r w:rsidRPr="006764C9">
        <w:rPr>
          <w:rFonts w:ascii="Garamond" w:eastAsia="Times New Roman" w:hAnsi="Garamond" w:cs="Times New Roman"/>
          <w:color w:val="000000"/>
          <w:kern w:val="0"/>
          <w:sz w:val="28"/>
          <w:szCs w:val="28"/>
          <w:lang w:eastAsia="it-IT"/>
          <w14:ligatures w14:val="none"/>
        </w:rPr>
        <w:t xml:space="preserve"> </w:t>
      </w:r>
      <w:r w:rsidR="00E14128" w:rsidRPr="006764C9">
        <w:rPr>
          <w:rFonts w:ascii="Times New Roman" w:eastAsia="Times New Roman" w:hAnsi="Times New Roman" w:cs="Times New Roman"/>
          <w:color w:val="000000"/>
          <w:kern w:val="0"/>
          <w:sz w:val="28"/>
          <w:szCs w:val="28"/>
          <w:lang w:eastAsia="it-IT"/>
          <w14:ligatures w14:val="none"/>
        </w:rPr>
        <w:t>Specularmente,</w:t>
      </w:r>
      <w:r w:rsidR="00E14128" w:rsidRPr="006764C9">
        <w:rPr>
          <w:rFonts w:ascii="Garamond" w:eastAsia="Times New Roman" w:hAnsi="Garamond" w:cs="Times New Roman"/>
          <w:color w:val="000000"/>
          <w:kern w:val="0"/>
          <w:sz w:val="28"/>
          <w:szCs w:val="28"/>
          <w:lang w:eastAsia="it-IT"/>
          <w14:ligatures w14:val="none"/>
        </w:rPr>
        <w:t xml:space="preserve"> l</w:t>
      </w:r>
      <w:r w:rsidRPr="006764C9">
        <w:rPr>
          <w:rFonts w:ascii="Times New Roman" w:hAnsi="Times New Roman" w:cs="Times New Roman"/>
          <w:sz w:val="28"/>
          <w:szCs w:val="28"/>
        </w:rPr>
        <w:t>a previsione di un obbligo di indennizzo gravante</w:t>
      </w:r>
      <w:r w:rsidR="00E14128" w:rsidRPr="006764C9">
        <w:rPr>
          <w:rFonts w:ascii="Times New Roman" w:hAnsi="Times New Roman" w:cs="Times New Roman"/>
          <w:sz w:val="28"/>
          <w:szCs w:val="28"/>
        </w:rPr>
        <w:t xml:space="preserve"> – </w:t>
      </w:r>
      <w:r w:rsidRPr="006764C9">
        <w:rPr>
          <w:rFonts w:ascii="Times New Roman" w:hAnsi="Times New Roman" w:cs="Times New Roman"/>
          <w:sz w:val="28"/>
          <w:szCs w:val="28"/>
        </w:rPr>
        <w:t>in guisa oltretutto automatica e generalizzata </w:t>
      </w:r>
      <w:r w:rsidR="00E14128" w:rsidRPr="006764C9">
        <w:rPr>
          <w:rFonts w:ascii="Times New Roman" w:hAnsi="Times New Roman" w:cs="Times New Roman"/>
          <w:sz w:val="28"/>
          <w:szCs w:val="28"/>
        </w:rPr>
        <w:t xml:space="preserve">– </w:t>
      </w:r>
      <w:r w:rsidRPr="006764C9">
        <w:rPr>
          <w:rFonts w:ascii="Times New Roman" w:hAnsi="Times New Roman" w:cs="Times New Roman"/>
          <w:sz w:val="28"/>
          <w:szCs w:val="28"/>
        </w:rPr>
        <w:t>sul gestore subentrante</w:t>
      </w:r>
      <w:r w:rsidR="00E14128" w:rsidRPr="006764C9">
        <w:rPr>
          <w:rFonts w:ascii="Times New Roman" w:hAnsi="Times New Roman" w:cs="Times New Roman"/>
          <w:sz w:val="28"/>
          <w:szCs w:val="28"/>
        </w:rPr>
        <w:t xml:space="preserve"> </w:t>
      </w:r>
      <w:r w:rsidR="002B647C" w:rsidRPr="006764C9">
        <w:rPr>
          <w:rFonts w:ascii="Times New Roman" w:hAnsi="Times New Roman" w:cs="Times New Roman"/>
          <w:sz w:val="28"/>
          <w:szCs w:val="28"/>
        </w:rPr>
        <w:t xml:space="preserve">pone nuovi dubbi di potenziale </w:t>
      </w:r>
      <w:r w:rsidR="00E14128" w:rsidRPr="006764C9">
        <w:rPr>
          <w:rFonts w:ascii="Times New Roman" w:hAnsi="Times New Roman" w:cs="Times New Roman"/>
          <w:sz w:val="28"/>
          <w:szCs w:val="28"/>
        </w:rPr>
        <w:t>contrasto con i principi di cui all’</w:t>
      </w:r>
      <w:r w:rsidRPr="006764C9">
        <w:rPr>
          <w:rFonts w:ascii="Times New Roman" w:hAnsi="Times New Roman" w:cs="Times New Roman"/>
          <w:sz w:val="28"/>
          <w:szCs w:val="28"/>
        </w:rPr>
        <w:t>art</w:t>
      </w:r>
      <w:r w:rsidR="00E14128" w:rsidRPr="006764C9">
        <w:rPr>
          <w:rFonts w:ascii="Times New Roman" w:hAnsi="Times New Roman" w:cs="Times New Roman"/>
          <w:sz w:val="28"/>
          <w:szCs w:val="28"/>
        </w:rPr>
        <w:t>.</w:t>
      </w:r>
      <w:r w:rsidRPr="006764C9">
        <w:rPr>
          <w:rFonts w:ascii="Times New Roman" w:hAnsi="Times New Roman" w:cs="Times New Roman"/>
          <w:sz w:val="28"/>
          <w:szCs w:val="28"/>
        </w:rPr>
        <w:t xml:space="preserve"> 12, § 2</w:t>
      </w:r>
      <w:r w:rsidR="00E14128" w:rsidRPr="006764C9">
        <w:rPr>
          <w:rFonts w:ascii="Times New Roman" w:hAnsi="Times New Roman" w:cs="Times New Roman"/>
          <w:sz w:val="28"/>
          <w:szCs w:val="28"/>
        </w:rPr>
        <w:t>,</w:t>
      </w:r>
      <w:r w:rsidRPr="006764C9">
        <w:rPr>
          <w:rFonts w:ascii="Times New Roman" w:hAnsi="Times New Roman" w:cs="Times New Roman"/>
          <w:sz w:val="28"/>
          <w:szCs w:val="28"/>
        </w:rPr>
        <w:t xml:space="preserve"> della direttiva 2006/123/CE, </w:t>
      </w:r>
      <w:r w:rsidR="00E14128" w:rsidRPr="006764C9">
        <w:rPr>
          <w:rFonts w:ascii="Times New Roman" w:hAnsi="Times New Roman" w:cs="Times New Roman"/>
          <w:sz w:val="28"/>
          <w:szCs w:val="28"/>
        </w:rPr>
        <w:t xml:space="preserve">che vietano di accordare vantaggi </w:t>
      </w:r>
      <w:r w:rsidRPr="006764C9">
        <w:rPr>
          <w:rFonts w:ascii="Times New Roman" w:hAnsi="Times New Roman" w:cs="Times New Roman"/>
          <w:sz w:val="28"/>
          <w:szCs w:val="28"/>
        </w:rPr>
        <w:t>al prestatore uscente, con effetto indebitamente restrittivo del paritario accesso concorrenziale.</w:t>
      </w:r>
      <w:r w:rsidR="0022516D" w:rsidRPr="006764C9">
        <w:rPr>
          <w:rFonts w:ascii="Times New Roman" w:hAnsi="Times New Roman" w:cs="Times New Roman"/>
          <w:sz w:val="28"/>
          <w:szCs w:val="28"/>
        </w:rPr>
        <w:t xml:space="preserve"> </w:t>
      </w:r>
      <w:r w:rsidRPr="006764C9">
        <w:rPr>
          <w:rFonts w:ascii="Times New Roman" w:hAnsi="Times New Roman" w:cs="Times New Roman"/>
          <w:sz w:val="28"/>
          <w:szCs w:val="28"/>
        </w:rPr>
        <w:t>Alla luce della </w:t>
      </w:r>
      <w:r w:rsidRPr="006764C9">
        <w:rPr>
          <w:rFonts w:ascii="Times New Roman" w:hAnsi="Times New Roman" w:cs="Times New Roman"/>
          <w:i/>
          <w:iCs/>
          <w:sz w:val="28"/>
          <w:szCs w:val="28"/>
        </w:rPr>
        <w:t>ratio </w:t>
      </w:r>
      <w:r w:rsidRPr="006764C9">
        <w:rPr>
          <w:rFonts w:ascii="Times New Roman" w:hAnsi="Times New Roman" w:cs="Times New Roman"/>
          <w:sz w:val="28"/>
          <w:szCs w:val="28"/>
        </w:rPr>
        <w:t xml:space="preserve">della previsione, il </w:t>
      </w:r>
      <w:r w:rsidR="0022516D" w:rsidRPr="006764C9">
        <w:rPr>
          <w:rFonts w:ascii="Times New Roman" w:hAnsi="Times New Roman" w:cs="Times New Roman"/>
          <w:sz w:val="28"/>
          <w:szCs w:val="28"/>
        </w:rPr>
        <w:t xml:space="preserve">concetto di </w:t>
      </w:r>
      <w:r w:rsidRPr="006764C9">
        <w:rPr>
          <w:rFonts w:ascii="Times New Roman" w:hAnsi="Times New Roman" w:cs="Times New Roman"/>
          <w:sz w:val="28"/>
          <w:szCs w:val="28"/>
        </w:rPr>
        <w:t>“vantaggi</w:t>
      </w:r>
      <w:r w:rsidR="0022516D" w:rsidRPr="006764C9">
        <w:rPr>
          <w:rFonts w:ascii="Times New Roman" w:hAnsi="Times New Roman" w:cs="Times New Roman"/>
          <w:sz w:val="28"/>
          <w:szCs w:val="28"/>
        </w:rPr>
        <w:t>” indebiti</w:t>
      </w:r>
      <w:r w:rsidR="0022516D" w:rsidRPr="006764C9">
        <w:rPr>
          <w:rFonts w:ascii="Times New Roman" w:hAnsi="Times New Roman" w:cs="Times New Roman"/>
          <w:i/>
          <w:iCs/>
          <w:sz w:val="28"/>
          <w:szCs w:val="28"/>
        </w:rPr>
        <w:t xml:space="preserve"> </w:t>
      </w:r>
      <w:r w:rsidR="002B647C" w:rsidRPr="006764C9">
        <w:rPr>
          <w:rFonts w:ascii="Times New Roman" w:hAnsi="Times New Roman" w:cs="Times New Roman"/>
          <w:sz w:val="28"/>
          <w:szCs w:val="28"/>
        </w:rPr>
        <w:t xml:space="preserve">andrebbe letta </w:t>
      </w:r>
      <w:r w:rsidRPr="006764C9">
        <w:rPr>
          <w:rFonts w:ascii="Times New Roman" w:hAnsi="Times New Roman" w:cs="Times New Roman"/>
          <w:sz w:val="28"/>
          <w:szCs w:val="28"/>
        </w:rPr>
        <w:t>in stretta correlazione</w:t>
      </w:r>
      <w:r w:rsidR="002B647C" w:rsidRPr="006764C9">
        <w:rPr>
          <w:rFonts w:ascii="Times New Roman" w:hAnsi="Times New Roman" w:cs="Times New Roman"/>
          <w:sz w:val="28"/>
          <w:szCs w:val="28"/>
        </w:rPr>
        <w:t xml:space="preserve">, ma piena autonomia, </w:t>
      </w:r>
      <w:r w:rsidRPr="006764C9">
        <w:rPr>
          <w:rFonts w:ascii="Times New Roman" w:hAnsi="Times New Roman" w:cs="Times New Roman"/>
          <w:sz w:val="28"/>
          <w:szCs w:val="28"/>
        </w:rPr>
        <w:t>con il parallelo divieto di rinnovi o proroghe del rapporto concessorio</w:t>
      </w:r>
      <w:r w:rsidR="0022516D" w:rsidRPr="006764C9">
        <w:rPr>
          <w:rFonts w:ascii="Times New Roman" w:hAnsi="Times New Roman" w:cs="Times New Roman"/>
          <w:sz w:val="28"/>
          <w:szCs w:val="28"/>
        </w:rPr>
        <w:t xml:space="preserve">. </w:t>
      </w:r>
      <w:r w:rsidR="002B647C" w:rsidRPr="006764C9">
        <w:rPr>
          <w:rFonts w:ascii="Times New Roman" w:hAnsi="Times New Roman" w:cs="Times New Roman"/>
          <w:sz w:val="28"/>
          <w:szCs w:val="28"/>
        </w:rPr>
        <w:t>L’errore, infatti, nel quale si rischia di incorrere</w:t>
      </w:r>
      <w:r w:rsidR="00751C0F" w:rsidRPr="006764C9">
        <w:rPr>
          <w:rFonts w:ascii="Times New Roman" w:hAnsi="Times New Roman" w:cs="Times New Roman"/>
          <w:sz w:val="28"/>
          <w:szCs w:val="28"/>
        </w:rPr>
        <w:t xml:space="preserve">, è di considerarlo una sorta di </w:t>
      </w:r>
      <w:r w:rsidR="0022516D" w:rsidRPr="006764C9">
        <w:rPr>
          <w:rFonts w:ascii="Times New Roman" w:hAnsi="Times New Roman" w:cs="Times New Roman"/>
          <w:sz w:val="28"/>
          <w:szCs w:val="28"/>
        </w:rPr>
        <w:t>contromisura</w:t>
      </w:r>
      <w:r w:rsidR="00751C0F" w:rsidRPr="006764C9">
        <w:rPr>
          <w:rFonts w:ascii="Times New Roman" w:hAnsi="Times New Roman" w:cs="Times New Roman"/>
          <w:sz w:val="28"/>
          <w:szCs w:val="28"/>
        </w:rPr>
        <w:t xml:space="preserve"> alla temporaneità. Al contrario</w:t>
      </w:r>
      <w:r w:rsidR="0022516D" w:rsidRPr="006764C9">
        <w:rPr>
          <w:rFonts w:ascii="Times New Roman" w:hAnsi="Times New Roman" w:cs="Times New Roman"/>
          <w:sz w:val="28"/>
          <w:szCs w:val="28"/>
        </w:rPr>
        <w:t xml:space="preserve">, </w:t>
      </w:r>
      <w:r w:rsidR="00751C0F" w:rsidRPr="006764C9">
        <w:rPr>
          <w:rFonts w:ascii="Times New Roman" w:hAnsi="Times New Roman" w:cs="Times New Roman"/>
          <w:sz w:val="28"/>
          <w:szCs w:val="28"/>
        </w:rPr>
        <w:t xml:space="preserve">la ricostruzione fornita </w:t>
      </w:r>
      <w:r w:rsidR="0022516D" w:rsidRPr="006764C9">
        <w:rPr>
          <w:rFonts w:ascii="Times New Roman" w:hAnsi="Times New Roman" w:cs="Times New Roman"/>
          <w:sz w:val="28"/>
          <w:szCs w:val="28"/>
        </w:rPr>
        <w:t>preclud</w:t>
      </w:r>
      <w:r w:rsidR="00751C0F" w:rsidRPr="006764C9">
        <w:rPr>
          <w:rFonts w:ascii="Times New Roman" w:hAnsi="Times New Roman" w:cs="Times New Roman"/>
          <w:sz w:val="28"/>
          <w:szCs w:val="28"/>
        </w:rPr>
        <w:t>e</w:t>
      </w:r>
      <w:r w:rsidR="0022516D" w:rsidRPr="006764C9">
        <w:rPr>
          <w:rFonts w:ascii="Times New Roman" w:hAnsi="Times New Roman" w:cs="Times New Roman"/>
          <w:sz w:val="28"/>
          <w:szCs w:val="28"/>
        </w:rPr>
        <w:t xml:space="preserve"> l’erogazione di misure patrimoniali compensative della (doverosa) limitazione di durata.  L’indennizzo </w:t>
      </w:r>
      <w:r w:rsidRPr="006764C9">
        <w:rPr>
          <w:rFonts w:ascii="Times New Roman" w:hAnsi="Times New Roman" w:cs="Times New Roman"/>
          <w:sz w:val="28"/>
          <w:szCs w:val="28"/>
        </w:rPr>
        <w:t>per investimenti effettuati e non integralmente recuperati</w:t>
      </w:r>
      <w:r w:rsidR="0022516D" w:rsidRPr="006764C9">
        <w:rPr>
          <w:rFonts w:ascii="Times New Roman" w:hAnsi="Times New Roman" w:cs="Times New Roman"/>
          <w:sz w:val="28"/>
          <w:szCs w:val="28"/>
        </w:rPr>
        <w:t xml:space="preserve"> non deve dunque i</w:t>
      </w:r>
      <w:r w:rsidRPr="006764C9">
        <w:rPr>
          <w:rFonts w:ascii="Times New Roman" w:hAnsi="Times New Roman" w:cs="Times New Roman"/>
          <w:sz w:val="28"/>
          <w:szCs w:val="28"/>
        </w:rPr>
        <w:t>ntegra</w:t>
      </w:r>
      <w:r w:rsidR="0022516D" w:rsidRPr="006764C9">
        <w:rPr>
          <w:rFonts w:ascii="Times New Roman" w:hAnsi="Times New Roman" w:cs="Times New Roman"/>
          <w:sz w:val="28"/>
          <w:szCs w:val="28"/>
        </w:rPr>
        <w:t xml:space="preserve">re </w:t>
      </w:r>
      <w:r w:rsidRPr="006764C9">
        <w:rPr>
          <w:rFonts w:ascii="Times New Roman" w:hAnsi="Times New Roman" w:cs="Times New Roman"/>
          <w:sz w:val="28"/>
          <w:szCs w:val="28"/>
        </w:rPr>
        <w:t>per modalità operative</w:t>
      </w:r>
      <w:r w:rsidR="00751C0F" w:rsidRPr="006764C9">
        <w:rPr>
          <w:rFonts w:ascii="Times New Roman" w:hAnsi="Times New Roman" w:cs="Times New Roman"/>
          <w:sz w:val="28"/>
          <w:szCs w:val="28"/>
        </w:rPr>
        <w:t xml:space="preserve"> e</w:t>
      </w:r>
      <w:r w:rsidRPr="006764C9">
        <w:rPr>
          <w:rFonts w:ascii="Times New Roman" w:hAnsi="Times New Roman" w:cs="Times New Roman"/>
          <w:sz w:val="28"/>
          <w:szCs w:val="28"/>
        </w:rPr>
        <w:t xml:space="preserve"> criteri di individuazione </w:t>
      </w:r>
      <w:r w:rsidR="0022516D" w:rsidRPr="006764C9">
        <w:rPr>
          <w:rFonts w:ascii="Times New Roman" w:hAnsi="Times New Roman" w:cs="Times New Roman"/>
          <w:sz w:val="28"/>
          <w:szCs w:val="28"/>
        </w:rPr>
        <w:t xml:space="preserve">una surrettizia modalità di </w:t>
      </w:r>
      <w:r w:rsidRPr="006764C9">
        <w:rPr>
          <w:rFonts w:ascii="Times New Roman" w:hAnsi="Times New Roman" w:cs="Times New Roman"/>
          <w:sz w:val="28"/>
          <w:szCs w:val="28"/>
        </w:rPr>
        <w:t>favoritismo</w:t>
      </w:r>
      <w:r w:rsidR="0022516D" w:rsidRPr="006764C9">
        <w:rPr>
          <w:rFonts w:ascii="Times New Roman" w:hAnsi="Times New Roman" w:cs="Times New Roman"/>
          <w:sz w:val="28"/>
          <w:szCs w:val="28"/>
        </w:rPr>
        <w:t xml:space="preserve">. Esso </w:t>
      </w:r>
      <w:r w:rsidR="00751C0F" w:rsidRPr="006764C9">
        <w:rPr>
          <w:rFonts w:ascii="Times New Roman" w:hAnsi="Times New Roman" w:cs="Times New Roman"/>
          <w:sz w:val="28"/>
          <w:szCs w:val="28"/>
        </w:rPr>
        <w:t xml:space="preserve">non dovrebbe dunque </w:t>
      </w:r>
      <w:r w:rsidR="0022516D" w:rsidRPr="006764C9">
        <w:rPr>
          <w:rFonts w:ascii="Times New Roman" w:hAnsi="Times New Roman" w:cs="Times New Roman"/>
          <w:sz w:val="28"/>
          <w:szCs w:val="28"/>
        </w:rPr>
        <w:t xml:space="preserve">costituire un criterio generale, ovvero addirittura una condizione sospensiva di efficacia della concessione, </w:t>
      </w:r>
      <w:r w:rsidR="00751C0F" w:rsidRPr="006764C9">
        <w:rPr>
          <w:rFonts w:ascii="Times New Roman" w:hAnsi="Times New Roman" w:cs="Times New Roman"/>
          <w:sz w:val="28"/>
          <w:szCs w:val="28"/>
        </w:rPr>
        <w:t xml:space="preserve">bensì </w:t>
      </w:r>
      <w:r w:rsidR="0022516D" w:rsidRPr="006764C9">
        <w:rPr>
          <w:rFonts w:ascii="Times New Roman" w:hAnsi="Times New Roman" w:cs="Times New Roman"/>
          <w:sz w:val="28"/>
          <w:szCs w:val="28"/>
        </w:rPr>
        <w:t xml:space="preserve">trovare una giustificazione </w:t>
      </w:r>
      <w:r w:rsidRPr="006764C9">
        <w:rPr>
          <w:rFonts w:ascii="Times New Roman" w:hAnsi="Times New Roman" w:cs="Times New Roman"/>
          <w:sz w:val="28"/>
          <w:szCs w:val="28"/>
        </w:rPr>
        <w:t>in una valutazione di necessità contestualizzata e caso per caso</w:t>
      </w:r>
      <w:r w:rsidR="0022516D" w:rsidRPr="006764C9">
        <w:rPr>
          <w:rFonts w:ascii="Times New Roman" w:hAnsi="Times New Roman" w:cs="Times New Roman"/>
          <w:sz w:val="28"/>
          <w:szCs w:val="28"/>
        </w:rPr>
        <w:t xml:space="preserve">. Di tali perplessità, che trascendono evidentemente lo scrutinio dello schema di decreto, per attingere la cornice normativa </w:t>
      </w:r>
      <w:r w:rsidR="00166913" w:rsidRPr="006764C9">
        <w:rPr>
          <w:rFonts w:ascii="Times New Roman" w:hAnsi="Times New Roman" w:cs="Times New Roman"/>
          <w:sz w:val="28"/>
          <w:szCs w:val="28"/>
        </w:rPr>
        <w:t xml:space="preserve">nella </w:t>
      </w:r>
      <w:r w:rsidR="0022516D" w:rsidRPr="006764C9">
        <w:rPr>
          <w:rFonts w:ascii="Times New Roman" w:hAnsi="Times New Roman" w:cs="Times New Roman"/>
          <w:sz w:val="28"/>
          <w:szCs w:val="28"/>
        </w:rPr>
        <w:t>quale lo stesso si colloca, si è</w:t>
      </w:r>
      <w:r w:rsidR="00751C0F" w:rsidRPr="006764C9">
        <w:rPr>
          <w:rFonts w:ascii="Times New Roman" w:hAnsi="Times New Roman" w:cs="Times New Roman"/>
          <w:sz w:val="28"/>
          <w:szCs w:val="28"/>
        </w:rPr>
        <w:t>, come già detto, fatt</w:t>
      </w:r>
      <w:r w:rsidR="0022516D" w:rsidRPr="006764C9">
        <w:rPr>
          <w:rFonts w:ascii="Times New Roman" w:hAnsi="Times New Roman" w:cs="Times New Roman"/>
          <w:sz w:val="28"/>
          <w:szCs w:val="28"/>
        </w:rPr>
        <w:t>o portavoce il Consiglio</w:t>
      </w:r>
      <w:r w:rsidR="000C3F2D" w:rsidRPr="006764C9">
        <w:rPr>
          <w:rFonts w:ascii="Times New Roman" w:hAnsi="Times New Roman" w:cs="Times New Roman"/>
          <w:sz w:val="28"/>
          <w:szCs w:val="28"/>
        </w:rPr>
        <w:t xml:space="preserve"> di Stato</w:t>
      </w:r>
      <w:r w:rsidR="0022516D" w:rsidRPr="006764C9">
        <w:rPr>
          <w:rFonts w:ascii="Times New Roman" w:hAnsi="Times New Roman" w:cs="Times New Roman"/>
          <w:sz w:val="28"/>
          <w:szCs w:val="28"/>
        </w:rPr>
        <w:t xml:space="preserve">, </w:t>
      </w:r>
      <w:r w:rsidR="00751C0F" w:rsidRPr="006764C9">
        <w:rPr>
          <w:rFonts w:ascii="Times New Roman" w:hAnsi="Times New Roman" w:cs="Times New Roman"/>
          <w:sz w:val="28"/>
          <w:szCs w:val="28"/>
        </w:rPr>
        <w:t xml:space="preserve">suggerendo anche i presupposti congiunti in presenza dei quali ha un significato e una </w:t>
      </w:r>
      <w:r w:rsidR="00751C0F" w:rsidRPr="006764C9">
        <w:rPr>
          <w:rFonts w:ascii="Times New Roman" w:hAnsi="Times New Roman" w:cs="Times New Roman"/>
          <w:i/>
          <w:iCs/>
          <w:sz w:val="28"/>
          <w:szCs w:val="28"/>
        </w:rPr>
        <w:t>ratio</w:t>
      </w:r>
      <w:r w:rsidR="00751C0F" w:rsidRPr="006764C9">
        <w:rPr>
          <w:rFonts w:ascii="Times New Roman" w:hAnsi="Times New Roman" w:cs="Times New Roman"/>
          <w:sz w:val="28"/>
          <w:szCs w:val="28"/>
        </w:rPr>
        <w:t xml:space="preserve"> </w:t>
      </w:r>
      <w:r w:rsidR="0022516D" w:rsidRPr="006764C9">
        <w:rPr>
          <w:rFonts w:ascii="Times New Roman" w:hAnsi="Times New Roman" w:cs="Times New Roman"/>
          <w:sz w:val="28"/>
          <w:szCs w:val="28"/>
        </w:rPr>
        <w:t>dare rilievo al ristoro del concessionario uscente. Si dovrebbe cioè trattare</w:t>
      </w:r>
      <w:r w:rsidRPr="006764C9">
        <w:rPr>
          <w:rFonts w:ascii="Times New Roman" w:hAnsi="Times New Roman" w:cs="Times New Roman"/>
          <w:sz w:val="28"/>
          <w:szCs w:val="28"/>
        </w:rPr>
        <w:t>:</w:t>
      </w:r>
      <w:r w:rsidR="0022516D" w:rsidRPr="006764C9">
        <w:rPr>
          <w:rFonts w:ascii="Times New Roman" w:hAnsi="Times New Roman" w:cs="Times New Roman"/>
          <w:sz w:val="28"/>
          <w:szCs w:val="28"/>
        </w:rPr>
        <w:t xml:space="preserve"> </w:t>
      </w:r>
      <w:r w:rsidR="0022516D" w:rsidRPr="006764C9">
        <w:rPr>
          <w:rFonts w:ascii="Arial" w:hAnsi="Arial" w:cs="Arial"/>
          <w:i/>
          <w:iCs/>
          <w:sz w:val="28"/>
          <w:szCs w:val="28"/>
        </w:rPr>
        <w:t>«</w:t>
      </w:r>
      <w:r w:rsidRPr="006764C9">
        <w:rPr>
          <w:rFonts w:ascii="Times New Roman" w:hAnsi="Times New Roman" w:cs="Times New Roman"/>
          <w:i/>
          <w:iCs/>
          <w:sz w:val="28"/>
          <w:szCs w:val="28"/>
        </w:rPr>
        <w:t>a) di concreti, effettivi e legittimi affidamenti maturati dal gestore uscente (per il quale l’indennizzo non si risolva, perciò, in un indebito vantaggio, ma una forma di stretta compensazione);b) di corrispondenti e reciproche utilità rinvenienti, relativamente alle infrastrutture da destinare alla gestione, al concessionario subentrante (per il quale il mancato indennizzo si risolverebbe, all’incontro, in indiretto vantaggio od arricchimento, in termini di risparmio di spese necessarie)</w:t>
      </w:r>
      <w:r w:rsidR="0022516D" w:rsidRPr="006764C9">
        <w:rPr>
          <w:rFonts w:ascii="Arial" w:hAnsi="Arial" w:cs="Arial"/>
          <w:i/>
          <w:iCs/>
          <w:sz w:val="28"/>
          <w:szCs w:val="28"/>
        </w:rPr>
        <w:t>»</w:t>
      </w:r>
      <w:r w:rsidRPr="006764C9">
        <w:rPr>
          <w:rFonts w:ascii="Times New Roman" w:hAnsi="Times New Roman" w:cs="Times New Roman"/>
          <w:i/>
          <w:iCs/>
          <w:sz w:val="28"/>
          <w:szCs w:val="28"/>
        </w:rPr>
        <w:t>.</w:t>
      </w:r>
      <w:r w:rsidRPr="006764C9">
        <w:rPr>
          <w:rFonts w:ascii="Garamond" w:eastAsia="Times New Roman" w:hAnsi="Garamond" w:cs="Times New Roman"/>
          <w:color w:val="000000"/>
          <w:kern w:val="0"/>
          <w:sz w:val="28"/>
          <w:szCs w:val="28"/>
          <w:lang w:eastAsia="it-IT"/>
          <w14:ligatures w14:val="none"/>
        </w:rPr>
        <w:t xml:space="preserve"> </w:t>
      </w:r>
      <w:r w:rsidR="001A2F17" w:rsidRPr="006764C9">
        <w:rPr>
          <w:rFonts w:ascii="Times New Roman" w:eastAsia="Times New Roman" w:hAnsi="Times New Roman" w:cs="Times New Roman"/>
          <w:color w:val="000000"/>
          <w:kern w:val="0"/>
          <w:sz w:val="28"/>
          <w:szCs w:val="28"/>
          <w:lang w:eastAsia="it-IT"/>
          <w14:ligatures w14:val="none"/>
        </w:rPr>
        <w:t xml:space="preserve">Da qui le ulteriori, condivisibili indicazioni, a valere soprattutto quali suggerimenti </w:t>
      </w:r>
      <w:r w:rsidR="001A2F17" w:rsidRPr="006764C9">
        <w:rPr>
          <w:rFonts w:ascii="Times New Roman" w:eastAsia="Times New Roman" w:hAnsi="Times New Roman" w:cs="Times New Roman"/>
          <w:i/>
          <w:iCs/>
          <w:color w:val="000000"/>
          <w:kern w:val="0"/>
          <w:sz w:val="28"/>
          <w:szCs w:val="28"/>
          <w:lang w:eastAsia="it-IT"/>
          <w14:ligatures w14:val="none"/>
        </w:rPr>
        <w:t>de iure condendo</w:t>
      </w:r>
      <w:r w:rsidR="001A2F17" w:rsidRPr="006764C9">
        <w:rPr>
          <w:rFonts w:ascii="Times New Roman" w:eastAsia="Times New Roman" w:hAnsi="Times New Roman" w:cs="Times New Roman"/>
          <w:color w:val="000000"/>
          <w:kern w:val="0"/>
          <w:sz w:val="28"/>
          <w:szCs w:val="28"/>
          <w:lang w:eastAsia="it-IT"/>
          <w14:ligatures w14:val="none"/>
        </w:rPr>
        <w:t>, alla stregua dei quali è necessario</w:t>
      </w:r>
      <w:r w:rsidR="001A2F17" w:rsidRPr="006764C9">
        <w:rPr>
          <w:rFonts w:ascii="Garamond" w:eastAsia="Times New Roman" w:hAnsi="Garamond" w:cs="Times New Roman"/>
          <w:color w:val="000000"/>
          <w:kern w:val="0"/>
          <w:sz w:val="28"/>
          <w:szCs w:val="28"/>
          <w:lang w:eastAsia="it-IT"/>
          <w14:ligatures w14:val="none"/>
        </w:rPr>
        <w:t xml:space="preserve"> </w:t>
      </w:r>
      <w:r w:rsidR="001A2F17" w:rsidRPr="006764C9">
        <w:rPr>
          <w:rFonts w:ascii="Times New Roman" w:eastAsia="Times New Roman" w:hAnsi="Times New Roman" w:cs="Times New Roman"/>
          <w:color w:val="000000"/>
          <w:kern w:val="0"/>
          <w:sz w:val="28"/>
          <w:szCs w:val="28"/>
          <w:lang w:eastAsia="it-IT"/>
          <w14:ligatures w14:val="none"/>
        </w:rPr>
        <w:t>«</w:t>
      </w:r>
      <w:r w:rsidRPr="006764C9">
        <w:rPr>
          <w:rFonts w:ascii="Times New Roman" w:hAnsi="Times New Roman" w:cs="Times New Roman"/>
          <w:sz w:val="28"/>
          <w:szCs w:val="28"/>
        </w:rPr>
        <w:t xml:space="preserve"> </w:t>
      </w:r>
      <w:r w:rsidRPr="006764C9">
        <w:rPr>
          <w:rFonts w:ascii="Times New Roman" w:hAnsi="Times New Roman" w:cs="Times New Roman"/>
          <w:i/>
          <w:iCs/>
          <w:sz w:val="28"/>
          <w:szCs w:val="28"/>
        </w:rPr>
        <w:t xml:space="preserve">che il riconoscimento di un indennizzo non sia soggetto ad automatismi, forfettizzazioni e generalizzazioni, ma sia subordinato alla concreta ed effettiva verifica della ricorrenza dei relativi “presupposti”, avuto riguardo alla sussistenza di situazioni di reale e legittimo affidamento che risulti, sul piano delle </w:t>
      </w:r>
      <w:proofErr w:type="spellStart"/>
      <w:r w:rsidRPr="006764C9">
        <w:rPr>
          <w:rFonts w:ascii="Times New Roman" w:hAnsi="Times New Roman" w:cs="Times New Roman"/>
          <w:i/>
          <w:iCs/>
          <w:sz w:val="28"/>
          <w:szCs w:val="28"/>
        </w:rPr>
        <w:t>meritevolezza</w:t>
      </w:r>
      <w:proofErr w:type="spellEnd"/>
      <w:r w:rsidRPr="006764C9">
        <w:rPr>
          <w:rFonts w:ascii="Times New Roman" w:hAnsi="Times New Roman" w:cs="Times New Roman"/>
          <w:i/>
          <w:iCs/>
          <w:sz w:val="28"/>
          <w:szCs w:val="28"/>
        </w:rPr>
        <w:t>, “indispensabile” salvaguardare, nella stretta misura (definita, come tale, sulla scorta di criteri ragionevolmente restrittivi) in cui gli investimenti sostenuti dal gestore uscente, non ancora ammortizzati, si traducano in obiettivo ed indebito vantaggio del subentrante, in termini di risparmio di spese necessarie, senza traslazione del costo di investimenti correlati all’ordinario rischio di impresa, necessariamente gravanti sull’imprenditore che li ha sostenuti nell’esercizio della propria attività economica</w:t>
      </w:r>
      <w:r w:rsidR="001A2F17" w:rsidRPr="006764C9">
        <w:rPr>
          <w:rFonts w:ascii="Times New Roman" w:hAnsi="Times New Roman" w:cs="Times New Roman"/>
          <w:sz w:val="28"/>
          <w:szCs w:val="28"/>
        </w:rPr>
        <w:t>»</w:t>
      </w:r>
      <w:r w:rsidRPr="006764C9">
        <w:rPr>
          <w:rFonts w:ascii="Times New Roman" w:hAnsi="Times New Roman" w:cs="Times New Roman"/>
          <w:sz w:val="28"/>
          <w:szCs w:val="28"/>
        </w:rPr>
        <w:t>.</w:t>
      </w:r>
      <w:r w:rsidR="001A2F17" w:rsidRPr="006764C9">
        <w:rPr>
          <w:rFonts w:ascii="Times New Roman" w:hAnsi="Times New Roman" w:cs="Times New Roman"/>
        </w:rPr>
        <w:t xml:space="preserve"> </w:t>
      </w:r>
      <w:r w:rsidRPr="006764C9">
        <w:rPr>
          <w:rFonts w:ascii="Times New Roman" w:hAnsi="Times New Roman" w:cs="Times New Roman"/>
          <w:sz w:val="28"/>
          <w:szCs w:val="28"/>
        </w:rPr>
        <w:t xml:space="preserve">Occorre, per giunta, considerare, a questo proposito, che l’acquisita disponibilità, da parte del gestore subentrante, delle opere realizzate dall’uscente ed </w:t>
      </w:r>
      <w:r w:rsidR="00751C0F" w:rsidRPr="006764C9">
        <w:rPr>
          <w:rFonts w:ascii="Times New Roman" w:hAnsi="Times New Roman" w:cs="Times New Roman"/>
          <w:sz w:val="28"/>
          <w:szCs w:val="28"/>
        </w:rPr>
        <w:t>incamerate</w:t>
      </w:r>
      <w:r w:rsidRPr="006764C9">
        <w:rPr>
          <w:rFonts w:ascii="Times New Roman" w:hAnsi="Times New Roman" w:cs="Times New Roman"/>
          <w:sz w:val="28"/>
          <w:szCs w:val="28"/>
        </w:rPr>
        <w:t>, in base all’articolo 49 del codice della navigazione, dall’ente concedente, non integra </w:t>
      </w:r>
      <w:r w:rsidRPr="006764C9">
        <w:rPr>
          <w:rFonts w:ascii="Times New Roman" w:hAnsi="Times New Roman" w:cs="Times New Roman"/>
          <w:i/>
          <w:iCs/>
          <w:sz w:val="28"/>
          <w:szCs w:val="28"/>
        </w:rPr>
        <w:t>di per sé </w:t>
      </w:r>
      <w:r w:rsidRPr="006764C9">
        <w:rPr>
          <w:rFonts w:ascii="Times New Roman" w:hAnsi="Times New Roman" w:cs="Times New Roman"/>
          <w:sz w:val="28"/>
          <w:szCs w:val="28"/>
        </w:rPr>
        <w:t>una forma di arricchimento ingiustificato</w:t>
      </w:r>
      <w:r w:rsidR="001A2F17" w:rsidRPr="006764C9">
        <w:rPr>
          <w:rFonts w:ascii="Times New Roman" w:hAnsi="Times New Roman" w:cs="Times New Roman"/>
          <w:sz w:val="28"/>
          <w:szCs w:val="28"/>
        </w:rPr>
        <w:t xml:space="preserve">. A </w:t>
      </w:r>
      <w:r w:rsidRPr="006764C9">
        <w:rPr>
          <w:rFonts w:ascii="Times New Roman" w:hAnsi="Times New Roman" w:cs="Times New Roman"/>
          <w:sz w:val="28"/>
          <w:szCs w:val="28"/>
        </w:rPr>
        <w:t xml:space="preserve">fronte di tale disponibilità, </w:t>
      </w:r>
      <w:r w:rsidR="001A2F17" w:rsidRPr="006764C9">
        <w:rPr>
          <w:rFonts w:ascii="Times New Roman" w:hAnsi="Times New Roman" w:cs="Times New Roman"/>
          <w:sz w:val="28"/>
          <w:szCs w:val="28"/>
        </w:rPr>
        <w:t xml:space="preserve">infatti, come chiarito nei paragrafi precedenti, </w:t>
      </w:r>
      <w:r w:rsidR="00751C0F" w:rsidRPr="006764C9">
        <w:rPr>
          <w:rFonts w:ascii="Times New Roman" w:hAnsi="Times New Roman" w:cs="Times New Roman"/>
          <w:sz w:val="28"/>
          <w:szCs w:val="28"/>
        </w:rPr>
        <w:t xml:space="preserve">egli </w:t>
      </w:r>
      <w:r w:rsidRPr="006764C9">
        <w:rPr>
          <w:rFonts w:ascii="Times New Roman" w:hAnsi="Times New Roman" w:cs="Times New Roman"/>
          <w:sz w:val="28"/>
          <w:szCs w:val="28"/>
        </w:rPr>
        <w:t xml:space="preserve">è tenuto a corrispondere un canone maggiorato. </w:t>
      </w:r>
      <w:r w:rsidR="000C3F2D" w:rsidRPr="006764C9">
        <w:rPr>
          <w:rFonts w:ascii="Times New Roman" w:hAnsi="Times New Roman" w:cs="Times New Roman"/>
          <w:sz w:val="28"/>
          <w:szCs w:val="28"/>
        </w:rPr>
        <w:t xml:space="preserve">In sintesi, non sussistono dubbi circa l’astratta possibilità di riconoscere un indennizzo al concessionario uscente, tanto più che, come precisato dalla CGUE, la tematica trascende dal diritto </w:t>
      </w:r>
      <w:proofErr w:type="spellStart"/>
      <w:r w:rsidR="000C3F2D" w:rsidRPr="006764C9">
        <w:rPr>
          <w:rFonts w:ascii="Times New Roman" w:hAnsi="Times New Roman" w:cs="Times New Roman"/>
          <w:sz w:val="28"/>
          <w:szCs w:val="28"/>
        </w:rPr>
        <w:t>unionale</w:t>
      </w:r>
      <w:proofErr w:type="spellEnd"/>
      <w:r w:rsidR="000C3F2D" w:rsidRPr="006764C9">
        <w:rPr>
          <w:rFonts w:ascii="Times New Roman" w:hAnsi="Times New Roman" w:cs="Times New Roman"/>
          <w:sz w:val="28"/>
          <w:szCs w:val="28"/>
        </w:rPr>
        <w:t xml:space="preserve"> afferendo ai rapporti tra amministrazione e concessionario al termine del rapporto concessorio. Laddove invece esso divenga elemento di ponderazione dell’offerta economica, addirittura ipotizzandosi un rialzo rispetto alle spettanze – a quel punto presumibilmente a vantaggio dell’ente concedente, non certo del concessionario uscente – se ne impone una maggior cautela valutativa, difficilmente riconducibile ad un paradigma generale e astratto capace di ricomprendere tutte le peculiarità del caso concreto. Si comprendono quindi le aspettative dei Comuni</w:t>
      </w:r>
      <w:r w:rsidR="006362EB" w:rsidRPr="006764C9">
        <w:rPr>
          <w:rFonts w:ascii="Times New Roman" w:hAnsi="Times New Roman" w:cs="Times New Roman"/>
          <w:sz w:val="28"/>
          <w:szCs w:val="28"/>
        </w:rPr>
        <w:t>,</w:t>
      </w:r>
      <w:r w:rsidR="000C3F2D" w:rsidRPr="006764C9">
        <w:rPr>
          <w:rFonts w:ascii="Times New Roman" w:hAnsi="Times New Roman" w:cs="Times New Roman"/>
          <w:sz w:val="28"/>
          <w:szCs w:val="28"/>
        </w:rPr>
        <w:t xml:space="preserve"> anche sotto tale profilo</w:t>
      </w:r>
      <w:r w:rsidR="006362EB" w:rsidRPr="006764C9">
        <w:rPr>
          <w:rFonts w:ascii="Times New Roman" w:hAnsi="Times New Roman" w:cs="Times New Roman"/>
          <w:sz w:val="28"/>
          <w:szCs w:val="28"/>
        </w:rPr>
        <w:t>,</w:t>
      </w:r>
      <w:r w:rsidR="000C3F2D" w:rsidRPr="006764C9">
        <w:rPr>
          <w:rFonts w:ascii="Times New Roman" w:hAnsi="Times New Roman" w:cs="Times New Roman"/>
          <w:sz w:val="28"/>
          <w:szCs w:val="28"/>
        </w:rPr>
        <w:t xml:space="preserve"> del preannunciato bando-tipo</w:t>
      </w:r>
      <w:r w:rsidR="006362EB" w:rsidRPr="006764C9">
        <w:rPr>
          <w:rFonts w:ascii="Times New Roman" w:hAnsi="Times New Roman" w:cs="Times New Roman"/>
          <w:sz w:val="28"/>
          <w:szCs w:val="28"/>
        </w:rPr>
        <w:t xml:space="preserve">, ancorché </w:t>
      </w:r>
      <w:r w:rsidR="00751C0F" w:rsidRPr="006764C9">
        <w:rPr>
          <w:rFonts w:ascii="Times New Roman" w:hAnsi="Times New Roman" w:cs="Times New Roman"/>
          <w:sz w:val="28"/>
          <w:szCs w:val="28"/>
        </w:rPr>
        <w:t xml:space="preserve">pure </w:t>
      </w:r>
      <w:r w:rsidR="006362EB" w:rsidRPr="006764C9">
        <w:rPr>
          <w:rFonts w:ascii="Times New Roman" w:hAnsi="Times New Roman" w:cs="Times New Roman"/>
          <w:sz w:val="28"/>
          <w:szCs w:val="28"/>
        </w:rPr>
        <w:t xml:space="preserve">la sua mancanza non </w:t>
      </w:r>
      <w:r w:rsidR="00751C0F" w:rsidRPr="006764C9">
        <w:rPr>
          <w:rFonts w:ascii="Times New Roman" w:hAnsi="Times New Roman" w:cs="Times New Roman"/>
          <w:sz w:val="28"/>
          <w:szCs w:val="28"/>
        </w:rPr>
        <w:t xml:space="preserve">è stata ritenuta causa giustificativa di nuovi </w:t>
      </w:r>
      <w:r w:rsidR="006362EB" w:rsidRPr="006764C9">
        <w:rPr>
          <w:rFonts w:ascii="Times New Roman" w:hAnsi="Times New Roman" w:cs="Times New Roman"/>
          <w:sz w:val="28"/>
          <w:szCs w:val="28"/>
        </w:rPr>
        <w:t>differiment</w:t>
      </w:r>
      <w:r w:rsidR="00751C0F" w:rsidRPr="006764C9">
        <w:rPr>
          <w:rFonts w:ascii="Times New Roman" w:hAnsi="Times New Roman" w:cs="Times New Roman"/>
          <w:sz w:val="28"/>
          <w:szCs w:val="28"/>
        </w:rPr>
        <w:t>i nell’</w:t>
      </w:r>
      <w:r w:rsidR="006362EB" w:rsidRPr="006764C9">
        <w:rPr>
          <w:rFonts w:ascii="Times New Roman" w:hAnsi="Times New Roman" w:cs="Times New Roman"/>
          <w:sz w:val="28"/>
          <w:szCs w:val="28"/>
        </w:rPr>
        <w:t xml:space="preserve">avvio delle ormai improcrastinabili procedure evidenziali. </w:t>
      </w:r>
      <w:r w:rsidR="00751C0F" w:rsidRPr="006764C9">
        <w:rPr>
          <w:rFonts w:ascii="Times New Roman" w:hAnsi="Times New Roman" w:cs="Times New Roman"/>
          <w:sz w:val="28"/>
          <w:szCs w:val="28"/>
        </w:rPr>
        <w:t xml:space="preserve">Al riguardo, possono essere mutuate le affermazioni dei giudici amministrativi seppure relative alla mancanza del </w:t>
      </w:r>
      <w:r w:rsidR="006362EB" w:rsidRPr="006764C9">
        <w:rPr>
          <w:rFonts w:ascii="Times New Roman" w:hAnsi="Times New Roman" w:cs="Times New Roman"/>
          <w:sz w:val="28"/>
          <w:szCs w:val="28"/>
        </w:rPr>
        <w:t xml:space="preserve">decreto attuativo sull’equa remunerazione – ancorché </w:t>
      </w:r>
      <w:r w:rsidR="00751C0F" w:rsidRPr="006764C9">
        <w:rPr>
          <w:rFonts w:ascii="Times New Roman" w:hAnsi="Times New Roman" w:cs="Times New Roman"/>
          <w:sz w:val="28"/>
          <w:szCs w:val="28"/>
        </w:rPr>
        <w:t xml:space="preserve">al riguardo disponga espressamente in tal senso la normativa di riferimento.  </w:t>
      </w:r>
      <w:r w:rsidR="006362EB" w:rsidRPr="006764C9">
        <w:rPr>
          <w:rFonts w:ascii="Times New Roman" w:hAnsi="Times New Roman" w:cs="Times New Roman"/>
          <w:sz w:val="28"/>
          <w:szCs w:val="28"/>
        </w:rPr>
        <w:t xml:space="preserve">La </w:t>
      </w:r>
      <w:r w:rsidR="00751C0F" w:rsidRPr="006764C9">
        <w:rPr>
          <w:rFonts w:ascii="Times New Roman" w:hAnsi="Times New Roman" w:cs="Times New Roman"/>
          <w:sz w:val="28"/>
          <w:szCs w:val="28"/>
        </w:rPr>
        <w:t xml:space="preserve">previsione di un bando-tipo </w:t>
      </w:r>
      <w:r w:rsidR="006362EB" w:rsidRPr="006764C9">
        <w:rPr>
          <w:rFonts w:ascii="Times New Roman" w:hAnsi="Times New Roman" w:cs="Times New Roman"/>
          <w:sz w:val="28"/>
          <w:szCs w:val="28"/>
        </w:rPr>
        <w:t xml:space="preserve">nasce sicuramente dall’esigenza di garantire un minimo di omogeneità di condotta rispetto a un panorama operativo caratterizzato dalle scelte più disparate, </w:t>
      </w:r>
      <w:r w:rsidR="00751C0F" w:rsidRPr="006764C9">
        <w:rPr>
          <w:rFonts w:ascii="Times New Roman" w:hAnsi="Times New Roman" w:cs="Times New Roman"/>
          <w:sz w:val="28"/>
          <w:szCs w:val="28"/>
        </w:rPr>
        <w:t>troppo spesso ispirate dalla volontà di alterare il meno possibile l</w:t>
      </w:r>
      <w:r w:rsidR="006362EB" w:rsidRPr="006764C9">
        <w:rPr>
          <w:rFonts w:ascii="Times New Roman" w:hAnsi="Times New Roman" w:cs="Times New Roman"/>
          <w:sz w:val="28"/>
          <w:szCs w:val="28"/>
        </w:rPr>
        <w:t xml:space="preserve">o </w:t>
      </w:r>
      <w:r w:rsidR="006362EB" w:rsidRPr="006764C9">
        <w:rPr>
          <w:rFonts w:ascii="Times New Roman" w:hAnsi="Times New Roman" w:cs="Times New Roman"/>
          <w:i/>
          <w:iCs/>
          <w:sz w:val="28"/>
          <w:szCs w:val="28"/>
        </w:rPr>
        <w:t>status quo</w:t>
      </w:r>
      <w:r w:rsidR="00751C0F" w:rsidRPr="006764C9">
        <w:rPr>
          <w:rFonts w:ascii="Times New Roman" w:hAnsi="Times New Roman" w:cs="Times New Roman"/>
          <w:i/>
          <w:iCs/>
          <w:sz w:val="28"/>
          <w:szCs w:val="28"/>
        </w:rPr>
        <w:t xml:space="preserve">. </w:t>
      </w:r>
      <w:r w:rsidR="00751C0F" w:rsidRPr="006764C9">
        <w:rPr>
          <w:rFonts w:ascii="Times New Roman" w:hAnsi="Times New Roman" w:cs="Times New Roman"/>
          <w:sz w:val="28"/>
          <w:szCs w:val="28"/>
        </w:rPr>
        <w:t xml:space="preserve">Anche a non attingere i principi generali sulla </w:t>
      </w:r>
      <w:r w:rsidR="0099738D" w:rsidRPr="006764C9">
        <w:rPr>
          <w:rFonts w:ascii="Times New Roman" w:hAnsi="Times New Roman" w:cs="Times New Roman"/>
          <w:sz w:val="28"/>
          <w:szCs w:val="28"/>
        </w:rPr>
        <w:t>vigenza, comunque,</w:t>
      </w:r>
      <w:r w:rsidR="00751C0F" w:rsidRPr="006764C9">
        <w:rPr>
          <w:rFonts w:ascii="Times New Roman" w:hAnsi="Times New Roman" w:cs="Times New Roman"/>
          <w:sz w:val="28"/>
          <w:szCs w:val="28"/>
        </w:rPr>
        <w:t xml:space="preserve"> delle norme non </w:t>
      </w:r>
      <w:proofErr w:type="spellStart"/>
      <w:r w:rsidR="00751C0F" w:rsidRPr="006764C9">
        <w:rPr>
          <w:rFonts w:ascii="Times New Roman" w:hAnsi="Times New Roman" w:cs="Times New Roman"/>
          <w:sz w:val="28"/>
          <w:szCs w:val="28"/>
        </w:rPr>
        <w:t>autoapplicative</w:t>
      </w:r>
      <w:proofErr w:type="spellEnd"/>
      <w:r w:rsidR="00751C0F" w:rsidRPr="006764C9">
        <w:rPr>
          <w:rFonts w:ascii="Times New Roman" w:hAnsi="Times New Roman" w:cs="Times New Roman"/>
          <w:sz w:val="28"/>
          <w:szCs w:val="28"/>
        </w:rPr>
        <w:t xml:space="preserve"> alle quali non si è data attuazione (delle quali il nostro ordinamento pullula da sempre) una diversa opzione ermeneutica </w:t>
      </w:r>
      <w:r w:rsidR="006764C9" w:rsidRPr="006764C9">
        <w:rPr>
          <w:rFonts w:ascii="Times New Roman" w:hAnsi="Times New Roman" w:cs="Times New Roman"/>
          <w:sz w:val="28"/>
          <w:szCs w:val="28"/>
        </w:rPr>
        <w:t xml:space="preserve">finirebbe per attribuire alla previsione l’indebita portata di ulteriore proroga delle concessioni in essere. La </w:t>
      </w:r>
      <w:r w:rsidR="0099738D" w:rsidRPr="006764C9">
        <w:rPr>
          <w:rFonts w:ascii="Times New Roman" w:hAnsi="Times New Roman" w:cs="Times New Roman"/>
          <w:sz w:val="28"/>
          <w:szCs w:val="28"/>
        </w:rPr>
        <w:t>norma, dunque,</w:t>
      </w:r>
      <w:r w:rsidR="006764C9" w:rsidRPr="006764C9">
        <w:rPr>
          <w:rFonts w:ascii="Times New Roman" w:hAnsi="Times New Roman" w:cs="Times New Roman"/>
          <w:sz w:val="28"/>
          <w:szCs w:val="28"/>
        </w:rPr>
        <w:t xml:space="preserve"> n</w:t>
      </w:r>
      <w:r w:rsidR="006362EB" w:rsidRPr="006764C9">
        <w:rPr>
          <w:rFonts w:ascii="Times New Roman" w:hAnsi="Times New Roman" w:cs="Times New Roman"/>
          <w:sz w:val="28"/>
          <w:szCs w:val="28"/>
        </w:rPr>
        <w:t>on può incidere sul regime temporale delle concessioni demaniali, pena la sua implicita valenza di ulteriore, inammissibile, proroga</w:t>
      </w:r>
      <w:r w:rsidR="0011523D" w:rsidRPr="006764C9">
        <w:rPr>
          <w:rFonts w:ascii="Times New Roman" w:hAnsi="Times New Roman" w:cs="Times New Roman"/>
          <w:sz w:val="28"/>
          <w:szCs w:val="28"/>
        </w:rPr>
        <w:t xml:space="preserve"> (sul punto, </w:t>
      </w:r>
      <w:r w:rsidR="0011523D" w:rsidRPr="006764C9">
        <w:rPr>
          <w:rFonts w:ascii="Times New Roman" w:hAnsi="Times New Roman" w:cs="Times New Roman"/>
          <w:i/>
          <w:iCs/>
          <w:sz w:val="28"/>
          <w:szCs w:val="28"/>
        </w:rPr>
        <w:t xml:space="preserve">ex </w:t>
      </w:r>
      <w:proofErr w:type="spellStart"/>
      <w:r w:rsidR="0011523D" w:rsidRPr="006764C9">
        <w:rPr>
          <w:rFonts w:ascii="Times New Roman" w:hAnsi="Times New Roman" w:cs="Times New Roman"/>
          <w:i/>
          <w:iCs/>
          <w:sz w:val="28"/>
          <w:szCs w:val="28"/>
        </w:rPr>
        <w:t>multis</w:t>
      </w:r>
      <w:proofErr w:type="spellEnd"/>
      <w:r w:rsidR="0011523D" w:rsidRPr="006764C9">
        <w:rPr>
          <w:rFonts w:ascii="Times New Roman" w:hAnsi="Times New Roman" w:cs="Times New Roman"/>
          <w:sz w:val="28"/>
          <w:szCs w:val="28"/>
        </w:rPr>
        <w:t xml:space="preserve"> Cons. Stato, sez. VII, 4 aprile 2025, n. 2907</w:t>
      </w:r>
      <w:r w:rsidR="00D81D63" w:rsidRPr="006764C9">
        <w:rPr>
          <w:rFonts w:ascii="Times New Roman" w:hAnsi="Times New Roman" w:cs="Times New Roman"/>
          <w:sz w:val="28"/>
          <w:szCs w:val="28"/>
        </w:rPr>
        <w:t xml:space="preserve">; </w:t>
      </w:r>
      <w:r w:rsidR="00D81D63" w:rsidRPr="006764C9">
        <w:rPr>
          <w:rFonts w:ascii="Times New Roman" w:hAnsi="Times New Roman" w:cs="Times New Roman"/>
          <w:i/>
          <w:iCs/>
          <w:sz w:val="28"/>
          <w:szCs w:val="28"/>
        </w:rPr>
        <w:t>id</w:t>
      </w:r>
      <w:r w:rsidR="00D81D63" w:rsidRPr="006764C9">
        <w:rPr>
          <w:rFonts w:ascii="Times New Roman" w:hAnsi="Times New Roman" w:cs="Times New Roman"/>
          <w:sz w:val="28"/>
          <w:szCs w:val="28"/>
        </w:rPr>
        <w:t>., 14 ottobre 2025, n. 8014</w:t>
      </w:r>
      <w:r w:rsidR="0011523D" w:rsidRPr="006764C9">
        <w:rPr>
          <w:rFonts w:ascii="Times New Roman" w:hAnsi="Times New Roman" w:cs="Times New Roman"/>
          <w:sz w:val="28"/>
          <w:szCs w:val="28"/>
        </w:rPr>
        <w:t>)</w:t>
      </w:r>
      <w:r w:rsidR="006362EB" w:rsidRPr="006764C9">
        <w:rPr>
          <w:rFonts w:ascii="Times New Roman" w:hAnsi="Times New Roman" w:cs="Times New Roman"/>
          <w:sz w:val="28"/>
          <w:szCs w:val="28"/>
        </w:rPr>
        <w:t xml:space="preserve">. </w:t>
      </w:r>
    </w:p>
    <w:p w14:paraId="5E84D72D" w14:textId="3392D6D3" w:rsidR="00D57044" w:rsidRPr="006764C9" w:rsidRDefault="006764C9" w:rsidP="00A42CE7">
      <w:pPr>
        <w:spacing w:line="288" w:lineRule="auto"/>
        <w:ind w:left="284" w:right="140"/>
        <w:jc w:val="both"/>
        <w:rPr>
          <w:rFonts w:ascii="Times New Roman" w:hAnsi="Times New Roman" w:cs="Times New Roman"/>
        </w:rPr>
      </w:pPr>
      <w:r w:rsidRPr="006764C9">
        <w:rPr>
          <w:rFonts w:ascii="Times New Roman" w:hAnsi="Times New Roman" w:cs="Times New Roman"/>
          <w:sz w:val="28"/>
          <w:szCs w:val="28"/>
        </w:rPr>
        <w:t xml:space="preserve">Tornando alla </w:t>
      </w:r>
      <w:r w:rsidR="006362EB" w:rsidRPr="006764C9">
        <w:rPr>
          <w:rFonts w:ascii="Times New Roman" w:hAnsi="Times New Roman" w:cs="Times New Roman"/>
          <w:sz w:val="28"/>
          <w:szCs w:val="28"/>
        </w:rPr>
        <w:t xml:space="preserve">legge n. 118 del 2022, </w:t>
      </w:r>
      <w:r>
        <w:rPr>
          <w:rFonts w:ascii="Times New Roman" w:hAnsi="Times New Roman" w:cs="Times New Roman"/>
          <w:sz w:val="28"/>
          <w:szCs w:val="28"/>
        </w:rPr>
        <w:t xml:space="preserve">essa prevede addirittura </w:t>
      </w:r>
      <w:r w:rsidR="006362EB" w:rsidRPr="006764C9">
        <w:rPr>
          <w:rFonts w:ascii="Times New Roman" w:hAnsi="Times New Roman" w:cs="Times New Roman"/>
          <w:sz w:val="28"/>
          <w:szCs w:val="28"/>
        </w:rPr>
        <w:t>una doppia voce di ristoro, demandando in verità al (mancante) decreto attuativo la disciplina solo della seconda</w:t>
      </w:r>
      <w:r>
        <w:rPr>
          <w:rFonts w:ascii="Times New Roman" w:hAnsi="Times New Roman" w:cs="Times New Roman"/>
          <w:sz w:val="28"/>
          <w:szCs w:val="28"/>
        </w:rPr>
        <w:t>, ovvero l’equa remunerazione</w:t>
      </w:r>
      <w:r w:rsidR="006362EB" w:rsidRPr="006764C9">
        <w:rPr>
          <w:rFonts w:ascii="Times New Roman" w:hAnsi="Times New Roman" w:cs="Times New Roman"/>
          <w:sz w:val="28"/>
          <w:szCs w:val="28"/>
        </w:rPr>
        <w:t xml:space="preserve">: </w:t>
      </w:r>
      <w:r>
        <w:rPr>
          <w:rFonts w:ascii="Times New Roman" w:hAnsi="Times New Roman" w:cs="Times New Roman"/>
          <w:sz w:val="28"/>
          <w:szCs w:val="28"/>
        </w:rPr>
        <w:t xml:space="preserve">la scelta del governo di includere nel decreto anche la disciplina dell’indennizzo, seppure approvata dal Consiglio di Stato, non trova in realtà rispondenza nella formulazione letterale della norma. Da qui, a maggior ragione, la necessità che i Comuni si attivino in autonomia. </w:t>
      </w:r>
      <w:r w:rsidR="006362EB" w:rsidRPr="006764C9">
        <w:rPr>
          <w:rFonts w:ascii="Times New Roman" w:hAnsi="Times New Roman" w:cs="Times New Roman"/>
          <w:sz w:val="28"/>
          <w:szCs w:val="28"/>
        </w:rPr>
        <w:t xml:space="preserve">La difficoltà di diversificare </w:t>
      </w:r>
      <w:r w:rsidR="00131CDE">
        <w:rPr>
          <w:rFonts w:ascii="Times New Roman" w:hAnsi="Times New Roman" w:cs="Times New Roman"/>
          <w:sz w:val="28"/>
          <w:szCs w:val="28"/>
        </w:rPr>
        <w:t xml:space="preserve">l’indennizzo vero e proprio dall’equa remunerazione, essendo entrambi correlati agli </w:t>
      </w:r>
      <w:r w:rsidR="006362EB" w:rsidRPr="006764C9">
        <w:rPr>
          <w:rFonts w:ascii="Times New Roman" w:hAnsi="Times New Roman" w:cs="Times New Roman"/>
          <w:sz w:val="28"/>
          <w:szCs w:val="28"/>
        </w:rPr>
        <w:t>“investimenti”, è palpabile e finisce per palesare un intento tutt’affatto diverso</w:t>
      </w:r>
      <w:r w:rsidR="00131CDE">
        <w:rPr>
          <w:rFonts w:ascii="Times New Roman" w:hAnsi="Times New Roman" w:cs="Times New Roman"/>
          <w:sz w:val="28"/>
          <w:szCs w:val="28"/>
        </w:rPr>
        <w:t xml:space="preserve"> del legislatore</w:t>
      </w:r>
      <w:r w:rsidR="006362EB" w:rsidRPr="006764C9">
        <w:rPr>
          <w:rFonts w:ascii="Times New Roman" w:hAnsi="Times New Roman" w:cs="Times New Roman"/>
          <w:sz w:val="28"/>
          <w:szCs w:val="28"/>
        </w:rPr>
        <w:t xml:space="preserve">: ristorare anche beni immateriali, quali tipicamente l’avviamento commerciale. </w:t>
      </w:r>
      <w:r w:rsidR="0011523D" w:rsidRPr="006764C9">
        <w:rPr>
          <w:rFonts w:ascii="Times New Roman" w:hAnsi="Times New Roman" w:cs="Times New Roman"/>
          <w:sz w:val="28"/>
          <w:szCs w:val="28"/>
        </w:rPr>
        <w:t xml:space="preserve">Del rischio di una sostanziale, ed indebita, duplicazione di voci, è in realtà consapevole anche il Ministero. La relazione allo schema di decreto inviato al Consiglio di Stato, infatti, che peraltro travalica la portata formale della delega, occupandosi (in verità opportunamente) anche dell’indennizzo vero e proprio, correla espressamente l’equa remunerazione proprio agli investimenti in beni immateriali, </w:t>
      </w:r>
      <w:r w:rsidR="00190A35" w:rsidRPr="006764C9">
        <w:rPr>
          <w:rFonts w:ascii="Times New Roman" w:hAnsi="Times New Roman" w:cs="Times New Roman"/>
          <w:sz w:val="28"/>
          <w:szCs w:val="28"/>
        </w:rPr>
        <w:t>richiamando, quanto a metodi e procedure per la stima del valore di un’impresa balneare, la norma UNI 11729-2018. Nell’esemplificare ciò che certifica la qualità e le condizioni del servizio, si fa poi riferimento al pregio architettonico, all’offerta di servizi integrati che valorizzino le specificità culturali, folkloristiche ed enogastronomiche del territorio. Salvo poi riconoscere espressamente che si tratta di voci che costituiscono parametri per l’assegnazione della concessione ai sensi dell’art. 4, comma 6, della legge n. 118 del 2022, sicché riesce difficile immaginarli anche come indice di una</w:t>
      </w:r>
      <w:r w:rsidR="00190A35" w:rsidRPr="006764C9">
        <w:rPr>
          <w:rFonts w:ascii="Times New Roman" w:hAnsi="Times New Roman" w:cs="Times New Roman"/>
        </w:rPr>
        <w:t xml:space="preserve"> </w:t>
      </w:r>
      <w:r w:rsidR="00190A35" w:rsidRPr="006764C9">
        <w:rPr>
          <w:rFonts w:ascii="Times New Roman" w:hAnsi="Times New Roman" w:cs="Times New Roman"/>
          <w:sz w:val="28"/>
          <w:szCs w:val="28"/>
        </w:rPr>
        <w:t xml:space="preserve">“perdita” economica del concessionario uscente. In altre parole, solo ove la progettualità del nuovo concessionario si appiattisca sulle idee, innovative e nel contempo coerenti con lo </w:t>
      </w:r>
      <w:proofErr w:type="spellStart"/>
      <w:r w:rsidR="00190A35" w:rsidRPr="006764C9">
        <w:rPr>
          <w:rFonts w:ascii="Times New Roman" w:hAnsi="Times New Roman" w:cs="Times New Roman"/>
          <w:i/>
          <w:iCs/>
          <w:sz w:val="28"/>
          <w:szCs w:val="28"/>
        </w:rPr>
        <w:t>spiritus</w:t>
      </w:r>
      <w:proofErr w:type="spellEnd"/>
      <w:r w:rsidR="00190A35" w:rsidRPr="006764C9">
        <w:rPr>
          <w:rFonts w:ascii="Times New Roman" w:hAnsi="Times New Roman" w:cs="Times New Roman"/>
          <w:i/>
          <w:iCs/>
          <w:sz w:val="28"/>
          <w:szCs w:val="28"/>
        </w:rPr>
        <w:t xml:space="preserve"> loci</w:t>
      </w:r>
      <w:r w:rsidR="00190A35" w:rsidRPr="006764C9">
        <w:rPr>
          <w:rFonts w:ascii="Times New Roman" w:hAnsi="Times New Roman" w:cs="Times New Roman"/>
          <w:sz w:val="28"/>
          <w:szCs w:val="28"/>
        </w:rPr>
        <w:t xml:space="preserve">, che hanno fatto la peculiarità di un’impresa, può ipotizzarsi la salvaguardia di tale atipico </w:t>
      </w:r>
      <w:r w:rsidR="00190A35" w:rsidRPr="006764C9">
        <w:rPr>
          <w:rFonts w:ascii="Times New Roman" w:hAnsi="Times New Roman" w:cs="Times New Roman"/>
          <w:i/>
          <w:iCs/>
          <w:sz w:val="28"/>
          <w:szCs w:val="28"/>
        </w:rPr>
        <w:t>copyright</w:t>
      </w:r>
      <w:r w:rsidR="00190A35" w:rsidRPr="006764C9">
        <w:rPr>
          <w:rFonts w:ascii="Times New Roman" w:hAnsi="Times New Roman" w:cs="Times New Roman"/>
          <w:sz w:val="28"/>
          <w:szCs w:val="28"/>
        </w:rPr>
        <w:t xml:space="preserve">. Ma, appunto, lo si potrà rilevare solo a valle dell’offerta, non a monte, nella costruzione del bando. </w:t>
      </w:r>
      <w:r w:rsidR="00D00DAD" w:rsidRPr="006764C9">
        <w:rPr>
          <w:rFonts w:ascii="Times New Roman" w:hAnsi="Times New Roman" w:cs="Times New Roman"/>
          <w:sz w:val="28"/>
          <w:szCs w:val="28"/>
        </w:rPr>
        <w:t>Astrattamente, t</w:t>
      </w:r>
      <w:r w:rsidR="0074239E" w:rsidRPr="006764C9">
        <w:rPr>
          <w:rFonts w:ascii="Times New Roman" w:hAnsi="Times New Roman" w:cs="Times New Roman"/>
          <w:sz w:val="28"/>
          <w:szCs w:val="28"/>
        </w:rPr>
        <w:t xml:space="preserve">ra gli investimenti destinati a beni materiali, </w:t>
      </w:r>
      <w:r w:rsidR="00190A35" w:rsidRPr="006764C9">
        <w:rPr>
          <w:rFonts w:ascii="Arial" w:hAnsi="Arial" w:cs="Arial"/>
          <w:sz w:val="28"/>
          <w:szCs w:val="28"/>
        </w:rPr>
        <w:t>«</w:t>
      </w:r>
      <w:r w:rsidR="0074239E" w:rsidRPr="006764C9">
        <w:rPr>
          <w:rFonts w:ascii="Times New Roman" w:hAnsi="Times New Roman" w:cs="Times New Roman"/>
          <w:i/>
          <w:iCs/>
          <w:sz w:val="28"/>
          <w:szCs w:val="28"/>
        </w:rPr>
        <w:t>non ammortizzati</w:t>
      </w:r>
      <w:r w:rsidR="00190A35" w:rsidRPr="006764C9">
        <w:rPr>
          <w:rFonts w:ascii="Arial" w:hAnsi="Arial" w:cs="Arial"/>
          <w:i/>
          <w:iCs/>
          <w:sz w:val="28"/>
          <w:szCs w:val="28"/>
        </w:rPr>
        <w:t>»</w:t>
      </w:r>
      <w:r w:rsidR="0074239E" w:rsidRPr="006764C9">
        <w:rPr>
          <w:rFonts w:ascii="Times New Roman" w:hAnsi="Times New Roman" w:cs="Times New Roman"/>
          <w:sz w:val="28"/>
          <w:szCs w:val="28"/>
        </w:rPr>
        <w:t xml:space="preserve"> alla scadenza</w:t>
      </w:r>
      <w:r w:rsidR="00190A35" w:rsidRPr="006764C9">
        <w:rPr>
          <w:rFonts w:ascii="Times New Roman" w:hAnsi="Times New Roman" w:cs="Times New Roman"/>
          <w:sz w:val="28"/>
          <w:szCs w:val="28"/>
        </w:rPr>
        <w:t>, possono rientrare tanto quelli amovibili, che quelli “non amovibili” o “di difficile rimozione”</w:t>
      </w:r>
      <w:r w:rsidR="00D00DAD" w:rsidRPr="006764C9">
        <w:rPr>
          <w:rFonts w:ascii="Times New Roman" w:hAnsi="Times New Roman" w:cs="Times New Roman"/>
          <w:sz w:val="28"/>
          <w:szCs w:val="28"/>
        </w:rPr>
        <w:t>. Ciò in quanto la previsione dell’indennizzo, e la sua configurazione come vero e proprio “diritto” del concessionario uscente, interseca prepotentemente la previgente disciplina dell’incameramento e prescinde dagli esiti dello stesso: vuoi che si decida di mantenere l’opera, con aumento del valore del bene e conseguentemente del canone, vuoi che si opti per la sua demolizione, ne r</w:t>
      </w:r>
      <w:r w:rsidR="00D30C10" w:rsidRPr="006764C9">
        <w:rPr>
          <w:rFonts w:ascii="Times New Roman" w:hAnsi="Times New Roman" w:cs="Times New Roman"/>
          <w:sz w:val="28"/>
          <w:szCs w:val="28"/>
        </w:rPr>
        <w:t xml:space="preserve">esta ora </w:t>
      </w:r>
      <w:r w:rsidR="00D00DAD" w:rsidRPr="006764C9">
        <w:rPr>
          <w:rFonts w:ascii="Times New Roman" w:hAnsi="Times New Roman" w:cs="Times New Roman"/>
          <w:sz w:val="28"/>
          <w:szCs w:val="28"/>
        </w:rPr>
        <w:t>ferma l’</w:t>
      </w:r>
      <w:proofErr w:type="spellStart"/>
      <w:r w:rsidR="00D00DAD" w:rsidRPr="006764C9">
        <w:rPr>
          <w:rFonts w:ascii="Times New Roman" w:hAnsi="Times New Roman" w:cs="Times New Roman"/>
          <w:sz w:val="28"/>
          <w:szCs w:val="28"/>
        </w:rPr>
        <w:t>indennizzabilità</w:t>
      </w:r>
      <w:proofErr w:type="spellEnd"/>
      <w:r w:rsidR="00D00DAD" w:rsidRPr="006764C9">
        <w:rPr>
          <w:rFonts w:ascii="Times New Roman" w:hAnsi="Times New Roman" w:cs="Times New Roman"/>
          <w:sz w:val="28"/>
          <w:szCs w:val="28"/>
        </w:rPr>
        <w:t xml:space="preserve"> a vantaggio del concessionario uscente alla sola condizione che l’investimento non sia ammortizzato.</w:t>
      </w:r>
      <w:r w:rsidR="00D57044" w:rsidRPr="006764C9">
        <w:rPr>
          <w:rFonts w:ascii="Times New Roman" w:hAnsi="Times New Roman" w:cs="Times New Roman"/>
          <w:sz w:val="28"/>
          <w:szCs w:val="28"/>
        </w:rPr>
        <w:t xml:space="preserve"> </w:t>
      </w:r>
      <w:proofErr w:type="spellStart"/>
      <w:r w:rsidR="00D00DAD" w:rsidRPr="006764C9">
        <w:rPr>
          <w:rFonts w:ascii="Times New Roman" w:hAnsi="Times New Roman" w:cs="Times New Roman"/>
          <w:i/>
          <w:iCs/>
          <w:sz w:val="28"/>
          <w:szCs w:val="28"/>
        </w:rPr>
        <w:t>Punctum</w:t>
      </w:r>
      <w:proofErr w:type="spellEnd"/>
      <w:r w:rsidR="00D00DAD" w:rsidRPr="006764C9">
        <w:rPr>
          <w:rFonts w:ascii="Times New Roman" w:hAnsi="Times New Roman" w:cs="Times New Roman"/>
          <w:i/>
          <w:iCs/>
          <w:sz w:val="28"/>
          <w:szCs w:val="28"/>
        </w:rPr>
        <w:t xml:space="preserve"> </w:t>
      </w:r>
      <w:proofErr w:type="spellStart"/>
      <w:r w:rsidR="00D00DAD" w:rsidRPr="006764C9">
        <w:rPr>
          <w:rFonts w:ascii="Times New Roman" w:hAnsi="Times New Roman" w:cs="Times New Roman"/>
          <w:i/>
          <w:iCs/>
          <w:sz w:val="28"/>
          <w:szCs w:val="28"/>
        </w:rPr>
        <w:t>dolens</w:t>
      </w:r>
      <w:proofErr w:type="spellEnd"/>
      <w:r w:rsidR="00D00DAD" w:rsidRPr="006764C9">
        <w:rPr>
          <w:rFonts w:ascii="Times New Roman" w:hAnsi="Times New Roman" w:cs="Times New Roman"/>
          <w:sz w:val="28"/>
          <w:szCs w:val="28"/>
        </w:rPr>
        <w:t xml:space="preserve"> dell’intera ricostruzione, pertanto, diviene proprio </w:t>
      </w:r>
      <w:r w:rsidR="00D30C10" w:rsidRPr="006764C9">
        <w:rPr>
          <w:rFonts w:ascii="Times New Roman" w:hAnsi="Times New Roman" w:cs="Times New Roman"/>
          <w:sz w:val="28"/>
          <w:szCs w:val="28"/>
        </w:rPr>
        <w:t xml:space="preserve">stabilire </w:t>
      </w:r>
      <w:r w:rsidR="001C2DA6" w:rsidRPr="006764C9">
        <w:rPr>
          <w:rFonts w:ascii="Times New Roman" w:hAnsi="Times New Roman" w:cs="Times New Roman"/>
          <w:sz w:val="28"/>
          <w:szCs w:val="28"/>
        </w:rPr>
        <w:t>fino a quando</w:t>
      </w:r>
      <w:r w:rsidR="00D00DAD" w:rsidRPr="006764C9">
        <w:rPr>
          <w:rFonts w:ascii="Times New Roman" w:hAnsi="Times New Roman" w:cs="Times New Roman"/>
          <w:sz w:val="28"/>
          <w:szCs w:val="28"/>
        </w:rPr>
        <w:t xml:space="preserve"> l’investimento </w:t>
      </w:r>
      <w:r w:rsidR="001C2DA6" w:rsidRPr="006764C9">
        <w:rPr>
          <w:rFonts w:ascii="Times New Roman" w:hAnsi="Times New Roman" w:cs="Times New Roman"/>
          <w:sz w:val="28"/>
          <w:szCs w:val="28"/>
        </w:rPr>
        <w:t xml:space="preserve">può essere considerato </w:t>
      </w:r>
      <w:r w:rsidR="00D30C10" w:rsidRPr="006764C9">
        <w:rPr>
          <w:rFonts w:ascii="Times New Roman" w:hAnsi="Times New Roman" w:cs="Times New Roman"/>
          <w:sz w:val="28"/>
          <w:szCs w:val="28"/>
        </w:rPr>
        <w:t xml:space="preserve">legittimamente </w:t>
      </w:r>
      <w:r w:rsidR="00D00DAD" w:rsidRPr="006764C9">
        <w:rPr>
          <w:rFonts w:ascii="Times New Roman" w:hAnsi="Times New Roman" w:cs="Times New Roman"/>
          <w:sz w:val="28"/>
          <w:szCs w:val="28"/>
        </w:rPr>
        <w:t>effettuato, s</w:t>
      </w:r>
      <w:r w:rsidR="00D30C10" w:rsidRPr="006764C9">
        <w:rPr>
          <w:rFonts w:ascii="Times New Roman" w:hAnsi="Times New Roman" w:cs="Times New Roman"/>
          <w:sz w:val="28"/>
          <w:szCs w:val="28"/>
        </w:rPr>
        <w:t xml:space="preserve">ì da renderne astrattamente ipotizzabile il ristoro. </w:t>
      </w:r>
      <w:r w:rsidR="001C2DA6" w:rsidRPr="006764C9">
        <w:rPr>
          <w:rFonts w:ascii="Times New Roman" w:hAnsi="Times New Roman" w:cs="Times New Roman"/>
          <w:sz w:val="28"/>
          <w:szCs w:val="28"/>
        </w:rPr>
        <w:t xml:space="preserve">È evidente, infatti, che l’ammortizzamento aveva quale termine ultimo la scadenza della concessione. </w:t>
      </w:r>
      <w:r w:rsidR="00D00DAD" w:rsidRPr="006764C9">
        <w:rPr>
          <w:rFonts w:ascii="Times New Roman" w:hAnsi="Times New Roman" w:cs="Times New Roman"/>
          <w:sz w:val="28"/>
          <w:szCs w:val="28"/>
        </w:rPr>
        <w:t xml:space="preserve">Aspetto, questo, sul quale non si ritiene la dottrina e la giurisprudenza abbiano posto la dovuta attenzione. L’attuale regime concessorio, infatti, non può essere qualificato come di piena efficacia del titolo: sul punto, la giurisprudenza oscilla tra la qualificazione </w:t>
      </w:r>
      <w:r w:rsidR="00D30C10" w:rsidRPr="006764C9">
        <w:rPr>
          <w:rFonts w:ascii="Times New Roman" w:hAnsi="Times New Roman" w:cs="Times New Roman"/>
          <w:sz w:val="28"/>
          <w:szCs w:val="28"/>
        </w:rPr>
        <w:t xml:space="preserve">della proroga come “tecnica”, ovvero </w:t>
      </w:r>
      <w:proofErr w:type="spellStart"/>
      <w:r w:rsidR="00D30C10" w:rsidRPr="006764C9">
        <w:rPr>
          <w:rFonts w:ascii="Times New Roman" w:hAnsi="Times New Roman" w:cs="Times New Roman"/>
          <w:i/>
          <w:iCs/>
          <w:sz w:val="28"/>
          <w:szCs w:val="28"/>
        </w:rPr>
        <w:t>ope</w:t>
      </w:r>
      <w:proofErr w:type="spellEnd"/>
      <w:r w:rsidR="00D30C10" w:rsidRPr="006764C9">
        <w:rPr>
          <w:rFonts w:ascii="Times New Roman" w:hAnsi="Times New Roman" w:cs="Times New Roman"/>
          <w:i/>
          <w:iCs/>
          <w:sz w:val="28"/>
          <w:szCs w:val="28"/>
        </w:rPr>
        <w:t xml:space="preserve"> legis</w:t>
      </w:r>
      <w:r w:rsidR="00D30C10" w:rsidRPr="006764C9">
        <w:rPr>
          <w:rFonts w:ascii="Times New Roman" w:hAnsi="Times New Roman" w:cs="Times New Roman"/>
          <w:sz w:val="28"/>
          <w:szCs w:val="28"/>
        </w:rPr>
        <w:t>, ma senza mai metterne in dubbio, appunto, il suo collocarsi oltre il termine di scadenza del titolo</w:t>
      </w:r>
      <w:r w:rsidR="006E7022" w:rsidRPr="00111096">
        <w:rPr>
          <w:rStyle w:val="Rimandonotaapidipagina"/>
          <w:rFonts w:ascii="Times New Roman" w:hAnsi="Times New Roman" w:cs="Times New Roman"/>
          <w:sz w:val="28"/>
          <w:szCs w:val="28"/>
        </w:rPr>
        <w:footnoteReference w:id="14"/>
      </w:r>
      <w:r w:rsidR="00D30C10" w:rsidRPr="006764C9">
        <w:rPr>
          <w:rFonts w:ascii="Times New Roman" w:hAnsi="Times New Roman" w:cs="Times New Roman"/>
          <w:sz w:val="28"/>
          <w:szCs w:val="28"/>
        </w:rPr>
        <w:t xml:space="preserve">. </w:t>
      </w:r>
      <w:r w:rsidR="00976633">
        <w:rPr>
          <w:rFonts w:ascii="Times New Roman" w:hAnsi="Times New Roman" w:cs="Times New Roman"/>
          <w:sz w:val="28"/>
          <w:szCs w:val="28"/>
        </w:rPr>
        <w:t>In alcuni casi, peraltro, tale qualificazione si è risolta nella sostanziale affermazione della illegittimità delle concessioni laddove le Amministrazioni siano rimaste totalmente inerti</w:t>
      </w:r>
      <w:r w:rsidR="00976633">
        <w:rPr>
          <w:rStyle w:val="Rimandonotaapidipagina"/>
          <w:rFonts w:ascii="Times New Roman" w:hAnsi="Times New Roman" w:cs="Times New Roman"/>
          <w:sz w:val="28"/>
          <w:szCs w:val="28"/>
        </w:rPr>
        <w:footnoteReference w:id="15"/>
      </w:r>
      <w:r w:rsidR="00976633">
        <w:rPr>
          <w:rFonts w:ascii="Times New Roman" w:hAnsi="Times New Roman" w:cs="Times New Roman"/>
          <w:sz w:val="28"/>
          <w:szCs w:val="28"/>
        </w:rPr>
        <w:t xml:space="preserve">. </w:t>
      </w:r>
      <w:r w:rsidR="00D81D63" w:rsidRPr="006764C9">
        <w:rPr>
          <w:rFonts w:ascii="Times New Roman" w:hAnsi="Times New Roman" w:cs="Times New Roman"/>
          <w:sz w:val="28"/>
          <w:szCs w:val="28"/>
        </w:rPr>
        <w:t xml:space="preserve">’è dunque da chiedersi se gli investimenti effettuati in questa fase, pur autorizzati dai Comuni, </w:t>
      </w:r>
      <w:r w:rsidR="001C2DA6" w:rsidRPr="006764C9">
        <w:rPr>
          <w:rFonts w:ascii="Times New Roman" w:hAnsi="Times New Roman" w:cs="Times New Roman"/>
          <w:sz w:val="28"/>
          <w:szCs w:val="28"/>
        </w:rPr>
        <w:t xml:space="preserve">ove </w:t>
      </w:r>
      <w:r w:rsidR="00D30C10" w:rsidRPr="006764C9">
        <w:rPr>
          <w:rFonts w:ascii="Times New Roman" w:hAnsi="Times New Roman" w:cs="Times New Roman"/>
          <w:sz w:val="28"/>
          <w:szCs w:val="28"/>
        </w:rPr>
        <w:t xml:space="preserve">non </w:t>
      </w:r>
      <w:r w:rsidR="00D81D63" w:rsidRPr="006764C9">
        <w:rPr>
          <w:rFonts w:ascii="Times New Roman" w:hAnsi="Times New Roman" w:cs="Times New Roman"/>
          <w:sz w:val="28"/>
          <w:szCs w:val="28"/>
        </w:rPr>
        <w:t xml:space="preserve">meramente </w:t>
      </w:r>
      <w:r w:rsidR="00D30C10" w:rsidRPr="006764C9">
        <w:rPr>
          <w:rFonts w:ascii="Times New Roman" w:hAnsi="Times New Roman" w:cs="Times New Roman"/>
          <w:sz w:val="28"/>
          <w:szCs w:val="28"/>
        </w:rPr>
        <w:t xml:space="preserve">funzionali alla continuità aziendale, anche </w:t>
      </w:r>
      <w:r w:rsidR="00D30C10" w:rsidRPr="006764C9">
        <w:rPr>
          <w:rFonts w:ascii="Times New Roman" w:hAnsi="Times New Roman" w:cs="Times New Roman"/>
          <w:i/>
          <w:iCs/>
          <w:sz w:val="28"/>
          <w:szCs w:val="28"/>
        </w:rPr>
        <w:t>sub specie</w:t>
      </w:r>
      <w:r w:rsidR="00D30C10" w:rsidRPr="006764C9">
        <w:rPr>
          <w:rFonts w:ascii="Times New Roman" w:hAnsi="Times New Roman" w:cs="Times New Roman"/>
          <w:sz w:val="28"/>
          <w:szCs w:val="28"/>
        </w:rPr>
        <w:t xml:space="preserve"> di manutenzione delle attrezzature in essere, </w:t>
      </w:r>
      <w:r w:rsidR="00D81D63" w:rsidRPr="006764C9">
        <w:rPr>
          <w:rFonts w:ascii="Times New Roman" w:hAnsi="Times New Roman" w:cs="Times New Roman"/>
          <w:sz w:val="28"/>
          <w:szCs w:val="28"/>
        </w:rPr>
        <w:t xml:space="preserve">possano essere presi in considerazione ai fini del calcolo dell’indennizzo, ovvero se, più correttamente, la situazione andava </w:t>
      </w:r>
      <w:r w:rsidR="001C2DA6" w:rsidRPr="006764C9">
        <w:rPr>
          <w:rFonts w:ascii="Times New Roman" w:hAnsi="Times New Roman" w:cs="Times New Roman"/>
          <w:sz w:val="28"/>
          <w:szCs w:val="28"/>
        </w:rPr>
        <w:t xml:space="preserve">cristallizzata alla scadenza del titolo. Tutelare, infatti, l’affidamento riposto nella possibilità di ammortizzare nuovi investimenti a quadro normativo ormai chiaro e dunque nella piena </w:t>
      </w:r>
      <w:r w:rsidR="006E7022" w:rsidRPr="006764C9">
        <w:rPr>
          <w:rFonts w:ascii="Times New Roman" w:hAnsi="Times New Roman" w:cs="Times New Roman"/>
          <w:sz w:val="28"/>
          <w:szCs w:val="28"/>
        </w:rPr>
        <w:t xml:space="preserve">consapevolezza del contesto e della sua transitorietà, si risolverebbe, paradossalmente, in una misura premiale proprio a favore di chi ha continuato a comportarsi </w:t>
      </w:r>
      <w:r w:rsidR="006E7022" w:rsidRPr="006764C9">
        <w:rPr>
          <w:rFonts w:ascii="Times New Roman" w:hAnsi="Times New Roman" w:cs="Times New Roman"/>
          <w:i/>
          <w:iCs/>
          <w:sz w:val="28"/>
          <w:szCs w:val="28"/>
        </w:rPr>
        <w:t>uti dominus</w:t>
      </w:r>
      <w:r w:rsidR="006E7022" w:rsidRPr="006764C9">
        <w:rPr>
          <w:rFonts w:ascii="Times New Roman" w:hAnsi="Times New Roman" w:cs="Times New Roman"/>
          <w:sz w:val="28"/>
          <w:szCs w:val="28"/>
        </w:rPr>
        <w:t xml:space="preserve"> quando ormai non vi è più alcuna possibilità di equivoci sul punto</w:t>
      </w:r>
      <w:r w:rsidR="001C2DA6" w:rsidRPr="00111096">
        <w:rPr>
          <w:rStyle w:val="Rimandonotaapidipagina"/>
          <w:rFonts w:ascii="Times New Roman" w:hAnsi="Times New Roman" w:cs="Times New Roman"/>
          <w:sz w:val="28"/>
          <w:szCs w:val="28"/>
        </w:rPr>
        <w:footnoteReference w:id="16"/>
      </w:r>
      <w:r w:rsidR="00D30C10" w:rsidRPr="006764C9">
        <w:rPr>
          <w:rFonts w:ascii="Times New Roman" w:hAnsi="Times New Roman" w:cs="Times New Roman"/>
          <w:sz w:val="28"/>
          <w:szCs w:val="28"/>
        </w:rPr>
        <w:t xml:space="preserve">. </w:t>
      </w:r>
      <w:r w:rsidR="006E7022" w:rsidRPr="006764C9">
        <w:rPr>
          <w:rFonts w:ascii="Times New Roman" w:hAnsi="Times New Roman" w:cs="Times New Roman"/>
          <w:sz w:val="28"/>
          <w:szCs w:val="28"/>
        </w:rPr>
        <w:t xml:space="preserve">L’eventuale, ulteriore affidamento generato – qui sì – dalle equivoche scelte degli Enti territoriali, oltre ad esporre i funzionari di questi ultimi a pesanti responsabilità, anche erariali, non ci pare riconducibile sotto l’egida della normativa in esame, sicché aprirà al più la strada a contenziosi risarcitori, peraltro di considerevole portata, giusta la consistenza delle operazioni, immobiliari e non, che sembrerebbero ancora caratterizzare la gestione delle imprese del settore balneare nel nostro </w:t>
      </w:r>
      <w:r w:rsidR="00EA1F1F" w:rsidRPr="006764C9">
        <w:rPr>
          <w:rFonts w:ascii="Times New Roman" w:hAnsi="Times New Roman" w:cs="Times New Roman"/>
          <w:sz w:val="28"/>
          <w:szCs w:val="28"/>
        </w:rPr>
        <w:t>P</w:t>
      </w:r>
      <w:r w:rsidR="006E7022" w:rsidRPr="006764C9">
        <w:rPr>
          <w:rFonts w:ascii="Times New Roman" w:hAnsi="Times New Roman" w:cs="Times New Roman"/>
          <w:sz w:val="28"/>
          <w:szCs w:val="28"/>
        </w:rPr>
        <w:t xml:space="preserve">aese. </w:t>
      </w:r>
      <w:r w:rsidR="00EA1F1F" w:rsidRPr="006764C9">
        <w:rPr>
          <w:rFonts w:ascii="Times New Roman" w:hAnsi="Times New Roman" w:cs="Times New Roman"/>
          <w:sz w:val="28"/>
          <w:szCs w:val="28"/>
        </w:rPr>
        <w:t xml:space="preserve">Quanto detto ci pare trovi ulteriore conforto anche nella formulazione letterale dell’art. 3 della l. n. 118 del 2022, laddove si qualifica come “legittima” l’occupazione di suolo demaniale che si protrae per il tempo necessario a perfezionare i nuovi affidamenti, anche ai sensi e per gli effetti di cui all’art. 1161 del codice della navigazione. </w:t>
      </w:r>
      <w:r w:rsidR="00855282" w:rsidRPr="006764C9">
        <w:rPr>
          <w:rFonts w:ascii="Times New Roman" w:hAnsi="Times New Roman" w:cs="Times New Roman"/>
          <w:sz w:val="28"/>
          <w:szCs w:val="28"/>
        </w:rPr>
        <w:t xml:space="preserve">Solo in ragione </w:t>
      </w:r>
      <w:r w:rsidR="00EA1F1F" w:rsidRPr="006764C9">
        <w:rPr>
          <w:rFonts w:ascii="Times New Roman" w:hAnsi="Times New Roman" w:cs="Times New Roman"/>
          <w:sz w:val="28"/>
          <w:szCs w:val="28"/>
        </w:rPr>
        <w:t xml:space="preserve">di tale specifico richiamo, che opera come scriminante normativa per la sussistenza dell’illecito penale contemplato in tale norma, si consente di mantenere lo </w:t>
      </w:r>
      <w:r w:rsidR="00EA1F1F" w:rsidRPr="006764C9">
        <w:rPr>
          <w:rFonts w:ascii="Times New Roman" w:hAnsi="Times New Roman" w:cs="Times New Roman"/>
          <w:i/>
          <w:iCs/>
          <w:sz w:val="28"/>
          <w:szCs w:val="28"/>
        </w:rPr>
        <w:t>sta</w:t>
      </w:r>
      <w:r w:rsidR="00855282" w:rsidRPr="006764C9">
        <w:rPr>
          <w:rFonts w:ascii="Times New Roman" w:hAnsi="Times New Roman" w:cs="Times New Roman"/>
          <w:i/>
          <w:iCs/>
          <w:sz w:val="28"/>
          <w:szCs w:val="28"/>
        </w:rPr>
        <w:t>t</w:t>
      </w:r>
      <w:r w:rsidR="00EA1F1F" w:rsidRPr="006764C9">
        <w:rPr>
          <w:rFonts w:ascii="Times New Roman" w:hAnsi="Times New Roman" w:cs="Times New Roman"/>
          <w:i/>
          <w:iCs/>
          <w:sz w:val="28"/>
          <w:szCs w:val="28"/>
        </w:rPr>
        <w:t>us quo ante</w:t>
      </w:r>
      <w:r w:rsidR="00855282" w:rsidRPr="006764C9">
        <w:rPr>
          <w:rFonts w:ascii="Times New Roman" w:hAnsi="Times New Roman" w:cs="Times New Roman"/>
          <w:i/>
          <w:iCs/>
          <w:sz w:val="28"/>
          <w:szCs w:val="28"/>
        </w:rPr>
        <w:t xml:space="preserve"> </w:t>
      </w:r>
      <w:r w:rsidR="00855282" w:rsidRPr="006764C9">
        <w:rPr>
          <w:rFonts w:ascii="Times New Roman" w:hAnsi="Times New Roman" w:cs="Times New Roman"/>
          <w:sz w:val="28"/>
          <w:szCs w:val="28"/>
        </w:rPr>
        <w:t xml:space="preserve">senza incorrere nel regime sanzionatorio che diversamente ne conseguirebbe. </w:t>
      </w:r>
      <w:r w:rsidR="00B245DD" w:rsidRPr="006764C9">
        <w:rPr>
          <w:rFonts w:ascii="Times New Roman" w:hAnsi="Times New Roman" w:cs="Times New Roman"/>
          <w:sz w:val="28"/>
          <w:szCs w:val="28"/>
        </w:rPr>
        <w:t xml:space="preserve">A stretto rigore, dunque, assumendo quale </w:t>
      </w:r>
      <w:proofErr w:type="spellStart"/>
      <w:r w:rsidR="00B245DD" w:rsidRPr="006764C9">
        <w:rPr>
          <w:rFonts w:ascii="Times New Roman" w:hAnsi="Times New Roman" w:cs="Times New Roman"/>
          <w:i/>
          <w:iCs/>
          <w:sz w:val="28"/>
          <w:szCs w:val="28"/>
        </w:rPr>
        <w:t>dies</w:t>
      </w:r>
      <w:proofErr w:type="spellEnd"/>
      <w:r w:rsidR="00B245DD" w:rsidRPr="006764C9">
        <w:rPr>
          <w:rFonts w:ascii="Times New Roman" w:hAnsi="Times New Roman" w:cs="Times New Roman"/>
          <w:i/>
          <w:iCs/>
          <w:sz w:val="28"/>
          <w:szCs w:val="28"/>
        </w:rPr>
        <w:t xml:space="preserve"> a quo</w:t>
      </w:r>
      <w:r w:rsidR="00B245DD" w:rsidRPr="006764C9">
        <w:rPr>
          <w:rFonts w:ascii="Times New Roman" w:hAnsi="Times New Roman" w:cs="Times New Roman"/>
          <w:sz w:val="28"/>
          <w:szCs w:val="28"/>
        </w:rPr>
        <w:t xml:space="preserve"> quello della proroga “tecnica” in quanto funzionale a garantire il perfezionamento delle procedure ad evidenza pubblica necessarie per i nuovi affidamenti l’entrata in vigore della più volte ricordata legge n. 118 del 2022, ovvero il 27 agosto 2022, gli investimenti da valutare, ove, come detto, non correlati ad esigenze di gestione ordinaria o a situazioni straordinarie, peraltro espressamente menzionate dalla norma,  dovrebbero essere solo quelli effettuati fino a tale data</w:t>
      </w:r>
      <w:r w:rsidR="00B245DD" w:rsidRPr="00111096">
        <w:rPr>
          <w:rStyle w:val="Rimandonotaapidipagina"/>
          <w:rFonts w:ascii="Times New Roman" w:hAnsi="Times New Roman" w:cs="Times New Roman"/>
          <w:sz w:val="28"/>
          <w:szCs w:val="28"/>
        </w:rPr>
        <w:footnoteReference w:id="17"/>
      </w:r>
      <w:r w:rsidR="00B245DD" w:rsidRPr="006764C9">
        <w:rPr>
          <w:rFonts w:ascii="Times New Roman" w:hAnsi="Times New Roman" w:cs="Times New Roman"/>
          <w:sz w:val="28"/>
          <w:szCs w:val="28"/>
        </w:rPr>
        <w:t xml:space="preserve">. </w:t>
      </w:r>
      <w:r w:rsidR="005E3497" w:rsidRPr="006764C9">
        <w:rPr>
          <w:rFonts w:ascii="Times New Roman" w:hAnsi="Times New Roman" w:cs="Times New Roman"/>
          <w:sz w:val="28"/>
          <w:szCs w:val="28"/>
        </w:rPr>
        <w:t xml:space="preserve">D’altro canto, a maggior ragione il riferimento </w:t>
      </w:r>
      <w:r w:rsidR="005E3497" w:rsidRPr="006764C9">
        <w:rPr>
          <w:rFonts w:ascii="Arial" w:hAnsi="Arial" w:cs="Arial"/>
          <w:sz w:val="28"/>
          <w:szCs w:val="28"/>
        </w:rPr>
        <w:t>«</w:t>
      </w:r>
      <w:r w:rsidR="005E3497" w:rsidRPr="006764C9">
        <w:rPr>
          <w:rFonts w:ascii="Times New Roman" w:hAnsi="Times New Roman" w:cs="Times New Roman"/>
          <w:i/>
          <w:iCs/>
          <w:sz w:val="28"/>
          <w:szCs w:val="28"/>
        </w:rPr>
        <w:t>al termine della concessione</w:t>
      </w:r>
      <w:r w:rsidR="005E3497" w:rsidRPr="006764C9">
        <w:rPr>
          <w:rFonts w:ascii="Arial" w:hAnsi="Arial" w:cs="Arial"/>
          <w:sz w:val="28"/>
          <w:szCs w:val="28"/>
        </w:rPr>
        <w:t>»</w:t>
      </w:r>
      <w:r w:rsidR="005E3497" w:rsidRPr="006764C9">
        <w:rPr>
          <w:rFonts w:ascii="Times New Roman" w:hAnsi="Times New Roman" w:cs="Times New Roman"/>
          <w:sz w:val="28"/>
          <w:szCs w:val="28"/>
        </w:rPr>
        <w:t xml:space="preserve"> deve assumere valore al fine della retrodatazione a cinque anni delle voci chiamate a comporre la c.d. “equa remunerazione”. Diversamente opinando, peraltro, il differimento dell’originario termine di efficacia dal 31 dicembre 2023 – previsto nella prima stesura dell’art. 3 della l. n. 118 del 2022 – all’attuale 30 settembre 2027, si risolverebbe esso pure in un vantaggio accordato al concessionario uscente, che proprio in quanto tale avrebbe avuto la possibilità di attivarsi, magari per la prima volta proprio in questi ultimi anni, per </w:t>
      </w:r>
      <w:r w:rsidR="0062042C" w:rsidRPr="006764C9">
        <w:rPr>
          <w:rFonts w:ascii="Times New Roman" w:hAnsi="Times New Roman" w:cs="Times New Roman"/>
          <w:sz w:val="28"/>
          <w:szCs w:val="28"/>
        </w:rPr>
        <w:t xml:space="preserve">arricchire la propria offerta di servizi, migliorare la qualità architettonica della struttura, assicurare accessibilità ai disabili, in passato mancante. </w:t>
      </w:r>
      <w:r w:rsidR="00111096" w:rsidRPr="006764C9">
        <w:rPr>
          <w:rFonts w:ascii="Times New Roman" w:eastAsia="Times New Roman" w:hAnsi="Times New Roman" w:cs="Times New Roman"/>
          <w:color w:val="000000"/>
          <w:kern w:val="0"/>
          <w:sz w:val="30"/>
          <w:szCs w:val="30"/>
          <w:lang w:eastAsia="it-IT"/>
          <w14:ligatures w14:val="none"/>
        </w:rPr>
        <w:t xml:space="preserve">Resta poi, qualsivoglia sia l’investimento effettuato, la necessità di vagliarne la congruità e l’effettiva strumentalità. In altre parole, il legislatore non chiarisce fino a che punto possa essersi sbizzarrita la fantasia imprenditoriale del soggetto uscente, realizzando interventi eterogenei rispetto alla finalità della struttura, e tuttavia astrattamente valutabili ove da ricondurre alle tradizioni locali, culturali o folcloristiche (si pensi alle esposizioni artistiche, alle installazioni scultoree </w:t>
      </w:r>
      <w:r w:rsidR="00111096" w:rsidRPr="006764C9">
        <w:rPr>
          <w:rFonts w:ascii="Times New Roman" w:eastAsia="Times New Roman" w:hAnsi="Times New Roman" w:cs="Times New Roman"/>
          <w:i/>
          <w:iCs/>
          <w:color w:val="000000"/>
          <w:kern w:val="0"/>
          <w:sz w:val="30"/>
          <w:szCs w:val="30"/>
          <w:lang w:eastAsia="it-IT"/>
          <w14:ligatures w14:val="none"/>
        </w:rPr>
        <w:t>et similia</w:t>
      </w:r>
      <w:r w:rsidR="00111096" w:rsidRPr="006764C9">
        <w:rPr>
          <w:rFonts w:ascii="Times New Roman" w:eastAsia="Times New Roman" w:hAnsi="Times New Roman" w:cs="Times New Roman"/>
          <w:color w:val="000000"/>
          <w:kern w:val="0"/>
          <w:sz w:val="30"/>
          <w:szCs w:val="30"/>
          <w:lang w:eastAsia="it-IT"/>
          <w14:ligatures w14:val="none"/>
        </w:rPr>
        <w:t>).</w:t>
      </w:r>
    </w:p>
    <w:p w14:paraId="01772856" w14:textId="25BE3BF4" w:rsidR="00DB4225" w:rsidRDefault="0062042C" w:rsidP="00A42CE7">
      <w:pPr>
        <w:pStyle w:val="Paragrafoelenco"/>
        <w:numPr>
          <w:ilvl w:val="0"/>
          <w:numId w:val="14"/>
        </w:numPr>
        <w:spacing w:line="288" w:lineRule="auto"/>
        <w:ind w:left="284" w:right="140" w:firstLine="0"/>
        <w:jc w:val="both"/>
        <w:rPr>
          <w:rFonts w:ascii="Times New Roman" w:hAnsi="Times New Roman" w:cs="Times New Roman"/>
          <w:sz w:val="28"/>
          <w:szCs w:val="28"/>
        </w:rPr>
      </w:pPr>
      <w:r w:rsidRPr="00543851">
        <w:rPr>
          <w:rFonts w:ascii="Times New Roman" w:hAnsi="Times New Roman" w:cs="Times New Roman"/>
          <w:b/>
          <w:bCs/>
          <w:sz w:val="28"/>
          <w:szCs w:val="28"/>
        </w:rPr>
        <w:t>La natura degli investimenti indennizzabili: beni amovibili, di facile e difficile rimozione</w:t>
      </w:r>
      <w:r w:rsidRPr="00543851">
        <w:rPr>
          <w:rFonts w:ascii="Times New Roman" w:hAnsi="Times New Roman" w:cs="Times New Roman"/>
          <w:sz w:val="28"/>
          <w:szCs w:val="28"/>
        </w:rPr>
        <w:t xml:space="preserve">. </w:t>
      </w:r>
      <w:r w:rsidR="00994EB1" w:rsidRPr="00543851">
        <w:rPr>
          <w:rFonts w:ascii="Times New Roman" w:hAnsi="Times New Roman" w:cs="Times New Roman"/>
          <w:sz w:val="28"/>
          <w:szCs w:val="28"/>
        </w:rPr>
        <w:t xml:space="preserve">Come chiarito, il legislatore non dà alcuna specifica indicazione circa la tipologia di investimenti che possono essere oggetto di indennizzo ovvero di equa remunerazione. Malgrado, dunque, l’astratta possibilità di includervi, a condizioni date, anche beni amovibili, è evidente che essi si identificano principalmente con strutture la cui rimozione è impossibile senza distruggerle ovvero comunque particolarmente gravosa. I </w:t>
      </w:r>
      <w:r w:rsidRPr="00543851">
        <w:rPr>
          <w:rFonts w:ascii="Times New Roman" w:hAnsi="Times New Roman" w:cs="Times New Roman"/>
          <w:sz w:val="28"/>
          <w:szCs w:val="28"/>
        </w:rPr>
        <w:t xml:space="preserve">beni amovibili, </w:t>
      </w:r>
      <w:r w:rsidR="00994EB1" w:rsidRPr="00543851">
        <w:rPr>
          <w:rFonts w:ascii="Times New Roman" w:hAnsi="Times New Roman" w:cs="Times New Roman"/>
          <w:sz w:val="28"/>
          <w:szCs w:val="28"/>
        </w:rPr>
        <w:t xml:space="preserve">infatti, </w:t>
      </w:r>
      <w:r w:rsidRPr="00543851">
        <w:rPr>
          <w:rFonts w:ascii="Times New Roman" w:hAnsi="Times New Roman" w:cs="Times New Roman"/>
          <w:sz w:val="28"/>
          <w:szCs w:val="28"/>
        </w:rPr>
        <w:t>ancorché destinati alla fornitura del servizio e ancorché acquistati di recente, ad esempio per far fronte all’usura dei precedenti, garantendo il giusto decoro al servizio, restano, per definizione (in quanto sottratti alla logica della necessaria </w:t>
      </w:r>
      <w:r w:rsidRPr="00543851">
        <w:rPr>
          <w:rFonts w:ascii="Times New Roman" w:hAnsi="Times New Roman" w:cs="Times New Roman"/>
          <w:i/>
          <w:iCs/>
          <w:sz w:val="28"/>
          <w:szCs w:val="28"/>
        </w:rPr>
        <w:t>accessione</w:t>
      </w:r>
      <w:r w:rsidRPr="00543851">
        <w:rPr>
          <w:rFonts w:ascii="Times New Roman" w:hAnsi="Times New Roman" w:cs="Times New Roman"/>
          <w:sz w:val="28"/>
          <w:szCs w:val="28"/>
        </w:rPr>
        <w:t> relativamente al demanio), di proprietà del concessionario. Essi dunque possono come tali essere oggetto di negoziazione in via contrattuale: sicché l’accollo dei relativi costi sul gestore subentrante sembrerebbe risolversi, di fatto, proprio in un indebito vantaggio dell’uscente, per traslazione del rischio di impresa.</w:t>
      </w:r>
      <w:r w:rsidRPr="00543851">
        <w:rPr>
          <w:rFonts w:ascii="Garamond" w:eastAsia="Times New Roman" w:hAnsi="Garamond" w:cs="Times New Roman"/>
          <w:color w:val="000000"/>
          <w:kern w:val="0"/>
          <w:sz w:val="28"/>
          <w:szCs w:val="28"/>
          <w:lang w:eastAsia="it-IT"/>
          <w14:ligatures w14:val="none"/>
        </w:rPr>
        <w:t xml:space="preserve"> </w:t>
      </w:r>
      <w:r w:rsidR="002528CC" w:rsidRPr="00543851">
        <w:rPr>
          <w:rFonts w:ascii="Times New Roman" w:hAnsi="Times New Roman" w:cs="Times New Roman"/>
          <w:sz w:val="28"/>
          <w:szCs w:val="28"/>
        </w:rPr>
        <w:t>L’</w:t>
      </w:r>
      <w:r w:rsidR="00994EB1" w:rsidRPr="00543851">
        <w:rPr>
          <w:rFonts w:ascii="Times New Roman" w:hAnsi="Times New Roman" w:cs="Times New Roman"/>
          <w:sz w:val="28"/>
          <w:szCs w:val="28"/>
        </w:rPr>
        <w:t xml:space="preserve">art. 49 del codice della navigazione, del quale si è già ampiamente detto, prevede come regola generale l’incameramento delle </w:t>
      </w:r>
      <w:r w:rsidR="00994EB1" w:rsidRPr="00543851">
        <w:rPr>
          <w:rFonts w:ascii="Arial" w:hAnsi="Arial" w:cs="Arial"/>
          <w:sz w:val="28"/>
          <w:szCs w:val="28"/>
        </w:rPr>
        <w:t>«</w:t>
      </w:r>
      <w:r w:rsidR="002528CC" w:rsidRPr="00543851">
        <w:rPr>
          <w:rFonts w:ascii="Times New Roman" w:hAnsi="Times New Roman" w:cs="Times New Roman"/>
          <w:i/>
          <w:iCs/>
          <w:sz w:val="28"/>
          <w:szCs w:val="28"/>
        </w:rPr>
        <w:t>opere non amovibili</w:t>
      </w:r>
      <w:r w:rsidR="00994EB1" w:rsidRPr="00543851">
        <w:rPr>
          <w:rFonts w:ascii="Arial" w:hAnsi="Arial" w:cs="Arial"/>
          <w:b/>
          <w:bCs/>
          <w:sz w:val="28"/>
          <w:szCs w:val="28"/>
        </w:rPr>
        <w:t xml:space="preserve">»: </w:t>
      </w:r>
      <w:r w:rsidR="00994EB1" w:rsidRPr="00543851">
        <w:rPr>
          <w:rFonts w:ascii="Times New Roman" w:hAnsi="Times New Roman" w:cs="Times New Roman"/>
          <w:sz w:val="28"/>
          <w:szCs w:val="28"/>
        </w:rPr>
        <w:t xml:space="preserve">se l’indennizzo, dunque, deve ristorare ciò che si è realizzato in funzione dello svolgimento dell’attività turistico-ricettiva e che si è destinati a perdere allo spirare della concessione, è evidente che queste ultime vi rientrano. Accanto a tale dizione, tuttavia, il medesimo codice ne utilizza di diverse, ad altri scopi, che nella prassi hanno finito per sovrapporsi. L’art. 36, ad esempio, </w:t>
      </w:r>
      <w:r w:rsidR="002B70A7" w:rsidRPr="00543851">
        <w:rPr>
          <w:rFonts w:ascii="Times New Roman" w:hAnsi="Times New Roman" w:cs="Times New Roman"/>
          <w:sz w:val="28"/>
          <w:szCs w:val="28"/>
        </w:rPr>
        <w:t xml:space="preserve">continua a declinare la competenza al rilascio della concessione in base alla durata e alla presenza o meno di </w:t>
      </w:r>
      <w:r w:rsidR="002B70A7" w:rsidRPr="00543851">
        <w:rPr>
          <w:rFonts w:ascii="Arial" w:hAnsi="Arial" w:cs="Arial"/>
          <w:sz w:val="28"/>
          <w:szCs w:val="28"/>
        </w:rPr>
        <w:t>«</w:t>
      </w:r>
      <w:r w:rsidR="002B70A7" w:rsidRPr="00543851">
        <w:rPr>
          <w:rFonts w:ascii="Times New Roman" w:hAnsi="Times New Roman" w:cs="Times New Roman"/>
          <w:i/>
          <w:iCs/>
          <w:sz w:val="28"/>
          <w:szCs w:val="28"/>
        </w:rPr>
        <w:t>impianti di difficile sgombero</w:t>
      </w:r>
      <w:r w:rsidR="002B70A7" w:rsidRPr="00543851">
        <w:rPr>
          <w:rFonts w:ascii="Arial" w:hAnsi="Arial" w:cs="Arial"/>
          <w:sz w:val="28"/>
          <w:szCs w:val="28"/>
        </w:rPr>
        <w:t>»</w:t>
      </w:r>
      <w:r w:rsidR="002B70A7">
        <w:rPr>
          <w:rStyle w:val="Rimandonotaapidipagina"/>
          <w:rFonts w:ascii="Arial" w:hAnsi="Arial" w:cs="Arial"/>
          <w:sz w:val="28"/>
          <w:szCs w:val="28"/>
        </w:rPr>
        <w:footnoteReference w:id="18"/>
      </w:r>
      <w:r w:rsidR="002B70A7" w:rsidRPr="00543851">
        <w:rPr>
          <w:rFonts w:ascii="Times New Roman" w:hAnsi="Times New Roman" w:cs="Times New Roman"/>
          <w:sz w:val="28"/>
          <w:szCs w:val="28"/>
        </w:rPr>
        <w:t xml:space="preserve">. Mentre dunque in passato l’art. 36 utilizzava tale locuzione come uno dei criteri per spartire il potere tra Capo di Compartimento e Direttore Marittimo, oggi è sempre il Comune, magari coinvolgendo in conferenza dei servizi l’Autorità preposta alla tutela dei vincoli paesaggistici e la stessa Capitaneria per gli aspetti di sicurezza della navigazione, a valutare tecnicamente se un impianto sia da considerare “di difficile sgombero” o meno. </w:t>
      </w:r>
      <w:r w:rsidR="00901935" w:rsidRPr="00543851">
        <w:rPr>
          <w:rFonts w:ascii="Times New Roman" w:hAnsi="Times New Roman" w:cs="Times New Roman"/>
          <w:sz w:val="28"/>
          <w:szCs w:val="28"/>
        </w:rPr>
        <w:t xml:space="preserve">L’art. 42 a sua volta, del quale si è già fatto cenno, parlando della revoca ante tempo delle concessioni, utilizza, accanto all’espressione </w:t>
      </w:r>
      <w:r w:rsidR="00901935" w:rsidRPr="00543851">
        <w:rPr>
          <w:rFonts w:ascii="Arial" w:hAnsi="Arial" w:cs="Arial"/>
          <w:sz w:val="28"/>
          <w:szCs w:val="28"/>
        </w:rPr>
        <w:t>«</w:t>
      </w:r>
      <w:r w:rsidR="00901935" w:rsidRPr="00543851">
        <w:rPr>
          <w:rFonts w:ascii="Times New Roman" w:hAnsi="Times New Roman" w:cs="Times New Roman"/>
          <w:i/>
          <w:iCs/>
          <w:sz w:val="28"/>
          <w:szCs w:val="28"/>
        </w:rPr>
        <w:t>impianti di difficile sgombero</w:t>
      </w:r>
      <w:r w:rsidR="00901935" w:rsidRPr="00543851">
        <w:rPr>
          <w:rFonts w:ascii="Arial" w:hAnsi="Arial" w:cs="Arial"/>
          <w:i/>
          <w:iCs/>
          <w:sz w:val="28"/>
          <w:szCs w:val="28"/>
        </w:rPr>
        <w:t>»</w:t>
      </w:r>
      <w:r w:rsidR="00901935" w:rsidRPr="00543851">
        <w:rPr>
          <w:rFonts w:ascii="Times New Roman" w:hAnsi="Times New Roman" w:cs="Times New Roman"/>
          <w:i/>
          <w:iCs/>
          <w:sz w:val="28"/>
          <w:szCs w:val="28"/>
        </w:rPr>
        <w:t xml:space="preserve">, </w:t>
      </w:r>
      <w:r w:rsidR="00901935" w:rsidRPr="00543851">
        <w:rPr>
          <w:rFonts w:ascii="Times New Roman" w:hAnsi="Times New Roman" w:cs="Times New Roman"/>
          <w:sz w:val="28"/>
          <w:szCs w:val="28"/>
        </w:rPr>
        <w:t xml:space="preserve">anche la distinta dizione di </w:t>
      </w:r>
      <w:r w:rsidR="00901935" w:rsidRPr="00543851">
        <w:rPr>
          <w:rFonts w:ascii="Arial" w:hAnsi="Arial" w:cs="Arial"/>
          <w:sz w:val="28"/>
          <w:szCs w:val="28"/>
        </w:rPr>
        <w:t>«</w:t>
      </w:r>
      <w:r w:rsidR="00901935" w:rsidRPr="00543851">
        <w:rPr>
          <w:rFonts w:ascii="Times New Roman" w:hAnsi="Times New Roman" w:cs="Times New Roman"/>
          <w:i/>
          <w:iCs/>
          <w:sz w:val="28"/>
          <w:szCs w:val="28"/>
        </w:rPr>
        <w:t>opere stabili</w:t>
      </w:r>
      <w:r w:rsidR="00901935" w:rsidRPr="00543851">
        <w:rPr>
          <w:rFonts w:ascii="Arial" w:hAnsi="Arial" w:cs="Arial"/>
          <w:sz w:val="28"/>
          <w:szCs w:val="28"/>
        </w:rPr>
        <w:t>»</w:t>
      </w:r>
      <w:r w:rsidR="00901935" w:rsidRPr="00543851">
        <w:rPr>
          <w:rFonts w:ascii="Times New Roman" w:hAnsi="Times New Roman" w:cs="Times New Roman"/>
          <w:sz w:val="28"/>
          <w:szCs w:val="28"/>
        </w:rPr>
        <w:t xml:space="preserve"> (comma 4), che sono le uniche in presenza delle quali lo scioglimento anticipato del rapporto concessorio comporta la corresponsione dell’indennizzo, </w:t>
      </w:r>
      <w:r w:rsidR="00901935" w:rsidRPr="00543851">
        <w:rPr>
          <w:rFonts w:ascii="Arial" w:hAnsi="Arial" w:cs="Arial"/>
          <w:sz w:val="28"/>
          <w:szCs w:val="28"/>
        </w:rPr>
        <w:t>«</w:t>
      </w:r>
      <w:r w:rsidR="00901935" w:rsidRPr="00543851">
        <w:rPr>
          <w:rFonts w:ascii="Times New Roman" w:hAnsi="Times New Roman" w:cs="Times New Roman"/>
          <w:i/>
          <w:iCs/>
          <w:sz w:val="28"/>
          <w:szCs w:val="28"/>
        </w:rPr>
        <w:t>salvo che non sia diversamente stabilito</w:t>
      </w:r>
      <w:r w:rsidR="00901935" w:rsidRPr="00543851">
        <w:rPr>
          <w:rFonts w:ascii="Arial" w:hAnsi="Arial" w:cs="Arial"/>
          <w:sz w:val="28"/>
          <w:szCs w:val="28"/>
        </w:rPr>
        <w:t>»</w:t>
      </w:r>
      <w:r w:rsidR="00901935">
        <w:rPr>
          <w:rStyle w:val="Rimandonotaapidipagina"/>
          <w:rFonts w:ascii="Arial" w:hAnsi="Arial" w:cs="Arial"/>
          <w:sz w:val="28"/>
          <w:szCs w:val="28"/>
        </w:rPr>
        <w:footnoteReference w:id="19"/>
      </w:r>
      <w:r w:rsidR="00901935" w:rsidRPr="00543851">
        <w:rPr>
          <w:rFonts w:ascii="Arial" w:hAnsi="Arial" w:cs="Arial"/>
          <w:sz w:val="28"/>
          <w:szCs w:val="28"/>
        </w:rPr>
        <w:t xml:space="preserve">. </w:t>
      </w:r>
      <w:r w:rsidR="009D51EF" w:rsidRPr="00543851">
        <w:rPr>
          <w:rFonts w:ascii="Times New Roman" w:hAnsi="Times New Roman" w:cs="Times New Roman"/>
          <w:sz w:val="28"/>
          <w:szCs w:val="28"/>
        </w:rPr>
        <w:t xml:space="preserve">Da un punto di vista sintattico, il significato del vocabolo “inamovibile” è delineato dalla sua stessa etimologia. Esso cioè deriva dal verbo latino </w:t>
      </w:r>
      <w:proofErr w:type="spellStart"/>
      <w:r w:rsidR="009D51EF" w:rsidRPr="00543851">
        <w:rPr>
          <w:rFonts w:ascii="Times New Roman" w:hAnsi="Times New Roman" w:cs="Times New Roman"/>
          <w:i/>
          <w:iCs/>
          <w:sz w:val="28"/>
          <w:szCs w:val="28"/>
        </w:rPr>
        <w:t>amovere</w:t>
      </w:r>
      <w:proofErr w:type="spellEnd"/>
      <w:r w:rsidR="009D51EF" w:rsidRPr="00543851">
        <w:rPr>
          <w:rFonts w:ascii="Times New Roman" w:hAnsi="Times New Roman" w:cs="Times New Roman"/>
          <w:sz w:val="28"/>
          <w:szCs w:val="28"/>
        </w:rPr>
        <w:t xml:space="preserve"> (rimuovere): perché la rimozione sia possibile, l’opera deve comunque mantenere nel suo complesso la sua identità e la sua funzione, non risultando invece significativo che i materiali o gli elementi di cui si compone siano a loro volta materialmente individuabili e rimovibili. É quel che accade, ad esempio, in una qualsiasi costruzione in mattoni che certamente è suscettibile di essere smontata, ma altrettanto certamente, in tale evenienza, risulta distrutta. </w:t>
      </w:r>
      <w:r w:rsidR="00BF6608" w:rsidRPr="00543851">
        <w:rPr>
          <w:rFonts w:ascii="Times New Roman" w:hAnsi="Times New Roman" w:cs="Times New Roman"/>
          <w:sz w:val="28"/>
          <w:szCs w:val="28"/>
        </w:rPr>
        <w:t xml:space="preserve">A livello statale, </w:t>
      </w:r>
      <w:r w:rsidR="009D51EF" w:rsidRPr="00543851">
        <w:rPr>
          <w:rFonts w:ascii="Times New Roman" w:hAnsi="Times New Roman" w:cs="Times New Roman"/>
          <w:sz w:val="28"/>
          <w:szCs w:val="28"/>
        </w:rPr>
        <w:t xml:space="preserve">tuttavia, </w:t>
      </w:r>
      <w:r w:rsidR="00BF6608" w:rsidRPr="00543851">
        <w:rPr>
          <w:rFonts w:ascii="Times New Roman" w:hAnsi="Times New Roman" w:cs="Times New Roman"/>
          <w:sz w:val="28"/>
          <w:szCs w:val="28"/>
        </w:rPr>
        <w:t xml:space="preserve">non esiste una norma di legge o un regolamento che definisca le caratteristiche tecniche di un’opera </w:t>
      </w:r>
      <w:r w:rsidR="00901935" w:rsidRPr="00543851">
        <w:rPr>
          <w:rFonts w:ascii="Times New Roman" w:hAnsi="Times New Roman" w:cs="Times New Roman"/>
          <w:sz w:val="28"/>
          <w:szCs w:val="28"/>
        </w:rPr>
        <w:t>“non amovibile” o “stabile”, ammesso e non concesso le distinte dizioni possano essere considerate sinonimi</w:t>
      </w:r>
      <w:r w:rsidR="0088243A" w:rsidRPr="00543851">
        <w:rPr>
          <w:rFonts w:ascii="Times New Roman" w:hAnsi="Times New Roman" w:cs="Times New Roman"/>
          <w:sz w:val="28"/>
          <w:szCs w:val="28"/>
        </w:rPr>
        <w:t>.</w:t>
      </w:r>
      <w:r w:rsidR="00F92DAD" w:rsidRPr="00543851">
        <w:rPr>
          <w:rFonts w:ascii="Times New Roman" w:hAnsi="Times New Roman" w:cs="Times New Roman"/>
          <w:sz w:val="28"/>
          <w:szCs w:val="28"/>
        </w:rPr>
        <w:t xml:space="preserve"> Spesso, peraltro,</w:t>
      </w:r>
      <w:r w:rsidR="00C50DD1" w:rsidRPr="00543851">
        <w:rPr>
          <w:rFonts w:ascii="Times New Roman" w:hAnsi="Times New Roman" w:cs="Times New Roman"/>
          <w:sz w:val="28"/>
          <w:szCs w:val="28"/>
        </w:rPr>
        <w:t xml:space="preserve"> </w:t>
      </w:r>
      <w:r w:rsidR="0088243A" w:rsidRPr="00543851">
        <w:rPr>
          <w:rFonts w:ascii="Times New Roman" w:hAnsi="Times New Roman" w:cs="Times New Roman"/>
          <w:sz w:val="28"/>
          <w:szCs w:val="28"/>
        </w:rPr>
        <w:t xml:space="preserve">il concetto della inamovibilità ha finito per sovrapporsi a quello della difficile </w:t>
      </w:r>
      <w:r w:rsidR="00F92DAD" w:rsidRPr="00543851">
        <w:rPr>
          <w:rFonts w:ascii="Times New Roman" w:hAnsi="Times New Roman" w:cs="Times New Roman"/>
          <w:sz w:val="28"/>
          <w:szCs w:val="28"/>
        </w:rPr>
        <w:t>rimovibilità</w:t>
      </w:r>
      <w:r w:rsidR="0088243A" w:rsidRPr="00543851">
        <w:rPr>
          <w:rFonts w:ascii="Times New Roman" w:hAnsi="Times New Roman" w:cs="Times New Roman"/>
          <w:sz w:val="28"/>
          <w:szCs w:val="28"/>
        </w:rPr>
        <w:t xml:space="preserve">, finendo per determinare l’incameramento pure in tale seconda ipotesi (non ricompresa testualmente nell’alveo dell’art. 49 del codice). La sovrapposizione concettuale ha origini antiche. Con la </w:t>
      </w:r>
      <w:r w:rsidR="000E0FB2" w:rsidRPr="00543851">
        <w:rPr>
          <w:rFonts w:ascii="Times New Roman" w:hAnsi="Times New Roman" w:cs="Times New Roman"/>
          <w:sz w:val="28"/>
          <w:szCs w:val="28"/>
        </w:rPr>
        <w:t>circolare dell’allora Ministero della marina mercantile</w:t>
      </w:r>
      <w:r w:rsidR="0088243A" w:rsidRPr="00543851">
        <w:rPr>
          <w:rFonts w:ascii="Times New Roman" w:hAnsi="Times New Roman" w:cs="Times New Roman"/>
          <w:sz w:val="28"/>
          <w:szCs w:val="28"/>
        </w:rPr>
        <w:t>,</w:t>
      </w:r>
      <w:r w:rsidR="000E0FB2" w:rsidRPr="00543851">
        <w:rPr>
          <w:rFonts w:ascii="Times New Roman" w:hAnsi="Times New Roman" w:cs="Times New Roman"/>
          <w:sz w:val="28"/>
          <w:szCs w:val="28"/>
        </w:rPr>
        <w:t xml:space="preserve"> prot. n. 514208/A.2.33 del 18 luglio 1962, </w:t>
      </w:r>
      <w:r w:rsidR="0088243A" w:rsidRPr="00543851">
        <w:rPr>
          <w:rFonts w:ascii="Times New Roman" w:hAnsi="Times New Roman" w:cs="Times New Roman"/>
          <w:sz w:val="28"/>
          <w:szCs w:val="28"/>
        </w:rPr>
        <w:t xml:space="preserve">ad esempio, il “difficile sgombero” e la “non amovibilità” sono definiti concetti </w:t>
      </w:r>
      <w:r w:rsidR="0088243A" w:rsidRPr="00543851">
        <w:rPr>
          <w:rFonts w:ascii="Arial" w:hAnsi="Arial" w:cs="Arial"/>
          <w:sz w:val="28"/>
          <w:szCs w:val="28"/>
        </w:rPr>
        <w:t>«</w:t>
      </w:r>
      <w:r w:rsidR="0088243A" w:rsidRPr="00543851">
        <w:rPr>
          <w:rFonts w:ascii="Times New Roman" w:hAnsi="Times New Roman" w:cs="Times New Roman"/>
          <w:i/>
          <w:iCs/>
          <w:sz w:val="28"/>
          <w:szCs w:val="28"/>
        </w:rPr>
        <w:t>sostanzialmente equivalenti</w:t>
      </w:r>
      <w:r w:rsidR="0088243A" w:rsidRPr="00543851">
        <w:rPr>
          <w:rFonts w:ascii="Arial" w:hAnsi="Arial" w:cs="Arial"/>
          <w:sz w:val="28"/>
          <w:szCs w:val="28"/>
        </w:rPr>
        <w:t xml:space="preserve">», </w:t>
      </w:r>
      <w:r w:rsidR="0088243A" w:rsidRPr="00543851">
        <w:rPr>
          <w:rFonts w:ascii="Times New Roman" w:hAnsi="Times New Roman" w:cs="Times New Roman"/>
          <w:sz w:val="28"/>
          <w:szCs w:val="28"/>
        </w:rPr>
        <w:t xml:space="preserve">sia avuto riguardo alla forma dell’atto concessorio che alla ripartizione delle competenze </w:t>
      </w:r>
      <w:r w:rsidR="0088243A" w:rsidRPr="00543851">
        <w:rPr>
          <w:rFonts w:ascii="Times New Roman" w:hAnsi="Times New Roman" w:cs="Times New Roman"/>
          <w:i/>
          <w:iCs/>
          <w:sz w:val="28"/>
          <w:szCs w:val="28"/>
        </w:rPr>
        <w:t>ex</w:t>
      </w:r>
      <w:r w:rsidR="0088243A" w:rsidRPr="00543851">
        <w:rPr>
          <w:rFonts w:ascii="Times New Roman" w:hAnsi="Times New Roman" w:cs="Times New Roman"/>
          <w:sz w:val="28"/>
          <w:szCs w:val="28"/>
        </w:rPr>
        <w:t xml:space="preserve"> artt. 36 del codice e 5 del relativo regolamento di esecuzione.</w:t>
      </w:r>
      <w:r w:rsidR="0088243A" w:rsidRPr="00543851">
        <w:rPr>
          <w:rFonts w:ascii="Arial" w:hAnsi="Arial" w:cs="Arial"/>
          <w:sz w:val="28"/>
          <w:szCs w:val="28"/>
        </w:rPr>
        <w:t xml:space="preserve"> </w:t>
      </w:r>
      <w:r w:rsidR="0088243A" w:rsidRPr="00543851">
        <w:rPr>
          <w:rFonts w:ascii="Times New Roman" w:hAnsi="Times New Roman" w:cs="Times New Roman"/>
          <w:sz w:val="28"/>
          <w:szCs w:val="28"/>
        </w:rPr>
        <w:t xml:space="preserve">Le opere di entrambe le tipologie, pertanto, vengono ricondotte in maniera forse semplicistica, ma efficace, alla </w:t>
      </w:r>
      <w:r w:rsidR="00801B00" w:rsidRPr="00543851">
        <w:rPr>
          <w:rFonts w:ascii="Times New Roman" w:hAnsi="Times New Roman" w:cs="Times New Roman"/>
          <w:sz w:val="28"/>
          <w:szCs w:val="28"/>
        </w:rPr>
        <w:t>nozione di beni immobili in contrapposizione ai beni mobili quali di facile rimozione. Non va dimenticato che s</w:t>
      </w:r>
      <w:r w:rsidR="00FA338F" w:rsidRPr="00543851">
        <w:rPr>
          <w:rFonts w:ascii="Times New Roman" w:hAnsi="Times New Roman" w:cs="Times New Roman"/>
          <w:sz w:val="28"/>
          <w:szCs w:val="28"/>
        </w:rPr>
        <w:t xml:space="preserve">iamo in epoca antecedente la </w:t>
      </w:r>
      <w:r w:rsidR="00801B00" w:rsidRPr="00543851">
        <w:rPr>
          <w:rFonts w:ascii="Times New Roman" w:hAnsi="Times New Roman" w:cs="Times New Roman"/>
          <w:sz w:val="28"/>
          <w:szCs w:val="28"/>
        </w:rPr>
        <w:t xml:space="preserve">moderna </w:t>
      </w:r>
      <w:r w:rsidR="00FA338F" w:rsidRPr="00543851">
        <w:rPr>
          <w:rFonts w:ascii="Times New Roman" w:hAnsi="Times New Roman" w:cs="Times New Roman"/>
          <w:sz w:val="28"/>
          <w:szCs w:val="28"/>
        </w:rPr>
        <w:t xml:space="preserve">normativa edilizia </w:t>
      </w:r>
      <w:r w:rsidR="00801B00" w:rsidRPr="00543851">
        <w:rPr>
          <w:rFonts w:ascii="Times New Roman" w:hAnsi="Times New Roman" w:cs="Times New Roman"/>
          <w:sz w:val="28"/>
          <w:szCs w:val="28"/>
        </w:rPr>
        <w:t>(eccezion fatta per la legge urbanistica fondamentale, n. 1150 del 1942, che, come noto, ancora non prevede la necessità generalizzata della licenza edificatoria). M</w:t>
      </w:r>
      <w:r w:rsidR="00FA338F" w:rsidRPr="00543851">
        <w:rPr>
          <w:rFonts w:ascii="Times New Roman" w:hAnsi="Times New Roman" w:cs="Times New Roman"/>
          <w:sz w:val="28"/>
          <w:szCs w:val="28"/>
        </w:rPr>
        <w:t>ediante tale richiamo si intende evidentemente rendere percepibile il riferimento all</w:t>
      </w:r>
      <w:r w:rsidR="00801B00" w:rsidRPr="00543851">
        <w:rPr>
          <w:rFonts w:ascii="Times New Roman" w:hAnsi="Times New Roman" w:cs="Times New Roman"/>
          <w:sz w:val="28"/>
          <w:szCs w:val="28"/>
        </w:rPr>
        <w:t xml:space="preserve">’ancoraggio al suolo, che è requisito diverso dalla stabilità della presenza </w:t>
      </w:r>
      <w:r w:rsidR="00801B00" w:rsidRPr="00543851">
        <w:rPr>
          <w:rFonts w:ascii="Times New Roman" w:hAnsi="Times New Roman" w:cs="Times New Roman"/>
          <w:i/>
          <w:iCs/>
          <w:sz w:val="28"/>
          <w:szCs w:val="28"/>
        </w:rPr>
        <w:t>in loco</w:t>
      </w:r>
      <w:r w:rsidR="00801B00" w:rsidRPr="00543851">
        <w:rPr>
          <w:rFonts w:ascii="Times New Roman" w:hAnsi="Times New Roman" w:cs="Times New Roman"/>
          <w:sz w:val="28"/>
          <w:szCs w:val="28"/>
        </w:rPr>
        <w:t xml:space="preserve">. È noto, infatti, che attualmente il </w:t>
      </w:r>
      <w:proofErr w:type="spellStart"/>
      <w:r w:rsidR="00801B00" w:rsidRPr="00543851">
        <w:rPr>
          <w:rFonts w:ascii="Times New Roman" w:hAnsi="Times New Roman" w:cs="Times New Roman"/>
          <w:sz w:val="28"/>
          <w:szCs w:val="28"/>
        </w:rPr>
        <w:t>T.u.ed</w:t>
      </w:r>
      <w:proofErr w:type="spellEnd"/>
      <w:r w:rsidR="00801B00" w:rsidRPr="00543851">
        <w:rPr>
          <w:rFonts w:ascii="Times New Roman" w:hAnsi="Times New Roman" w:cs="Times New Roman"/>
          <w:sz w:val="28"/>
          <w:szCs w:val="28"/>
        </w:rPr>
        <w:t xml:space="preserve">. distingue la </w:t>
      </w:r>
      <w:r w:rsidR="00FA338F" w:rsidRPr="00543851">
        <w:rPr>
          <w:rFonts w:ascii="Times New Roman" w:hAnsi="Times New Roman" w:cs="Times New Roman"/>
          <w:sz w:val="28"/>
          <w:szCs w:val="28"/>
        </w:rPr>
        <w:t>“nuova costruzione” da</w:t>
      </w:r>
      <w:r w:rsidR="00801B00" w:rsidRPr="00543851">
        <w:rPr>
          <w:rFonts w:ascii="Times New Roman" w:hAnsi="Times New Roman" w:cs="Times New Roman"/>
          <w:sz w:val="28"/>
          <w:szCs w:val="28"/>
        </w:rPr>
        <w:t>l manufatto p</w:t>
      </w:r>
      <w:r w:rsidR="00FA338F" w:rsidRPr="00543851">
        <w:rPr>
          <w:rFonts w:ascii="Times New Roman" w:hAnsi="Times New Roman" w:cs="Times New Roman"/>
          <w:sz w:val="28"/>
          <w:szCs w:val="28"/>
        </w:rPr>
        <w:t>recario</w:t>
      </w:r>
      <w:r w:rsidR="00801B00" w:rsidRPr="00543851">
        <w:rPr>
          <w:rFonts w:ascii="Times New Roman" w:hAnsi="Times New Roman" w:cs="Times New Roman"/>
          <w:sz w:val="28"/>
          <w:szCs w:val="28"/>
        </w:rPr>
        <w:t>,</w:t>
      </w:r>
      <w:r w:rsidR="00FA338F" w:rsidRPr="00543851">
        <w:rPr>
          <w:rFonts w:ascii="Times New Roman" w:hAnsi="Times New Roman" w:cs="Times New Roman"/>
          <w:sz w:val="28"/>
          <w:szCs w:val="28"/>
        </w:rPr>
        <w:t xml:space="preserve"> come tale sussumibile sub attività edilizia libera</w:t>
      </w:r>
      <w:r w:rsidR="00801B00" w:rsidRPr="00543851">
        <w:rPr>
          <w:rFonts w:ascii="Times New Roman" w:hAnsi="Times New Roman" w:cs="Times New Roman"/>
          <w:sz w:val="28"/>
          <w:szCs w:val="28"/>
        </w:rPr>
        <w:t xml:space="preserve">, facendo leva piuttosto su un criterio funzionale di asservimento ad esigenze </w:t>
      </w:r>
      <w:r w:rsidR="00EC4FD5" w:rsidRPr="00543851">
        <w:rPr>
          <w:rFonts w:ascii="Times New Roman" w:hAnsi="Times New Roman" w:cs="Times New Roman"/>
          <w:sz w:val="28"/>
          <w:szCs w:val="28"/>
        </w:rPr>
        <w:t>non temporanee</w:t>
      </w:r>
      <w:r w:rsidR="00801B00">
        <w:rPr>
          <w:rStyle w:val="Rimandonotaapidipagina"/>
          <w:rFonts w:ascii="Times New Roman" w:hAnsi="Times New Roman" w:cs="Times New Roman"/>
          <w:sz w:val="28"/>
          <w:szCs w:val="28"/>
        </w:rPr>
        <w:footnoteReference w:id="20"/>
      </w:r>
      <w:r w:rsidR="00FA338F" w:rsidRPr="00543851">
        <w:rPr>
          <w:rFonts w:ascii="Times New Roman" w:hAnsi="Times New Roman" w:cs="Times New Roman"/>
          <w:sz w:val="28"/>
          <w:szCs w:val="28"/>
        </w:rPr>
        <w:t xml:space="preserve">. </w:t>
      </w:r>
      <w:r w:rsidR="00EC4FD5" w:rsidRPr="00543851">
        <w:rPr>
          <w:rFonts w:ascii="Times New Roman" w:hAnsi="Times New Roman" w:cs="Times New Roman"/>
          <w:sz w:val="28"/>
          <w:szCs w:val="28"/>
        </w:rPr>
        <w:t xml:space="preserve">Non a caso, la circolare prosegue richiamando il parere reso dalla sez. III del Consiglio superiore dei lavori pubblici (n. 835 del 16 maggio 1962), richiesto al fine </w:t>
      </w:r>
      <w:r w:rsidR="00EC4FD5" w:rsidRPr="00543851">
        <w:rPr>
          <w:rFonts w:ascii="Arial" w:hAnsi="Arial" w:cs="Arial"/>
          <w:sz w:val="28"/>
          <w:szCs w:val="28"/>
        </w:rPr>
        <w:t>«</w:t>
      </w:r>
      <w:r w:rsidR="00EC4FD5" w:rsidRPr="00543851">
        <w:rPr>
          <w:rFonts w:ascii="Times New Roman" w:hAnsi="Times New Roman" w:cs="Times New Roman"/>
          <w:i/>
          <w:iCs/>
          <w:sz w:val="28"/>
          <w:szCs w:val="28"/>
        </w:rPr>
        <w:t>di eliminare ogni incertezza al riguardo</w:t>
      </w:r>
      <w:r w:rsidR="00EC4FD5" w:rsidRPr="00543851">
        <w:rPr>
          <w:rFonts w:ascii="Arial" w:hAnsi="Arial" w:cs="Arial"/>
          <w:sz w:val="28"/>
          <w:szCs w:val="28"/>
        </w:rPr>
        <w:t xml:space="preserve">» </w:t>
      </w:r>
      <w:r w:rsidR="00EC4FD5" w:rsidRPr="00543851">
        <w:rPr>
          <w:rFonts w:ascii="Times New Roman" w:hAnsi="Times New Roman" w:cs="Times New Roman"/>
          <w:sz w:val="28"/>
          <w:szCs w:val="28"/>
        </w:rPr>
        <w:t>e definendo “inamovibili” «</w:t>
      </w:r>
      <w:r w:rsidR="00EC4FD5" w:rsidRPr="00543851">
        <w:rPr>
          <w:rFonts w:ascii="Times New Roman" w:hAnsi="Times New Roman" w:cs="Times New Roman"/>
          <w:i/>
          <w:iCs/>
          <w:sz w:val="28"/>
          <w:szCs w:val="28"/>
        </w:rPr>
        <w:t>le opere a struttura stabili, in muratura, in cemento armato, in sistema misto, con elementi di prefabbricazione di notevole peso la cui rimozione comporti necessariamente la distruzione del manufatto</w:t>
      </w:r>
      <w:r w:rsidR="00EC4FD5" w:rsidRPr="00543851">
        <w:rPr>
          <w:rFonts w:ascii="Times New Roman" w:hAnsi="Times New Roman" w:cs="Times New Roman"/>
          <w:sz w:val="28"/>
          <w:szCs w:val="28"/>
        </w:rPr>
        <w:t>».</w:t>
      </w:r>
      <w:r w:rsidR="00EC4FD5" w:rsidRPr="00543851">
        <w:rPr>
          <w:rFonts w:ascii="Arial" w:hAnsi="Arial" w:cs="Arial"/>
          <w:sz w:val="28"/>
          <w:szCs w:val="28"/>
        </w:rPr>
        <w:t xml:space="preserve"> </w:t>
      </w:r>
      <w:r w:rsidR="00EC4FD5" w:rsidRPr="00543851">
        <w:rPr>
          <w:rFonts w:ascii="Times New Roman" w:hAnsi="Times New Roman" w:cs="Times New Roman"/>
          <w:sz w:val="28"/>
          <w:szCs w:val="28"/>
        </w:rPr>
        <w:t>L’indicazione è peraltro preceduta dall’introduzione dell’ulteriore concetto di opere «</w:t>
      </w:r>
      <w:r w:rsidR="00EC4FD5" w:rsidRPr="00543851">
        <w:rPr>
          <w:rFonts w:ascii="Times New Roman" w:hAnsi="Times New Roman" w:cs="Times New Roman"/>
          <w:i/>
          <w:iCs/>
          <w:sz w:val="28"/>
          <w:szCs w:val="28"/>
        </w:rPr>
        <w:t>permanenti</w:t>
      </w:r>
      <w:r w:rsidR="00EC4FD5" w:rsidRPr="00543851">
        <w:rPr>
          <w:rFonts w:ascii="Times New Roman" w:hAnsi="Times New Roman" w:cs="Times New Roman"/>
          <w:sz w:val="28"/>
          <w:szCs w:val="28"/>
        </w:rPr>
        <w:t>» – che si presume si identifichino in quelle stabili – come «</w:t>
      </w:r>
      <w:r w:rsidR="00EC4FD5" w:rsidRPr="00543851">
        <w:rPr>
          <w:rFonts w:ascii="Times New Roman" w:hAnsi="Times New Roman" w:cs="Times New Roman"/>
          <w:i/>
          <w:iCs/>
          <w:sz w:val="28"/>
          <w:szCs w:val="28"/>
        </w:rPr>
        <w:t>quegli edifici costruiti col sistema tradizionale, a struttura unita a fondazione profonda o isolata o diffusa, saldamente collegata al terreno</w:t>
      </w:r>
      <w:r w:rsidR="00EC4FD5" w:rsidRPr="00543851">
        <w:rPr>
          <w:rFonts w:ascii="Times New Roman" w:hAnsi="Times New Roman" w:cs="Times New Roman"/>
          <w:sz w:val="28"/>
          <w:szCs w:val="28"/>
        </w:rPr>
        <w:t>». In un caso, dunque, assume rilievo il risultato, nell’altro il materiale utilizzato e l’impossibilità di preservare il manufatto</w:t>
      </w:r>
      <w:r w:rsidR="004476BD" w:rsidRPr="00543851">
        <w:rPr>
          <w:rFonts w:ascii="Times New Roman" w:hAnsi="Times New Roman" w:cs="Times New Roman"/>
          <w:sz w:val="28"/>
          <w:szCs w:val="28"/>
        </w:rPr>
        <w:t xml:space="preserve"> in caso di tentata rimozione. </w:t>
      </w:r>
      <w:r w:rsidR="000E0FB2" w:rsidRPr="00543851">
        <w:rPr>
          <w:rFonts w:ascii="Times New Roman" w:hAnsi="Times New Roman" w:cs="Times New Roman"/>
          <w:sz w:val="28"/>
          <w:szCs w:val="28"/>
        </w:rPr>
        <w:t xml:space="preserve">A tale circolare ne sono seguite molte altre del </w:t>
      </w:r>
      <w:r w:rsidR="004476BD" w:rsidRPr="00543851">
        <w:rPr>
          <w:rFonts w:ascii="Times New Roman" w:hAnsi="Times New Roman" w:cs="Times New Roman"/>
          <w:sz w:val="28"/>
          <w:szCs w:val="28"/>
        </w:rPr>
        <w:t xml:space="preserve">Ministero che ha preso il posto di quello della marina (attualmente, il Ministero delle infrastrutture e dei trasporti), in particolare nel </w:t>
      </w:r>
      <w:r w:rsidR="00BF6608" w:rsidRPr="00543851">
        <w:rPr>
          <w:rFonts w:ascii="Times New Roman" w:hAnsi="Times New Roman" w:cs="Times New Roman"/>
          <w:sz w:val="28"/>
          <w:szCs w:val="28"/>
        </w:rPr>
        <w:t xml:space="preserve">2001, 2007 e 2009, </w:t>
      </w:r>
      <w:r w:rsidR="00FA338F" w:rsidRPr="00543851">
        <w:rPr>
          <w:rFonts w:ascii="Times New Roman" w:hAnsi="Times New Roman" w:cs="Times New Roman"/>
          <w:sz w:val="28"/>
          <w:szCs w:val="28"/>
        </w:rPr>
        <w:t xml:space="preserve">che </w:t>
      </w:r>
      <w:r w:rsidR="004476BD" w:rsidRPr="00543851">
        <w:rPr>
          <w:rFonts w:ascii="Times New Roman" w:hAnsi="Times New Roman" w:cs="Times New Roman"/>
          <w:sz w:val="28"/>
          <w:szCs w:val="28"/>
        </w:rPr>
        <w:t xml:space="preserve">egualmente hanno cercato di valorizzare i materiali e le </w:t>
      </w:r>
      <w:r w:rsidR="00FA338F" w:rsidRPr="00543851">
        <w:rPr>
          <w:rFonts w:ascii="Times New Roman" w:hAnsi="Times New Roman" w:cs="Times New Roman"/>
          <w:sz w:val="28"/>
          <w:szCs w:val="28"/>
        </w:rPr>
        <w:t xml:space="preserve">tecniche costruttive, nonché </w:t>
      </w:r>
      <w:r w:rsidR="004476BD" w:rsidRPr="00543851">
        <w:rPr>
          <w:rFonts w:ascii="Times New Roman" w:hAnsi="Times New Roman" w:cs="Times New Roman"/>
          <w:sz w:val="28"/>
          <w:szCs w:val="28"/>
        </w:rPr>
        <w:t xml:space="preserve">di fornire esemplificazioni atte a rendere lo sforzo ermeneutico effettuato maggiormente fruibile dalle amministrazioni interessate. Limitandosi ad una schematica ricostruzione di sintesi, si è dunque stabilito che </w:t>
      </w:r>
      <w:r w:rsidR="00BF6608" w:rsidRPr="00543851">
        <w:rPr>
          <w:rFonts w:ascii="Times New Roman" w:hAnsi="Times New Roman" w:cs="Times New Roman"/>
          <w:sz w:val="28"/>
          <w:szCs w:val="28"/>
        </w:rPr>
        <w:t xml:space="preserve">gli impianti, i manufatti e le opere realizzati o da realizzare sul demanio marittimo o nel mare territoriale si considerano di “difficile rimozione” </w:t>
      </w:r>
      <w:r w:rsidR="004476BD" w:rsidRPr="00543851">
        <w:rPr>
          <w:rFonts w:ascii="Times New Roman" w:hAnsi="Times New Roman" w:cs="Times New Roman"/>
          <w:sz w:val="28"/>
          <w:szCs w:val="28"/>
        </w:rPr>
        <w:t>in caso di co</w:t>
      </w:r>
      <w:r w:rsidR="00BF6608" w:rsidRPr="00543851">
        <w:rPr>
          <w:rFonts w:ascii="Times New Roman" w:hAnsi="Times New Roman" w:cs="Times New Roman"/>
          <w:sz w:val="28"/>
          <w:szCs w:val="28"/>
        </w:rPr>
        <w:t>struzione in muratura ordinaria con solaio in cemento armato semplice o misto</w:t>
      </w:r>
      <w:r w:rsidR="004476BD" w:rsidRPr="00543851">
        <w:rPr>
          <w:rFonts w:ascii="Times New Roman" w:hAnsi="Times New Roman" w:cs="Times New Roman"/>
          <w:sz w:val="28"/>
          <w:szCs w:val="28"/>
        </w:rPr>
        <w:t xml:space="preserve">, </w:t>
      </w:r>
      <w:r w:rsidR="00BF6608" w:rsidRPr="00543851">
        <w:rPr>
          <w:rFonts w:ascii="Times New Roman" w:hAnsi="Times New Roman" w:cs="Times New Roman"/>
          <w:sz w:val="28"/>
          <w:szCs w:val="28"/>
        </w:rPr>
        <w:t>con solaio in pannelli prefabbricati su piattaforma in cemento armato</w:t>
      </w:r>
      <w:r w:rsidR="004476BD" w:rsidRPr="00543851">
        <w:rPr>
          <w:rFonts w:ascii="Times New Roman" w:hAnsi="Times New Roman" w:cs="Times New Roman"/>
          <w:sz w:val="28"/>
          <w:szCs w:val="28"/>
        </w:rPr>
        <w:t>; o</w:t>
      </w:r>
      <w:r w:rsidR="00BF6608" w:rsidRPr="00543851">
        <w:rPr>
          <w:rFonts w:ascii="Times New Roman" w:hAnsi="Times New Roman" w:cs="Times New Roman"/>
          <w:sz w:val="28"/>
          <w:szCs w:val="28"/>
        </w:rPr>
        <w:t>pere, impianti e manufatti diversi da fabbricati ed assimilabili a</w:t>
      </w:r>
      <w:r w:rsidR="004476BD" w:rsidRPr="00543851">
        <w:rPr>
          <w:rFonts w:ascii="Times New Roman" w:hAnsi="Times New Roman" w:cs="Times New Roman"/>
          <w:sz w:val="28"/>
          <w:szCs w:val="28"/>
        </w:rPr>
        <w:t xml:space="preserve"> tali </w:t>
      </w:r>
      <w:r w:rsidR="00BF6608" w:rsidRPr="00543851">
        <w:rPr>
          <w:rFonts w:ascii="Times New Roman" w:hAnsi="Times New Roman" w:cs="Times New Roman"/>
          <w:sz w:val="28"/>
          <w:szCs w:val="28"/>
        </w:rPr>
        <w:t>tipologie</w:t>
      </w:r>
      <w:r w:rsidR="004476BD" w:rsidRPr="00543851">
        <w:rPr>
          <w:rFonts w:ascii="Times New Roman" w:hAnsi="Times New Roman" w:cs="Times New Roman"/>
          <w:sz w:val="28"/>
          <w:szCs w:val="28"/>
        </w:rPr>
        <w:t xml:space="preserve">. </w:t>
      </w:r>
      <w:r w:rsidR="00BF6608" w:rsidRPr="00543851">
        <w:rPr>
          <w:rFonts w:ascii="Times New Roman" w:hAnsi="Times New Roman" w:cs="Times New Roman"/>
          <w:sz w:val="28"/>
          <w:szCs w:val="28"/>
        </w:rPr>
        <w:t xml:space="preserve">Si considerano invece di facile rimozione le </w:t>
      </w:r>
      <w:r w:rsidR="004476BD" w:rsidRPr="00543851">
        <w:rPr>
          <w:rFonts w:ascii="Times New Roman" w:hAnsi="Times New Roman" w:cs="Times New Roman"/>
          <w:sz w:val="28"/>
          <w:szCs w:val="28"/>
        </w:rPr>
        <w:t>s</w:t>
      </w:r>
      <w:r w:rsidR="00BF6608" w:rsidRPr="00543851">
        <w:rPr>
          <w:rFonts w:ascii="Times New Roman" w:hAnsi="Times New Roman" w:cs="Times New Roman"/>
          <w:sz w:val="28"/>
          <w:szCs w:val="28"/>
        </w:rPr>
        <w:t>trutture prefabbricate leggere realizzate su piattaforma di cemento armato amovibile o appoggiate con calcestruzzo in basamento;</w:t>
      </w:r>
      <w:r w:rsidR="004476BD" w:rsidRPr="00543851">
        <w:rPr>
          <w:rFonts w:ascii="Times New Roman" w:hAnsi="Times New Roman" w:cs="Times New Roman"/>
          <w:sz w:val="28"/>
          <w:szCs w:val="28"/>
        </w:rPr>
        <w:t xml:space="preserve"> quelle </w:t>
      </w:r>
      <w:r w:rsidR="00BF6608" w:rsidRPr="00543851">
        <w:rPr>
          <w:rFonts w:ascii="Times New Roman" w:hAnsi="Times New Roman" w:cs="Times New Roman"/>
          <w:sz w:val="28"/>
          <w:szCs w:val="28"/>
        </w:rPr>
        <w:t>appoggiate sul suolo o interrate</w:t>
      </w:r>
      <w:r w:rsidR="004476BD" w:rsidRPr="00543851">
        <w:rPr>
          <w:rFonts w:ascii="Times New Roman" w:hAnsi="Times New Roman" w:cs="Times New Roman"/>
          <w:sz w:val="28"/>
          <w:szCs w:val="28"/>
        </w:rPr>
        <w:t xml:space="preserve"> e le o</w:t>
      </w:r>
      <w:r w:rsidR="00BF6608" w:rsidRPr="00543851">
        <w:rPr>
          <w:rFonts w:ascii="Times New Roman" w:hAnsi="Times New Roman" w:cs="Times New Roman"/>
          <w:sz w:val="28"/>
          <w:szCs w:val="28"/>
        </w:rPr>
        <w:t>pere, impianti, manufatti totalmente interrati/immersi.</w:t>
      </w:r>
      <w:r w:rsidR="004476BD" w:rsidRPr="00543851">
        <w:rPr>
          <w:rFonts w:ascii="Times New Roman" w:hAnsi="Times New Roman" w:cs="Times New Roman"/>
          <w:sz w:val="28"/>
          <w:szCs w:val="28"/>
        </w:rPr>
        <w:t xml:space="preserve"> Anche limitandosi a tale ultima indicazione, non è chi non veda come potrebbe trattarsi di opere di notevole impatto sotto il profilo edilizio e strutturalmente di rimozione tutt’altro che semplice (si pensi alle piscine, al “treno” delle cabine interamente interrato, ecc.). </w:t>
      </w:r>
      <w:r w:rsidR="00BF6608" w:rsidRPr="00543851">
        <w:rPr>
          <w:rFonts w:ascii="Times New Roman" w:hAnsi="Times New Roman" w:cs="Times New Roman"/>
          <w:sz w:val="28"/>
          <w:szCs w:val="28"/>
        </w:rPr>
        <w:t>Anche l’Agenzia del demanio,</w:t>
      </w:r>
      <w:r w:rsidR="004476BD" w:rsidRPr="00543851">
        <w:rPr>
          <w:rFonts w:ascii="Times New Roman" w:hAnsi="Times New Roman" w:cs="Times New Roman"/>
          <w:sz w:val="28"/>
          <w:szCs w:val="28"/>
        </w:rPr>
        <w:t xml:space="preserve"> giusta le competenze riservatele, ha inteso intervenire sulla materia con proprie circolari (in particolare del 2007  e del 2009), </w:t>
      </w:r>
      <w:r w:rsidR="00BF6608" w:rsidRPr="00543851">
        <w:rPr>
          <w:rFonts w:ascii="Times New Roman" w:hAnsi="Times New Roman" w:cs="Times New Roman"/>
          <w:sz w:val="28"/>
          <w:szCs w:val="28"/>
        </w:rPr>
        <w:t>specifica</w:t>
      </w:r>
      <w:r w:rsidR="004476BD" w:rsidRPr="00543851">
        <w:rPr>
          <w:rFonts w:ascii="Times New Roman" w:hAnsi="Times New Roman" w:cs="Times New Roman"/>
          <w:sz w:val="28"/>
          <w:szCs w:val="28"/>
        </w:rPr>
        <w:t xml:space="preserve">ndo </w:t>
      </w:r>
      <w:r w:rsidR="00BF6608" w:rsidRPr="00543851">
        <w:rPr>
          <w:rFonts w:ascii="Times New Roman" w:hAnsi="Times New Roman" w:cs="Times New Roman"/>
          <w:sz w:val="28"/>
          <w:szCs w:val="28"/>
        </w:rPr>
        <w:t>che sono opere inamovibili o di difficile rimozione gli impianti, manufatti, opere aventi struttura stabile, in muratura di cemento armato o realizzate con sistema misto con elementi di prefabbricazione di notevole peso, la cui rimozione comporti necessariamente la distruzione totale o parziale del manufatto e che non ne consente la recuperabilità.</w:t>
      </w:r>
      <w:r w:rsidR="00D57044" w:rsidRPr="00543851">
        <w:rPr>
          <w:rFonts w:ascii="Times New Roman" w:hAnsi="Times New Roman" w:cs="Times New Roman"/>
          <w:sz w:val="28"/>
          <w:szCs w:val="28"/>
        </w:rPr>
        <w:t xml:space="preserve"> </w:t>
      </w:r>
      <w:r w:rsidR="004476BD" w:rsidRPr="00543851">
        <w:rPr>
          <w:rFonts w:ascii="Times New Roman" w:hAnsi="Times New Roman" w:cs="Times New Roman"/>
          <w:sz w:val="28"/>
          <w:szCs w:val="28"/>
        </w:rPr>
        <w:t xml:space="preserve">In sintesi, al di là dell’effettivo dettato della norma primaria e in ragione dell’oggettivo difetto di coordinamento tra </w:t>
      </w:r>
      <w:r w:rsidR="00AA33A1" w:rsidRPr="00543851">
        <w:rPr>
          <w:rFonts w:ascii="Times New Roman" w:hAnsi="Times New Roman" w:cs="Times New Roman"/>
          <w:sz w:val="28"/>
          <w:szCs w:val="28"/>
        </w:rPr>
        <w:t xml:space="preserve">disposizioni del medesimo codice, nel tempo la distinzione tra non amovibile e difficilmente amovibile è andata persa, venendo assoggettate al medesimo regime dell’incameramento e della determinazione in aumento del canone tanto le une quanto le altre. Il suggello finale all’evoluzione del regime giuridico applicabile alle costruzioni su demanio marittimo si è avuto infine con un ulteriore </w:t>
      </w:r>
      <w:r w:rsidR="000C745B" w:rsidRPr="00543851">
        <w:rPr>
          <w:rFonts w:ascii="Times New Roman" w:hAnsi="Times New Roman" w:cs="Times New Roman"/>
          <w:sz w:val="28"/>
          <w:szCs w:val="28"/>
        </w:rPr>
        <w:t xml:space="preserve">parere del </w:t>
      </w:r>
      <w:r w:rsidR="00BF6608" w:rsidRPr="00543851">
        <w:rPr>
          <w:rFonts w:ascii="Times New Roman" w:hAnsi="Times New Roman" w:cs="Times New Roman"/>
          <w:sz w:val="28"/>
          <w:szCs w:val="28"/>
        </w:rPr>
        <w:t>Consiglio superiore dei lavori pubblici</w:t>
      </w:r>
      <w:r w:rsidR="00AA33A1" w:rsidRPr="00543851">
        <w:rPr>
          <w:rFonts w:ascii="Times New Roman" w:hAnsi="Times New Roman" w:cs="Times New Roman"/>
          <w:sz w:val="28"/>
          <w:szCs w:val="28"/>
        </w:rPr>
        <w:t xml:space="preserve">, stavolta intervenuto a </w:t>
      </w:r>
      <w:proofErr w:type="spellStart"/>
      <w:r w:rsidR="00AA33A1" w:rsidRPr="00543851">
        <w:rPr>
          <w:rFonts w:ascii="Times New Roman" w:hAnsi="Times New Roman" w:cs="Times New Roman"/>
          <w:sz w:val="28"/>
          <w:szCs w:val="28"/>
        </w:rPr>
        <w:t>T.u.ed</w:t>
      </w:r>
      <w:proofErr w:type="spellEnd"/>
      <w:r w:rsidR="00AA33A1" w:rsidRPr="00543851">
        <w:rPr>
          <w:rFonts w:ascii="Times New Roman" w:hAnsi="Times New Roman" w:cs="Times New Roman"/>
          <w:sz w:val="28"/>
          <w:szCs w:val="28"/>
        </w:rPr>
        <w:t>. già ampiamente in vigore (adunanza</w:t>
      </w:r>
      <w:r w:rsidR="002830F8" w:rsidRPr="00543851">
        <w:rPr>
          <w:rFonts w:ascii="Times New Roman" w:hAnsi="Times New Roman" w:cs="Times New Roman"/>
          <w:sz w:val="28"/>
          <w:szCs w:val="28"/>
        </w:rPr>
        <w:t xml:space="preserve"> del 21 settembre 2011</w:t>
      </w:r>
      <w:r w:rsidR="00AA33A1" w:rsidRPr="00543851">
        <w:rPr>
          <w:rFonts w:ascii="Times New Roman" w:hAnsi="Times New Roman" w:cs="Times New Roman"/>
          <w:sz w:val="28"/>
          <w:szCs w:val="28"/>
        </w:rPr>
        <w:t>). E</w:t>
      </w:r>
      <w:r w:rsidR="00FD777A" w:rsidRPr="00543851">
        <w:rPr>
          <w:rFonts w:ascii="Times New Roman" w:hAnsi="Times New Roman" w:cs="Times New Roman"/>
          <w:sz w:val="28"/>
          <w:szCs w:val="28"/>
        </w:rPr>
        <w:t xml:space="preserve">videntemente </w:t>
      </w:r>
      <w:r w:rsidR="00AA33A1" w:rsidRPr="00543851">
        <w:rPr>
          <w:rFonts w:ascii="Times New Roman" w:hAnsi="Times New Roman" w:cs="Times New Roman"/>
          <w:sz w:val="28"/>
          <w:szCs w:val="28"/>
        </w:rPr>
        <w:t xml:space="preserve">ispirato all’esigenza di rispondere alle pressanti (già all’epoca) rivendicazioni degli operatori del settore, ha dato atto dell’esistenza del </w:t>
      </w:r>
      <w:r w:rsidR="00FD777A" w:rsidRPr="00543851">
        <w:rPr>
          <w:rFonts w:ascii="Times New Roman" w:hAnsi="Times New Roman" w:cs="Times New Roman"/>
          <w:sz w:val="28"/>
          <w:szCs w:val="28"/>
        </w:rPr>
        <w:t xml:space="preserve">vuoto normativo, </w:t>
      </w:r>
      <w:r w:rsidR="00AA33A1" w:rsidRPr="00543851">
        <w:rPr>
          <w:rFonts w:ascii="Times New Roman" w:hAnsi="Times New Roman" w:cs="Times New Roman"/>
          <w:sz w:val="28"/>
          <w:szCs w:val="28"/>
        </w:rPr>
        <w:t xml:space="preserve">ma non ha fornito alcuna indicazione pratica per provare a colmarlo. Dopo aver ricondotto, dunque, le variegate dizioni presenti nel codice (“difficile o facile sgombero”, opera “non amovibile” e, a contrario, “amovibile”) alla medesima matrice semantica, ne ha riconosciuto la assoluta indeterminatezza, giusta l’impossibilità di “agganciarla” ad elementi di natura tecnica, come avvenuto in passato. Ciò in quanto </w:t>
      </w:r>
      <w:r w:rsidR="00AA33A1" w:rsidRPr="00543851">
        <w:rPr>
          <w:rFonts w:ascii="Arial" w:hAnsi="Arial" w:cs="Arial"/>
          <w:sz w:val="28"/>
          <w:szCs w:val="28"/>
        </w:rPr>
        <w:t>«</w:t>
      </w:r>
      <w:r w:rsidR="00AA33A1" w:rsidRPr="00543851">
        <w:rPr>
          <w:rFonts w:ascii="Times New Roman" w:hAnsi="Times New Roman" w:cs="Times New Roman"/>
          <w:i/>
          <w:iCs/>
          <w:sz w:val="28"/>
          <w:szCs w:val="28"/>
        </w:rPr>
        <w:t>in base all’evoluzione degli ultimi anni sia nell’uso di nuovi materiali che nella tipologia costruttiva dei manufatti edilizi, è difficile dettare criteri oggettivi per definire correttamente e compiutamente la facile o la difficile rimozione di un manufatto</w:t>
      </w:r>
      <w:r w:rsidR="00AA33A1" w:rsidRPr="00543851">
        <w:rPr>
          <w:rFonts w:ascii="Arial" w:hAnsi="Arial" w:cs="Arial"/>
          <w:sz w:val="28"/>
          <w:szCs w:val="28"/>
        </w:rPr>
        <w:t>»</w:t>
      </w:r>
      <w:r w:rsidR="00AA33A1" w:rsidRPr="00543851">
        <w:rPr>
          <w:rFonts w:ascii="Times New Roman" w:hAnsi="Times New Roman" w:cs="Times New Roman"/>
          <w:sz w:val="28"/>
          <w:szCs w:val="28"/>
        </w:rPr>
        <w:t xml:space="preserve">. Da qui la conclamata necessità del </w:t>
      </w:r>
      <w:r w:rsidR="00AA33A1" w:rsidRPr="00543851">
        <w:rPr>
          <w:rFonts w:ascii="Arial" w:hAnsi="Arial" w:cs="Arial"/>
          <w:sz w:val="28"/>
          <w:szCs w:val="28"/>
        </w:rPr>
        <w:t>«</w:t>
      </w:r>
      <w:r w:rsidR="00AA33A1" w:rsidRPr="00543851">
        <w:rPr>
          <w:rFonts w:ascii="Times New Roman" w:hAnsi="Times New Roman" w:cs="Times New Roman"/>
          <w:i/>
          <w:iCs/>
          <w:sz w:val="28"/>
          <w:szCs w:val="28"/>
        </w:rPr>
        <w:t>superamento della definizione tecnica di facile o di difficile rimozione, perché di fatto la differenza è di altro genere, ma non può assolutamente essere tecnica</w:t>
      </w:r>
      <w:r w:rsidR="00AA33A1" w:rsidRPr="00543851">
        <w:rPr>
          <w:rFonts w:ascii="Arial" w:hAnsi="Arial" w:cs="Arial"/>
          <w:sz w:val="28"/>
          <w:szCs w:val="28"/>
        </w:rPr>
        <w:t xml:space="preserve">». </w:t>
      </w:r>
      <w:r w:rsidR="00AA33A1" w:rsidRPr="00543851">
        <w:rPr>
          <w:rFonts w:ascii="Times New Roman" w:hAnsi="Times New Roman" w:cs="Times New Roman"/>
          <w:sz w:val="28"/>
          <w:szCs w:val="28"/>
        </w:rPr>
        <w:t xml:space="preserve">Da qui anche il suggerimento, </w:t>
      </w:r>
      <w:r w:rsidR="00AA33A1" w:rsidRPr="00543851">
        <w:rPr>
          <w:rFonts w:ascii="Times New Roman" w:hAnsi="Times New Roman" w:cs="Times New Roman"/>
          <w:i/>
          <w:iCs/>
          <w:sz w:val="28"/>
          <w:szCs w:val="28"/>
        </w:rPr>
        <w:t>de iure condendo</w:t>
      </w:r>
      <w:r w:rsidR="00AA33A1" w:rsidRPr="00543851">
        <w:rPr>
          <w:rFonts w:ascii="Times New Roman" w:hAnsi="Times New Roman" w:cs="Times New Roman"/>
          <w:sz w:val="28"/>
          <w:szCs w:val="28"/>
        </w:rPr>
        <w:t xml:space="preserve">, che </w:t>
      </w:r>
      <w:r w:rsidR="00AA33A1" w:rsidRPr="00543851">
        <w:rPr>
          <w:rFonts w:ascii="Arial" w:hAnsi="Arial" w:cs="Arial"/>
          <w:sz w:val="28"/>
          <w:szCs w:val="28"/>
        </w:rPr>
        <w:t>«</w:t>
      </w:r>
      <w:r w:rsidR="00AA33A1" w:rsidRPr="00543851">
        <w:rPr>
          <w:rFonts w:ascii="Times New Roman" w:hAnsi="Times New Roman" w:cs="Times New Roman"/>
          <w:i/>
          <w:iCs/>
          <w:sz w:val="28"/>
          <w:szCs w:val="28"/>
        </w:rPr>
        <w:t>su questa base le possibili soluzioni normative e/o legislative che riterrà più opportune per dare attuazione a tale nuova definizione con le relative problematiche di carattere fiscale e dominicale che esulano dal parere richiesto alla Sezione</w:t>
      </w:r>
      <w:r w:rsidR="00AA33A1" w:rsidRPr="00543851">
        <w:rPr>
          <w:rFonts w:ascii="Arial" w:hAnsi="Arial" w:cs="Arial"/>
          <w:sz w:val="28"/>
          <w:szCs w:val="28"/>
        </w:rPr>
        <w:t>»</w:t>
      </w:r>
      <w:r w:rsidR="00AA33A1" w:rsidRPr="00543851">
        <w:rPr>
          <w:rFonts w:ascii="Times New Roman" w:hAnsi="Times New Roman" w:cs="Times New Roman"/>
          <w:sz w:val="28"/>
          <w:szCs w:val="28"/>
        </w:rPr>
        <w:t xml:space="preserve">. Trattandosi tuttavia del parere in risposta, ancora una volta, al quesito del Ministero competente – </w:t>
      </w:r>
      <w:proofErr w:type="spellStart"/>
      <w:r w:rsidR="00AA33A1" w:rsidRPr="00543851">
        <w:rPr>
          <w:rFonts w:ascii="Times New Roman" w:hAnsi="Times New Roman" w:cs="Times New Roman"/>
          <w:i/>
          <w:iCs/>
          <w:sz w:val="28"/>
          <w:szCs w:val="28"/>
        </w:rPr>
        <w:t>recte</w:t>
      </w:r>
      <w:proofErr w:type="spellEnd"/>
      <w:r w:rsidR="00AA33A1" w:rsidRPr="00543851">
        <w:rPr>
          <w:rFonts w:ascii="Times New Roman" w:hAnsi="Times New Roman" w:cs="Times New Roman"/>
          <w:sz w:val="28"/>
          <w:szCs w:val="28"/>
        </w:rPr>
        <w:t xml:space="preserve">, nello specifico, di una sua articolazione interna – ben si comprende la natura pleonastica e retorica dell’invito, </w:t>
      </w:r>
      <w:r w:rsidR="002D248C" w:rsidRPr="00543851">
        <w:rPr>
          <w:rFonts w:ascii="Times New Roman" w:hAnsi="Times New Roman" w:cs="Times New Roman"/>
          <w:sz w:val="28"/>
          <w:szCs w:val="28"/>
        </w:rPr>
        <w:t>evidentemente destinato per tale tramite a cadere nel vuoto. Il risultato è stato il diffondersi di prassi locali completamente diverse, del tutto eterogenee tra di loro, che hanno finito per creare o quanto meno consolidare il difficile stato di fatto con il quale oggi si è chiamati a confrontarsi. La presenza di manufatti di consistenza tutt’affatto irrilevante (si pensi alle c.d. “case di guardianaggio” tipiche dei lidi versiliesi, in Toscana, la cui destinazione d’uso residenziale avrebbe dovuto avere natura stagionale tanto quanto il pubblico esercizio cui accedono</w:t>
      </w:r>
      <w:r w:rsidR="00DB4225" w:rsidRPr="00543851">
        <w:rPr>
          <w:rFonts w:ascii="Times New Roman" w:hAnsi="Times New Roman" w:cs="Times New Roman"/>
          <w:sz w:val="28"/>
          <w:szCs w:val="28"/>
        </w:rPr>
        <w:t>, sicché per lo più si è preferito attribuirgliene una turistico-ricettiva, quale struttura “di servizio”</w:t>
      </w:r>
      <w:r w:rsidR="002D248C" w:rsidRPr="00543851">
        <w:rPr>
          <w:rFonts w:ascii="Times New Roman" w:hAnsi="Times New Roman" w:cs="Times New Roman"/>
          <w:sz w:val="28"/>
          <w:szCs w:val="28"/>
        </w:rPr>
        <w:t xml:space="preserve">), l’ampliamento della gamma dei servizi accessori a trattamenti estetici, pratiche sportive, attività varie di trattenimento e svago, hanno arricchito le strutture degli impianti necessari allo scopo, sicuramente diversificando e riqualificando l’offerta, rispetto alla semplice balneazione, </w:t>
      </w:r>
      <w:r w:rsidR="00C1602E" w:rsidRPr="00543851">
        <w:rPr>
          <w:rFonts w:ascii="Times New Roman" w:hAnsi="Times New Roman" w:cs="Times New Roman"/>
          <w:sz w:val="28"/>
          <w:szCs w:val="28"/>
        </w:rPr>
        <w:t xml:space="preserve">e facendone quell’eccellenza italiana da più parti propagandata, ma nel contempo ampliando la forbice tra rilevanza edilizia di un’opera e sua ritenuta “facile rimozione”. La svolta del 2011, d’altro canto, si allineava alle tendenze politiche dell’epoca, se si ha a mente </w:t>
      </w:r>
      <w:r w:rsidR="00AA33A1" w:rsidRPr="00543851">
        <w:rPr>
          <w:rFonts w:ascii="Times New Roman" w:hAnsi="Times New Roman" w:cs="Times New Roman"/>
          <w:sz w:val="28"/>
          <w:szCs w:val="28"/>
        </w:rPr>
        <w:t>che in data 5 maggio 2011 il Senato della Repubblica approvava all’unanimità un ordine del giorno nel quale, constatate «</w:t>
      </w:r>
      <w:r w:rsidR="00AA33A1" w:rsidRPr="00543851">
        <w:rPr>
          <w:rFonts w:ascii="Times New Roman" w:hAnsi="Times New Roman" w:cs="Times New Roman"/>
          <w:i/>
          <w:iCs/>
          <w:sz w:val="28"/>
          <w:szCs w:val="28"/>
        </w:rPr>
        <w:t>le difficoltà legate all</w:t>
      </w:r>
      <w:r w:rsidR="00C1602E" w:rsidRPr="00543851">
        <w:rPr>
          <w:rFonts w:ascii="Times New Roman" w:hAnsi="Times New Roman" w:cs="Times New Roman"/>
          <w:i/>
          <w:iCs/>
          <w:sz w:val="28"/>
          <w:szCs w:val="28"/>
        </w:rPr>
        <w:t>’</w:t>
      </w:r>
      <w:r w:rsidR="00AA33A1" w:rsidRPr="00543851">
        <w:rPr>
          <w:rFonts w:ascii="Times New Roman" w:hAnsi="Times New Roman" w:cs="Times New Roman"/>
          <w:i/>
          <w:iCs/>
          <w:sz w:val="28"/>
          <w:szCs w:val="28"/>
        </w:rPr>
        <w:t>interpretazione giuridica del concetto di facile e difficile rimozione</w:t>
      </w:r>
      <w:r w:rsidR="00AA33A1" w:rsidRPr="00543851">
        <w:rPr>
          <w:rFonts w:ascii="Times New Roman" w:hAnsi="Times New Roman" w:cs="Times New Roman"/>
          <w:sz w:val="28"/>
          <w:szCs w:val="28"/>
        </w:rPr>
        <w:t xml:space="preserve">» impegnava il Governo a tenere in considerazione, nella definizione delle opere di facile e difficile rimozione, il progresso tecnologico. </w:t>
      </w:r>
      <w:r w:rsidR="00C1602E" w:rsidRPr="00543851">
        <w:rPr>
          <w:rFonts w:ascii="Times New Roman" w:hAnsi="Times New Roman" w:cs="Times New Roman"/>
          <w:sz w:val="28"/>
          <w:szCs w:val="28"/>
        </w:rPr>
        <w:t xml:space="preserve">L’innegabile disordine regolatorio </w:t>
      </w:r>
      <w:r w:rsidR="00432B67" w:rsidRPr="00543851">
        <w:rPr>
          <w:rFonts w:ascii="Times New Roman" w:hAnsi="Times New Roman" w:cs="Times New Roman"/>
          <w:sz w:val="28"/>
          <w:szCs w:val="28"/>
        </w:rPr>
        <w:t>che ne è conseguito</w:t>
      </w:r>
      <w:r w:rsidR="00C1602E" w:rsidRPr="00543851">
        <w:rPr>
          <w:rFonts w:ascii="Times New Roman" w:hAnsi="Times New Roman" w:cs="Times New Roman"/>
          <w:sz w:val="28"/>
          <w:szCs w:val="28"/>
        </w:rPr>
        <w:t xml:space="preserve"> ha finito per legittimare, anche in questo ambito, un intervento </w:t>
      </w:r>
      <w:r w:rsidR="003277B2" w:rsidRPr="00543851">
        <w:rPr>
          <w:rFonts w:ascii="Times New Roman" w:hAnsi="Times New Roman" w:cs="Times New Roman"/>
          <w:sz w:val="28"/>
          <w:szCs w:val="28"/>
        </w:rPr>
        <w:t>di “supp</w:t>
      </w:r>
      <w:r w:rsidR="008461E3" w:rsidRPr="00543851">
        <w:rPr>
          <w:rFonts w:ascii="Times New Roman" w:hAnsi="Times New Roman" w:cs="Times New Roman"/>
          <w:sz w:val="28"/>
          <w:szCs w:val="28"/>
        </w:rPr>
        <w:t>lenza” d</w:t>
      </w:r>
      <w:r w:rsidR="00C1602E" w:rsidRPr="00543851">
        <w:rPr>
          <w:rFonts w:ascii="Times New Roman" w:hAnsi="Times New Roman" w:cs="Times New Roman"/>
          <w:sz w:val="28"/>
          <w:szCs w:val="28"/>
        </w:rPr>
        <w:t>a parte d</w:t>
      </w:r>
      <w:r w:rsidR="008461E3" w:rsidRPr="00543851">
        <w:rPr>
          <w:rFonts w:ascii="Times New Roman" w:hAnsi="Times New Roman" w:cs="Times New Roman"/>
          <w:sz w:val="28"/>
          <w:szCs w:val="28"/>
        </w:rPr>
        <w:t>elle regioni</w:t>
      </w:r>
      <w:r w:rsidR="00C1602E" w:rsidRPr="00543851">
        <w:rPr>
          <w:rFonts w:ascii="Times New Roman" w:hAnsi="Times New Roman" w:cs="Times New Roman"/>
          <w:sz w:val="28"/>
          <w:szCs w:val="28"/>
        </w:rPr>
        <w:t xml:space="preserve">. Molte di esse sono perciò intervenute a fornire un’autonoma definizione della </w:t>
      </w:r>
      <w:r w:rsidR="005D1B4E" w:rsidRPr="00543851">
        <w:rPr>
          <w:rFonts w:ascii="Times New Roman" w:hAnsi="Times New Roman" w:cs="Times New Roman"/>
          <w:sz w:val="28"/>
          <w:szCs w:val="28"/>
        </w:rPr>
        <w:t xml:space="preserve">facile o difficile rimozione, </w:t>
      </w:r>
      <w:r w:rsidR="00C1602E" w:rsidRPr="00543851">
        <w:rPr>
          <w:rFonts w:ascii="Times New Roman" w:hAnsi="Times New Roman" w:cs="Times New Roman"/>
          <w:sz w:val="28"/>
          <w:szCs w:val="28"/>
        </w:rPr>
        <w:t xml:space="preserve">utilizzando parametri </w:t>
      </w:r>
      <w:r w:rsidR="005D1B4E" w:rsidRPr="00543851">
        <w:rPr>
          <w:rFonts w:ascii="Times New Roman" w:hAnsi="Times New Roman" w:cs="Times New Roman"/>
          <w:sz w:val="28"/>
          <w:szCs w:val="28"/>
        </w:rPr>
        <w:t>che spaziano dal riferimento ai materiali utilizzati, alla “smontabilità” e ricostruibilità altrove, alla temp</w:t>
      </w:r>
      <w:r w:rsidR="00197DD5" w:rsidRPr="00543851">
        <w:rPr>
          <w:rFonts w:ascii="Times New Roman" w:hAnsi="Times New Roman" w:cs="Times New Roman"/>
          <w:sz w:val="28"/>
          <w:szCs w:val="28"/>
        </w:rPr>
        <w:t>i</w:t>
      </w:r>
      <w:r w:rsidR="005D1B4E" w:rsidRPr="00543851">
        <w:rPr>
          <w:rFonts w:ascii="Times New Roman" w:hAnsi="Times New Roman" w:cs="Times New Roman"/>
          <w:sz w:val="28"/>
          <w:szCs w:val="28"/>
        </w:rPr>
        <w:t>stica demolitoria, di rego</w:t>
      </w:r>
      <w:r w:rsidR="00197DD5" w:rsidRPr="00543851">
        <w:rPr>
          <w:rFonts w:ascii="Times New Roman" w:hAnsi="Times New Roman" w:cs="Times New Roman"/>
          <w:sz w:val="28"/>
          <w:szCs w:val="28"/>
        </w:rPr>
        <w:t>la</w:t>
      </w:r>
      <w:r w:rsidR="005D1B4E" w:rsidRPr="00543851">
        <w:rPr>
          <w:rFonts w:ascii="Times New Roman" w:hAnsi="Times New Roman" w:cs="Times New Roman"/>
          <w:sz w:val="28"/>
          <w:szCs w:val="28"/>
        </w:rPr>
        <w:t xml:space="preserve"> </w:t>
      </w:r>
      <w:r w:rsidR="00C1602E" w:rsidRPr="00543851">
        <w:rPr>
          <w:rFonts w:ascii="Times New Roman" w:hAnsi="Times New Roman" w:cs="Times New Roman"/>
          <w:sz w:val="28"/>
          <w:szCs w:val="28"/>
        </w:rPr>
        <w:t xml:space="preserve">individuata nei 90 giorni che riecheggiano il termine fissato, almeno a livello generale, nell’art. 31 del </w:t>
      </w:r>
      <w:proofErr w:type="spellStart"/>
      <w:r w:rsidR="00C1602E" w:rsidRPr="00543851">
        <w:rPr>
          <w:rFonts w:ascii="Times New Roman" w:hAnsi="Times New Roman" w:cs="Times New Roman"/>
          <w:sz w:val="28"/>
          <w:szCs w:val="28"/>
        </w:rPr>
        <w:t>T.u.ed</w:t>
      </w:r>
      <w:proofErr w:type="spellEnd"/>
      <w:r w:rsidR="00C1602E" w:rsidRPr="00543851">
        <w:rPr>
          <w:rFonts w:ascii="Times New Roman" w:hAnsi="Times New Roman" w:cs="Times New Roman"/>
          <w:sz w:val="28"/>
          <w:szCs w:val="28"/>
        </w:rPr>
        <w:t xml:space="preserve">. per ottemperare all’ingiunzione a demolire, che tuttavia talvolta viene fissato autonomamente in 120 </w:t>
      </w:r>
      <w:r w:rsidR="005D1B4E" w:rsidRPr="00543851">
        <w:rPr>
          <w:rFonts w:ascii="Times New Roman" w:hAnsi="Times New Roman" w:cs="Times New Roman"/>
          <w:sz w:val="28"/>
          <w:szCs w:val="28"/>
        </w:rPr>
        <w:t>(</w:t>
      </w:r>
      <w:r w:rsidR="00C1602E" w:rsidRPr="00543851">
        <w:rPr>
          <w:rFonts w:ascii="Times New Roman" w:hAnsi="Times New Roman" w:cs="Times New Roman"/>
          <w:sz w:val="28"/>
          <w:szCs w:val="28"/>
        </w:rPr>
        <w:t>ad esempio, nella legge regionale della Liguria)</w:t>
      </w:r>
      <w:r w:rsidR="005D1B4E" w:rsidRPr="00543851">
        <w:rPr>
          <w:rFonts w:ascii="Times New Roman" w:hAnsi="Times New Roman" w:cs="Times New Roman"/>
          <w:sz w:val="28"/>
          <w:szCs w:val="28"/>
        </w:rPr>
        <w:t>.</w:t>
      </w:r>
      <w:r w:rsidR="005D1B4E" w:rsidRPr="00543851">
        <w:rPr>
          <w:rFonts w:ascii="Times New Roman" w:hAnsi="Times New Roman" w:cs="Times New Roman"/>
          <w:b/>
          <w:bCs/>
          <w:sz w:val="28"/>
          <w:szCs w:val="28"/>
        </w:rPr>
        <w:t xml:space="preserve"> </w:t>
      </w:r>
      <w:r w:rsidR="005D1B4E" w:rsidRPr="00543851">
        <w:rPr>
          <w:rFonts w:ascii="Times New Roman" w:hAnsi="Times New Roman" w:cs="Times New Roman"/>
          <w:sz w:val="28"/>
          <w:szCs w:val="28"/>
        </w:rPr>
        <w:t xml:space="preserve">Esempi in tal senso sono ravvisabili nell’art. 50 </w:t>
      </w:r>
      <w:r w:rsidR="008461E3" w:rsidRPr="00543851">
        <w:rPr>
          <w:rFonts w:ascii="Times New Roman" w:hAnsi="Times New Roman" w:cs="Times New Roman"/>
          <w:sz w:val="28"/>
          <w:szCs w:val="28"/>
        </w:rPr>
        <w:t xml:space="preserve">della </w:t>
      </w:r>
      <w:proofErr w:type="spellStart"/>
      <w:r w:rsidR="008461E3" w:rsidRPr="00543851">
        <w:rPr>
          <w:rFonts w:ascii="Times New Roman" w:hAnsi="Times New Roman" w:cs="Times New Roman"/>
          <w:sz w:val="28"/>
          <w:szCs w:val="28"/>
        </w:rPr>
        <w:t>l.r</w:t>
      </w:r>
      <w:proofErr w:type="spellEnd"/>
      <w:r w:rsidR="008461E3" w:rsidRPr="00543851">
        <w:rPr>
          <w:rFonts w:ascii="Times New Roman" w:hAnsi="Times New Roman" w:cs="Times New Roman"/>
          <w:sz w:val="28"/>
          <w:szCs w:val="28"/>
        </w:rPr>
        <w:t>. d</w:t>
      </w:r>
      <w:r w:rsidR="003277B2" w:rsidRPr="00543851">
        <w:rPr>
          <w:rFonts w:ascii="Times New Roman" w:hAnsi="Times New Roman" w:cs="Times New Roman"/>
          <w:sz w:val="28"/>
          <w:szCs w:val="28"/>
        </w:rPr>
        <w:t>el Friuli Venezia Giulia del 21 aprile 2017, n. 10</w:t>
      </w:r>
      <w:r w:rsidR="00C1602E" w:rsidRPr="00543851">
        <w:rPr>
          <w:rFonts w:ascii="Times New Roman" w:hAnsi="Times New Roman" w:cs="Times New Roman"/>
          <w:sz w:val="28"/>
          <w:szCs w:val="28"/>
        </w:rPr>
        <w:t>;</w:t>
      </w:r>
      <w:r w:rsidR="003277B2" w:rsidRPr="00543851">
        <w:rPr>
          <w:rFonts w:ascii="Times New Roman" w:hAnsi="Times New Roman" w:cs="Times New Roman"/>
          <w:sz w:val="28"/>
          <w:szCs w:val="28"/>
        </w:rPr>
        <w:t xml:space="preserve"> </w:t>
      </w:r>
      <w:r w:rsidR="00FA338F" w:rsidRPr="00543851">
        <w:rPr>
          <w:rFonts w:ascii="Times New Roman" w:hAnsi="Times New Roman" w:cs="Times New Roman"/>
          <w:sz w:val="28"/>
          <w:szCs w:val="28"/>
        </w:rPr>
        <w:t xml:space="preserve">nell’art. 1 della </w:t>
      </w:r>
      <w:r w:rsidR="003277B2" w:rsidRPr="00543851">
        <w:rPr>
          <w:rFonts w:ascii="Times New Roman" w:hAnsi="Times New Roman" w:cs="Times New Roman"/>
          <w:sz w:val="28"/>
          <w:szCs w:val="28"/>
        </w:rPr>
        <w:t>delibera della Giunta regionale della Sardegna n. 53/66 del 4 dicembre 2009</w:t>
      </w:r>
      <w:r w:rsidR="00FA338F" w:rsidRPr="00543851">
        <w:rPr>
          <w:rFonts w:ascii="Times New Roman" w:hAnsi="Times New Roman" w:cs="Times New Roman"/>
          <w:sz w:val="28"/>
          <w:szCs w:val="28"/>
        </w:rPr>
        <w:t xml:space="preserve">, nell’art. 3 </w:t>
      </w:r>
      <w:r w:rsidR="003277B2" w:rsidRPr="00543851">
        <w:rPr>
          <w:rFonts w:ascii="Times New Roman" w:hAnsi="Times New Roman" w:cs="Times New Roman"/>
          <w:i/>
          <w:iCs/>
          <w:sz w:val="28"/>
          <w:szCs w:val="28"/>
        </w:rPr>
        <w:t xml:space="preserve"> </w:t>
      </w:r>
      <w:r w:rsidR="003277B2" w:rsidRPr="00543851">
        <w:rPr>
          <w:rFonts w:ascii="Times New Roman" w:hAnsi="Times New Roman" w:cs="Times New Roman"/>
          <w:sz w:val="28"/>
          <w:szCs w:val="28"/>
        </w:rPr>
        <w:t xml:space="preserve"> </w:t>
      </w:r>
      <w:r w:rsidR="008461E3" w:rsidRPr="00543851">
        <w:rPr>
          <w:rFonts w:ascii="Times New Roman" w:hAnsi="Times New Roman" w:cs="Times New Roman"/>
          <w:sz w:val="28"/>
          <w:szCs w:val="28"/>
        </w:rPr>
        <w:t>dell</w:t>
      </w:r>
      <w:r w:rsidR="003277B2" w:rsidRPr="00543851">
        <w:rPr>
          <w:rFonts w:ascii="Times New Roman" w:hAnsi="Times New Roman" w:cs="Times New Roman"/>
          <w:sz w:val="28"/>
          <w:szCs w:val="28"/>
        </w:rPr>
        <w:t xml:space="preserve">a </w:t>
      </w:r>
      <w:proofErr w:type="spellStart"/>
      <w:r w:rsidR="003277B2" w:rsidRPr="00543851">
        <w:rPr>
          <w:rFonts w:ascii="Times New Roman" w:hAnsi="Times New Roman" w:cs="Times New Roman"/>
          <w:sz w:val="28"/>
          <w:szCs w:val="28"/>
        </w:rPr>
        <w:t>l</w:t>
      </w:r>
      <w:r w:rsidR="00C1602E" w:rsidRPr="00543851">
        <w:rPr>
          <w:rFonts w:ascii="Times New Roman" w:hAnsi="Times New Roman" w:cs="Times New Roman"/>
          <w:sz w:val="28"/>
          <w:szCs w:val="28"/>
        </w:rPr>
        <w:t>.r</w:t>
      </w:r>
      <w:proofErr w:type="spellEnd"/>
      <w:r w:rsidR="00C1602E" w:rsidRPr="00543851">
        <w:rPr>
          <w:rFonts w:ascii="Times New Roman" w:hAnsi="Times New Roman" w:cs="Times New Roman"/>
          <w:sz w:val="28"/>
          <w:szCs w:val="28"/>
        </w:rPr>
        <w:t>. della</w:t>
      </w:r>
      <w:r w:rsidR="003277B2" w:rsidRPr="00543851">
        <w:rPr>
          <w:rFonts w:ascii="Times New Roman" w:hAnsi="Times New Roman" w:cs="Times New Roman"/>
          <w:sz w:val="28"/>
          <w:szCs w:val="28"/>
        </w:rPr>
        <w:t xml:space="preserve"> Liguria 10 novembre 2017, n. 26</w:t>
      </w:r>
      <w:r w:rsidR="00C1602E" w:rsidRPr="00543851">
        <w:rPr>
          <w:rFonts w:ascii="Times New Roman" w:hAnsi="Times New Roman" w:cs="Times New Roman"/>
          <w:sz w:val="28"/>
          <w:szCs w:val="28"/>
        </w:rPr>
        <w:t xml:space="preserve">; </w:t>
      </w:r>
      <w:r w:rsidR="00FA338F" w:rsidRPr="00543851">
        <w:rPr>
          <w:rFonts w:ascii="Times New Roman" w:hAnsi="Times New Roman" w:cs="Times New Roman"/>
          <w:sz w:val="28"/>
          <w:szCs w:val="28"/>
        </w:rPr>
        <w:t xml:space="preserve">nell’art. </w:t>
      </w:r>
      <w:r w:rsidR="003F2D9B" w:rsidRPr="00543851">
        <w:rPr>
          <w:rFonts w:ascii="Times New Roman" w:hAnsi="Times New Roman" w:cs="Times New Roman"/>
          <w:b/>
          <w:bCs/>
          <w:i/>
          <w:iCs/>
          <w:sz w:val="28"/>
          <w:szCs w:val="28"/>
        </w:rPr>
        <w:t xml:space="preserve"> </w:t>
      </w:r>
      <w:r w:rsidR="003F2D9B" w:rsidRPr="00543851">
        <w:rPr>
          <w:rFonts w:ascii="Times New Roman" w:hAnsi="Times New Roman" w:cs="Times New Roman"/>
          <w:sz w:val="28"/>
          <w:szCs w:val="28"/>
        </w:rPr>
        <w:t xml:space="preserve">9 della </w:t>
      </w:r>
      <w:proofErr w:type="spellStart"/>
      <w:r w:rsidR="003F2D9B" w:rsidRPr="00543851">
        <w:rPr>
          <w:rFonts w:ascii="Times New Roman" w:hAnsi="Times New Roman" w:cs="Times New Roman"/>
          <w:sz w:val="28"/>
          <w:szCs w:val="28"/>
        </w:rPr>
        <w:t>l.r</w:t>
      </w:r>
      <w:proofErr w:type="spellEnd"/>
      <w:r w:rsidR="003F2D9B" w:rsidRPr="00543851">
        <w:rPr>
          <w:rFonts w:ascii="Times New Roman" w:hAnsi="Times New Roman" w:cs="Times New Roman"/>
          <w:sz w:val="28"/>
          <w:szCs w:val="28"/>
        </w:rPr>
        <w:t xml:space="preserve">. </w:t>
      </w:r>
      <w:r w:rsidR="00C1602E" w:rsidRPr="00543851">
        <w:rPr>
          <w:rFonts w:ascii="Times New Roman" w:hAnsi="Times New Roman" w:cs="Times New Roman"/>
          <w:sz w:val="28"/>
          <w:szCs w:val="28"/>
        </w:rPr>
        <w:t xml:space="preserve">della </w:t>
      </w:r>
      <w:r w:rsidR="003277B2" w:rsidRPr="00543851">
        <w:rPr>
          <w:rFonts w:ascii="Times New Roman" w:hAnsi="Times New Roman" w:cs="Times New Roman"/>
          <w:sz w:val="28"/>
          <w:szCs w:val="28"/>
        </w:rPr>
        <w:t>Calabria n. 17 del 21</w:t>
      </w:r>
      <w:r w:rsidR="00C1602E" w:rsidRPr="00543851">
        <w:rPr>
          <w:rFonts w:ascii="Times New Roman" w:hAnsi="Times New Roman" w:cs="Times New Roman"/>
          <w:sz w:val="28"/>
          <w:szCs w:val="28"/>
        </w:rPr>
        <w:t xml:space="preserve"> dicembre </w:t>
      </w:r>
      <w:r w:rsidR="003277B2" w:rsidRPr="00543851">
        <w:rPr>
          <w:rFonts w:ascii="Times New Roman" w:hAnsi="Times New Roman" w:cs="Times New Roman"/>
          <w:sz w:val="28"/>
          <w:szCs w:val="28"/>
        </w:rPr>
        <w:t>2005</w:t>
      </w:r>
      <w:r w:rsidR="003F2D9B" w:rsidRPr="00543851">
        <w:rPr>
          <w:rFonts w:ascii="Times New Roman" w:hAnsi="Times New Roman" w:cs="Times New Roman"/>
          <w:sz w:val="28"/>
          <w:szCs w:val="28"/>
        </w:rPr>
        <w:t xml:space="preserve">; </w:t>
      </w:r>
      <w:r w:rsidR="00FA338F" w:rsidRPr="00543851">
        <w:rPr>
          <w:rFonts w:ascii="Times New Roman" w:hAnsi="Times New Roman" w:cs="Times New Roman"/>
          <w:sz w:val="28"/>
          <w:szCs w:val="28"/>
        </w:rPr>
        <w:t>nell</w:t>
      </w:r>
      <w:r w:rsidR="00C1602E" w:rsidRPr="00543851">
        <w:rPr>
          <w:rFonts w:ascii="Times New Roman" w:hAnsi="Times New Roman" w:cs="Times New Roman"/>
          <w:sz w:val="28"/>
          <w:szCs w:val="28"/>
        </w:rPr>
        <w:t>’</w:t>
      </w:r>
      <w:r w:rsidR="005D1B4E" w:rsidRPr="00543851">
        <w:rPr>
          <w:rFonts w:ascii="Times New Roman" w:hAnsi="Times New Roman" w:cs="Times New Roman"/>
          <w:sz w:val="28"/>
          <w:szCs w:val="28"/>
        </w:rPr>
        <w:t>art</w:t>
      </w:r>
      <w:r w:rsidR="00C1602E" w:rsidRPr="00543851">
        <w:rPr>
          <w:rFonts w:ascii="Times New Roman" w:hAnsi="Times New Roman" w:cs="Times New Roman"/>
          <w:sz w:val="28"/>
          <w:szCs w:val="28"/>
        </w:rPr>
        <w:t>.</w:t>
      </w:r>
      <w:r w:rsidR="005D1B4E" w:rsidRPr="00543851">
        <w:rPr>
          <w:rFonts w:ascii="Times New Roman" w:hAnsi="Times New Roman" w:cs="Times New Roman"/>
          <w:sz w:val="28"/>
          <w:szCs w:val="28"/>
        </w:rPr>
        <w:t xml:space="preserve"> 1 del decreto del Presidente della Giunta regionale della Toscana del 24 settembre 2013, n. 52/R, </w:t>
      </w:r>
      <w:r w:rsidR="00FA338F" w:rsidRPr="00543851">
        <w:rPr>
          <w:rFonts w:ascii="Times New Roman" w:hAnsi="Times New Roman" w:cs="Times New Roman"/>
          <w:sz w:val="28"/>
          <w:szCs w:val="28"/>
        </w:rPr>
        <w:t xml:space="preserve">nell’art. 14 della </w:t>
      </w:r>
      <w:proofErr w:type="spellStart"/>
      <w:r w:rsidR="005D1B4E" w:rsidRPr="00543851">
        <w:rPr>
          <w:rFonts w:ascii="Times New Roman" w:hAnsi="Times New Roman" w:cs="Times New Roman"/>
          <w:sz w:val="28"/>
          <w:szCs w:val="28"/>
        </w:rPr>
        <w:t>l</w:t>
      </w:r>
      <w:r w:rsidR="00C1602E" w:rsidRPr="00543851">
        <w:rPr>
          <w:rFonts w:ascii="Times New Roman" w:hAnsi="Times New Roman" w:cs="Times New Roman"/>
          <w:sz w:val="28"/>
          <w:szCs w:val="28"/>
        </w:rPr>
        <w:t>.r</w:t>
      </w:r>
      <w:proofErr w:type="spellEnd"/>
      <w:r w:rsidR="00C1602E" w:rsidRPr="00543851">
        <w:rPr>
          <w:rFonts w:ascii="Times New Roman" w:hAnsi="Times New Roman" w:cs="Times New Roman"/>
          <w:sz w:val="28"/>
          <w:szCs w:val="28"/>
        </w:rPr>
        <w:t xml:space="preserve">. della </w:t>
      </w:r>
      <w:r w:rsidR="00FA338F" w:rsidRPr="00543851">
        <w:rPr>
          <w:rFonts w:ascii="Times New Roman" w:hAnsi="Times New Roman" w:cs="Times New Roman"/>
          <w:sz w:val="28"/>
          <w:szCs w:val="28"/>
        </w:rPr>
        <w:t xml:space="preserve">Puglia del </w:t>
      </w:r>
      <w:r w:rsidR="005D1B4E" w:rsidRPr="00543851">
        <w:rPr>
          <w:rFonts w:ascii="Times New Roman" w:hAnsi="Times New Roman" w:cs="Times New Roman"/>
          <w:sz w:val="28"/>
          <w:szCs w:val="28"/>
        </w:rPr>
        <w:t>10 aprile 2015, n. 17</w:t>
      </w:r>
      <w:r w:rsidR="00FA338F" w:rsidRPr="00543851">
        <w:rPr>
          <w:rFonts w:ascii="Times New Roman" w:hAnsi="Times New Roman" w:cs="Times New Roman"/>
          <w:sz w:val="28"/>
          <w:szCs w:val="28"/>
        </w:rPr>
        <w:t xml:space="preserve">. </w:t>
      </w:r>
      <w:r w:rsidR="00F62D7A" w:rsidRPr="00543851">
        <w:rPr>
          <w:rFonts w:ascii="Times New Roman" w:hAnsi="Times New Roman" w:cs="Times New Roman"/>
          <w:sz w:val="28"/>
          <w:szCs w:val="28"/>
        </w:rPr>
        <w:t>Disposizioni tutte della cui compatibilità con la ripartizione delle competenze legislative rivenienti dall’art. 117 della Costituzione si ha ragione di dubitare. Come già chiarito, infatti, e più volte ribadito dalla Corte costituzionale, la materia delle concessioni demaniali non afferisce in alcun modo alla competenza legislativa regionale, neppure facendo leva sull’attribuzione alle stesse, e per il loro tramite ai Comuni, della gestione “amministrativa</w:t>
      </w:r>
      <w:r w:rsidR="00C1602E" w:rsidRPr="00543851">
        <w:rPr>
          <w:rFonts w:ascii="Times New Roman" w:hAnsi="Times New Roman" w:cs="Times New Roman"/>
          <w:sz w:val="28"/>
          <w:szCs w:val="28"/>
        </w:rPr>
        <w:t>”</w:t>
      </w:r>
      <w:r w:rsidR="00F62D7A" w:rsidRPr="00543851">
        <w:rPr>
          <w:rFonts w:ascii="Times New Roman" w:hAnsi="Times New Roman" w:cs="Times New Roman"/>
          <w:sz w:val="28"/>
          <w:szCs w:val="28"/>
        </w:rPr>
        <w:t xml:space="preserve"> del settore. </w:t>
      </w:r>
      <w:r w:rsidR="00197DD5" w:rsidRPr="00543851">
        <w:rPr>
          <w:rFonts w:ascii="Times New Roman" w:hAnsi="Times New Roman" w:cs="Times New Roman"/>
          <w:sz w:val="28"/>
          <w:szCs w:val="28"/>
        </w:rPr>
        <w:t xml:space="preserve">E il concetto di facile rimozione non può certo essere considerato afferente alla legislazione in materia di “turismo”, considerato il suo impatto sul regime dei canoni, come detto, e ora, inevitabilmente, su quello degli indennizzi. </w:t>
      </w:r>
      <w:r w:rsidR="009B2909" w:rsidRPr="00543851">
        <w:rPr>
          <w:rFonts w:ascii="Times New Roman" w:hAnsi="Times New Roman" w:cs="Times New Roman"/>
          <w:sz w:val="28"/>
          <w:szCs w:val="28"/>
        </w:rPr>
        <w:t xml:space="preserve">Il quadro delineato, dunque, fa emergere in tutta chiarezza la difficoltà di intervenire sulla materia senza mettere preventivamente ordine nelle scelte che sono state effettuate in precedenza, </w:t>
      </w:r>
      <w:r w:rsidR="009D51EF" w:rsidRPr="00543851">
        <w:rPr>
          <w:rFonts w:ascii="Times New Roman" w:hAnsi="Times New Roman" w:cs="Times New Roman"/>
          <w:sz w:val="28"/>
          <w:szCs w:val="28"/>
        </w:rPr>
        <w:t xml:space="preserve">alla luce dell’eterogeneità delle soluzioni seguite finanche </w:t>
      </w:r>
      <w:r w:rsidR="009B2909" w:rsidRPr="00543851">
        <w:rPr>
          <w:rFonts w:ascii="Times New Roman" w:hAnsi="Times New Roman" w:cs="Times New Roman"/>
          <w:sz w:val="28"/>
          <w:szCs w:val="28"/>
        </w:rPr>
        <w:t xml:space="preserve">in ambiti territoriali omogenei. </w:t>
      </w:r>
      <w:r w:rsidR="009D51EF" w:rsidRPr="00543851">
        <w:rPr>
          <w:rFonts w:ascii="Times New Roman" w:hAnsi="Times New Roman" w:cs="Times New Roman"/>
          <w:sz w:val="28"/>
          <w:szCs w:val="28"/>
        </w:rPr>
        <w:t xml:space="preserve">Da qui la comprensibile attesa sia del bando-tipo che delle indicazioni sugli indennizzi: pur avendo il giudice amministrativo avallato scelte che prescindevano da tale ultimo elemento, per contro ritenendo </w:t>
      </w:r>
      <w:r w:rsidR="00B279E0" w:rsidRPr="00543851">
        <w:rPr>
          <w:rFonts w:ascii="Times New Roman" w:hAnsi="Times New Roman" w:cs="Times New Roman"/>
          <w:sz w:val="28"/>
          <w:szCs w:val="28"/>
        </w:rPr>
        <w:t xml:space="preserve">addirittura </w:t>
      </w:r>
      <w:r w:rsidR="009D51EF" w:rsidRPr="00543851">
        <w:rPr>
          <w:rFonts w:ascii="Times New Roman" w:hAnsi="Times New Roman" w:cs="Times New Roman"/>
          <w:sz w:val="28"/>
          <w:szCs w:val="28"/>
        </w:rPr>
        <w:t>illegittimo tornare sui propri passi e revocare bandi già pubblicati, la configurazione degli stessi come un “diritto” del concessionario uscente ne complica ulteriormente la collocazione</w:t>
      </w:r>
      <w:r w:rsidR="00476020" w:rsidRPr="00543851">
        <w:rPr>
          <w:rFonts w:ascii="Times New Roman" w:hAnsi="Times New Roman" w:cs="Times New Roman"/>
          <w:sz w:val="28"/>
          <w:szCs w:val="28"/>
        </w:rPr>
        <w:t xml:space="preserve"> </w:t>
      </w:r>
      <w:r w:rsidR="00D50C2B" w:rsidRPr="00543851">
        <w:rPr>
          <w:rFonts w:ascii="Times New Roman" w:hAnsi="Times New Roman" w:cs="Times New Roman"/>
          <w:sz w:val="28"/>
          <w:szCs w:val="28"/>
        </w:rPr>
        <w:t>(cfr. Cons. Stato, sez. VII, 4 aprile 2025, n. 2907</w:t>
      </w:r>
      <w:r w:rsidR="00B279E0" w:rsidRPr="00543851">
        <w:rPr>
          <w:rFonts w:ascii="Times New Roman" w:hAnsi="Times New Roman" w:cs="Times New Roman"/>
          <w:sz w:val="28"/>
          <w:szCs w:val="28"/>
        </w:rPr>
        <w:t xml:space="preserve">; </w:t>
      </w:r>
      <w:r w:rsidR="00B279E0" w:rsidRPr="00543851">
        <w:rPr>
          <w:rFonts w:ascii="Times New Roman" w:hAnsi="Times New Roman" w:cs="Times New Roman"/>
          <w:i/>
          <w:iCs/>
          <w:sz w:val="28"/>
          <w:szCs w:val="28"/>
        </w:rPr>
        <w:t>id</w:t>
      </w:r>
      <w:r w:rsidR="00B279E0" w:rsidRPr="00543851">
        <w:rPr>
          <w:rFonts w:ascii="Times New Roman" w:hAnsi="Times New Roman" w:cs="Times New Roman"/>
          <w:sz w:val="28"/>
          <w:szCs w:val="28"/>
        </w:rPr>
        <w:t>., 18 agosto 2026, n. 6539</w:t>
      </w:r>
      <w:r w:rsidR="00D50C2B" w:rsidRPr="00543851">
        <w:rPr>
          <w:rFonts w:ascii="Times New Roman" w:hAnsi="Times New Roman" w:cs="Times New Roman"/>
          <w:sz w:val="28"/>
          <w:szCs w:val="28"/>
        </w:rPr>
        <w:t>)</w:t>
      </w:r>
      <w:r w:rsidR="004D7F8E">
        <w:rPr>
          <w:rStyle w:val="Rimandonotaapidipagina"/>
          <w:rFonts w:ascii="Times New Roman" w:hAnsi="Times New Roman" w:cs="Times New Roman"/>
          <w:sz w:val="28"/>
          <w:szCs w:val="28"/>
        </w:rPr>
        <w:footnoteReference w:id="21"/>
      </w:r>
      <w:r w:rsidR="00D50C2B" w:rsidRPr="00543851">
        <w:rPr>
          <w:rFonts w:ascii="Times New Roman" w:hAnsi="Times New Roman" w:cs="Times New Roman"/>
          <w:sz w:val="28"/>
          <w:szCs w:val="28"/>
        </w:rPr>
        <w:t>.</w:t>
      </w:r>
      <w:r w:rsidR="009D51EF" w:rsidRPr="00543851">
        <w:rPr>
          <w:rFonts w:ascii="Times New Roman" w:hAnsi="Times New Roman" w:cs="Times New Roman"/>
          <w:sz w:val="28"/>
          <w:szCs w:val="28"/>
        </w:rPr>
        <w:t xml:space="preserve"> E tuttavia, in ragione dei molti dubbi e delle permanenti criticità della cornice, rischia di non alleggerire la posizione degli Enti territoriali, che si vedranno ancora una volta costretti a scegliere autonomamente</w:t>
      </w:r>
      <w:r w:rsidR="00902715" w:rsidRPr="00543851">
        <w:rPr>
          <w:rFonts w:ascii="Times New Roman" w:hAnsi="Times New Roman" w:cs="Times New Roman"/>
          <w:sz w:val="28"/>
          <w:szCs w:val="28"/>
        </w:rPr>
        <w:t>,</w:t>
      </w:r>
      <w:r w:rsidR="009D51EF" w:rsidRPr="00543851">
        <w:rPr>
          <w:rFonts w:ascii="Times New Roman" w:hAnsi="Times New Roman" w:cs="Times New Roman"/>
          <w:sz w:val="28"/>
          <w:szCs w:val="28"/>
        </w:rPr>
        <w:t xml:space="preserve"> stretti fra </w:t>
      </w:r>
      <w:r w:rsidR="00902715" w:rsidRPr="00543851">
        <w:rPr>
          <w:rFonts w:ascii="Times New Roman" w:hAnsi="Times New Roman" w:cs="Times New Roman"/>
          <w:sz w:val="28"/>
          <w:szCs w:val="28"/>
        </w:rPr>
        <w:t xml:space="preserve">le maglie delle indicazioni politiche e </w:t>
      </w:r>
      <w:r w:rsidR="008D71E2" w:rsidRPr="00543851">
        <w:rPr>
          <w:rFonts w:ascii="Times New Roman" w:hAnsi="Times New Roman" w:cs="Times New Roman"/>
          <w:sz w:val="28"/>
          <w:szCs w:val="28"/>
        </w:rPr>
        <w:t xml:space="preserve">le responsabilità personali che li coinvolgono. Continua infatti a suonare come monito l’affermazione, contenuta nelle decisioni gemelle del Consiglio di Stato n. 17 e n. 18 del 9 novembre 2021 circa la sussistenza di un dovere di non applicazione anche da parte della P.A. di leggi nazionali in contrasto con una direttiva </w:t>
      </w:r>
      <w:r w:rsidR="008D71E2" w:rsidRPr="00543851">
        <w:rPr>
          <w:rFonts w:ascii="Times New Roman" w:hAnsi="Times New Roman" w:cs="Times New Roman"/>
          <w:i/>
          <w:iCs/>
          <w:sz w:val="28"/>
          <w:szCs w:val="28"/>
        </w:rPr>
        <w:t>self-</w:t>
      </w:r>
      <w:proofErr w:type="spellStart"/>
      <w:r w:rsidR="008D71E2" w:rsidRPr="00543851">
        <w:rPr>
          <w:rFonts w:ascii="Times New Roman" w:hAnsi="Times New Roman" w:cs="Times New Roman"/>
          <w:i/>
          <w:iCs/>
          <w:sz w:val="28"/>
          <w:szCs w:val="28"/>
        </w:rPr>
        <w:t>executing</w:t>
      </w:r>
      <w:proofErr w:type="spellEnd"/>
      <w:r w:rsidR="008D71E2" w:rsidRPr="00543851">
        <w:rPr>
          <w:rFonts w:ascii="Times New Roman" w:hAnsi="Times New Roman" w:cs="Times New Roman"/>
          <w:sz w:val="28"/>
          <w:szCs w:val="28"/>
        </w:rPr>
        <w:t>, carattere riconosciuto alla Bolkestein espressamente dalla Corte di giustizia nella sentenza</w:t>
      </w:r>
      <w:r w:rsidR="004748C3" w:rsidRPr="00543851">
        <w:rPr>
          <w:rFonts w:ascii="Times New Roman" w:hAnsi="Times New Roman" w:cs="Times New Roman"/>
          <w:sz w:val="28"/>
          <w:szCs w:val="28"/>
        </w:rPr>
        <w:t xml:space="preserve"> </w:t>
      </w:r>
      <w:proofErr w:type="spellStart"/>
      <w:r w:rsidR="008D71E2" w:rsidRPr="00543851">
        <w:rPr>
          <w:rFonts w:ascii="Times New Roman" w:hAnsi="Times New Roman" w:cs="Times New Roman"/>
          <w:i/>
          <w:iCs/>
          <w:sz w:val="28"/>
          <w:szCs w:val="28"/>
        </w:rPr>
        <w:t>Promoimpresa</w:t>
      </w:r>
      <w:proofErr w:type="spellEnd"/>
      <w:r w:rsidR="004748C3" w:rsidRPr="00543851">
        <w:rPr>
          <w:rFonts w:ascii="Times New Roman" w:hAnsi="Times New Roman" w:cs="Times New Roman"/>
          <w:sz w:val="28"/>
          <w:szCs w:val="28"/>
        </w:rPr>
        <w:t xml:space="preserve"> </w:t>
      </w:r>
      <w:r w:rsidR="008D71E2" w:rsidRPr="00543851">
        <w:rPr>
          <w:rFonts w:ascii="Times New Roman" w:hAnsi="Times New Roman" w:cs="Times New Roman"/>
          <w:sz w:val="28"/>
          <w:szCs w:val="28"/>
        </w:rPr>
        <w:t>(C-174/06), oltre che da una copiosa giurisprudenza nazionale che ad essa ha fatto seguito</w:t>
      </w:r>
      <w:r w:rsidR="008D71E2">
        <w:rPr>
          <w:rStyle w:val="Rimandonotaapidipagina"/>
          <w:rFonts w:ascii="Times New Roman" w:hAnsi="Times New Roman" w:cs="Times New Roman"/>
          <w:sz w:val="28"/>
          <w:szCs w:val="28"/>
        </w:rPr>
        <w:footnoteReference w:id="22"/>
      </w:r>
      <w:r w:rsidR="008D71E2" w:rsidRPr="00543851">
        <w:rPr>
          <w:rFonts w:ascii="Times New Roman" w:hAnsi="Times New Roman" w:cs="Times New Roman"/>
          <w:sz w:val="28"/>
          <w:szCs w:val="28"/>
        </w:rPr>
        <w:t>.</w:t>
      </w:r>
      <w:r w:rsidR="00D57044" w:rsidRPr="00543851">
        <w:rPr>
          <w:rFonts w:ascii="Times New Roman" w:hAnsi="Times New Roman" w:cs="Times New Roman"/>
          <w:sz w:val="28"/>
          <w:szCs w:val="28"/>
        </w:rPr>
        <w:t xml:space="preserve"> </w:t>
      </w:r>
      <w:r w:rsidR="009B2909" w:rsidRPr="00543851">
        <w:rPr>
          <w:rFonts w:ascii="Times New Roman" w:hAnsi="Times New Roman" w:cs="Times New Roman"/>
          <w:sz w:val="28"/>
          <w:szCs w:val="28"/>
        </w:rPr>
        <w:t xml:space="preserve">Solo per completezza, si riporta una minima casistica giurisprudenziale in materia, che tuttavia neppure lambisce le segnalate criticità. </w:t>
      </w:r>
      <w:r w:rsidR="009D51EF" w:rsidRPr="00543851">
        <w:rPr>
          <w:rFonts w:ascii="Times New Roman" w:hAnsi="Times New Roman" w:cs="Times New Roman"/>
          <w:sz w:val="28"/>
          <w:szCs w:val="28"/>
        </w:rPr>
        <w:t xml:space="preserve">È stata considerata “non amovibile” una scogliera artificiale, ancorché ne fosse possibile, almeno in parte, la rimozione fisica. </w:t>
      </w:r>
      <w:r w:rsidR="005A2992" w:rsidRPr="00543851">
        <w:rPr>
          <w:rFonts w:ascii="Times New Roman" w:hAnsi="Times New Roman" w:cs="Times New Roman"/>
          <w:sz w:val="28"/>
          <w:szCs w:val="28"/>
        </w:rPr>
        <w:t xml:space="preserve">La complessità della sua posa in opera, il necessario lavoro di imbonimento del fondale fino alla sistemazione dei massi di differenti dimensioni ne fanno un’opera </w:t>
      </w:r>
      <w:r w:rsidR="009D51EF" w:rsidRPr="00543851">
        <w:rPr>
          <w:rFonts w:ascii="Times New Roman" w:hAnsi="Times New Roman" w:cs="Times New Roman"/>
          <w:sz w:val="28"/>
          <w:szCs w:val="28"/>
        </w:rPr>
        <w:t>“</w:t>
      </w:r>
      <w:r w:rsidR="005A2992" w:rsidRPr="00543851">
        <w:rPr>
          <w:rFonts w:ascii="Times New Roman" w:hAnsi="Times New Roman" w:cs="Times New Roman"/>
          <w:sz w:val="28"/>
          <w:szCs w:val="28"/>
        </w:rPr>
        <w:t>avente struttura stabile</w:t>
      </w:r>
      <w:r w:rsidR="009D51EF" w:rsidRPr="00543851">
        <w:rPr>
          <w:rFonts w:ascii="Times New Roman" w:hAnsi="Times New Roman" w:cs="Times New Roman"/>
          <w:sz w:val="28"/>
          <w:szCs w:val="28"/>
        </w:rPr>
        <w:t xml:space="preserve">”. </w:t>
      </w:r>
      <w:r w:rsidR="00B95AC5" w:rsidRPr="00543851">
        <w:rPr>
          <w:rFonts w:ascii="Times New Roman" w:hAnsi="Times New Roman" w:cs="Times New Roman"/>
          <w:sz w:val="28"/>
          <w:szCs w:val="28"/>
        </w:rPr>
        <w:t>L’inamovibilità, infatti,</w:t>
      </w:r>
      <w:r w:rsidR="009D51EF" w:rsidRPr="00543851">
        <w:rPr>
          <w:rFonts w:ascii="Times New Roman" w:hAnsi="Times New Roman" w:cs="Times New Roman"/>
          <w:sz w:val="28"/>
          <w:szCs w:val="28"/>
        </w:rPr>
        <w:t xml:space="preserve"> </w:t>
      </w:r>
      <w:r w:rsidR="005A2992" w:rsidRPr="00543851">
        <w:rPr>
          <w:rFonts w:ascii="Times New Roman" w:hAnsi="Times New Roman" w:cs="Times New Roman"/>
          <w:sz w:val="28"/>
          <w:szCs w:val="28"/>
        </w:rPr>
        <w:t>ricorre ogni qualvolta la rimozione degli elementi, anche prefabbricati, utilizzati per la costruzione</w:t>
      </w:r>
      <w:r w:rsidR="009D51EF" w:rsidRPr="00543851">
        <w:rPr>
          <w:rFonts w:ascii="Times New Roman" w:hAnsi="Times New Roman" w:cs="Times New Roman"/>
          <w:sz w:val="28"/>
          <w:szCs w:val="28"/>
        </w:rPr>
        <w:t>,</w:t>
      </w:r>
      <w:r w:rsidR="005A2992" w:rsidRPr="00543851">
        <w:rPr>
          <w:rFonts w:ascii="Times New Roman" w:hAnsi="Times New Roman" w:cs="Times New Roman"/>
          <w:sz w:val="28"/>
          <w:szCs w:val="28"/>
        </w:rPr>
        <w:t xml:space="preserve"> implichi la distruzione dell</w:t>
      </w:r>
      <w:r w:rsidR="009D51EF" w:rsidRPr="00543851">
        <w:rPr>
          <w:rFonts w:ascii="Times New Roman" w:hAnsi="Times New Roman" w:cs="Times New Roman"/>
          <w:sz w:val="28"/>
          <w:szCs w:val="28"/>
        </w:rPr>
        <w:t>’</w:t>
      </w:r>
      <w:r w:rsidR="005A2992" w:rsidRPr="00543851">
        <w:rPr>
          <w:rFonts w:ascii="Times New Roman" w:hAnsi="Times New Roman" w:cs="Times New Roman"/>
          <w:sz w:val="28"/>
          <w:szCs w:val="28"/>
        </w:rPr>
        <w:t>opera stessa (Cass., sez. II, ordinanza 24 ottobre 2023, n. 29492).</w:t>
      </w:r>
      <w:r w:rsidR="00694463" w:rsidRPr="00543851">
        <w:rPr>
          <w:rFonts w:ascii="Times New Roman" w:hAnsi="Times New Roman" w:cs="Times New Roman"/>
          <w:sz w:val="28"/>
          <w:szCs w:val="28"/>
        </w:rPr>
        <w:t xml:space="preserve"> L</w:t>
      </w:r>
      <w:r w:rsidR="00DF13A6" w:rsidRPr="00543851">
        <w:rPr>
          <w:rFonts w:ascii="Times New Roman" w:hAnsi="Times New Roman" w:cs="Times New Roman"/>
          <w:sz w:val="28"/>
          <w:szCs w:val="28"/>
        </w:rPr>
        <w:t xml:space="preserve">a giurisprudenza amministrativa </w:t>
      </w:r>
      <w:r w:rsidR="00694463" w:rsidRPr="00543851">
        <w:rPr>
          <w:rFonts w:ascii="Times New Roman" w:hAnsi="Times New Roman" w:cs="Times New Roman"/>
          <w:sz w:val="28"/>
          <w:szCs w:val="28"/>
        </w:rPr>
        <w:t xml:space="preserve">più risalente </w:t>
      </w:r>
      <w:r w:rsidR="00DF13A6" w:rsidRPr="00543851">
        <w:rPr>
          <w:rFonts w:ascii="Times New Roman" w:hAnsi="Times New Roman" w:cs="Times New Roman"/>
          <w:sz w:val="28"/>
          <w:szCs w:val="28"/>
        </w:rPr>
        <w:t xml:space="preserve">ha </w:t>
      </w:r>
      <w:r w:rsidR="00694463" w:rsidRPr="00543851">
        <w:rPr>
          <w:rFonts w:ascii="Times New Roman" w:hAnsi="Times New Roman" w:cs="Times New Roman"/>
          <w:sz w:val="28"/>
          <w:szCs w:val="28"/>
        </w:rPr>
        <w:t xml:space="preserve">tentato di tener fermo </w:t>
      </w:r>
      <w:r w:rsidR="00DF13A6" w:rsidRPr="00543851">
        <w:rPr>
          <w:rFonts w:ascii="Times New Roman" w:hAnsi="Times New Roman" w:cs="Times New Roman"/>
          <w:sz w:val="28"/>
          <w:szCs w:val="28"/>
        </w:rPr>
        <w:t>il distinguo tra inamovibilità e difficoltà di rimozione</w:t>
      </w:r>
      <w:r w:rsidR="00694463" w:rsidRPr="00543851">
        <w:rPr>
          <w:rFonts w:ascii="Times New Roman" w:hAnsi="Times New Roman" w:cs="Times New Roman"/>
          <w:sz w:val="28"/>
          <w:szCs w:val="28"/>
        </w:rPr>
        <w:t>, affermando che s</w:t>
      </w:r>
      <w:r w:rsidR="00C61003" w:rsidRPr="00543851">
        <w:rPr>
          <w:rFonts w:ascii="Times New Roman" w:hAnsi="Times New Roman" w:cs="Times New Roman"/>
          <w:sz w:val="28"/>
          <w:szCs w:val="28"/>
        </w:rPr>
        <w:t xml:space="preserve">ono soggette ad accessione, al termine del rapporto concessorio, solo le opere </w:t>
      </w:r>
      <w:r w:rsidR="00694463" w:rsidRPr="00543851">
        <w:rPr>
          <w:rFonts w:ascii="Times New Roman" w:hAnsi="Times New Roman" w:cs="Times New Roman"/>
          <w:sz w:val="28"/>
          <w:szCs w:val="28"/>
        </w:rPr>
        <w:t>“</w:t>
      </w:r>
      <w:r w:rsidR="00C61003" w:rsidRPr="00543851">
        <w:rPr>
          <w:rFonts w:ascii="Times New Roman" w:hAnsi="Times New Roman" w:cs="Times New Roman"/>
          <w:sz w:val="28"/>
          <w:szCs w:val="28"/>
        </w:rPr>
        <w:t>non amovibili</w:t>
      </w:r>
      <w:r w:rsidR="00694463" w:rsidRPr="00543851">
        <w:rPr>
          <w:rFonts w:ascii="Times New Roman" w:hAnsi="Times New Roman" w:cs="Times New Roman"/>
          <w:sz w:val="28"/>
          <w:szCs w:val="28"/>
        </w:rPr>
        <w:t>”</w:t>
      </w:r>
      <w:r w:rsidR="00C61003" w:rsidRPr="00543851">
        <w:rPr>
          <w:rFonts w:ascii="Times New Roman" w:hAnsi="Times New Roman" w:cs="Times New Roman"/>
          <w:sz w:val="28"/>
          <w:szCs w:val="28"/>
        </w:rPr>
        <w:t>, nel presupposto che solo per tali opere, destinate a restare sul territorio o ad essere distrutte, debba assicurarsi la piena disponibilità per l</w:t>
      </w:r>
      <w:r w:rsidR="00694463" w:rsidRPr="00543851">
        <w:rPr>
          <w:rFonts w:ascii="Times New Roman" w:hAnsi="Times New Roman" w:cs="Times New Roman"/>
          <w:sz w:val="28"/>
          <w:szCs w:val="28"/>
        </w:rPr>
        <w:t>’</w:t>
      </w:r>
      <w:r w:rsidR="00C61003" w:rsidRPr="00543851">
        <w:rPr>
          <w:rFonts w:ascii="Times New Roman" w:hAnsi="Times New Roman" w:cs="Times New Roman"/>
          <w:sz w:val="28"/>
          <w:szCs w:val="28"/>
        </w:rPr>
        <w:t xml:space="preserve">ente proprietario del suolo, a fini di corretta gestione del medesimo – quando non più in uso del concessionario </w:t>
      </w:r>
      <w:r w:rsidR="00694463" w:rsidRPr="00543851">
        <w:rPr>
          <w:rFonts w:ascii="Times New Roman" w:hAnsi="Times New Roman" w:cs="Times New Roman"/>
          <w:sz w:val="28"/>
          <w:szCs w:val="28"/>
        </w:rPr>
        <w:t>–</w:t>
      </w:r>
      <w:r w:rsidR="00C61003" w:rsidRPr="00543851">
        <w:rPr>
          <w:rFonts w:ascii="Times New Roman" w:hAnsi="Times New Roman" w:cs="Times New Roman"/>
          <w:sz w:val="28"/>
          <w:szCs w:val="28"/>
        </w:rPr>
        <w:t xml:space="preserve"> nell</w:t>
      </w:r>
      <w:r w:rsidR="00694463" w:rsidRPr="00543851">
        <w:rPr>
          <w:rFonts w:ascii="Times New Roman" w:hAnsi="Times New Roman" w:cs="Times New Roman"/>
          <w:sz w:val="28"/>
          <w:szCs w:val="28"/>
        </w:rPr>
        <w:t>’</w:t>
      </w:r>
      <w:r w:rsidR="00C61003" w:rsidRPr="00543851">
        <w:rPr>
          <w:rFonts w:ascii="Times New Roman" w:hAnsi="Times New Roman" w:cs="Times New Roman"/>
          <w:sz w:val="28"/>
          <w:szCs w:val="28"/>
        </w:rPr>
        <w:t>interesse pubblico</w:t>
      </w:r>
      <w:r w:rsidR="00694463" w:rsidRPr="00543851">
        <w:rPr>
          <w:rFonts w:ascii="Times New Roman" w:hAnsi="Times New Roman" w:cs="Times New Roman"/>
          <w:sz w:val="28"/>
          <w:szCs w:val="28"/>
        </w:rPr>
        <w:t xml:space="preserve"> (Cons. Stato, sez. VI, 26 maggio 2010, n. 3348</w:t>
      </w:r>
      <w:r w:rsidR="00694463" w:rsidRPr="00543851">
        <w:rPr>
          <w:rFonts w:ascii="Times New Roman" w:hAnsi="Times New Roman" w:cs="Times New Roman"/>
          <w:b/>
          <w:bCs/>
          <w:sz w:val="28"/>
          <w:szCs w:val="28"/>
        </w:rPr>
        <w:t xml:space="preserve">). </w:t>
      </w:r>
      <w:r w:rsidR="00694463" w:rsidRPr="00543851">
        <w:rPr>
          <w:rFonts w:ascii="Times New Roman" w:hAnsi="Times New Roman" w:cs="Times New Roman"/>
          <w:sz w:val="28"/>
          <w:szCs w:val="28"/>
        </w:rPr>
        <w:t xml:space="preserve">Più di recente, utilizzando promiscuamente i due termini, ha affermato che </w:t>
      </w:r>
      <w:r w:rsidR="000674A4" w:rsidRPr="00543851">
        <w:rPr>
          <w:rFonts w:ascii="Times New Roman" w:hAnsi="Times New Roman" w:cs="Times New Roman"/>
          <w:sz w:val="28"/>
          <w:szCs w:val="28"/>
        </w:rPr>
        <w:t xml:space="preserve">la difficile rimozione è correlata alla qualificazione come tale nel titolo concessorio e nel testimoniale di stato </w:t>
      </w:r>
      <w:r w:rsidR="0036160F" w:rsidRPr="00543851">
        <w:rPr>
          <w:rFonts w:ascii="Times New Roman" w:hAnsi="Times New Roman" w:cs="Times New Roman"/>
          <w:sz w:val="28"/>
          <w:szCs w:val="28"/>
        </w:rPr>
        <w:t>(</w:t>
      </w:r>
      <w:proofErr w:type="spellStart"/>
      <w:r w:rsidR="0036160F" w:rsidRPr="00543851">
        <w:rPr>
          <w:rFonts w:ascii="Times New Roman" w:hAnsi="Times New Roman" w:cs="Times New Roman"/>
          <w:sz w:val="28"/>
          <w:szCs w:val="28"/>
        </w:rPr>
        <w:t>T.a.r</w:t>
      </w:r>
      <w:proofErr w:type="spellEnd"/>
      <w:r w:rsidR="0036160F" w:rsidRPr="00543851">
        <w:rPr>
          <w:rFonts w:ascii="Times New Roman" w:hAnsi="Times New Roman" w:cs="Times New Roman"/>
          <w:sz w:val="28"/>
          <w:szCs w:val="28"/>
        </w:rPr>
        <w:t>. per la Toscana, 10 marzo 2021, n. 380</w:t>
      </w:r>
      <w:r w:rsidR="0036160F" w:rsidRPr="00543851">
        <w:rPr>
          <w:rFonts w:ascii="Times New Roman" w:hAnsi="Times New Roman" w:cs="Times New Roman"/>
          <w:b/>
          <w:bCs/>
          <w:sz w:val="28"/>
          <w:szCs w:val="28"/>
        </w:rPr>
        <w:t>)</w:t>
      </w:r>
      <w:r w:rsidR="00694463" w:rsidRPr="00543851">
        <w:rPr>
          <w:rFonts w:ascii="Times New Roman" w:hAnsi="Times New Roman" w:cs="Times New Roman"/>
          <w:b/>
          <w:bCs/>
          <w:sz w:val="28"/>
          <w:szCs w:val="28"/>
        </w:rPr>
        <w:t xml:space="preserve">, </w:t>
      </w:r>
      <w:r w:rsidR="00694463" w:rsidRPr="00543851">
        <w:rPr>
          <w:rFonts w:ascii="Times New Roman" w:hAnsi="Times New Roman" w:cs="Times New Roman"/>
          <w:sz w:val="28"/>
          <w:szCs w:val="28"/>
        </w:rPr>
        <w:t>mentre</w:t>
      </w:r>
      <w:r w:rsidR="00694463" w:rsidRPr="00543851">
        <w:rPr>
          <w:rFonts w:ascii="Times New Roman" w:hAnsi="Times New Roman" w:cs="Times New Roman"/>
          <w:b/>
          <w:bCs/>
          <w:sz w:val="28"/>
          <w:szCs w:val="28"/>
        </w:rPr>
        <w:t xml:space="preserve"> </w:t>
      </w:r>
      <w:r w:rsidR="00C61003" w:rsidRPr="00543851">
        <w:rPr>
          <w:rFonts w:ascii="Times New Roman" w:hAnsi="Times New Roman" w:cs="Times New Roman"/>
          <w:sz w:val="28"/>
          <w:szCs w:val="28"/>
        </w:rPr>
        <w:t>la facile rimozione non può essere affermata solo sulla base della dichiarazione del concessionario, se questa è in contrasto con tali atti.</w:t>
      </w:r>
      <w:r w:rsidR="00E739C5" w:rsidRPr="00543851">
        <w:rPr>
          <w:rFonts w:ascii="Times New Roman" w:hAnsi="Times New Roman" w:cs="Times New Roman"/>
          <w:sz w:val="28"/>
          <w:szCs w:val="28"/>
        </w:rPr>
        <w:t xml:space="preserve"> </w:t>
      </w:r>
      <w:r w:rsidR="00694463" w:rsidRPr="00543851">
        <w:rPr>
          <w:rFonts w:ascii="Times New Roman" w:hAnsi="Times New Roman" w:cs="Times New Roman"/>
          <w:sz w:val="28"/>
          <w:szCs w:val="28"/>
        </w:rPr>
        <w:t xml:space="preserve">Ciò mette in luce la necessità che a un certo punto gli aspetti concessori pregressi, per come gestiti in concreto, debbano necessariamente essere presi in considerazione, ingenerando scelte non sempre coerenti con la volontà attuale di indennizzare ciò che resta al concedente. </w:t>
      </w:r>
    </w:p>
    <w:p w14:paraId="784138F1" w14:textId="77777777" w:rsidR="00A42CE7" w:rsidRPr="00543851" w:rsidRDefault="00A42CE7" w:rsidP="00A42CE7">
      <w:pPr>
        <w:pStyle w:val="Paragrafoelenco"/>
        <w:spacing w:line="288" w:lineRule="auto"/>
        <w:ind w:left="284" w:right="140"/>
        <w:jc w:val="both"/>
        <w:rPr>
          <w:rFonts w:ascii="Times New Roman" w:hAnsi="Times New Roman" w:cs="Times New Roman"/>
          <w:sz w:val="28"/>
          <w:szCs w:val="28"/>
        </w:rPr>
      </w:pPr>
    </w:p>
    <w:p w14:paraId="6FC32E96" w14:textId="7F45CE01" w:rsidR="00A42CE7" w:rsidRPr="00C2667C" w:rsidRDefault="00447D31" w:rsidP="00C2667C">
      <w:pPr>
        <w:pStyle w:val="Paragrafoelenco"/>
        <w:numPr>
          <w:ilvl w:val="0"/>
          <w:numId w:val="14"/>
        </w:numPr>
        <w:spacing w:line="288" w:lineRule="auto"/>
        <w:ind w:left="284" w:right="140" w:firstLine="0"/>
        <w:jc w:val="both"/>
        <w:rPr>
          <w:rFonts w:ascii="Times New Roman" w:hAnsi="Times New Roman" w:cs="Times New Roman"/>
          <w:b/>
          <w:bCs/>
          <w:sz w:val="28"/>
          <w:szCs w:val="28"/>
        </w:rPr>
      </w:pPr>
      <w:r w:rsidRPr="00CD321F">
        <w:rPr>
          <w:rFonts w:ascii="Times New Roman" w:hAnsi="Times New Roman" w:cs="Times New Roman"/>
          <w:b/>
          <w:bCs/>
          <w:sz w:val="28"/>
          <w:szCs w:val="28"/>
        </w:rPr>
        <w:t>L’eterogeneità del linguaggio in ambito urbanistico-edilizio</w:t>
      </w:r>
      <w:r w:rsidRPr="00CD321F">
        <w:rPr>
          <w:rFonts w:ascii="Times New Roman" w:hAnsi="Times New Roman" w:cs="Times New Roman"/>
          <w:sz w:val="28"/>
          <w:szCs w:val="28"/>
        </w:rPr>
        <w:t xml:space="preserve">. </w:t>
      </w:r>
      <w:r w:rsidR="00694463" w:rsidRPr="00CD321F">
        <w:rPr>
          <w:rFonts w:ascii="Times New Roman" w:hAnsi="Times New Roman" w:cs="Times New Roman"/>
          <w:sz w:val="28"/>
          <w:szCs w:val="28"/>
        </w:rPr>
        <w:t xml:space="preserve">Come già accennato, un’ulteriore sfasatura si ha in relazione agli aspetti urbanistico-edilizi. In teoria, infatti, ciò non sarebbe dovuto avvenire, giusta la norma di raccordo rappresentata dall’art. 8 del </w:t>
      </w:r>
      <w:proofErr w:type="spellStart"/>
      <w:r w:rsidR="00694463" w:rsidRPr="00CD321F">
        <w:rPr>
          <w:rFonts w:ascii="Times New Roman" w:hAnsi="Times New Roman" w:cs="Times New Roman"/>
          <w:sz w:val="28"/>
          <w:szCs w:val="28"/>
        </w:rPr>
        <w:t>T.u.ed</w:t>
      </w:r>
      <w:proofErr w:type="spellEnd"/>
      <w:r w:rsidR="00694463" w:rsidRPr="00CD321F">
        <w:rPr>
          <w:rFonts w:ascii="Times New Roman" w:hAnsi="Times New Roman" w:cs="Times New Roman"/>
          <w:sz w:val="28"/>
          <w:szCs w:val="28"/>
        </w:rPr>
        <w:t xml:space="preserve">., ai sensi del quale </w:t>
      </w:r>
      <w:r w:rsidR="00694463" w:rsidRPr="00CD321F">
        <w:rPr>
          <w:rFonts w:ascii="Arial" w:hAnsi="Arial" w:cs="Arial"/>
          <w:sz w:val="28"/>
          <w:szCs w:val="28"/>
        </w:rPr>
        <w:t>«</w:t>
      </w:r>
      <w:r w:rsidR="00694463" w:rsidRPr="00CD321F">
        <w:rPr>
          <w:rFonts w:ascii="Times New Roman" w:hAnsi="Times New Roman" w:cs="Times New Roman"/>
          <w:i/>
          <w:iCs/>
          <w:sz w:val="28"/>
          <w:szCs w:val="28"/>
        </w:rPr>
        <w:t>La realizzazione da parte di privati di interventi edilizi su aree demaniali è disciplinata dalle norme del presente testo unico</w:t>
      </w:r>
      <w:r w:rsidR="00694463" w:rsidRPr="00CD321F">
        <w:rPr>
          <w:rFonts w:ascii="Times New Roman" w:hAnsi="Times New Roman" w:cs="Times New Roman"/>
          <w:sz w:val="28"/>
          <w:szCs w:val="28"/>
        </w:rPr>
        <w:t>»</w:t>
      </w:r>
      <w:r w:rsidR="00694463" w:rsidRPr="00CD321F">
        <w:rPr>
          <w:rFonts w:ascii="Arial" w:hAnsi="Arial" w:cs="Arial"/>
          <w:sz w:val="28"/>
          <w:szCs w:val="28"/>
        </w:rPr>
        <w:t xml:space="preserve">. </w:t>
      </w:r>
      <w:r w:rsidR="00694463" w:rsidRPr="00CD321F">
        <w:rPr>
          <w:rFonts w:ascii="Times New Roman" w:hAnsi="Times New Roman" w:cs="Times New Roman"/>
          <w:sz w:val="28"/>
          <w:szCs w:val="28"/>
        </w:rPr>
        <w:t>In pratica l’utilizzo di un lessico del tutto diverso, quale, appunto, la facile o difficile rimozione e l’inamovibilità, per giunta in assenza di   una loro chiara definizione, come visto affidata solo alla prassi</w:t>
      </w:r>
      <w:r w:rsidR="00694463" w:rsidRPr="00CD321F">
        <w:rPr>
          <w:rFonts w:ascii="Arial" w:hAnsi="Arial" w:cs="Arial"/>
          <w:sz w:val="28"/>
          <w:szCs w:val="28"/>
        </w:rPr>
        <w:t xml:space="preserve">, </w:t>
      </w:r>
      <w:r w:rsidR="00281319" w:rsidRPr="00CD321F">
        <w:rPr>
          <w:rFonts w:ascii="Times New Roman" w:hAnsi="Times New Roman" w:cs="Times New Roman"/>
          <w:sz w:val="28"/>
          <w:szCs w:val="28"/>
        </w:rPr>
        <w:t xml:space="preserve">non garantisce né sulla regolarità edilizia, né su quella paesaggistica di impianti sostanzialmente stabili – e come tali né precari, né stagionali – in quanto lasciati </w:t>
      </w:r>
      <w:r w:rsidR="00281319" w:rsidRPr="00CD321F">
        <w:rPr>
          <w:rFonts w:ascii="Times New Roman" w:hAnsi="Times New Roman" w:cs="Times New Roman"/>
          <w:i/>
          <w:iCs/>
          <w:sz w:val="28"/>
          <w:szCs w:val="28"/>
        </w:rPr>
        <w:t>in loco</w:t>
      </w:r>
      <w:r w:rsidR="00281319" w:rsidRPr="00CD321F">
        <w:rPr>
          <w:rFonts w:ascii="Times New Roman" w:hAnsi="Times New Roman" w:cs="Times New Roman"/>
          <w:sz w:val="28"/>
          <w:szCs w:val="28"/>
        </w:rPr>
        <w:t xml:space="preserve"> di anno in anno, pure a stabilimento balneare non in esercizio.</w:t>
      </w:r>
      <w:r w:rsidR="00281319" w:rsidRPr="00CD321F">
        <w:rPr>
          <w:rFonts w:ascii="Arial" w:hAnsi="Arial" w:cs="Arial"/>
          <w:sz w:val="28"/>
          <w:szCs w:val="28"/>
        </w:rPr>
        <w:t xml:space="preserve"> </w:t>
      </w:r>
      <w:r w:rsidR="00782EDD" w:rsidRPr="00CD321F">
        <w:rPr>
          <w:rFonts w:ascii="Times New Roman" w:hAnsi="Times New Roman" w:cs="Times New Roman"/>
          <w:sz w:val="28"/>
          <w:szCs w:val="28"/>
        </w:rPr>
        <w:t xml:space="preserve">Se si considera che l’accertata abusività dei locali destinati all’esercizio dell’attività commerciale non può non comportare la revoca dell’autorizzazione commerciale, senza che residui spazio a valutazioni di interessi o al disimpegno di attività discrezionale, atteggiandosi la revoca ad atto dovuto, ben si comprende la necessità della individuazione di uno “stato legittimo” dello stabilimento balneare quale presupposto a monte di qualsivoglia procedimento valutativo degli investimenti. In termini più generali, riferiti a qualsivoglia attività commerciale, si è affermato che il legittimo esercizio di un'attività commerciale è ancorato, sia in sede di rilascio del relativo titolo autorizzatorio, sia per l'intera durata del suo svolgimento, alla disponibilità giuridica e alla regolarità urbanistico-edilizia dei locali in cui essa viene posta in essere (cfr., </w:t>
      </w:r>
      <w:r w:rsidR="00782EDD" w:rsidRPr="00CD321F">
        <w:rPr>
          <w:rFonts w:ascii="Times New Roman" w:hAnsi="Times New Roman" w:cs="Times New Roman"/>
          <w:i/>
          <w:iCs/>
          <w:sz w:val="28"/>
          <w:szCs w:val="28"/>
        </w:rPr>
        <w:t xml:space="preserve">ex </w:t>
      </w:r>
      <w:proofErr w:type="spellStart"/>
      <w:r w:rsidR="00782EDD" w:rsidRPr="00CD321F">
        <w:rPr>
          <w:rFonts w:ascii="Times New Roman" w:hAnsi="Times New Roman" w:cs="Times New Roman"/>
          <w:i/>
          <w:iCs/>
          <w:sz w:val="28"/>
          <w:szCs w:val="28"/>
        </w:rPr>
        <w:t>multis</w:t>
      </w:r>
      <w:proofErr w:type="spellEnd"/>
      <w:r w:rsidR="00782EDD" w:rsidRPr="00CD321F">
        <w:rPr>
          <w:rFonts w:ascii="Times New Roman" w:hAnsi="Times New Roman" w:cs="Times New Roman"/>
          <w:sz w:val="28"/>
          <w:szCs w:val="28"/>
        </w:rPr>
        <w:t>, Cons</w:t>
      </w:r>
      <w:r w:rsidR="00166913" w:rsidRPr="00CD321F">
        <w:rPr>
          <w:rFonts w:ascii="Times New Roman" w:hAnsi="Times New Roman" w:cs="Times New Roman"/>
          <w:sz w:val="28"/>
          <w:szCs w:val="28"/>
        </w:rPr>
        <w:t xml:space="preserve">. </w:t>
      </w:r>
      <w:r w:rsidR="00782EDD" w:rsidRPr="00CD321F">
        <w:rPr>
          <w:rFonts w:ascii="Times New Roman" w:hAnsi="Times New Roman" w:cs="Times New Roman"/>
          <w:sz w:val="28"/>
          <w:szCs w:val="28"/>
        </w:rPr>
        <w:t xml:space="preserve">Stato, sez. VI, 23 ottobre 2015, n. 4880). </w:t>
      </w:r>
      <w:r w:rsidR="00782EDD" w:rsidRPr="00CD321F">
        <w:rPr>
          <w:rFonts w:ascii="Arial" w:hAnsi="Arial" w:cs="Arial"/>
          <w:sz w:val="28"/>
          <w:szCs w:val="28"/>
        </w:rPr>
        <w:t> </w:t>
      </w:r>
      <w:r w:rsidR="00956211" w:rsidRPr="00CD321F">
        <w:rPr>
          <w:rFonts w:ascii="Times New Roman" w:hAnsi="Times New Roman" w:cs="Times New Roman"/>
          <w:sz w:val="28"/>
          <w:szCs w:val="28"/>
        </w:rPr>
        <w:t>I</w:t>
      </w:r>
      <w:r w:rsidR="004565E8" w:rsidRPr="00CD321F">
        <w:rPr>
          <w:rFonts w:ascii="Times New Roman" w:eastAsia="Garamond  (simoncini)" w:hAnsi="Times New Roman" w:cs="Times New Roman"/>
          <w:sz w:val="28"/>
          <w:szCs w:val="28"/>
        </w:rPr>
        <w:t xml:space="preserve">l </w:t>
      </w:r>
      <w:r w:rsidR="00956211" w:rsidRPr="00CD321F">
        <w:rPr>
          <w:rFonts w:ascii="Times New Roman" w:eastAsia="Garamond  (simoncini)" w:hAnsi="Times New Roman" w:cs="Times New Roman"/>
          <w:sz w:val="28"/>
          <w:szCs w:val="28"/>
        </w:rPr>
        <w:t xml:space="preserve">d.P.R. n. 380 del 2001 include tra i casi di “nuova costruzione” anche i manufatti </w:t>
      </w:r>
      <w:r w:rsidR="004565E8" w:rsidRPr="00CD321F">
        <w:rPr>
          <w:rFonts w:ascii="Times New Roman" w:eastAsia="Garamond  (simoncini)" w:hAnsi="Times New Roman" w:cs="Times New Roman"/>
          <w:sz w:val="28"/>
          <w:szCs w:val="28"/>
        </w:rPr>
        <w:t>“</w:t>
      </w:r>
      <w:r w:rsidR="004565E8" w:rsidRPr="00CD321F">
        <w:rPr>
          <w:rFonts w:ascii="Times New Roman" w:eastAsia="Garamond" w:hAnsi="Times New Roman" w:cs="Times New Roman"/>
          <w:bCs/>
          <w:sz w:val="28"/>
          <w:szCs w:val="28"/>
        </w:rPr>
        <w:t>leggeri</w:t>
      </w:r>
      <w:r w:rsidR="004565E8" w:rsidRPr="00CD321F">
        <w:rPr>
          <w:rFonts w:ascii="Times New Roman" w:eastAsia="Garamond  (simoncini)" w:hAnsi="Times New Roman" w:cs="Times New Roman"/>
          <w:bCs/>
          <w:sz w:val="28"/>
          <w:szCs w:val="28"/>
        </w:rPr>
        <w:t>”</w:t>
      </w:r>
      <w:r w:rsidR="00956211" w:rsidRPr="00CD321F">
        <w:rPr>
          <w:rFonts w:ascii="Times New Roman" w:eastAsia="Garamond  (simoncini)" w:hAnsi="Times New Roman" w:cs="Times New Roman"/>
          <w:sz w:val="28"/>
          <w:szCs w:val="28"/>
        </w:rPr>
        <w:t xml:space="preserve">, </w:t>
      </w:r>
      <w:r w:rsidR="00782EDD" w:rsidRPr="00CD321F">
        <w:rPr>
          <w:rFonts w:ascii="Times New Roman" w:eastAsia="Garamond  (simoncini)" w:hAnsi="Times New Roman" w:cs="Times New Roman"/>
          <w:sz w:val="28"/>
          <w:szCs w:val="28"/>
        </w:rPr>
        <w:t xml:space="preserve">pure </w:t>
      </w:r>
      <w:r w:rsidR="00956211" w:rsidRPr="00CD321F">
        <w:rPr>
          <w:rFonts w:ascii="Times New Roman" w:eastAsia="Garamond  (simoncini)" w:hAnsi="Times New Roman" w:cs="Times New Roman"/>
          <w:sz w:val="28"/>
          <w:szCs w:val="28"/>
        </w:rPr>
        <w:t xml:space="preserve">prefabbricati, che </w:t>
      </w:r>
      <w:r w:rsidR="00782EDD" w:rsidRPr="00CD321F">
        <w:rPr>
          <w:rFonts w:ascii="Times New Roman" w:eastAsia="Garamond  (simoncini)" w:hAnsi="Times New Roman" w:cs="Times New Roman"/>
          <w:sz w:val="28"/>
          <w:szCs w:val="28"/>
        </w:rPr>
        <w:t xml:space="preserve">al contrario, </w:t>
      </w:r>
      <w:r w:rsidR="00956211" w:rsidRPr="00CD321F">
        <w:rPr>
          <w:rFonts w:ascii="Times New Roman" w:eastAsia="Garamond  (simoncini)" w:hAnsi="Times New Roman" w:cs="Times New Roman"/>
          <w:sz w:val="28"/>
          <w:szCs w:val="28"/>
        </w:rPr>
        <w:t>sulla base de</w:t>
      </w:r>
      <w:r w:rsidR="00782EDD" w:rsidRPr="00CD321F">
        <w:rPr>
          <w:rFonts w:ascii="Times New Roman" w:eastAsia="Garamond  (simoncini)" w:hAnsi="Times New Roman" w:cs="Times New Roman"/>
          <w:sz w:val="28"/>
          <w:szCs w:val="28"/>
        </w:rPr>
        <w:t xml:space="preserve">i principi sopra richiamati, ben potrebbero rientrare nella nozione di “facile rimozione”. </w:t>
      </w:r>
      <w:r w:rsidR="004565E8" w:rsidRPr="00CD321F">
        <w:rPr>
          <w:rFonts w:ascii="Times New Roman" w:eastAsia="Garamond  (simoncini)" w:hAnsi="Times New Roman" w:cs="Times New Roman"/>
          <w:sz w:val="28"/>
          <w:szCs w:val="28"/>
        </w:rPr>
        <w:t>L’elemento distintivo</w:t>
      </w:r>
      <w:r w:rsidR="0036160F" w:rsidRPr="00CD321F">
        <w:rPr>
          <w:rFonts w:ascii="Times New Roman" w:eastAsia="Garamond  (simoncini)" w:hAnsi="Times New Roman" w:cs="Times New Roman"/>
          <w:sz w:val="28"/>
          <w:szCs w:val="28"/>
        </w:rPr>
        <w:t xml:space="preserve"> tra nuova costruzione e attività edilizia libera è</w:t>
      </w:r>
      <w:r w:rsidR="004565E8" w:rsidRPr="00CD321F">
        <w:rPr>
          <w:rFonts w:ascii="Times New Roman" w:eastAsia="Garamond  (simoncini)" w:hAnsi="Times New Roman" w:cs="Times New Roman"/>
          <w:sz w:val="28"/>
          <w:szCs w:val="28"/>
        </w:rPr>
        <w:t xml:space="preserve"> dato </w:t>
      </w:r>
      <w:r w:rsidR="00956211" w:rsidRPr="00CD321F">
        <w:rPr>
          <w:rFonts w:ascii="Times New Roman" w:eastAsia="Garamond  (simoncini)" w:hAnsi="Times New Roman" w:cs="Times New Roman"/>
          <w:sz w:val="28"/>
          <w:szCs w:val="28"/>
        </w:rPr>
        <w:t xml:space="preserve">infatti dalla </w:t>
      </w:r>
      <w:r w:rsidR="004565E8" w:rsidRPr="00CD321F">
        <w:rPr>
          <w:rFonts w:ascii="Times New Roman" w:eastAsia="Garamond  (simoncini)" w:hAnsi="Times New Roman" w:cs="Times New Roman"/>
          <w:sz w:val="28"/>
          <w:szCs w:val="28"/>
        </w:rPr>
        <w:t>“temporaneità”, riferita all’utilizzo e non alla permanenza sul suolo o all’ancoraggio allo stesso. La permanenza limitata nel tempo consegue dunque non alla durabilità dei materiali costitutivi ma alla funzione, che deve essere strumentale a qualcos’altro. Il concetto di “funzionalità” è evidentemente diverso dal concetto di “pertinenza”, che va invece ritenuto quale asservimento funzionale e permanente ad un edificio principale. Ai fini della qualificazione di una struttura precaria come “nuova costruzione”</w:t>
      </w:r>
      <w:r w:rsidR="00956211" w:rsidRPr="00CD321F">
        <w:rPr>
          <w:rFonts w:ascii="Times New Roman" w:eastAsia="Garamond  (simoncini)" w:hAnsi="Times New Roman" w:cs="Times New Roman"/>
          <w:sz w:val="28"/>
          <w:szCs w:val="28"/>
        </w:rPr>
        <w:t xml:space="preserve">, dunque, </w:t>
      </w:r>
      <w:r w:rsidR="004565E8" w:rsidRPr="00CD321F">
        <w:rPr>
          <w:rFonts w:ascii="Times New Roman" w:eastAsia="Garamond  (simoncini)" w:hAnsi="Times New Roman" w:cs="Times New Roman"/>
          <w:sz w:val="28"/>
          <w:szCs w:val="28"/>
        </w:rPr>
        <w:t>essa deve connotarsi per la “funzione”</w:t>
      </w:r>
      <w:r w:rsidR="00956211" w:rsidRPr="00CD321F">
        <w:rPr>
          <w:rFonts w:ascii="Times New Roman" w:eastAsia="Garamond  (simoncini)" w:hAnsi="Times New Roman" w:cs="Times New Roman"/>
          <w:sz w:val="28"/>
          <w:szCs w:val="28"/>
        </w:rPr>
        <w:t xml:space="preserve">: se </w:t>
      </w:r>
      <w:r w:rsidR="004565E8" w:rsidRPr="00CD321F">
        <w:rPr>
          <w:rFonts w:ascii="Times New Roman" w:eastAsia="Garamond  (simoncini)" w:hAnsi="Times New Roman" w:cs="Times New Roman"/>
          <w:sz w:val="28"/>
          <w:szCs w:val="28"/>
        </w:rPr>
        <w:t>temporanea proprio per questa caratteristica</w:t>
      </w:r>
      <w:r w:rsidR="00956211" w:rsidRPr="00CD321F">
        <w:rPr>
          <w:rFonts w:ascii="Times New Roman" w:eastAsia="Garamond  (simoncini)" w:hAnsi="Times New Roman" w:cs="Times New Roman"/>
          <w:sz w:val="28"/>
          <w:szCs w:val="28"/>
        </w:rPr>
        <w:t xml:space="preserve"> essa sarà anche inidonea ad incidere </w:t>
      </w:r>
      <w:r w:rsidR="004565E8" w:rsidRPr="00CD321F">
        <w:rPr>
          <w:rFonts w:ascii="Times New Roman" w:eastAsia="Garamond  (simoncini)" w:hAnsi="Times New Roman" w:cs="Times New Roman"/>
          <w:sz w:val="28"/>
          <w:szCs w:val="28"/>
        </w:rPr>
        <w:t>sulla modificazione dell’uso del territorio e quindi sottratta alla valutazione di “conformità” alle norme urbanistiche e (quel che più interessa) sottratta al regime autorizzatorio. Ne consegue che le opere temporanee, nell’accezione chiarita, pur essendo indubbiamente opere di edilizia non hanno però rilevanza urbanistica. In pratica, la “chiave di lettura” dell’incidenza delle opere sul piano urbanistico-edilizio è la loro permanenza sul suolo, che le rende capaci di incidere sull’assetto del territorio.</w:t>
      </w:r>
      <w:r w:rsidR="004565E8" w:rsidRPr="00CD321F">
        <w:rPr>
          <w:rFonts w:ascii="Times New Roman" w:hAnsi="Times New Roman" w:cs="Times New Roman"/>
          <w:sz w:val="28"/>
          <w:szCs w:val="28"/>
        </w:rPr>
        <w:t xml:space="preserve"> </w:t>
      </w:r>
      <w:r w:rsidR="0036160F" w:rsidRPr="00CD321F">
        <w:rPr>
          <w:rFonts w:ascii="Times New Roman" w:hAnsi="Times New Roman" w:cs="Times New Roman"/>
          <w:sz w:val="28"/>
          <w:szCs w:val="28"/>
        </w:rPr>
        <w:t xml:space="preserve"> </w:t>
      </w:r>
      <w:r w:rsidR="004565E8" w:rsidRPr="00CD321F">
        <w:rPr>
          <w:rFonts w:ascii="Times New Roman" w:eastAsia="Garamond  (simoncini)" w:hAnsi="Times New Roman" w:cs="Times New Roman"/>
          <w:sz w:val="28"/>
          <w:szCs w:val="28"/>
        </w:rPr>
        <w:t xml:space="preserve">L’opera è o no una costruzione non in base alla temporaneità intrinseca della stessa, ma in ragione della temporaneità della sua finalità. È la finalità che qualifica l’opera: se la finalità è temporanea, l’opera è temporanea. La temporaneità va distinta anche dalla stagionalità, che integra una temporaneità per così dire ciclica, alla quale si riferiscono le lettere </w:t>
      </w:r>
      <w:r w:rsidR="004565E8" w:rsidRPr="00CD321F">
        <w:rPr>
          <w:rFonts w:ascii="Times New Roman" w:eastAsia="Garamond" w:hAnsi="Times New Roman" w:cs="Times New Roman"/>
          <w:i/>
          <w:sz w:val="28"/>
          <w:szCs w:val="28"/>
        </w:rPr>
        <w:t>e</w:t>
      </w:r>
      <w:r w:rsidR="004565E8" w:rsidRPr="00CD321F">
        <w:rPr>
          <w:rFonts w:ascii="Times New Roman" w:eastAsia="Garamond  (simoncini)" w:hAnsi="Times New Roman" w:cs="Times New Roman"/>
          <w:sz w:val="28"/>
          <w:szCs w:val="28"/>
        </w:rPr>
        <w:t xml:space="preserve">) (per le serre) e </w:t>
      </w:r>
      <w:proofErr w:type="spellStart"/>
      <w:r w:rsidR="004565E8" w:rsidRPr="00CD321F">
        <w:rPr>
          <w:rFonts w:ascii="Times New Roman" w:eastAsia="Garamond  (simoncini)" w:hAnsi="Times New Roman" w:cs="Times New Roman"/>
          <w:sz w:val="28"/>
          <w:szCs w:val="28"/>
        </w:rPr>
        <w:t>e.</w:t>
      </w:r>
      <w:r w:rsidR="004565E8" w:rsidRPr="00CD321F">
        <w:rPr>
          <w:rFonts w:ascii="Times New Roman" w:eastAsia="Garamond" w:hAnsi="Times New Roman" w:cs="Times New Roman"/>
          <w:i/>
          <w:sz w:val="28"/>
          <w:szCs w:val="28"/>
        </w:rPr>
        <w:t>bis</w:t>
      </w:r>
      <w:proofErr w:type="spellEnd"/>
      <w:r w:rsidR="004565E8" w:rsidRPr="00CD321F">
        <w:rPr>
          <w:rFonts w:ascii="Times New Roman" w:eastAsia="Garamond  (simoncini)" w:hAnsi="Times New Roman" w:cs="Times New Roman"/>
          <w:sz w:val="28"/>
          <w:szCs w:val="28"/>
        </w:rPr>
        <w:t xml:space="preserve">) (strutture tipo </w:t>
      </w:r>
      <w:r w:rsidR="004565E8" w:rsidRPr="00CD321F">
        <w:rPr>
          <w:rFonts w:ascii="Times New Roman" w:eastAsia="Garamond" w:hAnsi="Times New Roman" w:cs="Times New Roman"/>
          <w:i/>
          <w:sz w:val="28"/>
          <w:szCs w:val="28"/>
        </w:rPr>
        <w:t>dehors</w:t>
      </w:r>
      <w:r w:rsidR="004565E8" w:rsidRPr="00CD321F">
        <w:rPr>
          <w:rFonts w:ascii="Times New Roman" w:eastAsia="Garamond  (simoncini)" w:hAnsi="Times New Roman" w:cs="Times New Roman"/>
          <w:sz w:val="28"/>
          <w:szCs w:val="28"/>
        </w:rPr>
        <w:t>) dell’art. 6, relative ad attività edilizia libera. Proprio la previsione di una temporaneità predeterminata, e come tale ammessa in quanto sinonimo di stagionalità, ha evidentemente fatto emergere una lacuna nel Testo unico, ancora una volta colmata dalla casistica giurisprudenziale. La durata della finalità, infatti, cui la permanenza sul suolo è correlata, è obiettivamente variabile in funzione della finalità stessa e non è un dato assoluto. Il che non vuol dire che sia discrezionale; più semplicemente non si tratta di un dato univoco per tutte le situazioni. La natura precaria di un manufatto, cioè, non può essere desunta dalla temporaneità della destinazione “soggettivamente” data all’opera dal costruttore, ma deve ricollegarsi all’intrinseca destinazione materiale di essa a un uso realmente precario e temporaneo, per fini specifici, contingenti e limitati nel tempo, non essendo sufficiente che si tratti eventualmente di un manufatto smontabile e/o non infisso al suolo. Tuttavia, il legislatore, con riferimento al caso tipico di utilizzo temporaneo ma ciclico, ha inteso prestabilire un limite di durata, oltre il quale ha presunto l’impatto sul territorio. Il che è accaduto con la delimitazione della stagionalità di cui all’art. 6, laddove si ammette che la struttura destinata a «</w:t>
      </w:r>
      <w:r w:rsidR="004565E8" w:rsidRPr="00CD321F">
        <w:rPr>
          <w:rFonts w:ascii="Times New Roman" w:eastAsia="Garamond  (simoncini)" w:hAnsi="Times New Roman" w:cs="Times New Roman"/>
          <w:i/>
          <w:iCs/>
          <w:sz w:val="28"/>
          <w:szCs w:val="28"/>
        </w:rPr>
        <w:t>soddisfare obiettive esigenze, contingenti e temporanee</w:t>
      </w:r>
      <w:r w:rsidR="004565E8" w:rsidRPr="00CD321F">
        <w:rPr>
          <w:rFonts w:ascii="Times New Roman" w:eastAsia="Garamond  (simoncini)" w:hAnsi="Times New Roman" w:cs="Times New Roman"/>
          <w:sz w:val="28"/>
          <w:szCs w:val="28"/>
        </w:rPr>
        <w:t xml:space="preserve">», entro limiti dati, costituisca addirittura attività edilizia libera (ovvero, come meglio precisato nell’apposito paragrafo, soggetta a mera comunicazione inizio lavori). Da un lato, dunque, il legislatore ha sentito l’esigenza di positivizzare il concetto di durata della permanenza sul suolo di un manufatto, che costituisce opera edilizia; dall’altro non ha inteso farlo rimettendo all’interprete l’arduo compito di tracciare ciò che è precario da ciò che non lo è. In base al principio di residualità con cui si identificano le categorie di opere edilizie, le opere temporanee/precarie, dunque, pur essendo opere edilizie, non sono neppure “costruzioni”, sicché esse vanno ricondotte nell’ambito dell’irrilevante giuridico, non attingendo neppure il concetto di stagionalità. Al che consegue anche, </w:t>
      </w:r>
      <w:r w:rsidR="004565E8" w:rsidRPr="00CD321F">
        <w:rPr>
          <w:rFonts w:ascii="Times New Roman" w:eastAsia="Garamond  (simoncini)" w:hAnsi="Times New Roman" w:cs="Times New Roman"/>
          <w:i/>
          <w:iCs/>
          <w:sz w:val="28"/>
          <w:szCs w:val="28"/>
        </w:rPr>
        <w:t>a contrario</w:t>
      </w:r>
      <w:r w:rsidR="004565E8" w:rsidRPr="00CD321F">
        <w:rPr>
          <w:rFonts w:ascii="Times New Roman" w:eastAsia="Garamond  (simoncini)" w:hAnsi="Times New Roman" w:cs="Times New Roman"/>
          <w:sz w:val="28"/>
          <w:szCs w:val="28"/>
        </w:rPr>
        <w:t xml:space="preserve">, che il superamento del limite della stagionalità determina una presunzione di permanenza, quale non asservimento ad esigenze temporanee: in sintesi, travalicare il limite di una temporaneità indicata </w:t>
      </w:r>
      <w:proofErr w:type="spellStart"/>
      <w:r w:rsidR="004565E8" w:rsidRPr="00CD321F">
        <w:rPr>
          <w:rFonts w:ascii="Times New Roman" w:eastAsia="Garamond" w:hAnsi="Times New Roman" w:cs="Times New Roman"/>
          <w:i/>
          <w:sz w:val="28"/>
          <w:szCs w:val="28"/>
        </w:rPr>
        <w:t>ope</w:t>
      </w:r>
      <w:proofErr w:type="spellEnd"/>
      <w:r w:rsidR="004565E8" w:rsidRPr="00CD321F">
        <w:rPr>
          <w:rFonts w:ascii="Times New Roman" w:eastAsia="Garamond" w:hAnsi="Times New Roman" w:cs="Times New Roman"/>
          <w:i/>
          <w:sz w:val="28"/>
          <w:szCs w:val="28"/>
        </w:rPr>
        <w:t xml:space="preserve"> legis</w:t>
      </w:r>
      <w:r w:rsidR="004565E8" w:rsidRPr="00CD321F">
        <w:rPr>
          <w:rFonts w:ascii="Times New Roman" w:eastAsia="Garamond  (simoncini)" w:hAnsi="Times New Roman" w:cs="Times New Roman"/>
          <w:sz w:val="28"/>
          <w:szCs w:val="28"/>
        </w:rPr>
        <w:t xml:space="preserve">, mantenendo </w:t>
      </w:r>
      <w:r w:rsidR="004565E8" w:rsidRPr="00CD321F">
        <w:rPr>
          <w:rFonts w:ascii="Times New Roman" w:eastAsia="Garamond  (simoncini)" w:hAnsi="Times New Roman" w:cs="Times New Roman"/>
          <w:i/>
          <w:iCs/>
          <w:sz w:val="28"/>
          <w:szCs w:val="28"/>
        </w:rPr>
        <w:t>in loco</w:t>
      </w:r>
      <w:r w:rsidR="004565E8" w:rsidRPr="00CD321F">
        <w:rPr>
          <w:rFonts w:ascii="Times New Roman" w:eastAsia="Garamond  (simoncini)" w:hAnsi="Times New Roman" w:cs="Times New Roman"/>
          <w:sz w:val="28"/>
          <w:szCs w:val="28"/>
        </w:rPr>
        <w:t xml:space="preserve"> quanto vi poteva legittimamente essere installato, equivale ad avere realizzato, quanto meno da una certa data in poi, una nuova costruzione </w:t>
      </w:r>
      <w:r w:rsidR="004565E8" w:rsidRPr="00CD321F">
        <w:rPr>
          <w:rFonts w:ascii="Times New Roman" w:eastAsia="Garamond" w:hAnsi="Times New Roman" w:cs="Times New Roman"/>
          <w:i/>
          <w:sz w:val="28"/>
          <w:szCs w:val="28"/>
        </w:rPr>
        <w:t xml:space="preserve">sine </w:t>
      </w:r>
      <w:proofErr w:type="spellStart"/>
      <w:r w:rsidR="004565E8" w:rsidRPr="00CD321F">
        <w:rPr>
          <w:rFonts w:ascii="Times New Roman" w:eastAsia="Garamond" w:hAnsi="Times New Roman" w:cs="Times New Roman"/>
          <w:i/>
          <w:sz w:val="28"/>
          <w:szCs w:val="28"/>
        </w:rPr>
        <w:t>titulo</w:t>
      </w:r>
      <w:proofErr w:type="spellEnd"/>
      <w:r w:rsidR="004565E8" w:rsidRPr="00CD321F">
        <w:rPr>
          <w:rFonts w:ascii="Times New Roman" w:eastAsia="Garamond  (simoncini)" w:hAnsi="Times New Roman" w:cs="Times New Roman"/>
          <w:sz w:val="28"/>
          <w:szCs w:val="28"/>
        </w:rPr>
        <w:t xml:space="preserve">, giusta la lettura di temporaneità/precarietà riveniente dal combinato disposto dell’art. 3, comma 1, lett. e.5) e 6, comma 1, lett. </w:t>
      </w:r>
      <w:proofErr w:type="spellStart"/>
      <w:r w:rsidR="004565E8" w:rsidRPr="00CD321F">
        <w:rPr>
          <w:rFonts w:ascii="Times New Roman" w:eastAsia="Garamond  (simoncini)" w:hAnsi="Times New Roman" w:cs="Times New Roman"/>
          <w:sz w:val="28"/>
          <w:szCs w:val="28"/>
        </w:rPr>
        <w:t>e.</w:t>
      </w:r>
      <w:r w:rsidR="004565E8" w:rsidRPr="00CD321F">
        <w:rPr>
          <w:rFonts w:ascii="Times New Roman" w:eastAsia="Garamond" w:hAnsi="Times New Roman" w:cs="Times New Roman"/>
          <w:i/>
          <w:sz w:val="28"/>
          <w:szCs w:val="28"/>
        </w:rPr>
        <w:t>bis</w:t>
      </w:r>
      <w:proofErr w:type="spellEnd"/>
      <w:r w:rsidR="004565E8" w:rsidRPr="00CD321F">
        <w:rPr>
          <w:rFonts w:ascii="Times New Roman" w:eastAsia="Garamond  (simoncini)" w:hAnsi="Times New Roman" w:cs="Times New Roman"/>
          <w:sz w:val="28"/>
          <w:szCs w:val="28"/>
        </w:rPr>
        <w:t xml:space="preserve">). Il criterio strutturale, del mancato ancoraggio stabile al suolo, non rileva ovvero non rileva </w:t>
      </w:r>
      <w:r w:rsidR="004565E8" w:rsidRPr="00CD321F">
        <w:rPr>
          <w:rFonts w:ascii="Times New Roman" w:eastAsia="Garamond" w:hAnsi="Times New Roman" w:cs="Times New Roman"/>
          <w:i/>
          <w:sz w:val="28"/>
          <w:szCs w:val="28"/>
        </w:rPr>
        <w:t>ex se</w:t>
      </w:r>
      <w:r w:rsidR="004565E8" w:rsidRPr="00CD321F">
        <w:rPr>
          <w:rFonts w:ascii="Times New Roman" w:eastAsia="Garamond  (simoncini)" w:hAnsi="Times New Roman" w:cs="Times New Roman"/>
          <w:sz w:val="28"/>
          <w:szCs w:val="28"/>
        </w:rPr>
        <w:t>, nel senso che la sua mancanza non implica affatto che l’opera debba essere considerata sempre come precaria</w:t>
      </w:r>
      <w:r w:rsidR="0036160F" w:rsidRPr="00447D31">
        <w:rPr>
          <w:rStyle w:val="Rimandonotaapidipagina"/>
          <w:rFonts w:ascii="Times New Roman" w:eastAsia="Garamond  (simoncini)" w:hAnsi="Times New Roman" w:cs="Times New Roman"/>
          <w:sz w:val="28"/>
          <w:szCs w:val="28"/>
        </w:rPr>
        <w:footnoteReference w:id="23"/>
      </w:r>
      <w:r w:rsidR="004565E8" w:rsidRPr="00CD321F">
        <w:rPr>
          <w:rFonts w:ascii="Times New Roman" w:eastAsia="Garamond  (simoncini)" w:hAnsi="Times New Roman" w:cs="Times New Roman"/>
          <w:sz w:val="28"/>
          <w:szCs w:val="28"/>
        </w:rPr>
        <w:t>.</w:t>
      </w:r>
      <w:r w:rsidR="004565E8" w:rsidRPr="00CD321F">
        <w:rPr>
          <w:rFonts w:ascii="Times New Roman" w:hAnsi="Times New Roman" w:cs="Times New Roman"/>
          <w:sz w:val="28"/>
          <w:szCs w:val="28"/>
        </w:rPr>
        <w:fldChar w:fldCharType="begin"/>
      </w:r>
      <w:r w:rsidR="004565E8" w:rsidRPr="00CD321F">
        <w:rPr>
          <w:rFonts w:ascii="Times New Roman" w:hAnsi="Times New Roman" w:cs="Times New Roman"/>
          <w:sz w:val="28"/>
          <w:szCs w:val="28"/>
        </w:rPr>
        <w:instrText>&lt;/para&gt;</w:instrText>
      </w:r>
      <w:r w:rsidR="004565E8" w:rsidRPr="00CD321F">
        <w:rPr>
          <w:rFonts w:ascii="Times New Roman" w:hAnsi="Times New Roman" w:cs="Times New Roman"/>
          <w:sz w:val="28"/>
          <w:szCs w:val="28"/>
        </w:rPr>
        <w:fldChar w:fldCharType="end"/>
      </w:r>
      <w:r w:rsidR="004565E8" w:rsidRPr="00CD321F">
        <w:rPr>
          <w:rFonts w:ascii="Times New Roman" w:hAnsi="Times New Roman" w:cs="Times New Roman"/>
          <w:sz w:val="28"/>
          <w:szCs w:val="28"/>
        </w:rPr>
        <w:t xml:space="preserve"> </w:t>
      </w:r>
      <w:r w:rsidR="004565E8" w:rsidRPr="00CD321F">
        <w:rPr>
          <w:rFonts w:ascii="Times New Roman" w:hAnsi="Times New Roman" w:cs="Times New Roman"/>
          <w:sz w:val="28"/>
          <w:szCs w:val="28"/>
        </w:rPr>
        <w:fldChar w:fldCharType="begin"/>
      </w:r>
      <w:r w:rsidR="004565E8" w:rsidRPr="00CD321F">
        <w:rPr>
          <w:rFonts w:ascii="Times New Roman" w:hAnsi="Times New Roman" w:cs="Times New Roman"/>
          <w:sz w:val="28"/>
          <w:szCs w:val="28"/>
        </w:rPr>
        <w:instrText>&lt;infra&gt;&lt;para&gt;&lt;?xpp le;&amp;-.25d?&gt;</w:instrText>
      </w:r>
      <w:r w:rsidR="004565E8" w:rsidRPr="00CD321F">
        <w:rPr>
          <w:rFonts w:ascii="Times New Roman" w:hAnsi="Times New Roman" w:cs="Times New Roman"/>
          <w:sz w:val="28"/>
          <w:szCs w:val="28"/>
        </w:rPr>
        <w:fldChar w:fldCharType="end"/>
      </w:r>
      <w:r w:rsidR="004565E8" w:rsidRPr="00CD321F">
        <w:rPr>
          <w:rFonts w:ascii="Times New Roman" w:eastAsia="Garamond  (simoncini)" w:hAnsi="Times New Roman" w:cs="Times New Roman"/>
          <w:sz w:val="28"/>
          <w:szCs w:val="28"/>
        </w:rPr>
        <w:t>Nello stesso senso, è stato chiarito che « </w:t>
      </w:r>
      <w:r w:rsidR="004565E8" w:rsidRPr="00CD321F">
        <w:rPr>
          <w:rFonts w:ascii="Times New Roman" w:eastAsia="Garamond  (simoncini)" w:hAnsi="Times New Roman" w:cs="Times New Roman"/>
          <w:i/>
          <w:iCs/>
          <w:sz w:val="28"/>
          <w:szCs w:val="28"/>
        </w:rPr>
        <w:t>la precarietà dell’opera, che esonera dall’obbligo del possesso del permesso di costruire, ai sensi dell’art. 3, comma 1, lettera e. 5, d.P.R. n. 380 del 2001, postula infatti un uso specifico e temporalmente delimitato del bene e non ammette che lo stesso possa essere finalizzato al soddisfacimento di esigenze (non eccezionali e contingenti, ma) permanenti nel tempo. Non possono, infatti, essere considerati manufatti destinati a soddisfare esigenze meramente temporanee quelli destinati a un’utilizzazione perdurante nel tempo, di talché l’alterazione del territorio non può essere considerata temporanea, precaria o irrilevante</w:t>
      </w:r>
      <w:r w:rsidR="004565E8" w:rsidRPr="00CD321F">
        <w:rPr>
          <w:rFonts w:ascii="Times New Roman" w:eastAsia="Garamond  (simoncini)" w:hAnsi="Times New Roman" w:cs="Times New Roman"/>
          <w:sz w:val="28"/>
          <w:szCs w:val="28"/>
        </w:rPr>
        <w:t> » (Cons. Stato, sez. VII, 12 dicembre 2022, n. 10847).</w:t>
      </w:r>
      <w:r w:rsidR="004565E8" w:rsidRPr="00CD321F">
        <w:rPr>
          <w:rFonts w:ascii="Times New Roman" w:hAnsi="Times New Roman" w:cs="Times New Roman"/>
          <w:sz w:val="28"/>
          <w:szCs w:val="28"/>
        </w:rPr>
        <w:fldChar w:fldCharType="begin"/>
      </w:r>
      <w:r w:rsidR="004565E8" w:rsidRPr="00CD321F">
        <w:rPr>
          <w:rFonts w:ascii="Times New Roman" w:hAnsi="Times New Roman" w:cs="Times New Roman"/>
          <w:sz w:val="28"/>
          <w:szCs w:val="28"/>
        </w:rPr>
        <w:instrText>&lt;/para&gt;&lt;/infra&gt;</w:instrText>
      </w:r>
      <w:r w:rsidR="004565E8" w:rsidRPr="00CD321F">
        <w:rPr>
          <w:rFonts w:ascii="Times New Roman" w:hAnsi="Times New Roman" w:cs="Times New Roman"/>
          <w:sz w:val="28"/>
          <w:szCs w:val="28"/>
        </w:rPr>
        <w:fldChar w:fldCharType="end"/>
      </w:r>
      <w:r w:rsidR="004565E8" w:rsidRPr="00CD321F">
        <w:rPr>
          <w:rFonts w:ascii="Times New Roman" w:hAnsi="Times New Roman" w:cs="Times New Roman"/>
        </w:rPr>
        <w:t xml:space="preserve"> </w:t>
      </w:r>
      <w:r w:rsidRPr="00CD321F">
        <w:rPr>
          <w:rFonts w:ascii="Times New Roman" w:hAnsi="Times New Roman" w:cs="Times New Roman"/>
          <w:sz w:val="28"/>
          <w:szCs w:val="28"/>
        </w:rPr>
        <w:t xml:space="preserve">A conferma dell’utilizzo di un codice espressivo del tutto disallineato, si colloca la </w:t>
      </w:r>
      <w:r w:rsidR="00956211" w:rsidRPr="00CD321F">
        <w:rPr>
          <w:rFonts w:ascii="Times New Roman" w:hAnsi="Times New Roman" w:cs="Times New Roman"/>
          <w:sz w:val="28"/>
          <w:szCs w:val="28"/>
        </w:rPr>
        <w:t>già ricordata previsione del comma 3-</w:t>
      </w:r>
      <w:r w:rsidR="00956211" w:rsidRPr="00CD321F">
        <w:rPr>
          <w:rFonts w:ascii="Times New Roman" w:hAnsi="Times New Roman" w:cs="Times New Roman"/>
          <w:i/>
          <w:iCs/>
          <w:sz w:val="28"/>
          <w:szCs w:val="28"/>
        </w:rPr>
        <w:t>bis</w:t>
      </w:r>
      <w:r w:rsidR="00956211" w:rsidRPr="00CD321F">
        <w:rPr>
          <w:rFonts w:ascii="Times New Roman" w:hAnsi="Times New Roman" w:cs="Times New Roman"/>
          <w:sz w:val="28"/>
          <w:szCs w:val="28"/>
        </w:rPr>
        <w:t xml:space="preserve"> dell’art. 3 della legge n. 118 del 2022: nel prevedere la possibilità di mantenimento delle opere precarie di cui all’art. 3, lettera e.5)</w:t>
      </w:r>
      <w:r w:rsidRPr="00CD321F">
        <w:rPr>
          <w:rFonts w:ascii="Times New Roman" w:hAnsi="Times New Roman" w:cs="Times New Roman"/>
          <w:sz w:val="28"/>
          <w:szCs w:val="28"/>
        </w:rPr>
        <w:t xml:space="preserve"> – espressamente richiamato – </w:t>
      </w:r>
      <w:r w:rsidR="00956211" w:rsidRPr="00CD321F">
        <w:rPr>
          <w:rFonts w:ascii="Times New Roman" w:hAnsi="Times New Roman" w:cs="Times New Roman"/>
          <w:sz w:val="28"/>
          <w:szCs w:val="28"/>
        </w:rPr>
        <w:t xml:space="preserve"> oltre la stagionalità e per tutta la durata delle “proroghe” (c</w:t>
      </w:r>
      <w:r w:rsidR="00BD05BF" w:rsidRPr="00CD321F">
        <w:rPr>
          <w:rFonts w:ascii="Times New Roman" w:hAnsi="Times New Roman" w:cs="Times New Roman"/>
          <w:sz w:val="28"/>
          <w:szCs w:val="28"/>
        </w:rPr>
        <w:t>omunque le si voglia qualificare, ovvero “tecniche” o “mere”</w:t>
      </w:r>
      <w:r w:rsidRPr="00CD321F">
        <w:rPr>
          <w:rFonts w:ascii="Times New Roman" w:hAnsi="Times New Roman" w:cs="Times New Roman"/>
          <w:sz w:val="28"/>
          <w:szCs w:val="28"/>
        </w:rPr>
        <w:t>)</w:t>
      </w:r>
      <w:r w:rsidR="00BD05BF" w:rsidRPr="00CD321F">
        <w:rPr>
          <w:rFonts w:ascii="Times New Roman" w:hAnsi="Times New Roman" w:cs="Times New Roman"/>
          <w:sz w:val="28"/>
          <w:szCs w:val="28"/>
        </w:rPr>
        <w:t xml:space="preserve"> il legislatore </w:t>
      </w:r>
      <w:r w:rsidRPr="00CD321F">
        <w:rPr>
          <w:rFonts w:ascii="Times New Roman" w:hAnsi="Times New Roman" w:cs="Times New Roman"/>
          <w:sz w:val="28"/>
          <w:szCs w:val="28"/>
        </w:rPr>
        <w:t xml:space="preserve">dimentica la caratteristica ontologica delle stesse. Trattandosi di esempi di “nuova costruzione”, che necessita di permesso di costruire per poter essere installata, tali opere/impianti, seppure di facile rimozione, ben potevano anche in precedenza rimanere sul suolo oltre la stagionalità, essendo la loro intrinseca caratteristica proprio la mancanza di destinazione funzionale temporanea. </w:t>
      </w:r>
      <w:r w:rsidR="00182F90" w:rsidRPr="00CD321F">
        <w:rPr>
          <w:rFonts w:ascii="Times New Roman" w:hAnsi="Times New Roman" w:cs="Times New Roman"/>
          <w:sz w:val="28"/>
          <w:szCs w:val="28"/>
        </w:rPr>
        <w:t xml:space="preserve">Presumibilmente l’intento era quello di dare continuità alla corresponsione del canone, ovvero di valorizzare, mediante il richiamo, l’inciso derogatorio (ovvero la non riconducibilità a nuova costruzione delle strutture precarie destinate </w:t>
      </w:r>
      <w:r w:rsidR="00182F90" w:rsidRPr="00CD321F">
        <w:rPr>
          <w:rFonts w:ascii="Arial" w:hAnsi="Arial" w:cs="Arial"/>
          <w:sz w:val="28"/>
          <w:szCs w:val="28"/>
        </w:rPr>
        <w:t>«</w:t>
      </w:r>
      <w:r w:rsidR="00182F90" w:rsidRPr="00CD321F">
        <w:rPr>
          <w:rFonts w:ascii="Times New Roman" w:hAnsi="Times New Roman" w:cs="Times New Roman"/>
          <w:i/>
          <w:iCs/>
          <w:sz w:val="28"/>
          <w:szCs w:val="28"/>
        </w:rPr>
        <w:t>a soddisfare esigenze meramente temporanee</w:t>
      </w:r>
      <w:r w:rsidR="00182F90" w:rsidRPr="00CD321F">
        <w:rPr>
          <w:rFonts w:ascii="Arial" w:hAnsi="Arial" w:cs="Arial"/>
          <w:sz w:val="28"/>
          <w:szCs w:val="28"/>
        </w:rPr>
        <w:t xml:space="preserve">»). </w:t>
      </w:r>
      <w:r w:rsidR="00182F90" w:rsidRPr="00CD321F">
        <w:rPr>
          <w:rFonts w:ascii="Times New Roman" w:hAnsi="Times New Roman" w:cs="Times New Roman"/>
          <w:sz w:val="28"/>
          <w:szCs w:val="28"/>
        </w:rPr>
        <w:t xml:space="preserve">Ma a quel punto più correttamente si sarebbe dovuto evocare l’art. 6 del </w:t>
      </w:r>
      <w:proofErr w:type="spellStart"/>
      <w:r w:rsidR="00182F90" w:rsidRPr="00CD321F">
        <w:rPr>
          <w:rFonts w:ascii="Times New Roman" w:hAnsi="Times New Roman" w:cs="Times New Roman"/>
          <w:sz w:val="28"/>
          <w:szCs w:val="28"/>
        </w:rPr>
        <w:t>T.u.ed</w:t>
      </w:r>
      <w:proofErr w:type="spellEnd"/>
      <w:r w:rsidR="00182F90" w:rsidRPr="00CD321F">
        <w:rPr>
          <w:rFonts w:ascii="Times New Roman" w:hAnsi="Times New Roman" w:cs="Times New Roman"/>
          <w:sz w:val="28"/>
          <w:szCs w:val="28"/>
        </w:rPr>
        <w:t xml:space="preserve">. Il disallineamento fra aspetti concessori, tutt’affatto assorbenti della regolarità di tutto ciò che venga installato in funzione dell’acquisito diritto all’uso del suolo pubblico, e aspetti di regolarità urbanistico-edilizia non a caso, per quanto consta, è alla base della riscontrata difficoltà pratica di perfezionamento di molte pratiche di incameramento. La tutela degli “investimenti”, pertanto, dovrà fare necessariamente i conti anche con tali possibili criticità. </w:t>
      </w:r>
    </w:p>
    <w:p w14:paraId="33FCF4B3" w14:textId="77777777" w:rsidR="00A42CE7" w:rsidRPr="00C2667C" w:rsidRDefault="00A42CE7" w:rsidP="00C2667C">
      <w:pPr>
        <w:pStyle w:val="Paragrafoelenco"/>
        <w:spacing w:line="288" w:lineRule="auto"/>
        <w:ind w:left="284" w:right="140"/>
        <w:jc w:val="both"/>
        <w:rPr>
          <w:rFonts w:ascii="Times New Roman" w:hAnsi="Times New Roman" w:cs="Times New Roman"/>
          <w:b/>
          <w:bCs/>
          <w:sz w:val="28"/>
          <w:szCs w:val="28"/>
        </w:rPr>
      </w:pPr>
    </w:p>
    <w:p w14:paraId="50AA2F0B" w14:textId="6FB6F431" w:rsidR="00AD4599" w:rsidRPr="00CD321F" w:rsidRDefault="00CE654C" w:rsidP="00A42CE7">
      <w:pPr>
        <w:pStyle w:val="Paragrafoelenco"/>
        <w:numPr>
          <w:ilvl w:val="0"/>
          <w:numId w:val="14"/>
        </w:numPr>
        <w:spacing w:line="288" w:lineRule="auto"/>
        <w:ind w:left="284" w:right="140" w:firstLine="0"/>
        <w:jc w:val="both"/>
        <w:rPr>
          <w:rFonts w:ascii="Times New Roman" w:hAnsi="Times New Roman" w:cs="Times New Roman"/>
          <w:b/>
          <w:bCs/>
          <w:sz w:val="28"/>
          <w:szCs w:val="28"/>
        </w:rPr>
      </w:pPr>
      <w:r w:rsidRPr="00CD321F">
        <w:rPr>
          <w:rFonts w:ascii="Times New Roman" w:hAnsi="Times New Roman" w:cs="Times New Roman"/>
          <w:b/>
          <w:bCs/>
          <w:sz w:val="28"/>
          <w:szCs w:val="28"/>
        </w:rPr>
        <w:t>Conclusioni</w:t>
      </w:r>
      <w:r w:rsidRPr="00CD321F">
        <w:rPr>
          <w:rFonts w:ascii="Times New Roman" w:hAnsi="Times New Roman" w:cs="Times New Roman"/>
          <w:sz w:val="28"/>
          <w:szCs w:val="28"/>
        </w:rPr>
        <w:t xml:space="preserve">. </w:t>
      </w:r>
      <w:r w:rsidR="00893DF0" w:rsidRPr="00CD321F">
        <w:rPr>
          <w:rFonts w:ascii="Times New Roman" w:hAnsi="Times New Roman" w:cs="Times New Roman"/>
          <w:sz w:val="28"/>
          <w:szCs w:val="28"/>
        </w:rPr>
        <w:t>Le</w:t>
      </w:r>
      <w:r w:rsidR="00182F90" w:rsidRPr="00CD321F">
        <w:rPr>
          <w:rFonts w:ascii="Times New Roman" w:hAnsi="Times New Roman" w:cs="Times New Roman"/>
          <w:sz w:val="28"/>
          <w:szCs w:val="28"/>
        </w:rPr>
        <w:t xml:space="preserve"> perplessità evidenziate</w:t>
      </w:r>
      <w:r w:rsidR="00893DF0" w:rsidRPr="00CD321F">
        <w:rPr>
          <w:rFonts w:ascii="Times New Roman" w:hAnsi="Times New Roman" w:cs="Times New Roman"/>
          <w:sz w:val="28"/>
          <w:szCs w:val="28"/>
        </w:rPr>
        <w:t xml:space="preserve"> sull’attuale cornice regolatoria della possibilità di indennizzare i concessionari uscenti </w:t>
      </w:r>
      <w:r w:rsidR="00182F90" w:rsidRPr="00CD321F">
        <w:rPr>
          <w:rFonts w:ascii="Times New Roman" w:hAnsi="Times New Roman" w:cs="Times New Roman"/>
          <w:sz w:val="28"/>
          <w:szCs w:val="28"/>
        </w:rPr>
        <w:t>non nascono, evidentemente</w:t>
      </w:r>
      <w:r w:rsidR="00893DF0" w:rsidRPr="00CD321F">
        <w:rPr>
          <w:rFonts w:ascii="Times New Roman" w:hAnsi="Times New Roman" w:cs="Times New Roman"/>
          <w:sz w:val="28"/>
          <w:szCs w:val="28"/>
        </w:rPr>
        <w:t>, da mero spirito critico, ma dalla preoccupazione che, nel lodevole intento di salvaguardare tal</w:t>
      </w:r>
      <w:r w:rsidR="00166913" w:rsidRPr="00CD321F">
        <w:rPr>
          <w:rFonts w:ascii="Times New Roman" w:hAnsi="Times New Roman" w:cs="Times New Roman"/>
          <w:sz w:val="28"/>
          <w:szCs w:val="28"/>
        </w:rPr>
        <w:t>i</w:t>
      </w:r>
      <w:r w:rsidR="00893DF0" w:rsidRPr="00CD321F">
        <w:rPr>
          <w:rFonts w:ascii="Times New Roman" w:hAnsi="Times New Roman" w:cs="Times New Roman"/>
          <w:sz w:val="28"/>
          <w:szCs w:val="28"/>
        </w:rPr>
        <w:t xml:space="preserve"> peculiarità locali di eccellenza, si finisca per perpetrare, da ulteriori e ancor più gravi angolazioni, gli errori del passato. È la cristallizzazione nel tempo delle situazioni e la loro formale legittimazione da parte degli Enti territoriali – ma ancor prima, da parte delle strutture ministeriali – che ha ingenerato l’erronea visione di una potenziale gestione proprietaria, tramandabile di padre in figlio, ovvero negoziabile sì da trarne profitti che superano ampiamente le soglie di redditività di una piccola media impresa. Anzi, a ben guardare, l’esasperata enfatizzazione della futura remuneratività degli investimenti non solo ha determinato il proliferare di questi ultimi, in verità, per quanto si </w:t>
      </w:r>
      <w:r w:rsidR="00166913" w:rsidRPr="00CD321F">
        <w:rPr>
          <w:rFonts w:ascii="Times New Roman" w:hAnsi="Times New Roman" w:cs="Times New Roman"/>
          <w:sz w:val="28"/>
          <w:szCs w:val="28"/>
        </w:rPr>
        <w:t>ritiene,</w:t>
      </w:r>
      <w:r w:rsidR="00893DF0" w:rsidRPr="00CD321F">
        <w:rPr>
          <w:rFonts w:ascii="Times New Roman" w:hAnsi="Times New Roman" w:cs="Times New Roman"/>
          <w:sz w:val="28"/>
          <w:szCs w:val="28"/>
        </w:rPr>
        <w:t xml:space="preserve"> decisamente “fuori tempo massimo”, ma finisce per avvantaggiare proprio assetti societari con capacità finanziarie non comuni, per contro penalizzando le piccole gestioni familiari, più difficilmente in grado di far fronte a siffatta tipologia di concorrenza. In che misura, poi, ciò si risolverà anche, soprattutto in talune zone, in un vantaggio per l’utenza, anziché, al contrario, in un generalizzato aumento dei costi dei servizi per assicurarsene la remuneratività, lo diranno solo gli esiti delle procedure evidenziali. Far partire la macchina dell’evidenza pubblica, dunque, non è stato né semplice, né scontato: farla inceppare nuovamente in ragione di ulteriori, potenziali violazioni </w:t>
      </w:r>
      <w:proofErr w:type="spellStart"/>
      <w:r w:rsidR="00893DF0" w:rsidRPr="00CD321F">
        <w:rPr>
          <w:rFonts w:ascii="Times New Roman" w:hAnsi="Times New Roman" w:cs="Times New Roman"/>
          <w:sz w:val="28"/>
          <w:szCs w:val="28"/>
        </w:rPr>
        <w:t>unionali</w:t>
      </w:r>
      <w:proofErr w:type="spellEnd"/>
      <w:r w:rsidR="00893DF0" w:rsidRPr="00CD321F">
        <w:rPr>
          <w:rFonts w:ascii="Times New Roman" w:hAnsi="Times New Roman" w:cs="Times New Roman"/>
          <w:sz w:val="28"/>
          <w:szCs w:val="28"/>
        </w:rPr>
        <w:t xml:space="preserve">, sarebbe addirittura devastante. Non è casuale, ad oggi, il proliferare dei contenziosi promossi dall’AGCM avverso bandi di gara comunque orientati a favorire in qualche modo gli attuali titolari, nella comprensibile preoccupazione da parte dei governi locali di far perdere attrattività </w:t>
      </w:r>
      <w:r w:rsidR="000E70C9" w:rsidRPr="00CD321F">
        <w:rPr>
          <w:rFonts w:ascii="Times New Roman" w:hAnsi="Times New Roman" w:cs="Times New Roman"/>
          <w:sz w:val="28"/>
          <w:szCs w:val="28"/>
        </w:rPr>
        <w:t xml:space="preserve">consolidata ai propri territori. L’aver creato una sorta </w:t>
      </w:r>
      <w:r w:rsidR="00CA3576" w:rsidRPr="00CD321F">
        <w:rPr>
          <w:rFonts w:ascii="Times New Roman" w:hAnsi="Times New Roman" w:cs="Times New Roman"/>
          <w:sz w:val="28"/>
          <w:szCs w:val="28"/>
        </w:rPr>
        <w:t xml:space="preserve">di diritto potestativo </w:t>
      </w:r>
      <w:r w:rsidR="000E70C9" w:rsidRPr="00CD321F">
        <w:rPr>
          <w:rFonts w:ascii="Times New Roman" w:hAnsi="Times New Roman" w:cs="Times New Roman"/>
          <w:sz w:val="28"/>
          <w:szCs w:val="28"/>
        </w:rPr>
        <w:t xml:space="preserve">all’indennizzo, a seconda di come verrà declinato, potrà divenire un indebito diritto potestativo </w:t>
      </w:r>
      <w:r w:rsidR="00CA3576" w:rsidRPr="00CD321F">
        <w:rPr>
          <w:rFonts w:ascii="Times New Roman" w:hAnsi="Times New Roman" w:cs="Times New Roman"/>
          <w:sz w:val="28"/>
          <w:szCs w:val="28"/>
        </w:rPr>
        <w:t>all</w:t>
      </w:r>
      <w:r w:rsidR="000E70C9" w:rsidRPr="00CD321F">
        <w:rPr>
          <w:rFonts w:ascii="Times New Roman" w:hAnsi="Times New Roman" w:cs="Times New Roman"/>
          <w:sz w:val="28"/>
          <w:szCs w:val="28"/>
        </w:rPr>
        <w:t>’</w:t>
      </w:r>
      <w:r w:rsidR="00CA3576" w:rsidRPr="00CD321F">
        <w:rPr>
          <w:rFonts w:ascii="Times New Roman" w:hAnsi="Times New Roman" w:cs="Times New Roman"/>
          <w:sz w:val="28"/>
          <w:szCs w:val="28"/>
        </w:rPr>
        <w:t>alterazione della concorrenza</w:t>
      </w:r>
      <w:r w:rsidR="000E70C9" w:rsidRPr="00CD321F">
        <w:rPr>
          <w:rFonts w:ascii="Times New Roman" w:hAnsi="Times New Roman" w:cs="Times New Roman"/>
          <w:sz w:val="28"/>
          <w:szCs w:val="28"/>
        </w:rPr>
        <w:t xml:space="preserve"> </w:t>
      </w:r>
      <w:r w:rsidR="00CA3576" w:rsidRPr="00CD321F">
        <w:rPr>
          <w:rFonts w:ascii="Times New Roman" w:hAnsi="Times New Roman" w:cs="Times New Roman"/>
          <w:sz w:val="28"/>
          <w:szCs w:val="28"/>
        </w:rPr>
        <w:t>a favore del concessionario uscente.</w:t>
      </w:r>
      <w:r w:rsidR="000E70C9" w:rsidRPr="00CD321F">
        <w:rPr>
          <w:rFonts w:ascii="Times New Roman" w:hAnsi="Times New Roman" w:cs="Times New Roman"/>
          <w:sz w:val="28"/>
          <w:szCs w:val="28"/>
        </w:rPr>
        <w:t xml:space="preserve"> L’unico modo per evitare di far sì che ciò accada, come si è cercato di chiarire, è evitare gli automatismi e chiarire il momento finale di valutabilità degli investimenti. Al contrario, una generalizzata considerazione degli stessi, pure ove effettuati dopo la previsione del 2024 e a ridosso della scadenza, “spostata” in avanti fino alla nuova aggiudicazione, può addirittura determinare che l’operatore economico “gonfi” </w:t>
      </w:r>
      <w:r w:rsidR="00CA3576" w:rsidRPr="00CD321F">
        <w:rPr>
          <w:rFonts w:ascii="Times New Roman" w:hAnsi="Times New Roman" w:cs="Times New Roman"/>
          <w:sz w:val="28"/>
          <w:szCs w:val="28"/>
        </w:rPr>
        <w:t xml:space="preserve">legittimamente il </w:t>
      </w:r>
      <w:r w:rsidR="000E70C9" w:rsidRPr="00CD321F">
        <w:rPr>
          <w:rFonts w:ascii="Times New Roman" w:hAnsi="Times New Roman" w:cs="Times New Roman"/>
          <w:sz w:val="28"/>
          <w:szCs w:val="28"/>
        </w:rPr>
        <w:t>“</w:t>
      </w:r>
      <w:r w:rsidR="00CA3576" w:rsidRPr="00CD321F">
        <w:rPr>
          <w:rFonts w:ascii="Times New Roman" w:hAnsi="Times New Roman" w:cs="Times New Roman"/>
          <w:sz w:val="28"/>
          <w:szCs w:val="28"/>
        </w:rPr>
        <w:t>valore non ammortizzato</w:t>
      </w:r>
      <w:r w:rsidR="000E70C9" w:rsidRPr="00CD321F">
        <w:rPr>
          <w:rFonts w:ascii="Times New Roman" w:hAnsi="Times New Roman" w:cs="Times New Roman"/>
          <w:sz w:val="28"/>
          <w:szCs w:val="28"/>
        </w:rPr>
        <w:t>”</w:t>
      </w:r>
      <w:r w:rsidR="00CA3576" w:rsidRPr="00CD321F">
        <w:rPr>
          <w:rFonts w:ascii="Times New Roman" w:hAnsi="Times New Roman" w:cs="Times New Roman"/>
          <w:sz w:val="28"/>
          <w:szCs w:val="28"/>
        </w:rPr>
        <w:t xml:space="preserve"> e, di conseguenza, l</w:t>
      </w:r>
      <w:r w:rsidR="000E70C9" w:rsidRPr="00CD321F">
        <w:rPr>
          <w:rFonts w:ascii="Times New Roman" w:hAnsi="Times New Roman" w:cs="Times New Roman"/>
          <w:sz w:val="28"/>
          <w:szCs w:val="28"/>
        </w:rPr>
        <w:t>’</w:t>
      </w:r>
      <w:r w:rsidR="00CA3576" w:rsidRPr="00CD321F">
        <w:rPr>
          <w:rFonts w:ascii="Times New Roman" w:hAnsi="Times New Roman" w:cs="Times New Roman"/>
          <w:sz w:val="28"/>
          <w:szCs w:val="28"/>
        </w:rPr>
        <w:t>importo dell</w:t>
      </w:r>
      <w:r w:rsidR="000E70C9" w:rsidRPr="00CD321F">
        <w:rPr>
          <w:rFonts w:ascii="Times New Roman" w:hAnsi="Times New Roman" w:cs="Times New Roman"/>
          <w:sz w:val="28"/>
          <w:szCs w:val="28"/>
        </w:rPr>
        <w:t>’</w:t>
      </w:r>
      <w:r w:rsidR="00CA3576" w:rsidRPr="00CD321F">
        <w:rPr>
          <w:rFonts w:ascii="Times New Roman" w:hAnsi="Times New Roman" w:cs="Times New Roman"/>
          <w:sz w:val="28"/>
          <w:szCs w:val="28"/>
        </w:rPr>
        <w:t xml:space="preserve">indennizzo che qualunque altro concorrente dovrà mettere a </w:t>
      </w:r>
      <w:r w:rsidR="00CA3576" w:rsidRPr="00CD321F">
        <w:rPr>
          <w:rFonts w:ascii="Times New Roman" w:hAnsi="Times New Roman" w:cs="Times New Roman"/>
          <w:i/>
          <w:iCs/>
          <w:sz w:val="28"/>
          <w:szCs w:val="28"/>
        </w:rPr>
        <w:t xml:space="preserve">budget </w:t>
      </w:r>
      <w:r w:rsidR="00CA3576" w:rsidRPr="00CD321F">
        <w:rPr>
          <w:rFonts w:ascii="Times New Roman" w:hAnsi="Times New Roman" w:cs="Times New Roman"/>
          <w:sz w:val="28"/>
          <w:szCs w:val="28"/>
        </w:rPr>
        <w:t>per partecipare. Non solo: l</w:t>
      </w:r>
      <w:r w:rsidR="000E70C9" w:rsidRPr="00CD321F">
        <w:rPr>
          <w:rFonts w:ascii="Times New Roman" w:hAnsi="Times New Roman" w:cs="Times New Roman"/>
          <w:sz w:val="28"/>
          <w:szCs w:val="28"/>
        </w:rPr>
        <w:t>’</w:t>
      </w:r>
      <w:r w:rsidR="00CA3576" w:rsidRPr="00CD321F">
        <w:rPr>
          <w:rFonts w:ascii="Times New Roman" w:hAnsi="Times New Roman" w:cs="Times New Roman"/>
          <w:sz w:val="28"/>
          <w:szCs w:val="28"/>
        </w:rPr>
        <w:t>assenza di requisiti di appropriatezza</w:t>
      </w:r>
      <w:r w:rsidR="000E70C9" w:rsidRPr="00CD321F">
        <w:rPr>
          <w:rFonts w:ascii="Times New Roman" w:hAnsi="Times New Roman" w:cs="Times New Roman"/>
          <w:sz w:val="28"/>
          <w:szCs w:val="28"/>
        </w:rPr>
        <w:t xml:space="preserve"> e</w:t>
      </w:r>
      <w:r w:rsidR="00CA3576" w:rsidRPr="00CD321F">
        <w:rPr>
          <w:rFonts w:ascii="Times New Roman" w:hAnsi="Times New Roman" w:cs="Times New Roman"/>
          <w:sz w:val="28"/>
          <w:szCs w:val="28"/>
        </w:rPr>
        <w:t xml:space="preserve"> proporzionalità </w:t>
      </w:r>
      <w:r w:rsidR="000E70C9" w:rsidRPr="00CD321F">
        <w:rPr>
          <w:rFonts w:ascii="Times New Roman" w:hAnsi="Times New Roman" w:cs="Times New Roman"/>
          <w:sz w:val="28"/>
          <w:szCs w:val="28"/>
        </w:rPr>
        <w:t xml:space="preserve">si aggiunge al mancato chiarimento del </w:t>
      </w:r>
      <w:r w:rsidR="00CA3576" w:rsidRPr="00CD321F">
        <w:rPr>
          <w:rFonts w:ascii="Times New Roman" w:hAnsi="Times New Roman" w:cs="Times New Roman"/>
          <w:sz w:val="28"/>
          <w:szCs w:val="28"/>
        </w:rPr>
        <w:t xml:space="preserve">tempo degli investimenti, </w:t>
      </w:r>
      <w:r w:rsidR="000E70C9" w:rsidRPr="00CD321F">
        <w:rPr>
          <w:rFonts w:ascii="Times New Roman" w:hAnsi="Times New Roman" w:cs="Times New Roman"/>
          <w:sz w:val="28"/>
          <w:szCs w:val="28"/>
        </w:rPr>
        <w:t xml:space="preserve">determinando </w:t>
      </w:r>
      <w:r w:rsidR="00CA3576" w:rsidRPr="00CD321F">
        <w:rPr>
          <w:rFonts w:ascii="Times New Roman" w:hAnsi="Times New Roman" w:cs="Times New Roman"/>
          <w:sz w:val="28"/>
          <w:szCs w:val="28"/>
        </w:rPr>
        <w:t xml:space="preserve">una discrezionalità assoluta di intervento e della conseguente </w:t>
      </w:r>
      <w:r w:rsidR="00166913" w:rsidRPr="00CD321F">
        <w:rPr>
          <w:rFonts w:ascii="Times New Roman" w:hAnsi="Times New Roman" w:cs="Times New Roman"/>
          <w:sz w:val="28"/>
          <w:szCs w:val="28"/>
        </w:rPr>
        <w:t>“alterazione</w:t>
      </w:r>
      <w:r w:rsidR="00CA3576" w:rsidRPr="00CD321F">
        <w:rPr>
          <w:rFonts w:ascii="Times New Roman" w:hAnsi="Times New Roman" w:cs="Times New Roman"/>
          <w:sz w:val="28"/>
          <w:szCs w:val="28"/>
        </w:rPr>
        <w:t>” dei parametri della gara, in capo al concessionario uscente, che non ha pari nella attuale legislazione italiana.</w:t>
      </w:r>
      <w:r w:rsidR="00AD4599" w:rsidRPr="00CD321F">
        <w:rPr>
          <w:rFonts w:ascii="Times New Roman" w:hAnsi="Times New Roman" w:cs="Times New Roman"/>
          <w:sz w:val="28"/>
          <w:szCs w:val="28"/>
        </w:rPr>
        <w:t xml:space="preserve"> </w:t>
      </w:r>
      <w:r w:rsidR="000E70C9" w:rsidRPr="00CD321F">
        <w:rPr>
          <w:rFonts w:ascii="Times New Roman" w:hAnsi="Times New Roman" w:cs="Times New Roman"/>
          <w:sz w:val="28"/>
          <w:szCs w:val="28"/>
        </w:rPr>
        <w:t xml:space="preserve">Il tutto peraltro dovendo confrontarsi, anche per il passato, con “investimenti” concretizzati in opere “di facile rimozione”, e dunque non soggette ad incameramento, sicché ipotizzarne il ristoro </w:t>
      </w:r>
      <w:r w:rsidR="003F09E3" w:rsidRPr="00CD321F">
        <w:rPr>
          <w:rFonts w:ascii="Times New Roman" w:hAnsi="Times New Roman" w:cs="Times New Roman"/>
          <w:sz w:val="28"/>
          <w:szCs w:val="28"/>
        </w:rPr>
        <w:t>implica un ulteriore salto logico-motivazionale che egualmente non sarà semplice da effettuare. Pure laddove, andando a valutare in concreto, l’opera si rivelerà tutt’affatto che “rimuovibile” senza che se ne perda totalmente il valore commerciale e la futura possibilità di utilizzo.</w:t>
      </w:r>
      <w:r w:rsidR="000E70C9" w:rsidRPr="00CD321F">
        <w:rPr>
          <w:rFonts w:ascii="Times New Roman" w:hAnsi="Times New Roman" w:cs="Times New Roman"/>
          <w:sz w:val="28"/>
          <w:szCs w:val="28"/>
        </w:rPr>
        <w:t xml:space="preserve"> </w:t>
      </w:r>
    </w:p>
    <w:p w14:paraId="273CD715" w14:textId="4DB9F839" w:rsidR="00CD321F" w:rsidRDefault="00AD4599" w:rsidP="00A42CE7">
      <w:pPr>
        <w:spacing w:line="288" w:lineRule="auto"/>
        <w:ind w:left="284" w:right="140"/>
        <w:jc w:val="right"/>
        <w:rPr>
          <w:rFonts w:ascii="Times New Roman" w:hAnsi="Times New Roman" w:cs="Times New Roman"/>
          <w:b/>
          <w:bCs/>
          <w:sz w:val="28"/>
          <w:szCs w:val="28"/>
        </w:rPr>
      </w:pPr>
      <w:r>
        <w:rPr>
          <w:rFonts w:ascii="Times New Roman" w:hAnsi="Times New Roman" w:cs="Times New Roman"/>
          <w:b/>
          <w:bCs/>
          <w:sz w:val="28"/>
          <w:szCs w:val="28"/>
        </w:rPr>
        <w:t xml:space="preserve">Antonella </w:t>
      </w:r>
      <w:r w:rsidRPr="00AD4599">
        <w:rPr>
          <w:rFonts w:ascii="Times New Roman" w:hAnsi="Times New Roman" w:cs="Times New Roman"/>
          <w:b/>
          <w:bCs/>
          <w:sz w:val="28"/>
          <w:szCs w:val="28"/>
        </w:rPr>
        <w:t xml:space="preserve">MANZIONE </w:t>
      </w:r>
    </w:p>
    <w:p w14:paraId="436B0A4F" w14:textId="77777777" w:rsidR="00A42CE7" w:rsidRDefault="00AD4599" w:rsidP="00A42CE7">
      <w:pPr>
        <w:spacing w:line="288" w:lineRule="auto"/>
        <w:ind w:left="284" w:right="140"/>
        <w:jc w:val="right"/>
        <w:rPr>
          <w:rFonts w:ascii="Times New Roman" w:hAnsi="Times New Roman" w:cs="Times New Roman"/>
          <w:b/>
          <w:bCs/>
          <w:sz w:val="28"/>
          <w:szCs w:val="28"/>
        </w:rPr>
      </w:pPr>
      <w:r>
        <w:rPr>
          <w:rFonts w:ascii="Times New Roman" w:hAnsi="Times New Roman" w:cs="Times New Roman"/>
          <w:b/>
          <w:bCs/>
          <w:sz w:val="28"/>
          <w:szCs w:val="28"/>
        </w:rPr>
        <w:t>Consigliere di Stato</w:t>
      </w:r>
    </w:p>
    <w:p w14:paraId="46068AC0" w14:textId="7C774F50" w:rsidR="0019452B" w:rsidRPr="0019452B" w:rsidRDefault="00AD4599" w:rsidP="00A42CE7">
      <w:pPr>
        <w:spacing w:line="288" w:lineRule="auto"/>
        <w:ind w:left="284" w:right="140"/>
        <w:jc w:val="right"/>
        <w:rPr>
          <w:rFonts w:ascii="Times New Roman" w:hAnsi="Times New Roman" w:cs="Times New Roman"/>
        </w:rPr>
      </w:pPr>
      <w:r>
        <w:rPr>
          <w:rFonts w:ascii="Times New Roman" w:hAnsi="Times New Roman" w:cs="Times New Roman"/>
          <w:b/>
          <w:bCs/>
          <w:sz w:val="28"/>
          <w:szCs w:val="28"/>
        </w:rPr>
        <w:t xml:space="preserve"> </w:t>
      </w:r>
    </w:p>
    <w:p w14:paraId="17A9C602" w14:textId="53A05CB2" w:rsidR="00AD4599" w:rsidRPr="00C2667C" w:rsidRDefault="00AD4599" w:rsidP="00A42CE7">
      <w:pPr>
        <w:spacing w:line="288" w:lineRule="auto"/>
        <w:ind w:left="284" w:right="140"/>
        <w:jc w:val="both"/>
        <w:rPr>
          <w:rFonts w:ascii="Times New Roman" w:hAnsi="Times New Roman" w:cs="Times New Roman"/>
          <w:i/>
          <w:sz w:val="28"/>
          <w:szCs w:val="28"/>
        </w:rPr>
      </w:pPr>
      <w:r w:rsidRPr="00C2667C">
        <w:rPr>
          <w:rFonts w:ascii="Times New Roman" w:hAnsi="Times New Roman" w:cs="Times New Roman"/>
          <w:i/>
          <w:sz w:val="28"/>
          <w:szCs w:val="28"/>
        </w:rPr>
        <w:t xml:space="preserve">* Relazione tenuta nell’ambito del convegno “I regimi concessori fra Stato e Mercato” </w:t>
      </w:r>
      <w:r w:rsidR="00C77808" w:rsidRPr="00C2667C">
        <w:rPr>
          <w:rFonts w:ascii="Times New Roman" w:hAnsi="Times New Roman" w:cs="Times New Roman"/>
          <w:i/>
          <w:sz w:val="28"/>
          <w:szCs w:val="28"/>
        </w:rPr>
        <w:t xml:space="preserve">svoltosi </w:t>
      </w:r>
      <w:r w:rsidRPr="00C2667C">
        <w:rPr>
          <w:rFonts w:ascii="Times New Roman" w:hAnsi="Times New Roman" w:cs="Times New Roman"/>
          <w:i/>
          <w:sz w:val="28"/>
          <w:szCs w:val="28"/>
        </w:rPr>
        <w:t>a Genova il 15 e 16 maggio 2026.</w:t>
      </w:r>
    </w:p>
    <w:p w14:paraId="1B7EF303" w14:textId="671DF5C5" w:rsidR="0019452B" w:rsidRPr="0019452B" w:rsidRDefault="0019452B" w:rsidP="00A42CE7">
      <w:pPr>
        <w:spacing w:line="288" w:lineRule="auto"/>
        <w:ind w:left="284" w:right="140"/>
        <w:jc w:val="both"/>
        <w:rPr>
          <w:rFonts w:ascii="Times New Roman" w:hAnsi="Times New Roman" w:cs="Times New Roman"/>
        </w:rPr>
      </w:pPr>
    </w:p>
    <w:p w14:paraId="3FFB88CA" w14:textId="703D7D73" w:rsidR="0019452B" w:rsidRPr="0019452B" w:rsidRDefault="0019452B" w:rsidP="00A42CE7">
      <w:pPr>
        <w:spacing w:line="288" w:lineRule="auto"/>
        <w:ind w:left="284" w:right="140"/>
        <w:jc w:val="both"/>
        <w:rPr>
          <w:rFonts w:ascii="Times New Roman" w:hAnsi="Times New Roman" w:cs="Times New Roman"/>
        </w:rPr>
      </w:pPr>
    </w:p>
    <w:p w14:paraId="41351D57" w14:textId="2FBB8F04" w:rsidR="00F62D7A" w:rsidRDefault="00F62D7A" w:rsidP="00A42CE7">
      <w:pPr>
        <w:spacing w:line="288" w:lineRule="auto"/>
        <w:ind w:left="284" w:right="140"/>
        <w:jc w:val="both"/>
        <w:rPr>
          <w:rFonts w:ascii="Times New Roman" w:hAnsi="Times New Roman" w:cs="Times New Roman"/>
        </w:rPr>
      </w:pPr>
    </w:p>
    <w:p w14:paraId="3610D7D5" w14:textId="77777777" w:rsidR="0052678E" w:rsidRPr="00F62D7A" w:rsidRDefault="0052678E" w:rsidP="00A42CE7">
      <w:pPr>
        <w:spacing w:line="288" w:lineRule="auto"/>
        <w:ind w:left="284" w:right="140"/>
        <w:jc w:val="both"/>
        <w:rPr>
          <w:rFonts w:ascii="Times New Roman" w:hAnsi="Times New Roman" w:cs="Times New Roman"/>
        </w:rPr>
      </w:pPr>
    </w:p>
    <w:p w14:paraId="28D301AC" w14:textId="77777777" w:rsidR="0052678E" w:rsidRPr="0052678E" w:rsidRDefault="0052678E" w:rsidP="0052678E">
      <w:pPr>
        <w:jc w:val="both"/>
        <w:rPr>
          <w:rFonts w:ascii="Times New Roman" w:hAnsi="Times New Roman" w:cs="Times New Roman"/>
          <w:i/>
          <w:sz w:val="28"/>
          <w:szCs w:val="28"/>
        </w:rPr>
      </w:pPr>
      <w:r w:rsidRPr="0052678E">
        <w:rPr>
          <w:rFonts w:ascii="Times New Roman" w:hAnsi="Times New Roman" w:cs="Times New Roman"/>
          <w:i/>
          <w:sz w:val="28"/>
          <w:szCs w:val="28"/>
        </w:rPr>
        <w:t xml:space="preserve">Le opinioni di cui al presente contributo sono espresse dall’Autrice a titolo personale; esse non impegnano l'Ufficio studi della Giustizia amministrativa, né quest'ultima quale Istituzione. </w:t>
      </w:r>
    </w:p>
    <w:sectPr w:rsidR="0052678E" w:rsidRPr="0052678E" w:rsidSect="00C2667C">
      <w:footerReference w:type="default" r:id="rId9"/>
      <w:pgSz w:w="11906" w:h="16838"/>
      <w:pgMar w:top="1417"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3C3B7" w14:textId="77777777" w:rsidR="003C212C" w:rsidRDefault="003C212C" w:rsidP="00BD0FB2">
      <w:pPr>
        <w:spacing w:after="0" w:line="240" w:lineRule="auto"/>
      </w:pPr>
      <w:r>
        <w:separator/>
      </w:r>
    </w:p>
  </w:endnote>
  <w:endnote w:type="continuationSeparator" w:id="0">
    <w:p w14:paraId="74D24412" w14:textId="77777777" w:rsidR="003C212C" w:rsidRDefault="003C212C" w:rsidP="00BD0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 w:name="Titillium Web">
    <w:charset w:val="00"/>
    <w:family w:val="auto"/>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Garamond  (simoncini)">
    <w:altName w:val="Garamon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844925"/>
      <w:docPartObj>
        <w:docPartGallery w:val="Page Numbers (Bottom of Page)"/>
        <w:docPartUnique/>
      </w:docPartObj>
    </w:sdtPr>
    <w:sdtEndPr>
      <w:rPr>
        <w:rFonts w:ascii="Times New Roman" w:hAnsi="Times New Roman" w:cs="Times New Roman"/>
      </w:rPr>
    </w:sdtEndPr>
    <w:sdtContent>
      <w:p w14:paraId="3AE7448A" w14:textId="27ABA2B8" w:rsidR="00A42CE7" w:rsidRPr="00C2667C" w:rsidRDefault="00A42CE7">
        <w:pPr>
          <w:pStyle w:val="Pidipagina"/>
          <w:jc w:val="center"/>
          <w:rPr>
            <w:rFonts w:ascii="Times New Roman" w:hAnsi="Times New Roman" w:cs="Times New Roman"/>
          </w:rPr>
        </w:pPr>
        <w:r w:rsidRPr="00C2667C">
          <w:rPr>
            <w:rFonts w:ascii="Times New Roman" w:hAnsi="Times New Roman" w:cs="Times New Roman"/>
          </w:rPr>
          <w:fldChar w:fldCharType="begin"/>
        </w:r>
        <w:r w:rsidRPr="00C2667C">
          <w:rPr>
            <w:rFonts w:ascii="Times New Roman" w:hAnsi="Times New Roman" w:cs="Times New Roman"/>
          </w:rPr>
          <w:instrText>PAGE   \* MERGEFORMAT</w:instrText>
        </w:r>
        <w:r w:rsidRPr="00C2667C">
          <w:rPr>
            <w:rFonts w:ascii="Times New Roman" w:hAnsi="Times New Roman" w:cs="Times New Roman"/>
          </w:rPr>
          <w:fldChar w:fldCharType="separate"/>
        </w:r>
        <w:r>
          <w:rPr>
            <w:rFonts w:ascii="Times New Roman" w:hAnsi="Times New Roman" w:cs="Times New Roman"/>
            <w:noProof/>
          </w:rPr>
          <w:t>6</w:t>
        </w:r>
        <w:r w:rsidRPr="00C2667C">
          <w:rPr>
            <w:rFonts w:ascii="Times New Roman" w:hAnsi="Times New Roman" w:cs="Times New Roman"/>
          </w:rPr>
          <w:fldChar w:fldCharType="end"/>
        </w:r>
      </w:p>
    </w:sdtContent>
  </w:sdt>
  <w:p w14:paraId="0280BE52" w14:textId="77777777" w:rsidR="00B4782D" w:rsidRDefault="00B4782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6E194" w14:textId="77777777" w:rsidR="003C212C" w:rsidRDefault="003C212C" w:rsidP="00BD0FB2">
      <w:pPr>
        <w:spacing w:after="0" w:line="240" w:lineRule="auto"/>
      </w:pPr>
      <w:r>
        <w:separator/>
      </w:r>
    </w:p>
  </w:footnote>
  <w:footnote w:type="continuationSeparator" w:id="0">
    <w:p w14:paraId="35E66E98" w14:textId="77777777" w:rsidR="003C212C" w:rsidRDefault="003C212C" w:rsidP="00BD0FB2">
      <w:pPr>
        <w:spacing w:after="0" w:line="240" w:lineRule="auto"/>
      </w:pPr>
      <w:r>
        <w:continuationSeparator/>
      </w:r>
    </w:p>
  </w:footnote>
  <w:footnote w:id="1">
    <w:p w14:paraId="449CE64B" w14:textId="4D25BE09" w:rsidR="00AD48F2" w:rsidRPr="00921508" w:rsidRDefault="00AD48F2" w:rsidP="00921508">
      <w:pPr>
        <w:pStyle w:val="Testonotaapidipagina"/>
        <w:jc w:val="both"/>
        <w:rPr>
          <w:sz w:val="16"/>
          <w:szCs w:val="16"/>
        </w:rPr>
      </w:pPr>
      <w:r>
        <w:rPr>
          <w:rStyle w:val="Rimandonotaapidipagina"/>
        </w:rPr>
        <w:footnoteRef/>
      </w:r>
      <w:r>
        <w:t xml:space="preserve"> </w:t>
      </w:r>
      <w:r w:rsidRPr="00BB52A6">
        <w:rPr>
          <w:rFonts w:ascii="Times New Roman" w:hAnsi="Times New Roman" w:cs="Times New Roman"/>
          <w:sz w:val="16"/>
          <w:szCs w:val="16"/>
        </w:rPr>
        <w:t xml:space="preserve">La continuità nell’esercizio di attività turistico ricettive sulle aree costiere, di proprietà demaniale, è una peculiarità solo italiana. L’unico ulteriore ordinamento </w:t>
      </w:r>
      <w:r w:rsidR="00AF5E65" w:rsidRPr="00BB52A6">
        <w:rPr>
          <w:rFonts w:ascii="Times New Roman" w:hAnsi="Times New Roman" w:cs="Times New Roman"/>
          <w:sz w:val="16"/>
          <w:szCs w:val="16"/>
        </w:rPr>
        <w:t xml:space="preserve">nel quale ha assunto rilievo addirittura </w:t>
      </w:r>
      <w:r w:rsidRPr="00BB52A6">
        <w:rPr>
          <w:rFonts w:ascii="Times New Roman" w:hAnsi="Times New Roman" w:cs="Times New Roman"/>
          <w:sz w:val="16"/>
          <w:szCs w:val="16"/>
        </w:rPr>
        <w:t xml:space="preserve">il diritto di proprietà è </w:t>
      </w:r>
      <w:r w:rsidR="00AF5E65" w:rsidRPr="00BB52A6">
        <w:rPr>
          <w:rFonts w:ascii="Times New Roman" w:hAnsi="Times New Roman" w:cs="Times New Roman"/>
          <w:sz w:val="16"/>
          <w:szCs w:val="16"/>
        </w:rPr>
        <w:t xml:space="preserve">infatti </w:t>
      </w:r>
      <w:r w:rsidRPr="00BB52A6">
        <w:rPr>
          <w:rFonts w:ascii="Times New Roman" w:hAnsi="Times New Roman" w:cs="Times New Roman"/>
          <w:sz w:val="16"/>
          <w:szCs w:val="16"/>
        </w:rPr>
        <w:t>quello spagnolo</w:t>
      </w:r>
      <w:r w:rsidR="00952994">
        <w:rPr>
          <w:rFonts w:ascii="Times New Roman" w:hAnsi="Times New Roman" w:cs="Times New Roman"/>
          <w:sz w:val="16"/>
          <w:szCs w:val="16"/>
        </w:rPr>
        <w:t>, ma in ragione di una situazione di contesto tutt’affatto diversa</w:t>
      </w:r>
      <w:r w:rsidR="00AF5E65" w:rsidRPr="00BB52A6">
        <w:rPr>
          <w:rFonts w:ascii="Times New Roman" w:hAnsi="Times New Roman" w:cs="Times New Roman"/>
          <w:sz w:val="16"/>
          <w:szCs w:val="16"/>
        </w:rPr>
        <w:t>. Là</w:t>
      </w:r>
      <w:r w:rsidRPr="00BB52A6">
        <w:rPr>
          <w:rFonts w:ascii="Times New Roman" w:hAnsi="Times New Roman" w:cs="Times New Roman"/>
          <w:sz w:val="16"/>
          <w:szCs w:val="16"/>
        </w:rPr>
        <w:t xml:space="preserve"> il legislatore ha </w:t>
      </w:r>
      <w:r w:rsidR="00952994">
        <w:rPr>
          <w:rFonts w:ascii="Times New Roman" w:hAnsi="Times New Roman" w:cs="Times New Roman"/>
          <w:sz w:val="16"/>
          <w:szCs w:val="16"/>
        </w:rPr>
        <w:t xml:space="preserve">in effetti </w:t>
      </w:r>
      <w:r w:rsidRPr="00BB52A6">
        <w:rPr>
          <w:rFonts w:ascii="Times New Roman" w:hAnsi="Times New Roman" w:cs="Times New Roman"/>
          <w:sz w:val="16"/>
          <w:szCs w:val="16"/>
        </w:rPr>
        <w:t>previsto una proroga delle concessioni in essere in funzione indennitario/risarcitoria rispetto a</w:t>
      </w:r>
      <w:r w:rsidR="00952994">
        <w:rPr>
          <w:rFonts w:ascii="Times New Roman" w:hAnsi="Times New Roman" w:cs="Times New Roman"/>
          <w:sz w:val="16"/>
          <w:szCs w:val="16"/>
        </w:rPr>
        <w:t xml:space="preserve">d un </w:t>
      </w:r>
      <w:r w:rsidRPr="00BB52A6">
        <w:rPr>
          <w:rFonts w:ascii="Times New Roman" w:hAnsi="Times New Roman" w:cs="Times New Roman"/>
          <w:sz w:val="16"/>
          <w:szCs w:val="16"/>
        </w:rPr>
        <w:t>vero e proprio esproprio disposto nel 1978 incamerando al demanio pubblico tutte le aree costiere precedentemente di proprietà privata</w:t>
      </w:r>
      <w:r w:rsidR="00921508" w:rsidRPr="00BB52A6">
        <w:rPr>
          <w:rFonts w:ascii="Times New Roman" w:hAnsi="Times New Roman" w:cs="Times New Roman"/>
          <w:sz w:val="16"/>
          <w:szCs w:val="16"/>
        </w:rPr>
        <w:t xml:space="preserve"> (</w:t>
      </w:r>
      <w:r w:rsidR="00921508" w:rsidRPr="00952994">
        <w:rPr>
          <w:rFonts w:ascii="Times New Roman" w:hAnsi="Times New Roman" w:cs="Times New Roman"/>
          <w:i/>
          <w:iCs/>
          <w:sz w:val="16"/>
          <w:szCs w:val="16"/>
        </w:rPr>
        <w:t xml:space="preserve">Ley de </w:t>
      </w:r>
      <w:proofErr w:type="spellStart"/>
      <w:r w:rsidR="00921508" w:rsidRPr="00952994">
        <w:rPr>
          <w:rFonts w:ascii="Times New Roman" w:hAnsi="Times New Roman" w:cs="Times New Roman"/>
          <w:i/>
          <w:iCs/>
          <w:sz w:val="16"/>
          <w:szCs w:val="16"/>
        </w:rPr>
        <w:t>costas</w:t>
      </w:r>
      <w:proofErr w:type="spellEnd"/>
      <w:r w:rsidR="00921508" w:rsidRPr="00BB52A6">
        <w:rPr>
          <w:rFonts w:ascii="Times New Roman" w:hAnsi="Times New Roman" w:cs="Times New Roman"/>
          <w:sz w:val="16"/>
          <w:szCs w:val="16"/>
        </w:rPr>
        <w:t>)</w:t>
      </w:r>
      <w:r w:rsidRPr="00BB52A6">
        <w:rPr>
          <w:rFonts w:ascii="Times New Roman" w:hAnsi="Times New Roman" w:cs="Times New Roman"/>
          <w:sz w:val="16"/>
          <w:szCs w:val="16"/>
        </w:rPr>
        <w:t xml:space="preserve">. L’ordinamento francese </w:t>
      </w:r>
      <w:r w:rsidR="00952994">
        <w:rPr>
          <w:rFonts w:ascii="Times New Roman" w:hAnsi="Times New Roman" w:cs="Times New Roman"/>
          <w:sz w:val="16"/>
          <w:szCs w:val="16"/>
        </w:rPr>
        <w:t xml:space="preserve">invece </w:t>
      </w:r>
      <w:r w:rsidR="00661F03" w:rsidRPr="00BB52A6">
        <w:rPr>
          <w:rFonts w:ascii="Times New Roman" w:hAnsi="Times New Roman" w:cs="Times New Roman"/>
          <w:sz w:val="16"/>
          <w:szCs w:val="16"/>
        </w:rPr>
        <w:t xml:space="preserve">ha </w:t>
      </w:r>
      <w:r w:rsidRPr="00BB52A6">
        <w:rPr>
          <w:rFonts w:ascii="Times New Roman" w:hAnsi="Times New Roman" w:cs="Times New Roman"/>
          <w:sz w:val="16"/>
          <w:szCs w:val="16"/>
        </w:rPr>
        <w:t xml:space="preserve">risolto alla radice il problema consentendo ai concessionari la collocazione solo di opere facilmente amovibili, che gli stessi sono inderogabilmente tenuti a rimuovere allo scadere della concessione. </w:t>
      </w:r>
      <w:r w:rsidR="00952994">
        <w:rPr>
          <w:rFonts w:ascii="Times New Roman" w:hAnsi="Times New Roman" w:cs="Times New Roman"/>
          <w:sz w:val="16"/>
          <w:szCs w:val="16"/>
        </w:rPr>
        <w:t>Per una sintetica ricostruzione del quadro in termini di diritto comparato</w:t>
      </w:r>
      <w:r w:rsidR="00661F03" w:rsidRPr="00BB52A6">
        <w:rPr>
          <w:rFonts w:ascii="Times New Roman" w:hAnsi="Times New Roman" w:cs="Times New Roman"/>
          <w:sz w:val="16"/>
          <w:szCs w:val="16"/>
        </w:rPr>
        <w:t>, v. i</w:t>
      </w:r>
      <w:r w:rsidRPr="00BB52A6">
        <w:rPr>
          <w:rFonts w:ascii="Times New Roman" w:hAnsi="Times New Roman" w:cs="Times New Roman"/>
          <w:sz w:val="16"/>
          <w:szCs w:val="16"/>
        </w:rPr>
        <w:t>n dottr</w:t>
      </w:r>
      <w:r w:rsidR="00921508" w:rsidRPr="00BB52A6">
        <w:rPr>
          <w:rFonts w:ascii="Times New Roman" w:hAnsi="Times New Roman" w:cs="Times New Roman"/>
          <w:sz w:val="16"/>
          <w:szCs w:val="16"/>
        </w:rPr>
        <w:t>in</w:t>
      </w:r>
      <w:r w:rsidRPr="00BB52A6">
        <w:rPr>
          <w:rFonts w:ascii="Times New Roman" w:hAnsi="Times New Roman" w:cs="Times New Roman"/>
          <w:sz w:val="16"/>
          <w:szCs w:val="16"/>
        </w:rPr>
        <w:t xml:space="preserve">a A. Persico, </w:t>
      </w:r>
      <w:r w:rsidRPr="00BB52A6">
        <w:rPr>
          <w:rFonts w:ascii="Times New Roman" w:hAnsi="Times New Roman" w:cs="Times New Roman"/>
          <w:i/>
          <w:iCs/>
          <w:sz w:val="16"/>
          <w:szCs w:val="16"/>
        </w:rPr>
        <w:t xml:space="preserve">Le concessioni demaniali marittime nell’impatto con il diritto dell’Unione. Spunti comparatistici </w:t>
      </w:r>
      <w:r w:rsidR="00921508" w:rsidRPr="00BB52A6">
        <w:rPr>
          <w:rFonts w:ascii="Times New Roman" w:hAnsi="Times New Roman" w:cs="Times New Roman"/>
          <w:i/>
          <w:iCs/>
          <w:sz w:val="16"/>
          <w:szCs w:val="16"/>
        </w:rPr>
        <w:t>per una gestione sostenibile “a tuttotondo” del patrimonio costiero nazionale</w:t>
      </w:r>
      <w:r w:rsidR="00921508" w:rsidRPr="00BB52A6">
        <w:rPr>
          <w:rFonts w:ascii="Times New Roman" w:hAnsi="Times New Roman" w:cs="Times New Roman"/>
          <w:sz w:val="16"/>
          <w:szCs w:val="16"/>
        </w:rPr>
        <w:t xml:space="preserve">, in Federalismi, 2022, 22, 115 ss.; G. </w:t>
      </w:r>
      <w:proofErr w:type="spellStart"/>
      <w:r w:rsidR="00921508" w:rsidRPr="00BB52A6">
        <w:rPr>
          <w:rFonts w:ascii="Times New Roman" w:hAnsi="Times New Roman" w:cs="Times New Roman"/>
          <w:sz w:val="16"/>
          <w:szCs w:val="16"/>
        </w:rPr>
        <w:t>Ioannides</w:t>
      </w:r>
      <w:proofErr w:type="spellEnd"/>
      <w:r w:rsidR="00921508" w:rsidRPr="00BB52A6">
        <w:rPr>
          <w:rFonts w:ascii="Times New Roman" w:hAnsi="Times New Roman" w:cs="Times New Roman"/>
          <w:sz w:val="16"/>
          <w:szCs w:val="16"/>
        </w:rPr>
        <w:t xml:space="preserve">, </w:t>
      </w:r>
      <w:r w:rsidR="00921508" w:rsidRPr="00BB52A6">
        <w:rPr>
          <w:rFonts w:ascii="Times New Roman" w:hAnsi="Times New Roman" w:cs="Times New Roman"/>
          <w:i/>
          <w:iCs/>
          <w:sz w:val="16"/>
          <w:szCs w:val="16"/>
        </w:rPr>
        <w:t>La devoluzione gratuita delle opere non amovibili realizzate dal concessionario di aree demaniali marittime e il nodo degli indennizzi</w:t>
      </w:r>
      <w:r w:rsidR="00921508" w:rsidRPr="00BB52A6">
        <w:rPr>
          <w:rFonts w:ascii="Times New Roman" w:hAnsi="Times New Roman" w:cs="Times New Roman"/>
          <w:sz w:val="16"/>
          <w:szCs w:val="16"/>
        </w:rPr>
        <w:t xml:space="preserve">, in DPCE </w:t>
      </w:r>
      <w:r w:rsidR="00921508" w:rsidRPr="00BB52A6">
        <w:rPr>
          <w:rFonts w:ascii="Times New Roman" w:hAnsi="Times New Roman" w:cs="Times New Roman"/>
          <w:i/>
          <w:iCs/>
          <w:sz w:val="16"/>
          <w:szCs w:val="16"/>
        </w:rPr>
        <w:t>online</w:t>
      </w:r>
      <w:r w:rsidR="00921508" w:rsidRPr="00BB52A6">
        <w:rPr>
          <w:rFonts w:ascii="Times New Roman" w:hAnsi="Times New Roman" w:cs="Times New Roman"/>
          <w:sz w:val="16"/>
          <w:szCs w:val="16"/>
        </w:rPr>
        <w:t>, 2024, vol. 65, n. 3.</w:t>
      </w:r>
      <w:r w:rsidR="00921508" w:rsidRPr="00921508">
        <w:rPr>
          <w:sz w:val="16"/>
          <w:szCs w:val="16"/>
        </w:rPr>
        <w:t xml:space="preserve"> </w:t>
      </w:r>
      <w:r w:rsidRPr="00921508">
        <w:rPr>
          <w:sz w:val="16"/>
          <w:szCs w:val="16"/>
        </w:rPr>
        <w:t xml:space="preserve"> </w:t>
      </w:r>
    </w:p>
  </w:footnote>
  <w:footnote w:id="2">
    <w:p w14:paraId="360A5713" w14:textId="48E991DE" w:rsidR="00FE0224" w:rsidRPr="00FE0224" w:rsidRDefault="00FE0224" w:rsidP="00FE0224">
      <w:pPr>
        <w:pStyle w:val="Testonotaapidipagina"/>
        <w:jc w:val="both"/>
        <w:rPr>
          <w:rFonts w:ascii="Times New Roman" w:hAnsi="Times New Roman" w:cs="Times New Roman"/>
          <w:sz w:val="16"/>
          <w:szCs w:val="16"/>
        </w:rPr>
      </w:pPr>
      <w:r>
        <w:rPr>
          <w:rStyle w:val="Rimandonotaapidipagina"/>
        </w:rPr>
        <w:footnoteRef/>
      </w:r>
      <w:r>
        <w:t xml:space="preserve"> </w:t>
      </w:r>
      <w:r w:rsidRPr="00FE0224">
        <w:rPr>
          <w:rFonts w:ascii="Times New Roman" w:hAnsi="Times New Roman" w:cs="Times New Roman"/>
          <w:sz w:val="16"/>
          <w:szCs w:val="16"/>
        </w:rPr>
        <w:t xml:space="preserve">Art. 49. </w:t>
      </w:r>
      <w:r w:rsidRPr="00FE0224">
        <w:rPr>
          <w:rFonts w:ascii="Arial" w:hAnsi="Arial" w:cs="Arial"/>
          <w:sz w:val="16"/>
          <w:szCs w:val="16"/>
        </w:rPr>
        <w:t>«</w:t>
      </w:r>
      <w:r w:rsidRPr="00FE0224">
        <w:rPr>
          <w:rFonts w:ascii="Times New Roman" w:hAnsi="Times New Roman" w:cs="Times New Roman"/>
          <w:i/>
          <w:iCs/>
          <w:sz w:val="16"/>
          <w:szCs w:val="16"/>
        </w:rPr>
        <w:t>(Devoluzione delle opere non amovibili). Salvo che sia diversamente stabilito nell</w:t>
      </w:r>
      <w:r>
        <w:rPr>
          <w:rFonts w:ascii="Times New Roman" w:hAnsi="Times New Roman" w:cs="Times New Roman"/>
          <w:i/>
          <w:iCs/>
          <w:sz w:val="16"/>
          <w:szCs w:val="16"/>
        </w:rPr>
        <w:t>’</w:t>
      </w:r>
      <w:r w:rsidRPr="00FE0224">
        <w:rPr>
          <w:rFonts w:ascii="Times New Roman" w:hAnsi="Times New Roman" w:cs="Times New Roman"/>
          <w:i/>
          <w:iCs/>
          <w:sz w:val="16"/>
          <w:szCs w:val="16"/>
        </w:rPr>
        <w:t>atto di concessione, quando venga a cessare la concessione, le opere non amovibili, costruite sulla zona demaniale, te stano acquisite allo Stato, senza alcun compenso o rimborso, salva la facoltà dell</w:t>
      </w:r>
      <w:r>
        <w:rPr>
          <w:rFonts w:ascii="Times New Roman" w:hAnsi="Times New Roman" w:cs="Times New Roman"/>
          <w:i/>
          <w:iCs/>
          <w:sz w:val="16"/>
          <w:szCs w:val="16"/>
        </w:rPr>
        <w:t>’</w:t>
      </w:r>
      <w:r w:rsidRPr="00FE0224">
        <w:rPr>
          <w:rFonts w:ascii="Times New Roman" w:hAnsi="Times New Roman" w:cs="Times New Roman"/>
          <w:i/>
          <w:iCs/>
          <w:sz w:val="16"/>
          <w:szCs w:val="16"/>
        </w:rPr>
        <w:t>autorità concedente di ordinarne la demolizione con la restituzione del bene demaniale nel pristino stato. In quest</w:t>
      </w:r>
      <w:r w:rsidR="004E0AA8">
        <w:rPr>
          <w:rFonts w:ascii="Times New Roman" w:hAnsi="Times New Roman" w:cs="Times New Roman"/>
          <w:i/>
          <w:iCs/>
          <w:sz w:val="16"/>
          <w:szCs w:val="16"/>
        </w:rPr>
        <w:t>’</w:t>
      </w:r>
      <w:r w:rsidRPr="00FE0224">
        <w:rPr>
          <w:rFonts w:ascii="Times New Roman" w:hAnsi="Times New Roman" w:cs="Times New Roman"/>
          <w:i/>
          <w:iCs/>
          <w:sz w:val="16"/>
          <w:szCs w:val="16"/>
        </w:rPr>
        <w:t>ultimo caso, l</w:t>
      </w:r>
      <w:r>
        <w:rPr>
          <w:rFonts w:ascii="Times New Roman" w:hAnsi="Times New Roman" w:cs="Times New Roman"/>
          <w:i/>
          <w:iCs/>
          <w:sz w:val="16"/>
          <w:szCs w:val="16"/>
        </w:rPr>
        <w:t>’</w:t>
      </w:r>
      <w:r w:rsidRPr="00FE0224">
        <w:rPr>
          <w:rFonts w:ascii="Times New Roman" w:hAnsi="Times New Roman" w:cs="Times New Roman"/>
          <w:i/>
          <w:iCs/>
          <w:sz w:val="16"/>
          <w:szCs w:val="16"/>
        </w:rPr>
        <w:t>amministrazione, ove il concessionario non esegua l'ordine di demolizione, può provvedervi d’ufficio a termini dell</w:t>
      </w:r>
      <w:r>
        <w:rPr>
          <w:rFonts w:ascii="Times New Roman" w:hAnsi="Times New Roman" w:cs="Times New Roman"/>
          <w:i/>
          <w:iCs/>
          <w:sz w:val="16"/>
          <w:szCs w:val="16"/>
        </w:rPr>
        <w:t>’</w:t>
      </w:r>
      <w:r w:rsidRPr="00FE0224">
        <w:rPr>
          <w:rFonts w:ascii="Times New Roman" w:hAnsi="Times New Roman" w:cs="Times New Roman"/>
          <w:i/>
          <w:iCs/>
          <w:sz w:val="16"/>
          <w:szCs w:val="16"/>
        </w:rPr>
        <w:t>articolo 54</w:t>
      </w:r>
      <w:r w:rsidRPr="00FE0224">
        <w:rPr>
          <w:rFonts w:ascii="Arial" w:hAnsi="Arial" w:cs="Arial"/>
          <w:sz w:val="16"/>
          <w:szCs w:val="16"/>
        </w:rPr>
        <w:t>»</w:t>
      </w:r>
      <w:r w:rsidRPr="00FE0224">
        <w:rPr>
          <w:rFonts w:ascii="Times New Roman" w:hAnsi="Times New Roman" w:cs="Times New Roman"/>
          <w:sz w:val="16"/>
          <w:szCs w:val="16"/>
        </w:rPr>
        <w:t>.</w:t>
      </w:r>
    </w:p>
  </w:footnote>
  <w:footnote w:id="3">
    <w:p w14:paraId="3974AC9A" w14:textId="49B8533D" w:rsidR="00BD0FB2" w:rsidRPr="00FE0224" w:rsidRDefault="00BD0FB2" w:rsidP="00BD0FB2">
      <w:pPr>
        <w:pStyle w:val="Testonotaapidipagina"/>
        <w:jc w:val="both"/>
        <w:rPr>
          <w:rFonts w:ascii="Times New Roman" w:hAnsi="Times New Roman" w:cs="Times New Roman"/>
          <w:sz w:val="16"/>
          <w:szCs w:val="16"/>
        </w:rPr>
      </w:pPr>
      <w:r>
        <w:rPr>
          <w:rStyle w:val="Rimandonotaapidipagina"/>
          <w:rFonts w:ascii="Arial" w:hAnsi="Arial" w:cs="Arial"/>
          <w:sz w:val="18"/>
          <w:szCs w:val="18"/>
        </w:rPr>
        <w:footnoteRef/>
      </w:r>
      <w:r>
        <w:rPr>
          <w:rFonts w:ascii="Arial" w:hAnsi="Arial" w:cs="Arial"/>
          <w:sz w:val="18"/>
          <w:szCs w:val="18"/>
        </w:rPr>
        <w:t xml:space="preserve"> </w:t>
      </w:r>
      <w:r w:rsidRPr="00FE0224">
        <w:rPr>
          <w:rFonts w:ascii="Times New Roman" w:hAnsi="Times New Roman" w:cs="Times New Roman"/>
          <w:sz w:val="16"/>
          <w:szCs w:val="16"/>
        </w:rPr>
        <w:t>Art. 822 cod. civ.</w:t>
      </w:r>
      <w:r w:rsidR="00BB52A6" w:rsidRPr="00FE0224">
        <w:rPr>
          <w:rFonts w:ascii="Times New Roman" w:hAnsi="Times New Roman" w:cs="Times New Roman"/>
          <w:sz w:val="16"/>
          <w:szCs w:val="16"/>
        </w:rPr>
        <w:t xml:space="preserve">: </w:t>
      </w:r>
      <w:r w:rsidR="00BB52A6" w:rsidRPr="00FE0224">
        <w:rPr>
          <w:rFonts w:ascii="Arial" w:hAnsi="Arial" w:cs="Arial"/>
          <w:i/>
          <w:iCs/>
          <w:sz w:val="16"/>
          <w:szCs w:val="16"/>
        </w:rPr>
        <w:t>«</w:t>
      </w:r>
      <w:r w:rsidR="00FE0224" w:rsidRPr="00FE0224">
        <w:rPr>
          <w:rFonts w:ascii="Arial" w:hAnsi="Arial" w:cs="Arial"/>
          <w:i/>
          <w:iCs/>
          <w:sz w:val="16"/>
          <w:szCs w:val="16"/>
        </w:rPr>
        <w:t>(</w:t>
      </w:r>
      <w:r w:rsidRPr="00FE0224">
        <w:rPr>
          <w:rFonts w:ascii="Times New Roman" w:hAnsi="Times New Roman" w:cs="Times New Roman"/>
          <w:i/>
          <w:iCs/>
          <w:sz w:val="16"/>
          <w:szCs w:val="16"/>
        </w:rPr>
        <w:t>Demanio pubblico</w:t>
      </w:r>
      <w:r w:rsidR="00FE0224" w:rsidRPr="00FE0224">
        <w:rPr>
          <w:rFonts w:ascii="Times New Roman" w:hAnsi="Times New Roman" w:cs="Times New Roman"/>
          <w:i/>
          <w:iCs/>
          <w:sz w:val="16"/>
          <w:szCs w:val="16"/>
        </w:rPr>
        <w:t>)</w:t>
      </w:r>
      <w:r w:rsidRPr="00FE0224">
        <w:rPr>
          <w:rFonts w:ascii="Times New Roman" w:hAnsi="Times New Roman" w:cs="Times New Roman"/>
          <w:i/>
          <w:iCs/>
          <w:sz w:val="16"/>
          <w:szCs w:val="16"/>
        </w:rPr>
        <w:t>. Appartengono allo Stato e fanno parte del demanio pubblico il lido del mare, la spiaggia, le rade e i porti; i fiumi, i torrenti, i laghi e le altre acque definite pubbliche dalle leggi in materia; le opere destinate alla difesa nazionale. Fanno parimenti parte del demanio pubblico, se appartengono allo Stato, le strade, le autostrade e le strade ferrate; gli aerodromi; gli acquedotti; gli immobili riconosciuti di interesse storico, archeologico e artistico a norma delle leggi in materia; le raccolte dei musei, delle pinacoteche, degli archivi, delle biblioteche; e infine gli altri beni che sono dalla legge assoggettati al regime proprio del demanio pubblico</w:t>
      </w:r>
      <w:r w:rsidR="00BB52A6" w:rsidRPr="00FE0224">
        <w:rPr>
          <w:rFonts w:ascii="Times New Roman" w:hAnsi="Times New Roman" w:cs="Times New Roman"/>
          <w:i/>
          <w:iCs/>
          <w:sz w:val="16"/>
          <w:szCs w:val="16"/>
        </w:rPr>
        <w:t>.</w:t>
      </w:r>
      <w:r w:rsidR="00BB52A6" w:rsidRPr="00FE0224">
        <w:rPr>
          <w:rFonts w:ascii="Arial" w:hAnsi="Arial" w:cs="Arial"/>
          <w:sz w:val="16"/>
          <w:szCs w:val="16"/>
        </w:rPr>
        <w:t>»</w:t>
      </w:r>
    </w:p>
  </w:footnote>
  <w:footnote w:id="4">
    <w:p w14:paraId="061D83A2" w14:textId="5F52C6F2" w:rsidR="00275E52" w:rsidRPr="00BB52A6" w:rsidRDefault="00275E52" w:rsidP="00275E52">
      <w:pPr>
        <w:pStyle w:val="Testonotaapidipagina"/>
        <w:jc w:val="both"/>
        <w:rPr>
          <w:rFonts w:ascii="Times New Roman" w:hAnsi="Times New Roman" w:cs="Times New Roman"/>
          <w:sz w:val="18"/>
          <w:szCs w:val="18"/>
        </w:rPr>
      </w:pPr>
      <w:r>
        <w:rPr>
          <w:rStyle w:val="Rimandonotaapidipagina"/>
        </w:rPr>
        <w:footnoteRef/>
      </w:r>
      <w:r>
        <w:t xml:space="preserve"> </w:t>
      </w:r>
      <w:r w:rsidRPr="00275E52">
        <w:rPr>
          <w:rFonts w:ascii="Times New Roman" w:hAnsi="Times New Roman" w:cs="Times New Roman"/>
          <w:sz w:val="16"/>
          <w:szCs w:val="16"/>
        </w:rPr>
        <w:t>Art. 934 cod. civ</w:t>
      </w:r>
      <w:proofErr w:type="gramStart"/>
      <w:r w:rsidRPr="00275E52">
        <w:rPr>
          <w:rFonts w:ascii="Times New Roman" w:hAnsi="Times New Roman" w:cs="Times New Roman"/>
          <w:sz w:val="16"/>
          <w:szCs w:val="16"/>
        </w:rPr>
        <w:t>. :</w:t>
      </w:r>
      <w:proofErr w:type="gramEnd"/>
      <w:r w:rsidRPr="00275E52">
        <w:rPr>
          <w:rFonts w:ascii="Times New Roman" w:hAnsi="Times New Roman" w:cs="Times New Roman"/>
          <w:sz w:val="16"/>
          <w:szCs w:val="16"/>
        </w:rPr>
        <w:t xml:space="preserve"> </w:t>
      </w:r>
      <w:r w:rsidRPr="00275E52">
        <w:rPr>
          <w:rFonts w:ascii="Arial" w:hAnsi="Arial" w:cs="Arial"/>
          <w:sz w:val="16"/>
          <w:szCs w:val="16"/>
        </w:rPr>
        <w:t>«</w:t>
      </w:r>
      <w:r>
        <w:rPr>
          <w:rFonts w:ascii="Arial" w:hAnsi="Arial" w:cs="Arial"/>
          <w:sz w:val="16"/>
          <w:szCs w:val="16"/>
        </w:rPr>
        <w:t>(</w:t>
      </w:r>
      <w:r w:rsidRPr="00275E52">
        <w:rPr>
          <w:rFonts w:ascii="Times New Roman" w:hAnsi="Times New Roman" w:cs="Times New Roman"/>
          <w:i/>
          <w:iCs/>
          <w:sz w:val="16"/>
          <w:szCs w:val="16"/>
        </w:rPr>
        <w:t>Opere fatte sopra o sotto il suolo</w:t>
      </w:r>
      <w:r>
        <w:rPr>
          <w:rFonts w:ascii="Times New Roman" w:hAnsi="Times New Roman" w:cs="Times New Roman"/>
          <w:i/>
          <w:iCs/>
          <w:sz w:val="16"/>
          <w:szCs w:val="16"/>
        </w:rPr>
        <w:t>)</w:t>
      </w:r>
      <w:r w:rsidRPr="00275E52">
        <w:rPr>
          <w:rFonts w:ascii="Times New Roman" w:hAnsi="Times New Roman" w:cs="Times New Roman"/>
          <w:i/>
          <w:iCs/>
          <w:sz w:val="16"/>
          <w:szCs w:val="16"/>
        </w:rPr>
        <w:t>. Qualunque piantagione, costruzione od opera esistente sopra o sotto il suolo appartiene al proprietario di questo, salvo quanto è disposto dagli articoli 935, 936, 937 e 938 e salvo che risulti diversamente dal titolo o dalla legge</w:t>
      </w:r>
      <w:r w:rsidRPr="00275E52">
        <w:rPr>
          <w:rFonts w:ascii="Arial" w:hAnsi="Arial" w:cs="Arial"/>
          <w:sz w:val="16"/>
          <w:szCs w:val="16"/>
        </w:rPr>
        <w:t>»</w:t>
      </w:r>
      <w:r w:rsidRPr="00275E52">
        <w:rPr>
          <w:rFonts w:ascii="Times New Roman" w:hAnsi="Times New Roman" w:cs="Times New Roman"/>
          <w:sz w:val="16"/>
          <w:szCs w:val="16"/>
        </w:rPr>
        <w:t>.</w:t>
      </w:r>
    </w:p>
    <w:p w14:paraId="2E44DA79" w14:textId="354F85DD" w:rsidR="00275E52" w:rsidRPr="00275E52" w:rsidRDefault="00275E52">
      <w:pPr>
        <w:pStyle w:val="Testonotaapidipagina"/>
        <w:rPr>
          <w:rFonts w:ascii="Times New Roman" w:hAnsi="Times New Roman" w:cs="Times New Roman"/>
          <w:sz w:val="16"/>
          <w:szCs w:val="16"/>
        </w:rPr>
      </w:pPr>
    </w:p>
  </w:footnote>
  <w:footnote w:id="5">
    <w:p w14:paraId="1D8A606D" w14:textId="4D38CAED" w:rsidR="006C273A" w:rsidRPr="00D50C2B" w:rsidRDefault="006C273A" w:rsidP="006C273A">
      <w:pPr>
        <w:pStyle w:val="Testonotaapidipagina"/>
        <w:jc w:val="both"/>
        <w:rPr>
          <w:rFonts w:ascii="Times New Roman" w:hAnsi="Times New Roman" w:cs="Times New Roman"/>
          <w:sz w:val="16"/>
          <w:szCs w:val="16"/>
        </w:rPr>
      </w:pPr>
      <w:r>
        <w:rPr>
          <w:rStyle w:val="Rimandonotaapidipagina"/>
        </w:rPr>
        <w:footnoteRef/>
      </w:r>
      <w:r>
        <w:t xml:space="preserve"> </w:t>
      </w:r>
      <w:r w:rsidRPr="006C273A">
        <w:rPr>
          <w:rFonts w:ascii="Times New Roman" w:hAnsi="Times New Roman" w:cs="Times New Roman"/>
          <w:sz w:val="16"/>
          <w:szCs w:val="16"/>
        </w:rPr>
        <w:t xml:space="preserve">Nel richiamare i propri precedenti in materia, la Corte, nella sentenza n. 89 del 2025 (§ 5.4), ha escluso anche l’operatività di una sorta di </w:t>
      </w:r>
      <w:r w:rsidRPr="00D50C2B">
        <w:rPr>
          <w:rFonts w:ascii="Times New Roman" w:hAnsi="Times New Roman" w:cs="Times New Roman"/>
          <w:sz w:val="16"/>
          <w:szCs w:val="16"/>
        </w:rPr>
        <w:t>“cedevolezza invertita”, sull’assunto, già enunciato nella sentenza n. 1 del 2019, che l’intervento che il legislatore regionale può anticipare nell’inerzia del legislatore statale attiene pur sempre (e soltanto) a materie di competenza concorrente della Regione.</w:t>
      </w:r>
    </w:p>
  </w:footnote>
  <w:footnote w:id="6">
    <w:p w14:paraId="28EBA025" w14:textId="5C7D6B5C" w:rsidR="0060329A" w:rsidRDefault="0060329A" w:rsidP="0060329A">
      <w:pPr>
        <w:pStyle w:val="Testonotaapidipagina"/>
        <w:jc w:val="both"/>
      </w:pPr>
      <w:r>
        <w:rPr>
          <w:rStyle w:val="Rimandonotaapidipagina"/>
        </w:rPr>
        <w:footnoteRef/>
      </w:r>
      <w:r>
        <w:t xml:space="preserve"> </w:t>
      </w:r>
      <w:r w:rsidRPr="0060329A">
        <w:rPr>
          <w:rFonts w:ascii="Times New Roman" w:hAnsi="Times New Roman" w:cs="Times New Roman"/>
          <w:sz w:val="16"/>
          <w:szCs w:val="16"/>
        </w:rPr>
        <w:t>Per un’approfondita e attenta ricostruzione della tematica, v. D. De Carolis, L’art. 49 del Codice della navigazione</w:t>
      </w:r>
      <w:r>
        <w:rPr>
          <w:rFonts w:ascii="Times New Roman" w:hAnsi="Times New Roman" w:cs="Times New Roman"/>
          <w:sz w:val="16"/>
          <w:szCs w:val="16"/>
        </w:rPr>
        <w:t xml:space="preserve"> </w:t>
      </w:r>
      <w:r w:rsidRPr="0060329A">
        <w:rPr>
          <w:rFonts w:ascii="Times New Roman" w:hAnsi="Times New Roman" w:cs="Times New Roman"/>
          <w:sz w:val="16"/>
          <w:szCs w:val="16"/>
        </w:rPr>
        <w:t>e la “negoziabilità” del contenuto dell’atto di concessione secondo la Corte di Giustizia europea, in Riv. Giur. AmbienteDiritto.it – Anno XXV, fascicolo n. 3/2025.</w:t>
      </w:r>
      <w:r>
        <w:t xml:space="preserve"> </w:t>
      </w:r>
    </w:p>
  </w:footnote>
  <w:footnote w:id="7">
    <w:p w14:paraId="33C5412E" w14:textId="1E5E8FC6" w:rsidR="00486E08" w:rsidRPr="00486E08" w:rsidRDefault="00486E08" w:rsidP="00486E08">
      <w:pPr>
        <w:pStyle w:val="Testonotaapidipagina"/>
        <w:jc w:val="both"/>
        <w:rPr>
          <w:sz w:val="16"/>
          <w:szCs w:val="16"/>
        </w:rPr>
      </w:pPr>
      <w:r>
        <w:rPr>
          <w:rStyle w:val="Rimandonotaapidipagina"/>
        </w:rPr>
        <w:footnoteRef/>
      </w:r>
      <w:r>
        <w:t xml:space="preserve"> </w:t>
      </w:r>
      <w:r w:rsidRPr="00486E08">
        <w:rPr>
          <w:rFonts w:ascii="Times New Roman" w:hAnsi="Times New Roman" w:cs="Times New Roman"/>
          <w:sz w:val="16"/>
          <w:szCs w:val="16"/>
        </w:rPr>
        <w:t xml:space="preserve">Art. 6, comma 1, lett. </w:t>
      </w:r>
      <w:proofErr w:type="spellStart"/>
      <w:r w:rsidRPr="00486E08">
        <w:rPr>
          <w:rFonts w:ascii="Times New Roman" w:hAnsi="Times New Roman" w:cs="Times New Roman"/>
          <w:sz w:val="16"/>
          <w:szCs w:val="16"/>
        </w:rPr>
        <w:t>e.</w:t>
      </w:r>
      <w:r w:rsidRPr="00486E08">
        <w:rPr>
          <w:rFonts w:ascii="Times New Roman" w:hAnsi="Times New Roman" w:cs="Times New Roman"/>
          <w:i/>
          <w:iCs/>
          <w:sz w:val="16"/>
          <w:szCs w:val="16"/>
        </w:rPr>
        <w:t>bis</w:t>
      </w:r>
      <w:proofErr w:type="spellEnd"/>
      <w:r w:rsidRPr="00486E08">
        <w:rPr>
          <w:rFonts w:ascii="Times New Roman" w:hAnsi="Times New Roman" w:cs="Times New Roman"/>
          <w:sz w:val="16"/>
          <w:szCs w:val="16"/>
        </w:rPr>
        <w:t>):</w:t>
      </w:r>
      <w:r w:rsidRPr="00486E08">
        <w:rPr>
          <w:sz w:val="16"/>
          <w:szCs w:val="16"/>
        </w:rPr>
        <w:t xml:space="preserve"> </w:t>
      </w:r>
      <w:r w:rsidRPr="00486E08">
        <w:rPr>
          <w:rFonts w:ascii="Arial" w:hAnsi="Arial" w:cs="Arial"/>
          <w:sz w:val="16"/>
          <w:szCs w:val="16"/>
        </w:rPr>
        <w:t>«</w:t>
      </w:r>
      <w:r w:rsidRPr="00486E08">
        <w:rPr>
          <w:rFonts w:ascii="Titillium Web" w:hAnsi="Titillium Web"/>
          <w:color w:val="19191A"/>
          <w:sz w:val="16"/>
          <w:szCs w:val="16"/>
          <w:shd w:val="clear" w:color="auto" w:fill="FFFFFF"/>
        </w:rPr>
        <w:t xml:space="preserve"> </w:t>
      </w:r>
      <w:r w:rsidRPr="00486E08">
        <w:rPr>
          <w:rFonts w:ascii="Times New Roman" w:hAnsi="Times New Roman" w:cs="Times New Roman"/>
          <w:i/>
          <w:iCs/>
          <w:sz w:val="16"/>
          <w:szCs w:val="16"/>
        </w:rPr>
        <w:t>Fatte salve le prescrizioni degli strumenti urbanistici comunali, e comunque nel rispetto delle altre normative di settore aventi incidenza sulla disciplina dell’attività edilizia e, in particolare, delle norme antisismiche, di sicurezza, antincendio, igienico sanitarie, di quelle relative all’efficienza energetica, di tutela dal rischio idrogeologico, nonché delle disposizioni contenute nel </w:t>
      </w:r>
      <w:hyperlink r:id="rId1" w:tgtFrame="_blank" w:history="1">
        <w:r w:rsidRPr="00486E08">
          <w:rPr>
            <w:rStyle w:val="Collegamentoipertestuale"/>
            <w:rFonts w:ascii="Times New Roman" w:hAnsi="Times New Roman" w:cs="Times New Roman"/>
            <w:i/>
            <w:iCs/>
            <w:color w:val="auto"/>
            <w:sz w:val="16"/>
            <w:szCs w:val="16"/>
            <w:u w:val="none"/>
          </w:rPr>
          <w:t>codice dei beni culturali e del paesaggio</w:t>
        </w:r>
      </w:hyperlink>
      <w:r w:rsidRPr="00486E08">
        <w:rPr>
          <w:rFonts w:ascii="Times New Roman" w:hAnsi="Times New Roman" w:cs="Times New Roman"/>
          <w:i/>
          <w:iCs/>
          <w:sz w:val="16"/>
          <w:szCs w:val="16"/>
        </w:rPr>
        <w:t>, di cui al </w:t>
      </w:r>
      <w:hyperlink r:id="rId2" w:tgtFrame="_blank" w:history="1">
        <w:r w:rsidRPr="00486E08">
          <w:rPr>
            <w:rStyle w:val="Collegamentoipertestuale"/>
            <w:rFonts w:ascii="Times New Roman" w:hAnsi="Times New Roman" w:cs="Times New Roman"/>
            <w:i/>
            <w:iCs/>
            <w:color w:val="auto"/>
            <w:sz w:val="16"/>
            <w:szCs w:val="16"/>
            <w:u w:val="none"/>
          </w:rPr>
          <w:t>decreto legislativo 22 gennaio 2004, n. 42</w:t>
        </w:r>
      </w:hyperlink>
      <w:r w:rsidRPr="00486E08">
        <w:rPr>
          <w:rFonts w:ascii="Times New Roman" w:hAnsi="Times New Roman" w:cs="Times New Roman"/>
          <w:i/>
          <w:iCs/>
          <w:sz w:val="16"/>
          <w:szCs w:val="16"/>
        </w:rPr>
        <w:t xml:space="preserve">, i seguenti interventi sono eseguiti senza alcun titolo abilitativo: </w:t>
      </w:r>
      <w:r w:rsidRPr="00486E08">
        <w:rPr>
          <w:rFonts w:ascii="Arial" w:hAnsi="Arial" w:cs="Arial"/>
          <w:sz w:val="16"/>
          <w:szCs w:val="16"/>
        </w:rPr>
        <w:t>[</w:t>
      </w:r>
      <w:r w:rsidRPr="00486E08">
        <w:rPr>
          <w:rFonts w:ascii="Times New Roman" w:hAnsi="Times New Roman" w:cs="Times New Roman"/>
          <w:sz w:val="16"/>
          <w:szCs w:val="16"/>
        </w:rPr>
        <w:t>…</w:t>
      </w:r>
      <w:r w:rsidRPr="00486E08">
        <w:rPr>
          <w:rFonts w:ascii="Arial" w:hAnsi="Arial" w:cs="Arial"/>
          <w:sz w:val="16"/>
          <w:szCs w:val="16"/>
        </w:rPr>
        <w:t>]</w:t>
      </w:r>
      <w:r w:rsidRPr="00486E08">
        <w:rPr>
          <w:rFonts w:ascii="Times New Roman" w:hAnsi="Times New Roman" w:cs="Times New Roman"/>
          <w:i/>
          <w:iCs/>
          <w:sz w:val="16"/>
          <w:szCs w:val="16"/>
        </w:rPr>
        <w:t xml:space="preserve"> </w:t>
      </w:r>
      <w:r w:rsidRPr="00486E08">
        <w:rPr>
          <w:rFonts w:ascii="Times New Roman" w:hAnsi="Times New Roman" w:cs="Times New Roman"/>
          <w:sz w:val="16"/>
          <w:szCs w:val="16"/>
        </w:rPr>
        <w:t>e-</w:t>
      </w:r>
      <w:r w:rsidRPr="00486E08">
        <w:rPr>
          <w:rFonts w:ascii="Times New Roman" w:hAnsi="Times New Roman" w:cs="Times New Roman"/>
          <w:i/>
          <w:iCs/>
          <w:sz w:val="16"/>
          <w:szCs w:val="16"/>
        </w:rPr>
        <w:t>bis</w:t>
      </w:r>
      <w:r w:rsidRPr="00486E08">
        <w:rPr>
          <w:rFonts w:ascii="Times New Roman" w:hAnsi="Times New Roman" w:cs="Times New Roman"/>
          <w:sz w:val="16"/>
          <w:szCs w:val="16"/>
        </w:rPr>
        <w:t xml:space="preserve">) </w:t>
      </w:r>
      <w:r w:rsidRPr="00486E08">
        <w:rPr>
          <w:rFonts w:ascii="Times New Roman" w:hAnsi="Times New Roman" w:cs="Times New Roman"/>
          <w:i/>
          <w:iCs/>
          <w:sz w:val="16"/>
          <w:szCs w:val="16"/>
        </w:rPr>
        <w:t>le opere stagionali e quelle dirette a soddisfare obiettive esigenze, contingenti e temporanee, purché destinate ad essere immediatamente rimosse al cessare della temporanea necessità e, comunque, entro un termine non superiore a centottanta giorni comprensivo dei tempi di allestimento e smontaggio del manufatto, previa comunicazione di avvio dei lavori all'amministrazione comunale»</w:t>
      </w:r>
      <w:r w:rsidRPr="00486E08">
        <w:rPr>
          <w:rFonts w:ascii="Times New Roman" w:hAnsi="Times New Roman" w:cs="Times New Roman"/>
          <w:sz w:val="16"/>
          <w:szCs w:val="16"/>
        </w:rPr>
        <w:t>. Di proroga in proroga, la sospensione del regime edificatorio e paesaggistico di tali strutture è stata estesa al 30 giugno 2027 dall’art. 50 della c.d. legge di semplificazione, 2 dicembre 2025, n. 182. Ciò comporta un ulteriore problema interpretativo, ovvero la sovrapponibilità o meno del concetto di “difficile rimozione” con quello di mancata “destinazione ad essere rimosse”, ovvero di “non immediata” rimovibilità.  Come meglio chiarito nel prosieguo nel testo, la questione si complica ove si abbia a mente il contenuto del comma 3-</w:t>
      </w:r>
      <w:r w:rsidRPr="00486E08">
        <w:rPr>
          <w:rFonts w:ascii="Times New Roman" w:hAnsi="Times New Roman" w:cs="Times New Roman"/>
          <w:i/>
          <w:iCs/>
          <w:sz w:val="16"/>
          <w:szCs w:val="16"/>
        </w:rPr>
        <w:t>bis</w:t>
      </w:r>
      <w:r w:rsidRPr="00486E08">
        <w:rPr>
          <w:rFonts w:ascii="Times New Roman" w:hAnsi="Times New Roman" w:cs="Times New Roman"/>
          <w:sz w:val="16"/>
          <w:szCs w:val="16"/>
        </w:rPr>
        <w:t xml:space="preserve">, inserito nell’art. 3 della legge 5 agosto 2022, n. 118, dal </w:t>
      </w:r>
      <w:proofErr w:type="spellStart"/>
      <w:r w:rsidRPr="00486E08">
        <w:rPr>
          <w:rFonts w:ascii="Times New Roman" w:hAnsi="Times New Roman" w:cs="Times New Roman"/>
          <w:sz w:val="16"/>
          <w:szCs w:val="16"/>
        </w:rPr>
        <w:t>d.l.</w:t>
      </w:r>
      <w:proofErr w:type="spellEnd"/>
      <w:r w:rsidRPr="00486E08">
        <w:rPr>
          <w:rFonts w:ascii="Times New Roman" w:hAnsi="Times New Roman" w:cs="Times New Roman"/>
          <w:sz w:val="16"/>
          <w:szCs w:val="16"/>
        </w:rPr>
        <w:t xml:space="preserve"> 16 settembre 2024, n. 131, convertito, con modificazioni, dalla l. 14 novembre 2024, n. 166, che consente ai titolari di concessioni demaniali il mantenimento </w:t>
      </w:r>
      <w:r w:rsidRPr="00486E08">
        <w:rPr>
          <w:rFonts w:ascii="Times New Roman" w:hAnsi="Times New Roman" w:cs="Times New Roman"/>
          <w:i/>
          <w:iCs/>
          <w:sz w:val="16"/>
          <w:szCs w:val="16"/>
        </w:rPr>
        <w:t>in loco</w:t>
      </w:r>
      <w:r w:rsidRPr="00486E08">
        <w:rPr>
          <w:rFonts w:ascii="Times New Roman" w:hAnsi="Times New Roman" w:cs="Times New Roman"/>
          <w:sz w:val="16"/>
          <w:szCs w:val="16"/>
        </w:rPr>
        <w:t xml:space="preserve"> delle strutture precarie e “amovibili” «</w:t>
      </w:r>
      <w:r w:rsidRPr="00486E08">
        <w:rPr>
          <w:rFonts w:ascii="Times New Roman" w:hAnsi="Times New Roman" w:cs="Times New Roman"/>
          <w:i/>
          <w:iCs/>
          <w:sz w:val="16"/>
          <w:szCs w:val="16"/>
        </w:rPr>
        <w:t>di cui alla lettera e.5) del </w:t>
      </w:r>
      <w:hyperlink r:id="rId3" w:tgtFrame="_blank" w:history="1">
        <w:r w:rsidRPr="00486E08">
          <w:rPr>
            <w:rStyle w:val="Collegamentoipertestuale"/>
            <w:rFonts w:ascii="Times New Roman" w:hAnsi="Times New Roman" w:cs="Times New Roman"/>
            <w:i/>
            <w:iCs/>
            <w:color w:val="auto"/>
            <w:sz w:val="16"/>
            <w:szCs w:val="16"/>
            <w:u w:val="none"/>
          </w:rPr>
          <w:t>comma 1 dell’articolo 3 del testo unico delle disposizioni legislative e regolamentari in materia edilizia</w:t>
        </w:r>
      </w:hyperlink>
      <w:r w:rsidRPr="00486E08">
        <w:rPr>
          <w:rFonts w:ascii="Times New Roman" w:hAnsi="Times New Roman" w:cs="Times New Roman"/>
          <w:i/>
          <w:iCs/>
          <w:sz w:val="16"/>
          <w:szCs w:val="16"/>
        </w:rPr>
        <w:t>, di cui al </w:t>
      </w:r>
      <w:hyperlink r:id="rId4" w:tgtFrame="_blank" w:history="1">
        <w:r w:rsidRPr="00486E08">
          <w:rPr>
            <w:rStyle w:val="Collegamentoipertestuale"/>
            <w:rFonts w:ascii="Times New Roman" w:hAnsi="Times New Roman" w:cs="Times New Roman"/>
            <w:i/>
            <w:iCs/>
            <w:color w:val="auto"/>
            <w:sz w:val="16"/>
            <w:szCs w:val="16"/>
            <w:u w:val="none"/>
          </w:rPr>
          <w:t>decreto del Presidente della Repubblica 6 giugno 2001, n. 380</w:t>
        </w:r>
      </w:hyperlink>
      <w:r w:rsidRPr="00486E08">
        <w:rPr>
          <w:rStyle w:val="Collegamentoipertestuale"/>
          <w:rFonts w:ascii="Times New Roman" w:hAnsi="Times New Roman" w:cs="Times New Roman"/>
          <w:i/>
          <w:iCs/>
          <w:color w:val="auto"/>
          <w:sz w:val="16"/>
          <w:szCs w:val="16"/>
          <w:u w:val="none"/>
        </w:rPr>
        <w:t>»</w:t>
      </w:r>
      <w:r w:rsidRPr="00486E08">
        <w:rPr>
          <w:rFonts w:ascii="Times New Roman" w:hAnsi="Times New Roman" w:cs="Times New Roman"/>
          <w:i/>
          <w:iCs/>
          <w:sz w:val="16"/>
          <w:szCs w:val="16"/>
        </w:rPr>
        <w:t xml:space="preserve">, </w:t>
      </w:r>
      <w:r w:rsidRPr="00486E08">
        <w:rPr>
          <w:rFonts w:ascii="Times New Roman" w:hAnsi="Times New Roman" w:cs="Times New Roman"/>
          <w:sz w:val="16"/>
          <w:szCs w:val="16"/>
        </w:rPr>
        <w:t>ovvero quelle che già necessitano di permesso di costruire proprio perché destinate a restare in loco oltre la stagionalità. Ciò purché si sia</w:t>
      </w:r>
      <w:r w:rsidRPr="00486E08">
        <w:rPr>
          <w:rFonts w:ascii="Times New Roman" w:hAnsi="Times New Roman" w:cs="Times New Roman"/>
          <w:i/>
          <w:iCs/>
          <w:sz w:val="16"/>
          <w:szCs w:val="16"/>
        </w:rPr>
        <w:t xml:space="preserve">  « in vigenza del titolo concessorio e ferma restando la corresponsione del relativo canone, fino alla data di aggiudicazione delle procedure selettive avviate ai sensi dell'articolo 1, comma 1, lettera a), numero 1.1), secondo periodo, del </w:t>
      </w:r>
      <w:hyperlink r:id="rId5" w:tgtFrame="_blank" w:history="1">
        <w:r w:rsidRPr="00486E08">
          <w:rPr>
            <w:rStyle w:val="Collegamentoipertestuale"/>
            <w:rFonts w:ascii="Times New Roman" w:hAnsi="Times New Roman" w:cs="Times New Roman"/>
            <w:i/>
            <w:iCs/>
            <w:color w:val="auto"/>
            <w:sz w:val="16"/>
            <w:szCs w:val="16"/>
            <w:u w:val="none"/>
          </w:rPr>
          <w:t>decreto-legge 16 settembre 2024, n. 131</w:t>
        </w:r>
      </w:hyperlink>
      <w:r w:rsidRPr="00486E08">
        <w:rPr>
          <w:rFonts w:ascii="Times New Roman" w:hAnsi="Times New Roman" w:cs="Times New Roman"/>
          <w:i/>
          <w:iCs/>
          <w:sz w:val="16"/>
          <w:szCs w:val="16"/>
        </w:rPr>
        <w:t>, mantenere installati i predetti manufatti anche nel periodo di sospensione stagionale dell’esercizio delle attività turistico-ricreative. Sono fatti salvi eventuali provvedimenti di demolizione adottati prima della data di entrata in vigore della presente disposizione</w:t>
      </w:r>
      <w:r w:rsidRPr="00486E08">
        <w:rPr>
          <w:rFonts w:ascii="Times New Roman" w:hAnsi="Times New Roman" w:cs="Times New Roman"/>
          <w:b/>
          <w:bCs/>
          <w:i/>
          <w:iCs/>
          <w:sz w:val="16"/>
          <w:szCs w:val="16"/>
        </w:rPr>
        <w:t>»</w:t>
      </w:r>
      <w:r w:rsidRPr="00486E08">
        <w:rPr>
          <w:rFonts w:ascii="Times New Roman" w:hAnsi="Times New Roman" w:cs="Times New Roman"/>
          <w:sz w:val="16"/>
          <w:szCs w:val="16"/>
        </w:rPr>
        <w:t>.</w:t>
      </w:r>
    </w:p>
  </w:footnote>
  <w:footnote w:id="8">
    <w:p w14:paraId="07360662" w14:textId="2CBE6284" w:rsidR="00486E08" w:rsidRDefault="00486E08" w:rsidP="00486E08">
      <w:pPr>
        <w:pStyle w:val="Testonotaapidipagina"/>
        <w:jc w:val="both"/>
      </w:pPr>
      <w:r>
        <w:rPr>
          <w:rStyle w:val="Rimandonotaapidipagina"/>
        </w:rPr>
        <w:footnoteRef/>
      </w:r>
      <w:r>
        <w:t xml:space="preserve"> </w:t>
      </w:r>
      <w:r w:rsidRPr="00486E08">
        <w:rPr>
          <w:rFonts w:ascii="Times New Roman" w:hAnsi="Times New Roman" w:cs="Times New Roman"/>
          <w:sz w:val="16"/>
          <w:szCs w:val="16"/>
        </w:rPr>
        <w:t xml:space="preserve">Sul concetto di stagionalità e il rapporto con la temporaneità che determina l’esonero anche dall’autorizzazione paesaggistica, v. Cons. Stato, sez. II, 13 febbraio 2023, n. 1489, ove si dà atto anche dell’avvenuta sospensione </w:t>
      </w:r>
      <w:proofErr w:type="spellStart"/>
      <w:r w:rsidRPr="00486E08">
        <w:rPr>
          <w:rFonts w:ascii="Times New Roman" w:hAnsi="Times New Roman" w:cs="Times New Roman"/>
          <w:i/>
          <w:iCs/>
          <w:sz w:val="16"/>
          <w:szCs w:val="16"/>
        </w:rPr>
        <w:t>ope</w:t>
      </w:r>
      <w:proofErr w:type="spellEnd"/>
      <w:r w:rsidRPr="00486E08">
        <w:rPr>
          <w:rFonts w:ascii="Times New Roman" w:hAnsi="Times New Roman" w:cs="Times New Roman"/>
          <w:i/>
          <w:iCs/>
          <w:sz w:val="16"/>
          <w:szCs w:val="16"/>
        </w:rPr>
        <w:t xml:space="preserve"> legis</w:t>
      </w:r>
      <w:r w:rsidRPr="00486E08">
        <w:rPr>
          <w:rFonts w:ascii="Times New Roman" w:hAnsi="Times New Roman" w:cs="Times New Roman"/>
          <w:sz w:val="16"/>
          <w:szCs w:val="16"/>
        </w:rPr>
        <w:t xml:space="preserve"> di ridetta temporaneità con la legislazione emergenziale da COVID-19.</w:t>
      </w:r>
    </w:p>
  </w:footnote>
  <w:footnote w:id="9">
    <w:p w14:paraId="1F2869A5" w14:textId="7D63101E" w:rsidR="00F55DCB" w:rsidRPr="00A76AF4" w:rsidRDefault="00F55DCB">
      <w:pPr>
        <w:pStyle w:val="Testonotaapidipagina"/>
        <w:rPr>
          <w:rFonts w:ascii="Times New Roman" w:hAnsi="Times New Roman" w:cs="Times New Roman"/>
          <w:sz w:val="16"/>
          <w:szCs w:val="16"/>
        </w:rPr>
      </w:pPr>
      <w:r>
        <w:rPr>
          <w:rStyle w:val="Rimandonotaapidipagina"/>
        </w:rPr>
        <w:footnoteRef/>
      </w:r>
      <w:r>
        <w:t xml:space="preserve"> </w:t>
      </w:r>
      <w:r w:rsidRPr="00A76AF4">
        <w:rPr>
          <w:rFonts w:ascii="Times New Roman" w:hAnsi="Times New Roman" w:cs="Times New Roman"/>
          <w:sz w:val="16"/>
          <w:szCs w:val="16"/>
        </w:rPr>
        <w:t>La distinzione è stata magistralmente sintetizzata in A.M. Sandulli, Manuale di diritto amministrativo, XIV ed., Iovene, 1984, vol. 2, pag. 1112, offrendo un quadro di insuperata attualità ancora oggi.</w:t>
      </w:r>
    </w:p>
  </w:footnote>
  <w:footnote w:id="10">
    <w:p w14:paraId="0B4AEE47" w14:textId="15D443DB" w:rsidR="00E3289B" w:rsidRDefault="00E3289B" w:rsidP="00E3289B">
      <w:pPr>
        <w:pStyle w:val="Testonotaapidipagina"/>
        <w:jc w:val="both"/>
      </w:pPr>
      <w:r>
        <w:rPr>
          <w:rStyle w:val="Rimandonotaapidipagina"/>
        </w:rPr>
        <w:footnoteRef/>
      </w:r>
      <w:r>
        <w:t xml:space="preserve"> </w:t>
      </w:r>
      <w:r w:rsidRPr="00E3289B">
        <w:rPr>
          <w:rFonts w:ascii="Times New Roman" w:hAnsi="Times New Roman" w:cs="Times New Roman"/>
        </w:rPr>
        <w:t>Trattasi delle opere di raccolta, di regolazione e di derivazione, principali e accessorie, dei canali adduttori dell’acqua, delle condotte forzate e dei canali di scarico, che per regola passano in proprietà allo Stato senza compenso, ma che evidentemente, se oggetto di accordo o autorizzazione preventiva, sono suscettibili di indennizzo.</w:t>
      </w:r>
      <w:r>
        <w:t xml:space="preserve"> </w:t>
      </w:r>
    </w:p>
  </w:footnote>
  <w:footnote w:id="11">
    <w:p w14:paraId="775D0FE7" w14:textId="066A9F6E" w:rsidR="005A509D" w:rsidRPr="005A509D" w:rsidRDefault="005A509D" w:rsidP="005A509D">
      <w:pPr>
        <w:pStyle w:val="Testonotaapidipagina"/>
        <w:jc w:val="both"/>
        <w:rPr>
          <w:rFonts w:ascii="Times New Roman" w:hAnsi="Times New Roman" w:cs="Times New Roman"/>
        </w:rPr>
      </w:pPr>
      <w:r>
        <w:rPr>
          <w:rStyle w:val="Rimandonotaapidipagina"/>
        </w:rPr>
        <w:footnoteRef/>
      </w:r>
      <w:r>
        <w:t xml:space="preserve"> </w:t>
      </w:r>
      <w:r w:rsidRPr="005A509D">
        <w:rPr>
          <w:rFonts w:ascii="Times New Roman" w:hAnsi="Times New Roman" w:cs="Times New Roman"/>
        </w:rPr>
        <w:t xml:space="preserve">Sulla contrarietà al diritto </w:t>
      </w:r>
      <w:proofErr w:type="spellStart"/>
      <w:r w:rsidRPr="005A509D">
        <w:rPr>
          <w:rFonts w:ascii="Times New Roman" w:hAnsi="Times New Roman" w:cs="Times New Roman"/>
        </w:rPr>
        <w:t>unionale</w:t>
      </w:r>
      <w:proofErr w:type="spellEnd"/>
      <w:r w:rsidRPr="005A509D">
        <w:rPr>
          <w:rFonts w:ascii="Times New Roman" w:hAnsi="Times New Roman" w:cs="Times New Roman"/>
        </w:rPr>
        <w:t xml:space="preserve"> dell’utilizzo del </w:t>
      </w:r>
      <w:r w:rsidRPr="00D57044">
        <w:rPr>
          <w:rFonts w:ascii="Times New Roman" w:hAnsi="Times New Roman" w:cs="Times New Roman"/>
          <w:i/>
          <w:iCs/>
        </w:rPr>
        <w:t>project financing</w:t>
      </w:r>
      <w:r w:rsidRPr="005A509D">
        <w:rPr>
          <w:rFonts w:ascii="Times New Roman" w:hAnsi="Times New Roman" w:cs="Times New Roman"/>
        </w:rPr>
        <w:t xml:space="preserve"> come “controprestazione” dell’affidamento di una concessione su bene demaniale a scopo turistico-ricreativo, omettendo il rispetto dei principi </w:t>
      </w:r>
      <w:r>
        <w:rPr>
          <w:rFonts w:ascii="Times New Roman" w:hAnsi="Times New Roman" w:cs="Times New Roman"/>
        </w:rPr>
        <w:t xml:space="preserve">che valgono </w:t>
      </w:r>
      <w:r w:rsidRPr="005A509D">
        <w:rPr>
          <w:rFonts w:ascii="Times New Roman" w:hAnsi="Times New Roman" w:cs="Times New Roman"/>
        </w:rPr>
        <w:t xml:space="preserve">qualunque sia la procedura di affidamento prescelta, v. </w:t>
      </w:r>
      <w:proofErr w:type="spellStart"/>
      <w:r w:rsidRPr="005A509D">
        <w:rPr>
          <w:rFonts w:ascii="Times New Roman" w:hAnsi="Times New Roman" w:cs="Times New Roman"/>
        </w:rPr>
        <w:t>T.a.r</w:t>
      </w:r>
      <w:proofErr w:type="spellEnd"/>
      <w:r w:rsidRPr="005A509D">
        <w:rPr>
          <w:rFonts w:ascii="Times New Roman" w:hAnsi="Times New Roman" w:cs="Times New Roman"/>
        </w:rPr>
        <w:t>. per il Lazio, sez. staccata di Latina, 11 maggio 2026, n. 562.</w:t>
      </w:r>
    </w:p>
  </w:footnote>
  <w:footnote w:id="12">
    <w:p w14:paraId="206F03D6" w14:textId="293FB67C" w:rsidR="009332AD" w:rsidRDefault="009332AD" w:rsidP="00D57044">
      <w:pPr>
        <w:pStyle w:val="Testonotaapidipagina"/>
        <w:jc w:val="both"/>
      </w:pPr>
      <w:r>
        <w:rPr>
          <w:rStyle w:val="Rimandonotaapidipagina"/>
        </w:rPr>
        <w:footnoteRef/>
      </w:r>
      <w:r>
        <w:t xml:space="preserve"> </w:t>
      </w:r>
      <w:r w:rsidRPr="009332AD">
        <w:rPr>
          <w:rFonts w:ascii="Times New Roman" w:hAnsi="Times New Roman" w:cs="Times New Roman"/>
        </w:rPr>
        <w:t>Art. 4, comma 6, della l. n. 118 del 2022: «</w:t>
      </w:r>
      <w:r w:rsidRPr="009332AD">
        <w:rPr>
          <w:rFonts w:ascii="Times New Roman" w:eastAsia="Times New Roman" w:hAnsi="Times New Roman" w:cs="Times New Roman"/>
          <w:color w:val="19191A"/>
          <w:kern w:val="0"/>
          <w:sz w:val="27"/>
          <w:szCs w:val="27"/>
          <w:lang w:eastAsia="it-IT"/>
          <w14:ligatures w14:val="none"/>
        </w:rPr>
        <w:t xml:space="preserve"> </w:t>
      </w:r>
      <w:r w:rsidRPr="009332AD">
        <w:rPr>
          <w:rFonts w:ascii="Times New Roman" w:hAnsi="Times New Roman" w:cs="Times New Roman"/>
          <w:i/>
          <w:iCs/>
        </w:rPr>
        <w:t>Ai fini della valutazione delle offerte, l</w:t>
      </w:r>
      <w:r w:rsidR="00D57044">
        <w:rPr>
          <w:rFonts w:ascii="Times New Roman" w:hAnsi="Times New Roman" w:cs="Times New Roman"/>
          <w:i/>
          <w:iCs/>
        </w:rPr>
        <w:t>’</w:t>
      </w:r>
      <w:r w:rsidRPr="009332AD">
        <w:rPr>
          <w:rFonts w:ascii="Times New Roman" w:hAnsi="Times New Roman" w:cs="Times New Roman"/>
          <w:i/>
          <w:iCs/>
        </w:rPr>
        <w:t>ente concedente applica anche i seguenti criteri di aggiudicazione, nel rispetto dei principi di parità di trattamento, di massima partecipazione e di proporzionalità: a) l’importo offerto rispetto all'importo minimo di cui al comma 4, lettera e);b) la qualità e le condizioni del servizio offerto agli utenti, anche in relazione al programma di interventi indicato dall’offerente, con particolare riferimento a quelli finalizzati a migliorare l’accessibilità e la fruibilità dell’area demaniale, anche da parte delle persone con disabilità, nonché l’offerta di specifici servizi turistici anche in periodi non di alta stagione; c) la qualità degli impianti, dei manufatti e di ogni altro bene da asservire alla concessione, anche sotto il profilo del pregio architettonico e della corrispondenza con le tradizioni locali; d) l’offerta di servizi integrati che valorizzino le specificità culturali, folkloristiche ed enogastronomiche del territorio; e) l’incremento e la diversificazione dell’offerta turistico-ricreativa, anche con riguardo all</w:t>
      </w:r>
      <w:r w:rsidR="00D57044">
        <w:rPr>
          <w:rFonts w:ascii="Times New Roman" w:hAnsi="Times New Roman" w:cs="Times New Roman"/>
          <w:i/>
          <w:iCs/>
        </w:rPr>
        <w:t>’</w:t>
      </w:r>
      <w:r w:rsidRPr="009332AD">
        <w:rPr>
          <w:rFonts w:ascii="Times New Roman" w:hAnsi="Times New Roman" w:cs="Times New Roman"/>
          <w:i/>
          <w:iCs/>
        </w:rPr>
        <w:t>offerta di servizi specifici per l'accessibilità e la fruibilità dell</w:t>
      </w:r>
      <w:r w:rsidR="00D57044">
        <w:rPr>
          <w:rFonts w:ascii="Times New Roman" w:hAnsi="Times New Roman" w:cs="Times New Roman"/>
          <w:i/>
          <w:iCs/>
        </w:rPr>
        <w:t>’</w:t>
      </w:r>
      <w:r w:rsidRPr="009332AD">
        <w:rPr>
          <w:rFonts w:ascii="Times New Roman" w:hAnsi="Times New Roman" w:cs="Times New Roman"/>
          <w:i/>
          <w:iCs/>
        </w:rPr>
        <w:t>area demaniale da parte degli animali da affezione, all</w:t>
      </w:r>
      <w:r w:rsidR="00D57044">
        <w:rPr>
          <w:rFonts w:ascii="Times New Roman" w:hAnsi="Times New Roman" w:cs="Times New Roman"/>
          <w:i/>
          <w:iCs/>
        </w:rPr>
        <w:t>’</w:t>
      </w:r>
      <w:r w:rsidRPr="009332AD">
        <w:rPr>
          <w:rFonts w:ascii="Times New Roman" w:hAnsi="Times New Roman" w:cs="Times New Roman"/>
          <w:i/>
          <w:iCs/>
        </w:rPr>
        <w:t>offerta di servizi specifici dedicati alle famiglie e all'offerta di servizi aggiuntivi volti a valorizzare l</w:t>
      </w:r>
      <w:r w:rsidR="00D57044">
        <w:rPr>
          <w:rFonts w:ascii="Times New Roman" w:hAnsi="Times New Roman" w:cs="Times New Roman"/>
          <w:i/>
          <w:iCs/>
        </w:rPr>
        <w:t>’</w:t>
      </w:r>
      <w:r w:rsidRPr="009332AD">
        <w:rPr>
          <w:rFonts w:ascii="Times New Roman" w:hAnsi="Times New Roman" w:cs="Times New Roman"/>
          <w:i/>
          <w:iCs/>
        </w:rPr>
        <w:t>esperienza turistica delle persone con disabilità</w:t>
      </w:r>
      <w:r w:rsidR="00E14128" w:rsidRPr="00E14128">
        <w:rPr>
          <w:rFonts w:ascii="Times New Roman" w:hAnsi="Times New Roman" w:cs="Times New Roman"/>
        </w:rPr>
        <w:t xml:space="preserve">; </w:t>
      </w:r>
      <w:r w:rsidRPr="00D57044">
        <w:rPr>
          <w:rFonts w:ascii="Times New Roman" w:hAnsi="Times New Roman" w:cs="Times New Roman"/>
          <w:i/>
          <w:iCs/>
        </w:rPr>
        <w:t>f) gli obiettivi di politica sociale, di salute e di sicurezza</w:t>
      </w:r>
      <w:r w:rsidRPr="009332AD">
        <w:rPr>
          <w:rFonts w:ascii="Times New Roman" w:hAnsi="Times New Roman" w:cs="Times New Roman"/>
        </w:rPr>
        <w:t xml:space="preserve"> </w:t>
      </w:r>
      <w:r w:rsidRPr="00D57044">
        <w:rPr>
          <w:rFonts w:ascii="Times New Roman" w:hAnsi="Times New Roman" w:cs="Times New Roman"/>
          <w:i/>
          <w:iCs/>
        </w:rPr>
        <w:t>dei lavoratori, di protezione dell'ambiente e di salvaguardia del patrimonio culturale;</w:t>
      </w:r>
      <w:r w:rsidR="00E14128">
        <w:rPr>
          <w:rFonts w:ascii="Times New Roman" w:hAnsi="Times New Roman" w:cs="Times New Roman"/>
        </w:rPr>
        <w:t xml:space="preserve"> </w:t>
      </w:r>
      <w:r w:rsidRPr="009332AD">
        <w:rPr>
          <w:rFonts w:ascii="Times New Roman" w:hAnsi="Times New Roman" w:cs="Times New Roman"/>
          <w:i/>
          <w:iCs/>
        </w:rPr>
        <w:t>g) l</w:t>
      </w:r>
      <w:r w:rsidR="00E14128" w:rsidRPr="00E14128">
        <w:rPr>
          <w:rFonts w:ascii="Times New Roman" w:hAnsi="Times New Roman" w:cs="Times New Roman"/>
          <w:i/>
          <w:iCs/>
        </w:rPr>
        <w:t>’</w:t>
      </w:r>
      <w:r w:rsidRPr="009332AD">
        <w:rPr>
          <w:rFonts w:ascii="Times New Roman" w:hAnsi="Times New Roman" w:cs="Times New Roman"/>
          <w:i/>
          <w:iCs/>
        </w:rPr>
        <w:t>impegno ad assumere,</w:t>
      </w:r>
      <w:r w:rsidR="00E14128" w:rsidRPr="00E14128">
        <w:rPr>
          <w:rFonts w:ascii="Times New Roman" w:hAnsi="Times New Roman" w:cs="Times New Roman"/>
          <w:i/>
          <w:iCs/>
        </w:rPr>
        <w:t xml:space="preserve"> </w:t>
      </w:r>
      <w:r w:rsidRPr="009332AD">
        <w:rPr>
          <w:rFonts w:ascii="Times New Roman" w:hAnsi="Times New Roman" w:cs="Times New Roman"/>
          <w:i/>
          <w:iCs/>
        </w:rPr>
        <w:t>preferibilmente in misura prevalente o totalitaria, per le attività oggetto della concessione, personale di età inferiore a trentasei anni;</w:t>
      </w:r>
      <w:r w:rsidR="00E14128">
        <w:rPr>
          <w:rFonts w:ascii="Times New Roman" w:hAnsi="Times New Roman" w:cs="Times New Roman"/>
          <w:i/>
          <w:iCs/>
        </w:rPr>
        <w:t xml:space="preserve"> </w:t>
      </w:r>
      <w:r w:rsidRPr="009332AD">
        <w:rPr>
          <w:rFonts w:ascii="Times New Roman" w:hAnsi="Times New Roman" w:cs="Times New Roman"/>
          <w:i/>
          <w:iCs/>
        </w:rPr>
        <w:t>h) l</w:t>
      </w:r>
      <w:r w:rsidR="00E14128">
        <w:rPr>
          <w:rFonts w:ascii="Times New Roman" w:hAnsi="Times New Roman" w:cs="Times New Roman"/>
          <w:i/>
          <w:iCs/>
        </w:rPr>
        <w:t>’</w:t>
      </w:r>
      <w:r w:rsidRPr="009332AD">
        <w:rPr>
          <w:rFonts w:ascii="Times New Roman" w:hAnsi="Times New Roman" w:cs="Times New Roman"/>
          <w:i/>
          <w:iCs/>
        </w:rPr>
        <w:t>esperienza tecnica e professionale dell</w:t>
      </w:r>
      <w:r w:rsidR="00E14128">
        <w:rPr>
          <w:rFonts w:ascii="Times New Roman" w:hAnsi="Times New Roman" w:cs="Times New Roman"/>
          <w:i/>
          <w:iCs/>
        </w:rPr>
        <w:t>’</w:t>
      </w:r>
      <w:r w:rsidRPr="009332AD">
        <w:rPr>
          <w:rFonts w:ascii="Times New Roman" w:hAnsi="Times New Roman" w:cs="Times New Roman"/>
          <w:i/>
          <w:iCs/>
        </w:rPr>
        <w:t>offerente in relazione ad attività turistico-ricreative comparabili, anche svolte in regime di concessione;</w:t>
      </w:r>
      <w:r w:rsidR="00E14128">
        <w:rPr>
          <w:rFonts w:ascii="Times New Roman" w:hAnsi="Times New Roman" w:cs="Times New Roman"/>
          <w:i/>
          <w:iCs/>
        </w:rPr>
        <w:t xml:space="preserve"> </w:t>
      </w:r>
      <w:r w:rsidRPr="009332AD">
        <w:rPr>
          <w:rFonts w:ascii="Times New Roman" w:hAnsi="Times New Roman" w:cs="Times New Roman"/>
          <w:i/>
          <w:iCs/>
        </w:rPr>
        <w:t>i) se l</w:t>
      </w:r>
      <w:r w:rsidR="00E14128">
        <w:rPr>
          <w:rFonts w:ascii="Times New Roman" w:hAnsi="Times New Roman" w:cs="Times New Roman"/>
          <w:i/>
          <w:iCs/>
        </w:rPr>
        <w:t>’</w:t>
      </w:r>
      <w:r w:rsidRPr="009332AD">
        <w:rPr>
          <w:rFonts w:ascii="Times New Roman" w:hAnsi="Times New Roman" w:cs="Times New Roman"/>
          <w:i/>
          <w:iCs/>
        </w:rPr>
        <w:t>offerente, nei cinque anni antecedenti, ha utilizzato una concessione quale prevalente fonte di reddito per sé e per il proprio nucleo familiare;</w:t>
      </w:r>
      <w:r w:rsidR="00E14128">
        <w:rPr>
          <w:rFonts w:ascii="Times New Roman" w:hAnsi="Times New Roman" w:cs="Times New Roman"/>
          <w:i/>
          <w:iCs/>
        </w:rPr>
        <w:t xml:space="preserve"> </w:t>
      </w:r>
      <w:r w:rsidRPr="009332AD">
        <w:rPr>
          <w:rFonts w:ascii="Times New Roman" w:hAnsi="Times New Roman" w:cs="Times New Roman"/>
          <w:i/>
          <w:iCs/>
        </w:rPr>
        <w:t>l) al fine di garantire la massima partecipazione, il numero delle concessioni di cui è già titolare, in via diretta o indiretta, ciascun offerente nell</w:t>
      </w:r>
      <w:r w:rsidR="00E14128">
        <w:rPr>
          <w:rFonts w:ascii="Times New Roman" w:hAnsi="Times New Roman" w:cs="Times New Roman"/>
          <w:i/>
          <w:iCs/>
        </w:rPr>
        <w:t>’</w:t>
      </w:r>
      <w:r w:rsidRPr="009332AD">
        <w:rPr>
          <w:rFonts w:ascii="Times New Roman" w:hAnsi="Times New Roman" w:cs="Times New Roman"/>
          <w:i/>
          <w:iCs/>
        </w:rPr>
        <w:t>ambito territoriale di riferimento dell'ente concedente;</w:t>
      </w:r>
      <w:r w:rsidR="00E14128">
        <w:rPr>
          <w:rFonts w:ascii="Times New Roman" w:hAnsi="Times New Roman" w:cs="Times New Roman"/>
          <w:i/>
          <w:iCs/>
        </w:rPr>
        <w:t xml:space="preserve"> </w:t>
      </w:r>
      <w:r w:rsidRPr="009332AD">
        <w:rPr>
          <w:rFonts w:ascii="Times New Roman" w:hAnsi="Times New Roman" w:cs="Times New Roman"/>
          <w:i/>
          <w:iCs/>
        </w:rPr>
        <w:t>m) il numero di lavoratori del concessionario uscente, che ricevono da tale attività la prevalente fonte di reddito per sé e per il proprio nucleo familiare, che ciascun offerente si impegna ad assumere in caso di aggiudicazione della concessione.</w:t>
      </w:r>
    </w:p>
  </w:footnote>
  <w:footnote w:id="13">
    <w:p w14:paraId="64AD6C21" w14:textId="4DDC8CEC" w:rsidR="00E14128" w:rsidRPr="00A76AF4" w:rsidRDefault="00E14128" w:rsidP="00E14128">
      <w:pPr>
        <w:pStyle w:val="Testonotaapidipagina"/>
        <w:jc w:val="both"/>
        <w:rPr>
          <w:sz w:val="16"/>
          <w:szCs w:val="16"/>
        </w:rPr>
      </w:pPr>
      <w:r>
        <w:rPr>
          <w:rStyle w:val="Rimandonotaapidipagina"/>
        </w:rPr>
        <w:footnoteRef/>
      </w:r>
      <w:r>
        <w:t xml:space="preserve"> </w:t>
      </w:r>
      <w:r w:rsidRPr="00A76AF4">
        <w:rPr>
          <w:rFonts w:ascii="Times New Roman" w:hAnsi="Times New Roman" w:cs="Times New Roman"/>
          <w:sz w:val="16"/>
          <w:szCs w:val="16"/>
        </w:rPr>
        <w:t>Ad oggi sul sito del Ministero è riportato il seguente stato dell’arte: lo schema del bando, redatto in sede tecnica nei gruppi di lavoro con gli enti territoriali e sottoposto alla consultazione delle associazioni di categoria, è stato oggetto del più ampio confronto per arrivare alla definizione definitiva del documento nel più breve tempo possibile, dopo il vaglio politico della Conferenza unificata.</w:t>
      </w:r>
    </w:p>
  </w:footnote>
  <w:footnote w:id="14">
    <w:p w14:paraId="26B14094" w14:textId="67572A47" w:rsidR="006E7022" w:rsidRPr="00EA1F1F" w:rsidRDefault="006E7022" w:rsidP="00B279E0">
      <w:pPr>
        <w:pStyle w:val="Testonotaapidipagina"/>
        <w:jc w:val="both"/>
        <w:rPr>
          <w:rFonts w:ascii="Times New Roman" w:hAnsi="Times New Roman" w:cs="Times New Roman"/>
        </w:rPr>
      </w:pPr>
      <w:r>
        <w:rPr>
          <w:rStyle w:val="Rimandonotaapidipagina"/>
        </w:rPr>
        <w:footnoteRef/>
      </w:r>
      <w:r>
        <w:t xml:space="preserve"> </w:t>
      </w:r>
      <w:r w:rsidRPr="00B279E0">
        <w:rPr>
          <w:rFonts w:ascii="Times New Roman" w:hAnsi="Times New Roman" w:cs="Times New Roman"/>
          <w:sz w:val="16"/>
          <w:szCs w:val="16"/>
        </w:rPr>
        <w:t xml:space="preserve">La qualifica come proroga tecnica è ad esempio affermata in Cons. Stato, sez. VII, </w:t>
      </w:r>
      <w:r w:rsidR="00EA1F1F" w:rsidRPr="00B279E0">
        <w:rPr>
          <w:rFonts w:ascii="Times New Roman" w:hAnsi="Times New Roman" w:cs="Times New Roman"/>
          <w:sz w:val="16"/>
          <w:szCs w:val="16"/>
        </w:rPr>
        <w:t>21 maggio 2026, n. 4121</w:t>
      </w:r>
      <w:r w:rsidRPr="00B279E0">
        <w:rPr>
          <w:rFonts w:ascii="Times New Roman" w:hAnsi="Times New Roman" w:cs="Times New Roman"/>
          <w:sz w:val="16"/>
          <w:szCs w:val="16"/>
        </w:rPr>
        <w:t xml:space="preserve">, che ne desume la natura dalla ratio esplicitata </w:t>
      </w:r>
      <w:r w:rsidR="00EA1F1F" w:rsidRPr="00B279E0">
        <w:rPr>
          <w:rFonts w:ascii="Times New Roman" w:hAnsi="Times New Roman" w:cs="Times New Roman"/>
          <w:sz w:val="16"/>
          <w:szCs w:val="16"/>
        </w:rPr>
        <w:t xml:space="preserve">in apertura dell’art. 3, comma 1, della l. n. 118 del 2022, ovvero quella di «“consentire l’ordinata programmazione delle procedure di affidamento”, </w:t>
      </w:r>
      <w:r w:rsidR="00EA1F1F" w:rsidRPr="00B279E0">
        <w:rPr>
          <w:rFonts w:ascii="Times New Roman" w:hAnsi="Times New Roman" w:cs="Times New Roman"/>
          <w:i/>
          <w:iCs/>
          <w:sz w:val="16"/>
          <w:szCs w:val="16"/>
        </w:rPr>
        <w:t>di tal ché la proroga si mostra strettamente correlata con l’obbligo dei Comuni di procedere allo svolgimento delle procedure di gara per l’individuazione dei concessionari</w:t>
      </w:r>
      <w:r w:rsidR="00EA1F1F" w:rsidRPr="00B279E0">
        <w:rPr>
          <w:rFonts w:ascii="Times New Roman" w:hAnsi="Times New Roman" w:cs="Times New Roman"/>
          <w:sz w:val="16"/>
          <w:szCs w:val="16"/>
        </w:rPr>
        <w:t>».</w:t>
      </w:r>
      <w:r w:rsidR="00B279E0" w:rsidRPr="00B279E0">
        <w:rPr>
          <w:rFonts w:ascii="Times New Roman" w:hAnsi="Times New Roman" w:cs="Times New Roman"/>
          <w:sz w:val="16"/>
          <w:szCs w:val="16"/>
        </w:rPr>
        <w:t xml:space="preserve"> Conforme, Cons. Stato, sez. VII, 18 agosto 2026, n. 6539, alla stregua della quale : «</w:t>
      </w:r>
      <w:r w:rsidR="00B279E0">
        <w:rPr>
          <w:rFonts w:ascii="Arial" w:hAnsi="Arial" w:cs="Arial"/>
          <w:sz w:val="16"/>
          <w:szCs w:val="16"/>
        </w:rPr>
        <w:t>[</w:t>
      </w:r>
      <w:r w:rsidR="00B279E0">
        <w:rPr>
          <w:rFonts w:ascii="Times New Roman" w:hAnsi="Times New Roman" w:cs="Times New Roman"/>
          <w:sz w:val="16"/>
          <w:szCs w:val="16"/>
        </w:rPr>
        <w:t>…</w:t>
      </w:r>
      <w:r w:rsidR="00B279E0">
        <w:rPr>
          <w:rFonts w:ascii="Arial" w:hAnsi="Arial" w:cs="Arial"/>
          <w:sz w:val="16"/>
          <w:szCs w:val="16"/>
        </w:rPr>
        <w:t>]</w:t>
      </w:r>
      <w:r w:rsidR="00B279E0" w:rsidRPr="00B279E0">
        <w:rPr>
          <w:rFonts w:ascii="Times New Roman" w:hAnsi="Times New Roman" w:cs="Times New Roman"/>
          <w:sz w:val="16"/>
          <w:szCs w:val="16"/>
        </w:rPr>
        <w:t xml:space="preserve"> </w:t>
      </w:r>
      <w:r w:rsidR="00B279E0" w:rsidRPr="00B279E0">
        <w:rPr>
          <w:rFonts w:ascii="Times New Roman" w:hAnsi="Times New Roman" w:cs="Times New Roman"/>
          <w:i/>
          <w:iCs/>
          <w:sz w:val="16"/>
          <w:szCs w:val="16"/>
        </w:rPr>
        <w:t>la data del 30 settembre 2027 è un termine massimo, la P.A. è tenuta a bandire le gare almeno sei mesi prima della scadenza del titolo concessorio e, in sede di prima applicazione della nuova disciplina, “</w:t>
      </w:r>
      <w:r w:rsidR="00B279E0" w:rsidRPr="00B279E0">
        <w:rPr>
          <w:rFonts w:ascii="Times New Roman" w:hAnsi="Times New Roman" w:cs="Times New Roman"/>
          <w:sz w:val="16"/>
          <w:szCs w:val="16"/>
        </w:rPr>
        <w:t>in ogni caso entro il 30 giugno 2027</w:t>
      </w:r>
      <w:r w:rsidR="00B279E0" w:rsidRPr="00B279E0">
        <w:rPr>
          <w:rFonts w:ascii="Times New Roman" w:hAnsi="Times New Roman" w:cs="Times New Roman"/>
          <w:i/>
          <w:iCs/>
          <w:sz w:val="16"/>
          <w:szCs w:val="16"/>
        </w:rPr>
        <w:t>”, unitamente ai richiamati principi della giurisprudenza, depongono in modo univoco nel senso che la regola a cui i Comuni devono ispirare la propria azione è quella di esperire senza indugi le procedure di gara e concluderle il prima possibile, mentre l’utilizzo dei termini massimi (sia quello del 30 giugno 2027, sia quello del 30 settembre 2027) costituisce l’eccezione</w:t>
      </w:r>
      <w:r w:rsidR="00B279E0" w:rsidRPr="00B279E0">
        <w:rPr>
          <w:rFonts w:ascii="Times New Roman" w:hAnsi="Times New Roman" w:cs="Times New Roman"/>
          <w:sz w:val="16"/>
          <w:szCs w:val="16"/>
        </w:rPr>
        <w:t xml:space="preserve">».  </w:t>
      </w:r>
    </w:p>
  </w:footnote>
  <w:footnote w:id="15">
    <w:p w14:paraId="23482AE1" w14:textId="750A47EA" w:rsidR="00976633" w:rsidRDefault="00976633" w:rsidP="00976633">
      <w:pPr>
        <w:pStyle w:val="Testonotaapidipagina"/>
        <w:jc w:val="both"/>
      </w:pPr>
      <w:r>
        <w:rPr>
          <w:rStyle w:val="Rimandonotaapidipagina"/>
        </w:rPr>
        <w:footnoteRef/>
      </w:r>
      <w:r>
        <w:t xml:space="preserve"> </w:t>
      </w:r>
      <w:r w:rsidRPr="00B279E0">
        <w:rPr>
          <w:rFonts w:ascii="Times New Roman" w:hAnsi="Times New Roman" w:cs="Times New Roman"/>
          <w:sz w:val="16"/>
          <w:szCs w:val="16"/>
        </w:rPr>
        <w:t>Cons. Stato, sez. VII, 20 maggio 2024, n. 4480</w:t>
      </w:r>
      <w:r>
        <w:rPr>
          <w:rFonts w:ascii="Times New Roman" w:hAnsi="Times New Roman" w:cs="Times New Roman"/>
          <w:sz w:val="16"/>
          <w:szCs w:val="16"/>
        </w:rPr>
        <w:t>,</w:t>
      </w:r>
      <w:r w:rsidRPr="00B279E0">
        <w:rPr>
          <w:rFonts w:ascii="Times New Roman" w:hAnsi="Times New Roman" w:cs="Times New Roman"/>
          <w:sz w:val="16"/>
          <w:szCs w:val="16"/>
        </w:rPr>
        <w:t xml:space="preserve"> che </w:t>
      </w:r>
      <w:r>
        <w:rPr>
          <w:rFonts w:ascii="Times New Roman" w:hAnsi="Times New Roman" w:cs="Times New Roman"/>
          <w:sz w:val="16"/>
          <w:szCs w:val="16"/>
        </w:rPr>
        <w:t xml:space="preserve">dopo aver affermato la compatibilità con </w:t>
      </w:r>
      <w:r w:rsidRPr="00B279E0">
        <w:rPr>
          <w:rFonts w:ascii="Times New Roman" w:hAnsi="Times New Roman" w:cs="Times New Roman"/>
          <w:sz w:val="16"/>
          <w:szCs w:val="16"/>
        </w:rPr>
        <w:t xml:space="preserve">il diritto UE la sola proroga </w:t>
      </w:r>
      <w:r w:rsidRPr="00B279E0">
        <w:rPr>
          <w:rFonts w:ascii="Times New Roman" w:hAnsi="Times New Roman" w:cs="Times New Roman"/>
          <w:i/>
          <w:iCs/>
          <w:sz w:val="16"/>
          <w:szCs w:val="16"/>
        </w:rPr>
        <w:t xml:space="preserve">“tecnica” </w:t>
      </w:r>
      <w:r w:rsidRPr="00B279E0">
        <w:rPr>
          <w:rFonts w:ascii="Times New Roman" w:hAnsi="Times New Roman" w:cs="Times New Roman"/>
          <w:sz w:val="16"/>
          <w:szCs w:val="16"/>
        </w:rPr>
        <w:t xml:space="preserve">funzionale allo svolgimento della gara e per il tempo strettamente necessario alla sua conclusione, </w:t>
      </w:r>
      <w:r>
        <w:rPr>
          <w:rFonts w:ascii="Times New Roman" w:hAnsi="Times New Roman" w:cs="Times New Roman"/>
          <w:sz w:val="16"/>
          <w:szCs w:val="16"/>
        </w:rPr>
        <w:t xml:space="preserve">ha altresì precisato </w:t>
      </w:r>
      <w:r w:rsidRPr="00B279E0">
        <w:rPr>
          <w:rFonts w:ascii="Times New Roman" w:hAnsi="Times New Roman" w:cs="Times New Roman"/>
          <w:sz w:val="16"/>
          <w:szCs w:val="16"/>
        </w:rPr>
        <w:t>che «</w:t>
      </w:r>
      <w:r w:rsidRPr="00B279E0">
        <w:rPr>
          <w:rFonts w:ascii="Times New Roman" w:hAnsi="Times New Roman" w:cs="Times New Roman"/>
          <w:i/>
          <w:iCs/>
          <w:sz w:val="16"/>
          <w:szCs w:val="16"/>
        </w:rPr>
        <w:t>affinché possano legittimamente giovarsi di tale proroga tecnica senza violare o eludere il diritto dell’Unione e la stessa legge n. 118/2022 […] le autorità amministrative competenti – e, in particolare, quelle comunali – devono avere già indetto la procedura selettiva o comunque avere deliberato di indirla in tempi brevissimi, emanando atti di indirizzo in tal senso e avviando senza indugio l’iter per la predisposizione dei bandi»</w:t>
      </w:r>
      <w:r w:rsidR="003A153D">
        <w:rPr>
          <w:rFonts w:ascii="Times New Roman" w:hAnsi="Times New Roman" w:cs="Times New Roman"/>
          <w:i/>
          <w:iCs/>
          <w:sz w:val="16"/>
          <w:szCs w:val="16"/>
        </w:rPr>
        <w:t>.</w:t>
      </w:r>
    </w:p>
  </w:footnote>
  <w:footnote w:id="16">
    <w:p w14:paraId="3C8C6358" w14:textId="57F4ACF6" w:rsidR="001C2DA6" w:rsidRPr="00A76AF4" w:rsidRDefault="001C2DA6" w:rsidP="001C2DA6">
      <w:pPr>
        <w:pStyle w:val="Testonotaapidipagina"/>
        <w:jc w:val="both"/>
        <w:rPr>
          <w:rFonts w:ascii="Times New Roman" w:hAnsi="Times New Roman" w:cs="Times New Roman"/>
          <w:sz w:val="16"/>
          <w:szCs w:val="16"/>
        </w:rPr>
      </w:pPr>
      <w:r>
        <w:rPr>
          <w:rStyle w:val="Rimandonotaapidipagina"/>
        </w:rPr>
        <w:footnoteRef/>
      </w:r>
      <w:r>
        <w:t xml:space="preserve"> </w:t>
      </w:r>
      <w:r w:rsidRPr="00A76AF4">
        <w:rPr>
          <w:rFonts w:ascii="Times New Roman" w:hAnsi="Times New Roman" w:cs="Times New Roman"/>
          <w:sz w:val="16"/>
          <w:szCs w:val="16"/>
        </w:rPr>
        <w:t>La questione si pone con significatività anche maggiore in relazione alle autorizzazioni ai subingressi nella gestione dell’azienda, astrattamente legittimi, in quanto previsti dal Codice della navigazione, ma che tuttavia presuppongono la titolarità di una concessione pienamente efficace, non un’occupazione meramente tollerata, «</w:t>
      </w:r>
      <w:r w:rsidRPr="00A76AF4">
        <w:rPr>
          <w:rFonts w:ascii="Times New Roman" w:hAnsi="Times New Roman" w:cs="Times New Roman"/>
          <w:i/>
          <w:iCs/>
          <w:sz w:val="16"/>
          <w:szCs w:val="16"/>
        </w:rPr>
        <w:t>anche in relazione all’art. 1161 del codice della navigazione</w:t>
      </w:r>
      <w:r w:rsidRPr="00A76AF4">
        <w:rPr>
          <w:rFonts w:ascii="Times New Roman" w:hAnsi="Times New Roman" w:cs="Times New Roman"/>
          <w:sz w:val="16"/>
          <w:szCs w:val="16"/>
        </w:rPr>
        <w:t>».</w:t>
      </w:r>
      <w:r w:rsidRPr="00A76AF4">
        <w:rPr>
          <w:sz w:val="16"/>
          <w:szCs w:val="16"/>
        </w:rPr>
        <w:t xml:space="preserve"> </w:t>
      </w:r>
      <w:r w:rsidR="00EA1F1F" w:rsidRPr="00A76AF4">
        <w:rPr>
          <w:rFonts w:ascii="Times New Roman" w:hAnsi="Times New Roman" w:cs="Times New Roman"/>
          <w:sz w:val="16"/>
          <w:szCs w:val="16"/>
        </w:rPr>
        <w:t>Si ritiene infatti che l’espressione «continuano ad avere efficacia», da ultimo fino al 30 settembre 2027, contenuta nell’art. 3, comma 1, della l. n. 1</w:t>
      </w:r>
      <w:r w:rsidR="00855282" w:rsidRPr="00A76AF4">
        <w:rPr>
          <w:rFonts w:ascii="Times New Roman" w:hAnsi="Times New Roman" w:cs="Times New Roman"/>
          <w:sz w:val="16"/>
          <w:szCs w:val="16"/>
        </w:rPr>
        <w:t>18</w:t>
      </w:r>
      <w:r w:rsidR="00EA1F1F" w:rsidRPr="00A76AF4">
        <w:rPr>
          <w:rFonts w:ascii="Times New Roman" w:hAnsi="Times New Roman" w:cs="Times New Roman"/>
          <w:sz w:val="16"/>
          <w:szCs w:val="16"/>
        </w:rPr>
        <w:t xml:space="preserve"> del 20</w:t>
      </w:r>
      <w:r w:rsidR="00855282" w:rsidRPr="00A76AF4">
        <w:rPr>
          <w:rFonts w:ascii="Times New Roman" w:hAnsi="Times New Roman" w:cs="Times New Roman"/>
          <w:sz w:val="16"/>
          <w:szCs w:val="16"/>
        </w:rPr>
        <w:t>22</w:t>
      </w:r>
      <w:r w:rsidR="00EA1F1F" w:rsidRPr="00A76AF4">
        <w:rPr>
          <w:rFonts w:ascii="Times New Roman" w:hAnsi="Times New Roman" w:cs="Times New Roman"/>
          <w:sz w:val="16"/>
          <w:szCs w:val="16"/>
        </w:rPr>
        <w:t xml:space="preserve">, non possa essere intesa nel senso </w:t>
      </w:r>
      <w:r w:rsidR="00855282" w:rsidRPr="00A76AF4">
        <w:rPr>
          <w:rFonts w:ascii="Times New Roman" w:hAnsi="Times New Roman" w:cs="Times New Roman"/>
          <w:sz w:val="16"/>
          <w:szCs w:val="16"/>
        </w:rPr>
        <w:t xml:space="preserve">del riconoscimento della titolarità “piena” di una concessione, scaduta da anni. </w:t>
      </w:r>
      <w:r w:rsidR="00EA1F1F" w:rsidRPr="00A76AF4">
        <w:rPr>
          <w:rFonts w:ascii="Times New Roman" w:hAnsi="Times New Roman" w:cs="Times New Roman"/>
          <w:sz w:val="16"/>
          <w:szCs w:val="16"/>
        </w:rPr>
        <w:t xml:space="preserve"> </w:t>
      </w:r>
      <w:r w:rsidR="00855282" w:rsidRPr="00A76AF4">
        <w:rPr>
          <w:rFonts w:ascii="Times New Roman" w:hAnsi="Times New Roman" w:cs="Times New Roman"/>
          <w:sz w:val="16"/>
          <w:szCs w:val="16"/>
        </w:rPr>
        <w:t xml:space="preserve">Quanto detto, peraltro, anche in applicazione del canone civilistico </w:t>
      </w:r>
      <w:proofErr w:type="spellStart"/>
      <w:r w:rsidR="00855282" w:rsidRPr="00A76AF4">
        <w:rPr>
          <w:rFonts w:ascii="Times New Roman" w:hAnsi="Times New Roman" w:cs="Times New Roman"/>
          <w:i/>
          <w:iCs/>
          <w:sz w:val="16"/>
          <w:szCs w:val="16"/>
        </w:rPr>
        <w:t>nemo</w:t>
      </w:r>
      <w:proofErr w:type="spellEnd"/>
      <w:r w:rsidR="00855282" w:rsidRPr="00A76AF4">
        <w:rPr>
          <w:rFonts w:ascii="Times New Roman" w:hAnsi="Times New Roman" w:cs="Times New Roman"/>
          <w:i/>
          <w:iCs/>
          <w:sz w:val="16"/>
          <w:szCs w:val="16"/>
        </w:rPr>
        <w:t xml:space="preserve"> plus iuris </w:t>
      </w:r>
      <w:proofErr w:type="spellStart"/>
      <w:r w:rsidR="00855282" w:rsidRPr="00A76AF4">
        <w:rPr>
          <w:rFonts w:ascii="Times New Roman" w:hAnsi="Times New Roman" w:cs="Times New Roman"/>
          <w:i/>
          <w:iCs/>
          <w:sz w:val="16"/>
          <w:szCs w:val="16"/>
        </w:rPr>
        <w:t>transferre</w:t>
      </w:r>
      <w:proofErr w:type="spellEnd"/>
      <w:r w:rsidR="00855282" w:rsidRPr="00A76AF4">
        <w:rPr>
          <w:rFonts w:ascii="Times New Roman" w:hAnsi="Times New Roman" w:cs="Times New Roman"/>
          <w:i/>
          <w:iCs/>
          <w:sz w:val="16"/>
          <w:szCs w:val="16"/>
        </w:rPr>
        <w:t xml:space="preserve"> </w:t>
      </w:r>
      <w:proofErr w:type="spellStart"/>
      <w:r w:rsidR="00855282" w:rsidRPr="00A76AF4">
        <w:rPr>
          <w:rFonts w:ascii="Times New Roman" w:hAnsi="Times New Roman" w:cs="Times New Roman"/>
          <w:i/>
          <w:iCs/>
          <w:sz w:val="16"/>
          <w:szCs w:val="16"/>
        </w:rPr>
        <w:t>potest</w:t>
      </w:r>
      <w:proofErr w:type="spellEnd"/>
      <w:r w:rsidR="00855282" w:rsidRPr="00A76AF4">
        <w:rPr>
          <w:rFonts w:ascii="Times New Roman" w:hAnsi="Times New Roman" w:cs="Times New Roman"/>
          <w:i/>
          <w:iCs/>
          <w:sz w:val="16"/>
          <w:szCs w:val="16"/>
        </w:rPr>
        <w:t xml:space="preserve"> </w:t>
      </w:r>
      <w:proofErr w:type="spellStart"/>
      <w:r w:rsidR="00855282" w:rsidRPr="00A76AF4">
        <w:rPr>
          <w:rFonts w:ascii="Times New Roman" w:hAnsi="Times New Roman" w:cs="Times New Roman"/>
          <w:i/>
          <w:iCs/>
          <w:sz w:val="16"/>
          <w:szCs w:val="16"/>
        </w:rPr>
        <w:t>quam</w:t>
      </w:r>
      <w:proofErr w:type="spellEnd"/>
      <w:r w:rsidR="00855282" w:rsidRPr="00A76AF4">
        <w:rPr>
          <w:rFonts w:ascii="Times New Roman" w:hAnsi="Times New Roman" w:cs="Times New Roman"/>
          <w:i/>
          <w:iCs/>
          <w:sz w:val="16"/>
          <w:szCs w:val="16"/>
        </w:rPr>
        <w:t xml:space="preserve"> ipse </w:t>
      </w:r>
      <w:proofErr w:type="spellStart"/>
      <w:r w:rsidR="00855282" w:rsidRPr="00A76AF4">
        <w:rPr>
          <w:rFonts w:ascii="Times New Roman" w:hAnsi="Times New Roman" w:cs="Times New Roman"/>
          <w:i/>
          <w:iCs/>
          <w:sz w:val="16"/>
          <w:szCs w:val="16"/>
        </w:rPr>
        <w:t>habet</w:t>
      </w:r>
      <w:proofErr w:type="spellEnd"/>
      <w:r w:rsidR="00855282" w:rsidRPr="00A76AF4">
        <w:rPr>
          <w:rFonts w:ascii="Times New Roman" w:hAnsi="Times New Roman" w:cs="Times New Roman"/>
          <w:sz w:val="16"/>
          <w:szCs w:val="16"/>
        </w:rPr>
        <w:t>. Se il titolo originario è scaduto e la legge nazionale si limita a disporre che gli effetti “continuano”, la natura di quel titolo resta strutturalmente precaria e instabile. Non si ritiene configurabile un subingresso “pieno e ordinario” (</w:t>
      </w:r>
      <w:r w:rsidR="00855282" w:rsidRPr="00A76AF4">
        <w:rPr>
          <w:rFonts w:ascii="Times New Roman" w:hAnsi="Times New Roman" w:cs="Times New Roman"/>
          <w:i/>
          <w:iCs/>
          <w:sz w:val="16"/>
          <w:szCs w:val="16"/>
        </w:rPr>
        <w:t>ex</w:t>
      </w:r>
      <w:r w:rsidR="00855282" w:rsidRPr="00A76AF4">
        <w:rPr>
          <w:rFonts w:ascii="Times New Roman" w:hAnsi="Times New Roman" w:cs="Times New Roman"/>
          <w:sz w:val="16"/>
          <w:szCs w:val="16"/>
        </w:rPr>
        <w:t xml:space="preserve"> art. 46 Cod. Nav.) se l’oggetto del trasferimento non è una concessione nel pieno del suo vigore temporale originario, ma un'attività che si regge su un polmone artificiale normativo. L’ambiguità della terminologia utilizzata dal legislatore, tuttavia, non potrà che generare ulteriore contenzioso, anche sul punto.  </w:t>
      </w:r>
    </w:p>
  </w:footnote>
  <w:footnote w:id="17">
    <w:p w14:paraId="19B08DAB" w14:textId="1012ED20" w:rsidR="00B245DD" w:rsidRPr="005E3497" w:rsidRDefault="00B245DD" w:rsidP="00B245DD">
      <w:pPr>
        <w:pStyle w:val="Testonotaapidipagina"/>
        <w:jc w:val="both"/>
        <w:rPr>
          <w:rFonts w:ascii="Times New Roman" w:hAnsi="Times New Roman" w:cs="Times New Roman"/>
        </w:rPr>
      </w:pPr>
      <w:r w:rsidRPr="00A76AF4">
        <w:rPr>
          <w:rStyle w:val="Rimandonotaapidipagina"/>
          <w:sz w:val="16"/>
          <w:szCs w:val="16"/>
        </w:rPr>
        <w:footnoteRef/>
      </w:r>
      <w:r w:rsidRPr="00A76AF4">
        <w:rPr>
          <w:sz w:val="16"/>
          <w:szCs w:val="16"/>
        </w:rPr>
        <w:t xml:space="preserve"> </w:t>
      </w:r>
      <w:r w:rsidRPr="00A76AF4">
        <w:rPr>
          <w:rFonts w:ascii="Times New Roman" w:hAnsi="Times New Roman" w:cs="Times New Roman"/>
          <w:sz w:val="16"/>
          <w:szCs w:val="16"/>
        </w:rPr>
        <w:t>Rientrano tra gli investimenti da indennizzare quelli «</w:t>
      </w:r>
      <w:r w:rsidRPr="00A76AF4">
        <w:rPr>
          <w:rFonts w:ascii="Times New Roman" w:hAnsi="Times New Roman" w:cs="Times New Roman"/>
          <w:i/>
          <w:iCs/>
          <w:sz w:val="16"/>
          <w:szCs w:val="16"/>
        </w:rPr>
        <w:t>effettuati in conseguenza di eventi calamitosi debitamente dichiarati dalle autorità competenti ovvero in conseguenza di sopravvenuti obblighi di legge, al netto</w:t>
      </w:r>
      <w:r w:rsidRPr="005E3497">
        <w:rPr>
          <w:rFonts w:ascii="Times New Roman" w:hAnsi="Times New Roman" w:cs="Times New Roman"/>
          <w:i/>
          <w:iCs/>
        </w:rPr>
        <w:t xml:space="preserve"> </w:t>
      </w:r>
      <w:r w:rsidRPr="00A76AF4">
        <w:rPr>
          <w:rFonts w:ascii="Times New Roman" w:hAnsi="Times New Roman" w:cs="Times New Roman"/>
          <w:i/>
          <w:iCs/>
          <w:sz w:val="16"/>
          <w:szCs w:val="16"/>
        </w:rPr>
        <w:t>di ogni misura di aiuto o sovvenzione pubblica eventualmente percepita e non rimborsata</w:t>
      </w:r>
      <w:r w:rsidR="005E3497" w:rsidRPr="00A76AF4">
        <w:rPr>
          <w:rFonts w:ascii="Times New Roman" w:hAnsi="Times New Roman" w:cs="Times New Roman"/>
          <w:sz w:val="16"/>
          <w:szCs w:val="16"/>
        </w:rPr>
        <w:t>» (art. 4, comma 9 della l. n. 118 del 2022). La dizione tuttavia si presenta, paradossalmente, eccessivamente restrittiva, non potendosi non ricomprendere negli stessi anche quelli correlati ad eventi calamitosi non riconosciuti tali dalle autorità competenti (si pensi ai classici fenomeni delle trombe d’aria, o ai sempre più frequenti eventi metereologici estremi anche in piena stagione estiva). Nella stessa logica va neutralizzata la locuzione «</w:t>
      </w:r>
      <w:r w:rsidR="005E3497" w:rsidRPr="00A76AF4">
        <w:rPr>
          <w:rFonts w:ascii="Times New Roman" w:hAnsi="Times New Roman" w:cs="Times New Roman"/>
          <w:i/>
          <w:iCs/>
          <w:sz w:val="16"/>
          <w:szCs w:val="16"/>
        </w:rPr>
        <w:t>ivi compresi</w:t>
      </w:r>
      <w:r w:rsidR="005E3497" w:rsidRPr="00A76AF4">
        <w:rPr>
          <w:rFonts w:ascii="Times New Roman" w:hAnsi="Times New Roman" w:cs="Times New Roman"/>
          <w:sz w:val="16"/>
          <w:szCs w:val="16"/>
        </w:rPr>
        <w:t>» con cui si apre il richiamo agli stessi, che sembrerebbe limitarli ai casi di investimenti «</w:t>
      </w:r>
      <w:r w:rsidR="005E3497" w:rsidRPr="00A76AF4">
        <w:rPr>
          <w:rFonts w:ascii="Times New Roman" w:hAnsi="Times New Roman" w:cs="Times New Roman"/>
          <w:i/>
          <w:iCs/>
          <w:sz w:val="16"/>
          <w:szCs w:val="16"/>
        </w:rPr>
        <w:t>non ancora</w:t>
      </w:r>
      <w:r w:rsidR="005E3497" w:rsidRPr="005E3497">
        <w:rPr>
          <w:rFonts w:ascii="Times New Roman" w:hAnsi="Times New Roman" w:cs="Times New Roman"/>
          <w:i/>
          <w:iCs/>
        </w:rPr>
        <w:t xml:space="preserve"> </w:t>
      </w:r>
      <w:r w:rsidR="005E3497" w:rsidRPr="00A76AF4">
        <w:rPr>
          <w:rFonts w:ascii="Times New Roman" w:hAnsi="Times New Roman" w:cs="Times New Roman"/>
          <w:i/>
          <w:iCs/>
          <w:sz w:val="16"/>
          <w:szCs w:val="16"/>
        </w:rPr>
        <w:t>ammortizzati al termine della concessione</w:t>
      </w:r>
      <w:r w:rsidR="005E3497" w:rsidRPr="00A76AF4">
        <w:rPr>
          <w:rFonts w:ascii="Times New Roman" w:hAnsi="Times New Roman" w:cs="Times New Roman"/>
          <w:sz w:val="16"/>
          <w:szCs w:val="16"/>
        </w:rPr>
        <w:t>», mentre per quelli correlati a fattori estemporanei, proprio in quanto sottratti a qualsivoglia automatismo e</w:t>
      </w:r>
      <w:r w:rsidR="005E3497" w:rsidRPr="005E3497">
        <w:rPr>
          <w:rFonts w:ascii="Times New Roman" w:hAnsi="Times New Roman" w:cs="Times New Roman"/>
        </w:rPr>
        <w:t xml:space="preserve"> </w:t>
      </w:r>
      <w:r w:rsidR="005E3497" w:rsidRPr="00A76AF4">
        <w:rPr>
          <w:rFonts w:ascii="Times New Roman" w:hAnsi="Times New Roman" w:cs="Times New Roman"/>
          <w:sz w:val="16"/>
          <w:szCs w:val="16"/>
        </w:rPr>
        <w:t>legati alla valutazione concreta del caso singolo, l’inclusione nel novero dei ristorabili non pare contraria allo spirito della norma.</w:t>
      </w:r>
    </w:p>
  </w:footnote>
  <w:footnote w:id="18">
    <w:p w14:paraId="4DA14AC3" w14:textId="29D7435E" w:rsidR="002B70A7" w:rsidRPr="00A76AF4" w:rsidRDefault="002B70A7" w:rsidP="002B70A7">
      <w:pPr>
        <w:pStyle w:val="Testonotaapidipagina"/>
        <w:jc w:val="both"/>
        <w:rPr>
          <w:rFonts w:ascii="Times New Roman" w:hAnsi="Times New Roman" w:cs="Times New Roman"/>
          <w:sz w:val="16"/>
          <w:szCs w:val="16"/>
        </w:rPr>
      </w:pPr>
      <w:r>
        <w:rPr>
          <w:rStyle w:val="Rimandonotaapidipagina"/>
        </w:rPr>
        <w:footnoteRef/>
      </w:r>
      <w:r>
        <w:t xml:space="preserve"> </w:t>
      </w:r>
      <w:r w:rsidRPr="00A76AF4">
        <w:rPr>
          <w:rFonts w:ascii="Times New Roman" w:hAnsi="Times New Roman" w:cs="Times New Roman"/>
          <w:sz w:val="16"/>
          <w:szCs w:val="16"/>
        </w:rPr>
        <w:t xml:space="preserve">La norma, come noto, mai abrogata, è stata tuttavia superata con il già ricordato trasferimento alle regioni delle funzioni amministrative per il rilascio delle concessioni sul demanio marittimo per finalità turistico-ricreative a partire dal d.lgs. n. 112 del 1998, che a loro volta le hanno per lo più delegate ai comuni.  La Capitaneria di Porto o lo Stato mantengono la competenza prevista dal Codice solo per aree specifiche legate alla sicurezza nazionale, alla difesa o per i grandi porti commerciali di rilevanza nazionale. </w:t>
      </w:r>
    </w:p>
  </w:footnote>
  <w:footnote w:id="19">
    <w:p w14:paraId="33769079" w14:textId="02078355" w:rsidR="00901935" w:rsidRPr="00A76AF4" w:rsidRDefault="00901935" w:rsidP="00901935">
      <w:pPr>
        <w:pStyle w:val="Testonotaapidipagina"/>
        <w:jc w:val="both"/>
        <w:rPr>
          <w:sz w:val="16"/>
          <w:szCs w:val="16"/>
        </w:rPr>
      </w:pPr>
      <w:r w:rsidRPr="00A76AF4">
        <w:rPr>
          <w:rStyle w:val="Rimandonotaapidipagina"/>
          <w:sz w:val="16"/>
          <w:szCs w:val="16"/>
        </w:rPr>
        <w:footnoteRef/>
      </w:r>
      <w:r w:rsidRPr="00A76AF4">
        <w:rPr>
          <w:sz w:val="16"/>
          <w:szCs w:val="16"/>
        </w:rPr>
        <w:t xml:space="preserve"> </w:t>
      </w:r>
      <w:r w:rsidRPr="00A76AF4">
        <w:rPr>
          <w:rFonts w:ascii="Times New Roman" w:hAnsi="Times New Roman" w:cs="Times New Roman"/>
          <w:sz w:val="16"/>
          <w:szCs w:val="16"/>
        </w:rPr>
        <w:t>L’indennizzo è pari al rimborso di tante quote parti del costo delle opere quanti sono gli anni mancanti al termine di scadenza fissato ed ha come tetto massimo il valore delle opere, detratto l’ammontare degli ammortamenti già effettuati. Il legislatore del 1942, dunque, aveva già affrontato la tematica della tutela delle aspettative del concessionario uscente, ma ne aveva circoscritto la rilevanza ai casi di cessazione anticipata della concessione. L’unico dato utilizzabile pro futuro da tale disciplina, è l’indicazione del tetto massimo, ovvero il valore dell’“opera stabile” decurtato delle perdite derivanti dal suo utilizzo fino a quel momento</w:t>
      </w:r>
      <w:r w:rsidRPr="00A76AF4">
        <w:rPr>
          <w:sz w:val="16"/>
          <w:szCs w:val="16"/>
        </w:rPr>
        <w:t xml:space="preserve">.  </w:t>
      </w:r>
    </w:p>
  </w:footnote>
  <w:footnote w:id="20">
    <w:p w14:paraId="4D8C6142" w14:textId="15E543C3" w:rsidR="00801B00" w:rsidRPr="00A76AF4" w:rsidRDefault="00801B00" w:rsidP="004476BD">
      <w:pPr>
        <w:pStyle w:val="Testonotaapidipagina"/>
        <w:jc w:val="both"/>
        <w:rPr>
          <w:sz w:val="16"/>
          <w:szCs w:val="16"/>
        </w:rPr>
      </w:pPr>
      <w:r>
        <w:rPr>
          <w:rStyle w:val="Rimandonotaapidipagina"/>
        </w:rPr>
        <w:footnoteRef/>
      </w:r>
      <w:r>
        <w:t xml:space="preserve"> </w:t>
      </w:r>
      <w:r w:rsidRPr="00A76AF4">
        <w:rPr>
          <w:rFonts w:ascii="Times New Roman" w:hAnsi="Times New Roman" w:cs="Times New Roman"/>
          <w:sz w:val="16"/>
          <w:szCs w:val="16"/>
        </w:rPr>
        <w:t>L’art. 3, comma 1, lett. e.5) chiarisce quando un manufatto, “strutturalmente” e visivamente precario, non è considerato neutro sotto il profilo edilizio, necessitando addirittura di permesso di costruire: strutture di qualsiasi genere utilizzate come abitazioni, ambienti di lavoro, depositi o magazzini (anche roulotte, camper o case mobili) che non siano dirette a soddisfare esigenze meramente temporanee. L</w:t>
      </w:r>
      <w:r w:rsidR="004476BD" w:rsidRPr="00A76AF4">
        <w:rPr>
          <w:rFonts w:ascii="Times New Roman" w:hAnsi="Times New Roman" w:cs="Times New Roman"/>
          <w:sz w:val="16"/>
          <w:szCs w:val="16"/>
        </w:rPr>
        <w:t>’</w:t>
      </w:r>
      <w:r w:rsidRPr="00A76AF4">
        <w:rPr>
          <w:rFonts w:ascii="Times New Roman" w:hAnsi="Times New Roman" w:cs="Times New Roman"/>
          <w:sz w:val="16"/>
          <w:szCs w:val="16"/>
        </w:rPr>
        <w:t>ancoraggio o meno al suolo diventa irrilevante: se la struttura serve a soddisfare un bisogno permanente o prolungato nel tempo, l'opera necessita del titolo edilizio maggiore</w:t>
      </w:r>
      <w:r w:rsidRPr="00A76AF4">
        <w:rPr>
          <w:sz w:val="16"/>
          <w:szCs w:val="16"/>
        </w:rPr>
        <w:t>.</w:t>
      </w:r>
    </w:p>
  </w:footnote>
  <w:footnote w:id="21">
    <w:p w14:paraId="52972D20" w14:textId="05CB32B0" w:rsidR="004D7F8E" w:rsidRPr="004D7F8E" w:rsidRDefault="004D7F8E" w:rsidP="004D7F8E">
      <w:pPr>
        <w:pStyle w:val="Testonotaapidipagina"/>
        <w:jc w:val="both"/>
        <w:rPr>
          <w:rFonts w:ascii="Times New Roman" w:hAnsi="Times New Roman" w:cs="Times New Roman"/>
          <w:sz w:val="16"/>
          <w:szCs w:val="16"/>
        </w:rPr>
      </w:pPr>
      <w:r>
        <w:rPr>
          <w:rStyle w:val="Rimandonotaapidipagina"/>
        </w:rPr>
        <w:footnoteRef/>
      </w:r>
      <w:r>
        <w:t xml:space="preserve"> </w:t>
      </w:r>
      <w:r w:rsidRPr="004D7F8E">
        <w:rPr>
          <w:rFonts w:ascii="Times New Roman" w:hAnsi="Times New Roman" w:cs="Times New Roman"/>
          <w:sz w:val="16"/>
          <w:szCs w:val="16"/>
        </w:rPr>
        <w:t xml:space="preserve">La sentenza </w:t>
      </w:r>
      <w:r w:rsidR="00B279E0">
        <w:rPr>
          <w:rFonts w:ascii="Times New Roman" w:hAnsi="Times New Roman" w:cs="Times New Roman"/>
          <w:sz w:val="16"/>
          <w:szCs w:val="16"/>
        </w:rPr>
        <w:t xml:space="preserve">n. 2907 del 205 </w:t>
      </w:r>
      <w:r w:rsidRPr="004D7F8E">
        <w:rPr>
          <w:rFonts w:ascii="Times New Roman" w:hAnsi="Times New Roman" w:cs="Times New Roman"/>
          <w:sz w:val="16"/>
          <w:szCs w:val="16"/>
        </w:rPr>
        <w:t xml:space="preserve">afferma anche nuovamente la circostanza che l’obbligo di disapplicare le disposizioni nazionali non conformi al diritto comunitario (nella specie quelle che hanno introdotto e continuano ad introdurre, con una sistematica violazione del diritto dell’Unione, le proroghe delle concessioni demaniali marittime per finalità turistico-ricreative) incombe non solo sui giudici, ma anche sulle autorità amministrative, ivi comprese quelle comunali. Nello stesso senso, v. Cons. Stato, sez. VII, 20 maggio 2024, </w:t>
      </w:r>
      <w:proofErr w:type="spellStart"/>
      <w:r w:rsidRPr="004D7F8E">
        <w:rPr>
          <w:rFonts w:ascii="Times New Roman" w:hAnsi="Times New Roman" w:cs="Times New Roman"/>
          <w:sz w:val="16"/>
          <w:szCs w:val="16"/>
        </w:rPr>
        <w:t>nn</w:t>
      </w:r>
      <w:proofErr w:type="spellEnd"/>
      <w:r w:rsidRPr="004D7F8E">
        <w:rPr>
          <w:rFonts w:ascii="Times New Roman" w:hAnsi="Times New Roman" w:cs="Times New Roman"/>
          <w:sz w:val="16"/>
          <w:szCs w:val="16"/>
        </w:rPr>
        <w:t xml:space="preserve">. 4479, 4480 e 4481.  </w:t>
      </w:r>
      <w:r w:rsidR="00B279E0">
        <w:rPr>
          <w:rFonts w:ascii="Times New Roman" w:hAnsi="Times New Roman" w:cs="Times New Roman"/>
          <w:sz w:val="16"/>
          <w:szCs w:val="16"/>
        </w:rPr>
        <w:t xml:space="preserve"> </w:t>
      </w:r>
    </w:p>
  </w:footnote>
  <w:footnote w:id="22">
    <w:p w14:paraId="2DA9654B" w14:textId="12C31C60" w:rsidR="008D71E2" w:rsidRPr="004D7F8E" w:rsidRDefault="008D71E2" w:rsidP="008D71E2">
      <w:pPr>
        <w:pStyle w:val="Testonotaapidipagina"/>
        <w:jc w:val="both"/>
        <w:rPr>
          <w:sz w:val="16"/>
          <w:szCs w:val="16"/>
        </w:rPr>
      </w:pPr>
      <w:r>
        <w:rPr>
          <w:rStyle w:val="Rimandonotaapidipagina"/>
        </w:rPr>
        <w:footnoteRef/>
      </w:r>
      <w:r>
        <w:t xml:space="preserve"> </w:t>
      </w:r>
      <w:r w:rsidRPr="004D7F8E">
        <w:rPr>
          <w:rFonts w:ascii="Arial" w:hAnsi="Arial" w:cs="Arial"/>
          <w:sz w:val="16"/>
          <w:szCs w:val="16"/>
        </w:rPr>
        <w:t>«[</w:t>
      </w:r>
      <w:r w:rsidRPr="004D7F8E">
        <w:rPr>
          <w:sz w:val="16"/>
          <w:szCs w:val="16"/>
        </w:rPr>
        <w:t>…</w:t>
      </w:r>
      <w:r w:rsidRPr="004D7F8E">
        <w:rPr>
          <w:rFonts w:ascii="Arial" w:hAnsi="Arial" w:cs="Arial"/>
          <w:sz w:val="16"/>
          <w:szCs w:val="16"/>
        </w:rPr>
        <w:t>]</w:t>
      </w:r>
      <w:r w:rsidRPr="004D7F8E">
        <w:rPr>
          <w:rFonts w:ascii="Garamond" w:hAnsi="Garamond"/>
          <w:color w:val="000000"/>
          <w:sz w:val="16"/>
          <w:szCs w:val="16"/>
        </w:rPr>
        <w:t xml:space="preserve"> </w:t>
      </w:r>
      <w:r w:rsidRPr="004D7F8E">
        <w:rPr>
          <w:rFonts w:ascii="Times New Roman" w:hAnsi="Times New Roman" w:cs="Times New Roman"/>
          <w:i/>
          <w:iCs/>
          <w:color w:val="000000"/>
          <w:sz w:val="16"/>
          <w:szCs w:val="16"/>
        </w:rPr>
        <w:t xml:space="preserve">la </w:t>
      </w:r>
      <w:r w:rsidRPr="004D7F8E">
        <w:rPr>
          <w:rFonts w:ascii="Times New Roman" w:hAnsi="Times New Roman" w:cs="Times New Roman"/>
          <w:i/>
          <w:iCs/>
          <w:sz w:val="16"/>
          <w:szCs w:val="16"/>
        </w:rPr>
        <w:t>legge nazionale in contrasto con una norma europea dotata di efficacia diretta, ancorché contenuta in una direttiva </w:t>
      </w:r>
      <w:r w:rsidRPr="004D7F8E">
        <w:rPr>
          <w:rFonts w:ascii="Times New Roman" w:hAnsi="Times New Roman" w:cs="Times New Roman"/>
          <w:sz w:val="16"/>
          <w:szCs w:val="16"/>
        </w:rPr>
        <w:t>self-</w:t>
      </w:r>
      <w:proofErr w:type="spellStart"/>
      <w:r w:rsidRPr="004D7F8E">
        <w:rPr>
          <w:rFonts w:ascii="Times New Roman" w:hAnsi="Times New Roman" w:cs="Times New Roman"/>
          <w:sz w:val="16"/>
          <w:szCs w:val="16"/>
        </w:rPr>
        <w:t>executing</w:t>
      </w:r>
      <w:proofErr w:type="spellEnd"/>
      <w:r w:rsidRPr="004D7F8E">
        <w:rPr>
          <w:rFonts w:ascii="Times New Roman" w:hAnsi="Times New Roman" w:cs="Times New Roman"/>
          <w:i/>
          <w:iCs/>
          <w:sz w:val="16"/>
          <w:szCs w:val="16"/>
        </w:rPr>
        <w:t>, non può essere applicata né dal giudice né dalla pubblica amministrazione, senza che sia all’uopo necessario (come chiarito dalla Corte costituzionale a partire dalla sentenza n. 170 del 1984) una questione di legittimità costituzionale</w:t>
      </w:r>
      <w:r w:rsidRPr="004D7F8E">
        <w:rPr>
          <w:rFonts w:ascii="Times New Roman" w:hAnsi="Times New Roman" w:cs="Times New Roman"/>
          <w:sz w:val="16"/>
          <w:szCs w:val="16"/>
        </w:rPr>
        <w:t xml:space="preserve"> </w:t>
      </w:r>
      <w:r w:rsidRPr="004D7F8E">
        <w:rPr>
          <w:rFonts w:ascii="Arial" w:hAnsi="Arial" w:cs="Arial"/>
          <w:sz w:val="16"/>
          <w:szCs w:val="16"/>
        </w:rPr>
        <w:t>[</w:t>
      </w:r>
      <w:r w:rsidRPr="004D7F8E">
        <w:rPr>
          <w:rFonts w:ascii="Times New Roman" w:hAnsi="Times New Roman" w:cs="Times New Roman"/>
          <w:sz w:val="16"/>
          <w:szCs w:val="16"/>
        </w:rPr>
        <w:t>…</w:t>
      </w:r>
      <w:r w:rsidRPr="004D7F8E">
        <w:rPr>
          <w:rFonts w:ascii="Arial" w:hAnsi="Arial" w:cs="Arial"/>
          <w:sz w:val="16"/>
          <w:szCs w:val="16"/>
        </w:rPr>
        <w:t>]</w:t>
      </w:r>
      <w:r w:rsidRPr="004D7F8E">
        <w:rPr>
          <w:rFonts w:ascii="Times New Roman" w:hAnsi="Times New Roman" w:cs="Times New Roman"/>
          <w:sz w:val="16"/>
          <w:szCs w:val="16"/>
        </w:rPr>
        <w:t xml:space="preserve"> </w:t>
      </w:r>
      <w:r w:rsidRPr="004D7F8E">
        <w:rPr>
          <w:rFonts w:ascii="Times New Roman" w:hAnsi="Times New Roman" w:cs="Times New Roman"/>
          <w:i/>
          <w:iCs/>
          <w:sz w:val="16"/>
          <w:szCs w:val="16"/>
        </w:rPr>
        <w:t xml:space="preserve">In senso contrario non vale invocare il rischio correlato alle possibili ripercussioni che una simile non applicazione potrebbe generare in termini di responsabilità penale dei concessionari demaniali, i quali, secondo una certa impostazione, venute meno le proroghe ex lege, si troverebbero privi di titolo legittimante l’occupazione del suolo demaniale, così incorrendo nel reato di occupazione abusiva di spazio demaniale marittimo previsto dall’art. 1161 cod. </w:t>
      </w:r>
      <w:proofErr w:type="spellStart"/>
      <w:r w:rsidRPr="004D7F8E">
        <w:rPr>
          <w:rFonts w:ascii="Times New Roman" w:hAnsi="Times New Roman" w:cs="Times New Roman"/>
          <w:i/>
          <w:iCs/>
          <w:sz w:val="16"/>
          <w:szCs w:val="16"/>
        </w:rPr>
        <w:t>nav.Tale</w:t>
      </w:r>
      <w:proofErr w:type="spellEnd"/>
      <w:r w:rsidRPr="004D7F8E">
        <w:rPr>
          <w:rFonts w:ascii="Times New Roman" w:hAnsi="Times New Roman" w:cs="Times New Roman"/>
          <w:i/>
          <w:iCs/>
          <w:sz w:val="16"/>
          <w:szCs w:val="16"/>
        </w:rPr>
        <w:t xml:space="preserve"> timore è, infatti, privo di fondamento, atteso che ad una simile conclusione ostano incondizionatamente i principi costituzionali di riserva di legge statale e di irretroattività della legge penale. Detti principi, come riconosciuto anche dalla Corte di giustizia U.E., fanno parte delle tradizioni costituzionali degli Stati membri e come tali sono parte integrante dello stesso ordinamento comunitario (ed in ogni caso rappresenterebbe comunque controlimiti interni al principio di primazia). Ne discende che la descritta operazione di non applicazione della legge nazionale </w:t>
      </w:r>
      <w:proofErr w:type="spellStart"/>
      <w:r w:rsidRPr="004D7F8E">
        <w:rPr>
          <w:rFonts w:ascii="Times New Roman" w:hAnsi="Times New Roman" w:cs="Times New Roman"/>
          <w:i/>
          <w:iCs/>
          <w:sz w:val="16"/>
          <w:szCs w:val="16"/>
        </w:rPr>
        <w:t>anticomunitaria</w:t>
      </w:r>
      <w:proofErr w:type="spellEnd"/>
      <w:r w:rsidRPr="004D7F8E">
        <w:rPr>
          <w:rFonts w:ascii="Times New Roman" w:hAnsi="Times New Roman" w:cs="Times New Roman"/>
          <w:i/>
          <w:iCs/>
          <w:sz w:val="16"/>
          <w:szCs w:val="16"/>
        </w:rPr>
        <w:t xml:space="preserve"> non può in alcun modo avere conseguenze in punto di responsabilità penale, per la semplice ragione che il diritto dell</w:t>
      </w:r>
      <w:r w:rsidR="004D7F8E">
        <w:rPr>
          <w:rFonts w:ascii="Times New Roman" w:hAnsi="Times New Roman" w:cs="Times New Roman"/>
          <w:i/>
          <w:iCs/>
          <w:sz w:val="16"/>
          <w:szCs w:val="16"/>
        </w:rPr>
        <w:t>’</w:t>
      </w:r>
      <w:r w:rsidRPr="004D7F8E">
        <w:rPr>
          <w:rFonts w:ascii="Times New Roman" w:hAnsi="Times New Roman" w:cs="Times New Roman"/>
          <w:i/>
          <w:iCs/>
          <w:sz w:val="16"/>
          <w:szCs w:val="16"/>
        </w:rPr>
        <w:t>Unione non può mai produrre effetti penali diretti </w:t>
      </w:r>
      <w:r w:rsidRPr="00543851">
        <w:rPr>
          <w:rFonts w:ascii="Times New Roman" w:hAnsi="Times New Roman" w:cs="Times New Roman"/>
          <w:sz w:val="16"/>
          <w:szCs w:val="16"/>
        </w:rPr>
        <w:t xml:space="preserve">in </w:t>
      </w:r>
      <w:proofErr w:type="spellStart"/>
      <w:r w:rsidRPr="00543851">
        <w:rPr>
          <w:rFonts w:ascii="Times New Roman" w:hAnsi="Times New Roman" w:cs="Times New Roman"/>
          <w:sz w:val="16"/>
          <w:szCs w:val="16"/>
        </w:rPr>
        <w:t>malam</w:t>
      </w:r>
      <w:proofErr w:type="spellEnd"/>
      <w:r w:rsidRPr="00543851">
        <w:rPr>
          <w:rFonts w:ascii="Times New Roman" w:hAnsi="Times New Roman" w:cs="Times New Roman"/>
          <w:sz w:val="16"/>
          <w:szCs w:val="16"/>
        </w:rPr>
        <w:t xml:space="preserve"> </w:t>
      </w:r>
      <w:proofErr w:type="spellStart"/>
      <w:r w:rsidRPr="00543851">
        <w:rPr>
          <w:rFonts w:ascii="Times New Roman" w:hAnsi="Times New Roman" w:cs="Times New Roman"/>
          <w:sz w:val="16"/>
          <w:szCs w:val="16"/>
        </w:rPr>
        <w:t>partem</w:t>
      </w:r>
      <w:proofErr w:type="spellEnd"/>
      <w:r w:rsidRPr="004D7F8E">
        <w:rPr>
          <w:rFonts w:ascii="Arial" w:hAnsi="Arial" w:cs="Arial"/>
          <w:sz w:val="16"/>
          <w:szCs w:val="16"/>
        </w:rPr>
        <w:t xml:space="preserve">» </w:t>
      </w:r>
      <w:r w:rsidRPr="004D7F8E">
        <w:rPr>
          <w:rFonts w:ascii="Times New Roman" w:hAnsi="Times New Roman" w:cs="Times New Roman"/>
          <w:sz w:val="16"/>
          <w:szCs w:val="16"/>
        </w:rPr>
        <w:t>(§</w:t>
      </w:r>
      <w:r w:rsidR="00694463" w:rsidRPr="004D7F8E">
        <w:rPr>
          <w:rFonts w:ascii="Times New Roman" w:hAnsi="Times New Roman" w:cs="Times New Roman"/>
          <w:sz w:val="16"/>
          <w:szCs w:val="16"/>
        </w:rPr>
        <w:t>§</w:t>
      </w:r>
      <w:r w:rsidRPr="004D7F8E">
        <w:rPr>
          <w:rFonts w:ascii="Times New Roman" w:hAnsi="Times New Roman" w:cs="Times New Roman"/>
          <w:sz w:val="16"/>
          <w:szCs w:val="16"/>
        </w:rPr>
        <w:t xml:space="preserve"> 36 </w:t>
      </w:r>
      <w:r w:rsidR="00694463" w:rsidRPr="004D7F8E">
        <w:rPr>
          <w:rFonts w:ascii="Times New Roman" w:hAnsi="Times New Roman" w:cs="Times New Roman"/>
          <w:sz w:val="16"/>
          <w:szCs w:val="16"/>
        </w:rPr>
        <w:t xml:space="preserve">e 37 </w:t>
      </w:r>
      <w:r w:rsidRPr="004D7F8E">
        <w:rPr>
          <w:rFonts w:ascii="Times New Roman" w:hAnsi="Times New Roman" w:cs="Times New Roman"/>
          <w:sz w:val="16"/>
          <w:szCs w:val="16"/>
        </w:rPr>
        <w:t>della sentenza n. 17/2021 dell’Adunanza plenaria del Consiglio di Stato</w:t>
      </w:r>
      <w:r w:rsidRPr="004D7F8E">
        <w:rPr>
          <w:rFonts w:ascii="Arial" w:hAnsi="Arial" w:cs="Arial"/>
          <w:sz w:val="16"/>
          <w:szCs w:val="16"/>
        </w:rPr>
        <w:t>).  </w:t>
      </w:r>
    </w:p>
  </w:footnote>
  <w:footnote w:id="23">
    <w:p w14:paraId="486CFEAB" w14:textId="015EC250" w:rsidR="0036160F" w:rsidRPr="0036160F" w:rsidRDefault="0036160F" w:rsidP="0036160F">
      <w:pPr>
        <w:pStyle w:val="Testonotaapidipagina"/>
        <w:jc w:val="both"/>
        <w:rPr>
          <w:sz w:val="16"/>
          <w:szCs w:val="16"/>
        </w:rPr>
      </w:pPr>
      <w:r>
        <w:rPr>
          <w:rStyle w:val="Rimandonotaapidipagina"/>
        </w:rPr>
        <w:footnoteRef/>
      </w:r>
      <w:r>
        <w:t xml:space="preserve"> </w:t>
      </w:r>
      <w:r w:rsidRPr="0036160F">
        <w:rPr>
          <w:rFonts w:ascii="Times New Roman" w:eastAsia="Garamond  (simoncini)" w:hAnsi="Times New Roman" w:cs="Times New Roman"/>
          <w:sz w:val="16"/>
          <w:szCs w:val="16"/>
        </w:rPr>
        <w:t>Cons. Stato, sez. VI, 4 marzo 2024, n. 2086: in ordine ai requisiti che deve avere un’opera edilizia per essere considerata precaria, possono essere ipotizzati in astratto due criteri discretivi: 1) criterio strutturale, in virtù del quale è precario ciò che non è stabilmente infisso al suolo; 2) il criterio funzionale, in virtù del quale è precario ciò che è destinato a soddisfare un’esigenza temporanea.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629"/>
    <w:multiLevelType w:val="hybridMultilevel"/>
    <w:tmpl w:val="19F0711A"/>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37000AB"/>
    <w:multiLevelType w:val="hybridMultilevel"/>
    <w:tmpl w:val="AF84FBB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755696F"/>
    <w:multiLevelType w:val="hybridMultilevel"/>
    <w:tmpl w:val="7D62A7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B558FC"/>
    <w:multiLevelType w:val="multilevel"/>
    <w:tmpl w:val="16D2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635780"/>
    <w:multiLevelType w:val="hybridMultilevel"/>
    <w:tmpl w:val="54B2CACA"/>
    <w:lvl w:ilvl="0" w:tplc="1A14C40A">
      <w:start w:val="2"/>
      <w:numFmt w:val="bullet"/>
      <w:lvlText w:val="-"/>
      <w:lvlJc w:val="left"/>
      <w:pPr>
        <w:ind w:left="720" w:hanging="360"/>
      </w:pPr>
      <w:rPr>
        <w:rFonts w:ascii="Times New Roman" w:eastAsiaTheme="minorHAnsi" w:hAnsi="Times New Roman" w:cs="Times New Roman"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3F42B6"/>
    <w:multiLevelType w:val="hybridMultilevel"/>
    <w:tmpl w:val="FEA24208"/>
    <w:lvl w:ilvl="0" w:tplc="6AAA60C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EB5111"/>
    <w:multiLevelType w:val="multilevel"/>
    <w:tmpl w:val="7B36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242B03"/>
    <w:multiLevelType w:val="hybridMultilevel"/>
    <w:tmpl w:val="9934DF12"/>
    <w:lvl w:ilvl="0" w:tplc="1FB84F54">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F31F2A"/>
    <w:multiLevelType w:val="hybridMultilevel"/>
    <w:tmpl w:val="B9C2BBE0"/>
    <w:lvl w:ilvl="0" w:tplc="96141B7C">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49F4590E"/>
    <w:multiLevelType w:val="hybridMultilevel"/>
    <w:tmpl w:val="10280F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F3B31F0"/>
    <w:multiLevelType w:val="hybridMultilevel"/>
    <w:tmpl w:val="1F9A99E2"/>
    <w:lvl w:ilvl="0" w:tplc="FE0EFB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F9E76D5"/>
    <w:multiLevelType w:val="hybridMultilevel"/>
    <w:tmpl w:val="51E40C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B150A5"/>
    <w:multiLevelType w:val="hybridMultilevel"/>
    <w:tmpl w:val="C340FDF8"/>
    <w:lvl w:ilvl="0" w:tplc="1910F49C">
      <w:start w:val="1"/>
      <w:numFmt w:val="decimal"/>
      <w:lvlText w:val="%1."/>
      <w:lvlJc w:val="left"/>
      <w:pPr>
        <w:ind w:left="720" w:hanging="360"/>
      </w:pPr>
      <w:rPr>
        <w:rFonts w:hint="default"/>
        <w:b/>
        <w:i/>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E8D4AB6"/>
    <w:multiLevelType w:val="hybridMultilevel"/>
    <w:tmpl w:val="DC265F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020667752">
    <w:abstractNumId w:val="5"/>
  </w:num>
  <w:num w:numId="2" w16cid:durableId="8142938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8427665">
    <w:abstractNumId w:val="13"/>
  </w:num>
  <w:num w:numId="4" w16cid:durableId="1279947171">
    <w:abstractNumId w:val="0"/>
  </w:num>
  <w:num w:numId="5" w16cid:durableId="1998876161">
    <w:abstractNumId w:val="8"/>
  </w:num>
  <w:num w:numId="6" w16cid:durableId="1115295016">
    <w:abstractNumId w:val="4"/>
  </w:num>
  <w:num w:numId="7" w16cid:durableId="1423798641">
    <w:abstractNumId w:val="9"/>
  </w:num>
  <w:num w:numId="8" w16cid:durableId="1361862327">
    <w:abstractNumId w:val="6"/>
  </w:num>
  <w:num w:numId="9" w16cid:durableId="1321150616">
    <w:abstractNumId w:val="3"/>
  </w:num>
  <w:num w:numId="10" w16cid:durableId="365714550">
    <w:abstractNumId w:val="11"/>
  </w:num>
  <w:num w:numId="11" w16cid:durableId="1289117792">
    <w:abstractNumId w:val="10"/>
  </w:num>
  <w:num w:numId="12" w16cid:durableId="2129278190">
    <w:abstractNumId w:val="2"/>
  </w:num>
  <w:num w:numId="13" w16cid:durableId="536553382">
    <w:abstractNumId w:val="7"/>
  </w:num>
  <w:num w:numId="14" w16cid:durableId="1541477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42"/>
    <w:rsid w:val="00014414"/>
    <w:rsid w:val="0003644B"/>
    <w:rsid w:val="000427EF"/>
    <w:rsid w:val="00044D8B"/>
    <w:rsid w:val="00054C14"/>
    <w:rsid w:val="000674A4"/>
    <w:rsid w:val="00073D67"/>
    <w:rsid w:val="00083EEA"/>
    <w:rsid w:val="000A768C"/>
    <w:rsid w:val="000B40B6"/>
    <w:rsid w:val="000C3F2D"/>
    <w:rsid w:val="000C745B"/>
    <w:rsid w:val="000D44C4"/>
    <w:rsid w:val="000D714E"/>
    <w:rsid w:val="000D77ED"/>
    <w:rsid w:val="000E0FB2"/>
    <w:rsid w:val="000E29C6"/>
    <w:rsid w:val="000E70C9"/>
    <w:rsid w:val="00104157"/>
    <w:rsid w:val="00111096"/>
    <w:rsid w:val="0011523D"/>
    <w:rsid w:val="00127A7E"/>
    <w:rsid w:val="00131CDE"/>
    <w:rsid w:val="001410EB"/>
    <w:rsid w:val="00162AA8"/>
    <w:rsid w:val="00166913"/>
    <w:rsid w:val="00182F90"/>
    <w:rsid w:val="00190A35"/>
    <w:rsid w:val="001943A6"/>
    <w:rsid w:val="0019452B"/>
    <w:rsid w:val="001964CE"/>
    <w:rsid w:val="00197DD5"/>
    <w:rsid w:val="001A013D"/>
    <w:rsid w:val="001A2F17"/>
    <w:rsid w:val="001C2DA6"/>
    <w:rsid w:val="001D25FD"/>
    <w:rsid w:val="001E3B1F"/>
    <w:rsid w:val="001E4199"/>
    <w:rsid w:val="001E7261"/>
    <w:rsid w:val="00222AFA"/>
    <w:rsid w:val="00224FE0"/>
    <w:rsid w:val="0022516D"/>
    <w:rsid w:val="00240B43"/>
    <w:rsid w:val="002528CC"/>
    <w:rsid w:val="002647A6"/>
    <w:rsid w:val="00275E52"/>
    <w:rsid w:val="00280AF3"/>
    <w:rsid w:val="00281319"/>
    <w:rsid w:val="002830F8"/>
    <w:rsid w:val="002A4472"/>
    <w:rsid w:val="002B1860"/>
    <w:rsid w:val="002B647C"/>
    <w:rsid w:val="002B70A7"/>
    <w:rsid w:val="002C30F2"/>
    <w:rsid w:val="002D248C"/>
    <w:rsid w:val="002F78BA"/>
    <w:rsid w:val="0032429C"/>
    <w:rsid w:val="00324EBF"/>
    <w:rsid w:val="003277B2"/>
    <w:rsid w:val="003360D7"/>
    <w:rsid w:val="003556B6"/>
    <w:rsid w:val="0036160F"/>
    <w:rsid w:val="00361A0C"/>
    <w:rsid w:val="003678D6"/>
    <w:rsid w:val="00372A6A"/>
    <w:rsid w:val="00374E23"/>
    <w:rsid w:val="003A153D"/>
    <w:rsid w:val="003B5D75"/>
    <w:rsid w:val="003C212C"/>
    <w:rsid w:val="003E7379"/>
    <w:rsid w:val="003F09E3"/>
    <w:rsid w:val="003F1A12"/>
    <w:rsid w:val="003F2D9B"/>
    <w:rsid w:val="003F3E73"/>
    <w:rsid w:val="003F4A2B"/>
    <w:rsid w:val="003F703A"/>
    <w:rsid w:val="00425C2D"/>
    <w:rsid w:val="00426758"/>
    <w:rsid w:val="00432B67"/>
    <w:rsid w:val="00433B92"/>
    <w:rsid w:val="004375C9"/>
    <w:rsid w:val="004408A1"/>
    <w:rsid w:val="00440B75"/>
    <w:rsid w:val="00441817"/>
    <w:rsid w:val="00443B8E"/>
    <w:rsid w:val="004476BD"/>
    <w:rsid w:val="00447D31"/>
    <w:rsid w:val="00453882"/>
    <w:rsid w:val="004565E8"/>
    <w:rsid w:val="00457547"/>
    <w:rsid w:val="00466FF2"/>
    <w:rsid w:val="004748C3"/>
    <w:rsid w:val="00476020"/>
    <w:rsid w:val="00481BFD"/>
    <w:rsid w:val="004834CE"/>
    <w:rsid w:val="00486E08"/>
    <w:rsid w:val="004905E0"/>
    <w:rsid w:val="00492988"/>
    <w:rsid w:val="004D5250"/>
    <w:rsid w:val="004D7551"/>
    <w:rsid w:val="004D7F8E"/>
    <w:rsid w:val="004E0AA8"/>
    <w:rsid w:val="004E6F67"/>
    <w:rsid w:val="004F7857"/>
    <w:rsid w:val="0052678E"/>
    <w:rsid w:val="005319F5"/>
    <w:rsid w:val="00543851"/>
    <w:rsid w:val="005604D4"/>
    <w:rsid w:val="00566A12"/>
    <w:rsid w:val="00567B19"/>
    <w:rsid w:val="00571A5C"/>
    <w:rsid w:val="00576594"/>
    <w:rsid w:val="005A2992"/>
    <w:rsid w:val="005A509D"/>
    <w:rsid w:val="005B350B"/>
    <w:rsid w:val="005B7A62"/>
    <w:rsid w:val="005C501F"/>
    <w:rsid w:val="005D1B4E"/>
    <w:rsid w:val="005E3497"/>
    <w:rsid w:val="005F5E14"/>
    <w:rsid w:val="0060329A"/>
    <w:rsid w:val="00605B5A"/>
    <w:rsid w:val="0062042C"/>
    <w:rsid w:val="006362EB"/>
    <w:rsid w:val="00661F03"/>
    <w:rsid w:val="00665246"/>
    <w:rsid w:val="006764C9"/>
    <w:rsid w:val="00694463"/>
    <w:rsid w:val="006C273A"/>
    <w:rsid w:val="006C4716"/>
    <w:rsid w:val="006E7022"/>
    <w:rsid w:val="00715F68"/>
    <w:rsid w:val="00721F0C"/>
    <w:rsid w:val="007231D4"/>
    <w:rsid w:val="0074239E"/>
    <w:rsid w:val="00751C0F"/>
    <w:rsid w:val="00770591"/>
    <w:rsid w:val="00770B85"/>
    <w:rsid w:val="007712E7"/>
    <w:rsid w:val="00782EDD"/>
    <w:rsid w:val="007A2B98"/>
    <w:rsid w:val="007B1675"/>
    <w:rsid w:val="007B2AA9"/>
    <w:rsid w:val="007B6327"/>
    <w:rsid w:val="007F63A6"/>
    <w:rsid w:val="007F7894"/>
    <w:rsid w:val="00801B00"/>
    <w:rsid w:val="008140B4"/>
    <w:rsid w:val="00822F42"/>
    <w:rsid w:val="00845F28"/>
    <w:rsid w:val="008461E3"/>
    <w:rsid w:val="00855282"/>
    <w:rsid w:val="00855EBB"/>
    <w:rsid w:val="00861646"/>
    <w:rsid w:val="0088243A"/>
    <w:rsid w:val="00893DF0"/>
    <w:rsid w:val="008D4BC6"/>
    <w:rsid w:val="008D71E2"/>
    <w:rsid w:val="008E7E6E"/>
    <w:rsid w:val="00901935"/>
    <w:rsid w:val="00902715"/>
    <w:rsid w:val="00914529"/>
    <w:rsid w:val="00921508"/>
    <w:rsid w:val="009332AD"/>
    <w:rsid w:val="00934427"/>
    <w:rsid w:val="00934DD5"/>
    <w:rsid w:val="0094080B"/>
    <w:rsid w:val="00952994"/>
    <w:rsid w:val="00956211"/>
    <w:rsid w:val="009711F3"/>
    <w:rsid w:val="00976633"/>
    <w:rsid w:val="00994EB1"/>
    <w:rsid w:val="009955DA"/>
    <w:rsid w:val="0099738D"/>
    <w:rsid w:val="009B2909"/>
    <w:rsid w:val="009C311E"/>
    <w:rsid w:val="009C3440"/>
    <w:rsid w:val="009C5CF8"/>
    <w:rsid w:val="009D51EF"/>
    <w:rsid w:val="009F4432"/>
    <w:rsid w:val="00A1180E"/>
    <w:rsid w:val="00A12ADC"/>
    <w:rsid w:val="00A214EA"/>
    <w:rsid w:val="00A35D6A"/>
    <w:rsid w:val="00A374A7"/>
    <w:rsid w:val="00A42CE7"/>
    <w:rsid w:val="00A76AF4"/>
    <w:rsid w:val="00A93995"/>
    <w:rsid w:val="00A957F2"/>
    <w:rsid w:val="00AA33A1"/>
    <w:rsid w:val="00AB5689"/>
    <w:rsid w:val="00AB77AE"/>
    <w:rsid w:val="00AC5754"/>
    <w:rsid w:val="00AD4599"/>
    <w:rsid w:val="00AD48F2"/>
    <w:rsid w:val="00AF3483"/>
    <w:rsid w:val="00AF5E65"/>
    <w:rsid w:val="00B043F2"/>
    <w:rsid w:val="00B21684"/>
    <w:rsid w:val="00B245DD"/>
    <w:rsid w:val="00B268DC"/>
    <w:rsid w:val="00B279E0"/>
    <w:rsid w:val="00B473D2"/>
    <w:rsid w:val="00B4782D"/>
    <w:rsid w:val="00B95AC5"/>
    <w:rsid w:val="00BB52A6"/>
    <w:rsid w:val="00BD05BF"/>
    <w:rsid w:val="00BD0FB2"/>
    <w:rsid w:val="00BD4063"/>
    <w:rsid w:val="00BE7B1A"/>
    <w:rsid w:val="00BF00E3"/>
    <w:rsid w:val="00BF6608"/>
    <w:rsid w:val="00BF6860"/>
    <w:rsid w:val="00C10A38"/>
    <w:rsid w:val="00C14F19"/>
    <w:rsid w:val="00C1602E"/>
    <w:rsid w:val="00C16595"/>
    <w:rsid w:val="00C2667C"/>
    <w:rsid w:val="00C37026"/>
    <w:rsid w:val="00C47C35"/>
    <w:rsid w:val="00C50DD1"/>
    <w:rsid w:val="00C61003"/>
    <w:rsid w:val="00C61BDC"/>
    <w:rsid w:val="00C62EB4"/>
    <w:rsid w:val="00C63A20"/>
    <w:rsid w:val="00C63E71"/>
    <w:rsid w:val="00C77808"/>
    <w:rsid w:val="00C80001"/>
    <w:rsid w:val="00CA28D8"/>
    <w:rsid w:val="00CA3576"/>
    <w:rsid w:val="00CD321F"/>
    <w:rsid w:val="00CE654C"/>
    <w:rsid w:val="00CF1AEB"/>
    <w:rsid w:val="00CF3ECB"/>
    <w:rsid w:val="00D00597"/>
    <w:rsid w:val="00D00DAD"/>
    <w:rsid w:val="00D03CD3"/>
    <w:rsid w:val="00D109D3"/>
    <w:rsid w:val="00D24117"/>
    <w:rsid w:val="00D30C10"/>
    <w:rsid w:val="00D33809"/>
    <w:rsid w:val="00D4227A"/>
    <w:rsid w:val="00D42F1D"/>
    <w:rsid w:val="00D50C2B"/>
    <w:rsid w:val="00D5693A"/>
    <w:rsid w:val="00D57044"/>
    <w:rsid w:val="00D62891"/>
    <w:rsid w:val="00D7038B"/>
    <w:rsid w:val="00D747E8"/>
    <w:rsid w:val="00D802CA"/>
    <w:rsid w:val="00D81D63"/>
    <w:rsid w:val="00D97AD6"/>
    <w:rsid w:val="00DB1E81"/>
    <w:rsid w:val="00DB4225"/>
    <w:rsid w:val="00DE0422"/>
    <w:rsid w:val="00DE0939"/>
    <w:rsid w:val="00DE2213"/>
    <w:rsid w:val="00DE3557"/>
    <w:rsid w:val="00DE36A7"/>
    <w:rsid w:val="00DE7F97"/>
    <w:rsid w:val="00DF13A6"/>
    <w:rsid w:val="00DF7B6F"/>
    <w:rsid w:val="00E14128"/>
    <w:rsid w:val="00E265F8"/>
    <w:rsid w:val="00E3289B"/>
    <w:rsid w:val="00E51173"/>
    <w:rsid w:val="00E739C5"/>
    <w:rsid w:val="00E7523F"/>
    <w:rsid w:val="00E851A1"/>
    <w:rsid w:val="00E96B88"/>
    <w:rsid w:val="00EA1F1F"/>
    <w:rsid w:val="00EA3873"/>
    <w:rsid w:val="00EA7BDC"/>
    <w:rsid w:val="00EB3118"/>
    <w:rsid w:val="00EB50B0"/>
    <w:rsid w:val="00EB614F"/>
    <w:rsid w:val="00EB74FF"/>
    <w:rsid w:val="00EC4FD5"/>
    <w:rsid w:val="00F32174"/>
    <w:rsid w:val="00F55DCB"/>
    <w:rsid w:val="00F5611D"/>
    <w:rsid w:val="00F61AC9"/>
    <w:rsid w:val="00F62D7A"/>
    <w:rsid w:val="00F63351"/>
    <w:rsid w:val="00F73C26"/>
    <w:rsid w:val="00F92DAD"/>
    <w:rsid w:val="00FA1B02"/>
    <w:rsid w:val="00FA338F"/>
    <w:rsid w:val="00FC090C"/>
    <w:rsid w:val="00FC7432"/>
    <w:rsid w:val="00FD777A"/>
    <w:rsid w:val="00FE0224"/>
    <w:rsid w:val="00FF14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9669"/>
  <w15:chartTrackingRefBased/>
  <w15:docId w15:val="{F8822A88-407D-4AE8-BFE6-01DB2987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2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2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2F4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2F4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2F4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2F4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2F4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2F4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2F4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2F4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2F4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2F4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2F4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2F4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2F4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2F4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2F4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2F42"/>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2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2F4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2F4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2F4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2F4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2F42"/>
    <w:rPr>
      <w:i/>
      <w:iCs/>
      <w:color w:val="404040" w:themeColor="text1" w:themeTint="BF"/>
    </w:rPr>
  </w:style>
  <w:style w:type="paragraph" w:styleId="Paragrafoelenco">
    <w:name w:val="List Paragraph"/>
    <w:basedOn w:val="Normale"/>
    <w:uiPriority w:val="34"/>
    <w:qFormat/>
    <w:rsid w:val="00822F42"/>
    <w:pPr>
      <w:ind w:left="720"/>
      <w:contextualSpacing/>
    </w:pPr>
  </w:style>
  <w:style w:type="character" w:styleId="Enfasiintensa">
    <w:name w:val="Intense Emphasis"/>
    <w:basedOn w:val="Carpredefinitoparagrafo"/>
    <w:uiPriority w:val="21"/>
    <w:qFormat/>
    <w:rsid w:val="00822F42"/>
    <w:rPr>
      <w:i/>
      <w:iCs/>
      <w:color w:val="0F4761" w:themeColor="accent1" w:themeShade="BF"/>
    </w:rPr>
  </w:style>
  <w:style w:type="paragraph" w:styleId="Citazioneintensa">
    <w:name w:val="Intense Quote"/>
    <w:basedOn w:val="Normale"/>
    <w:next w:val="Normale"/>
    <w:link w:val="CitazioneintensaCarattere"/>
    <w:uiPriority w:val="30"/>
    <w:qFormat/>
    <w:rsid w:val="00822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2F42"/>
    <w:rPr>
      <w:i/>
      <w:iCs/>
      <w:color w:val="0F4761" w:themeColor="accent1" w:themeShade="BF"/>
    </w:rPr>
  </w:style>
  <w:style w:type="character" w:styleId="Riferimentointenso">
    <w:name w:val="Intense Reference"/>
    <w:basedOn w:val="Carpredefinitoparagrafo"/>
    <w:uiPriority w:val="32"/>
    <w:qFormat/>
    <w:rsid w:val="00822F42"/>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D0FB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D0FB2"/>
    <w:rPr>
      <w:sz w:val="20"/>
      <w:szCs w:val="20"/>
    </w:rPr>
  </w:style>
  <w:style w:type="character" w:styleId="Rimandonotaapidipagina">
    <w:name w:val="footnote reference"/>
    <w:basedOn w:val="Carpredefinitoparagrafo"/>
    <w:uiPriority w:val="99"/>
    <w:semiHidden/>
    <w:unhideWhenUsed/>
    <w:rsid w:val="00BD0FB2"/>
    <w:rPr>
      <w:vertAlign w:val="superscript"/>
    </w:rPr>
  </w:style>
  <w:style w:type="character" w:styleId="Collegamentoipertestuale">
    <w:name w:val="Hyperlink"/>
    <w:basedOn w:val="Carpredefinitoparagrafo"/>
    <w:uiPriority w:val="99"/>
    <w:unhideWhenUsed/>
    <w:rsid w:val="00A214EA"/>
    <w:rPr>
      <w:color w:val="467886" w:themeColor="hyperlink"/>
      <w:u w:val="single"/>
    </w:rPr>
  </w:style>
  <w:style w:type="character" w:customStyle="1" w:styleId="Menzionenonrisolta1">
    <w:name w:val="Menzione non risolta1"/>
    <w:basedOn w:val="Carpredefinitoparagrafo"/>
    <w:uiPriority w:val="99"/>
    <w:semiHidden/>
    <w:unhideWhenUsed/>
    <w:rsid w:val="00A214EA"/>
    <w:rPr>
      <w:color w:val="605E5C"/>
      <w:shd w:val="clear" w:color="auto" w:fill="E1DFDD"/>
    </w:rPr>
  </w:style>
  <w:style w:type="paragraph" w:styleId="NormaleWeb">
    <w:name w:val="Normal (Web)"/>
    <w:basedOn w:val="Normale"/>
    <w:uiPriority w:val="99"/>
    <w:unhideWhenUsed/>
    <w:rsid w:val="002647A6"/>
    <w:rPr>
      <w:rFonts w:ascii="Times New Roman" w:hAnsi="Times New Roman" w:cs="Times New Roman"/>
    </w:rPr>
  </w:style>
  <w:style w:type="paragraph" w:customStyle="1" w:styleId="para">
    <w:name w:val="para"/>
    <w:rsid w:val="004565E8"/>
    <w:pPr>
      <w:spacing w:after="0"/>
      <w:jc w:val="both"/>
    </w:pPr>
    <w:rPr>
      <w:rFonts w:eastAsiaTheme="minorEastAsia"/>
      <w:lang w:eastAsia="it-IT"/>
    </w:rPr>
  </w:style>
  <w:style w:type="paragraph" w:styleId="Revisione">
    <w:name w:val="Revision"/>
    <w:hidden/>
    <w:uiPriority w:val="99"/>
    <w:semiHidden/>
    <w:rsid w:val="008E7E6E"/>
    <w:pPr>
      <w:spacing w:after="0" w:line="240" w:lineRule="auto"/>
    </w:pPr>
  </w:style>
  <w:style w:type="character" w:styleId="Rimandocommento">
    <w:name w:val="annotation reference"/>
    <w:basedOn w:val="Carpredefinitoparagrafo"/>
    <w:uiPriority w:val="99"/>
    <w:semiHidden/>
    <w:unhideWhenUsed/>
    <w:rsid w:val="008E7E6E"/>
    <w:rPr>
      <w:sz w:val="16"/>
      <w:szCs w:val="16"/>
    </w:rPr>
  </w:style>
  <w:style w:type="paragraph" w:styleId="Testocommento">
    <w:name w:val="annotation text"/>
    <w:basedOn w:val="Normale"/>
    <w:link w:val="TestocommentoCarattere"/>
    <w:uiPriority w:val="99"/>
    <w:semiHidden/>
    <w:unhideWhenUsed/>
    <w:rsid w:val="008E7E6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E7E6E"/>
    <w:rPr>
      <w:sz w:val="20"/>
      <w:szCs w:val="20"/>
    </w:rPr>
  </w:style>
  <w:style w:type="paragraph" w:styleId="Soggettocommento">
    <w:name w:val="annotation subject"/>
    <w:basedOn w:val="Testocommento"/>
    <w:next w:val="Testocommento"/>
    <w:link w:val="SoggettocommentoCarattere"/>
    <w:uiPriority w:val="99"/>
    <w:semiHidden/>
    <w:unhideWhenUsed/>
    <w:rsid w:val="008E7E6E"/>
    <w:rPr>
      <w:b/>
      <w:bCs/>
    </w:rPr>
  </w:style>
  <w:style w:type="character" w:customStyle="1" w:styleId="SoggettocommentoCarattere">
    <w:name w:val="Soggetto commento Carattere"/>
    <w:basedOn w:val="TestocommentoCarattere"/>
    <w:link w:val="Soggettocommento"/>
    <w:uiPriority w:val="99"/>
    <w:semiHidden/>
    <w:rsid w:val="008E7E6E"/>
    <w:rPr>
      <w:b/>
      <w:bCs/>
      <w:sz w:val="20"/>
      <w:szCs w:val="20"/>
    </w:rPr>
  </w:style>
  <w:style w:type="table" w:styleId="Grigliatabella">
    <w:name w:val="Table Grid"/>
    <w:basedOn w:val="Tabellanormale"/>
    <w:uiPriority w:val="39"/>
    <w:rsid w:val="00D6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FC7432"/>
    <w:rPr>
      <w:b/>
      <w:bCs/>
    </w:rPr>
  </w:style>
  <w:style w:type="paragraph" w:styleId="Intestazione">
    <w:name w:val="header"/>
    <w:basedOn w:val="Normale"/>
    <w:link w:val="IntestazioneCarattere"/>
    <w:uiPriority w:val="99"/>
    <w:unhideWhenUsed/>
    <w:rsid w:val="00B478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4782D"/>
  </w:style>
  <w:style w:type="paragraph" w:styleId="Pidipagina">
    <w:name w:val="footer"/>
    <w:basedOn w:val="Normale"/>
    <w:link w:val="PidipaginaCarattere"/>
    <w:uiPriority w:val="99"/>
    <w:unhideWhenUsed/>
    <w:rsid w:val="00B4782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47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5548">
      <w:bodyDiv w:val="1"/>
      <w:marLeft w:val="0"/>
      <w:marRight w:val="0"/>
      <w:marTop w:val="0"/>
      <w:marBottom w:val="0"/>
      <w:divBdr>
        <w:top w:val="none" w:sz="0" w:space="0" w:color="auto"/>
        <w:left w:val="none" w:sz="0" w:space="0" w:color="auto"/>
        <w:bottom w:val="none" w:sz="0" w:space="0" w:color="auto"/>
        <w:right w:val="none" w:sz="0" w:space="0" w:color="auto"/>
      </w:divBdr>
    </w:div>
    <w:div w:id="24448090">
      <w:bodyDiv w:val="1"/>
      <w:marLeft w:val="0"/>
      <w:marRight w:val="0"/>
      <w:marTop w:val="0"/>
      <w:marBottom w:val="0"/>
      <w:divBdr>
        <w:top w:val="none" w:sz="0" w:space="0" w:color="auto"/>
        <w:left w:val="none" w:sz="0" w:space="0" w:color="auto"/>
        <w:bottom w:val="none" w:sz="0" w:space="0" w:color="auto"/>
        <w:right w:val="none" w:sz="0" w:space="0" w:color="auto"/>
      </w:divBdr>
    </w:div>
    <w:div w:id="37440461">
      <w:bodyDiv w:val="1"/>
      <w:marLeft w:val="0"/>
      <w:marRight w:val="0"/>
      <w:marTop w:val="0"/>
      <w:marBottom w:val="0"/>
      <w:divBdr>
        <w:top w:val="none" w:sz="0" w:space="0" w:color="auto"/>
        <w:left w:val="none" w:sz="0" w:space="0" w:color="auto"/>
        <w:bottom w:val="none" w:sz="0" w:space="0" w:color="auto"/>
        <w:right w:val="none" w:sz="0" w:space="0" w:color="auto"/>
      </w:divBdr>
    </w:div>
    <w:div w:id="45494249">
      <w:bodyDiv w:val="1"/>
      <w:marLeft w:val="0"/>
      <w:marRight w:val="0"/>
      <w:marTop w:val="0"/>
      <w:marBottom w:val="0"/>
      <w:divBdr>
        <w:top w:val="none" w:sz="0" w:space="0" w:color="auto"/>
        <w:left w:val="none" w:sz="0" w:space="0" w:color="auto"/>
        <w:bottom w:val="none" w:sz="0" w:space="0" w:color="auto"/>
        <w:right w:val="none" w:sz="0" w:space="0" w:color="auto"/>
      </w:divBdr>
    </w:div>
    <w:div w:id="48959274">
      <w:bodyDiv w:val="1"/>
      <w:marLeft w:val="0"/>
      <w:marRight w:val="0"/>
      <w:marTop w:val="0"/>
      <w:marBottom w:val="0"/>
      <w:divBdr>
        <w:top w:val="none" w:sz="0" w:space="0" w:color="auto"/>
        <w:left w:val="none" w:sz="0" w:space="0" w:color="auto"/>
        <w:bottom w:val="none" w:sz="0" w:space="0" w:color="auto"/>
        <w:right w:val="none" w:sz="0" w:space="0" w:color="auto"/>
      </w:divBdr>
    </w:div>
    <w:div w:id="208343079">
      <w:bodyDiv w:val="1"/>
      <w:marLeft w:val="0"/>
      <w:marRight w:val="0"/>
      <w:marTop w:val="0"/>
      <w:marBottom w:val="0"/>
      <w:divBdr>
        <w:top w:val="none" w:sz="0" w:space="0" w:color="auto"/>
        <w:left w:val="none" w:sz="0" w:space="0" w:color="auto"/>
        <w:bottom w:val="none" w:sz="0" w:space="0" w:color="auto"/>
        <w:right w:val="none" w:sz="0" w:space="0" w:color="auto"/>
      </w:divBdr>
    </w:div>
    <w:div w:id="208759847">
      <w:bodyDiv w:val="1"/>
      <w:marLeft w:val="0"/>
      <w:marRight w:val="0"/>
      <w:marTop w:val="0"/>
      <w:marBottom w:val="0"/>
      <w:divBdr>
        <w:top w:val="none" w:sz="0" w:space="0" w:color="auto"/>
        <w:left w:val="none" w:sz="0" w:space="0" w:color="auto"/>
        <w:bottom w:val="none" w:sz="0" w:space="0" w:color="auto"/>
        <w:right w:val="none" w:sz="0" w:space="0" w:color="auto"/>
      </w:divBdr>
    </w:div>
    <w:div w:id="228730870">
      <w:bodyDiv w:val="1"/>
      <w:marLeft w:val="0"/>
      <w:marRight w:val="0"/>
      <w:marTop w:val="0"/>
      <w:marBottom w:val="0"/>
      <w:divBdr>
        <w:top w:val="none" w:sz="0" w:space="0" w:color="auto"/>
        <w:left w:val="none" w:sz="0" w:space="0" w:color="auto"/>
        <w:bottom w:val="none" w:sz="0" w:space="0" w:color="auto"/>
        <w:right w:val="none" w:sz="0" w:space="0" w:color="auto"/>
      </w:divBdr>
    </w:div>
    <w:div w:id="271784939">
      <w:bodyDiv w:val="1"/>
      <w:marLeft w:val="0"/>
      <w:marRight w:val="0"/>
      <w:marTop w:val="0"/>
      <w:marBottom w:val="0"/>
      <w:divBdr>
        <w:top w:val="none" w:sz="0" w:space="0" w:color="auto"/>
        <w:left w:val="none" w:sz="0" w:space="0" w:color="auto"/>
        <w:bottom w:val="none" w:sz="0" w:space="0" w:color="auto"/>
        <w:right w:val="none" w:sz="0" w:space="0" w:color="auto"/>
      </w:divBdr>
    </w:div>
    <w:div w:id="279069933">
      <w:bodyDiv w:val="1"/>
      <w:marLeft w:val="0"/>
      <w:marRight w:val="0"/>
      <w:marTop w:val="0"/>
      <w:marBottom w:val="0"/>
      <w:divBdr>
        <w:top w:val="none" w:sz="0" w:space="0" w:color="auto"/>
        <w:left w:val="none" w:sz="0" w:space="0" w:color="auto"/>
        <w:bottom w:val="none" w:sz="0" w:space="0" w:color="auto"/>
        <w:right w:val="none" w:sz="0" w:space="0" w:color="auto"/>
      </w:divBdr>
    </w:div>
    <w:div w:id="309751988">
      <w:bodyDiv w:val="1"/>
      <w:marLeft w:val="0"/>
      <w:marRight w:val="0"/>
      <w:marTop w:val="0"/>
      <w:marBottom w:val="0"/>
      <w:divBdr>
        <w:top w:val="none" w:sz="0" w:space="0" w:color="auto"/>
        <w:left w:val="none" w:sz="0" w:space="0" w:color="auto"/>
        <w:bottom w:val="none" w:sz="0" w:space="0" w:color="auto"/>
        <w:right w:val="none" w:sz="0" w:space="0" w:color="auto"/>
      </w:divBdr>
    </w:div>
    <w:div w:id="328949568">
      <w:bodyDiv w:val="1"/>
      <w:marLeft w:val="0"/>
      <w:marRight w:val="0"/>
      <w:marTop w:val="0"/>
      <w:marBottom w:val="0"/>
      <w:divBdr>
        <w:top w:val="none" w:sz="0" w:space="0" w:color="auto"/>
        <w:left w:val="none" w:sz="0" w:space="0" w:color="auto"/>
        <w:bottom w:val="none" w:sz="0" w:space="0" w:color="auto"/>
        <w:right w:val="none" w:sz="0" w:space="0" w:color="auto"/>
      </w:divBdr>
      <w:divsChild>
        <w:div w:id="178784327">
          <w:marLeft w:val="0"/>
          <w:marRight w:val="0"/>
          <w:marTop w:val="0"/>
          <w:marBottom w:val="0"/>
          <w:divBdr>
            <w:top w:val="none" w:sz="0" w:space="0" w:color="auto"/>
            <w:left w:val="none" w:sz="0" w:space="0" w:color="auto"/>
            <w:bottom w:val="none" w:sz="0" w:space="0" w:color="auto"/>
            <w:right w:val="none" w:sz="0" w:space="0" w:color="auto"/>
          </w:divBdr>
          <w:divsChild>
            <w:div w:id="1163663031">
              <w:marLeft w:val="0"/>
              <w:marRight w:val="0"/>
              <w:marTop w:val="0"/>
              <w:marBottom w:val="0"/>
              <w:divBdr>
                <w:top w:val="none" w:sz="0" w:space="0" w:color="auto"/>
                <w:left w:val="none" w:sz="0" w:space="0" w:color="auto"/>
                <w:bottom w:val="none" w:sz="0" w:space="0" w:color="auto"/>
                <w:right w:val="none" w:sz="0" w:space="0" w:color="auto"/>
              </w:divBdr>
              <w:divsChild>
                <w:div w:id="44722322">
                  <w:marLeft w:val="0"/>
                  <w:marRight w:val="0"/>
                  <w:marTop w:val="0"/>
                  <w:marBottom w:val="0"/>
                  <w:divBdr>
                    <w:top w:val="none" w:sz="0" w:space="0" w:color="auto"/>
                    <w:left w:val="none" w:sz="0" w:space="0" w:color="auto"/>
                    <w:bottom w:val="none" w:sz="0" w:space="0" w:color="auto"/>
                    <w:right w:val="none" w:sz="0" w:space="0" w:color="auto"/>
                  </w:divBdr>
                  <w:divsChild>
                    <w:div w:id="270283776">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94605">
      <w:bodyDiv w:val="1"/>
      <w:marLeft w:val="0"/>
      <w:marRight w:val="0"/>
      <w:marTop w:val="0"/>
      <w:marBottom w:val="0"/>
      <w:divBdr>
        <w:top w:val="none" w:sz="0" w:space="0" w:color="auto"/>
        <w:left w:val="none" w:sz="0" w:space="0" w:color="auto"/>
        <w:bottom w:val="none" w:sz="0" w:space="0" w:color="auto"/>
        <w:right w:val="none" w:sz="0" w:space="0" w:color="auto"/>
      </w:divBdr>
    </w:div>
    <w:div w:id="475954900">
      <w:bodyDiv w:val="1"/>
      <w:marLeft w:val="0"/>
      <w:marRight w:val="0"/>
      <w:marTop w:val="0"/>
      <w:marBottom w:val="0"/>
      <w:divBdr>
        <w:top w:val="none" w:sz="0" w:space="0" w:color="auto"/>
        <w:left w:val="none" w:sz="0" w:space="0" w:color="auto"/>
        <w:bottom w:val="none" w:sz="0" w:space="0" w:color="auto"/>
        <w:right w:val="none" w:sz="0" w:space="0" w:color="auto"/>
      </w:divBdr>
    </w:div>
    <w:div w:id="517542985">
      <w:bodyDiv w:val="1"/>
      <w:marLeft w:val="0"/>
      <w:marRight w:val="0"/>
      <w:marTop w:val="0"/>
      <w:marBottom w:val="0"/>
      <w:divBdr>
        <w:top w:val="none" w:sz="0" w:space="0" w:color="auto"/>
        <w:left w:val="none" w:sz="0" w:space="0" w:color="auto"/>
        <w:bottom w:val="none" w:sz="0" w:space="0" w:color="auto"/>
        <w:right w:val="none" w:sz="0" w:space="0" w:color="auto"/>
      </w:divBdr>
    </w:div>
    <w:div w:id="532302804">
      <w:bodyDiv w:val="1"/>
      <w:marLeft w:val="0"/>
      <w:marRight w:val="0"/>
      <w:marTop w:val="0"/>
      <w:marBottom w:val="0"/>
      <w:divBdr>
        <w:top w:val="none" w:sz="0" w:space="0" w:color="auto"/>
        <w:left w:val="none" w:sz="0" w:space="0" w:color="auto"/>
        <w:bottom w:val="none" w:sz="0" w:space="0" w:color="auto"/>
        <w:right w:val="none" w:sz="0" w:space="0" w:color="auto"/>
      </w:divBdr>
    </w:div>
    <w:div w:id="539897251">
      <w:bodyDiv w:val="1"/>
      <w:marLeft w:val="0"/>
      <w:marRight w:val="0"/>
      <w:marTop w:val="0"/>
      <w:marBottom w:val="0"/>
      <w:divBdr>
        <w:top w:val="none" w:sz="0" w:space="0" w:color="auto"/>
        <w:left w:val="none" w:sz="0" w:space="0" w:color="auto"/>
        <w:bottom w:val="none" w:sz="0" w:space="0" w:color="auto"/>
        <w:right w:val="none" w:sz="0" w:space="0" w:color="auto"/>
      </w:divBdr>
    </w:div>
    <w:div w:id="552624362">
      <w:bodyDiv w:val="1"/>
      <w:marLeft w:val="0"/>
      <w:marRight w:val="0"/>
      <w:marTop w:val="0"/>
      <w:marBottom w:val="0"/>
      <w:divBdr>
        <w:top w:val="none" w:sz="0" w:space="0" w:color="auto"/>
        <w:left w:val="none" w:sz="0" w:space="0" w:color="auto"/>
        <w:bottom w:val="none" w:sz="0" w:space="0" w:color="auto"/>
        <w:right w:val="none" w:sz="0" w:space="0" w:color="auto"/>
      </w:divBdr>
    </w:div>
    <w:div w:id="595791047">
      <w:bodyDiv w:val="1"/>
      <w:marLeft w:val="0"/>
      <w:marRight w:val="0"/>
      <w:marTop w:val="0"/>
      <w:marBottom w:val="0"/>
      <w:divBdr>
        <w:top w:val="none" w:sz="0" w:space="0" w:color="auto"/>
        <w:left w:val="none" w:sz="0" w:space="0" w:color="auto"/>
        <w:bottom w:val="none" w:sz="0" w:space="0" w:color="auto"/>
        <w:right w:val="none" w:sz="0" w:space="0" w:color="auto"/>
      </w:divBdr>
    </w:div>
    <w:div w:id="605387018">
      <w:bodyDiv w:val="1"/>
      <w:marLeft w:val="0"/>
      <w:marRight w:val="0"/>
      <w:marTop w:val="0"/>
      <w:marBottom w:val="0"/>
      <w:divBdr>
        <w:top w:val="none" w:sz="0" w:space="0" w:color="auto"/>
        <w:left w:val="none" w:sz="0" w:space="0" w:color="auto"/>
        <w:bottom w:val="none" w:sz="0" w:space="0" w:color="auto"/>
        <w:right w:val="none" w:sz="0" w:space="0" w:color="auto"/>
      </w:divBdr>
    </w:div>
    <w:div w:id="633677825">
      <w:bodyDiv w:val="1"/>
      <w:marLeft w:val="0"/>
      <w:marRight w:val="0"/>
      <w:marTop w:val="0"/>
      <w:marBottom w:val="0"/>
      <w:divBdr>
        <w:top w:val="none" w:sz="0" w:space="0" w:color="auto"/>
        <w:left w:val="none" w:sz="0" w:space="0" w:color="auto"/>
        <w:bottom w:val="none" w:sz="0" w:space="0" w:color="auto"/>
        <w:right w:val="none" w:sz="0" w:space="0" w:color="auto"/>
      </w:divBdr>
    </w:div>
    <w:div w:id="636180774">
      <w:bodyDiv w:val="1"/>
      <w:marLeft w:val="0"/>
      <w:marRight w:val="0"/>
      <w:marTop w:val="0"/>
      <w:marBottom w:val="0"/>
      <w:divBdr>
        <w:top w:val="none" w:sz="0" w:space="0" w:color="auto"/>
        <w:left w:val="none" w:sz="0" w:space="0" w:color="auto"/>
        <w:bottom w:val="none" w:sz="0" w:space="0" w:color="auto"/>
        <w:right w:val="none" w:sz="0" w:space="0" w:color="auto"/>
      </w:divBdr>
    </w:div>
    <w:div w:id="658769490">
      <w:bodyDiv w:val="1"/>
      <w:marLeft w:val="0"/>
      <w:marRight w:val="0"/>
      <w:marTop w:val="0"/>
      <w:marBottom w:val="0"/>
      <w:divBdr>
        <w:top w:val="none" w:sz="0" w:space="0" w:color="auto"/>
        <w:left w:val="none" w:sz="0" w:space="0" w:color="auto"/>
        <w:bottom w:val="none" w:sz="0" w:space="0" w:color="auto"/>
        <w:right w:val="none" w:sz="0" w:space="0" w:color="auto"/>
      </w:divBdr>
    </w:div>
    <w:div w:id="673341772">
      <w:bodyDiv w:val="1"/>
      <w:marLeft w:val="0"/>
      <w:marRight w:val="0"/>
      <w:marTop w:val="0"/>
      <w:marBottom w:val="0"/>
      <w:divBdr>
        <w:top w:val="none" w:sz="0" w:space="0" w:color="auto"/>
        <w:left w:val="none" w:sz="0" w:space="0" w:color="auto"/>
        <w:bottom w:val="none" w:sz="0" w:space="0" w:color="auto"/>
        <w:right w:val="none" w:sz="0" w:space="0" w:color="auto"/>
      </w:divBdr>
    </w:div>
    <w:div w:id="777061651">
      <w:bodyDiv w:val="1"/>
      <w:marLeft w:val="0"/>
      <w:marRight w:val="0"/>
      <w:marTop w:val="0"/>
      <w:marBottom w:val="0"/>
      <w:divBdr>
        <w:top w:val="none" w:sz="0" w:space="0" w:color="auto"/>
        <w:left w:val="none" w:sz="0" w:space="0" w:color="auto"/>
        <w:bottom w:val="none" w:sz="0" w:space="0" w:color="auto"/>
        <w:right w:val="none" w:sz="0" w:space="0" w:color="auto"/>
      </w:divBdr>
    </w:div>
    <w:div w:id="812988023">
      <w:bodyDiv w:val="1"/>
      <w:marLeft w:val="0"/>
      <w:marRight w:val="0"/>
      <w:marTop w:val="0"/>
      <w:marBottom w:val="0"/>
      <w:divBdr>
        <w:top w:val="none" w:sz="0" w:space="0" w:color="auto"/>
        <w:left w:val="none" w:sz="0" w:space="0" w:color="auto"/>
        <w:bottom w:val="none" w:sz="0" w:space="0" w:color="auto"/>
        <w:right w:val="none" w:sz="0" w:space="0" w:color="auto"/>
      </w:divBdr>
    </w:div>
    <w:div w:id="898633846">
      <w:bodyDiv w:val="1"/>
      <w:marLeft w:val="0"/>
      <w:marRight w:val="0"/>
      <w:marTop w:val="0"/>
      <w:marBottom w:val="0"/>
      <w:divBdr>
        <w:top w:val="none" w:sz="0" w:space="0" w:color="auto"/>
        <w:left w:val="none" w:sz="0" w:space="0" w:color="auto"/>
        <w:bottom w:val="none" w:sz="0" w:space="0" w:color="auto"/>
        <w:right w:val="none" w:sz="0" w:space="0" w:color="auto"/>
      </w:divBdr>
    </w:div>
    <w:div w:id="932862725">
      <w:bodyDiv w:val="1"/>
      <w:marLeft w:val="0"/>
      <w:marRight w:val="0"/>
      <w:marTop w:val="0"/>
      <w:marBottom w:val="0"/>
      <w:divBdr>
        <w:top w:val="none" w:sz="0" w:space="0" w:color="auto"/>
        <w:left w:val="none" w:sz="0" w:space="0" w:color="auto"/>
        <w:bottom w:val="none" w:sz="0" w:space="0" w:color="auto"/>
        <w:right w:val="none" w:sz="0" w:space="0" w:color="auto"/>
      </w:divBdr>
    </w:div>
    <w:div w:id="1054699641">
      <w:bodyDiv w:val="1"/>
      <w:marLeft w:val="0"/>
      <w:marRight w:val="0"/>
      <w:marTop w:val="0"/>
      <w:marBottom w:val="0"/>
      <w:divBdr>
        <w:top w:val="none" w:sz="0" w:space="0" w:color="auto"/>
        <w:left w:val="none" w:sz="0" w:space="0" w:color="auto"/>
        <w:bottom w:val="none" w:sz="0" w:space="0" w:color="auto"/>
        <w:right w:val="none" w:sz="0" w:space="0" w:color="auto"/>
      </w:divBdr>
      <w:divsChild>
        <w:div w:id="80108539">
          <w:marLeft w:val="0"/>
          <w:marRight w:val="0"/>
          <w:marTop w:val="0"/>
          <w:marBottom w:val="0"/>
          <w:divBdr>
            <w:top w:val="none" w:sz="0" w:space="0" w:color="auto"/>
            <w:left w:val="none" w:sz="0" w:space="0" w:color="auto"/>
            <w:bottom w:val="none" w:sz="0" w:space="0" w:color="auto"/>
            <w:right w:val="none" w:sz="0" w:space="0" w:color="auto"/>
          </w:divBdr>
          <w:divsChild>
            <w:div w:id="400062649">
              <w:marLeft w:val="0"/>
              <w:marRight w:val="0"/>
              <w:marTop w:val="0"/>
              <w:marBottom w:val="0"/>
              <w:divBdr>
                <w:top w:val="none" w:sz="0" w:space="0" w:color="auto"/>
                <w:left w:val="none" w:sz="0" w:space="0" w:color="auto"/>
                <w:bottom w:val="none" w:sz="0" w:space="0" w:color="auto"/>
                <w:right w:val="none" w:sz="0" w:space="0" w:color="auto"/>
              </w:divBdr>
              <w:divsChild>
                <w:div w:id="1107890271">
                  <w:marLeft w:val="0"/>
                  <w:marRight w:val="0"/>
                  <w:marTop w:val="0"/>
                  <w:marBottom w:val="0"/>
                  <w:divBdr>
                    <w:top w:val="none" w:sz="0" w:space="0" w:color="auto"/>
                    <w:left w:val="none" w:sz="0" w:space="0" w:color="auto"/>
                    <w:bottom w:val="none" w:sz="0" w:space="0" w:color="auto"/>
                    <w:right w:val="none" w:sz="0" w:space="0" w:color="auto"/>
                  </w:divBdr>
                  <w:divsChild>
                    <w:div w:id="179374250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60246">
      <w:bodyDiv w:val="1"/>
      <w:marLeft w:val="0"/>
      <w:marRight w:val="0"/>
      <w:marTop w:val="0"/>
      <w:marBottom w:val="0"/>
      <w:divBdr>
        <w:top w:val="none" w:sz="0" w:space="0" w:color="auto"/>
        <w:left w:val="none" w:sz="0" w:space="0" w:color="auto"/>
        <w:bottom w:val="none" w:sz="0" w:space="0" w:color="auto"/>
        <w:right w:val="none" w:sz="0" w:space="0" w:color="auto"/>
      </w:divBdr>
      <w:divsChild>
        <w:div w:id="673529688">
          <w:marLeft w:val="0"/>
          <w:marRight w:val="0"/>
          <w:marTop w:val="0"/>
          <w:marBottom w:val="0"/>
          <w:divBdr>
            <w:top w:val="none" w:sz="0" w:space="0" w:color="auto"/>
            <w:left w:val="none" w:sz="0" w:space="0" w:color="auto"/>
            <w:bottom w:val="none" w:sz="0" w:space="0" w:color="auto"/>
            <w:right w:val="none" w:sz="0" w:space="0" w:color="auto"/>
          </w:divBdr>
        </w:div>
        <w:div w:id="636182906">
          <w:marLeft w:val="0"/>
          <w:marRight w:val="0"/>
          <w:marTop w:val="0"/>
          <w:marBottom w:val="0"/>
          <w:divBdr>
            <w:top w:val="none" w:sz="0" w:space="0" w:color="auto"/>
            <w:left w:val="none" w:sz="0" w:space="0" w:color="auto"/>
            <w:bottom w:val="none" w:sz="0" w:space="0" w:color="auto"/>
            <w:right w:val="none" w:sz="0" w:space="0" w:color="auto"/>
          </w:divBdr>
        </w:div>
        <w:div w:id="768309936">
          <w:marLeft w:val="0"/>
          <w:marRight w:val="0"/>
          <w:marTop w:val="0"/>
          <w:marBottom w:val="0"/>
          <w:divBdr>
            <w:top w:val="none" w:sz="0" w:space="0" w:color="auto"/>
            <w:left w:val="none" w:sz="0" w:space="0" w:color="auto"/>
            <w:bottom w:val="none" w:sz="0" w:space="0" w:color="auto"/>
            <w:right w:val="none" w:sz="0" w:space="0" w:color="auto"/>
          </w:divBdr>
        </w:div>
        <w:div w:id="1296835007">
          <w:marLeft w:val="0"/>
          <w:marRight w:val="0"/>
          <w:marTop w:val="0"/>
          <w:marBottom w:val="0"/>
          <w:divBdr>
            <w:top w:val="none" w:sz="0" w:space="0" w:color="auto"/>
            <w:left w:val="none" w:sz="0" w:space="0" w:color="auto"/>
            <w:bottom w:val="none" w:sz="0" w:space="0" w:color="auto"/>
            <w:right w:val="none" w:sz="0" w:space="0" w:color="auto"/>
          </w:divBdr>
        </w:div>
      </w:divsChild>
    </w:div>
    <w:div w:id="1088959963">
      <w:bodyDiv w:val="1"/>
      <w:marLeft w:val="0"/>
      <w:marRight w:val="0"/>
      <w:marTop w:val="0"/>
      <w:marBottom w:val="0"/>
      <w:divBdr>
        <w:top w:val="none" w:sz="0" w:space="0" w:color="auto"/>
        <w:left w:val="none" w:sz="0" w:space="0" w:color="auto"/>
        <w:bottom w:val="none" w:sz="0" w:space="0" w:color="auto"/>
        <w:right w:val="none" w:sz="0" w:space="0" w:color="auto"/>
      </w:divBdr>
      <w:divsChild>
        <w:div w:id="1179924973">
          <w:marLeft w:val="0"/>
          <w:marRight w:val="0"/>
          <w:marTop w:val="0"/>
          <w:marBottom w:val="0"/>
          <w:divBdr>
            <w:top w:val="none" w:sz="0" w:space="0" w:color="auto"/>
            <w:left w:val="none" w:sz="0" w:space="0" w:color="auto"/>
            <w:bottom w:val="none" w:sz="0" w:space="0" w:color="auto"/>
            <w:right w:val="none" w:sz="0" w:space="0" w:color="auto"/>
          </w:divBdr>
        </w:div>
      </w:divsChild>
    </w:div>
    <w:div w:id="1111513413">
      <w:bodyDiv w:val="1"/>
      <w:marLeft w:val="0"/>
      <w:marRight w:val="0"/>
      <w:marTop w:val="0"/>
      <w:marBottom w:val="0"/>
      <w:divBdr>
        <w:top w:val="none" w:sz="0" w:space="0" w:color="auto"/>
        <w:left w:val="none" w:sz="0" w:space="0" w:color="auto"/>
        <w:bottom w:val="none" w:sz="0" w:space="0" w:color="auto"/>
        <w:right w:val="none" w:sz="0" w:space="0" w:color="auto"/>
      </w:divBdr>
    </w:div>
    <w:div w:id="1115061174">
      <w:bodyDiv w:val="1"/>
      <w:marLeft w:val="0"/>
      <w:marRight w:val="0"/>
      <w:marTop w:val="0"/>
      <w:marBottom w:val="0"/>
      <w:divBdr>
        <w:top w:val="none" w:sz="0" w:space="0" w:color="auto"/>
        <w:left w:val="none" w:sz="0" w:space="0" w:color="auto"/>
        <w:bottom w:val="none" w:sz="0" w:space="0" w:color="auto"/>
        <w:right w:val="none" w:sz="0" w:space="0" w:color="auto"/>
      </w:divBdr>
    </w:div>
    <w:div w:id="1120756153">
      <w:bodyDiv w:val="1"/>
      <w:marLeft w:val="0"/>
      <w:marRight w:val="0"/>
      <w:marTop w:val="0"/>
      <w:marBottom w:val="0"/>
      <w:divBdr>
        <w:top w:val="none" w:sz="0" w:space="0" w:color="auto"/>
        <w:left w:val="none" w:sz="0" w:space="0" w:color="auto"/>
        <w:bottom w:val="none" w:sz="0" w:space="0" w:color="auto"/>
        <w:right w:val="none" w:sz="0" w:space="0" w:color="auto"/>
      </w:divBdr>
    </w:div>
    <w:div w:id="1208764564">
      <w:bodyDiv w:val="1"/>
      <w:marLeft w:val="0"/>
      <w:marRight w:val="0"/>
      <w:marTop w:val="0"/>
      <w:marBottom w:val="0"/>
      <w:divBdr>
        <w:top w:val="none" w:sz="0" w:space="0" w:color="auto"/>
        <w:left w:val="none" w:sz="0" w:space="0" w:color="auto"/>
        <w:bottom w:val="none" w:sz="0" w:space="0" w:color="auto"/>
        <w:right w:val="none" w:sz="0" w:space="0" w:color="auto"/>
      </w:divBdr>
      <w:divsChild>
        <w:div w:id="963852653">
          <w:marLeft w:val="0"/>
          <w:marRight w:val="0"/>
          <w:marTop w:val="0"/>
          <w:marBottom w:val="0"/>
          <w:divBdr>
            <w:top w:val="none" w:sz="0" w:space="0" w:color="auto"/>
            <w:left w:val="none" w:sz="0" w:space="0" w:color="auto"/>
            <w:bottom w:val="none" w:sz="0" w:space="0" w:color="auto"/>
            <w:right w:val="none" w:sz="0" w:space="0" w:color="auto"/>
          </w:divBdr>
        </w:div>
        <w:div w:id="831063126">
          <w:marLeft w:val="0"/>
          <w:marRight w:val="0"/>
          <w:marTop w:val="0"/>
          <w:marBottom w:val="0"/>
          <w:divBdr>
            <w:top w:val="none" w:sz="0" w:space="0" w:color="auto"/>
            <w:left w:val="none" w:sz="0" w:space="0" w:color="auto"/>
            <w:bottom w:val="none" w:sz="0" w:space="0" w:color="auto"/>
            <w:right w:val="none" w:sz="0" w:space="0" w:color="auto"/>
          </w:divBdr>
        </w:div>
        <w:div w:id="1345474151">
          <w:marLeft w:val="0"/>
          <w:marRight w:val="0"/>
          <w:marTop w:val="0"/>
          <w:marBottom w:val="0"/>
          <w:divBdr>
            <w:top w:val="none" w:sz="0" w:space="0" w:color="auto"/>
            <w:left w:val="none" w:sz="0" w:space="0" w:color="auto"/>
            <w:bottom w:val="none" w:sz="0" w:space="0" w:color="auto"/>
            <w:right w:val="none" w:sz="0" w:space="0" w:color="auto"/>
          </w:divBdr>
        </w:div>
        <w:div w:id="1958102887">
          <w:marLeft w:val="0"/>
          <w:marRight w:val="0"/>
          <w:marTop w:val="0"/>
          <w:marBottom w:val="0"/>
          <w:divBdr>
            <w:top w:val="none" w:sz="0" w:space="0" w:color="auto"/>
            <w:left w:val="none" w:sz="0" w:space="0" w:color="auto"/>
            <w:bottom w:val="none" w:sz="0" w:space="0" w:color="auto"/>
            <w:right w:val="none" w:sz="0" w:space="0" w:color="auto"/>
          </w:divBdr>
        </w:div>
      </w:divsChild>
    </w:div>
    <w:div w:id="1283539124">
      <w:bodyDiv w:val="1"/>
      <w:marLeft w:val="0"/>
      <w:marRight w:val="0"/>
      <w:marTop w:val="0"/>
      <w:marBottom w:val="0"/>
      <w:divBdr>
        <w:top w:val="none" w:sz="0" w:space="0" w:color="auto"/>
        <w:left w:val="none" w:sz="0" w:space="0" w:color="auto"/>
        <w:bottom w:val="none" w:sz="0" w:space="0" w:color="auto"/>
        <w:right w:val="none" w:sz="0" w:space="0" w:color="auto"/>
      </w:divBdr>
    </w:div>
    <w:div w:id="1429081223">
      <w:bodyDiv w:val="1"/>
      <w:marLeft w:val="0"/>
      <w:marRight w:val="0"/>
      <w:marTop w:val="0"/>
      <w:marBottom w:val="0"/>
      <w:divBdr>
        <w:top w:val="none" w:sz="0" w:space="0" w:color="auto"/>
        <w:left w:val="none" w:sz="0" w:space="0" w:color="auto"/>
        <w:bottom w:val="none" w:sz="0" w:space="0" w:color="auto"/>
        <w:right w:val="none" w:sz="0" w:space="0" w:color="auto"/>
      </w:divBdr>
    </w:div>
    <w:div w:id="1453790036">
      <w:bodyDiv w:val="1"/>
      <w:marLeft w:val="0"/>
      <w:marRight w:val="0"/>
      <w:marTop w:val="0"/>
      <w:marBottom w:val="0"/>
      <w:divBdr>
        <w:top w:val="none" w:sz="0" w:space="0" w:color="auto"/>
        <w:left w:val="none" w:sz="0" w:space="0" w:color="auto"/>
        <w:bottom w:val="none" w:sz="0" w:space="0" w:color="auto"/>
        <w:right w:val="none" w:sz="0" w:space="0" w:color="auto"/>
      </w:divBdr>
    </w:div>
    <w:div w:id="1483548969">
      <w:bodyDiv w:val="1"/>
      <w:marLeft w:val="0"/>
      <w:marRight w:val="0"/>
      <w:marTop w:val="0"/>
      <w:marBottom w:val="0"/>
      <w:divBdr>
        <w:top w:val="none" w:sz="0" w:space="0" w:color="auto"/>
        <w:left w:val="none" w:sz="0" w:space="0" w:color="auto"/>
        <w:bottom w:val="none" w:sz="0" w:space="0" w:color="auto"/>
        <w:right w:val="none" w:sz="0" w:space="0" w:color="auto"/>
      </w:divBdr>
    </w:div>
    <w:div w:id="1529485670">
      <w:bodyDiv w:val="1"/>
      <w:marLeft w:val="0"/>
      <w:marRight w:val="0"/>
      <w:marTop w:val="0"/>
      <w:marBottom w:val="0"/>
      <w:divBdr>
        <w:top w:val="none" w:sz="0" w:space="0" w:color="auto"/>
        <w:left w:val="none" w:sz="0" w:space="0" w:color="auto"/>
        <w:bottom w:val="none" w:sz="0" w:space="0" w:color="auto"/>
        <w:right w:val="none" w:sz="0" w:space="0" w:color="auto"/>
      </w:divBdr>
    </w:div>
    <w:div w:id="1550801003">
      <w:bodyDiv w:val="1"/>
      <w:marLeft w:val="0"/>
      <w:marRight w:val="0"/>
      <w:marTop w:val="0"/>
      <w:marBottom w:val="0"/>
      <w:divBdr>
        <w:top w:val="none" w:sz="0" w:space="0" w:color="auto"/>
        <w:left w:val="none" w:sz="0" w:space="0" w:color="auto"/>
        <w:bottom w:val="none" w:sz="0" w:space="0" w:color="auto"/>
        <w:right w:val="none" w:sz="0" w:space="0" w:color="auto"/>
      </w:divBdr>
    </w:div>
    <w:div w:id="1595629234">
      <w:bodyDiv w:val="1"/>
      <w:marLeft w:val="0"/>
      <w:marRight w:val="0"/>
      <w:marTop w:val="0"/>
      <w:marBottom w:val="0"/>
      <w:divBdr>
        <w:top w:val="none" w:sz="0" w:space="0" w:color="auto"/>
        <w:left w:val="none" w:sz="0" w:space="0" w:color="auto"/>
        <w:bottom w:val="none" w:sz="0" w:space="0" w:color="auto"/>
        <w:right w:val="none" w:sz="0" w:space="0" w:color="auto"/>
      </w:divBdr>
      <w:divsChild>
        <w:div w:id="66001137">
          <w:marLeft w:val="0"/>
          <w:marRight w:val="0"/>
          <w:marTop w:val="0"/>
          <w:marBottom w:val="0"/>
          <w:divBdr>
            <w:top w:val="none" w:sz="0" w:space="0" w:color="auto"/>
            <w:left w:val="none" w:sz="0" w:space="0" w:color="auto"/>
            <w:bottom w:val="none" w:sz="0" w:space="0" w:color="auto"/>
            <w:right w:val="none" w:sz="0" w:space="0" w:color="auto"/>
          </w:divBdr>
        </w:div>
      </w:divsChild>
    </w:div>
    <w:div w:id="1610089260">
      <w:bodyDiv w:val="1"/>
      <w:marLeft w:val="0"/>
      <w:marRight w:val="0"/>
      <w:marTop w:val="0"/>
      <w:marBottom w:val="0"/>
      <w:divBdr>
        <w:top w:val="none" w:sz="0" w:space="0" w:color="auto"/>
        <w:left w:val="none" w:sz="0" w:space="0" w:color="auto"/>
        <w:bottom w:val="none" w:sz="0" w:space="0" w:color="auto"/>
        <w:right w:val="none" w:sz="0" w:space="0" w:color="auto"/>
      </w:divBdr>
    </w:div>
    <w:div w:id="1638298776">
      <w:bodyDiv w:val="1"/>
      <w:marLeft w:val="0"/>
      <w:marRight w:val="0"/>
      <w:marTop w:val="0"/>
      <w:marBottom w:val="0"/>
      <w:divBdr>
        <w:top w:val="none" w:sz="0" w:space="0" w:color="auto"/>
        <w:left w:val="none" w:sz="0" w:space="0" w:color="auto"/>
        <w:bottom w:val="none" w:sz="0" w:space="0" w:color="auto"/>
        <w:right w:val="none" w:sz="0" w:space="0" w:color="auto"/>
      </w:divBdr>
    </w:div>
    <w:div w:id="1659187694">
      <w:bodyDiv w:val="1"/>
      <w:marLeft w:val="0"/>
      <w:marRight w:val="0"/>
      <w:marTop w:val="0"/>
      <w:marBottom w:val="0"/>
      <w:divBdr>
        <w:top w:val="none" w:sz="0" w:space="0" w:color="auto"/>
        <w:left w:val="none" w:sz="0" w:space="0" w:color="auto"/>
        <w:bottom w:val="none" w:sz="0" w:space="0" w:color="auto"/>
        <w:right w:val="none" w:sz="0" w:space="0" w:color="auto"/>
      </w:divBdr>
    </w:div>
    <w:div w:id="1675958770">
      <w:bodyDiv w:val="1"/>
      <w:marLeft w:val="0"/>
      <w:marRight w:val="0"/>
      <w:marTop w:val="0"/>
      <w:marBottom w:val="0"/>
      <w:divBdr>
        <w:top w:val="none" w:sz="0" w:space="0" w:color="auto"/>
        <w:left w:val="none" w:sz="0" w:space="0" w:color="auto"/>
        <w:bottom w:val="none" w:sz="0" w:space="0" w:color="auto"/>
        <w:right w:val="none" w:sz="0" w:space="0" w:color="auto"/>
      </w:divBdr>
    </w:div>
    <w:div w:id="1693845562">
      <w:bodyDiv w:val="1"/>
      <w:marLeft w:val="0"/>
      <w:marRight w:val="0"/>
      <w:marTop w:val="0"/>
      <w:marBottom w:val="0"/>
      <w:divBdr>
        <w:top w:val="none" w:sz="0" w:space="0" w:color="auto"/>
        <w:left w:val="none" w:sz="0" w:space="0" w:color="auto"/>
        <w:bottom w:val="none" w:sz="0" w:space="0" w:color="auto"/>
        <w:right w:val="none" w:sz="0" w:space="0" w:color="auto"/>
      </w:divBdr>
    </w:div>
    <w:div w:id="1709530972">
      <w:bodyDiv w:val="1"/>
      <w:marLeft w:val="0"/>
      <w:marRight w:val="0"/>
      <w:marTop w:val="0"/>
      <w:marBottom w:val="0"/>
      <w:divBdr>
        <w:top w:val="none" w:sz="0" w:space="0" w:color="auto"/>
        <w:left w:val="none" w:sz="0" w:space="0" w:color="auto"/>
        <w:bottom w:val="none" w:sz="0" w:space="0" w:color="auto"/>
        <w:right w:val="none" w:sz="0" w:space="0" w:color="auto"/>
      </w:divBdr>
    </w:div>
    <w:div w:id="1712000360">
      <w:bodyDiv w:val="1"/>
      <w:marLeft w:val="0"/>
      <w:marRight w:val="0"/>
      <w:marTop w:val="0"/>
      <w:marBottom w:val="0"/>
      <w:divBdr>
        <w:top w:val="none" w:sz="0" w:space="0" w:color="auto"/>
        <w:left w:val="none" w:sz="0" w:space="0" w:color="auto"/>
        <w:bottom w:val="none" w:sz="0" w:space="0" w:color="auto"/>
        <w:right w:val="none" w:sz="0" w:space="0" w:color="auto"/>
      </w:divBdr>
    </w:div>
    <w:div w:id="1760523688">
      <w:bodyDiv w:val="1"/>
      <w:marLeft w:val="0"/>
      <w:marRight w:val="0"/>
      <w:marTop w:val="0"/>
      <w:marBottom w:val="0"/>
      <w:divBdr>
        <w:top w:val="none" w:sz="0" w:space="0" w:color="auto"/>
        <w:left w:val="none" w:sz="0" w:space="0" w:color="auto"/>
        <w:bottom w:val="none" w:sz="0" w:space="0" w:color="auto"/>
        <w:right w:val="none" w:sz="0" w:space="0" w:color="auto"/>
      </w:divBdr>
    </w:div>
    <w:div w:id="1788116665">
      <w:bodyDiv w:val="1"/>
      <w:marLeft w:val="0"/>
      <w:marRight w:val="0"/>
      <w:marTop w:val="0"/>
      <w:marBottom w:val="0"/>
      <w:divBdr>
        <w:top w:val="none" w:sz="0" w:space="0" w:color="auto"/>
        <w:left w:val="none" w:sz="0" w:space="0" w:color="auto"/>
        <w:bottom w:val="none" w:sz="0" w:space="0" w:color="auto"/>
        <w:right w:val="none" w:sz="0" w:space="0" w:color="auto"/>
      </w:divBdr>
    </w:div>
    <w:div w:id="1830289911">
      <w:bodyDiv w:val="1"/>
      <w:marLeft w:val="0"/>
      <w:marRight w:val="0"/>
      <w:marTop w:val="0"/>
      <w:marBottom w:val="0"/>
      <w:divBdr>
        <w:top w:val="none" w:sz="0" w:space="0" w:color="auto"/>
        <w:left w:val="none" w:sz="0" w:space="0" w:color="auto"/>
        <w:bottom w:val="none" w:sz="0" w:space="0" w:color="auto"/>
        <w:right w:val="none" w:sz="0" w:space="0" w:color="auto"/>
      </w:divBdr>
    </w:div>
    <w:div w:id="1859466075">
      <w:bodyDiv w:val="1"/>
      <w:marLeft w:val="0"/>
      <w:marRight w:val="0"/>
      <w:marTop w:val="0"/>
      <w:marBottom w:val="0"/>
      <w:divBdr>
        <w:top w:val="none" w:sz="0" w:space="0" w:color="auto"/>
        <w:left w:val="none" w:sz="0" w:space="0" w:color="auto"/>
        <w:bottom w:val="none" w:sz="0" w:space="0" w:color="auto"/>
        <w:right w:val="none" w:sz="0" w:space="0" w:color="auto"/>
      </w:divBdr>
    </w:div>
    <w:div w:id="1860121600">
      <w:bodyDiv w:val="1"/>
      <w:marLeft w:val="0"/>
      <w:marRight w:val="0"/>
      <w:marTop w:val="0"/>
      <w:marBottom w:val="0"/>
      <w:divBdr>
        <w:top w:val="none" w:sz="0" w:space="0" w:color="auto"/>
        <w:left w:val="none" w:sz="0" w:space="0" w:color="auto"/>
        <w:bottom w:val="none" w:sz="0" w:space="0" w:color="auto"/>
        <w:right w:val="none" w:sz="0" w:space="0" w:color="auto"/>
      </w:divBdr>
    </w:div>
    <w:div w:id="1879318102">
      <w:bodyDiv w:val="1"/>
      <w:marLeft w:val="0"/>
      <w:marRight w:val="0"/>
      <w:marTop w:val="0"/>
      <w:marBottom w:val="0"/>
      <w:divBdr>
        <w:top w:val="none" w:sz="0" w:space="0" w:color="auto"/>
        <w:left w:val="none" w:sz="0" w:space="0" w:color="auto"/>
        <w:bottom w:val="none" w:sz="0" w:space="0" w:color="auto"/>
        <w:right w:val="none" w:sz="0" w:space="0" w:color="auto"/>
      </w:divBdr>
    </w:div>
    <w:div w:id="1961566962">
      <w:bodyDiv w:val="1"/>
      <w:marLeft w:val="0"/>
      <w:marRight w:val="0"/>
      <w:marTop w:val="0"/>
      <w:marBottom w:val="0"/>
      <w:divBdr>
        <w:top w:val="none" w:sz="0" w:space="0" w:color="auto"/>
        <w:left w:val="none" w:sz="0" w:space="0" w:color="auto"/>
        <w:bottom w:val="none" w:sz="0" w:space="0" w:color="auto"/>
        <w:right w:val="none" w:sz="0" w:space="0" w:color="auto"/>
      </w:divBdr>
    </w:div>
    <w:div w:id="2002275814">
      <w:bodyDiv w:val="1"/>
      <w:marLeft w:val="0"/>
      <w:marRight w:val="0"/>
      <w:marTop w:val="0"/>
      <w:marBottom w:val="0"/>
      <w:divBdr>
        <w:top w:val="none" w:sz="0" w:space="0" w:color="auto"/>
        <w:left w:val="none" w:sz="0" w:space="0" w:color="auto"/>
        <w:bottom w:val="none" w:sz="0" w:space="0" w:color="auto"/>
        <w:right w:val="none" w:sz="0" w:space="0" w:color="auto"/>
      </w:divBdr>
    </w:div>
    <w:div w:id="2012025856">
      <w:bodyDiv w:val="1"/>
      <w:marLeft w:val="0"/>
      <w:marRight w:val="0"/>
      <w:marTop w:val="0"/>
      <w:marBottom w:val="0"/>
      <w:divBdr>
        <w:top w:val="none" w:sz="0" w:space="0" w:color="auto"/>
        <w:left w:val="none" w:sz="0" w:space="0" w:color="auto"/>
        <w:bottom w:val="none" w:sz="0" w:space="0" w:color="auto"/>
        <w:right w:val="none" w:sz="0" w:space="0" w:color="auto"/>
      </w:divBdr>
    </w:div>
    <w:div w:id="2024361299">
      <w:bodyDiv w:val="1"/>
      <w:marLeft w:val="0"/>
      <w:marRight w:val="0"/>
      <w:marTop w:val="0"/>
      <w:marBottom w:val="0"/>
      <w:divBdr>
        <w:top w:val="none" w:sz="0" w:space="0" w:color="auto"/>
        <w:left w:val="none" w:sz="0" w:space="0" w:color="auto"/>
        <w:bottom w:val="none" w:sz="0" w:space="0" w:color="auto"/>
        <w:right w:val="none" w:sz="0" w:space="0" w:color="auto"/>
      </w:divBdr>
    </w:div>
    <w:div w:id="2029940326">
      <w:bodyDiv w:val="1"/>
      <w:marLeft w:val="0"/>
      <w:marRight w:val="0"/>
      <w:marTop w:val="0"/>
      <w:marBottom w:val="0"/>
      <w:divBdr>
        <w:top w:val="none" w:sz="0" w:space="0" w:color="auto"/>
        <w:left w:val="none" w:sz="0" w:space="0" w:color="auto"/>
        <w:bottom w:val="none" w:sz="0" w:space="0" w:color="auto"/>
        <w:right w:val="none" w:sz="0" w:space="0" w:color="auto"/>
      </w:divBdr>
    </w:div>
    <w:div w:id="2038003740">
      <w:bodyDiv w:val="1"/>
      <w:marLeft w:val="0"/>
      <w:marRight w:val="0"/>
      <w:marTop w:val="0"/>
      <w:marBottom w:val="0"/>
      <w:divBdr>
        <w:top w:val="none" w:sz="0" w:space="0" w:color="auto"/>
        <w:left w:val="none" w:sz="0" w:space="0" w:color="auto"/>
        <w:bottom w:val="none" w:sz="0" w:space="0" w:color="auto"/>
        <w:right w:val="none" w:sz="0" w:space="0" w:color="auto"/>
      </w:divBdr>
    </w:div>
    <w:div w:id="214730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regio.decreto:1942-03-30;327~art4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ormattiva.it/uri-res/N2Ls?urn:nir:presidente.repubblica:decreto:2001-06-06;380~art3-com1" TargetMode="External"/><Relationship Id="rId2" Type="http://schemas.openxmlformats.org/officeDocument/2006/relationships/hyperlink" Target="https://www.normattiva.it/uri-res/N2Ls?urn:nir:stato:decreto.legislativo:2004-01-22;42" TargetMode="External"/><Relationship Id="rId1" Type="http://schemas.openxmlformats.org/officeDocument/2006/relationships/hyperlink" Target="https://www.normattiva.it/uri-res/N2Ls?urn:nir:stato:decreto.legislativo:2004-01-22;42" TargetMode="External"/><Relationship Id="rId5" Type="http://schemas.openxmlformats.org/officeDocument/2006/relationships/hyperlink" Target="https://www.normattiva.it/uri-res/N2Ls?urn:nir:stato:decreto.legge:2024-09-16;131" TargetMode="External"/><Relationship Id="rId4" Type="http://schemas.openxmlformats.org/officeDocument/2006/relationships/hyperlink" Target="https://www.normattiva.it/uri-res/N2Ls?urn:nir:presidente.repubblica:decreto:2001-06-06;38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7496A-E045-4795-B35C-CA2801A5A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15574</Words>
  <Characters>88772</Characters>
  <Application>Microsoft Office Word</Application>
  <DocSecurity>0</DocSecurity>
  <Lines>739</Lines>
  <Paragraphs>208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MANZIONE Antonella</dc:creator>
  <cp:keywords/>
  <dc:description/>
  <cp:lastModifiedBy>COZZOLI Pamela</cp:lastModifiedBy>
  <cp:revision>3</cp:revision>
  <cp:lastPrinted>2026-05-10T17:04:00Z</cp:lastPrinted>
  <dcterms:created xsi:type="dcterms:W3CDTF">2026-08-26T06:09:00Z</dcterms:created>
  <dcterms:modified xsi:type="dcterms:W3CDTF">2026-09-03T09:20:00Z</dcterms:modified>
</cp:coreProperties>
</file>