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B917A" w14:textId="77777777" w:rsidR="002663E3" w:rsidRDefault="002663E3">
      <w:pPr>
        <w:rPr>
          <w:rFonts w:ascii="Garamond" w:hAnsi="Garamond"/>
          <w:sz w:val="28"/>
          <w:szCs w:val="28"/>
        </w:rPr>
      </w:pPr>
    </w:p>
    <w:p w14:paraId="4A9DBBF4" w14:textId="77777777" w:rsidR="00AE7331" w:rsidRDefault="00AE7331">
      <w:pPr>
        <w:rPr>
          <w:rFonts w:ascii="Garamond" w:hAnsi="Garamond"/>
          <w:sz w:val="28"/>
          <w:szCs w:val="28"/>
        </w:rPr>
      </w:pPr>
    </w:p>
    <w:p w14:paraId="5C011FB0" w14:textId="77777777" w:rsidR="009C3418" w:rsidRDefault="00AE7331" w:rsidP="009C3418">
      <w:pPr>
        <w:jc w:val="center"/>
        <w:rPr>
          <w:rFonts w:ascii="Garamond" w:hAnsi="Garamond"/>
          <w:b/>
          <w:bCs/>
          <w:sz w:val="28"/>
          <w:szCs w:val="28"/>
        </w:rPr>
      </w:pPr>
      <w:r w:rsidRPr="00AE7331">
        <w:rPr>
          <w:rFonts w:ascii="Garamond" w:hAnsi="Garamond"/>
          <w:b/>
          <w:bCs/>
          <w:sz w:val="28"/>
          <w:szCs w:val="28"/>
        </w:rPr>
        <w:t>Brevi note sul libro di Antonio Bartolini</w:t>
      </w:r>
      <w:r w:rsidR="009C3418">
        <w:rPr>
          <w:rFonts w:ascii="Garamond" w:hAnsi="Garamond"/>
          <w:b/>
          <w:bCs/>
          <w:sz w:val="28"/>
          <w:szCs w:val="28"/>
        </w:rPr>
        <w:t xml:space="preserve"> </w:t>
      </w:r>
    </w:p>
    <w:p w14:paraId="61C39DB0" w14:textId="32298685" w:rsidR="00AE7331" w:rsidRDefault="009C3418" w:rsidP="009C3418">
      <w:pP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“Il diritto amministrativo dell’innovazione tecnologica” </w:t>
      </w:r>
    </w:p>
    <w:p w14:paraId="425327E2" w14:textId="77777777" w:rsidR="00AE7331" w:rsidRDefault="00AE7331">
      <w:pPr>
        <w:rPr>
          <w:rFonts w:ascii="Garamond" w:hAnsi="Garamond"/>
          <w:b/>
          <w:bCs/>
          <w:sz w:val="28"/>
          <w:szCs w:val="28"/>
        </w:rPr>
      </w:pPr>
    </w:p>
    <w:p w14:paraId="7BF7A2B5" w14:textId="64F69425" w:rsidR="00AE7331" w:rsidRDefault="00AE7331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Giancarlo Montedoro </w:t>
      </w:r>
    </w:p>
    <w:p w14:paraId="6C40172F" w14:textId="77777777" w:rsidR="00AE7331" w:rsidRDefault="00AE7331">
      <w:pPr>
        <w:rPr>
          <w:rFonts w:ascii="Garamond" w:hAnsi="Garamond"/>
          <w:b/>
          <w:bCs/>
          <w:sz w:val="28"/>
          <w:szCs w:val="28"/>
        </w:rPr>
      </w:pPr>
    </w:p>
    <w:p w14:paraId="5FD92B5F" w14:textId="60E713B1" w:rsidR="00AE7331" w:rsidRDefault="00AE7331" w:rsidP="00AE7331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Il presente </w:t>
      </w:r>
      <w:r w:rsidR="001C046B">
        <w:rPr>
          <w:rFonts w:ascii="Garamond" w:hAnsi="Garamond"/>
          <w:sz w:val="28"/>
          <w:szCs w:val="28"/>
        </w:rPr>
        <w:t xml:space="preserve">– breve - </w:t>
      </w:r>
      <w:r>
        <w:rPr>
          <w:rFonts w:ascii="Garamond" w:hAnsi="Garamond"/>
          <w:sz w:val="28"/>
          <w:szCs w:val="28"/>
        </w:rPr>
        <w:t xml:space="preserve">scritto si origina dalla presentazione </w:t>
      </w:r>
      <w:r w:rsidR="00B925AC">
        <w:rPr>
          <w:rFonts w:ascii="Garamond" w:hAnsi="Garamond"/>
          <w:sz w:val="28"/>
          <w:szCs w:val="28"/>
        </w:rPr>
        <w:t>del</w:t>
      </w:r>
      <w:r>
        <w:rPr>
          <w:rFonts w:ascii="Garamond" w:hAnsi="Garamond"/>
          <w:sz w:val="28"/>
          <w:szCs w:val="28"/>
        </w:rPr>
        <w:t xml:space="preserve"> bel libro di Antonio Bartolini “Il diritto amministrativo dell’innovazione tecnologica”, avvenuta in Luiss, alla presenza dell’autore.</w:t>
      </w:r>
    </w:p>
    <w:p w14:paraId="0811C471" w14:textId="05A1974D" w:rsidR="00AE7331" w:rsidRDefault="00AE7331" w:rsidP="00AE7331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Si tratta di un libro che si segnala per l’ambizione di dare una qualificazione giuridica alla nozione di innovazione </w:t>
      </w:r>
      <w:proofErr w:type="gramStart"/>
      <w:r>
        <w:rPr>
          <w:rFonts w:ascii="Garamond" w:hAnsi="Garamond"/>
          <w:sz w:val="28"/>
          <w:szCs w:val="28"/>
        </w:rPr>
        <w:t>ed</w:t>
      </w:r>
      <w:proofErr w:type="gramEnd"/>
      <w:r>
        <w:rPr>
          <w:rFonts w:ascii="Garamond" w:hAnsi="Garamond"/>
          <w:sz w:val="28"/>
          <w:szCs w:val="28"/>
        </w:rPr>
        <w:t>, in definitiva, nel complessivo itinerario di ricerca che delinea, per la emersione di una materia incandescente ed economicamente e politicamente cruciale per intendere le linee di tendenza del diritto pubblico dell’economia di questo secolo.</w:t>
      </w:r>
    </w:p>
    <w:p w14:paraId="0DFF0EA3" w14:textId="76ED1709" w:rsidR="00AE7331" w:rsidRDefault="00AE7331" w:rsidP="00AE7331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L’autore guida con mano sicura nell’analisi di un complesso di fenomeni economici e giuridici che sono sotto i nostri occhi e che esigono una sistemazione concettuale.</w:t>
      </w:r>
    </w:p>
    <w:p w14:paraId="2373DA4B" w14:textId="14ED11BE" w:rsidR="00AE7331" w:rsidRDefault="00AE7331" w:rsidP="00AE7331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La ricerca è quindi per prima cosa una ricerca di una nozione giuridica di “innovazione tecnologica”.</w:t>
      </w:r>
    </w:p>
    <w:p w14:paraId="2490502D" w14:textId="77777777" w:rsidR="00AE7331" w:rsidRDefault="00AE7331" w:rsidP="00AE7331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Il diritto rispetto alle dirompenti novità della tecnica, svolge essenzialmente una duplice </w:t>
      </w:r>
      <w:proofErr w:type="gramStart"/>
      <w:r>
        <w:rPr>
          <w:rFonts w:ascii="Garamond" w:hAnsi="Garamond"/>
          <w:sz w:val="28"/>
          <w:szCs w:val="28"/>
        </w:rPr>
        <w:t>funzione :</w:t>
      </w:r>
      <w:proofErr w:type="gramEnd"/>
      <w:r>
        <w:rPr>
          <w:rFonts w:ascii="Garamond" w:hAnsi="Garamond"/>
          <w:sz w:val="28"/>
          <w:szCs w:val="28"/>
        </w:rPr>
        <w:t xml:space="preserve"> una prima funzione di creare le condizioni e l’ambiente favorevole allo sviluppo della tecnica; la seconda funzione è quella – legata all’essenza tecnica dello stesso fenomeno giuridico , tecnica fra le tecniche – di correggere gli usi sociali ed economici della tecnica per renderli compatibili con altri valori ed interessi ( specie con principi e regole di livello costituzionale ).</w:t>
      </w:r>
    </w:p>
    <w:p w14:paraId="11DF0AE3" w14:textId="77777777" w:rsidR="00A2098A" w:rsidRDefault="00A2098A" w:rsidP="00AE7331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L’analisi è condotta sul piano del diritto amministrativo ma – nella consapevolezza che il diritto amministrativo è diritto costituzionale concretizzato – incontra il tema della tutela dei diritti fondamentali e non lo ignora, non lo elude, ma si guarda dal porlo come un limite eccessivo tale da creare un alone di diffidenza attorno allo sviluppo tecnologico.</w:t>
      </w:r>
    </w:p>
    <w:p w14:paraId="2911475C" w14:textId="434F2010" w:rsidR="00A2098A" w:rsidRDefault="00A2098A" w:rsidP="00AE7331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Il fine del lavoro sembra anzi essere al contrario cercare – fra contraddizioni e rischi di rottura del sistema - un punto di sintesi </w:t>
      </w:r>
      <w:proofErr w:type="gramStart"/>
      <w:r>
        <w:rPr>
          <w:rFonts w:ascii="Garamond" w:hAnsi="Garamond"/>
          <w:sz w:val="28"/>
          <w:szCs w:val="28"/>
        </w:rPr>
        <w:t>( sempre</w:t>
      </w:r>
      <w:proofErr w:type="gramEnd"/>
      <w:r>
        <w:rPr>
          <w:rFonts w:ascii="Garamond" w:hAnsi="Garamond"/>
          <w:sz w:val="28"/>
          <w:szCs w:val="28"/>
        </w:rPr>
        <w:t xml:space="preserve"> provvisorio ) che possa favorire lo sviluppo tecnologico in Europa ed in Italia</w:t>
      </w:r>
      <w:r w:rsidR="001C046B">
        <w:rPr>
          <w:rFonts w:ascii="Garamond" w:hAnsi="Garamond"/>
          <w:sz w:val="28"/>
          <w:szCs w:val="28"/>
        </w:rPr>
        <w:t xml:space="preserve"> ( Europa che Lusia Torchia – lo si ricorda nel testo – definisce un gigante regolatorio ed un nano tecnologico )</w:t>
      </w:r>
      <w:r>
        <w:rPr>
          <w:rFonts w:ascii="Garamond" w:hAnsi="Garamond"/>
          <w:sz w:val="28"/>
          <w:szCs w:val="28"/>
        </w:rPr>
        <w:t>, analizzando un quadro giuridico in movimento ed i fatti che lo producono.</w:t>
      </w:r>
    </w:p>
    <w:p w14:paraId="4E7C922C" w14:textId="77777777" w:rsidR="00A2098A" w:rsidRDefault="00A2098A" w:rsidP="00AE7331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>Il metodo prescelto dall’autore è realistico -inventivo nel senso voluto da Paolo Grossi di inventio di qualcosa – un concetto giuridico di invenzione tecnologica – che è già depositato nelle fibre dell’essere e vuole essere solo scoperto.</w:t>
      </w:r>
    </w:p>
    <w:p w14:paraId="3A65DCFD" w14:textId="4E3569BA" w:rsidR="00AE7331" w:rsidRDefault="00A2098A" w:rsidP="00AE7331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Qui i documenti europei di soft </w:t>
      </w:r>
      <w:proofErr w:type="spellStart"/>
      <w:r>
        <w:rPr>
          <w:rFonts w:ascii="Garamond" w:hAnsi="Garamond"/>
          <w:sz w:val="28"/>
          <w:szCs w:val="28"/>
        </w:rPr>
        <w:t>law</w:t>
      </w:r>
      <w:proofErr w:type="spellEnd"/>
      <w:r>
        <w:rPr>
          <w:rFonts w:ascii="Garamond" w:hAnsi="Garamond"/>
          <w:sz w:val="28"/>
          <w:szCs w:val="28"/>
        </w:rPr>
        <w:t xml:space="preserve"> e le prassi amministrative copiosamente richiamate nel testo – come i </w:t>
      </w:r>
      <w:proofErr w:type="spellStart"/>
      <w:r>
        <w:rPr>
          <w:rFonts w:ascii="Garamond" w:hAnsi="Garamond"/>
          <w:sz w:val="28"/>
          <w:szCs w:val="28"/>
        </w:rPr>
        <w:t>fragmenta</w:t>
      </w:r>
      <w:proofErr w:type="spellEnd"/>
      <w:r>
        <w:rPr>
          <w:rFonts w:ascii="Garamond" w:hAnsi="Garamond"/>
          <w:sz w:val="28"/>
          <w:szCs w:val="28"/>
        </w:rPr>
        <w:t xml:space="preserve"> dei corpi legislativi vigenti ed in itinere – sono i materiali di un percorso che, analizzato sullo sfondo dei fenomeni materiali nei quali la tecnologia si dispiega </w:t>
      </w:r>
      <w:proofErr w:type="gramStart"/>
      <w:r>
        <w:rPr>
          <w:rFonts w:ascii="Garamond" w:hAnsi="Garamond"/>
          <w:sz w:val="28"/>
          <w:szCs w:val="28"/>
        </w:rPr>
        <w:t>( le</w:t>
      </w:r>
      <w:proofErr w:type="gramEnd"/>
      <w:r>
        <w:rPr>
          <w:rFonts w:ascii="Garamond" w:hAnsi="Garamond"/>
          <w:sz w:val="28"/>
          <w:szCs w:val="28"/>
        </w:rPr>
        <w:t xml:space="preserve"> comunicazioni, le piattaforme, le biotecnologie, le varie questioni ambientali, il post-umano ), fa emergere il concetto.</w:t>
      </w:r>
    </w:p>
    <w:p w14:paraId="316218DC" w14:textId="747E8BDB" w:rsidR="00A2098A" w:rsidRPr="00AE7331" w:rsidRDefault="00A2098A" w:rsidP="00AE7331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Grande importanza assume anche il ruolo della giurisprudenza, ampiamente richiamata nell’analisi.</w:t>
      </w:r>
    </w:p>
    <w:p w14:paraId="31B08A60" w14:textId="7F95B716" w:rsidR="00AE7331" w:rsidRDefault="00A2098A" w:rsidP="00A2098A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Ciò in consonanza con l’idea di diritto mite che è stata di Gustavo Zagrebelsky o di diritto flessibile ( sulla scorta del paradigma di common </w:t>
      </w:r>
      <w:proofErr w:type="spellStart"/>
      <w:r>
        <w:rPr>
          <w:rFonts w:ascii="Garamond" w:hAnsi="Garamond"/>
          <w:sz w:val="28"/>
          <w:szCs w:val="28"/>
        </w:rPr>
        <w:t>law</w:t>
      </w:r>
      <w:proofErr w:type="spellEnd"/>
      <w:r>
        <w:rPr>
          <w:rFonts w:ascii="Garamond" w:hAnsi="Garamond"/>
          <w:sz w:val="28"/>
          <w:szCs w:val="28"/>
        </w:rPr>
        <w:t xml:space="preserve"> )   che tuttora sembra importante evocare nell’epoca del diritto della forza</w:t>
      </w:r>
      <w:r w:rsidR="00497EBA">
        <w:rPr>
          <w:rFonts w:ascii="Garamond" w:hAnsi="Garamond"/>
          <w:sz w:val="28"/>
          <w:szCs w:val="28"/>
        </w:rPr>
        <w:t xml:space="preserve"> ( lo spirito del diritto inglese di </w:t>
      </w:r>
      <w:proofErr w:type="spellStart"/>
      <w:r w:rsidR="00497EBA">
        <w:rPr>
          <w:rFonts w:ascii="Garamond" w:hAnsi="Garamond"/>
          <w:sz w:val="28"/>
          <w:szCs w:val="28"/>
        </w:rPr>
        <w:t>Radbruch</w:t>
      </w:r>
      <w:proofErr w:type="spellEnd"/>
      <w:r w:rsidR="00497EBA">
        <w:rPr>
          <w:rFonts w:ascii="Garamond" w:hAnsi="Garamond"/>
          <w:sz w:val="28"/>
          <w:szCs w:val="28"/>
        </w:rPr>
        <w:t xml:space="preserve"> )</w:t>
      </w:r>
      <w:r>
        <w:rPr>
          <w:rFonts w:ascii="Garamond" w:hAnsi="Garamond"/>
          <w:sz w:val="28"/>
          <w:szCs w:val="28"/>
        </w:rPr>
        <w:t>, senza ignorare tuttavia la centralità della norma</w:t>
      </w:r>
      <w:r w:rsidR="00497EBA">
        <w:rPr>
          <w:rFonts w:ascii="Garamond" w:hAnsi="Garamond"/>
          <w:sz w:val="28"/>
          <w:szCs w:val="28"/>
        </w:rPr>
        <w:t xml:space="preserve"> che si spera in futuro possa essere spoglia delle connotazioni emergenziali che va assumendo (e che esigono temperamenti giurisprudenziali per lasciar vivere la vita , per quanto la norma lo consenta )</w:t>
      </w:r>
      <w:r>
        <w:rPr>
          <w:rFonts w:ascii="Garamond" w:hAnsi="Garamond"/>
          <w:sz w:val="28"/>
          <w:szCs w:val="28"/>
        </w:rPr>
        <w:t>.</w:t>
      </w:r>
    </w:p>
    <w:p w14:paraId="325FBAE8" w14:textId="3389B91C" w:rsidR="00A2098A" w:rsidRDefault="00497EBA" w:rsidP="00A2098A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Un altro dato che emerge dal testo è la centralità del diritto UE nel processo di formazione di un diritto amministrativo dell’innovazione tecnologica </w:t>
      </w:r>
      <w:proofErr w:type="gramStart"/>
      <w:r>
        <w:rPr>
          <w:rFonts w:ascii="Garamond" w:hAnsi="Garamond"/>
          <w:sz w:val="28"/>
          <w:szCs w:val="28"/>
        </w:rPr>
        <w:t>( il</w:t>
      </w:r>
      <w:proofErr w:type="gramEnd"/>
      <w:r>
        <w:rPr>
          <w:rFonts w:ascii="Garamond" w:hAnsi="Garamond"/>
          <w:sz w:val="28"/>
          <w:szCs w:val="28"/>
        </w:rPr>
        <w:t xml:space="preserve"> quadro regolatorio del Digital Market Act e del Digital Service Act e poi dell’AI, come tutta la produzione normativa sul Green Deal e l’economia circolare o sulle tutele brevettuali).</w:t>
      </w:r>
    </w:p>
    <w:p w14:paraId="6ACAF69F" w14:textId="0A43CFE6" w:rsidR="00497EBA" w:rsidRDefault="00497EBA" w:rsidP="00A2098A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Un diritto quello europeo che fa ricorso alla soft </w:t>
      </w:r>
      <w:proofErr w:type="spellStart"/>
      <w:r>
        <w:rPr>
          <w:rFonts w:ascii="Garamond" w:hAnsi="Garamond"/>
          <w:sz w:val="28"/>
          <w:szCs w:val="28"/>
        </w:rPr>
        <w:t>law</w:t>
      </w:r>
      <w:proofErr w:type="spellEnd"/>
      <w:r>
        <w:rPr>
          <w:rFonts w:ascii="Garamond" w:hAnsi="Garamond"/>
          <w:sz w:val="28"/>
          <w:szCs w:val="28"/>
        </w:rPr>
        <w:t xml:space="preserve"> sia per la sua flessibilità, </w:t>
      </w:r>
      <w:proofErr w:type="gramStart"/>
      <w:r>
        <w:rPr>
          <w:rFonts w:ascii="Garamond" w:hAnsi="Garamond"/>
          <w:sz w:val="28"/>
          <w:szCs w:val="28"/>
        </w:rPr>
        <w:t>ideale  per</w:t>
      </w:r>
      <w:proofErr w:type="gramEnd"/>
      <w:r>
        <w:rPr>
          <w:rFonts w:ascii="Garamond" w:hAnsi="Garamond"/>
          <w:sz w:val="28"/>
          <w:szCs w:val="28"/>
        </w:rPr>
        <w:t xml:space="preserve"> lasciar spazio al formante giurisprudenziale sia per anticipare la regolazione successiva ( che va spostandosi sempre più al livello di regolamento per evitare le fughe dalla direttive dei singoli Stati nell’epoca dei sovranismi ).</w:t>
      </w:r>
    </w:p>
    <w:p w14:paraId="684D19AD" w14:textId="5582A1A0" w:rsidR="00497EBA" w:rsidRDefault="00497EBA" w:rsidP="00A2098A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Il tutto in un quadro ben noto all’ordoliberalismo classico, al quale la costruzione UE è chiaramente ispirata.</w:t>
      </w:r>
    </w:p>
    <w:p w14:paraId="25F25BA2" w14:textId="41BD53E7" w:rsidR="00497EBA" w:rsidRDefault="00497EBA" w:rsidP="00A2098A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Naturalmente il quadro è soggetto a mutamento, anche drastico ed imprevedibile in futuro.</w:t>
      </w:r>
    </w:p>
    <w:p w14:paraId="0DBF9245" w14:textId="1B8AD294" w:rsidR="00497EBA" w:rsidRDefault="00497EBA" w:rsidP="00A2098A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E si pensi al testo di Arnaud </w:t>
      </w:r>
      <w:proofErr w:type="spellStart"/>
      <w:r>
        <w:rPr>
          <w:rFonts w:ascii="Garamond" w:hAnsi="Garamond"/>
          <w:sz w:val="28"/>
          <w:szCs w:val="28"/>
        </w:rPr>
        <w:t>Orain</w:t>
      </w:r>
      <w:proofErr w:type="spellEnd"/>
      <w:r>
        <w:rPr>
          <w:rFonts w:ascii="Garamond" w:hAnsi="Garamond"/>
          <w:sz w:val="28"/>
          <w:szCs w:val="28"/>
        </w:rPr>
        <w:t xml:space="preserve"> La confisca del mondo, storia del capitalismo della finitudine, </w:t>
      </w:r>
      <w:proofErr w:type="gramStart"/>
      <w:r>
        <w:rPr>
          <w:rFonts w:ascii="Garamond" w:hAnsi="Garamond"/>
          <w:sz w:val="28"/>
          <w:szCs w:val="28"/>
        </w:rPr>
        <w:t>( Torino</w:t>
      </w:r>
      <w:proofErr w:type="gramEnd"/>
      <w:r>
        <w:rPr>
          <w:rFonts w:ascii="Garamond" w:hAnsi="Garamond"/>
          <w:sz w:val="28"/>
          <w:szCs w:val="28"/>
        </w:rPr>
        <w:t>, 2026) che si apre con delle campane a morto per la sorte del neoliberalismo europeo.</w:t>
      </w:r>
    </w:p>
    <w:p w14:paraId="5ADEED27" w14:textId="77777777" w:rsidR="006C1ED9" w:rsidRDefault="00497EBA" w:rsidP="00A2098A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Riportiamo l’incipit </w:t>
      </w:r>
      <w:r w:rsidR="006C1ED9">
        <w:rPr>
          <w:rFonts w:ascii="Garamond" w:hAnsi="Garamond"/>
          <w:sz w:val="28"/>
          <w:szCs w:val="28"/>
        </w:rPr>
        <w:t xml:space="preserve">del </w:t>
      </w:r>
      <w:proofErr w:type="spellStart"/>
      <w:r w:rsidR="006C1ED9">
        <w:rPr>
          <w:rFonts w:ascii="Garamond" w:hAnsi="Garamond"/>
          <w:sz w:val="28"/>
          <w:szCs w:val="28"/>
        </w:rPr>
        <w:t>lbr</w:t>
      </w:r>
      <w:proofErr w:type="spellEnd"/>
      <w:r w:rsidR="006C1ED9">
        <w:rPr>
          <w:rFonts w:ascii="Garamond" w:hAnsi="Garamond"/>
          <w:sz w:val="28"/>
          <w:szCs w:val="28"/>
        </w:rPr>
        <w:t xml:space="preserve"> di </w:t>
      </w:r>
      <w:proofErr w:type="spellStart"/>
      <w:proofErr w:type="gramStart"/>
      <w:r w:rsidR="006C1ED9">
        <w:rPr>
          <w:rFonts w:ascii="Garamond" w:hAnsi="Garamond"/>
          <w:sz w:val="28"/>
          <w:szCs w:val="28"/>
        </w:rPr>
        <w:t>Orain</w:t>
      </w:r>
      <w:proofErr w:type="spellEnd"/>
      <w:r w:rsidR="006C1ED9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 :</w:t>
      </w:r>
      <w:proofErr w:type="gramEnd"/>
    </w:p>
    <w:p w14:paraId="5A3E3048" w14:textId="4568A717" w:rsidR="00497EBA" w:rsidRDefault="00497EBA" w:rsidP="00A2098A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  <w:proofErr w:type="gramStart"/>
      <w:r>
        <w:rPr>
          <w:rFonts w:ascii="Garamond" w:hAnsi="Garamond"/>
          <w:sz w:val="28"/>
          <w:szCs w:val="28"/>
        </w:rPr>
        <w:t>“ Il</w:t>
      </w:r>
      <w:proofErr w:type="gramEnd"/>
      <w:r>
        <w:rPr>
          <w:rFonts w:ascii="Garamond" w:hAnsi="Garamond"/>
          <w:sz w:val="28"/>
          <w:szCs w:val="28"/>
        </w:rPr>
        <w:t xml:space="preserve"> neoliberismo è giunto al capolinea. </w:t>
      </w:r>
    </w:p>
    <w:p w14:paraId="530DB644" w14:textId="46A8D2B7" w:rsidR="00497EBA" w:rsidRDefault="00497EBA" w:rsidP="00A2098A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Crisi del libero scambio, </w:t>
      </w:r>
      <w:r w:rsidR="006C1ED9">
        <w:rPr>
          <w:rFonts w:ascii="Garamond" w:hAnsi="Garamond"/>
          <w:sz w:val="28"/>
          <w:szCs w:val="28"/>
        </w:rPr>
        <w:t xml:space="preserve">dei meccanismi della competizione e ritorno sulla scena di una concezione autarchica dell’economia. Crescita esponenziale di monopoli privati trasformatisi in aziende -Stato. Libertà dei mari messa a repentaglio. Riarmo generale e </w:t>
      </w:r>
      <w:r w:rsidR="006C1ED9">
        <w:rPr>
          <w:rFonts w:ascii="Garamond" w:hAnsi="Garamond"/>
          <w:sz w:val="28"/>
          <w:szCs w:val="28"/>
        </w:rPr>
        <w:lastRenderedPageBreak/>
        <w:t>moltiplicazione dei conflitti. Nuova corsa all’accaparramento di terre, minerali e specie viventi.”</w:t>
      </w:r>
    </w:p>
    <w:p w14:paraId="3A27204E" w14:textId="77777777" w:rsidR="006C1ED9" w:rsidRDefault="006C1ED9" w:rsidP="00A2098A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Si tratta di una nuova </w:t>
      </w:r>
      <w:proofErr w:type="gramStart"/>
      <w:r>
        <w:rPr>
          <w:rFonts w:ascii="Garamond" w:hAnsi="Garamond"/>
          <w:sz w:val="28"/>
          <w:szCs w:val="28"/>
        </w:rPr>
        <w:t>( l’ennesima</w:t>
      </w:r>
      <w:proofErr w:type="gramEnd"/>
      <w:r>
        <w:rPr>
          <w:rFonts w:ascii="Garamond" w:hAnsi="Garamond"/>
          <w:sz w:val="28"/>
          <w:szCs w:val="28"/>
        </w:rPr>
        <w:t xml:space="preserve"> ) grande trasformazione del capitalismo che riporta in auge schemi di tipo </w:t>
      </w:r>
      <w:proofErr w:type="spellStart"/>
      <w:r>
        <w:rPr>
          <w:rFonts w:ascii="Garamond" w:hAnsi="Garamond"/>
          <w:sz w:val="28"/>
          <w:szCs w:val="28"/>
        </w:rPr>
        <w:t>neomercantilista</w:t>
      </w:r>
      <w:proofErr w:type="spellEnd"/>
      <w:r>
        <w:rPr>
          <w:rFonts w:ascii="Garamond" w:hAnsi="Garamond"/>
          <w:sz w:val="28"/>
          <w:szCs w:val="28"/>
        </w:rPr>
        <w:t xml:space="preserve"> che spiazzano la tradizionale visione irenica del diritto dell’economia maturata in sede europea.</w:t>
      </w:r>
    </w:p>
    <w:p w14:paraId="4111104D" w14:textId="7B20506B" w:rsidR="006C1ED9" w:rsidRDefault="001C046B" w:rsidP="00A2098A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Nel quadro statunitense si celera un divorzio dal libero mercato regolato che è fatto al contempo di politica “assoluta” di stampo </w:t>
      </w:r>
      <w:proofErr w:type="spellStart"/>
      <w:r>
        <w:rPr>
          <w:rFonts w:ascii="Garamond" w:hAnsi="Garamond"/>
          <w:sz w:val="28"/>
          <w:szCs w:val="28"/>
        </w:rPr>
        <w:t>schmittiano</w:t>
      </w:r>
      <w:proofErr w:type="spellEnd"/>
      <w:r>
        <w:rPr>
          <w:rFonts w:ascii="Garamond" w:hAnsi="Garamond"/>
          <w:sz w:val="28"/>
          <w:szCs w:val="28"/>
        </w:rPr>
        <w:t xml:space="preserve"> e di deregolazione ultraliberista.</w:t>
      </w:r>
    </w:p>
    <w:p w14:paraId="1908B99C" w14:textId="72327E3F" w:rsidR="001C046B" w:rsidRDefault="001C046B" w:rsidP="00A2098A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La tecnologia sarebbe al più quindi attività da consegnarsi ai garage e da disciplinarsi con un sistema di </w:t>
      </w:r>
      <w:proofErr w:type="spellStart"/>
      <w:r>
        <w:rPr>
          <w:rFonts w:ascii="Garamond" w:hAnsi="Garamond"/>
          <w:sz w:val="28"/>
          <w:szCs w:val="28"/>
        </w:rPr>
        <w:t>entitlements</w:t>
      </w:r>
      <w:proofErr w:type="spellEnd"/>
      <w:r>
        <w:rPr>
          <w:rFonts w:ascii="Garamond" w:hAnsi="Garamond"/>
          <w:sz w:val="28"/>
          <w:szCs w:val="28"/>
        </w:rPr>
        <w:t xml:space="preserve"> brevettuali </w:t>
      </w:r>
      <w:proofErr w:type="gramStart"/>
      <w:r>
        <w:rPr>
          <w:rFonts w:ascii="Garamond" w:hAnsi="Garamond"/>
          <w:sz w:val="28"/>
          <w:szCs w:val="28"/>
        </w:rPr>
        <w:t>( i</w:t>
      </w:r>
      <w:proofErr w:type="gramEnd"/>
      <w:r>
        <w:rPr>
          <w:rFonts w:ascii="Garamond" w:hAnsi="Garamond"/>
          <w:sz w:val="28"/>
          <w:szCs w:val="28"/>
        </w:rPr>
        <w:t xml:space="preserve"> diritti sulla proprietà immateriale ) unica dimensione giuridica di valorizzazione del capitale.</w:t>
      </w:r>
    </w:p>
    <w:p w14:paraId="373B5B0A" w14:textId="7455D201" w:rsidR="001C046B" w:rsidRDefault="001C046B" w:rsidP="00A2098A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Non va in questo senso</w:t>
      </w:r>
      <w:r w:rsidR="00F44281">
        <w:rPr>
          <w:rFonts w:ascii="Garamond" w:hAnsi="Garamond"/>
          <w:sz w:val="28"/>
          <w:szCs w:val="28"/>
        </w:rPr>
        <w:t xml:space="preserve"> solo squisitamente </w:t>
      </w:r>
      <w:proofErr w:type="spellStart"/>
      <w:r w:rsidR="00F44281">
        <w:rPr>
          <w:rFonts w:ascii="Garamond" w:hAnsi="Garamond"/>
          <w:sz w:val="28"/>
          <w:szCs w:val="28"/>
        </w:rPr>
        <w:t>giusprivatistico</w:t>
      </w:r>
      <w:proofErr w:type="spellEnd"/>
      <w:r>
        <w:rPr>
          <w:rFonts w:ascii="Garamond" w:hAnsi="Garamond"/>
          <w:sz w:val="28"/>
          <w:szCs w:val="28"/>
        </w:rPr>
        <w:t xml:space="preserve"> il lavoro che stiamo esaminando, che</w:t>
      </w:r>
      <w:r w:rsidR="00F44281">
        <w:rPr>
          <w:rFonts w:ascii="Garamond" w:hAnsi="Garamond"/>
          <w:sz w:val="28"/>
          <w:szCs w:val="28"/>
        </w:rPr>
        <w:t xml:space="preserve"> - </w:t>
      </w:r>
      <w:r>
        <w:rPr>
          <w:rFonts w:ascii="Garamond" w:hAnsi="Garamond"/>
          <w:sz w:val="28"/>
          <w:szCs w:val="28"/>
        </w:rPr>
        <w:t xml:space="preserve"> dopo aver costruito</w:t>
      </w:r>
      <w:r w:rsidR="00F44281">
        <w:rPr>
          <w:rFonts w:ascii="Garamond" w:hAnsi="Garamond"/>
          <w:sz w:val="28"/>
          <w:szCs w:val="28"/>
        </w:rPr>
        <w:t xml:space="preserve">, non senza difficoltà, </w:t>
      </w:r>
      <w:r>
        <w:rPr>
          <w:rFonts w:ascii="Garamond" w:hAnsi="Garamond"/>
          <w:sz w:val="28"/>
          <w:szCs w:val="28"/>
        </w:rPr>
        <w:t xml:space="preserve"> </w:t>
      </w:r>
      <w:r w:rsidR="00F44281">
        <w:rPr>
          <w:rFonts w:ascii="Garamond" w:hAnsi="Garamond"/>
          <w:sz w:val="28"/>
          <w:szCs w:val="28"/>
        </w:rPr>
        <w:t xml:space="preserve">una nozione di innovazione tecnologica che si distingue dalla ricerca (anche applicata) e dall’ideazione di qualcosa di nuovo o dalla sua sperimentazione </w:t>
      </w:r>
      <w:r w:rsidR="00DE4BCF">
        <w:rPr>
          <w:rFonts w:ascii="Garamond" w:hAnsi="Garamond"/>
          <w:sz w:val="28"/>
          <w:szCs w:val="28"/>
        </w:rPr>
        <w:t xml:space="preserve">ed anche si distingue dall’invenzione leonardesca – mentre </w:t>
      </w:r>
      <w:r w:rsidR="00F44281">
        <w:rPr>
          <w:rFonts w:ascii="Garamond" w:hAnsi="Garamond"/>
          <w:sz w:val="28"/>
          <w:szCs w:val="28"/>
        </w:rPr>
        <w:t>l’innovazione</w:t>
      </w:r>
      <w:r w:rsidR="00DE4BCF">
        <w:rPr>
          <w:rFonts w:ascii="Garamond" w:hAnsi="Garamond"/>
          <w:sz w:val="28"/>
          <w:szCs w:val="28"/>
        </w:rPr>
        <w:t xml:space="preserve"> tecnologica è legata </w:t>
      </w:r>
      <w:r w:rsidR="00F44281">
        <w:rPr>
          <w:rFonts w:ascii="Garamond" w:hAnsi="Garamond"/>
          <w:sz w:val="28"/>
          <w:szCs w:val="28"/>
        </w:rPr>
        <w:t xml:space="preserve"> alla </w:t>
      </w:r>
      <w:r w:rsidR="00DE4BCF">
        <w:rPr>
          <w:rFonts w:ascii="Garamond" w:hAnsi="Garamond"/>
          <w:sz w:val="28"/>
          <w:szCs w:val="28"/>
        </w:rPr>
        <w:t xml:space="preserve">immediata </w:t>
      </w:r>
      <w:r w:rsidR="00F44281">
        <w:rPr>
          <w:rFonts w:ascii="Garamond" w:hAnsi="Garamond"/>
          <w:sz w:val="28"/>
          <w:szCs w:val="28"/>
        </w:rPr>
        <w:t xml:space="preserve">creazione e commercializzazione di un nuovo prodotto o all’adozione di un nuovo processo produttivo ed in definitiva all’industria ( anche pubblica  nella prospettiva dell’ autore ). </w:t>
      </w:r>
    </w:p>
    <w:p w14:paraId="4D4591BB" w14:textId="0658F868" w:rsidR="00AE7331" w:rsidRDefault="00F44281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Quale spazio è riservato in questo quadro alla sfera </w:t>
      </w:r>
      <w:proofErr w:type="gramStart"/>
      <w:r>
        <w:rPr>
          <w:rFonts w:ascii="Garamond" w:hAnsi="Garamond"/>
          <w:sz w:val="28"/>
          <w:szCs w:val="28"/>
        </w:rPr>
        <w:t>pubblica ?</w:t>
      </w:r>
      <w:proofErr w:type="gramEnd"/>
    </w:p>
    <w:p w14:paraId="5CD213DE" w14:textId="712EDF80" w:rsidR="00F44281" w:rsidRDefault="00F44281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Un ruolo importante sulla scorta delle riflessioni di M. Mazzucato Lo Stato innovatore </w:t>
      </w:r>
      <w:proofErr w:type="gramStart"/>
      <w:r>
        <w:rPr>
          <w:rFonts w:ascii="Garamond" w:hAnsi="Garamond"/>
          <w:sz w:val="28"/>
          <w:szCs w:val="28"/>
        </w:rPr>
        <w:t>( Bari</w:t>
      </w:r>
      <w:proofErr w:type="gramEnd"/>
      <w:r>
        <w:rPr>
          <w:rFonts w:ascii="Garamond" w:hAnsi="Garamond"/>
          <w:sz w:val="28"/>
          <w:szCs w:val="28"/>
        </w:rPr>
        <w:t xml:space="preserve"> Roma , 2014 ), vera e propria musa nemmeno tanto ascosa dello scritto.</w:t>
      </w:r>
    </w:p>
    <w:p w14:paraId="1450ACD5" w14:textId="559C535C" w:rsidR="00F44281" w:rsidRDefault="00F44281" w:rsidP="00F44281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Ed in questo testo risiede un </w:t>
      </w:r>
      <w:proofErr w:type="gramStart"/>
      <w:r>
        <w:rPr>
          <w:rFonts w:ascii="Garamond" w:hAnsi="Garamond"/>
          <w:sz w:val="28"/>
          <w:szCs w:val="28"/>
        </w:rPr>
        <w:t>segreto :</w:t>
      </w:r>
      <w:proofErr w:type="gramEnd"/>
      <w:r>
        <w:rPr>
          <w:rFonts w:ascii="Garamond" w:hAnsi="Garamond"/>
          <w:sz w:val="28"/>
          <w:szCs w:val="28"/>
        </w:rPr>
        <w:t xml:space="preserve"> il ruolo dello Stato che la Mazzucato esamina con riferimento all’esperienza statunitense della nascita di Internet è originariamente legato alle esigenze militari e di sicurezza dello stesso Stato.</w:t>
      </w:r>
    </w:p>
    <w:p w14:paraId="33B08140" w14:textId="3DADBA73" w:rsidR="00F44281" w:rsidRDefault="00F44281" w:rsidP="00F44281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Attualmente i meccanismi di privatizzazione e rafforzamento della decisione sono in corso oltre atlantico e quindi si comprende che evocare il testo della Mazzucato per una </w:t>
      </w:r>
      <w:proofErr w:type="gramStart"/>
      <w:r>
        <w:rPr>
          <w:rFonts w:ascii="Garamond" w:hAnsi="Garamond"/>
          <w:sz w:val="28"/>
          <w:szCs w:val="28"/>
        </w:rPr>
        <w:t>UE  depoliticizzata</w:t>
      </w:r>
      <w:proofErr w:type="gramEnd"/>
      <w:r>
        <w:rPr>
          <w:rFonts w:ascii="Garamond" w:hAnsi="Garamond"/>
          <w:sz w:val="28"/>
          <w:szCs w:val="28"/>
        </w:rPr>
        <w:t xml:space="preserve"> ed in chiaro gap tecnologico</w:t>
      </w:r>
      <w:r w:rsidR="00887D1D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significa sperare di recuperare il terreno perduto mediante la conquista urgente di un’autonomia militare e strategica che faccia da volano ( pubblico ) allo sviluppo tecnologico.</w:t>
      </w:r>
    </w:p>
    <w:p w14:paraId="7D556950" w14:textId="2262E456" w:rsidR="00F44281" w:rsidRDefault="00887D1D" w:rsidP="00F44281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Il rapporto Draghi va in questa direzione.</w:t>
      </w:r>
    </w:p>
    <w:p w14:paraId="62683032" w14:textId="344DEF22" w:rsidR="00887D1D" w:rsidRDefault="00887D1D" w:rsidP="00F44281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Il testo prosegue esaminando i dilemmi del futuro inevitabili sulla strada del diritto amministrativo dell’innovazione.</w:t>
      </w:r>
    </w:p>
    <w:p w14:paraId="768CD76A" w14:textId="5C2CC26C" w:rsidR="00F44281" w:rsidRDefault="00887D1D" w:rsidP="00887D1D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Il primo dilemma riguarda le fonti di energie rinnovabili </w:t>
      </w:r>
      <w:proofErr w:type="gramStart"/>
      <w:r>
        <w:rPr>
          <w:rFonts w:ascii="Garamond" w:hAnsi="Garamond"/>
          <w:sz w:val="28"/>
          <w:szCs w:val="28"/>
        </w:rPr>
        <w:t>( FER</w:t>
      </w:r>
      <w:proofErr w:type="gramEnd"/>
      <w:r>
        <w:rPr>
          <w:rFonts w:ascii="Garamond" w:hAnsi="Garamond"/>
          <w:sz w:val="28"/>
          <w:szCs w:val="28"/>
        </w:rPr>
        <w:t xml:space="preserve"> ) i cui impianti danno luogo a contenziosi aspri e tuttora in corso con il bene costituzionale del paesaggio.</w:t>
      </w:r>
    </w:p>
    <w:p w14:paraId="7104AB62" w14:textId="1D0BB700" w:rsidR="00887D1D" w:rsidRDefault="00887D1D" w:rsidP="00887D1D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Il compromesso di </w:t>
      </w:r>
      <w:proofErr w:type="spellStart"/>
      <w:r>
        <w:rPr>
          <w:rFonts w:ascii="Garamond" w:hAnsi="Garamond"/>
          <w:sz w:val="28"/>
          <w:szCs w:val="28"/>
        </w:rPr>
        <w:t>CdS</w:t>
      </w:r>
      <w:proofErr w:type="spellEnd"/>
      <w:r>
        <w:rPr>
          <w:rFonts w:ascii="Garamond" w:hAnsi="Garamond"/>
          <w:sz w:val="28"/>
          <w:szCs w:val="28"/>
        </w:rPr>
        <w:t xml:space="preserve"> VI n. 8167 del 2022 appare ormai lontano a fronte di soluzione che considerano l’ambiente interesse pubblico prevalente </w:t>
      </w:r>
      <w:proofErr w:type="gramStart"/>
      <w:r>
        <w:rPr>
          <w:rFonts w:ascii="Garamond" w:hAnsi="Garamond"/>
          <w:sz w:val="28"/>
          <w:szCs w:val="28"/>
        </w:rPr>
        <w:t>( sulla</w:t>
      </w:r>
      <w:proofErr w:type="gramEnd"/>
      <w:r>
        <w:rPr>
          <w:rFonts w:ascii="Garamond" w:hAnsi="Garamond"/>
          <w:sz w:val="28"/>
          <w:szCs w:val="28"/>
        </w:rPr>
        <w:t xml:space="preserve"> scorta dell’art. 3 del d.lgs. n. 190 del 204 e dell’art. 16-septies della c.d. direttiva Red III ) quando si tratti di impianti FER.</w:t>
      </w:r>
    </w:p>
    <w:p w14:paraId="4E7F1149" w14:textId="0FB2D7D6" w:rsidR="00887D1D" w:rsidRDefault="00887D1D" w:rsidP="00887D1D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Un nuovo capitolo di sacrificio dell’identità culturale in assenza di adeguate pianificazioni, per la tendenza a privilegiare la velocità di realizzazione su ogni altro bene giuridico </w:t>
      </w:r>
      <w:proofErr w:type="gramStart"/>
      <w:r>
        <w:rPr>
          <w:rFonts w:ascii="Garamond" w:hAnsi="Garamond"/>
          <w:sz w:val="28"/>
          <w:szCs w:val="28"/>
        </w:rPr>
        <w:t>( sulla</w:t>
      </w:r>
      <w:proofErr w:type="gramEnd"/>
      <w:r>
        <w:rPr>
          <w:rFonts w:ascii="Garamond" w:hAnsi="Garamond"/>
          <w:sz w:val="28"/>
          <w:szCs w:val="28"/>
        </w:rPr>
        <w:t xml:space="preserve"> tendenza del nostro tempo alla velocità alienante cfr. </w:t>
      </w:r>
      <w:proofErr w:type="spellStart"/>
      <w:r>
        <w:rPr>
          <w:rFonts w:ascii="Garamond" w:hAnsi="Garamond"/>
          <w:sz w:val="28"/>
          <w:szCs w:val="28"/>
        </w:rPr>
        <w:t>Hartmut</w:t>
      </w:r>
      <w:proofErr w:type="spellEnd"/>
      <w:r>
        <w:rPr>
          <w:rFonts w:ascii="Garamond" w:hAnsi="Garamond"/>
          <w:sz w:val="28"/>
          <w:szCs w:val="28"/>
        </w:rPr>
        <w:t xml:space="preserve"> R</w:t>
      </w:r>
      <w:r w:rsidR="00DE4BCF">
        <w:rPr>
          <w:rFonts w:ascii="Garamond" w:hAnsi="Garamond"/>
          <w:sz w:val="28"/>
          <w:szCs w:val="28"/>
        </w:rPr>
        <w:t>o</w:t>
      </w:r>
      <w:r>
        <w:rPr>
          <w:rFonts w:ascii="Garamond" w:hAnsi="Garamond"/>
          <w:sz w:val="28"/>
          <w:szCs w:val="28"/>
        </w:rPr>
        <w:t>sa Accelerazione ed alienazione , per una teoria critica del tempo nella tarda modernità</w:t>
      </w:r>
      <w:r w:rsidR="00DE4BCF">
        <w:rPr>
          <w:rFonts w:ascii="Garamond" w:hAnsi="Garamond"/>
          <w:sz w:val="28"/>
          <w:szCs w:val="28"/>
        </w:rPr>
        <w:t xml:space="preserve"> (</w:t>
      </w:r>
      <w:r>
        <w:rPr>
          <w:rFonts w:ascii="Garamond" w:hAnsi="Garamond"/>
          <w:sz w:val="28"/>
          <w:szCs w:val="28"/>
        </w:rPr>
        <w:t xml:space="preserve"> Torino, </w:t>
      </w:r>
      <w:r w:rsidR="00DE4BCF">
        <w:rPr>
          <w:rFonts w:ascii="Garamond" w:hAnsi="Garamond"/>
          <w:sz w:val="28"/>
          <w:szCs w:val="28"/>
        </w:rPr>
        <w:t>2015).</w:t>
      </w:r>
    </w:p>
    <w:p w14:paraId="57B7B498" w14:textId="76ED1F7D" w:rsidR="00DE4BCF" w:rsidRDefault="00DE4BCF" w:rsidP="00887D1D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In generale – evidenzia Bartolini - si fronteggiano i due principi di precauzione </w:t>
      </w:r>
      <w:proofErr w:type="gramStart"/>
      <w:r>
        <w:rPr>
          <w:rFonts w:ascii="Garamond" w:hAnsi="Garamond"/>
          <w:sz w:val="28"/>
          <w:szCs w:val="28"/>
        </w:rPr>
        <w:t>( derivante</w:t>
      </w:r>
      <w:proofErr w:type="gramEnd"/>
      <w:r>
        <w:rPr>
          <w:rFonts w:ascii="Garamond" w:hAnsi="Garamond"/>
          <w:sz w:val="28"/>
          <w:szCs w:val="28"/>
        </w:rPr>
        <w:t xml:space="preserve"> dal diritto ambientale) e di favore per l’innovazione ( derivante dalle transizioni in corso).</w:t>
      </w:r>
    </w:p>
    <w:p w14:paraId="767B4AED" w14:textId="1E78623B" w:rsidR="00DE4BCF" w:rsidRDefault="00DE4BCF" w:rsidP="00887D1D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Ai giudici saperli opportunamente bilanciare.</w:t>
      </w:r>
    </w:p>
    <w:p w14:paraId="14151A01" w14:textId="231292A7" w:rsidR="00DE4BCF" w:rsidRDefault="00DE4BCF" w:rsidP="00887D1D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Così come si dovrà seguire la partita sottostante alla grande trasformazione fra un modello aperto di scienza e tecnica basato sulla condivisione ed un modello chiuso basato sui diritti di sfruttamento da riconoscersi all’inventore </w:t>
      </w:r>
      <w:proofErr w:type="gramStart"/>
      <w:r>
        <w:rPr>
          <w:rFonts w:ascii="Garamond" w:hAnsi="Garamond"/>
          <w:sz w:val="28"/>
          <w:szCs w:val="28"/>
        </w:rPr>
        <w:t>( che</w:t>
      </w:r>
      <w:proofErr w:type="gramEnd"/>
      <w:r>
        <w:rPr>
          <w:rFonts w:ascii="Garamond" w:hAnsi="Garamond"/>
          <w:sz w:val="28"/>
          <w:szCs w:val="28"/>
        </w:rPr>
        <w:t xml:space="preserve"> non coincide con la idea regolamentare = chiudere e deregolare = aprire, poiché nella deregolazione estrema restano centrali i diritti brevettuali ).</w:t>
      </w:r>
    </w:p>
    <w:p w14:paraId="50AD19BD" w14:textId="2093F5AD" w:rsidR="00DE4BCF" w:rsidRDefault="00DE4BCF" w:rsidP="00887D1D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Centrali ed ampiamente richiamate sono le Big Tech che pongono come sempre più è evidente inediti problemi al futuro del diritto antitrust ( che appare temporaneamente fuori fase per l’inadeguatezza del suo armamentario prevalentemente pecuniario ) ed alla stessa tenuta del diritto costituzionale come lo abbiamo sempre inteso e praticato incidendo profondamente sull’educazione delle masse.</w:t>
      </w:r>
    </w:p>
    <w:p w14:paraId="001C47AE" w14:textId="4A675FED" w:rsidR="002F693D" w:rsidRDefault="002F693D" w:rsidP="00887D1D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Sempre sui brevetti , ma in relazione ai farmaci, si sofferma l’autore ricordando come v è stata un’epoca ( prima di Corte Cost. n. 20 del 1978 citata a pag. 80 del suo lavoro ) in cui vigeva il divieto di brevettabilità dei farmaci che cadde per le necessità di promuovere la ricerca scientifica ( e torna il dilemma scienza aperta e chiusa che non sarebbe così drammatico se vi fossero imponenti finanziamenti alla ricerca di base ).</w:t>
      </w:r>
    </w:p>
    <w:p w14:paraId="03CC2578" w14:textId="306E6127" w:rsidR="005F18E9" w:rsidRDefault="005F18E9" w:rsidP="00887D1D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L’innovazione vuole un ambiente sempre più concorrenziale e la crisi del diritto antitrust è un serio problema in proposito anche se tale crisi ad avviso di chi scrive è solo temporanea ( il diritto – come si vedrà tra poco – è sempre in ritardo sui fenomeni da regolare ).</w:t>
      </w:r>
    </w:p>
    <w:p w14:paraId="710B415C" w14:textId="77777777" w:rsidR="005F18E9" w:rsidRDefault="005F18E9" w:rsidP="00887D1D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Una certa spinta de-regolatoria è stata al centro della riforma dei contratti pubblici anche se nel sotto-soglia andrebbero misurati gli effetti di riduzione della concorrenza in termini di generale efficienza dell’economia di mercato.</w:t>
      </w:r>
    </w:p>
    <w:p w14:paraId="6A7C404E" w14:textId="77777777" w:rsidR="005F18E9" w:rsidRDefault="005F18E9" w:rsidP="00887D1D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Quanto poi al recente stop della Corte Ue sul diritto di prelazione ( sentenza del 5 febbraio 2026 in causa C- 810/24 ) andrebbe ripreso il filo del ragionamento con la Commissione proprio per varare una prelazione giustificata dall’intento di innovare prodotto o servizio o processo produttivo.</w:t>
      </w:r>
    </w:p>
    <w:p w14:paraId="7931152B" w14:textId="2E6C85A3" w:rsidR="00CD103D" w:rsidRDefault="00CD103D" w:rsidP="00887D1D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Difficili percorsi in tempi di crisi dell’Occidente che si riflette sull’OCSE che molto ha fatto per innovare ma che oggi è </w:t>
      </w:r>
      <w:proofErr w:type="spellStart"/>
      <w:r>
        <w:rPr>
          <w:rFonts w:ascii="Garamond" w:hAnsi="Garamond"/>
          <w:sz w:val="28"/>
          <w:szCs w:val="28"/>
        </w:rPr>
        <w:t>definanziato</w:t>
      </w:r>
      <w:proofErr w:type="spellEnd"/>
      <w:r>
        <w:rPr>
          <w:rFonts w:ascii="Garamond" w:hAnsi="Garamond"/>
          <w:sz w:val="28"/>
          <w:szCs w:val="28"/>
        </w:rPr>
        <w:t xml:space="preserve"> avendo l’amministrazione Trump tagliato gli aiuti globali allo sviluppo.</w:t>
      </w:r>
    </w:p>
    <w:p w14:paraId="33D0943E" w14:textId="77777777" w:rsidR="00CD103D" w:rsidRDefault="00CD103D" w:rsidP="00887D1D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Il futuro sembra quindi risiedere in un’organizzazione europea dell’innovazione che </w:t>
      </w:r>
      <w:proofErr w:type="spellStart"/>
      <w:r>
        <w:rPr>
          <w:rFonts w:ascii="Garamond" w:hAnsi="Garamond"/>
          <w:sz w:val="28"/>
          <w:szCs w:val="28"/>
        </w:rPr>
        <w:t>andra</w:t>
      </w:r>
      <w:proofErr w:type="spellEnd"/>
      <w:r>
        <w:rPr>
          <w:rFonts w:ascii="Garamond" w:hAnsi="Garamond"/>
          <w:sz w:val="28"/>
          <w:szCs w:val="28"/>
        </w:rPr>
        <w:t xml:space="preserve"> costruita spostando al centro i poteri rispetto al modello tradizionale dei fondi strutturali, anche su questo più di uno spunto nel volume che qui si commenta.</w:t>
      </w:r>
    </w:p>
    <w:p w14:paraId="54270237" w14:textId="77777777" w:rsidR="00CD103D" w:rsidRDefault="00CD103D" w:rsidP="00887D1D">
      <w:pPr>
        <w:jc w:val="both"/>
        <w:rPr>
          <w:rFonts w:ascii="Garamond" w:hAnsi="Garamond"/>
          <w:sz w:val="28"/>
          <w:szCs w:val="28"/>
        </w:rPr>
      </w:pPr>
    </w:p>
    <w:p w14:paraId="1E1F1110" w14:textId="018D9010" w:rsidR="00DE4BCF" w:rsidRDefault="00CD103D" w:rsidP="00887D1D">
      <w:pPr>
        <w:jc w:val="both"/>
        <w:rPr>
          <w:rFonts w:ascii="Garamond" w:hAnsi="Garamond"/>
          <w:b/>
          <w:bCs/>
          <w:sz w:val="28"/>
          <w:szCs w:val="28"/>
        </w:rPr>
      </w:pPr>
      <w:r w:rsidRPr="00CD103D">
        <w:rPr>
          <w:rFonts w:ascii="Garamond" w:hAnsi="Garamond"/>
          <w:b/>
          <w:bCs/>
          <w:sz w:val="28"/>
          <w:szCs w:val="28"/>
        </w:rPr>
        <w:t xml:space="preserve">Conclusioni </w:t>
      </w:r>
      <w:r w:rsidR="00DE4BCF" w:rsidRPr="00CD103D">
        <w:rPr>
          <w:rFonts w:ascii="Garamond" w:hAnsi="Garamond"/>
          <w:b/>
          <w:bCs/>
          <w:sz w:val="28"/>
          <w:szCs w:val="28"/>
        </w:rPr>
        <w:t xml:space="preserve">  </w:t>
      </w:r>
    </w:p>
    <w:p w14:paraId="5855B257" w14:textId="77777777" w:rsidR="00CD103D" w:rsidRDefault="00CD103D" w:rsidP="00887D1D">
      <w:pPr>
        <w:jc w:val="both"/>
        <w:rPr>
          <w:rFonts w:ascii="Garamond" w:hAnsi="Garamond"/>
          <w:b/>
          <w:bCs/>
          <w:sz w:val="28"/>
          <w:szCs w:val="28"/>
        </w:rPr>
      </w:pPr>
    </w:p>
    <w:p w14:paraId="3A6CBEA8" w14:textId="07A9ACB3" w:rsidR="00CD103D" w:rsidRDefault="00CD103D" w:rsidP="00887D1D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Ci si muove nel campo delle mediazioni imperfette.</w:t>
      </w:r>
    </w:p>
    <w:p w14:paraId="70F0336A" w14:textId="6EB17BA6" w:rsidR="00CD103D" w:rsidRDefault="00CD103D" w:rsidP="00887D1D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Una nuova economia delle transizioni verdi e digitali, una economia del postumano, una economia della velocità e dei nuovi spazi ( profondità marine e spazi oltre l’atmosfera terrestre ) è di fronte a noi.</w:t>
      </w:r>
    </w:p>
    <w:p w14:paraId="4B4B96FE" w14:textId="27490EF3" w:rsidR="00CD103D" w:rsidRDefault="00CD103D" w:rsidP="00887D1D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Essa è fronteggiata da una vecchia politica, che non riesce a starle dietro.</w:t>
      </w:r>
    </w:p>
    <w:p w14:paraId="03E3D80B" w14:textId="628255EB" w:rsidR="00CD103D" w:rsidRDefault="00CD103D" w:rsidP="00887D1D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Davvero il tema dello Stato innovatore è decisivo.</w:t>
      </w:r>
    </w:p>
    <w:p w14:paraId="203B1215" w14:textId="094B3280" w:rsidR="00CD103D" w:rsidRDefault="00CD103D" w:rsidP="00887D1D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Ma la formula della Mazzucato è troppo tecnocratica per bastare.</w:t>
      </w:r>
    </w:p>
    <w:p w14:paraId="1EB5DEC9" w14:textId="2FCB4091" w:rsidR="00CD103D" w:rsidRDefault="00CD103D" w:rsidP="00887D1D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Conviene – per comprendere questo passaggio - rileggere qualche classico della politica ( che è necessaria come dice Carlo Galli in Necessità della politica, 2026 ).</w:t>
      </w:r>
    </w:p>
    <w:p w14:paraId="25881E8B" w14:textId="181596C3" w:rsidR="00CD103D" w:rsidRDefault="00CD103D" w:rsidP="00887D1D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Chi scrive pensa al saggio di Tronti,</w:t>
      </w:r>
      <w:r w:rsidR="008C76A0">
        <w:rPr>
          <w:rFonts w:ascii="Garamond" w:hAnsi="Garamond"/>
          <w:sz w:val="28"/>
          <w:szCs w:val="28"/>
        </w:rPr>
        <w:t xml:space="preserve"> sull’autonomia del politico ( M. Tronti,</w:t>
      </w:r>
      <w:r>
        <w:rPr>
          <w:rFonts w:ascii="Garamond" w:hAnsi="Garamond"/>
          <w:sz w:val="28"/>
          <w:szCs w:val="28"/>
        </w:rPr>
        <w:t xml:space="preserve"> L’autonomia del politico</w:t>
      </w:r>
      <w:r w:rsidR="008C76A0">
        <w:rPr>
          <w:rFonts w:ascii="Garamond" w:hAnsi="Garamond"/>
          <w:sz w:val="28"/>
          <w:szCs w:val="28"/>
        </w:rPr>
        <w:t>, Milano 1977 )</w:t>
      </w:r>
      <w:r>
        <w:rPr>
          <w:rFonts w:ascii="Garamond" w:hAnsi="Garamond"/>
          <w:sz w:val="28"/>
          <w:szCs w:val="28"/>
        </w:rPr>
        <w:t>.</w:t>
      </w:r>
    </w:p>
    <w:p w14:paraId="7DDB2D2B" w14:textId="77777777" w:rsidR="008C76A0" w:rsidRDefault="00CD103D" w:rsidP="00887D1D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Ivi Tronti – dialogando con Norberto </w:t>
      </w:r>
      <w:r w:rsidR="008C76A0">
        <w:rPr>
          <w:rFonts w:ascii="Garamond" w:hAnsi="Garamond"/>
          <w:sz w:val="28"/>
          <w:szCs w:val="28"/>
        </w:rPr>
        <w:t>Bobbio – sui limiti della dottrina marxiana del diritto e dello Stato disegna come questione centrale della modernità l’autonomia della politica dall’economia.</w:t>
      </w:r>
    </w:p>
    <w:p w14:paraId="012ADDDB" w14:textId="48049AA6" w:rsidR="008C76A0" w:rsidRDefault="008C76A0" w:rsidP="00887D1D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Siamo ancora qui, ad una sovrastruttura che deve cercare la sua autonomia ( dalla struttura economica che tende a </w:t>
      </w:r>
      <w:proofErr w:type="spellStart"/>
      <w:r>
        <w:rPr>
          <w:rFonts w:ascii="Garamond" w:hAnsi="Garamond"/>
          <w:sz w:val="28"/>
          <w:szCs w:val="28"/>
        </w:rPr>
        <w:t>sovradeterminarla</w:t>
      </w:r>
      <w:proofErr w:type="spellEnd"/>
      <w:r>
        <w:rPr>
          <w:rFonts w:ascii="Garamond" w:hAnsi="Garamond"/>
          <w:sz w:val="28"/>
          <w:szCs w:val="28"/>
        </w:rPr>
        <w:t xml:space="preserve"> ).</w:t>
      </w:r>
    </w:p>
    <w:p w14:paraId="1B7727BB" w14:textId="77777777" w:rsidR="008C76A0" w:rsidRDefault="008C76A0" w:rsidP="00887D1D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Nel saggio citato Tronti scrive una considerazione illuminante: lo Stato – scrive – è costantemente in ritardo rispetto allo sviluppo delle forze economiche.</w:t>
      </w:r>
    </w:p>
    <w:p w14:paraId="5481D7A4" w14:textId="77777777" w:rsidR="008C76A0" w:rsidRDefault="008C76A0" w:rsidP="00887D1D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E nota coerentemente nella sua prospettiva politica critica : il capitale manovra questo ritardo, ne approfitta.</w:t>
      </w:r>
    </w:p>
    <w:p w14:paraId="04A2FB6A" w14:textId="77777777" w:rsidR="008C76A0" w:rsidRDefault="008C76A0" w:rsidP="00887D1D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Ma egli dice anche attenzione : esiste un ciclo politico del capitale ( diverso dal suo ciclo economico ) che è anche la capacità del capitale di autocorreggersi confidando nell’autonomia del politico.</w:t>
      </w:r>
    </w:p>
    <w:p w14:paraId="776B59B2" w14:textId="77777777" w:rsidR="008C76A0" w:rsidRDefault="008C76A0" w:rsidP="00887D1D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Così accade nella crisi del 1929 che produsse la correzione keynesiana del ciclo economico ed il New Deal.</w:t>
      </w:r>
    </w:p>
    <w:p w14:paraId="24DBA4D1" w14:textId="77777777" w:rsidR="008C76A0" w:rsidRDefault="008C76A0" w:rsidP="00887D1D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Accadrà lo stesso in questo passaggio?</w:t>
      </w:r>
    </w:p>
    <w:p w14:paraId="0AC14F90" w14:textId="77777777" w:rsidR="008C76A0" w:rsidRDefault="008C76A0" w:rsidP="00887D1D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Se non si dovessero attivare meccanismi correttivi ci potrebbero essere contraddizioni esplosive.</w:t>
      </w:r>
    </w:p>
    <w:p w14:paraId="2F167ECD" w14:textId="418CB63A" w:rsidR="008C76A0" w:rsidRDefault="008C76A0" w:rsidP="00887D1D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Alcune correzioni – nell’ottica del diritto nordamericano – le ha indicate Katharina Pistor in un suo recente lavoro  </w:t>
      </w:r>
      <w:r w:rsidRPr="008C76A0">
        <w:rPr>
          <w:rFonts w:ascii="Garamond" w:hAnsi="Garamond"/>
          <w:sz w:val="28"/>
          <w:szCs w:val="28"/>
        </w:rPr>
        <w:t xml:space="preserve">The </w:t>
      </w:r>
      <w:proofErr w:type="spellStart"/>
      <w:r w:rsidRPr="008C76A0">
        <w:rPr>
          <w:rFonts w:ascii="Garamond" w:hAnsi="Garamond"/>
          <w:sz w:val="28"/>
          <w:szCs w:val="28"/>
        </w:rPr>
        <w:t>Law</w:t>
      </w:r>
      <w:proofErr w:type="spellEnd"/>
      <w:r w:rsidRPr="008C76A0">
        <w:rPr>
          <w:rFonts w:ascii="Garamond" w:hAnsi="Garamond"/>
          <w:sz w:val="28"/>
          <w:szCs w:val="28"/>
        </w:rPr>
        <w:t xml:space="preserve"> of </w:t>
      </w:r>
      <w:proofErr w:type="spellStart"/>
      <w:r w:rsidRPr="008C76A0">
        <w:rPr>
          <w:rFonts w:ascii="Garamond" w:hAnsi="Garamond"/>
          <w:sz w:val="28"/>
          <w:szCs w:val="28"/>
        </w:rPr>
        <w:t>Capitalism</w:t>
      </w:r>
      <w:proofErr w:type="spellEnd"/>
      <w:r w:rsidRPr="008C76A0">
        <w:rPr>
          <w:rFonts w:ascii="Garamond" w:hAnsi="Garamond"/>
          <w:sz w:val="28"/>
          <w:szCs w:val="28"/>
        </w:rPr>
        <w:t xml:space="preserve"> and How to </w:t>
      </w:r>
      <w:proofErr w:type="spellStart"/>
      <w:r w:rsidRPr="008C76A0">
        <w:rPr>
          <w:rFonts w:ascii="Garamond" w:hAnsi="Garamond"/>
          <w:sz w:val="28"/>
          <w:szCs w:val="28"/>
        </w:rPr>
        <w:t>Transform</w:t>
      </w:r>
      <w:proofErr w:type="spellEnd"/>
      <w:r w:rsidRPr="008C76A0">
        <w:rPr>
          <w:rFonts w:ascii="Garamond" w:hAnsi="Garamond"/>
          <w:sz w:val="28"/>
          <w:szCs w:val="28"/>
        </w:rPr>
        <w:t xml:space="preserve"> </w:t>
      </w:r>
      <w:proofErr w:type="spellStart"/>
      <w:r w:rsidRPr="008C76A0">
        <w:rPr>
          <w:rFonts w:ascii="Garamond" w:hAnsi="Garamond"/>
          <w:sz w:val="28"/>
          <w:szCs w:val="28"/>
        </w:rPr>
        <w:t>It</w:t>
      </w:r>
      <w:proofErr w:type="spellEnd"/>
      <w:r>
        <w:rPr>
          <w:rFonts w:ascii="Garamond" w:hAnsi="Garamond"/>
          <w:sz w:val="28"/>
          <w:szCs w:val="28"/>
        </w:rPr>
        <w:t xml:space="preserve"> ( Yale, 2025 ), recentemente presentato in Banca d’Italia,  sul quale mi riprometto di tornare .</w:t>
      </w:r>
    </w:p>
    <w:p w14:paraId="630F3EF0" w14:textId="1DD2CB31" w:rsidR="00CD103D" w:rsidRDefault="008C76A0" w:rsidP="00887D1D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In quel lavoro c’è una forte speranza nel ruolo del mondo giudiziario.</w:t>
      </w:r>
    </w:p>
    <w:p w14:paraId="6CA39D78" w14:textId="34F84521" w:rsidR="008C76A0" w:rsidRDefault="008C76A0" w:rsidP="00887D1D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Chi scrive pensa – da giurista continentale – che la politica sia lo spazio della autonomia collettiva da conservare e nel quale – si spera – matureranno le risposte per il governo di questi cambiamenti e per la definizione compiuta di un diritto amministrativo dell’innovazione tecnologica.</w:t>
      </w:r>
    </w:p>
    <w:p w14:paraId="375E97EA" w14:textId="0A7F921B" w:rsidR="00B06C29" w:rsidRDefault="00B06C29" w:rsidP="00887D1D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Il libro di Antonio Bartolini è – per questo scopo </w:t>
      </w:r>
      <w:proofErr w:type="gramStart"/>
      <w:r>
        <w:rPr>
          <w:rFonts w:ascii="Garamond" w:hAnsi="Garamond"/>
          <w:sz w:val="28"/>
          <w:szCs w:val="28"/>
        </w:rPr>
        <w:t>-  un</w:t>
      </w:r>
      <w:proofErr w:type="gramEnd"/>
      <w:r>
        <w:rPr>
          <w:rFonts w:ascii="Garamond" w:hAnsi="Garamond"/>
          <w:sz w:val="28"/>
          <w:szCs w:val="28"/>
        </w:rPr>
        <w:t xml:space="preserve"> importante  filo d’Arianna. </w:t>
      </w:r>
    </w:p>
    <w:p w14:paraId="6D4C91F6" w14:textId="77777777" w:rsidR="005E7DC5" w:rsidRDefault="005E7DC5" w:rsidP="00887D1D">
      <w:pPr>
        <w:jc w:val="both"/>
        <w:rPr>
          <w:rFonts w:ascii="Garamond" w:hAnsi="Garamond"/>
          <w:sz w:val="28"/>
          <w:szCs w:val="28"/>
        </w:rPr>
      </w:pPr>
    </w:p>
    <w:p w14:paraId="10BE1EE0" w14:textId="77777777" w:rsidR="005E7DC5" w:rsidRDefault="005E7DC5" w:rsidP="00887D1D">
      <w:pPr>
        <w:jc w:val="both"/>
        <w:rPr>
          <w:rFonts w:ascii="Garamond" w:hAnsi="Garamond"/>
          <w:sz w:val="28"/>
          <w:szCs w:val="28"/>
        </w:rPr>
      </w:pPr>
    </w:p>
    <w:p w14:paraId="3F375F92" w14:textId="77777777" w:rsidR="005E7DC5" w:rsidRDefault="005E7DC5" w:rsidP="00887D1D">
      <w:pPr>
        <w:jc w:val="both"/>
        <w:rPr>
          <w:rFonts w:ascii="Garamond" w:hAnsi="Garamond"/>
          <w:sz w:val="28"/>
          <w:szCs w:val="28"/>
        </w:rPr>
      </w:pPr>
    </w:p>
    <w:p w14:paraId="02F932EE" w14:textId="77777777" w:rsidR="005E7DC5" w:rsidRDefault="005E7DC5" w:rsidP="00887D1D">
      <w:pPr>
        <w:jc w:val="both"/>
        <w:rPr>
          <w:rFonts w:ascii="Garamond" w:hAnsi="Garamond"/>
          <w:sz w:val="28"/>
          <w:szCs w:val="28"/>
        </w:rPr>
      </w:pPr>
    </w:p>
    <w:p w14:paraId="4989F830" w14:textId="77777777" w:rsidR="005E7DC5" w:rsidRDefault="005E7DC5" w:rsidP="00887D1D">
      <w:pPr>
        <w:jc w:val="both"/>
        <w:rPr>
          <w:rFonts w:ascii="Garamond" w:hAnsi="Garamond"/>
          <w:sz w:val="28"/>
          <w:szCs w:val="28"/>
        </w:rPr>
      </w:pPr>
    </w:p>
    <w:p w14:paraId="0A1FE6FB" w14:textId="77777777" w:rsidR="005E7DC5" w:rsidRDefault="005E7DC5" w:rsidP="00887D1D">
      <w:pPr>
        <w:jc w:val="both"/>
        <w:rPr>
          <w:rFonts w:ascii="Garamond" w:hAnsi="Garamond"/>
          <w:sz w:val="28"/>
          <w:szCs w:val="28"/>
        </w:rPr>
      </w:pPr>
    </w:p>
    <w:p w14:paraId="0E352A6C" w14:textId="77777777" w:rsidR="005E7DC5" w:rsidRDefault="005E7DC5" w:rsidP="00887D1D">
      <w:pPr>
        <w:jc w:val="both"/>
        <w:rPr>
          <w:rFonts w:ascii="Garamond" w:hAnsi="Garamond"/>
          <w:sz w:val="28"/>
          <w:szCs w:val="28"/>
        </w:rPr>
      </w:pPr>
    </w:p>
    <w:p w14:paraId="7E8A2DE9" w14:textId="77777777" w:rsidR="005E7DC5" w:rsidRDefault="005E7DC5" w:rsidP="00887D1D">
      <w:pPr>
        <w:jc w:val="both"/>
        <w:rPr>
          <w:rFonts w:ascii="Garamond" w:hAnsi="Garamond"/>
          <w:sz w:val="28"/>
          <w:szCs w:val="28"/>
        </w:rPr>
      </w:pPr>
    </w:p>
    <w:p w14:paraId="0A0781FF" w14:textId="77777777" w:rsidR="005E7DC5" w:rsidRDefault="005E7DC5" w:rsidP="00887D1D">
      <w:pPr>
        <w:jc w:val="both"/>
        <w:rPr>
          <w:rFonts w:ascii="Garamond" w:hAnsi="Garamond"/>
          <w:sz w:val="28"/>
          <w:szCs w:val="28"/>
        </w:rPr>
      </w:pPr>
    </w:p>
    <w:p w14:paraId="36E2F8E3" w14:textId="77777777" w:rsidR="005E7DC5" w:rsidRDefault="005E7DC5" w:rsidP="00887D1D">
      <w:pPr>
        <w:jc w:val="both"/>
        <w:rPr>
          <w:rFonts w:ascii="Garamond" w:hAnsi="Garamond"/>
          <w:sz w:val="28"/>
          <w:szCs w:val="28"/>
        </w:rPr>
      </w:pPr>
    </w:p>
    <w:p w14:paraId="1E496393" w14:textId="77777777" w:rsidR="005E7DC5" w:rsidRDefault="005E7DC5" w:rsidP="00887D1D">
      <w:pPr>
        <w:jc w:val="both"/>
        <w:rPr>
          <w:rFonts w:ascii="Garamond" w:hAnsi="Garamond"/>
          <w:sz w:val="28"/>
          <w:szCs w:val="28"/>
        </w:rPr>
      </w:pPr>
    </w:p>
    <w:p w14:paraId="7428D35C" w14:textId="77777777" w:rsidR="005E7DC5" w:rsidRDefault="005E7DC5" w:rsidP="00887D1D">
      <w:pPr>
        <w:jc w:val="both"/>
        <w:rPr>
          <w:rFonts w:ascii="Garamond" w:hAnsi="Garamond"/>
          <w:sz w:val="28"/>
          <w:szCs w:val="28"/>
        </w:rPr>
      </w:pPr>
    </w:p>
    <w:p w14:paraId="31D56F7C" w14:textId="77777777" w:rsidR="005E7DC5" w:rsidRDefault="005E7DC5" w:rsidP="00887D1D">
      <w:pPr>
        <w:jc w:val="both"/>
        <w:rPr>
          <w:rFonts w:ascii="Garamond" w:hAnsi="Garamond"/>
          <w:sz w:val="28"/>
          <w:szCs w:val="28"/>
        </w:rPr>
      </w:pPr>
    </w:p>
    <w:p w14:paraId="22E5651D" w14:textId="77777777" w:rsidR="005E7DC5" w:rsidRDefault="005E7DC5" w:rsidP="00887D1D">
      <w:pPr>
        <w:jc w:val="both"/>
        <w:rPr>
          <w:rFonts w:ascii="Garamond" w:hAnsi="Garamond"/>
          <w:sz w:val="28"/>
          <w:szCs w:val="28"/>
        </w:rPr>
      </w:pPr>
    </w:p>
    <w:p w14:paraId="19FDD0DA" w14:textId="77777777" w:rsidR="005E7DC5" w:rsidRDefault="005E7DC5" w:rsidP="00887D1D">
      <w:pPr>
        <w:jc w:val="both"/>
        <w:rPr>
          <w:rFonts w:ascii="Garamond" w:hAnsi="Garamond"/>
          <w:sz w:val="28"/>
          <w:szCs w:val="28"/>
        </w:rPr>
      </w:pPr>
    </w:p>
    <w:p w14:paraId="4A1E056D" w14:textId="77777777" w:rsidR="005E7DC5" w:rsidRPr="005E7DC5" w:rsidRDefault="005E7DC5" w:rsidP="005E7DC5">
      <w:pPr>
        <w:jc w:val="both"/>
        <w:rPr>
          <w:rFonts w:ascii="Garamond" w:hAnsi="Garamond"/>
          <w:sz w:val="28"/>
          <w:szCs w:val="28"/>
        </w:rPr>
      </w:pPr>
    </w:p>
    <w:p w14:paraId="7CC3126B" w14:textId="77777777" w:rsidR="005E7DC5" w:rsidRPr="005E7DC5" w:rsidRDefault="005E7DC5" w:rsidP="005E7DC5">
      <w:pPr>
        <w:jc w:val="both"/>
        <w:rPr>
          <w:rFonts w:ascii="Garamond" w:hAnsi="Garamond"/>
          <w:bCs/>
          <w:i/>
          <w:iCs/>
          <w:sz w:val="28"/>
          <w:szCs w:val="28"/>
        </w:rPr>
      </w:pPr>
      <w:r w:rsidRPr="005E7DC5">
        <w:rPr>
          <w:rFonts w:ascii="Garamond" w:hAnsi="Garamond"/>
          <w:bCs/>
          <w:i/>
          <w:iCs/>
          <w:sz w:val="28"/>
          <w:szCs w:val="28"/>
        </w:rPr>
        <w:t>Giancarlo Montedoro, Presidente di sezione del Consiglio di Stato</w:t>
      </w:r>
    </w:p>
    <w:p w14:paraId="62A67B52" w14:textId="0A4575E4" w:rsidR="005E7DC5" w:rsidRPr="005E7DC5" w:rsidRDefault="005E7DC5" w:rsidP="005E7DC5">
      <w:pPr>
        <w:jc w:val="both"/>
        <w:rPr>
          <w:rFonts w:ascii="Garamond" w:hAnsi="Garamond"/>
          <w:bCs/>
          <w:i/>
          <w:iCs/>
          <w:sz w:val="28"/>
          <w:szCs w:val="28"/>
        </w:rPr>
      </w:pPr>
      <w:r w:rsidRPr="005E7DC5">
        <w:rPr>
          <w:rFonts w:ascii="Garamond" w:hAnsi="Garamond"/>
          <w:bCs/>
          <w:i/>
          <w:iCs/>
          <w:sz w:val="28"/>
          <w:szCs w:val="28"/>
        </w:rPr>
        <w:t xml:space="preserve">Le opinioni di cui al presente contributo sono espresse dall’Autore a titolo personale; esse non impegnano l'Ufficio studi della Giustizia amministrativa, né quest'ultima quale </w:t>
      </w:r>
      <w:r>
        <w:rPr>
          <w:rFonts w:ascii="Garamond" w:hAnsi="Garamond"/>
          <w:bCs/>
          <w:i/>
          <w:iCs/>
          <w:sz w:val="28"/>
          <w:szCs w:val="28"/>
        </w:rPr>
        <w:t>I</w:t>
      </w:r>
      <w:r w:rsidRPr="005E7DC5">
        <w:rPr>
          <w:rFonts w:ascii="Garamond" w:hAnsi="Garamond"/>
          <w:bCs/>
          <w:i/>
          <w:iCs/>
          <w:sz w:val="28"/>
          <w:szCs w:val="28"/>
        </w:rPr>
        <w:t>stituzione.</w:t>
      </w:r>
    </w:p>
    <w:sectPr w:rsidR="005E7DC5" w:rsidRPr="005E7D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331"/>
    <w:rsid w:val="001C046B"/>
    <w:rsid w:val="002663E3"/>
    <w:rsid w:val="002F693D"/>
    <w:rsid w:val="00497EBA"/>
    <w:rsid w:val="004B1B95"/>
    <w:rsid w:val="005459ED"/>
    <w:rsid w:val="005E7DC5"/>
    <w:rsid w:val="005F18E9"/>
    <w:rsid w:val="006C1ED9"/>
    <w:rsid w:val="007A7772"/>
    <w:rsid w:val="00887D1D"/>
    <w:rsid w:val="008C76A0"/>
    <w:rsid w:val="009B65F7"/>
    <w:rsid w:val="009C3418"/>
    <w:rsid w:val="00A2098A"/>
    <w:rsid w:val="00AE7331"/>
    <w:rsid w:val="00B06C29"/>
    <w:rsid w:val="00B925AC"/>
    <w:rsid w:val="00CD103D"/>
    <w:rsid w:val="00DE4BCF"/>
    <w:rsid w:val="00F4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2C4CA"/>
  <w15:chartTrackingRefBased/>
  <w15:docId w15:val="{DBE9F7F0-99E7-47F7-A1CE-5ED05C779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E73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73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E733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E73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E733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E73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E73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E73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E73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E733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73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E733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E7331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E7331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E733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E733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E733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E733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E73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E7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E73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E73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E73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E733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E733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E7331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E733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E7331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E733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2027</Words>
  <Characters>11560</Characters>
  <Application>Microsoft Office Word</Application>
  <DocSecurity>0</DocSecurity>
  <Lines>96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MONTEDORO Giancarlo</dc:creator>
  <cp:keywords/>
  <dc:description/>
  <cp:lastModifiedBy>COZZOLI Pamela</cp:lastModifiedBy>
  <cp:revision>4</cp:revision>
  <dcterms:created xsi:type="dcterms:W3CDTF">2026-06-30T12:07:00Z</dcterms:created>
  <dcterms:modified xsi:type="dcterms:W3CDTF">2026-07-06T07:56:00Z</dcterms:modified>
</cp:coreProperties>
</file>