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B39" w:rsidRDefault="00FB2E68">
      <w:pPr>
        <w:rPr>
          <w:i/>
        </w:rPr>
      </w:pPr>
      <w:r>
        <w:rPr>
          <w:i/>
        </w:rPr>
        <w:t>Raffaele Greco</w:t>
      </w:r>
    </w:p>
    <w:p w:rsidR="00FB2E68" w:rsidRDefault="00FB2E68">
      <w:pPr>
        <w:rPr>
          <w:b/>
        </w:rPr>
      </w:pPr>
      <w:r>
        <w:rPr>
          <w:b/>
        </w:rPr>
        <w:t>IL SINDACATO DEL GIUDICE AMMINISTRATIVO</w:t>
      </w:r>
    </w:p>
    <w:p w:rsidR="00FB2E68" w:rsidRDefault="00FB2E68">
      <w:pPr>
        <w:rPr>
          <w:b/>
        </w:rPr>
      </w:pPr>
      <w:r>
        <w:rPr>
          <w:b/>
        </w:rPr>
        <w:t>SUI PROCEDIMENTI DI CONCESSIONE DELLA CITTADINANZA</w:t>
      </w:r>
      <w:r w:rsidR="00B83430" w:rsidRPr="00B83430">
        <w:rPr>
          <w:rStyle w:val="Rimandonotaapidipagina"/>
          <w:b/>
        </w:rPr>
        <w:footnoteReference w:customMarkFollows="1" w:id="1"/>
        <w:sym w:font="Symbol" w:char="F02A"/>
      </w:r>
    </w:p>
    <w:p w:rsidR="00602DBA" w:rsidRDefault="00602DBA">
      <w:pPr>
        <w:rPr>
          <w:b/>
        </w:rPr>
      </w:pPr>
    </w:p>
    <w:p w:rsidR="00602DBA" w:rsidRDefault="00602DBA">
      <w:pPr>
        <w:rPr>
          <w:b/>
        </w:rPr>
      </w:pPr>
    </w:p>
    <w:p w:rsidR="00602DBA" w:rsidRPr="00602DBA" w:rsidRDefault="00602DBA" w:rsidP="00602DBA">
      <w:pPr>
        <w:jc w:val="both"/>
        <w:rPr>
          <w:sz w:val="22"/>
          <w:szCs w:val="22"/>
        </w:rPr>
      </w:pPr>
      <w:r>
        <w:rPr>
          <w:b/>
          <w:sz w:val="22"/>
          <w:szCs w:val="22"/>
        </w:rPr>
        <w:t xml:space="preserve">Sommario: </w:t>
      </w:r>
      <w:r>
        <w:rPr>
          <w:sz w:val="22"/>
          <w:szCs w:val="22"/>
        </w:rPr>
        <w:t xml:space="preserve">1. Premessa. – 2. La giurisdizione in materia di acquisto della cittadinanza per concessione. </w:t>
      </w:r>
      <w:r w:rsidR="002A230C">
        <w:rPr>
          <w:sz w:val="22"/>
          <w:szCs w:val="22"/>
        </w:rPr>
        <w:t>–</w:t>
      </w:r>
      <w:r>
        <w:rPr>
          <w:sz w:val="22"/>
          <w:szCs w:val="22"/>
        </w:rPr>
        <w:t xml:space="preserve"> </w:t>
      </w:r>
      <w:r w:rsidR="002A230C">
        <w:rPr>
          <w:sz w:val="22"/>
          <w:szCs w:val="22"/>
        </w:rPr>
        <w:t xml:space="preserve">3. Le recenti tendenze della giurisprudenza. – 4. </w:t>
      </w:r>
      <w:r w:rsidR="00B83430">
        <w:rPr>
          <w:sz w:val="22"/>
          <w:szCs w:val="22"/>
        </w:rPr>
        <w:t>Considerazioni conclusive.</w:t>
      </w:r>
    </w:p>
    <w:p w:rsidR="00FB2E68" w:rsidRDefault="00FB2E68">
      <w:pPr>
        <w:rPr>
          <w:b/>
        </w:rPr>
      </w:pPr>
    </w:p>
    <w:p w:rsidR="00FB2E68" w:rsidRDefault="00FB2E68">
      <w:pPr>
        <w:rPr>
          <w:b/>
        </w:rPr>
      </w:pPr>
    </w:p>
    <w:p w:rsidR="00FB2E68" w:rsidRDefault="00FB2E68" w:rsidP="00FB2E68">
      <w:pPr>
        <w:ind w:firstLine="426"/>
        <w:jc w:val="both"/>
        <w:rPr>
          <w:b/>
        </w:rPr>
      </w:pPr>
      <w:r>
        <w:rPr>
          <w:b/>
        </w:rPr>
        <w:t>1. Premessa.</w:t>
      </w:r>
    </w:p>
    <w:p w:rsidR="00FB2E68" w:rsidRDefault="00FB2E68" w:rsidP="00FB2E68">
      <w:pPr>
        <w:ind w:firstLine="426"/>
        <w:jc w:val="both"/>
        <w:rPr>
          <w:b/>
        </w:rPr>
      </w:pPr>
    </w:p>
    <w:p w:rsidR="00FB2E68" w:rsidRDefault="00C006AF" w:rsidP="00FB2E68">
      <w:pPr>
        <w:ind w:firstLine="426"/>
        <w:jc w:val="both"/>
        <w:rPr>
          <w:shd w:val="clear" w:color="auto" w:fill="FFFFFF"/>
        </w:rPr>
      </w:pPr>
      <w:r>
        <w:t xml:space="preserve">In materia di acquisto della cittadinanza italiana, il perimetro dell’intervento del giudice amministrativo è oggi delineato abbastanza chiaramente dalle norme vigenti e da una giurisprudenza consolidata in materia di riparto della giurisdizione. In particolare, </w:t>
      </w:r>
      <w:r w:rsidR="00EE1707">
        <w:t>appartengono alla giurisdizione</w:t>
      </w:r>
      <w:r w:rsidR="00B83430">
        <w:t xml:space="preserve"> amministrativa</w:t>
      </w:r>
      <w:r w:rsidR="00EE1707">
        <w:t xml:space="preserve"> le controversie relative all’acquisto della cittadinanza per concessione, </w:t>
      </w:r>
      <w:r w:rsidR="00EE1707">
        <w:rPr>
          <w:i/>
        </w:rPr>
        <w:t xml:space="preserve">ex </w:t>
      </w:r>
      <w:r w:rsidR="00EE1707">
        <w:t xml:space="preserve">articolo 9 della legge 5 febbraio 1992, n. 91, e fra queste quelle afferenti alla fattispecie di cui alla lettera </w:t>
      </w:r>
      <w:r w:rsidR="00EE1707">
        <w:rPr>
          <w:i/>
        </w:rPr>
        <w:t>f</w:t>
      </w:r>
      <w:r w:rsidR="00EE1707">
        <w:t>) del comma 1 del detto articolo, ossia il riconoscimento della cittadinanza a favore dello straniero che risieda legalmente in Italia da almeno dieci anni (c.d. naturalizzazione). A queste si aggiungono, secondo un diffuso indirizzo, le controversie relative ai dinieghi di riconoscimento della cittadinanza per matrimonio, ai sensi del precedente articolo 5 della legge n. 91/1992, allorché l’</w:t>
      </w:r>
      <w:r w:rsidR="007907C9">
        <w:t>a</w:t>
      </w:r>
      <w:r w:rsidR="00EE1707">
        <w:t xml:space="preserve">mministrazione ritenga sussistente la causa ostativa di cui all’articolo 6, comma 1, lettera </w:t>
      </w:r>
      <w:r w:rsidR="00EE1707">
        <w:rPr>
          <w:i/>
        </w:rPr>
        <w:t>c</w:t>
      </w:r>
      <w:r w:rsidR="00EE1707">
        <w:t>), della stessa legge (sussistenza di “</w:t>
      </w:r>
      <w:r w:rsidR="00EE1707" w:rsidRPr="00EE1707">
        <w:rPr>
          <w:i/>
          <w:shd w:val="clear" w:color="auto" w:fill="FFFFFF"/>
        </w:rPr>
        <w:t>comprovati motivi inerenti alla sicurezza della Repubblica</w:t>
      </w:r>
      <w:r w:rsidR="00EE1707">
        <w:rPr>
          <w:shd w:val="clear" w:color="auto" w:fill="FFFFFF"/>
        </w:rPr>
        <w:t>”).</w:t>
      </w:r>
    </w:p>
    <w:p w:rsidR="00EE1707" w:rsidRDefault="00EE1707" w:rsidP="00FB2E68">
      <w:pPr>
        <w:ind w:firstLine="426"/>
        <w:jc w:val="both"/>
        <w:rPr>
          <w:shd w:val="clear" w:color="auto" w:fill="FFFFFF"/>
        </w:rPr>
      </w:pPr>
      <w:r>
        <w:rPr>
          <w:shd w:val="clear" w:color="auto" w:fill="FFFFFF"/>
        </w:rPr>
        <w:t xml:space="preserve">Nell’ambito così delineato, un’analisi diacronica della casistica giurisprudenziale svela come </w:t>
      </w:r>
      <w:r w:rsidR="007907C9">
        <w:rPr>
          <w:shd w:val="clear" w:color="auto" w:fill="FFFFFF"/>
        </w:rPr>
        <w:t>il giudice amministrativo abbia inteso il proprio sindacato in materia, e specificamente sui provvedimenti di diniego della cittadinanza, in modo progressivamente più penetrante e incisivo in nome del perseguimento di esigenze di effettività della tutela dello straniero che aspira a diventare italiano. Si è giunti così, muovendo da un orientamento risalente che riconosceva in capo all’amministrazione un potere di “</w:t>
      </w:r>
      <w:r w:rsidR="007907C9">
        <w:rPr>
          <w:i/>
          <w:shd w:val="clear" w:color="auto" w:fill="FFFFFF"/>
        </w:rPr>
        <w:t>apprezzamento</w:t>
      </w:r>
      <w:r w:rsidR="007907C9">
        <w:rPr>
          <w:shd w:val="clear" w:color="auto" w:fill="FFFFFF"/>
        </w:rPr>
        <w:t>” pressoché insindacabile ai fini della formulazione di un “</w:t>
      </w:r>
      <w:r w:rsidR="007907C9">
        <w:rPr>
          <w:i/>
          <w:shd w:val="clear" w:color="auto" w:fill="FFFFFF"/>
        </w:rPr>
        <w:t>giudizio di gradimento</w:t>
      </w:r>
      <w:r w:rsidR="007907C9">
        <w:rPr>
          <w:shd w:val="clear" w:color="auto" w:fill="FFFFFF"/>
        </w:rPr>
        <w:t>” avente a oggetto la persona dello straniero in tutte le sue manifestazioni</w:t>
      </w:r>
      <w:r w:rsidR="007907C9">
        <w:rPr>
          <w:rStyle w:val="Rimandonotaapidipagina"/>
          <w:shd w:val="clear" w:color="auto" w:fill="FFFFFF"/>
        </w:rPr>
        <w:footnoteReference w:id="2"/>
      </w:r>
      <w:r w:rsidR="007907C9">
        <w:rPr>
          <w:shd w:val="clear" w:color="auto" w:fill="FFFFFF"/>
        </w:rPr>
        <w:t>, all’attuale indirizzo</w:t>
      </w:r>
      <w:r w:rsidR="00E876D0">
        <w:rPr>
          <w:shd w:val="clear" w:color="auto" w:fill="FFFFFF"/>
        </w:rPr>
        <w:t xml:space="preserve"> in cui, come è stato ben evidenziato</w:t>
      </w:r>
      <w:r w:rsidR="00E876D0">
        <w:rPr>
          <w:rStyle w:val="Rimandonotaapidipagina"/>
          <w:shd w:val="clear" w:color="auto" w:fill="FFFFFF"/>
        </w:rPr>
        <w:footnoteReference w:id="3"/>
      </w:r>
      <w:r w:rsidR="00E876D0">
        <w:rPr>
          <w:shd w:val="clear" w:color="auto" w:fill="FFFFFF"/>
        </w:rPr>
        <w:t xml:space="preserve">, </w:t>
      </w:r>
      <w:r w:rsidR="002E7038">
        <w:rPr>
          <w:shd w:val="clear" w:color="auto" w:fill="FFFFFF"/>
        </w:rPr>
        <w:t xml:space="preserve">pur ribadendo l’alto tasso di discrezionalità che connota il giudizio dell’amministrazione in questa materia (e la connessa limitazione del sindacato ai profili sintomatici dell’eccesso di potere), </w:t>
      </w:r>
      <w:r w:rsidR="00E876D0">
        <w:rPr>
          <w:shd w:val="clear" w:color="auto" w:fill="FFFFFF"/>
        </w:rPr>
        <w:t xml:space="preserve">si tende ad abbandonare le tradizionali classificazioni del sindacato giurisdizionale in “forte/debole” o “estrinseco/intrinseco” per modellare il controllo giudiziale sulla base delle esigenze di tutela dell’interessato, </w:t>
      </w:r>
      <w:r w:rsidR="002E7038">
        <w:rPr>
          <w:shd w:val="clear" w:color="auto" w:fill="FFFFFF"/>
        </w:rPr>
        <w:t>con pieno accesso agli elementi fattuali e valutativi che sono entrati nella considerazione dell’amministrazione ed ampio uso dei parametri della logicità e della ragionevolezza per verificarne le conclusioni su di un piano di “</w:t>
      </w:r>
      <w:r w:rsidR="002E7038">
        <w:rPr>
          <w:i/>
          <w:shd w:val="clear" w:color="auto" w:fill="FFFFFF"/>
        </w:rPr>
        <w:t>legalità sostanziale</w:t>
      </w:r>
      <w:r w:rsidR="002E7038">
        <w:rPr>
          <w:shd w:val="clear" w:color="auto" w:fill="FFFFFF"/>
        </w:rPr>
        <w:t>”.</w:t>
      </w:r>
    </w:p>
    <w:p w:rsidR="002E7038" w:rsidRDefault="002E7038" w:rsidP="00FB2E68">
      <w:pPr>
        <w:ind w:firstLine="426"/>
        <w:jc w:val="both"/>
        <w:rPr>
          <w:shd w:val="clear" w:color="auto" w:fill="FFFFFF"/>
        </w:rPr>
      </w:pPr>
      <w:r>
        <w:rPr>
          <w:shd w:val="clear" w:color="auto" w:fill="FFFFFF"/>
        </w:rPr>
        <w:t xml:space="preserve">Può darsi che a questa evoluzione non sia estranea la scelta organizzativa, adottata negli ultimi anni soprattutto </w:t>
      </w:r>
      <w:r w:rsidR="005271DE">
        <w:rPr>
          <w:shd w:val="clear" w:color="auto" w:fill="FFFFFF"/>
        </w:rPr>
        <w:t xml:space="preserve">in seno al Consiglio di Stato, di attribuire la materia a una specifica Sezione giurisdizionale (la III Sezione) nel quadro di un percorso di “specializzazione” che ha superato la </w:t>
      </w:r>
      <w:r w:rsidR="00B83430">
        <w:rPr>
          <w:shd w:val="clear" w:color="auto" w:fill="FFFFFF"/>
        </w:rPr>
        <w:t xml:space="preserve">precedente e </w:t>
      </w:r>
      <w:r w:rsidR="005271DE">
        <w:rPr>
          <w:shd w:val="clear" w:color="auto" w:fill="FFFFFF"/>
        </w:rPr>
        <w:t>tradizionale ripartizione degli affari sulla base di un criterio “</w:t>
      </w:r>
      <w:r w:rsidR="005271DE">
        <w:rPr>
          <w:i/>
          <w:shd w:val="clear" w:color="auto" w:fill="FFFFFF"/>
        </w:rPr>
        <w:t>soggettivo</w:t>
      </w:r>
      <w:r w:rsidR="005271DE">
        <w:rPr>
          <w:shd w:val="clear" w:color="auto" w:fill="FFFFFF"/>
        </w:rPr>
        <w:t xml:space="preserve">”, basato sulla </w:t>
      </w:r>
      <w:r w:rsidR="005271DE">
        <w:rPr>
          <w:shd w:val="clear" w:color="auto" w:fill="FFFFFF"/>
        </w:rPr>
        <w:lastRenderedPageBreak/>
        <w:t>tipologia dell’amministrazione coinvolta nella controversia</w:t>
      </w:r>
      <w:r w:rsidR="005271DE">
        <w:rPr>
          <w:rStyle w:val="Rimandonotaapidipagina"/>
          <w:shd w:val="clear" w:color="auto" w:fill="FFFFFF"/>
        </w:rPr>
        <w:footnoteReference w:id="4"/>
      </w:r>
      <w:r w:rsidR="005271DE">
        <w:rPr>
          <w:shd w:val="clear" w:color="auto" w:fill="FFFFFF"/>
        </w:rPr>
        <w:t xml:space="preserve">. Ma è possibile anche che </w:t>
      </w:r>
      <w:r w:rsidR="00B21CA0">
        <w:rPr>
          <w:shd w:val="clear" w:color="auto" w:fill="FFFFFF"/>
        </w:rPr>
        <w:t xml:space="preserve">si tratti di un’evoluzione inevitabile nell’ambito del più generale “movimento” della giustizia amministrativa verso l’effettività della tutela, che ha comportato in via generale una progressiva erosione degli spazi di insindacabilità del potere discrezionale </w:t>
      </w:r>
      <w:r w:rsidR="00B83430">
        <w:rPr>
          <w:shd w:val="clear" w:color="auto" w:fill="FFFFFF"/>
        </w:rPr>
        <w:t>e</w:t>
      </w:r>
      <w:r w:rsidR="00B21CA0">
        <w:rPr>
          <w:shd w:val="clear" w:color="auto" w:fill="FFFFFF"/>
        </w:rPr>
        <w:t xml:space="preserve"> autoritativo (o, che è lo stesso, il progressivo abbandono delle “timidezze” e ritrosie dei giudici amministrativi rispetto a un sindacato pieno ed effettivo su di esso)</w:t>
      </w:r>
      <w:r w:rsidR="00B21CA0" w:rsidRPr="00AE50E4">
        <w:rPr>
          <w:rStyle w:val="Rimandonotaapidipagina"/>
          <w:shd w:val="clear" w:color="auto" w:fill="FFFFFF"/>
        </w:rPr>
        <w:footnoteReference w:id="5"/>
      </w:r>
      <w:r w:rsidR="00B21CA0" w:rsidRPr="00AE50E4">
        <w:rPr>
          <w:shd w:val="clear" w:color="auto" w:fill="FFFFFF"/>
        </w:rPr>
        <w:t>.</w:t>
      </w:r>
      <w:r w:rsidR="00B21CA0">
        <w:rPr>
          <w:shd w:val="clear" w:color="auto" w:fill="FFFFFF"/>
        </w:rPr>
        <w:t xml:space="preserve"> Certo è che</w:t>
      </w:r>
      <w:r w:rsidR="00833BFC">
        <w:rPr>
          <w:shd w:val="clear" w:color="auto" w:fill="FFFFFF"/>
        </w:rPr>
        <w:t>, con specifico riguardo alla posizione dello straniero, le soluzioni di volta in volta elaborate dalla giurisprudenza hanno manifestato una crescente consapevolezza della sua “specialità”, o – per dirla con attenta dottrina – del carattere spesso derogatorio dello statuto dello straniero rispetto all’ordinario quadro di regole e valori che disciplinano il rapporto tra il pubblico potere e i cittadini</w:t>
      </w:r>
      <w:r w:rsidR="00833BFC">
        <w:rPr>
          <w:rStyle w:val="Rimandonotaapidipagina"/>
          <w:shd w:val="clear" w:color="auto" w:fill="FFFFFF"/>
        </w:rPr>
        <w:footnoteReference w:id="6"/>
      </w:r>
      <w:r w:rsidR="00833BFC">
        <w:rPr>
          <w:shd w:val="clear" w:color="auto" w:fill="FFFFFF"/>
        </w:rPr>
        <w:t>.</w:t>
      </w:r>
    </w:p>
    <w:p w:rsidR="00833BFC" w:rsidRDefault="00833BFC" w:rsidP="00FB2E68">
      <w:pPr>
        <w:ind w:firstLine="426"/>
        <w:jc w:val="both"/>
        <w:rPr>
          <w:shd w:val="clear" w:color="auto" w:fill="FFFFFF"/>
        </w:rPr>
      </w:pPr>
      <w:r>
        <w:rPr>
          <w:shd w:val="clear" w:color="auto" w:fill="FFFFFF"/>
        </w:rPr>
        <w:t>Non è questa la sede per indagare le cause di siffatta “specialità” che connoterebbe la posizione giuridica dello straniero nel nostro ordinamento. Può, e anzi deve, essere invece approfondita la peculiarità delle controversie in esame, le quali, al</w:t>
      </w:r>
      <w:r w:rsidR="00660C78">
        <w:rPr>
          <w:shd w:val="clear" w:color="auto" w:fill="FFFFFF"/>
        </w:rPr>
        <w:t xml:space="preserve"> pari </w:t>
      </w:r>
      <w:r>
        <w:rPr>
          <w:shd w:val="clear" w:color="auto" w:fill="FFFFFF"/>
        </w:rPr>
        <w:t>di molta parte d</w:t>
      </w:r>
      <w:r w:rsidR="00660C78">
        <w:rPr>
          <w:shd w:val="clear" w:color="auto" w:fill="FFFFFF"/>
        </w:rPr>
        <w:t>i quelle afferenti agli stranieri e al diritto dell’immigrazione, sono oggi gestite dalla giurisdizione amministrativa nella piena consapevolezza dell’esistenza, nell’attuale sistema costituzionale multilivello, di un nucleo forte di garanzie incomprimibili riconducibili alla sfera dei diritti fondamentali della persona, cui va assicurata una tutela piena ed effettiva a fronte dell’esercizio del potere pubblico</w:t>
      </w:r>
      <w:r w:rsidR="00660C78">
        <w:rPr>
          <w:rStyle w:val="Rimandonotaapidipagina"/>
          <w:shd w:val="clear" w:color="auto" w:fill="FFFFFF"/>
        </w:rPr>
        <w:footnoteReference w:id="7"/>
      </w:r>
      <w:r w:rsidR="00660C78">
        <w:rPr>
          <w:shd w:val="clear" w:color="auto" w:fill="FFFFFF"/>
        </w:rPr>
        <w:t>; il tutto, in una cornice in cui non è più revocabile in dubbio la capacità del giudice amministrativo di assicurare una tale tutela anche ai diritti fondamentali (per tali intendendosi quelli garantiti dalla Costituzione), quante volte siano intercettati dal potere autoritativo della p.a.</w:t>
      </w:r>
      <w:r w:rsidR="00660C78">
        <w:rPr>
          <w:rStyle w:val="Rimandonotaapidipagina"/>
          <w:shd w:val="clear" w:color="auto" w:fill="FFFFFF"/>
        </w:rPr>
        <w:footnoteReference w:id="8"/>
      </w:r>
      <w:r w:rsidR="00660C78">
        <w:rPr>
          <w:shd w:val="clear" w:color="auto" w:fill="FFFFFF"/>
        </w:rPr>
        <w:t>.</w:t>
      </w:r>
    </w:p>
    <w:p w:rsidR="00AF2414" w:rsidRDefault="00AF2414" w:rsidP="00FB2E68">
      <w:pPr>
        <w:ind w:firstLine="426"/>
        <w:jc w:val="both"/>
        <w:rPr>
          <w:shd w:val="clear" w:color="auto" w:fill="FFFFFF"/>
        </w:rPr>
      </w:pPr>
      <w:r>
        <w:rPr>
          <w:shd w:val="clear" w:color="auto" w:fill="FFFFFF"/>
        </w:rPr>
        <w:lastRenderedPageBreak/>
        <w:t>Alla luce di queste coordinate introduttive, può fin d’ora anticiparsi quella che sarà la conclusione del presente contributo: e cioè che buona parte delle incertezze e ambiguità che connotano l’individuazione dei parametri sulla base dei quali il giudice amministrativo esercita il proprio sindacato di legittimità in questa materia, e per certi versi provvede a definire egli stesso il perimetro di tale sindacato, sono da ricondurre all’ormai evidente inadeguatezza del quadro normativo di riferimento, che nell’odierno contesto (non solo giuridico, ma anche) socio-politico disvela l’evidente necessità di una nuova disciplina dei procedimenti di acquisto della cittadinanza, e prima ancora di una ridefinizione della nozione stessa di cittadinanza. In tale cornice, gli approdi più avanzati della giurisprudenza amministrativa potrebbero costituire un</w:t>
      </w:r>
      <w:r w:rsidR="0074667C">
        <w:rPr>
          <w:shd w:val="clear" w:color="auto" w:fill="FFFFFF"/>
        </w:rPr>
        <w:t>’</w:t>
      </w:r>
      <w:r>
        <w:rPr>
          <w:shd w:val="clear" w:color="auto" w:fill="FFFFFF"/>
        </w:rPr>
        <w:t>utile base, quanto meno in relazione alle fattispecie di acquisto della cittadinanza per concessione, per dotare l’ordinamento di una normativa più moderna e adeguata ai tempi che viviamo.</w:t>
      </w:r>
    </w:p>
    <w:p w:rsidR="00AF2414" w:rsidRDefault="00AF2414" w:rsidP="00FB2E68">
      <w:pPr>
        <w:ind w:firstLine="426"/>
        <w:jc w:val="both"/>
        <w:rPr>
          <w:shd w:val="clear" w:color="auto" w:fill="FFFFFF"/>
        </w:rPr>
      </w:pPr>
    </w:p>
    <w:p w:rsidR="00AF2414" w:rsidRDefault="00AF2414" w:rsidP="00FB2E68">
      <w:pPr>
        <w:ind w:firstLine="426"/>
        <w:jc w:val="both"/>
        <w:rPr>
          <w:shd w:val="clear" w:color="auto" w:fill="FFFFFF"/>
        </w:rPr>
      </w:pPr>
    </w:p>
    <w:p w:rsidR="00AF2414" w:rsidRDefault="00AF2414" w:rsidP="00FB2E68">
      <w:pPr>
        <w:ind w:firstLine="426"/>
        <w:jc w:val="both"/>
        <w:rPr>
          <w:b/>
          <w:shd w:val="clear" w:color="auto" w:fill="FFFFFF"/>
        </w:rPr>
      </w:pPr>
      <w:r>
        <w:rPr>
          <w:b/>
          <w:shd w:val="clear" w:color="auto" w:fill="FFFFFF"/>
        </w:rPr>
        <w:t>2. La giurisdizione in materia di acquisto della cittadinanza per concessione.</w:t>
      </w:r>
    </w:p>
    <w:p w:rsidR="00AF2414" w:rsidRDefault="00AF2414" w:rsidP="00FB2E68">
      <w:pPr>
        <w:ind w:firstLine="426"/>
        <w:jc w:val="both"/>
        <w:rPr>
          <w:b/>
          <w:shd w:val="clear" w:color="auto" w:fill="FFFFFF"/>
        </w:rPr>
      </w:pPr>
    </w:p>
    <w:p w:rsidR="00AF2414" w:rsidRDefault="00AF2414" w:rsidP="00FB2E68">
      <w:pPr>
        <w:ind w:firstLine="426"/>
        <w:jc w:val="both"/>
        <w:rPr>
          <w:shd w:val="clear" w:color="auto" w:fill="FFFFFF"/>
        </w:rPr>
      </w:pPr>
      <w:r>
        <w:rPr>
          <w:shd w:val="clear" w:color="auto" w:fill="FFFFFF"/>
        </w:rPr>
        <w:t xml:space="preserve">Come è noto, l’attribuzione alla giurisdizione amministrativa delle controversie relative alle </w:t>
      </w:r>
      <w:r w:rsidR="00602DBA">
        <w:rPr>
          <w:shd w:val="clear" w:color="auto" w:fill="FFFFFF"/>
        </w:rPr>
        <w:t xml:space="preserve">fattispecie di </w:t>
      </w:r>
      <w:r w:rsidR="001276AA">
        <w:rPr>
          <w:shd w:val="clear" w:color="auto" w:fill="FFFFFF"/>
        </w:rPr>
        <w:t xml:space="preserve">cui all’articolo 6 della legge n. 91/1992 (oltre che di quelle di cui all’articolo 5, ove ricorra la condizione ostativa di cui all’articolo 6, comma 1, lettera </w:t>
      </w:r>
      <w:r w:rsidR="001276AA">
        <w:rPr>
          <w:i/>
          <w:shd w:val="clear" w:color="auto" w:fill="FFFFFF"/>
        </w:rPr>
        <w:t>c</w:t>
      </w:r>
      <w:r w:rsidR="001276AA">
        <w:rPr>
          <w:shd w:val="clear" w:color="auto" w:fill="FFFFFF"/>
        </w:rPr>
        <w:t xml:space="preserve">), della stessa legge) è motivata sul rilievo che in questi casi le determinazioni dell’amministrazione </w:t>
      </w:r>
      <w:r w:rsidR="001276AA" w:rsidRPr="001276AA">
        <w:rPr>
          <w:shd w:val="clear" w:color="auto" w:fill="FFFFFF"/>
        </w:rPr>
        <w:t>non ha</w:t>
      </w:r>
      <w:r w:rsidR="001276AA">
        <w:rPr>
          <w:shd w:val="clear" w:color="auto" w:fill="FFFFFF"/>
        </w:rPr>
        <w:t>nno</w:t>
      </w:r>
      <w:r w:rsidR="001276AA" w:rsidRPr="001276AA">
        <w:rPr>
          <w:shd w:val="clear" w:color="auto" w:fill="FFFFFF"/>
        </w:rPr>
        <w:t xml:space="preserve"> carattere vincolato ma implica</w:t>
      </w:r>
      <w:r w:rsidR="001276AA">
        <w:rPr>
          <w:shd w:val="clear" w:color="auto" w:fill="FFFFFF"/>
        </w:rPr>
        <w:t>no</w:t>
      </w:r>
      <w:r w:rsidR="001276AA" w:rsidRPr="001276AA">
        <w:rPr>
          <w:shd w:val="clear" w:color="auto" w:fill="FFFFFF"/>
        </w:rPr>
        <w:t xml:space="preserve"> una valutazione discrezionale non limitata al mero apprezzamento della sicurezza pubblica</w:t>
      </w:r>
      <w:r w:rsidR="001276AA">
        <w:rPr>
          <w:shd w:val="clear" w:color="auto" w:fill="FFFFFF"/>
        </w:rPr>
        <w:t>,</w:t>
      </w:r>
      <w:r w:rsidR="001276AA" w:rsidRPr="001276AA">
        <w:rPr>
          <w:shd w:val="clear" w:color="auto" w:fill="FFFFFF"/>
        </w:rPr>
        <w:t xml:space="preserve"> ma estesa a tutti i profili di integrazione scrutinabili</w:t>
      </w:r>
      <w:r w:rsidR="001E48E8">
        <w:rPr>
          <w:shd w:val="clear" w:color="auto" w:fill="FFFFFF"/>
        </w:rPr>
        <w:t xml:space="preserve">; a fronte di tale elevata discrezionalità, che sarebbe espressione del potere statuale di ampliare il numero dei componenti della propria comunità, la pretesa dello straniero all’acquisto della cittadinanza avrebbe natura e consistenza di interesse legittimo, a differenza di altre ipotesi (articoli 2, 3 e 4, l. n. 91/1992) in cui l’acquisto della cittadinanza consegue </w:t>
      </w:r>
      <w:r w:rsidR="001E48E8">
        <w:rPr>
          <w:i/>
          <w:shd w:val="clear" w:color="auto" w:fill="FFFFFF"/>
        </w:rPr>
        <w:t xml:space="preserve">ipso jure </w:t>
      </w:r>
      <w:r w:rsidR="001E48E8">
        <w:rPr>
          <w:shd w:val="clear" w:color="auto" w:fill="FFFFFF"/>
        </w:rPr>
        <w:t>al verificarsi delle condizioni indicate dalla norma</w:t>
      </w:r>
      <w:r w:rsidR="001276AA">
        <w:rPr>
          <w:rStyle w:val="Rimandonotaapidipagina"/>
          <w:shd w:val="clear" w:color="auto" w:fill="FFFFFF"/>
        </w:rPr>
        <w:footnoteReference w:id="9"/>
      </w:r>
      <w:r w:rsidR="001276AA">
        <w:rPr>
          <w:shd w:val="clear" w:color="auto" w:fill="FFFFFF"/>
        </w:rPr>
        <w:t>.</w:t>
      </w:r>
    </w:p>
    <w:p w:rsidR="00A80CBA" w:rsidRDefault="00A80CBA" w:rsidP="00FB2E68">
      <w:pPr>
        <w:ind w:firstLine="426"/>
        <w:jc w:val="both"/>
        <w:rPr>
          <w:shd w:val="clear" w:color="auto" w:fill="FFFFFF"/>
        </w:rPr>
      </w:pPr>
      <w:r>
        <w:rPr>
          <w:shd w:val="clear" w:color="auto" w:fill="FFFFFF"/>
        </w:rPr>
        <w:t>Questo orientamento, a tutt’oggi consolidato, in realtà a uno sguardo più attento si rivela tutt’altro che lineare e consequenziale. Al di là di alcune criticità emergenti nella stessa giurisprudenza</w:t>
      </w:r>
      <w:r>
        <w:rPr>
          <w:rStyle w:val="Rimandonotaapidipagina"/>
          <w:shd w:val="clear" w:color="auto" w:fill="FFFFFF"/>
        </w:rPr>
        <w:footnoteReference w:id="10"/>
      </w:r>
      <w:r>
        <w:rPr>
          <w:shd w:val="clear" w:color="auto" w:fill="FFFFFF"/>
        </w:rPr>
        <w:t>, è stato acutamente osservato</w:t>
      </w:r>
      <w:r w:rsidR="009666DC">
        <w:rPr>
          <w:rStyle w:val="Rimandonotaapidipagina"/>
          <w:shd w:val="clear" w:color="auto" w:fill="FFFFFF"/>
        </w:rPr>
        <w:footnoteReference w:id="11"/>
      </w:r>
      <w:r>
        <w:rPr>
          <w:shd w:val="clear" w:color="auto" w:fill="FFFFFF"/>
        </w:rPr>
        <w:t xml:space="preserve"> </w:t>
      </w:r>
      <w:r w:rsidR="009666DC">
        <w:rPr>
          <w:shd w:val="clear" w:color="auto" w:fill="FFFFFF"/>
        </w:rPr>
        <w:t>che, se si volesse individuare il criterio giustificativo del riparto della giurisdizione come tracciato dalla giurisprudenza in questa materia (ma si tratta di considerazioni estensibili all’intero diritto dell’immigrazione), si incontrerebbero serie difficoltà, dovendo prendersi atto che questo:</w:t>
      </w:r>
    </w:p>
    <w:p w:rsidR="009666DC" w:rsidRDefault="009666DC" w:rsidP="009666DC">
      <w:pPr>
        <w:pStyle w:val="Paragrafoelenco"/>
        <w:numPr>
          <w:ilvl w:val="0"/>
          <w:numId w:val="1"/>
        </w:numPr>
        <w:jc w:val="both"/>
      </w:pPr>
      <w:r>
        <w:t>non può fondarsi sulla distinzione tra attività vincolata e attività discrezionale della p.a. (che è, peraltro, proprio il criterio evocato dalla giurisprudenza sopra richiamata in materia di acquisto della cittadinanza), perché l’ordinamento ben conosce ipotesi di pacifica devoluzione al giudice amministrativo di controversie afferenti a determinazioni certamente vincolate dalla legge, secondo il noto schema norma/fatto/effetto (come nei casi in cui opera il c.d. automatismo espulsivo di cui all’articolo 4, comma 3, del d.lgs. 25 luglio 1998, n. 286, in presenza di determinate condanne penali);</w:t>
      </w:r>
    </w:p>
    <w:p w:rsidR="009666DC" w:rsidRDefault="009666DC" w:rsidP="009666DC">
      <w:pPr>
        <w:pStyle w:val="Paragrafoelenco"/>
        <w:numPr>
          <w:ilvl w:val="0"/>
          <w:numId w:val="1"/>
        </w:numPr>
        <w:jc w:val="both"/>
      </w:pPr>
      <w:r>
        <w:t xml:space="preserve">nemmeno può </w:t>
      </w:r>
      <w:r w:rsidR="00230405">
        <w:t>consistere ne</w:t>
      </w:r>
      <w:r>
        <w:t xml:space="preserve">l tradizionale criterio della distinzione tra diritti soggettivi e interessi legittimi (indipendentemente </w:t>
      </w:r>
      <w:r w:rsidR="0074667C">
        <w:t xml:space="preserve">da </w:t>
      </w:r>
      <w:proofErr w:type="gramStart"/>
      <w:r w:rsidR="0074667C">
        <w:t>se</w:t>
      </w:r>
      <w:proofErr w:type="gramEnd"/>
      <w:r>
        <w:t xml:space="preserve"> si voglia considerare la qualificazione della </w:t>
      </w:r>
      <w:r>
        <w:lastRenderedPageBreak/>
        <w:t>situazione giuridica soggettiva vantata dallo straniero come una premessa o una conseguenza della qualificazione del potere esercitato dalla p.a.), stante l’evidente immanenza a queste controversi</w:t>
      </w:r>
      <w:r w:rsidR="00230405">
        <w:t>e</w:t>
      </w:r>
      <w:r>
        <w:t xml:space="preserve"> di situazioni giuridiche fondamentali e diritti costituzionalmente rilevanti, come già sottolineato;</w:t>
      </w:r>
    </w:p>
    <w:p w:rsidR="00230405" w:rsidRDefault="00230405" w:rsidP="009666DC">
      <w:pPr>
        <w:pStyle w:val="Paragrafoelenco"/>
        <w:numPr>
          <w:ilvl w:val="0"/>
          <w:numId w:val="1"/>
        </w:numPr>
        <w:jc w:val="both"/>
      </w:pPr>
      <w:r>
        <w:t>neanche, infine, può basarsi sulla teoria dell’affievolimento, secondo cui spetterebbero alla cognizione del giudice ordinario quei diritti soggettivi non suscettibili di essere degradati dall’esercizio del potere amministrativo, teoria che – ancorché a tratti riaffiorante in alcune pronunce della Cassazione – è per lo più criticata dalla dottrina come obsoleta e smentita dalla realtà, la quale dimostra come provvedimenti amministrativi, come tali espressione di potere pubblico, possono incidere su situazioni giuridiche soggettive assolute in questa come in altre materie (si pensi, per tutti, al diritto alla salute) in modo da determinarne l’azionabilità dinanzi al giudice amministrativo</w:t>
      </w:r>
      <w:r>
        <w:rPr>
          <w:rStyle w:val="Rimandonotaapidipagina"/>
        </w:rPr>
        <w:footnoteReference w:id="12"/>
      </w:r>
      <w:r>
        <w:t>.</w:t>
      </w:r>
    </w:p>
    <w:p w:rsidR="00F850CF" w:rsidRDefault="00F850CF" w:rsidP="00F850CF">
      <w:pPr>
        <w:ind w:firstLine="426"/>
        <w:jc w:val="both"/>
      </w:pPr>
      <w:r>
        <w:t>Tutto ciò, se induce a ritenere che in questa materia le scelte in tema di riparto della giurisdizione finiscano per essere dettate più che altro da “</w:t>
      </w:r>
      <w:r>
        <w:rPr>
          <w:i/>
        </w:rPr>
        <w:t>esigenze eminentemente pratiche</w:t>
      </w:r>
      <w:r>
        <w:t>”</w:t>
      </w:r>
      <w:r>
        <w:rPr>
          <w:rStyle w:val="Rimandonotaapidipagina"/>
        </w:rPr>
        <w:footnoteReference w:id="13"/>
      </w:r>
      <w:r>
        <w:t>, ha spinto una certa dottrina, con specifico riferimento alle controversie relative all’acquisto della cittadinanza per concessione, a mettere in discussione i principi condivisi dalla giurisprudenza consolidata ed a propugnare – stante l’assenza di disposizioni espresse al riguardo – l’attribuzione delle stesse alla cognizione del giudice ordinario, stante la ritenuta natura di vero e proprio diritto soggettivo della situazione giuridica azionata dallo straniero richiedente la naturalizzazione</w:t>
      </w:r>
      <w:r>
        <w:rPr>
          <w:rStyle w:val="Rimandonotaapidipagina"/>
        </w:rPr>
        <w:footnoteReference w:id="14"/>
      </w:r>
      <w:r>
        <w:t>. In estrema sintesi,</w:t>
      </w:r>
      <w:r w:rsidR="000F6935">
        <w:t xml:space="preserve"> si assume che nella specie sarebbe improprio parlare di discrezionalità, difettando quella ponderazione tra interessi privati e interesse pubblico che costituisce l’essenza tipica del potere discrezionale della p.a.</w:t>
      </w:r>
      <w:r w:rsidR="009577A6">
        <w:rPr>
          <w:rStyle w:val="Rimandonotaapidipagina"/>
        </w:rPr>
        <w:footnoteReference w:id="15"/>
      </w:r>
      <w:r w:rsidR="000F6935">
        <w:t xml:space="preserve">: ciò in quanto nella specie l’interesse pubblico connesso al riconoscimento dello </w:t>
      </w:r>
      <w:r w:rsidR="000F6935">
        <w:rPr>
          <w:i/>
        </w:rPr>
        <w:t xml:space="preserve">status </w:t>
      </w:r>
      <w:r w:rsidR="000F6935">
        <w:t>di cittadino agli stranieri sarebbe stato già selezionato e conformato a monte dalla norma, mentre la valutazione cui l’amministrazione è chiamata atterrebbe unicamente alla presenza di determinati presupposti, alcuni (la residenza in Italia da almeno dieci anni e l’adeguata conoscenza della lingua italiana) direttamente individuati dalla legge, altri definiti dalla stessa p.a. e dalla giurisprudenza sulla scorta di concetti giuridici indeterminati (quali la “</w:t>
      </w:r>
      <w:r w:rsidR="000F6935">
        <w:rPr>
          <w:i/>
        </w:rPr>
        <w:t>integrazione</w:t>
      </w:r>
      <w:r w:rsidR="000F6935">
        <w:t>” del richiedente nel tessuto sociale, l’assenza di controindicazioni di ordine pubblico etc.), con una attività di integrazione della norma che - in ogni caso – non presenterebbe i tratti tipici della discrezionalità.</w:t>
      </w:r>
    </w:p>
    <w:p w:rsidR="000F6935" w:rsidRDefault="000F6935" w:rsidP="00F850CF">
      <w:pPr>
        <w:ind w:firstLine="426"/>
        <w:jc w:val="both"/>
      </w:pPr>
      <w:r>
        <w:t>La riprova di ciò, secondo questa tesi, si coglierebbe nella difficoltà della giurisprudenza a individuare lo specifico interesse pubblico di cui l’amministrazione sarebbe chiamata a tenere conto nel provvedere sulle istanze di naturalizzazione, quasi sempre definito attraverso formule generiche e riassuntive (interesse ad accogliere stabilmente all’interno dello Stato un nuovo componente, interesse ad ampliare la platea dei cittadini etc.).</w:t>
      </w:r>
    </w:p>
    <w:p w:rsidR="003E67D1" w:rsidRDefault="00C80549" w:rsidP="00F850CF">
      <w:pPr>
        <w:ind w:firstLine="426"/>
        <w:jc w:val="both"/>
      </w:pPr>
      <w:r>
        <w:t xml:space="preserve">Questa impostazione è chiaramente influenzata dalla tesi di una “inadeguatezza” della giurisdizione amministrativa ad assicurare piena tutela a diritti e interessi dei cittadini, siccome – per così dire – connotata da un </w:t>
      </w:r>
      <w:r>
        <w:rPr>
          <w:i/>
        </w:rPr>
        <w:t xml:space="preserve">minus </w:t>
      </w:r>
      <w:r>
        <w:t>di terzietà e indipendenza rispetto al potere amministrativo rispetto a quella ordinaria</w:t>
      </w:r>
      <w:r>
        <w:rPr>
          <w:rStyle w:val="Rimandonotaapidipagina"/>
        </w:rPr>
        <w:footnoteReference w:id="16"/>
      </w:r>
      <w:r>
        <w:t xml:space="preserve">: ciò ad onta di quanto ormai da tempo affermato dalla Corte costituzionale, che </w:t>
      </w:r>
      <w:r>
        <w:lastRenderedPageBreak/>
        <w:t xml:space="preserve">fin dalla nota sentenza n. 204 del 6 luglio 2004 ha riconosciuto la piena dignità di tale giurisdizione e la sua idoneità a garantire, nel quadro di una implementazione degli strumenti e delle tecniche di tutela con la giurisdizione ordinaria, la più </w:t>
      </w:r>
      <w:r w:rsidR="0074667C">
        <w:t>piena ed effettiva attuazione d</w:t>
      </w:r>
      <w:r>
        <w:t>i diritti</w:t>
      </w:r>
      <w:r w:rsidR="0074667C">
        <w:t xml:space="preserve"> e interessi</w:t>
      </w:r>
      <w:r>
        <w:t xml:space="preserve"> degli amministrati</w:t>
      </w:r>
      <w:r w:rsidR="00601F59">
        <w:rPr>
          <w:rStyle w:val="Rimandonotaapidipagina"/>
        </w:rPr>
        <w:footnoteReference w:id="17"/>
      </w:r>
      <w:r>
        <w:t>.</w:t>
      </w:r>
      <w:r w:rsidR="0043246B">
        <w:t xml:space="preserve"> Quel che più rileva in questa sede, essa resta ancorata al</w:t>
      </w:r>
      <w:r w:rsidR="003E67D1">
        <w:t xml:space="preserve"> presupposto </w:t>
      </w:r>
      <w:r w:rsidR="0043246B">
        <w:t xml:space="preserve">secondo cui solo in presenza di attività discrezionale le contrapposte situazioni giuridiche dei privati sarebbero qualificabili come interessi legittimi, mentre per converso a fronte di attività vincolata sarebbero configurabili sempre solo diritti soggettivi: un’idea </w:t>
      </w:r>
      <w:r w:rsidR="003E67D1">
        <w:t>tutt’altro che scontata, dovendo misurarsi innanzitutto con la disciplina positiva (a partire da quella del procedimento amministrativo), la quale dimostra come anche in presenza di attività vincolata si sia in presenza di esercizio di potere amministrativo, ed anche senza voler approfondire la natura delle operazioni – accertative, valutative o di apprezzamento – in questi casi svolte dalla p.a. al fine di tradurre nella fattispecie concreta le previsioni normativ</w:t>
      </w:r>
      <w:r w:rsidR="0074667C">
        <w:t>e</w:t>
      </w:r>
      <w:r w:rsidR="003E67D1">
        <w:t>, la scelta del legislatore è quasi sempre nel senso di conformare</w:t>
      </w:r>
      <w:r w:rsidR="000F4DCF">
        <w:t xml:space="preserve"> in termini di interesse legittimo </w:t>
      </w:r>
      <w:r w:rsidR="003E67D1">
        <w:t>la correlativa situazione giuridica dei destinatari del provvedimento</w:t>
      </w:r>
      <w:r w:rsidR="000F4DCF">
        <w:t xml:space="preserve">, o quanto meno di trattarla </w:t>
      </w:r>
      <w:r w:rsidR="003E67D1">
        <w:t>come</w:t>
      </w:r>
      <w:r w:rsidR="000F4DCF">
        <w:t xml:space="preserve"> tale</w:t>
      </w:r>
      <w:r w:rsidR="003E67D1">
        <w:rPr>
          <w:rStyle w:val="Rimandonotaapidipagina"/>
        </w:rPr>
        <w:footnoteReference w:id="18"/>
      </w:r>
      <w:r w:rsidR="003E67D1">
        <w:t>.</w:t>
      </w:r>
    </w:p>
    <w:p w:rsidR="003E67D1" w:rsidRDefault="000F4DCF" w:rsidP="00F850CF">
      <w:pPr>
        <w:ind w:firstLine="426"/>
        <w:jc w:val="both"/>
      </w:pPr>
      <w:r>
        <w:t xml:space="preserve">Riservando per altra sede l’approfondimento della questione, può però sottolinearsi come la moderna realtà dei rapporti amministrativi, connotata da un quadro normativo spesso complesso e tale da imporre all’amministrazione accertamenti di fatto non semplici, da compiere con il frequente </w:t>
      </w:r>
      <w:r w:rsidR="0074667C">
        <w:t>ricorso a</w:t>
      </w:r>
      <w:r>
        <w:t xml:space="preserve"> categorie e concetti giuridici indeterminati (ivi compresi quelli che evocano nozioni tecniche)</w:t>
      </w:r>
      <w:r>
        <w:rPr>
          <w:rStyle w:val="Rimandonotaapidipagina"/>
        </w:rPr>
        <w:footnoteReference w:id="19"/>
      </w:r>
      <w:r>
        <w:t xml:space="preserve"> e spesso con veri e propri margini di apprezzamento, rende obsoleta la tradizionale visione dell’attività amministrativa vincolata come mera traduzione delle previsioni di legge nei termini concreti della fattispecie, secondo lo schema norma/fatto/effetto</w:t>
      </w:r>
      <w:r>
        <w:rPr>
          <w:rStyle w:val="Rimandonotaapidipagina"/>
        </w:rPr>
        <w:footnoteReference w:id="20"/>
      </w:r>
      <w:r>
        <w:t>, disvelando – al contrario – la fondatezza della tesi per cui anche in questi casi si è in presenza di esercizio di potere</w:t>
      </w:r>
      <w:r w:rsidR="00D41FF8">
        <w:rPr>
          <w:rStyle w:val="Rimandonotaapidipagina"/>
        </w:rPr>
        <w:footnoteReference w:id="21"/>
      </w:r>
      <w:r>
        <w:t xml:space="preserve">. Ne discende </w:t>
      </w:r>
      <w:r w:rsidR="00D41FF8">
        <w:t>la necessità, specie in un contesto in cui la giurisprudenza costituzionale continua a individuare nella situazione giuridica soggettiva fatta valere il criterio fondamentale per il riparto della giurisdizione</w:t>
      </w:r>
      <w:r w:rsidR="0006462A">
        <w:rPr>
          <w:rStyle w:val="Rimandonotaapidipagina"/>
        </w:rPr>
        <w:footnoteReference w:id="22"/>
      </w:r>
      <w:r w:rsidR="00D41FF8">
        <w:t xml:space="preserve">, di adottare una nozione di interesse legittimo che sia in linea con tale moderno atteggiarsi del potere </w:t>
      </w:r>
      <w:r w:rsidR="00D41FF8">
        <w:lastRenderedPageBreak/>
        <w:t>pubblico, piuttosto che ristretta ai casi – in via di progressiva erosione, come si è detto – in cui l’attività dell’amministrazione sia essa stessa conformativa dell’interesse pubblico.</w:t>
      </w:r>
    </w:p>
    <w:p w:rsidR="00BD397B" w:rsidRDefault="0043246B" w:rsidP="00F850CF">
      <w:pPr>
        <w:ind w:firstLine="426"/>
        <w:jc w:val="both"/>
      </w:pPr>
      <w:r>
        <w:t xml:space="preserve">Tuttavia, </w:t>
      </w:r>
      <w:r w:rsidR="00D41FF8">
        <w:t>per quanto non condivisibile per le conseguenze che ne trae in punto di giurisdizione, l</w:t>
      </w:r>
      <w:r>
        <w:t>a tesi</w:t>
      </w:r>
      <w:r w:rsidR="00D41FF8">
        <w:t xml:space="preserve"> testé esaminata</w:t>
      </w:r>
      <w:r>
        <w:t xml:space="preserve"> può essere utile alla presente indagine per quanto di vero coglie, in particolare con riguardo alla difficoltà di individuare e definire lo specifico “</w:t>
      </w:r>
      <w:r>
        <w:rPr>
          <w:i/>
        </w:rPr>
        <w:t>interesse pubblico</w:t>
      </w:r>
      <w:r>
        <w:t xml:space="preserve">” </w:t>
      </w:r>
      <w:r w:rsidR="00BD397B">
        <w:t>di cui</w:t>
      </w:r>
      <w:r>
        <w:t xml:space="preserve"> l’amministrazione chiamata a pronunciarsi su un’istanza di concessione della cittadinanza deve tenere conto, e forse – come si vedrà – anche laddove qualifica l’attività di verifica delle “condizioni” per il riconoscimento dello </w:t>
      </w:r>
      <w:r>
        <w:rPr>
          <w:i/>
        </w:rPr>
        <w:t xml:space="preserve">status civitatis </w:t>
      </w:r>
      <w:r>
        <w:t xml:space="preserve">da parte dell’amministrazione (nonché, in sede di controllo giudiziale, del giudice amministrativo) in termini non di apprezzamento discrezionale, bensì di </w:t>
      </w:r>
      <w:r w:rsidR="00BD397B">
        <w:t xml:space="preserve">“mera” </w:t>
      </w:r>
      <w:r>
        <w:t>integrazione della fattispecie legale.</w:t>
      </w:r>
    </w:p>
    <w:p w:rsidR="0043246B" w:rsidRDefault="0043246B" w:rsidP="00F850CF">
      <w:pPr>
        <w:ind w:firstLine="426"/>
        <w:jc w:val="both"/>
      </w:pPr>
      <w:r>
        <w:t>Sul punto si tornerà a conclusione del presente contributo.</w:t>
      </w:r>
    </w:p>
    <w:p w:rsidR="002A230C" w:rsidRDefault="002A230C" w:rsidP="00F850CF">
      <w:pPr>
        <w:ind w:firstLine="426"/>
        <w:jc w:val="both"/>
      </w:pPr>
    </w:p>
    <w:p w:rsidR="002A230C" w:rsidRDefault="002A230C" w:rsidP="00F850CF">
      <w:pPr>
        <w:ind w:firstLine="426"/>
        <w:jc w:val="both"/>
      </w:pPr>
    </w:p>
    <w:p w:rsidR="002A230C" w:rsidRDefault="002A230C" w:rsidP="00F850CF">
      <w:pPr>
        <w:ind w:firstLine="426"/>
        <w:jc w:val="both"/>
        <w:rPr>
          <w:b/>
        </w:rPr>
      </w:pPr>
      <w:r>
        <w:rPr>
          <w:b/>
        </w:rPr>
        <w:t>3. Le recenti tendenze della giurisprudenza.</w:t>
      </w:r>
    </w:p>
    <w:p w:rsidR="002A230C" w:rsidRDefault="002A230C" w:rsidP="00F850CF">
      <w:pPr>
        <w:ind w:firstLine="426"/>
        <w:jc w:val="both"/>
        <w:rPr>
          <w:b/>
        </w:rPr>
      </w:pPr>
    </w:p>
    <w:p w:rsidR="002A230C" w:rsidRDefault="002A230C" w:rsidP="00F850CF">
      <w:pPr>
        <w:ind w:firstLine="426"/>
        <w:jc w:val="both"/>
      </w:pPr>
      <w:r>
        <w:t xml:space="preserve">Tracciate le necessarie coordinate in tema di riparto della giurisdizione e conseguente perimetrazione dell’ambito di intervento del giudice amministrativo, possono passarsi rapidamente in rassegna i principali approdi della casistica giurisprudenziale, circoscrivendo la disamina alle sole controversie relative ai procedimenti di concessione della cittadinanza </w:t>
      </w:r>
      <w:r>
        <w:rPr>
          <w:i/>
        </w:rPr>
        <w:t xml:space="preserve">ex </w:t>
      </w:r>
      <w:r>
        <w:t xml:space="preserve">articolo 9, l. n. 91/1992 (i quali, </w:t>
      </w:r>
      <w:r w:rsidR="00FD66E5">
        <w:t>in effetti</w:t>
      </w:r>
      <w:r>
        <w:t xml:space="preserve">, costituiscono oltre il 90% della detta casistica). In questo modo, sarà possibile verificare come siano declinate, nella gestione delle specifiche fattispecie esaminate, le più recenti linee evolutive del sindacato giurisdizionale </w:t>
      </w:r>
      <w:r>
        <w:rPr>
          <w:i/>
        </w:rPr>
        <w:t xml:space="preserve">in subiecta materia, </w:t>
      </w:r>
      <w:r>
        <w:t>come sommariamente anticipate al paragrafo precedente.</w:t>
      </w:r>
    </w:p>
    <w:p w:rsidR="002A230C" w:rsidRDefault="002A230C" w:rsidP="00F850CF">
      <w:pPr>
        <w:ind w:firstLine="426"/>
        <w:jc w:val="both"/>
      </w:pPr>
      <w:r>
        <w:t xml:space="preserve">In via di principio, è tuttora costante nella giurisprudenza l’affermazione circa l’ampia </w:t>
      </w:r>
      <w:r w:rsidR="006A1B63">
        <w:t>“</w:t>
      </w:r>
      <w:r w:rsidRPr="006A1B63">
        <w:rPr>
          <w:i/>
        </w:rPr>
        <w:t>discrezionalità</w:t>
      </w:r>
      <w:r w:rsidR="006A1B63">
        <w:t>”</w:t>
      </w:r>
      <w:r>
        <w:t xml:space="preserve"> che connota le valutazioni dell’amministrazione chiamata a provvedere su un’istanza di acquisto della cittadinanza per naturalizzazione</w:t>
      </w:r>
      <w:r w:rsidR="00126875">
        <w:t>, tale da qualificare il relativo provvedimento come atto di alta amministrazione</w:t>
      </w:r>
      <w:r>
        <w:rPr>
          <w:rStyle w:val="Rimandonotaapidipagina"/>
        </w:rPr>
        <w:footnoteReference w:id="23"/>
      </w:r>
      <w:r w:rsidR="00126875">
        <w:t xml:space="preserve">. Tuttavia, più di tale affermazione quasi tralaticia </w:t>
      </w:r>
      <w:r w:rsidR="006A1B63">
        <w:t xml:space="preserve">(e al di là di alcuni suoi discutibili corollari, su cui si tornerà in appresso) </w:t>
      </w:r>
      <w:r w:rsidR="00126875">
        <w:t xml:space="preserve">interessa approfondire il modo in cui </w:t>
      </w:r>
      <w:r w:rsidR="006A1B63">
        <w:t>è concretamente declinato il controllo di legittimità che viene esercitato sui modi di esercizio di tale “</w:t>
      </w:r>
      <w:r w:rsidR="006A1B63">
        <w:rPr>
          <w:i/>
        </w:rPr>
        <w:t>discrezionalità</w:t>
      </w:r>
      <w:r w:rsidR="006A1B63">
        <w:t>”, attraverso una peculiare applicazione delle consuete tecniche del sindacato giurisdizionale sull’eccesso di potere.</w:t>
      </w:r>
    </w:p>
    <w:p w:rsidR="006A1B63" w:rsidRPr="00582BA2" w:rsidRDefault="006A1B63" w:rsidP="00F850CF">
      <w:pPr>
        <w:ind w:firstLine="426"/>
        <w:jc w:val="both"/>
      </w:pPr>
      <w:r>
        <w:t>Al riguardo, giova premettere che, come abbastanza pacificamente riconosciuto in dottrina</w:t>
      </w:r>
      <w:r>
        <w:rPr>
          <w:rStyle w:val="Rimandonotaapidipagina"/>
        </w:rPr>
        <w:footnoteReference w:id="24"/>
      </w:r>
      <w:r>
        <w:t xml:space="preserve">, dei criteri impiegati dall’amministrazione per valutare l’accoglibilità delle domande di naturalizzazione solo due trovano espressa corrispondenza nelle previsioni di legge: </w:t>
      </w:r>
      <w:r w:rsidR="009766CD">
        <w:t xml:space="preserve">la residenza in Italia per un determinato arco di tempo (articolo 9, comma 1, lettera </w:t>
      </w:r>
      <w:r w:rsidR="009766CD">
        <w:rPr>
          <w:i/>
        </w:rPr>
        <w:t>f</w:t>
      </w:r>
      <w:r w:rsidR="009766CD">
        <w:t xml:space="preserve">), l. n. 91/1992) e l’adeguata conoscenza della lingua italiana (articolo 9.1, l. n. 91/1992). A fianco a questi, però, </w:t>
      </w:r>
      <w:r w:rsidR="00FD66E5">
        <w:t>nel</w:t>
      </w:r>
      <w:r w:rsidR="009766CD">
        <w:t>la prassi applicativa sono enucleati altri presupposti oggetto di verifica, di solito ricondotti a un più generale (e globale) apprezzamento circa la “</w:t>
      </w:r>
      <w:r w:rsidR="009766CD">
        <w:rPr>
          <w:i/>
        </w:rPr>
        <w:t>integrazione</w:t>
      </w:r>
      <w:r w:rsidR="009766CD">
        <w:t>” dello straniero richiedente nel tessuto sociale; fra questi elementi ulteriori spiccano – in particolare – la capacità patrimoniale del richiedente e l’assenza di una sua pericolosità sociale desumibile dalle condotte pregresse.</w:t>
      </w:r>
      <w:r w:rsidR="00582BA2">
        <w:t xml:space="preserve"> D’altra parte, sembra pacifico (come reso chiaro dall’uso del verbo “</w:t>
      </w:r>
      <w:r w:rsidR="00582BA2">
        <w:rPr>
          <w:i/>
        </w:rPr>
        <w:t>può</w:t>
      </w:r>
      <w:r w:rsidR="00582BA2">
        <w:t xml:space="preserve">”) che la norma considera la residenza continuativa sul territorio italiano un requisito necessario ma non sufficiente per il riconoscimento della cittadinanza, </w:t>
      </w:r>
      <w:r w:rsidR="00FD66E5">
        <w:t>re</w:t>
      </w:r>
      <w:r w:rsidR="00582BA2">
        <w:t>nde</w:t>
      </w:r>
      <w:r w:rsidR="00FD66E5">
        <w:t>ndo</w:t>
      </w:r>
      <w:r w:rsidR="00582BA2">
        <w:t xml:space="preserve"> chiaro che l’amministrazione in questi casi </w:t>
      </w:r>
      <w:r w:rsidR="00FD66E5">
        <w:t>è</w:t>
      </w:r>
      <w:r w:rsidR="00582BA2">
        <w:t xml:space="preserve"> chiamata a compiere valutazioni e apprezzamenti ulteriori.</w:t>
      </w:r>
    </w:p>
    <w:p w:rsidR="00A26AB4" w:rsidRDefault="00A26AB4" w:rsidP="00F850CF">
      <w:pPr>
        <w:ind w:firstLine="426"/>
        <w:jc w:val="both"/>
      </w:pPr>
      <w:r>
        <w:lastRenderedPageBreak/>
        <w:t>Orbene, se la verifica dei primi due presupposti non crea soverchi problemi, trattandosi di mero accertamento di condizioni di fatto</w:t>
      </w:r>
      <w:r>
        <w:rPr>
          <w:rStyle w:val="Rimandonotaapidipagina"/>
        </w:rPr>
        <w:footnoteReference w:id="25"/>
      </w:r>
      <w:r>
        <w:t>, è nella considerazione degli elementi ulteriori che si esplica quella potestà di apprezzamento che viene di regola riconosciuta sussistere in capo all’amministrazione e che è variamente ricondotta al potere sovrano di ampliare il numero dei cittadini dello Stato, alla natura stessa della cittadinanza (intesa quale situazione giuridica permanente mercé la quale vengono acquisiti diritti e doveri), all’interesse pubblico ad ammettere nella comunità nazionale solo quegli stranieri che diano prova di integrazione e di essere in grado di adempiere ai doveri costituzionali di solidarietà sociale, e così via.</w:t>
      </w:r>
    </w:p>
    <w:p w:rsidR="00B865A0" w:rsidRDefault="00B865A0" w:rsidP="00F850CF">
      <w:pPr>
        <w:ind w:firstLine="426"/>
        <w:jc w:val="both"/>
        <w:rPr>
          <w:shd w:val="clear" w:color="auto" w:fill="FFFFFF"/>
        </w:rPr>
      </w:pPr>
      <w:r>
        <w:t xml:space="preserve">Così, con riguardo al giudizio sulla pericolosità sociale dello straniero, pur senza contestare l’approccio dell’amministrazione che di regola procede a tale verifica avendo riguardo prevalentemente al rispetto della legge penale, </w:t>
      </w:r>
      <w:r w:rsidR="009F35C8">
        <w:t>la giurisprudenza, pur nella varietà di soluzioni individuate in relazione alle diverse tipologie di fattispecie esaminate (sentenze definitive o non definitive, semplice sottoposizione a indagini, carattere più o meno risalente del precedente etc.)</w:t>
      </w:r>
      <w:r w:rsidR="00443D26">
        <w:rPr>
          <w:rStyle w:val="Rimandonotaapidipagina"/>
        </w:rPr>
        <w:footnoteReference w:id="26"/>
      </w:r>
      <w:r w:rsidR="00DA6730">
        <w:t>, tende decisa</w:t>
      </w:r>
      <w:r w:rsidR="00443D26">
        <w:t>mente a escludere automatismi ostativi</w:t>
      </w:r>
      <w:r w:rsidR="00BB5E86">
        <w:rPr>
          <w:rStyle w:val="Rimandonotaapidipagina"/>
        </w:rPr>
        <w:footnoteReference w:id="27"/>
      </w:r>
      <w:r w:rsidR="00443D26">
        <w:t xml:space="preserve"> e a sottolineare la necessità </w:t>
      </w:r>
      <w:r w:rsidR="00132B10">
        <w:t xml:space="preserve">di un apprezzamento globale, che non sia limitato alla specifica considerazione di eventuali (e magari </w:t>
      </w:r>
      <w:r w:rsidR="00FD66E5">
        <w:t>vetus</w:t>
      </w:r>
      <w:r w:rsidR="00132B10">
        <w:t>t</w:t>
      </w:r>
      <w:r w:rsidR="00FD66E5">
        <w:t>e</w:t>
      </w:r>
      <w:r w:rsidR="00132B10">
        <w:t xml:space="preserve">) vicende ostative, ma si traduca in </w:t>
      </w:r>
      <w:r w:rsidR="00132B10" w:rsidRPr="00132B10">
        <w:rPr>
          <w:shd w:val="clear" w:color="auto" w:fill="FFFFFF"/>
        </w:rPr>
        <w:t>una più ampia e bilanciata disamina</w:t>
      </w:r>
      <w:r w:rsidR="00132B10">
        <w:rPr>
          <w:shd w:val="clear" w:color="auto" w:fill="FFFFFF"/>
        </w:rPr>
        <w:t xml:space="preserve"> della posizione del richiedente</w:t>
      </w:r>
      <w:r w:rsidR="00132B10" w:rsidRPr="00132B10">
        <w:rPr>
          <w:shd w:val="clear" w:color="auto" w:fill="FFFFFF"/>
        </w:rPr>
        <w:t xml:space="preserve"> che tenga conto dei suoi legami familiari, della sua attività lavorativa, del suo reale radicamento al territorio, della sua complessiva condotta che</w:t>
      </w:r>
      <w:r w:rsidR="00132B10">
        <w:rPr>
          <w:shd w:val="clear" w:color="auto" w:fill="FFFFFF"/>
        </w:rPr>
        <w:t xml:space="preserve"> – anche se in tesi </w:t>
      </w:r>
      <w:r w:rsidR="00132B10" w:rsidRPr="00132B10">
        <w:rPr>
          <w:shd w:val="clear" w:color="auto" w:fill="FFFFFF"/>
        </w:rPr>
        <w:t>non totalmente irreprensibile sul piano morale</w:t>
      </w:r>
      <w:r w:rsidR="00132B10">
        <w:rPr>
          <w:shd w:val="clear" w:color="auto" w:fill="FFFFFF"/>
        </w:rPr>
        <w:t xml:space="preserve"> -</w:t>
      </w:r>
      <w:r w:rsidR="00132B10" w:rsidRPr="00132B10">
        <w:rPr>
          <w:shd w:val="clear" w:color="auto" w:fill="FFFFFF"/>
        </w:rPr>
        <w:t xml:space="preserve"> deve comunque mostrare, perlomeno e indefettibilmente, una convinta adesione ai valori fondamentali dell</w:t>
      </w:r>
      <w:r w:rsidR="00132B10">
        <w:rPr>
          <w:shd w:val="clear" w:color="auto" w:fill="FFFFFF"/>
        </w:rPr>
        <w:t>’</w:t>
      </w:r>
      <w:r w:rsidR="00132B10" w:rsidRPr="00132B10">
        <w:rPr>
          <w:shd w:val="clear" w:color="auto" w:fill="FFFFFF"/>
        </w:rPr>
        <w:t>ordinamento, di cui egli chiede di far parte con il riconoscimento della cittadinanza</w:t>
      </w:r>
      <w:r w:rsidR="00132B10">
        <w:rPr>
          <w:rStyle w:val="Rimandonotaapidipagina"/>
          <w:shd w:val="clear" w:color="auto" w:fill="FFFFFF"/>
        </w:rPr>
        <w:footnoteReference w:id="28"/>
      </w:r>
      <w:r w:rsidR="00132B10">
        <w:rPr>
          <w:shd w:val="clear" w:color="auto" w:fill="FFFFFF"/>
        </w:rPr>
        <w:t xml:space="preserve">. Con formula sintetica, si assume quindi che la verifica dell’amministrazione deve avere a oggetto l’effettiva e </w:t>
      </w:r>
      <w:r w:rsidR="00132B10" w:rsidRPr="00132B10">
        <w:rPr>
          <w:shd w:val="clear" w:color="auto" w:fill="FFFFFF"/>
        </w:rPr>
        <w:t>piena</w:t>
      </w:r>
      <w:r w:rsidR="00132B10">
        <w:rPr>
          <w:shd w:val="clear" w:color="auto" w:fill="FFFFFF"/>
        </w:rPr>
        <w:t xml:space="preserve"> integrazione </w:t>
      </w:r>
      <w:r w:rsidR="00132B10" w:rsidRPr="00132B10">
        <w:rPr>
          <w:shd w:val="clear" w:color="auto" w:fill="FFFFFF"/>
        </w:rPr>
        <w:t>dello straniero nella comunità nazionale anche dal punto di vista della condivisione sincera dei suoi valori ispiratori, quantomeno nella dimensione ideale che li caratterizza</w:t>
      </w:r>
      <w:r w:rsidR="00132B10">
        <w:rPr>
          <w:rStyle w:val="Rimandonotaapidipagina"/>
          <w:shd w:val="clear" w:color="auto" w:fill="FFFFFF"/>
        </w:rPr>
        <w:footnoteReference w:id="29"/>
      </w:r>
      <w:r w:rsidR="00132B10">
        <w:rPr>
          <w:shd w:val="clear" w:color="auto" w:fill="FFFFFF"/>
        </w:rPr>
        <w:t>.</w:t>
      </w:r>
    </w:p>
    <w:p w:rsidR="003F6FDB" w:rsidRDefault="003F6FDB" w:rsidP="00F850CF">
      <w:pPr>
        <w:ind w:firstLine="426"/>
        <w:jc w:val="both"/>
        <w:rPr>
          <w:shd w:val="clear" w:color="auto" w:fill="FFFFFF"/>
        </w:rPr>
      </w:pPr>
      <w:r>
        <w:rPr>
          <w:shd w:val="clear" w:color="auto" w:fill="FFFFFF"/>
        </w:rPr>
        <w:t>A ben vedere, ciò che merita attenzione di questi orientamenti non è tanto l’insistenza sulla necessità che l’amministrazione dia conto, attraverso una motivazione congrua ed esaustiva, dell’esercizio della pur ampia discrezionalità che le è attribuita in questa materia</w:t>
      </w:r>
      <w:r>
        <w:rPr>
          <w:rStyle w:val="Rimandonotaapidipagina"/>
          <w:shd w:val="clear" w:color="auto" w:fill="FFFFFF"/>
        </w:rPr>
        <w:footnoteReference w:id="30"/>
      </w:r>
      <w:r>
        <w:rPr>
          <w:shd w:val="clear" w:color="auto" w:fill="FFFFFF"/>
        </w:rPr>
        <w:t xml:space="preserve"> (ché ciò altro non è che il frutto della già richiamata accentuazione del controllo giurisdizionale sul corretto esercizio </w:t>
      </w:r>
      <w:r>
        <w:rPr>
          <w:shd w:val="clear" w:color="auto" w:fill="FFFFFF"/>
        </w:rPr>
        <w:lastRenderedPageBreak/>
        <w:t xml:space="preserve">del potere discrezionale), quanto piuttosto la modalità con cui in concreto il sindacato viene esteso alla stessa selezione e definizione degli elementi </w:t>
      </w:r>
      <w:r w:rsidR="00FD66E5">
        <w:rPr>
          <w:shd w:val="clear" w:color="auto" w:fill="FFFFFF"/>
        </w:rPr>
        <w:t xml:space="preserve">alla stregua </w:t>
      </w:r>
      <w:r>
        <w:rPr>
          <w:shd w:val="clear" w:color="auto" w:fill="FFFFFF"/>
        </w:rPr>
        <w:t>dei quali è formulato il giudizio sulla “</w:t>
      </w:r>
      <w:r>
        <w:rPr>
          <w:i/>
          <w:shd w:val="clear" w:color="auto" w:fill="FFFFFF"/>
        </w:rPr>
        <w:t>integrazione</w:t>
      </w:r>
      <w:r>
        <w:rPr>
          <w:shd w:val="clear" w:color="auto" w:fill="FFFFFF"/>
        </w:rPr>
        <w:t xml:space="preserve">” dello straniero, nonché sui risultati del bilanciamento fra gli stessi quali emergono dalla motivazione dell’eventuale diniego. In questo modo, attraverso il tradizionale strumento della verifica di adeguatezza della motivazione la giurisprudenza </w:t>
      </w:r>
      <w:r w:rsidR="00042F14">
        <w:rPr>
          <w:shd w:val="clear" w:color="auto" w:fill="FFFFFF"/>
        </w:rPr>
        <w:t>tende a riformulare la stessa fattispecie astratta contenente i presupposti del provvedimento amministrativo, nel contempo verificando la correttezza dell’attività integrativa della stessa operata dalla p.a. nel caso concreto</w:t>
      </w:r>
      <w:r w:rsidR="00042F14">
        <w:rPr>
          <w:rStyle w:val="Rimandonotaapidipagina"/>
          <w:shd w:val="clear" w:color="auto" w:fill="FFFFFF"/>
        </w:rPr>
        <w:footnoteReference w:id="31"/>
      </w:r>
      <w:r w:rsidR="00042F14">
        <w:rPr>
          <w:shd w:val="clear" w:color="auto" w:fill="FFFFFF"/>
        </w:rPr>
        <w:t>. Ciò s’inscrive in quella più generale tendenza a intensificare il sindacato di ragionevolezza delle valutazioni rimesse all’amministrazione, evidente in tutto il diritto dell’immigrazione e degli stranieri e che viene di solito giustificata con l’esigenza di andare oltre una mera verifica di legalità formale e valutare sempre la posizione complessiva dello straniero, stante il coinvolgimento di suoi diritti fondamentali</w:t>
      </w:r>
      <w:r w:rsidR="00042F14">
        <w:rPr>
          <w:rStyle w:val="Rimandonotaapidipagina"/>
          <w:shd w:val="clear" w:color="auto" w:fill="FFFFFF"/>
        </w:rPr>
        <w:footnoteReference w:id="32"/>
      </w:r>
      <w:r w:rsidR="00042F14">
        <w:rPr>
          <w:shd w:val="clear" w:color="auto" w:fill="FFFFFF"/>
        </w:rPr>
        <w:t>.</w:t>
      </w:r>
    </w:p>
    <w:p w:rsidR="009E30A0" w:rsidRPr="00B72F31" w:rsidRDefault="009E30A0" w:rsidP="00F850CF">
      <w:pPr>
        <w:ind w:firstLine="426"/>
        <w:jc w:val="both"/>
        <w:rPr>
          <w:shd w:val="clear" w:color="auto" w:fill="FFFFFF"/>
        </w:rPr>
      </w:pPr>
      <w:r>
        <w:rPr>
          <w:shd w:val="clear" w:color="auto" w:fill="FFFFFF"/>
        </w:rPr>
        <w:t>L’atteggiamento della giurisprudenza può però essere letto anche come una forma di “supplenza”, più o meno consapevole, rispetto ad una ormai evidente inadeguatezza del quadro normativo di riferimento (ciò è evidente, ad esempio, in quelle decisioni in cui il giudicante si fa carico dei tempi lunghi previsti per la definizione delle istanze di naturalizzazione</w:t>
      </w:r>
      <w:r w:rsidR="00B72F31">
        <w:rPr>
          <w:rStyle w:val="Rimandonotaapidipagina"/>
          <w:shd w:val="clear" w:color="auto" w:fill="FFFFFF"/>
        </w:rPr>
        <w:footnoteReference w:id="33"/>
      </w:r>
      <w:r>
        <w:rPr>
          <w:shd w:val="clear" w:color="auto" w:fill="FFFFFF"/>
        </w:rPr>
        <w:t>, rimarcando il dovere dell’amministrazione di non ancorare la propria valutazione alla condizione del richiedente alla data della domanda, dovendo bensì tenere conto anche delle sopravvenienze favorevoli – p.es. la riabilitazione – intervenute nel corso del procedimento)</w:t>
      </w:r>
      <w:r>
        <w:rPr>
          <w:rStyle w:val="Rimandonotaapidipagina"/>
          <w:shd w:val="clear" w:color="auto" w:fill="FFFFFF"/>
        </w:rPr>
        <w:footnoteReference w:id="34"/>
      </w:r>
      <w:r>
        <w:rPr>
          <w:shd w:val="clear" w:color="auto" w:fill="FFFFFF"/>
        </w:rPr>
        <w:t>.</w:t>
      </w:r>
      <w:r w:rsidR="00B72F31">
        <w:rPr>
          <w:shd w:val="clear" w:color="auto" w:fill="FFFFFF"/>
        </w:rPr>
        <w:t xml:space="preserve"> </w:t>
      </w:r>
      <w:r w:rsidR="00B72F31">
        <w:rPr>
          <w:caps/>
          <w:shd w:val="clear" w:color="auto" w:fill="FFFFFF"/>
        </w:rPr>
        <w:t xml:space="preserve">è </w:t>
      </w:r>
      <w:r w:rsidR="00B72F31">
        <w:rPr>
          <w:shd w:val="clear" w:color="auto" w:fill="FFFFFF"/>
        </w:rPr>
        <w:t>giunto dunque il momento di chiedersi, come anticipato al principio del presente contributo, se e in che modo gli approdi giurisprudenziali che si sono descritti possano fornire utili spunti per un auspicabile intervento riformatore della materia.</w:t>
      </w:r>
    </w:p>
    <w:p w:rsidR="00042F14" w:rsidRDefault="00042F14" w:rsidP="00F850CF">
      <w:pPr>
        <w:ind w:firstLine="426"/>
        <w:jc w:val="both"/>
        <w:rPr>
          <w:shd w:val="clear" w:color="auto" w:fill="FFFFFF"/>
        </w:rPr>
      </w:pPr>
    </w:p>
    <w:p w:rsidR="00042F14" w:rsidRDefault="00042F14" w:rsidP="00F850CF">
      <w:pPr>
        <w:ind w:firstLine="426"/>
        <w:jc w:val="both"/>
        <w:rPr>
          <w:shd w:val="clear" w:color="auto" w:fill="FFFFFF"/>
        </w:rPr>
      </w:pPr>
    </w:p>
    <w:p w:rsidR="00042F14" w:rsidRDefault="00042F14" w:rsidP="00F850CF">
      <w:pPr>
        <w:ind w:firstLine="426"/>
        <w:jc w:val="both"/>
        <w:rPr>
          <w:b/>
          <w:shd w:val="clear" w:color="auto" w:fill="FFFFFF"/>
        </w:rPr>
      </w:pPr>
      <w:r>
        <w:rPr>
          <w:b/>
          <w:shd w:val="clear" w:color="auto" w:fill="FFFFFF"/>
        </w:rPr>
        <w:t>4. Considerazioni conclusive.</w:t>
      </w:r>
    </w:p>
    <w:p w:rsidR="00B72F31" w:rsidRDefault="00B72F31" w:rsidP="00F850CF">
      <w:pPr>
        <w:ind w:firstLine="426"/>
        <w:jc w:val="both"/>
        <w:rPr>
          <w:b/>
          <w:shd w:val="clear" w:color="auto" w:fill="FFFFFF"/>
        </w:rPr>
      </w:pPr>
    </w:p>
    <w:p w:rsidR="00B72F31" w:rsidRDefault="00B72F31" w:rsidP="00F850CF">
      <w:pPr>
        <w:ind w:firstLine="426"/>
        <w:jc w:val="both"/>
        <w:rPr>
          <w:shd w:val="clear" w:color="auto" w:fill="FFFFFF"/>
        </w:rPr>
      </w:pPr>
      <w:r>
        <w:rPr>
          <w:shd w:val="clear" w:color="auto" w:fill="FFFFFF"/>
        </w:rPr>
        <w:t>Che la legge n. 91 del 1992, nonostante i plurimi interventi integrativi e modificativi che ha subito dalla sua entrata in vigore, sia ormai largamente inadeguata a disciplinare le fattispecie di stranieri che aspirino a entrare a far parte della comunità nazionale, è ormai riconosciuto in maniera pressoché concorde</w:t>
      </w:r>
      <w:r w:rsidR="006F56C4">
        <w:rPr>
          <w:shd w:val="clear" w:color="auto" w:fill="FFFFFF"/>
        </w:rPr>
        <w:t xml:space="preserve"> in considerazione dei profondi mutamenti socio-culturali che hanno connotato gli ultimi decenni (in primo luogo, sotto la spinta di movimenti migratori e rivolgimenti politici ed economici sconosciuti in passato, ma anche per effetto del progredire del processo di integrazione europea)</w:t>
      </w:r>
      <w:r w:rsidR="006F56C4">
        <w:rPr>
          <w:rStyle w:val="Rimandonotaapidipagina"/>
          <w:shd w:val="clear" w:color="auto" w:fill="FFFFFF"/>
        </w:rPr>
        <w:footnoteReference w:id="35"/>
      </w:r>
      <w:r w:rsidR="006F56C4">
        <w:rPr>
          <w:shd w:val="clear" w:color="auto" w:fill="FFFFFF"/>
        </w:rPr>
        <w:t xml:space="preserve">. Tuttavia, </w:t>
      </w:r>
      <w:r w:rsidR="001624CC">
        <w:rPr>
          <w:shd w:val="clear" w:color="auto" w:fill="FFFFFF"/>
        </w:rPr>
        <w:t xml:space="preserve">le </w:t>
      </w:r>
      <w:r w:rsidR="00FD66E5">
        <w:rPr>
          <w:shd w:val="clear" w:color="auto" w:fill="FFFFFF"/>
        </w:rPr>
        <w:t>divers</w:t>
      </w:r>
      <w:r w:rsidR="001624CC">
        <w:rPr>
          <w:shd w:val="clear" w:color="auto" w:fill="FFFFFF"/>
        </w:rPr>
        <w:t>e proposte di riforma presentate nel corso delle ultime legislature</w:t>
      </w:r>
      <w:r w:rsidR="00F4125B">
        <w:rPr>
          <w:shd w:val="clear" w:color="auto" w:fill="FFFFFF"/>
        </w:rPr>
        <w:t xml:space="preserve"> – in particolare, con riguardo all’esigenza di superare lo </w:t>
      </w:r>
      <w:r w:rsidR="00F4125B">
        <w:rPr>
          <w:i/>
          <w:shd w:val="clear" w:color="auto" w:fill="FFFFFF"/>
        </w:rPr>
        <w:t xml:space="preserve">ius sanguinis </w:t>
      </w:r>
      <w:r w:rsidR="00F4125B">
        <w:rPr>
          <w:shd w:val="clear" w:color="auto" w:fill="FFFFFF"/>
        </w:rPr>
        <w:t>quale principale e pressoché esclusivo criterio per il riconoscimento della cittadinanza</w:t>
      </w:r>
      <w:r w:rsidR="00F4125B">
        <w:rPr>
          <w:rStyle w:val="Rimandonotaapidipagina"/>
          <w:shd w:val="clear" w:color="auto" w:fill="FFFFFF"/>
        </w:rPr>
        <w:footnoteReference w:id="36"/>
      </w:r>
      <w:r w:rsidR="00F4125B">
        <w:rPr>
          <w:shd w:val="clear" w:color="auto" w:fill="FFFFFF"/>
        </w:rPr>
        <w:t xml:space="preserve"> -</w:t>
      </w:r>
      <w:r w:rsidR="001624CC">
        <w:rPr>
          <w:shd w:val="clear" w:color="auto" w:fill="FFFFFF"/>
        </w:rPr>
        <w:t xml:space="preserve"> non hanno mai avuto seguito, </w:t>
      </w:r>
      <w:r w:rsidR="001624CC">
        <w:rPr>
          <w:shd w:val="clear" w:color="auto" w:fill="FFFFFF"/>
        </w:rPr>
        <w:lastRenderedPageBreak/>
        <w:t>verosimilmente a cagione dell’essere il dibattito pubblico sul tema fortemente condizionato – per non dire inquinato – dall</w:t>
      </w:r>
      <w:r w:rsidR="00FD66E5">
        <w:rPr>
          <w:shd w:val="clear" w:color="auto" w:fill="FFFFFF"/>
        </w:rPr>
        <w:t>’</w:t>
      </w:r>
      <w:r w:rsidR="001624CC">
        <w:rPr>
          <w:shd w:val="clear" w:color="auto" w:fill="FFFFFF"/>
        </w:rPr>
        <w:t>inevitabil</w:t>
      </w:r>
      <w:r w:rsidR="00FD66E5">
        <w:rPr>
          <w:shd w:val="clear" w:color="auto" w:fill="FFFFFF"/>
        </w:rPr>
        <w:t>e</w:t>
      </w:r>
      <w:r w:rsidR="001624CC">
        <w:rPr>
          <w:shd w:val="clear" w:color="auto" w:fill="FFFFFF"/>
        </w:rPr>
        <w:t xml:space="preserve"> implicazione di questioni politiche (la gestione del fenomeno migratorio, le emergenze di ordine e sicurezza pubblica) estremamente “sensibili” e che, sebbene </w:t>
      </w:r>
      <w:r w:rsidR="00FD66E5">
        <w:rPr>
          <w:shd w:val="clear" w:color="auto" w:fill="FFFFFF"/>
        </w:rPr>
        <w:t xml:space="preserve">in realtà </w:t>
      </w:r>
      <w:r w:rsidR="001624CC">
        <w:rPr>
          <w:shd w:val="clear" w:color="auto" w:fill="FFFFFF"/>
        </w:rPr>
        <w:t xml:space="preserve">prive di </w:t>
      </w:r>
      <w:r w:rsidR="00FD66E5">
        <w:rPr>
          <w:shd w:val="clear" w:color="auto" w:fill="FFFFFF"/>
        </w:rPr>
        <w:t>effettiv</w:t>
      </w:r>
      <w:r w:rsidR="001624CC">
        <w:rPr>
          <w:shd w:val="clear" w:color="auto" w:fill="FFFFFF"/>
        </w:rPr>
        <w:t>i collegamenti con la materia, impediscono un approccio sereno ed equilibrato alla stessa.</w:t>
      </w:r>
    </w:p>
    <w:p w:rsidR="001624CC" w:rsidRDefault="001624CC" w:rsidP="00F850CF">
      <w:pPr>
        <w:ind w:firstLine="426"/>
        <w:jc w:val="both"/>
        <w:rPr>
          <w:shd w:val="clear" w:color="auto" w:fill="FFFFFF"/>
        </w:rPr>
      </w:pPr>
      <w:r>
        <w:rPr>
          <w:shd w:val="clear" w:color="auto" w:fill="FFFFFF"/>
        </w:rPr>
        <w:t xml:space="preserve">La verità è che </w:t>
      </w:r>
      <w:r w:rsidR="00B421F0">
        <w:rPr>
          <w:shd w:val="clear" w:color="auto" w:fill="FFFFFF"/>
        </w:rPr>
        <w:t>il primo punto su cui un legislatore interessato a riformare la materia dovrebbe soffermarsi è la stessa definizione del concetto di cittadinanza. Ci si riferisce non tanto alla nozione tecnico-giuridica, sulla quale, essendo ormai lontani i tempi in cui si dibatteva della configurabilità della stessa come diritto soggettivo pubblico o come rapporto giuridico</w:t>
      </w:r>
      <w:r w:rsidR="00B421F0">
        <w:rPr>
          <w:rStyle w:val="Rimandonotaapidipagina"/>
          <w:shd w:val="clear" w:color="auto" w:fill="FFFFFF"/>
        </w:rPr>
        <w:footnoteReference w:id="37"/>
      </w:r>
      <w:r w:rsidR="00B421F0">
        <w:rPr>
          <w:shd w:val="clear" w:color="auto" w:fill="FFFFFF"/>
        </w:rPr>
        <w:t xml:space="preserve">, si registra un consenso abbastanza pacifico </w:t>
      </w:r>
      <w:r w:rsidR="006F0DD7">
        <w:rPr>
          <w:shd w:val="clear" w:color="auto" w:fill="FFFFFF"/>
        </w:rPr>
        <w:t>nel senso di definirla “</w:t>
      </w:r>
      <w:r w:rsidR="006F0DD7">
        <w:rPr>
          <w:i/>
          <w:shd w:val="clear" w:color="auto" w:fill="FFFFFF"/>
        </w:rPr>
        <w:t xml:space="preserve">una qualità, attribuita dalla legge, che indica l’appartenenza a uno Stato. A essa corrisponde un patrimonio variabile di diritti e doveri di matrice pubblica e costituzionale (uno </w:t>
      </w:r>
      <w:r w:rsidR="006F0DD7">
        <w:rPr>
          <w:shd w:val="clear" w:color="auto" w:fill="FFFFFF"/>
        </w:rPr>
        <w:t xml:space="preserve">status, </w:t>
      </w:r>
      <w:r w:rsidR="006F0DD7">
        <w:rPr>
          <w:i/>
          <w:shd w:val="clear" w:color="auto" w:fill="FFFFFF"/>
        </w:rPr>
        <w:t>come si suol dire</w:t>
      </w:r>
      <w:r w:rsidR="002C6B82">
        <w:rPr>
          <w:i/>
          <w:shd w:val="clear" w:color="auto" w:fill="FFFFFF"/>
        </w:rPr>
        <w:t>)</w:t>
      </w:r>
      <w:bookmarkStart w:id="0" w:name="_GoBack"/>
      <w:bookmarkEnd w:id="0"/>
      <w:r w:rsidR="006F0DD7">
        <w:rPr>
          <w:shd w:val="clear" w:color="auto" w:fill="FFFFFF"/>
        </w:rPr>
        <w:t>”</w:t>
      </w:r>
      <w:r w:rsidR="006F0DD7">
        <w:rPr>
          <w:rStyle w:val="Rimandonotaapidipagina"/>
          <w:shd w:val="clear" w:color="auto" w:fill="FFFFFF"/>
        </w:rPr>
        <w:footnoteReference w:id="38"/>
      </w:r>
      <w:r w:rsidR="006F0DD7">
        <w:rPr>
          <w:shd w:val="clear" w:color="auto" w:fill="FFFFFF"/>
        </w:rPr>
        <w:t>. In effetti, anche in dottrina la qualificazione, pur risalente</w:t>
      </w:r>
      <w:r w:rsidR="006F0DD7">
        <w:rPr>
          <w:rStyle w:val="Rimandonotaapidipagina"/>
          <w:shd w:val="clear" w:color="auto" w:fill="FFFFFF"/>
        </w:rPr>
        <w:footnoteReference w:id="39"/>
      </w:r>
      <w:r w:rsidR="006F0DD7">
        <w:rPr>
          <w:shd w:val="clear" w:color="auto" w:fill="FFFFFF"/>
        </w:rPr>
        <w:t xml:space="preserve">, della cittadinanza in termini di </w:t>
      </w:r>
      <w:r w:rsidR="006F0DD7">
        <w:rPr>
          <w:i/>
          <w:shd w:val="clear" w:color="auto" w:fill="FFFFFF"/>
        </w:rPr>
        <w:t xml:space="preserve">status, </w:t>
      </w:r>
      <w:r w:rsidR="006F0DD7">
        <w:rPr>
          <w:shd w:val="clear" w:color="auto" w:fill="FFFFFF"/>
        </w:rPr>
        <w:t xml:space="preserve">ossia di situazione giuridica che l’ordinamento riconosce unilateralmente sulla base di requisiti predefiniti e cui si riconnette una pluralità di situazioni di fatto o situazioni giuridiche, è considerata tuttora valida; ciò che è in crisi è il paradigma generale di tale qualificazione, e in particolare gli elementi (rapporto con la sovranità statuale, esclusività, soggezione permanente all’autorità dello Stato) su cui tale </w:t>
      </w:r>
      <w:r w:rsidR="006F0DD7">
        <w:rPr>
          <w:i/>
          <w:shd w:val="clear" w:color="auto" w:fill="FFFFFF"/>
        </w:rPr>
        <w:t xml:space="preserve">status </w:t>
      </w:r>
      <w:r w:rsidR="006F0DD7">
        <w:rPr>
          <w:shd w:val="clear" w:color="auto" w:fill="FFFFFF"/>
        </w:rPr>
        <w:t>tradizionalmente è stato costruito</w:t>
      </w:r>
      <w:r w:rsidR="006F0DD7">
        <w:rPr>
          <w:rStyle w:val="Rimandonotaapidipagina"/>
          <w:shd w:val="clear" w:color="auto" w:fill="FFFFFF"/>
        </w:rPr>
        <w:footnoteReference w:id="40"/>
      </w:r>
      <w:r w:rsidR="006F0DD7">
        <w:rPr>
          <w:shd w:val="clear" w:color="auto" w:fill="FFFFFF"/>
        </w:rPr>
        <w:t>.</w:t>
      </w:r>
    </w:p>
    <w:p w:rsidR="0007118D" w:rsidRDefault="0007118D" w:rsidP="00F850CF">
      <w:pPr>
        <w:ind w:firstLine="426"/>
        <w:jc w:val="both"/>
        <w:rPr>
          <w:shd w:val="clear" w:color="auto" w:fill="FFFFFF"/>
        </w:rPr>
      </w:pPr>
      <w:r>
        <w:rPr>
          <w:shd w:val="clear" w:color="auto" w:fill="FFFFFF"/>
        </w:rPr>
        <w:t xml:space="preserve">Può assumersi come ipotesi di lavoro che tale crisi della nozione di cittadinanza sia alla base delle difficoltà, come si è visto riscontrabili nella giurisprudenza amministrativa in materia, di individuare lo specifico interesse pubblico sotteso alla disciplina dei procedimenti di concessione della cittadinanza. </w:t>
      </w:r>
      <w:r w:rsidR="008E1137">
        <w:rPr>
          <w:shd w:val="clear" w:color="auto" w:fill="FFFFFF"/>
        </w:rPr>
        <w:t>Sotto questo profilo, se - come già anticipato - coglie nel segno la dottrina che evidenzia la genericità delle formule impiegate in molte decisioni per individuare tale interesse pubblico</w:t>
      </w:r>
      <w:r w:rsidR="008E1137">
        <w:rPr>
          <w:rStyle w:val="Rimandonotaapidipagina"/>
          <w:shd w:val="clear" w:color="auto" w:fill="FFFFFF"/>
        </w:rPr>
        <w:footnoteReference w:id="41"/>
      </w:r>
      <w:r w:rsidR="008E1137">
        <w:rPr>
          <w:shd w:val="clear" w:color="auto" w:fill="FFFFFF"/>
        </w:rPr>
        <w:t>, va rimarcato che sul piano costituzionale le scelte legislative in materia di cittadinanza sono sempre ricondotte alla nozione di sovranità dello Stato e in esse permane a tutt’oggi, ancorché indebolito, il fondamento territoriale della nozione (cioè a dire, il suo ancoraggio a una particolare “</w:t>
      </w:r>
      <w:r w:rsidR="008E1137">
        <w:rPr>
          <w:i/>
          <w:shd w:val="clear" w:color="auto" w:fill="FFFFFF"/>
        </w:rPr>
        <w:t>localizzazione</w:t>
      </w:r>
      <w:r w:rsidR="008E1137">
        <w:rPr>
          <w:shd w:val="clear" w:color="auto" w:fill="FFFFFF"/>
        </w:rPr>
        <w:t>”) che ne determina il carattere di “</w:t>
      </w:r>
      <w:r w:rsidR="008E1137">
        <w:rPr>
          <w:i/>
          <w:shd w:val="clear" w:color="auto" w:fill="FFFFFF"/>
        </w:rPr>
        <w:t>esclusività</w:t>
      </w:r>
      <w:r w:rsidR="008E1137">
        <w:rPr>
          <w:shd w:val="clear" w:color="auto" w:fill="FFFFFF"/>
        </w:rPr>
        <w:t>”</w:t>
      </w:r>
      <w:r w:rsidR="008E1137">
        <w:rPr>
          <w:rStyle w:val="Rimandonotaapidipagina"/>
          <w:shd w:val="clear" w:color="auto" w:fill="FFFFFF"/>
        </w:rPr>
        <w:footnoteReference w:id="42"/>
      </w:r>
      <w:r w:rsidR="008E1137">
        <w:rPr>
          <w:shd w:val="clear" w:color="auto" w:fill="FFFFFF"/>
        </w:rPr>
        <w:t xml:space="preserve">. Al tempo stesso, va ribadito che è scarsamente rilevante la questione, su cui la dottrina dianzi richiamata insiste, se l’interesse pubblico </w:t>
      </w:r>
      <w:r w:rsidR="008E1137">
        <w:rPr>
          <w:i/>
          <w:shd w:val="clear" w:color="auto" w:fill="FFFFFF"/>
        </w:rPr>
        <w:t xml:space="preserve">de quo </w:t>
      </w:r>
      <w:r w:rsidR="008E1137">
        <w:rPr>
          <w:shd w:val="clear" w:color="auto" w:fill="FFFFFF"/>
        </w:rPr>
        <w:t>(quali che ne siano i connotati) sia individuato e conformato una volta per tutte dal legislatore ovvero sia destinato a essere oggetto d</w:t>
      </w:r>
      <w:r w:rsidR="001A28C0">
        <w:rPr>
          <w:shd w:val="clear" w:color="auto" w:fill="FFFFFF"/>
        </w:rPr>
        <w:t>i</w:t>
      </w:r>
      <w:r w:rsidR="008E1137">
        <w:rPr>
          <w:shd w:val="clear" w:color="auto" w:fill="FFFFFF"/>
        </w:rPr>
        <w:t xml:space="preserve"> ponderazione da parte dell’amministrazione chiamata a pronunciarsi sulle specifiche istanze di concessione della cittadinanza: dovendo al riguardo richiamarsi quanto già osservato, oltre a quanto ulteriormente si dirà, in ordine alla immanenza</w:t>
      </w:r>
      <w:r w:rsidR="00F4125B">
        <w:rPr>
          <w:shd w:val="clear" w:color="auto" w:fill="FFFFFF"/>
        </w:rPr>
        <w:t xml:space="preserve"> in tutti i casi</w:t>
      </w:r>
      <w:r w:rsidR="008E1137">
        <w:rPr>
          <w:shd w:val="clear" w:color="auto" w:fill="FFFFFF"/>
        </w:rPr>
        <w:t xml:space="preserve"> </w:t>
      </w:r>
      <w:r w:rsidR="00F4125B">
        <w:rPr>
          <w:shd w:val="clear" w:color="auto" w:fill="FFFFFF"/>
        </w:rPr>
        <w:t>del potere pubblico alle operazioni accertative o valutative compiute.</w:t>
      </w:r>
    </w:p>
    <w:p w:rsidR="00633A5F" w:rsidRDefault="00633A5F" w:rsidP="00F850CF">
      <w:pPr>
        <w:ind w:firstLine="426"/>
        <w:jc w:val="both"/>
        <w:rPr>
          <w:shd w:val="clear" w:color="auto" w:fill="FFFFFF"/>
        </w:rPr>
      </w:pPr>
      <w:r>
        <w:rPr>
          <w:shd w:val="clear" w:color="auto" w:fill="FFFFFF"/>
        </w:rPr>
        <w:t>Il tema è estremamente complesso, e il suo approfondimento condurrebbe troppo lontano. In questa sede, basterà rilevare come il legislatore del 1992</w:t>
      </w:r>
      <w:r w:rsidR="009A53D4">
        <w:rPr>
          <w:shd w:val="clear" w:color="auto" w:fill="FFFFFF"/>
        </w:rPr>
        <w:t xml:space="preserve"> si è mostrato ancora fortemente condizionato dalla tradizione, e segnatamente dalla concezione dello </w:t>
      </w:r>
      <w:r w:rsidR="009A53D4">
        <w:rPr>
          <w:i/>
          <w:shd w:val="clear" w:color="auto" w:fill="FFFFFF"/>
        </w:rPr>
        <w:t xml:space="preserve">status civitatis </w:t>
      </w:r>
      <w:r w:rsidR="009A53D4">
        <w:rPr>
          <w:shd w:val="clear" w:color="auto" w:fill="FFFFFF"/>
        </w:rPr>
        <w:t xml:space="preserve">che permeava la precedente legge sulla cittadinanza (l. 13 giugno 1912, n. 555), allorché ha imperniato la disciplina su criteri di acquisto della cittadinanza – </w:t>
      </w:r>
      <w:r w:rsidR="009A53D4">
        <w:rPr>
          <w:i/>
          <w:shd w:val="clear" w:color="auto" w:fill="FFFFFF"/>
        </w:rPr>
        <w:t xml:space="preserve">in primis, </w:t>
      </w:r>
      <w:r w:rsidR="009A53D4">
        <w:rPr>
          <w:shd w:val="clear" w:color="auto" w:fill="FFFFFF"/>
        </w:rPr>
        <w:t xml:space="preserve">quello dello </w:t>
      </w:r>
      <w:r w:rsidR="009A53D4">
        <w:rPr>
          <w:i/>
          <w:shd w:val="clear" w:color="auto" w:fill="FFFFFF"/>
        </w:rPr>
        <w:t xml:space="preserve">ius sanguinis </w:t>
      </w:r>
      <w:r w:rsidR="009A53D4">
        <w:rPr>
          <w:shd w:val="clear" w:color="auto" w:fill="FFFFFF"/>
        </w:rPr>
        <w:t>– non solo poco inclusivi, ma echeggianti una concezione “</w:t>
      </w:r>
      <w:r w:rsidR="009A53D4" w:rsidRPr="009A53D4">
        <w:rPr>
          <w:shd w:val="clear" w:color="auto" w:fill="FFFFFF"/>
        </w:rPr>
        <w:t>ontologica</w:t>
      </w:r>
      <w:r w:rsidR="009A53D4">
        <w:rPr>
          <w:shd w:val="clear" w:color="auto" w:fill="FFFFFF"/>
        </w:rPr>
        <w:t xml:space="preserve">” della cittadinanza, in virtù della quale la mera appartenenza alla comunità politica per ragioni familiari e territoriali comporterebbe perciò solo il possesso delle virtù civiche che rendono meritevoli del possesso della cittadinanza. Al contrario, appare </w:t>
      </w:r>
      <w:r w:rsidR="009A53D4">
        <w:rPr>
          <w:shd w:val="clear" w:color="auto" w:fill="FFFFFF"/>
        </w:rPr>
        <w:lastRenderedPageBreak/>
        <w:t>condivisibile la posizione di chi</w:t>
      </w:r>
      <w:r w:rsidR="009A53D4">
        <w:rPr>
          <w:rStyle w:val="Rimandonotaapidipagina"/>
          <w:shd w:val="clear" w:color="auto" w:fill="FFFFFF"/>
        </w:rPr>
        <w:footnoteReference w:id="43"/>
      </w:r>
      <w:r w:rsidR="009A53D4">
        <w:rPr>
          <w:shd w:val="clear" w:color="auto" w:fill="FFFFFF"/>
        </w:rPr>
        <w:t xml:space="preserve">, muovendo dalla necessità di adottare una nozione sostanziale di cittadinanza (ossia legata all’effettività della partecipazione alla vita democratica e del dovere di fedeltà alla Repubblica) e dall’esigenza che questa sia non ontologica ma normativa, nel senso che sia la legge a dettare i criteri e parametri per l’acquisto dello </w:t>
      </w:r>
      <w:r w:rsidR="009A53D4">
        <w:rPr>
          <w:i/>
          <w:shd w:val="clear" w:color="auto" w:fill="FFFFFF"/>
        </w:rPr>
        <w:t xml:space="preserve">status </w:t>
      </w:r>
      <w:r w:rsidR="009A53D4">
        <w:rPr>
          <w:shd w:val="clear" w:color="auto" w:fill="FFFFFF"/>
        </w:rPr>
        <w:t xml:space="preserve">in questione, evidenzia come una legislazione moderna in materia dovrebbe essere ispirata dal principio personalistico che permea tutta la nostra Costituzione, e che induce a </w:t>
      </w:r>
      <w:r w:rsidR="00437BAB">
        <w:rPr>
          <w:shd w:val="clear" w:color="auto" w:fill="FFFFFF"/>
        </w:rPr>
        <w:t>valorizzare i diritti fondamentali delle persone in quanto tali e non avendo riguardo al dato formale della loro appartenenza (o meno) alla comunità dei cittadini</w:t>
      </w:r>
      <w:r w:rsidR="00437BAB">
        <w:rPr>
          <w:rStyle w:val="Rimandonotaapidipagina"/>
          <w:shd w:val="clear" w:color="auto" w:fill="FFFFFF"/>
        </w:rPr>
        <w:footnoteReference w:id="44"/>
      </w:r>
      <w:r w:rsidR="00437BAB">
        <w:rPr>
          <w:shd w:val="clear" w:color="auto" w:fill="FFFFFF"/>
        </w:rPr>
        <w:t>.</w:t>
      </w:r>
    </w:p>
    <w:p w:rsidR="00437BAB" w:rsidRDefault="00437BAB" w:rsidP="00F850CF">
      <w:pPr>
        <w:ind w:firstLine="426"/>
        <w:jc w:val="both"/>
        <w:rPr>
          <w:shd w:val="clear" w:color="auto" w:fill="FFFFFF"/>
        </w:rPr>
      </w:pPr>
      <w:r>
        <w:rPr>
          <w:shd w:val="clear" w:color="auto" w:fill="FFFFFF"/>
        </w:rPr>
        <w:t>In tale prospettiva, l’acquisto</w:t>
      </w:r>
      <w:r w:rsidR="001A28C0">
        <w:rPr>
          <w:shd w:val="clear" w:color="auto" w:fill="FFFFFF"/>
        </w:rPr>
        <w:t xml:space="preserve"> della cittadinanza</w:t>
      </w:r>
      <w:r>
        <w:rPr>
          <w:shd w:val="clear" w:color="auto" w:fill="FFFFFF"/>
        </w:rPr>
        <w:t xml:space="preserve"> dovrebbe essere inteso non come il punto di approdo, ma come una tappa di un percorso di integrazione dello straniero finalizzato a renderlo sempre più partecipe della vita della comunità statuale, facendogli percepire il più possibile come “proprio” il contesto sociale e culturale in cui si è radicato. In altri termini, il dovere di fedeltà alla Repubblica sancito dall’articolo 54 della Costituzione dovrebbe essere inteso non tanto come riferibile ai soli “</w:t>
      </w:r>
      <w:r>
        <w:rPr>
          <w:i/>
          <w:shd w:val="clear" w:color="auto" w:fill="FFFFFF"/>
        </w:rPr>
        <w:t>cittadini</w:t>
      </w:r>
      <w:r>
        <w:rPr>
          <w:shd w:val="clear" w:color="auto" w:fill="FFFFFF"/>
        </w:rPr>
        <w:t xml:space="preserve">” (come il dato testuale induce a ritenere), quanto come destinato a sancire gli effetti di una cittadinanza formale, come tale riconosciuta in capo a coloro che rispondono ai requisiti prescritti dalla legge e che, per lo straniero che accede alla comunità statuale, segna la transizione a tale </w:t>
      </w:r>
      <w:r>
        <w:rPr>
          <w:i/>
          <w:shd w:val="clear" w:color="auto" w:fill="FFFFFF"/>
        </w:rPr>
        <w:t xml:space="preserve">status </w:t>
      </w:r>
      <w:r>
        <w:rPr>
          <w:shd w:val="clear" w:color="auto" w:fill="FFFFFF"/>
        </w:rPr>
        <w:t>formale provenendo da una cittadinanza sostanziale già posseduta. In una tale cornice, la disciplina della naturalizzazione, anche qualora si ritenesse di non abbandonare il tradizionale schema della “</w:t>
      </w:r>
      <w:r>
        <w:rPr>
          <w:i/>
          <w:shd w:val="clear" w:color="auto" w:fill="FFFFFF"/>
        </w:rPr>
        <w:t>concessione</w:t>
      </w:r>
      <w:r>
        <w:rPr>
          <w:shd w:val="clear" w:color="auto" w:fill="FFFFFF"/>
        </w:rPr>
        <w:t>”</w:t>
      </w:r>
      <w:r>
        <w:rPr>
          <w:rStyle w:val="Rimandonotaapidipagina"/>
          <w:shd w:val="clear" w:color="auto" w:fill="FFFFFF"/>
        </w:rPr>
        <w:footnoteReference w:id="45"/>
      </w:r>
      <w:r>
        <w:rPr>
          <w:shd w:val="clear" w:color="auto" w:fill="FFFFFF"/>
        </w:rPr>
        <w:t>, dovrebbe essere costruita in modo da favorire l’aspirazione dello straniero a completare tale transizione, se del caso</w:t>
      </w:r>
      <w:r w:rsidR="00BF32B3">
        <w:rPr>
          <w:shd w:val="clear" w:color="auto" w:fill="FFFFFF"/>
        </w:rPr>
        <w:t xml:space="preserve"> introducendo previsioni intese ad alimentare in questi un senso di appartenenza e di comunanza anche prima dell’acquisizione formale dello </w:t>
      </w:r>
      <w:r w:rsidR="00BF32B3">
        <w:rPr>
          <w:i/>
          <w:shd w:val="clear" w:color="auto" w:fill="FFFFFF"/>
        </w:rPr>
        <w:t xml:space="preserve">status </w:t>
      </w:r>
      <w:r w:rsidR="00BF32B3">
        <w:rPr>
          <w:shd w:val="clear" w:color="auto" w:fill="FFFFFF"/>
        </w:rPr>
        <w:t>di cittadino, per quanto ciò possa porre problemi di non poco momento</w:t>
      </w:r>
      <w:r w:rsidR="00BF32B3">
        <w:rPr>
          <w:rStyle w:val="Rimandonotaapidipagina"/>
          <w:shd w:val="clear" w:color="auto" w:fill="FFFFFF"/>
        </w:rPr>
        <w:footnoteReference w:id="46"/>
      </w:r>
      <w:r w:rsidR="00BF32B3">
        <w:rPr>
          <w:shd w:val="clear" w:color="auto" w:fill="FFFFFF"/>
        </w:rPr>
        <w:t>.</w:t>
      </w:r>
    </w:p>
    <w:p w:rsidR="00BF32B3" w:rsidRDefault="00BF32B3" w:rsidP="00F850CF">
      <w:pPr>
        <w:ind w:firstLine="426"/>
        <w:jc w:val="both"/>
        <w:rPr>
          <w:shd w:val="clear" w:color="auto" w:fill="FFFFFF"/>
        </w:rPr>
      </w:pPr>
      <w:r>
        <w:rPr>
          <w:shd w:val="clear" w:color="auto" w:fill="FFFFFF"/>
        </w:rPr>
        <w:t xml:space="preserve">In un contesto come quello descritto, le stesse procedure di naturalizzazione dovrebbero mutare profondamente la propria fisionomia, abbandonando l’idea della loro preordinazione alla “ammissione” di un soggetto estraneo </w:t>
      </w:r>
      <w:r w:rsidR="001A28C0">
        <w:rPr>
          <w:shd w:val="clear" w:color="auto" w:fill="FFFFFF"/>
        </w:rPr>
        <w:t>in</w:t>
      </w:r>
      <w:r>
        <w:rPr>
          <w:shd w:val="clear" w:color="auto" w:fill="FFFFFF"/>
        </w:rPr>
        <w:t xml:space="preserve"> una comunità tendenzialmente escludente per trasformarsi nella pratica attuazione di una visione della comunità politica </w:t>
      </w:r>
      <w:r w:rsidR="004D0884">
        <w:rPr>
          <w:shd w:val="clear" w:color="auto" w:fill="FFFFFF"/>
        </w:rPr>
        <w:t xml:space="preserve">inclusiva e aperta alla contaminazione, pur senza rinunciare alla salvaguardia del “nucleo” forte dei valori fondanti la comunità stessa. Ne discenderebbe l’impossibilità del permanere di pozioni normative improntate alla discriminazione tra cittadini e stranieri, finanche dopo che questi ultimi abbiano acquistato la cittadinanza: opzioni delle quali anche la legislazione recente ci ha fornito triste esperienza, come dimostra l’ipotesi di perdita della cittadinanza in conseguenza della commissione di determinati reati, prevista per i soli stranieri che la abbiano acquisita </w:t>
      </w:r>
      <w:r w:rsidR="004D0884">
        <w:rPr>
          <w:i/>
          <w:shd w:val="clear" w:color="auto" w:fill="FFFFFF"/>
        </w:rPr>
        <w:t xml:space="preserve">ex </w:t>
      </w:r>
      <w:r w:rsidR="004D0884">
        <w:rPr>
          <w:shd w:val="clear" w:color="auto" w:fill="FFFFFF"/>
        </w:rPr>
        <w:t>articoli 4, comma 2, 5 e 9 della l. n. 91/1992 dall’articolo 14 del decreto-legge 4 ottobre 2018, n. 113, convertito, con modificazioni, dalla legge 1 dicembre 2018, n. 132 (disposizione della quale non casualmente si adombra il contrasto con plurime norme costituzionali)</w:t>
      </w:r>
      <w:r w:rsidR="004D0884">
        <w:rPr>
          <w:rStyle w:val="Rimandonotaapidipagina"/>
          <w:shd w:val="clear" w:color="auto" w:fill="FFFFFF"/>
        </w:rPr>
        <w:footnoteReference w:id="47"/>
      </w:r>
      <w:r w:rsidR="004D0884">
        <w:rPr>
          <w:shd w:val="clear" w:color="auto" w:fill="FFFFFF"/>
        </w:rPr>
        <w:t>.</w:t>
      </w:r>
    </w:p>
    <w:p w:rsidR="004D0884" w:rsidRDefault="004D0884" w:rsidP="00F850CF">
      <w:pPr>
        <w:ind w:firstLine="426"/>
        <w:jc w:val="both"/>
        <w:rPr>
          <w:shd w:val="clear" w:color="auto" w:fill="FFFFFF"/>
        </w:rPr>
      </w:pPr>
      <w:r>
        <w:rPr>
          <w:shd w:val="clear" w:color="auto" w:fill="FFFFFF"/>
        </w:rPr>
        <w:t xml:space="preserve">Può dubitarsi, forse fondatamente, che scelte legislative di questo tipo possano essere compiute nell’attuale contesto storico e politico. </w:t>
      </w:r>
      <w:r w:rsidR="00FF117E">
        <w:rPr>
          <w:shd w:val="clear" w:color="auto" w:fill="FFFFFF"/>
        </w:rPr>
        <w:t xml:space="preserve">Sia come sia, le peculiarità che si sono evidenziate nella più recente giurisprudenza amministrativa possono essere di ausilio nello sviluppo di questa “nuova” sensibilità e nell’adozione delle conseguenti scelte normative: che i concetti esposti siano già pienamente assimilati dal giudice amministrativo è evidente non soltanto per il modo con cui esso, sotto la spinta del diritto europeo e del costituzionalismo multilivello, ha da tempo valorizzato le esigenze di tutela dei diritti fondamentali dello straniero (indipendentemente quindi da quale sia la sua nazionalità), e nemmeno per l’interpretazione evolutiva che già da tempo ha dato delle previsioni </w:t>
      </w:r>
      <w:r w:rsidR="00FF117E">
        <w:rPr>
          <w:shd w:val="clear" w:color="auto" w:fill="FFFFFF"/>
        </w:rPr>
        <w:lastRenderedPageBreak/>
        <w:t>costituzionali in tema di accesso degli stranieri agli impieghi pubblici</w:t>
      </w:r>
      <w:r w:rsidR="00FF117E">
        <w:rPr>
          <w:rStyle w:val="Rimandonotaapidipagina"/>
          <w:shd w:val="clear" w:color="auto" w:fill="FFFFFF"/>
        </w:rPr>
        <w:footnoteReference w:id="48"/>
      </w:r>
      <w:r w:rsidR="00FF117E">
        <w:rPr>
          <w:shd w:val="clear" w:color="auto" w:fill="FFFFFF"/>
        </w:rPr>
        <w:t xml:space="preserve">, ma anche – e soprattutto </w:t>
      </w:r>
      <w:r w:rsidR="00442FC0">
        <w:rPr>
          <w:shd w:val="clear" w:color="auto" w:fill="FFFFFF"/>
        </w:rPr>
        <w:t>–</w:t>
      </w:r>
      <w:r w:rsidR="00FF117E">
        <w:rPr>
          <w:shd w:val="clear" w:color="auto" w:fill="FFFFFF"/>
        </w:rPr>
        <w:t xml:space="preserve"> </w:t>
      </w:r>
      <w:r w:rsidR="00442FC0">
        <w:rPr>
          <w:shd w:val="clear" w:color="auto" w:fill="FFFFFF"/>
        </w:rPr>
        <w:t>per quell’opera di integrazione della fattispecie e di approfondita verifica della ragionevolezza delle valutazioni compiute dall’amministrazione che si è descritta al paragrafo precedente e nella quale, oltre a sostanziarsi il pieno accesso al fatto che ormai connota anche la giurisdizione amministrativa di legittimità</w:t>
      </w:r>
      <w:r w:rsidR="00442FC0">
        <w:rPr>
          <w:rStyle w:val="Rimandonotaapidipagina"/>
          <w:shd w:val="clear" w:color="auto" w:fill="FFFFFF"/>
        </w:rPr>
        <w:footnoteReference w:id="49"/>
      </w:r>
      <w:r w:rsidR="00442FC0">
        <w:rPr>
          <w:shd w:val="clear" w:color="auto" w:fill="FFFFFF"/>
        </w:rPr>
        <w:t xml:space="preserve">, si </w:t>
      </w:r>
      <w:r w:rsidR="001A28C0">
        <w:rPr>
          <w:shd w:val="clear" w:color="auto" w:fill="FFFFFF"/>
        </w:rPr>
        <w:t>i</w:t>
      </w:r>
      <w:r w:rsidR="00442FC0">
        <w:rPr>
          <w:shd w:val="clear" w:color="auto" w:fill="FFFFFF"/>
        </w:rPr>
        <w:t>nvera</w:t>
      </w:r>
      <w:r w:rsidR="001A28C0">
        <w:rPr>
          <w:shd w:val="clear" w:color="auto" w:fill="FFFFFF"/>
        </w:rPr>
        <w:t xml:space="preserve">no </w:t>
      </w:r>
      <w:r w:rsidR="00442FC0">
        <w:rPr>
          <w:shd w:val="clear" w:color="auto" w:fill="FFFFFF"/>
        </w:rPr>
        <w:t>i reali interessi pubblicistici sottesi all’esercizio del potere sovrano di ampliare il numero dei membri della comunità statuale.</w:t>
      </w:r>
    </w:p>
    <w:p w:rsidR="00317049" w:rsidRDefault="00442FC0" w:rsidP="00F850CF">
      <w:pPr>
        <w:ind w:firstLine="426"/>
        <w:jc w:val="both"/>
        <w:rPr>
          <w:shd w:val="clear" w:color="auto" w:fill="FFFFFF"/>
        </w:rPr>
      </w:pPr>
      <w:r>
        <w:rPr>
          <w:shd w:val="clear" w:color="auto" w:fill="FFFFFF"/>
        </w:rPr>
        <w:t>In tale prospettiva, può essere recuperate l’intuizione di quella dottrina</w:t>
      </w:r>
      <w:r>
        <w:rPr>
          <w:rStyle w:val="Rimandonotaapidipagina"/>
          <w:shd w:val="clear" w:color="auto" w:fill="FFFFFF"/>
        </w:rPr>
        <w:footnoteReference w:id="50"/>
      </w:r>
      <w:r>
        <w:rPr>
          <w:shd w:val="clear" w:color="auto" w:fill="FFFFFF"/>
        </w:rPr>
        <w:t xml:space="preserve"> che ha </w:t>
      </w:r>
      <w:r w:rsidR="00136A33">
        <w:rPr>
          <w:shd w:val="clear" w:color="auto" w:fill="FFFFFF"/>
        </w:rPr>
        <w:t xml:space="preserve">sostenuto sulla scorta di solidi argomenti come non possa parlarsi di discrezionalità, nel senso proprio di ponderazione degli interessi pubblici e privati implicati nelle determinazioni da assumere, con riferimento alle attività di accertamento e valutative compiute dall’amministrazione nelle procedure </w:t>
      </w:r>
      <w:r w:rsidR="00136A33">
        <w:rPr>
          <w:i/>
          <w:shd w:val="clear" w:color="auto" w:fill="FFFFFF"/>
        </w:rPr>
        <w:t xml:space="preserve">ex </w:t>
      </w:r>
      <w:r w:rsidR="00136A33">
        <w:rPr>
          <w:shd w:val="clear" w:color="auto" w:fill="FFFFFF"/>
        </w:rPr>
        <w:t>articolo 9, l. n. 91/1992. Pur non essendo condivisibili – come si è visto – le conclusioni che essa ne trae sul piano del riparto della giurisdizione, e forse ancor meno i dubbi di compatibilità del sistema con il principio di legalità</w:t>
      </w:r>
      <w:r w:rsidR="00136A33">
        <w:rPr>
          <w:rStyle w:val="Rimandonotaapidipagina"/>
          <w:shd w:val="clear" w:color="auto" w:fill="FFFFFF"/>
        </w:rPr>
        <w:footnoteReference w:id="51"/>
      </w:r>
      <w:r w:rsidR="00136A33">
        <w:rPr>
          <w:shd w:val="clear" w:color="auto" w:fill="FFFFFF"/>
        </w:rPr>
        <w:t xml:space="preserve">, </w:t>
      </w:r>
      <w:r w:rsidR="001A28C0">
        <w:rPr>
          <w:shd w:val="clear" w:color="auto" w:fill="FFFFFF"/>
        </w:rPr>
        <w:t>gli argomenti</w:t>
      </w:r>
      <w:r w:rsidR="00136A33">
        <w:rPr>
          <w:shd w:val="clear" w:color="auto" w:fill="FFFFFF"/>
        </w:rPr>
        <w:t xml:space="preserve"> </w:t>
      </w:r>
      <w:r w:rsidR="001A28C0">
        <w:rPr>
          <w:shd w:val="clear" w:color="auto" w:fill="FFFFFF"/>
        </w:rPr>
        <w:t xml:space="preserve">sviluppati </w:t>
      </w:r>
      <w:r w:rsidR="00136A33">
        <w:rPr>
          <w:shd w:val="clear" w:color="auto" w:fill="FFFFFF"/>
        </w:rPr>
        <w:t xml:space="preserve">da questa tesi sembrano trovare conforto proprio nella giurisprudenza amministrativa, </w:t>
      </w:r>
      <w:r w:rsidR="001A28C0">
        <w:rPr>
          <w:shd w:val="clear" w:color="auto" w:fill="FFFFFF"/>
        </w:rPr>
        <w:t>la qual</w:t>
      </w:r>
      <w:r w:rsidR="00136A33">
        <w:rPr>
          <w:shd w:val="clear" w:color="auto" w:fill="FFFFFF"/>
        </w:rPr>
        <w:t xml:space="preserve">e con tutta evidenza interpreta il proprio ruolo in questi casi, più </w:t>
      </w:r>
      <w:r w:rsidR="00317049">
        <w:rPr>
          <w:shd w:val="clear" w:color="auto" w:fill="FFFFFF"/>
        </w:rPr>
        <w:t xml:space="preserve">che </w:t>
      </w:r>
      <w:r w:rsidR="00136A33">
        <w:rPr>
          <w:shd w:val="clear" w:color="auto" w:fill="FFFFFF"/>
        </w:rPr>
        <w:t xml:space="preserve">come </w:t>
      </w:r>
      <w:r w:rsidR="00317049">
        <w:rPr>
          <w:shd w:val="clear" w:color="auto" w:fill="FFFFFF"/>
        </w:rPr>
        <w:t>controllo del corretto esercizio di un potere discrezionale, come verifica della congrua e ragionevole integrazione degli elementi normativi rispetto alla concreta fattispecie esaminata, a pieno titolo rientrante nella cognizione del fatto: sia pure con le precisazioni che si sono fatte circa il carattere (anche) valutativo delle operazioni che ciò comporta e gli effetti costitutivi del potere amministrativo così esercitato.</w:t>
      </w:r>
    </w:p>
    <w:p w:rsidR="00442FC0" w:rsidRDefault="00317049" w:rsidP="00F850CF">
      <w:pPr>
        <w:ind w:firstLine="426"/>
        <w:jc w:val="both"/>
        <w:rPr>
          <w:shd w:val="clear" w:color="auto" w:fill="FFFFFF"/>
        </w:rPr>
      </w:pPr>
      <w:r>
        <w:rPr>
          <w:shd w:val="clear" w:color="auto" w:fill="FFFFFF"/>
        </w:rPr>
        <w:t>Così stando le cose, potrebbe essere forse venuto il tempo non solo di rivedere criticamente, quanto meno al fine di precisarne meglio i contorni, il tralaticio riferimento alla “</w:t>
      </w:r>
      <w:r>
        <w:rPr>
          <w:i/>
          <w:shd w:val="clear" w:color="auto" w:fill="FFFFFF"/>
        </w:rPr>
        <w:t>ampia discrezionalità</w:t>
      </w:r>
      <w:r>
        <w:rPr>
          <w:shd w:val="clear" w:color="auto" w:fill="FFFFFF"/>
        </w:rPr>
        <w:t>” dell’amministrazione che si rinviene in molta parte delle decisioni in materia, ma anche di abbandonare definitivamente il richiamo ad un “</w:t>
      </w:r>
      <w:r>
        <w:rPr>
          <w:i/>
          <w:shd w:val="clear" w:color="auto" w:fill="FFFFFF"/>
        </w:rPr>
        <w:t>apprezzamento di opportunità</w:t>
      </w:r>
      <w:r>
        <w:rPr>
          <w:shd w:val="clear" w:color="auto" w:fill="FFFFFF"/>
        </w:rPr>
        <w:t xml:space="preserve">”, che pure continua a comparire in </w:t>
      </w:r>
      <w:r w:rsidR="001A28C0">
        <w:rPr>
          <w:shd w:val="clear" w:color="auto" w:fill="FFFFFF"/>
        </w:rPr>
        <w:t>molt</w:t>
      </w:r>
      <w:r>
        <w:rPr>
          <w:shd w:val="clear" w:color="auto" w:fill="FFFFFF"/>
        </w:rPr>
        <w:t>e decisioni</w:t>
      </w:r>
      <w:r>
        <w:rPr>
          <w:rStyle w:val="Rimandonotaapidipagina"/>
          <w:shd w:val="clear" w:color="auto" w:fill="FFFFFF"/>
        </w:rPr>
        <w:footnoteReference w:id="52"/>
      </w:r>
      <w:r>
        <w:rPr>
          <w:shd w:val="clear" w:color="auto" w:fill="FFFFFF"/>
        </w:rPr>
        <w:t xml:space="preserve">, e che sembra </w:t>
      </w:r>
      <w:r w:rsidR="00897885">
        <w:rPr>
          <w:shd w:val="clear" w:color="auto" w:fill="FFFFFF"/>
        </w:rPr>
        <w:t>suggerire l’esistenza di una valutazione di merito politica della quale – sinceramente – si fatica a rinvenire traccia nello stesso, pur inadeguato, paradigma normativo.</w:t>
      </w:r>
    </w:p>
    <w:p w:rsidR="00897885" w:rsidRPr="00317049" w:rsidRDefault="00897885" w:rsidP="00F850CF">
      <w:pPr>
        <w:ind w:firstLine="426"/>
        <w:jc w:val="both"/>
      </w:pPr>
      <w:r>
        <w:rPr>
          <w:shd w:val="clear" w:color="auto" w:fill="FFFFFF"/>
        </w:rPr>
        <w:t xml:space="preserve">Se dunque la giurisprudenza saprà proseguire la propria evoluzione lungo la direttrice che si è indicata, ciò potrebbe portare all’elaborazione di un vero e proprio sistema di parametri </w:t>
      </w:r>
      <w:proofErr w:type="gramStart"/>
      <w:r>
        <w:rPr>
          <w:shd w:val="clear" w:color="auto" w:fill="FFFFFF"/>
        </w:rPr>
        <w:t>e “</w:t>
      </w:r>
      <w:proofErr w:type="gramEnd"/>
      <w:r>
        <w:rPr>
          <w:shd w:val="clear" w:color="auto" w:fill="FFFFFF"/>
        </w:rPr>
        <w:t>paletti” i quali, a loro volta, potrebbero rivelarsi utili – in un futuro più o meno vicino – per un legislatore illuminato che ritenga di dover dare alla materia una disciplina moderna e maggiormente in linea con i principi e valori costituzionali di riferimento.</w:t>
      </w:r>
    </w:p>
    <w:sectPr w:rsidR="00897885" w:rsidRPr="00317049">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B1A" w:rsidRDefault="00193B1A" w:rsidP="007907C9">
      <w:r>
        <w:separator/>
      </w:r>
    </w:p>
  </w:endnote>
  <w:endnote w:type="continuationSeparator" w:id="0">
    <w:p w:rsidR="00193B1A" w:rsidRDefault="00193B1A" w:rsidP="00790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885" w:rsidRDefault="0089788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68702"/>
      <w:docPartObj>
        <w:docPartGallery w:val="Page Numbers (Bottom of Page)"/>
        <w:docPartUnique/>
      </w:docPartObj>
    </w:sdtPr>
    <w:sdtEndPr/>
    <w:sdtContent>
      <w:p w:rsidR="00897885" w:rsidRDefault="00897885">
        <w:pPr>
          <w:pStyle w:val="Pidipagina"/>
        </w:pPr>
        <w:r>
          <w:fldChar w:fldCharType="begin"/>
        </w:r>
        <w:r>
          <w:instrText>PAGE   \* MERGEFORMAT</w:instrText>
        </w:r>
        <w:r>
          <w:fldChar w:fldCharType="separate"/>
        </w:r>
        <w:r w:rsidR="002C6B82">
          <w:rPr>
            <w:noProof/>
          </w:rPr>
          <w:t>9</w:t>
        </w:r>
        <w:r>
          <w:fldChar w:fldCharType="end"/>
        </w:r>
      </w:p>
    </w:sdtContent>
  </w:sdt>
  <w:p w:rsidR="00897885" w:rsidRDefault="0089788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885" w:rsidRDefault="0089788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B1A" w:rsidRDefault="00193B1A" w:rsidP="007907C9">
      <w:r>
        <w:separator/>
      </w:r>
    </w:p>
  </w:footnote>
  <w:footnote w:type="continuationSeparator" w:id="0">
    <w:p w:rsidR="00193B1A" w:rsidRDefault="00193B1A" w:rsidP="007907C9">
      <w:r>
        <w:continuationSeparator/>
      </w:r>
    </w:p>
  </w:footnote>
  <w:footnote w:id="1">
    <w:p w:rsidR="00B83430" w:rsidRPr="00B83430" w:rsidRDefault="00B83430" w:rsidP="00B83430">
      <w:pPr>
        <w:pStyle w:val="Testonotaapidipagina"/>
        <w:jc w:val="both"/>
      </w:pPr>
      <w:r w:rsidRPr="00B83430">
        <w:rPr>
          <w:rStyle w:val="Rimandonotaapidipagina"/>
        </w:rPr>
        <w:sym w:font="Symbol" w:char="F02A"/>
      </w:r>
      <w:r>
        <w:t xml:space="preserve"> Il presente contributo sviluppa gli argomenti trattati nell’intervento tenuto al Corso di formazione “</w:t>
      </w:r>
      <w:r>
        <w:rPr>
          <w:i/>
        </w:rPr>
        <w:t>La cittadinanza e le cittadinanze: spunti di riflessione</w:t>
      </w:r>
      <w:r>
        <w:t>”, organizzato dalla Scuola Superiore della Magistratura e tenutosi a Napoli, Castel Capuano, dal 22 al 24 settembre 2025.</w:t>
      </w:r>
    </w:p>
  </w:footnote>
  <w:footnote w:id="2">
    <w:p w:rsidR="007907C9" w:rsidRPr="00E876D0" w:rsidRDefault="007907C9" w:rsidP="007907C9">
      <w:pPr>
        <w:pStyle w:val="Testonotaapidipagina"/>
        <w:jc w:val="both"/>
      </w:pPr>
      <w:r>
        <w:rPr>
          <w:rStyle w:val="Rimandonotaapidipagina"/>
        </w:rPr>
        <w:footnoteRef/>
      </w:r>
      <w:r>
        <w:t xml:space="preserve"> Cfr. Cons. Stato, Ad. pl., 28 ottobre 1958, n. 19</w:t>
      </w:r>
      <w:r w:rsidR="00E876D0">
        <w:t>, laddove la sussistenza nella specie di un potere discrezionale di apprezzamento della p.a., e la correlativa esclusione in capo allo straniero di “</w:t>
      </w:r>
      <w:r w:rsidR="00E876D0">
        <w:rPr>
          <w:i/>
        </w:rPr>
        <w:t>un diritto ad ottenere la cittadinanza</w:t>
      </w:r>
      <w:r w:rsidR="00E876D0">
        <w:t>”, erano argomentate nei termini più lati: “</w:t>
      </w:r>
      <w:r w:rsidR="00E876D0">
        <w:rPr>
          <w:i/>
        </w:rPr>
        <w:t>L’autorità governativa non si deve infatti limitare, in questa materia, a semplici accertamenti, ma deve appunto esprimere un apprezzamento; e nell’esplicazione di questo potere di apprezzamento non incontra neppur quei limiti, che le guarentigie costituzionali pongono alla valutazione del cittadino in altre situazioni di diritto pubblico</w:t>
      </w:r>
      <w:r w:rsidR="00E876D0">
        <w:t>”.</w:t>
      </w:r>
    </w:p>
  </w:footnote>
  <w:footnote w:id="3">
    <w:p w:rsidR="00E876D0" w:rsidRPr="00E876D0" w:rsidRDefault="00E876D0" w:rsidP="00E876D0">
      <w:pPr>
        <w:pStyle w:val="Testonotaapidipagina"/>
        <w:jc w:val="both"/>
      </w:pPr>
      <w:r>
        <w:rPr>
          <w:rStyle w:val="Rimandonotaapidipagina"/>
        </w:rPr>
        <w:footnoteRef/>
      </w:r>
      <w:r>
        <w:t xml:space="preserve"> Cfr. </w:t>
      </w:r>
      <w:r>
        <w:rPr>
          <w:smallCaps/>
        </w:rPr>
        <w:t xml:space="preserve">M. Noccelli, </w:t>
      </w:r>
      <w:r>
        <w:rPr>
          <w:i/>
        </w:rPr>
        <w:t xml:space="preserve">La giurisdizione del giudice amministrativo in materia di stranieri, </w:t>
      </w:r>
      <w:r>
        <w:t xml:space="preserve">in </w:t>
      </w:r>
      <w:r>
        <w:rPr>
          <w:i/>
        </w:rPr>
        <w:t xml:space="preserve">www.giustizia-amministrativa.it, </w:t>
      </w:r>
      <w:r>
        <w:t>2019, 19 ss.</w:t>
      </w:r>
    </w:p>
  </w:footnote>
  <w:footnote w:id="4">
    <w:p w:rsidR="005271DE" w:rsidRPr="00B21CA0" w:rsidRDefault="005271DE" w:rsidP="005271DE">
      <w:pPr>
        <w:pStyle w:val="Testonotaapidipagina"/>
        <w:jc w:val="both"/>
      </w:pPr>
      <w:r>
        <w:rPr>
          <w:rStyle w:val="Rimandonotaapidipagina"/>
        </w:rPr>
        <w:footnoteRef/>
      </w:r>
      <w:r>
        <w:t xml:space="preserve"> Su</w:t>
      </w:r>
      <w:r w:rsidR="00B21CA0">
        <w:t>lle ragioni di</w:t>
      </w:r>
      <w:r>
        <w:t xml:space="preserve"> questa scelta, cfr. </w:t>
      </w:r>
      <w:r>
        <w:rPr>
          <w:smallCaps/>
        </w:rPr>
        <w:t xml:space="preserve">A. Pajno, </w:t>
      </w:r>
      <w:r>
        <w:rPr>
          <w:i/>
        </w:rPr>
        <w:t xml:space="preserve">Insediamento del Presidente del Consiglio di Stato. Inaugurazione dell’anno giudiziario 2016, </w:t>
      </w:r>
      <w:r>
        <w:t>Roma, 2016, 14.</w:t>
      </w:r>
      <w:r w:rsidR="00B21CA0">
        <w:t xml:space="preserve"> Cfr. anche </w:t>
      </w:r>
      <w:r w:rsidR="00B21CA0">
        <w:rPr>
          <w:caps/>
        </w:rPr>
        <w:t>P. L</w:t>
      </w:r>
      <w:r w:rsidR="00B21CA0">
        <w:rPr>
          <w:smallCaps/>
        </w:rPr>
        <w:t xml:space="preserve">ombardi, </w:t>
      </w:r>
      <w:r w:rsidR="00B21CA0">
        <w:rPr>
          <w:i/>
        </w:rPr>
        <w:t xml:space="preserve">Giudice amministrativo e cittadinanza: quale contributo per un concetto giuridicamente sostenibile?, </w:t>
      </w:r>
      <w:r w:rsidR="00B21CA0">
        <w:t xml:space="preserve">in </w:t>
      </w:r>
      <w:r w:rsidR="00B21CA0">
        <w:rPr>
          <w:i/>
        </w:rPr>
        <w:t>www.federalismi.it</w:t>
      </w:r>
      <w:r w:rsidR="00B21CA0">
        <w:t>, 24 ottobre 2018, 18-19, che coglie un nesso tra questa scelta organizzativa e la connessa scelta del legislatore, di cui al decreto-legge 13 febbraio 2017, n. 13 (convertito, con modificazioni, dalla legge 13 aprile 2017, n. 46), di istituire presso i Tribunali ordinari del luogo ove hanno sede le Corti d’appello sezioni specializzate in materia di immigrazione, protezione internazionale e libera circolazione dei cittadini dell’Unione europea.</w:t>
      </w:r>
    </w:p>
  </w:footnote>
  <w:footnote w:id="5">
    <w:p w:rsidR="00B21CA0" w:rsidRPr="00AE50E4" w:rsidRDefault="00B21CA0" w:rsidP="00B21CA0">
      <w:pPr>
        <w:pStyle w:val="Testonotaapidipagina"/>
        <w:jc w:val="both"/>
      </w:pPr>
      <w:r w:rsidRPr="00AE50E4">
        <w:rPr>
          <w:rStyle w:val="Rimandonotaapidipagina"/>
        </w:rPr>
        <w:footnoteRef/>
      </w:r>
      <w:r>
        <w:t xml:space="preserve"> </w:t>
      </w:r>
      <w:r w:rsidR="00AE50E4">
        <w:t xml:space="preserve">Si tratta di un processo, avviato con l’individuazione delle figure sintomatiche del vizio di eccesso di potere per opera della giurisprudenza del Consiglio di </w:t>
      </w:r>
      <w:r w:rsidR="00B83430">
        <w:t>S</w:t>
      </w:r>
      <w:r w:rsidR="00AE50E4">
        <w:t xml:space="preserve">tato dei primi decenni del Novecento (cfr. </w:t>
      </w:r>
      <w:r w:rsidR="00AE50E4">
        <w:rPr>
          <w:smallCaps/>
        </w:rPr>
        <w:t xml:space="preserve">C. Contessa, </w:t>
      </w:r>
      <w:r w:rsidR="00AE50E4">
        <w:rPr>
          <w:i/>
        </w:rPr>
        <w:t xml:space="preserve">I principi regolatori dell’azione amministrativa fra diritto nazionale ed eurounitario, </w:t>
      </w:r>
      <w:r w:rsidR="00AE50E4">
        <w:t xml:space="preserve">in </w:t>
      </w:r>
      <w:r w:rsidR="00AE50E4">
        <w:rPr>
          <w:smallCaps/>
        </w:rPr>
        <w:t xml:space="preserve">C. Contessa – R. Greco </w:t>
      </w:r>
      <w:r w:rsidR="00AE50E4">
        <w:t xml:space="preserve">(a cura di), </w:t>
      </w:r>
      <w:r w:rsidR="00AE50E4">
        <w:rPr>
          <w:i/>
        </w:rPr>
        <w:t>L’attività amministrativa e le sue regole</w:t>
      </w:r>
      <w:r w:rsidR="00AE50E4">
        <w:t xml:space="preserve">, Piacenza, 2020, 5 ss.), </w:t>
      </w:r>
      <w:r w:rsidR="0074667C">
        <w:t>e poi</w:t>
      </w:r>
      <w:r w:rsidR="00AE50E4">
        <w:t xml:space="preserve"> proseguito fino a tutt’oggi sotto l’influsso del principio di effettività della tutela, oggi consacrato nell’articolo 1 del codice del processo amministrativo, che ha incentivato nella giurisprudenza la progressiva erosione della sfera non sindacabile del merito amministrativo e l’implementazione degli strumenti per un esercizio pieno e</w:t>
      </w:r>
      <w:r w:rsidR="0074667C">
        <w:t xml:space="preserve"> satisfattivo</w:t>
      </w:r>
      <w:r w:rsidR="00AE50E4">
        <w:t xml:space="preserve"> del controllo di legittimità delle scelte discrezionali della p.a.: cfr. </w:t>
      </w:r>
      <w:r w:rsidR="00AE50E4">
        <w:rPr>
          <w:smallCaps/>
        </w:rPr>
        <w:t xml:space="preserve">M.A. Sandulli, </w:t>
      </w:r>
      <w:r w:rsidR="00AE50E4">
        <w:rPr>
          <w:i/>
        </w:rPr>
        <w:t xml:space="preserve">Brevi considerazioni sulla discrezionalità amministrativa, </w:t>
      </w:r>
      <w:r w:rsidR="00AE50E4">
        <w:t xml:space="preserve">in </w:t>
      </w:r>
      <w:r w:rsidR="00AE50E4">
        <w:rPr>
          <w:smallCaps/>
        </w:rPr>
        <w:t xml:space="preserve">M.A. Sandulli </w:t>
      </w:r>
      <w:r w:rsidR="00AE50E4">
        <w:t xml:space="preserve">(a cura di), </w:t>
      </w:r>
      <w:r w:rsidR="00AE50E4">
        <w:rPr>
          <w:i/>
        </w:rPr>
        <w:t xml:space="preserve">Princìpi e regole dell’azione amministrativa, </w:t>
      </w:r>
      <w:r w:rsidR="00AE50E4">
        <w:t>Milano, 2023, 21 ss.</w:t>
      </w:r>
    </w:p>
  </w:footnote>
  <w:footnote w:id="6">
    <w:p w:rsidR="00833BFC" w:rsidRPr="00833BFC" w:rsidRDefault="00833BFC" w:rsidP="00833BFC">
      <w:pPr>
        <w:pStyle w:val="Testonotaapidipagina"/>
        <w:jc w:val="both"/>
      </w:pPr>
      <w:r>
        <w:rPr>
          <w:rStyle w:val="Rimandonotaapidipagina"/>
        </w:rPr>
        <w:footnoteRef/>
      </w:r>
      <w:r>
        <w:t xml:space="preserve"> Così </w:t>
      </w:r>
      <w:r>
        <w:rPr>
          <w:smallCaps/>
        </w:rPr>
        <w:t xml:space="preserve">M. Noccelli, </w:t>
      </w:r>
      <w:r>
        <w:rPr>
          <w:i/>
        </w:rPr>
        <w:t xml:space="preserve">La giurisdizione del giudice amministrativo, </w:t>
      </w:r>
      <w:r>
        <w:t>cit., 2, che, nel richiamare le conclusioni degli studiosi di diritto dell’emigrazione, sottolinea come quest’ultimo sia spesso inciso da scelte legislative emergenziali e connotato da “eccentricità” rispetto ai principi generali del diritto amministrativo.</w:t>
      </w:r>
    </w:p>
  </w:footnote>
  <w:footnote w:id="7">
    <w:p w:rsidR="00660C78" w:rsidRPr="00660C78" w:rsidRDefault="00660C78" w:rsidP="00660C78">
      <w:pPr>
        <w:pStyle w:val="Testonotaapidipagina"/>
        <w:jc w:val="both"/>
      </w:pPr>
      <w:r>
        <w:rPr>
          <w:rStyle w:val="Rimandonotaapidipagina"/>
        </w:rPr>
        <w:footnoteRef/>
      </w:r>
      <w:r>
        <w:t xml:space="preserve"> Cfr. </w:t>
      </w:r>
      <w:r>
        <w:rPr>
          <w:smallCaps/>
        </w:rPr>
        <w:t xml:space="preserve">M. Noccelli, </w:t>
      </w:r>
      <w:r>
        <w:rPr>
          <w:i/>
        </w:rPr>
        <w:t xml:space="preserve">La giurisdizione del giudice amministrativo, </w:t>
      </w:r>
      <w:r>
        <w:t>cit., 36 ss., con ampi richiami di dottrina amministrativistica e internazionalistica.</w:t>
      </w:r>
    </w:p>
  </w:footnote>
  <w:footnote w:id="8">
    <w:p w:rsidR="00660C78" w:rsidRPr="0058152A" w:rsidRDefault="00660C78" w:rsidP="00660C78">
      <w:pPr>
        <w:pStyle w:val="Testonotaapidipagina"/>
        <w:jc w:val="both"/>
      </w:pPr>
      <w:r>
        <w:rPr>
          <w:rStyle w:val="Rimandonotaapidipagina"/>
        </w:rPr>
        <w:footnoteRef/>
      </w:r>
      <w:r>
        <w:t xml:space="preserve"> </w:t>
      </w:r>
      <w:r w:rsidR="0058152A">
        <w:t>Come è noto, l’attribuzione al giudice ordinario delle controversie afferenti ai diritti fondamentali, anche ove investiti dall’esercizio del potere pubblico, è stata giustificata per lungo tempo con l’idea della “indegradabilità” di tali diritti ed è stata superata dapprima dal legislatore, attraverso l’introduzione di previsioni espresse di devoluzione alla giurisdizione amministrativa di controversie coinvolgenti siffatti diritti (p.es. in materia di localizzazione di impianti di trattamento di r.s.u. in situazioni di emergenza), e quindi dalla Corte costituzionale, a partire dalla nota sentenza 27 aprile 2007, n. 140, laddove si è affermato da un lato che nessuna norma o principio riserva esclusivamente al giudice ordinario la tutela dei diritti costituzionalmente protetti, dall’altro che è l’esperienza stessa a dimostrare che l’esercizio del potere pubblico può investire i predetti diritti, quante volte si ponga un problema di integrazione/bilanciamento degli stessi con altri diritti o valori di rilievo costituzionale (non esistendo nel nostro ordinamento “</w:t>
      </w:r>
      <w:r w:rsidR="0058152A" w:rsidRPr="0058152A">
        <w:rPr>
          <w:i/>
        </w:rPr>
        <w:t>diritti tiranni</w:t>
      </w:r>
      <w:r w:rsidR="0058152A">
        <w:t xml:space="preserve">”). Per un esame dei nodi problematici ancora individuabili nel sistema della doppia tutela dei diritti fondamentali – cui pure, al di là di sporadiche eccezioni, si sono allineate sia la giurisprudenza ordinaria (cfr. Cass. civ., sez. un., 28 dicembre 2007, n. 27187) che quella amministrativa (cfr. Cons. Stato, Ad. pl., 12 aprile 2016, n. 7; id., sez. III, 2 settembre 2014, n. 4460) – cfr. </w:t>
      </w:r>
      <w:r w:rsidR="0058152A">
        <w:rPr>
          <w:smallCaps/>
        </w:rPr>
        <w:t xml:space="preserve">E. Scotti, </w:t>
      </w:r>
      <w:r w:rsidR="0058152A">
        <w:rPr>
          <w:i/>
        </w:rPr>
        <w:t xml:space="preserve">I diritti fondamentali nel pluralismo delle giurisdizioni, </w:t>
      </w:r>
      <w:r w:rsidR="0058152A">
        <w:t xml:space="preserve">in </w:t>
      </w:r>
      <w:r w:rsidR="0058152A">
        <w:rPr>
          <w:i/>
        </w:rPr>
        <w:t xml:space="preserve">Questione Giustizia, </w:t>
      </w:r>
      <w:r w:rsidR="0058152A">
        <w:t>n. 1/2021.</w:t>
      </w:r>
    </w:p>
  </w:footnote>
  <w:footnote w:id="9">
    <w:p w:rsidR="001276AA" w:rsidRPr="00A80CBA" w:rsidRDefault="001276AA" w:rsidP="001276AA">
      <w:pPr>
        <w:pStyle w:val="Testonotaapidipagina"/>
        <w:jc w:val="both"/>
      </w:pPr>
      <w:r>
        <w:rPr>
          <w:rStyle w:val="Rimandonotaapidipagina"/>
        </w:rPr>
        <w:footnoteRef/>
      </w:r>
      <w:r w:rsidRPr="001276AA">
        <w:t xml:space="preserve"> Cfr. Cass. civ., sez. un., ord</w:t>
      </w:r>
      <w:r>
        <w:t xml:space="preserve">. 14 gennaio 2022, n. 1053; </w:t>
      </w:r>
      <w:r w:rsidR="001E48E8">
        <w:t xml:space="preserve">id., 21 ottobre 2021, n. 29297; Cons. Stato, </w:t>
      </w:r>
      <w:r w:rsidR="00A80CBA">
        <w:t>sez. VI, 26 gennaio 2010, n. 282</w:t>
      </w:r>
      <w:r w:rsidR="001E48E8">
        <w:t>. Con riferimento all’acquisto della cittadinanza per matrimonio, l’opinione prevalente è che laddove l’amministrazione opponga la sussistenza dei comprovati motivi afferenti alla sicurezza pu</w:t>
      </w:r>
      <w:r w:rsidR="00A80CBA">
        <w:t xml:space="preserve">bblica, di cui all’articolo 6, comma 1, lettera </w:t>
      </w:r>
      <w:r w:rsidR="00A80CBA">
        <w:rPr>
          <w:i/>
        </w:rPr>
        <w:t>c</w:t>
      </w:r>
      <w:r w:rsidR="00A80CBA">
        <w:t>), la posizione di diritto soggettivo dello straniero degraderebbe a interesse legittimo, con conseguente devoluzione delle relative controversie al giudice amministrativo: cfr. Cass. civ., sez. un., 27 gennaio 1995, n. 1000; Cons. Stato, sez. III, 17 gennaio 2020, n. 185; id., 29 aprile 2019, n. 2768.</w:t>
      </w:r>
    </w:p>
  </w:footnote>
  <w:footnote w:id="10">
    <w:p w:rsidR="00A80CBA" w:rsidRDefault="00A80CBA" w:rsidP="00A80CBA">
      <w:pPr>
        <w:pStyle w:val="Testonotaapidipagina"/>
        <w:jc w:val="both"/>
      </w:pPr>
      <w:r>
        <w:rPr>
          <w:rStyle w:val="Rimandonotaapidipagina"/>
        </w:rPr>
        <w:footnoteRef/>
      </w:r>
      <w:r>
        <w:t xml:space="preserve"> Si pensi alla posizione più volte espressa dal Consiglio di Stato in sede consultiva, secondo cui spetterebbero alla giurisdizione amministrativa tutte le controversie relative all’acquisto della cittadinanza per matrimonio, e non solo quelle in cui sia stata opposta la sussistenza della condizione preclusiva dei comprovati motivi di sicurezza pubblica: cfr. Cons. Stato, sez. I, parere 5 agosto 2020, n. 1387</w:t>
      </w:r>
      <w:r w:rsidR="009666DC">
        <w:t xml:space="preserve"> (con richiamo di plurimi precedenti della stessa Sezione).</w:t>
      </w:r>
    </w:p>
  </w:footnote>
  <w:footnote w:id="11">
    <w:p w:rsidR="009666DC" w:rsidRPr="009666DC" w:rsidRDefault="009666DC" w:rsidP="009666DC">
      <w:pPr>
        <w:pStyle w:val="Testonotaapidipagina"/>
        <w:jc w:val="both"/>
      </w:pPr>
      <w:r>
        <w:rPr>
          <w:rStyle w:val="Rimandonotaapidipagina"/>
        </w:rPr>
        <w:footnoteRef/>
      </w:r>
      <w:r>
        <w:t xml:space="preserve"> Cfr. </w:t>
      </w:r>
      <w:r>
        <w:rPr>
          <w:smallCaps/>
        </w:rPr>
        <w:t xml:space="preserve">S. D’Antonio, </w:t>
      </w:r>
      <w:r>
        <w:rPr>
          <w:i/>
        </w:rPr>
        <w:t xml:space="preserve">Il riparto di giurisdizione in materia di ingresso, soggiorno e allontanamento dello straniero dal territorio italiano, </w:t>
      </w:r>
      <w:r>
        <w:t xml:space="preserve">in </w:t>
      </w:r>
      <w:r>
        <w:rPr>
          <w:i/>
        </w:rPr>
        <w:t xml:space="preserve">Riv. it. dir. proc. amm., </w:t>
      </w:r>
      <w:r>
        <w:t>2017, 578 ss.</w:t>
      </w:r>
    </w:p>
  </w:footnote>
  <w:footnote w:id="12">
    <w:p w:rsidR="00230405" w:rsidRPr="00230405" w:rsidRDefault="00230405" w:rsidP="00230405">
      <w:pPr>
        <w:pStyle w:val="Testonotaapidipagina"/>
        <w:jc w:val="both"/>
      </w:pPr>
      <w:r>
        <w:rPr>
          <w:rStyle w:val="Rimandonotaapidipagina"/>
        </w:rPr>
        <w:footnoteRef/>
      </w:r>
      <w:r>
        <w:t xml:space="preserve"> Sul punto, cfr. </w:t>
      </w:r>
      <w:r>
        <w:rPr>
          <w:smallCaps/>
        </w:rPr>
        <w:t xml:space="preserve">F.G. Scoca, </w:t>
      </w:r>
      <w:r>
        <w:rPr>
          <w:i/>
        </w:rPr>
        <w:t xml:space="preserve">L’interesse legittimo. Storia e teoria, </w:t>
      </w:r>
      <w:r>
        <w:t>Torino, 2017, 103.</w:t>
      </w:r>
    </w:p>
  </w:footnote>
  <w:footnote w:id="13">
    <w:p w:rsidR="00F850CF" w:rsidRPr="00F850CF" w:rsidRDefault="00F850CF" w:rsidP="00F850CF">
      <w:pPr>
        <w:pStyle w:val="Testonotaapidipagina"/>
        <w:jc w:val="both"/>
      </w:pPr>
      <w:r>
        <w:rPr>
          <w:rStyle w:val="Rimandonotaapidipagina"/>
        </w:rPr>
        <w:footnoteRef/>
      </w:r>
      <w:r>
        <w:t xml:space="preserve"> Così </w:t>
      </w:r>
      <w:r>
        <w:rPr>
          <w:smallCaps/>
        </w:rPr>
        <w:t xml:space="preserve">S. D’Antonio, </w:t>
      </w:r>
      <w:r>
        <w:rPr>
          <w:i/>
        </w:rPr>
        <w:t xml:space="preserve">Il riparto di giurisdizione, </w:t>
      </w:r>
      <w:r>
        <w:t>cit., 592.</w:t>
      </w:r>
    </w:p>
  </w:footnote>
  <w:footnote w:id="14">
    <w:p w:rsidR="00F850CF" w:rsidRPr="00F850CF" w:rsidRDefault="00F850CF" w:rsidP="00F850CF">
      <w:pPr>
        <w:pStyle w:val="Testonotaapidipagina"/>
        <w:jc w:val="both"/>
      </w:pPr>
      <w:r>
        <w:rPr>
          <w:rStyle w:val="Rimandonotaapidipagina"/>
        </w:rPr>
        <w:footnoteRef/>
      </w:r>
      <w:r>
        <w:t xml:space="preserve"> Cfr. </w:t>
      </w:r>
      <w:r>
        <w:rPr>
          <w:caps/>
        </w:rPr>
        <w:t>C. C</w:t>
      </w:r>
      <w:r>
        <w:rPr>
          <w:smallCaps/>
        </w:rPr>
        <w:t xml:space="preserve">udia, </w:t>
      </w:r>
      <w:r>
        <w:rPr>
          <w:i/>
        </w:rPr>
        <w:t xml:space="preserve">Acquisto della cittadinanza per naturalizzazione e questioni di giurisdizione: alla ricerca della legalità sopita, </w:t>
      </w:r>
      <w:r>
        <w:t xml:space="preserve">in </w:t>
      </w:r>
      <w:r>
        <w:rPr>
          <w:i/>
        </w:rPr>
        <w:t xml:space="preserve">Diritto, immigrazione e cittadinanza, </w:t>
      </w:r>
      <w:r>
        <w:t>n. 2/2022</w:t>
      </w:r>
      <w:r w:rsidR="000F6935">
        <w:t>.</w:t>
      </w:r>
      <w:r>
        <w:t xml:space="preserve"> </w:t>
      </w:r>
    </w:p>
  </w:footnote>
  <w:footnote w:id="15">
    <w:p w:rsidR="009577A6" w:rsidRDefault="009577A6" w:rsidP="009577A6">
      <w:pPr>
        <w:pStyle w:val="Testonotaapidipagina"/>
        <w:jc w:val="both"/>
      </w:pPr>
      <w:r>
        <w:rPr>
          <w:rStyle w:val="Rimandonotaapidipagina"/>
        </w:rPr>
        <w:footnoteRef/>
      </w:r>
      <w:r>
        <w:t xml:space="preserve"> Secondo la nota definizione (risalente a </w:t>
      </w:r>
      <w:r>
        <w:rPr>
          <w:smallCaps/>
        </w:rPr>
        <w:t xml:space="preserve">M.S. Giannini, </w:t>
      </w:r>
      <w:r>
        <w:rPr>
          <w:i/>
        </w:rPr>
        <w:t xml:space="preserve">Il potere discrezionale della pubblica amministrazione, </w:t>
      </w:r>
      <w:r>
        <w:t>Milano, 1939, 78) che qualifica la discrezionalità amministrativa come il margine di scelta che la norma rimette all’amministrazione affinché essa possa individuare, tra quelle consentite, la soluzione migliore per realizzare nel caso concreto l’interesse pubblico.</w:t>
      </w:r>
    </w:p>
  </w:footnote>
  <w:footnote w:id="16">
    <w:p w:rsidR="00C80549" w:rsidRPr="00601F59" w:rsidRDefault="00C80549" w:rsidP="00C80549">
      <w:pPr>
        <w:pStyle w:val="Testonotaapidipagina"/>
        <w:jc w:val="both"/>
      </w:pPr>
      <w:r>
        <w:rPr>
          <w:rStyle w:val="Rimandonotaapidipagina"/>
        </w:rPr>
        <w:footnoteRef/>
      </w:r>
      <w:r>
        <w:t xml:space="preserve"> Ciò è evidente la</w:t>
      </w:r>
      <w:r w:rsidR="00012820">
        <w:t>ddove, in replica all’affermazione secondo cui il giudice amministrativo sarebbe individuato dal legislatore in quanto giudice naturale della legittimità del potere,</w:t>
      </w:r>
      <w:r w:rsidR="0074667C">
        <w:t xml:space="preserve"> si</w:t>
      </w:r>
      <w:r w:rsidR="00012820">
        <w:t xml:space="preserve"> insiste sulla “</w:t>
      </w:r>
      <w:r w:rsidR="00012820">
        <w:rPr>
          <w:i/>
        </w:rPr>
        <w:t>diversa rappresentazione del rapporto tra autorità ed individuo</w:t>
      </w:r>
      <w:r w:rsidR="00012820">
        <w:t xml:space="preserve">” che connota le due giurisdizioni (ordinaria e amministrativa) per inferirne </w:t>
      </w:r>
      <w:r w:rsidR="00601F59">
        <w:t xml:space="preserve">che la seconda sarebbe per sua natura più incline a sposare soluzioni di favore per l’amministrazione: cfr. </w:t>
      </w:r>
      <w:r w:rsidR="00601F59">
        <w:rPr>
          <w:smallCaps/>
        </w:rPr>
        <w:t xml:space="preserve">C. Cudia, </w:t>
      </w:r>
      <w:r w:rsidR="00601F59">
        <w:rPr>
          <w:i/>
        </w:rPr>
        <w:t xml:space="preserve">Acquisto della cittadinanza per naturalizzazione, </w:t>
      </w:r>
      <w:r w:rsidR="00601F59">
        <w:t xml:space="preserve">cit.. Non è questa la sede per interrogarsi sulle ragioni storiche del sistema italiano della doppia giurisdizione, né sul fondamento della legittimazione del giudice amministrativo quale giudice dei rapporti tra p.a. ed amministrati </w:t>
      </w:r>
      <w:r w:rsidR="00601F59" w:rsidRPr="003E67D1">
        <w:t xml:space="preserve">(sul punto, </w:t>
      </w:r>
      <w:r w:rsidR="003E67D1" w:rsidRPr="003E67D1">
        <w:t xml:space="preserve">possono leggersi i contributi contenuti nel numero monografico della rivista </w:t>
      </w:r>
      <w:r w:rsidR="003E67D1" w:rsidRPr="003E67D1">
        <w:rPr>
          <w:i/>
        </w:rPr>
        <w:t xml:space="preserve">Questione Giustizia, </w:t>
      </w:r>
      <w:r w:rsidR="003E67D1" w:rsidRPr="003E67D1">
        <w:t xml:space="preserve">n. 1/2021, dal significativo titolo </w:t>
      </w:r>
      <w:r w:rsidR="003E67D1" w:rsidRPr="003E67D1">
        <w:rPr>
          <w:i/>
        </w:rPr>
        <w:t>La giurisdizione plurale: giudici e potere amministrativo</w:t>
      </w:r>
      <w:r w:rsidR="00601F59" w:rsidRPr="003E67D1">
        <w:t>), e nemmeno</w:t>
      </w:r>
      <w:r w:rsidR="00601F59">
        <w:t xml:space="preserve"> si vuol qui negare che la giurisdizione amministrativa ancora oggi ponga, già al livello della sua configurazione costituzionale, delicati problemi di indipendenza: tuttavia, queste criticità sono apprezzabili soprattutto sul piano ordinamentale e dell’indipendenza interna degli organi di giustizia amministrativa (</w:t>
      </w:r>
      <w:r w:rsidR="00601F59">
        <w:rPr>
          <w:i/>
        </w:rPr>
        <w:t xml:space="preserve">in primis, </w:t>
      </w:r>
      <w:r w:rsidR="00601F59">
        <w:t>il Consiglio di Stato) che non, sul piano processuale, in un presunto porsi degli stessi come giudice “amico” dell’amministrazione</w:t>
      </w:r>
      <w:r w:rsidR="0074667C">
        <w:t>.</w:t>
      </w:r>
      <w:r w:rsidR="00601F59">
        <w:t xml:space="preserve"> </w:t>
      </w:r>
      <w:r w:rsidR="0074667C">
        <w:t>S</w:t>
      </w:r>
      <w:r w:rsidR="00601F59">
        <w:t xml:space="preserve">ul punto, sia consentito rinviare a </w:t>
      </w:r>
      <w:r w:rsidR="00601F59">
        <w:rPr>
          <w:smallCaps/>
        </w:rPr>
        <w:t xml:space="preserve">R. Greco, </w:t>
      </w:r>
      <w:r w:rsidR="00601F59">
        <w:rPr>
          <w:i/>
        </w:rPr>
        <w:t xml:space="preserve">L’indipendenza del giudice amministrativo tra falsi problemi e criticità reali, </w:t>
      </w:r>
      <w:r w:rsidR="00601F59">
        <w:t xml:space="preserve">in </w:t>
      </w:r>
      <w:r w:rsidR="00601F59">
        <w:rPr>
          <w:i/>
        </w:rPr>
        <w:t xml:space="preserve">www.giustiziainsieme.it, </w:t>
      </w:r>
      <w:r w:rsidR="00601F59">
        <w:t>27 settembre 2023.</w:t>
      </w:r>
    </w:p>
  </w:footnote>
  <w:footnote w:id="17">
    <w:p w:rsidR="00601F59" w:rsidRPr="00601F59" w:rsidRDefault="00601F59" w:rsidP="00601F59">
      <w:pPr>
        <w:pStyle w:val="Testonotaapidipagina"/>
        <w:jc w:val="both"/>
      </w:pPr>
      <w:r>
        <w:rPr>
          <w:rStyle w:val="Rimandonotaapidipagina"/>
        </w:rPr>
        <w:footnoteRef/>
      </w:r>
      <w:r>
        <w:t xml:space="preserve"> Non è casuale che l’Autrice esprima “</w:t>
      </w:r>
      <w:r>
        <w:rPr>
          <w:i/>
        </w:rPr>
        <w:t>perplessità</w:t>
      </w:r>
      <w:r>
        <w:t xml:space="preserve">” verso la citata sentenza della Corte costituzionale n. 140/2007, che – come si è visto – ha riconosciuto il </w:t>
      </w:r>
      <w:r w:rsidR="0043246B">
        <w:t>carattere</w:t>
      </w:r>
      <w:r>
        <w:t xml:space="preserve"> </w:t>
      </w:r>
      <w:r w:rsidR="0043246B">
        <w:t>di piena giurisdizione dell’attività svolta dal giudice amministrativo (anche) nella tutela dei diritti costituzionalmente rilevanti.</w:t>
      </w:r>
    </w:p>
  </w:footnote>
  <w:footnote w:id="18">
    <w:p w:rsidR="003E67D1" w:rsidRPr="003E67D1" w:rsidRDefault="003E67D1" w:rsidP="003E67D1">
      <w:pPr>
        <w:pStyle w:val="Testonotaapidipagina"/>
        <w:jc w:val="both"/>
      </w:pPr>
      <w:r>
        <w:rPr>
          <w:rStyle w:val="Rimandonotaapidipagina"/>
        </w:rPr>
        <w:footnoteRef/>
      </w:r>
      <w:r>
        <w:t xml:space="preserve"> Cfr. </w:t>
      </w:r>
      <w:r>
        <w:rPr>
          <w:smallCaps/>
        </w:rPr>
        <w:t xml:space="preserve">F.G. Scoca, </w:t>
      </w:r>
      <w:r>
        <w:rPr>
          <w:i/>
        </w:rPr>
        <w:t xml:space="preserve">L’interesse legittimo, </w:t>
      </w:r>
      <w:r>
        <w:t>cit., 432 ss., con diffusa analisi delle diverse posizioni dottrinali e della (spesso non lineare) giurisprudenza sulla questione.</w:t>
      </w:r>
    </w:p>
  </w:footnote>
  <w:footnote w:id="19">
    <w:p w:rsidR="000F4DCF" w:rsidRPr="0006462A" w:rsidRDefault="000F4DCF" w:rsidP="000F4DCF">
      <w:pPr>
        <w:pStyle w:val="Testonotaapidipagina"/>
        <w:jc w:val="both"/>
      </w:pPr>
      <w:r>
        <w:rPr>
          <w:rStyle w:val="Rimandonotaapidipagina"/>
        </w:rPr>
        <w:footnoteRef/>
      </w:r>
      <w:r>
        <w:t xml:space="preserve"> </w:t>
      </w:r>
      <w:r w:rsidR="00BD397B">
        <w:t>Non è casuale che con l’evoluzione che si è descritta</w:t>
      </w:r>
      <w:r w:rsidR="0006462A">
        <w:t xml:space="preserve"> </w:t>
      </w:r>
      <w:r w:rsidR="00BD397B">
        <w:t xml:space="preserve">la nozione di discrezionalità tecnica, originariamente concepita come </w:t>
      </w:r>
      <w:r w:rsidR="0006462A">
        <w:t xml:space="preserve">un </w:t>
      </w:r>
      <w:r w:rsidR="0006462A">
        <w:rPr>
          <w:i/>
        </w:rPr>
        <w:t xml:space="preserve">tertium genus </w:t>
      </w:r>
      <w:r w:rsidR="0006462A">
        <w:t xml:space="preserve">tra discrezionalità pura e attività vincolata, sia stata variamente ridimensionata, fino a metterne in dubbio l’autonomia rispetto alle altre due connotazioni del potere amministrativo: sul punto, cfr. </w:t>
      </w:r>
      <w:r w:rsidR="0006462A">
        <w:rPr>
          <w:smallCaps/>
        </w:rPr>
        <w:t xml:space="preserve">C. Andreini, </w:t>
      </w:r>
      <w:r w:rsidR="0006462A">
        <w:rPr>
          <w:i/>
        </w:rPr>
        <w:t xml:space="preserve">La discrezionalità tecnica della PA: evoluzione storica e avvento della sindacabilità giurisdizionale alla luce del passaggio dallo Stato autoritario allo Stato di diritto, </w:t>
      </w:r>
      <w:r w:rsidR="0006462A">
        <w:t xml:space="preserve">in </w:t>
      </w:r>
      <w:r w:rsidR="0006462A">
        <w:rPr>
          <w:i/>
        </w:rPr>
        <w:t xml:space="preserve">www.ildirittoamministrativo.it, </w:t>
      </w:r>
      <w:r w:rsidR="0006462A">
        <w:t>n. 9/2025.</w:t>
      </w:r>
    </w:p>
  </w:footnote>
  <w:footnote w:id="20">
    <w:p w:rsidR="000F4DCF" w:rsidRPr="000F4DCF" w:rsidRDefault="000F4DCF" w:rsidP="000F4DCF">
      <w:pPr>
        <w:pStyle w:val="Testonotaapidipagina"/>
        <w:jc w:val="both"/>
      </w:pPr>
      <w:r>
        <w:rPr>
          <w:rStyle w:val="Rimandonotaapidipagina"/>
        </w:rPr>
        <w:footnoteRef/>
      </w:r>
      <w:r>
        <w:t xml:space="preserve"> Secondo un’impostazione risalente a </w:t>
      </w:r>
      <w:r>
        <w:rPr>
          <w:smallCaps/>
        </w:rPr>
        <w:t xml:space="preserve">E. Capaccioli, </w:t>
      </w:r>
      <w:r>
        <w:rPr>
          <w:i/>
        </w:rPr>
        <w:t xml:space="preserve">Manuale di diritto amministrativo, </w:t>
      </w:r>
      <w:r>
        <w:t xml:space="preserve">Padova, 1983, 267, e fatta propria, fra gli altri, da </w:t>
      </w:r>
      <w:r>
        <w:rPr>
          <w:smallCaps/>
        </w:rPr>
        <w:t xml:space="preserve">A. Orsi Battaglini, </w:t>
      </w:r>
      <w:r>
        <w:rPr>
          <w:i/>
        </w:rPr>
        <w:t xml:space="preserve">Attività vincolata e situazioni soggettive, </w:t>
      </w:r>
      <w:r>
        <w:t xml:space="preserve">in </w:t>
      </w:r>
      <w:r>
        <w:rPr>
          <w:i/>
        </w:rPr>
        <w:t xml:space="preserve">Riv. trim. dir. proc. civ., </w:t>
      </w:r>
      <w:r w:rsidR="00D41FF8">
        <w:t>1988, 3 ss.</w:t>
      </w:r>
    </w:p>
  </w:footnote>
  <w:footnote w:id="21">
    <w:p w:rsidR="00D41FF8" w:rsidRPr="00D41FF8" w:rsidRDefault="00D41FF8" w:rsidP="00D41FF8">
      <w:pPr>
        <w:pStyle w:val="Testonotaapidipagina"/>
        <w:jc w:val="both"/>
      </w:pPr>
      <w:r>
        <w:rPr>
          <w:rStyle w:val="Rimandonotaapidipagina"/>
        </w:rPr>
        <w:footnoteRef/>
      </w:r>
      <w:r>
        <w:t xml:space="preserve"> Cfr. </w:t>
      </w:r>
      <w:r>
        <w:rPr>
          <w:smallCaps/>
        </w:rPr>
        <w:t xml:space="preserve">F.G. Scoca, </w:t>
      </w:r>
      <w:r>
        <w:rPr>
          <w:i/>
        </w:rPr>
        <w:t xml:space="preserve">L’interesse legittimo, </w:t>
      </w:r>
      <w:r>
        <w:t>cit., 441 ss., che proprio dall’analisi delle norme sul procedimento (e, fra queste, dell’articolo 21-</w:t>
      </w:r>
      <w:r>
        <w:rPr>
          <w:i/>
        </w:rPr>
        <w:t xml:space="preserve">octies </w:t>
      </w:r>
      <w:r>
        <w:t>della legge 7 agosto 1990, n. 241) trae la conclusione secondo cui anche in questi casi la p.a. esercita un potere (quanto meno costitutivo degli effetti previsti dalla norma), in modo da rendere evidente l’operatività dello schema norma/potere/effetto.</w:t>
      </w:r>
    </w:p>
  </w:footnote>
  <w:footnote w:id="22">
    <w:p w:rsidR="0006462A" w:rsidRPr="0006462A" w:rsidRDefault="0006462A" w:rsidP="0006462A">
      <w:pPr>
        <w:pStyle w:val="Testonotaapidipagina"/>
        <w:jc w:val="both"/>
      </w:pPr>
      <w:r>
        <w:rPr>
          <w:rStyle w:val="Rimandonotaapidipagina"/>
        </w:rPr>
        <w:footnoteRef/>
      </w:r>
      <w:r>
        <w:t xml:space="preserve"> Cfr. </w:t>
      </w:r>
      <w:r>
        <w:rPr>
          <w:smallCaps/>
        </w:rPr>
        <w:t xml:space="preserve">M. Clarich, </w:t>
      </w:r>
      <w:r>
        <w:rPr>
          <w:i/>
        </w:rPr>
        <w:t xml:space="preserve">Manuale di giustizia amministrativa, </w:t>
      </w:r>
      <w:r>
        <w:t>Bologna, 2021, 99 ss., che pone in luce come la definizione della giurisdizione amministrativa oggi contenuta nell’articolo 7 del codice del processo amministrativo riprenda i criteri ribaditi dalla Corte costituzionale nelle citate sentenze n. 204 del 2004 e n. 140 del 2007.</w:t>
      </w:r>
    </w:p>
  </w:footnote>
  <w:footnote w:id="23">
    <w:p w:rsidR="002A230C" w:rsidRPr="00A26AB4" w:rsidRDefault="002A230C" w:rsidP="002A230C">
      <w:pPr>
        <w:pStyle w:val="Testonotaapidipagina"/>
        <w:jc w:val="both"/>
      </w:pPr>
      <w:r>
        <w:rPr>
          <w:rStyle w:val="Rimandonotaapidipagina"/>
        </w:rPr>
        <w:footnoteRef/>
      </w:r>
      <w:r w:rsidRPr="009F35C8">
        <w:t xml:space="preserve"> </w:t>
      </w:r>
      <w:r w:rsidR="00126875" w:rsidRPr="009F35C8">
        <w:t xml:space="preserve">Cfr. </w:t>
      </w:r>
      <w:r w:rsidR="00126875" w:rsidRPr="009F35C8">
        <w:rPr>
          <w:i/>
        </w:rPr>
        <w:t xml:space="preserve">ex plurimis </w:t>
      </w:r>
      <w:r w:rsidR="00126875" w:rsidRPr="009F35C8">
        <w:t xml:space="preserve">Cons. </w:t>
      </w:r>
      <w:r w:rsidR="00126875" w:rsidRPr="00126875">
        <w:t>Stato, sez. III, 7 maggio 2025, n. 3895; id.,</w:t>
      </w:r>
      <w:r w:rsidR="00126875">
        <w:t xml:space="preserve"> 4 marzo 2025, n. 1835; id., 23 settembre 2024, n. 7716; id., 23 luglio 2024, n. 6664; id., 19 luglio 2024, n. 6535; id., 21 febbraio 2024, n. 1734; id., 5 febbraio 2024, n. 1143; id., 18 settembre 2023, n. 8379; id., 2 agosto 2023, n. 7484; id., 5 giugno 2023, n. 5489; id., 9 marzo 2023, n. 2498; id., 29 settembre 2022, n. 8390; id., 25 luglio 2022, n. 6518; id., 2 maggio 2022, n. 3409.</w:t>
      </w:r>
      <w:r w:rsidR="00A26AB4">
        <w:t xml:space="preserve"> Sulla nozione di atti di alta amministrazione, cfr. </w:t>
      </w:r>
      <w:r w:rsidR="00A26AB4">
        <w:rPr>
          <w:smallCaps/>
        </w:rPr>
        <w:t xml:space="preserve">M. Clarich, </w:t>
      </w:r>
      <w:r w:rsidR="00A26AB4">
        <w:rPr>
          <w:i/>
        </w:rPr>
        <w:t xml:space="preserve">Manuale di diritto amministrativo, </w:t>
      </w:r>
      <w:r w:rsidR="00A26AB4">
        <w:t>Bologna, 2024, 198.</w:t>
      </w:r>
    </w:p>
  </w:footnote>
  <w:footnote w:id="24">
    <w:p w:rsidR="006A1B63" w:rsidRPr="006A1B63" w:rsidRDefault="006A1B63" w:rsidP="006A1B63">
      <w:pPr>
        <w:pStyle w:val="Testonotaapidipagina"/>
        <w:jc w:val="both"/>
      </w:pPr>
      <w:r>
        <w:rPr>
          <w:rStyle w:val="Rimandonotaapidipagina"/>
        </w:rPr>
        <w:footnoteRef/>
      </w:r>
      <w:r>
        <w:t xml:space="preserve"> Cfr. ad esempio </w:t>
      </w:r>
      <w:r>
        <w:rPr>
          <w:smallCaps/>
        </w:rPr>
        <w:t xml:space="preserve">C. Cudia, </w:t>
      </w:r>
      <w:r>
        <w:rPr>
          <w:i/>
        </w:rPr>
        <w:t xml:space="preserve">Acquisto della cittadinanza per naturalizzazione, </w:t>
      </w:r>
      <w:r>
        <w:t>cit.,</w:t>
      </w:r>
      <w:r w:rsidR="009766CD">
        <w:t xml:space="preserve"> § 5.</w:t>
      </w:r>
    </w:p>
  </w:footnote>
  <w:footnote w:id="25">
    <w:p w:rsidR="00A26AB4" w:rsidRDefault="00A26AB4" w:rsidP="00B865A0">
      <w:pPr>
        <w:jc w:val="both"/>
      </w:pPr>
      <w:r w:rsidRPr="00582BA2">
        <w:rPr>
          <w:rStyle w:val="Rimandonotaapidipagina"/>
          <w:sz w:val="20"/>
          <w:szCs w:val="20"/>
        </w:rPr>
        <w:footnoteRef/>
      </w:r>
      <w:r w:rsidRPr="00582BA2">
        <w:rPr>
          <w:sz w:val="20"/>
          <w:szCs w:val="20"/>
        </w:rPr>
        <w:t xml:space="preserve"> </w:t>
      </w:r>
      <w:r w:rsidR="00582BA2" w:rsidRPr="00582BA2">
        <w:rPr>
          <w:sz w:val="20"/>
          <w:szCs w:val="20"/>
        </w:rPr>
        <w:t>Per vero, con riferimento al</w:t>
      </w:r>
      <w:r w:rsidR="00582BA2">
        <w:rPr>
          <w:sz w:val="20"/>
          <w:szCs w:val="20"/>
        </w:rPr>
        <w:t>l</w:t>
      </w:r>
      <w:r w:rsidR="00582BA2" w:rsidRPr="00582BA2">
        <w:rPr>
          <w:sz w:val="20"/>
          <w:szCs w:val="20"/>
        </w:rPr>
        <w:t>a residenza, a fronte del prevalente indirizzo secondo cui il requisito richiesto dall</w:t>
      </w:r>
      <w:r w:rsidR="00582BA2">
        <w:rPr>
          <w:sz w:val="20"/>
          <w:szCs w:val="20"/>
        </w:rPr>
        <w:t xml:space="preserve">a norma </w:t>
      </w:r>
      <w:r w:rsidR="00582BA2" w:rsidRPr="00582BA2">
        <w:rPr>
          <w:sz w:val="20"/>
          <w:szCs w:val="20"/>
        </w:rPr>
        <w:t>del risiedere “</w:t>
      </w:r>
      <w:r w:rsidR="00582BA2" w:rsidRPr="00582BA2">
        <w:rPr>
          <w:i/>
          <w:sz w:val="20"/>
          <w:szCs w:val="20"/>
        </w:rPr>
        <w:t>legalmente</w:t>
      </w:r>
      <w:r w:rsidR="00582BA2" w:rsidRPr="00582BA2">
        <w:rPr>
          <w:sz w:val="20"/>
          <w:szCs w:val="20"/>
        </w:rPr>
        <w:t>” in Italia da almeno dieci anni ha carattere formale</w:t>
      </w:r>
      <w:r w:rsidR="00582BA2">
        <w:rPr>
          <w:sz w:val="20"/>
          <w:szCs w:val="20"/>
        </w:rPr>
        <w:t>,</w:t>
      </w:r>
      <w:r w:rsidR="00582BA2" w:rsidRPr="00582BA2">
        <w:rPr>
          <w:sz w:val="20"/>
          <w:szCs w:val="20"/>
        </w:rPr>
        <w:t xml:space="preserve"> nel senso che </w:t>
      </w:r>
      <w:r w:rsidR="00582BA2" w:rsidRPr="00582BA2">
        <w:rPr>
          <w:sz w:val="20"/>
          <w:szCs w:val="20"/>
          <w:shd w:val="clear" w:color="auto" w:fill="FFFFFF"/>
        </w:rPr>
        <w:t xml:space="preserve">il presupposto della residenza legale va accertato in conformità alla disciplina interna in materia di anagrafe, dal che consegue che l’interessato non può provare la residenza attraverso prove diverse dalla certificazione anagrafica, atteso che la legge demanda ai registri anagrafici l’accertamento della popolazione residente </w:t>
      </w:r>
      <w:r w:rsidR="00582BA2">
        <w:rPr>
          <w:sz w:val="20"/>
          <w:szCs w:val="20"/>
          <w:shd w:val="clear" w:color="auto" w:fill="FFFFFF"/>
        </w:rPr>
        <w:t>(</w:t>
      </w:r>
      <w:r w:rsidR="00582BA2" w:rsidRPr="00582BA2">
        <w:rPr>
          <w:sz w:val="20"/>
          <w:szCs w:val="20"/>
          <w:shd w:val="clear" w:color="auto" w:fill="FFFFFF"/>
        </w:rPr>
        <w:t>e coerentemente l’</w:t>
      </w:r>
      <w:hyperlink r:id="rId1" w:history="1">
        <w:r w:rsidR="00582BA2" w:rsidRPr="00582BA2">
          <w:rPr>
            <w:sz w:val="20"/>
            <w:szCs w:val="20"/>
          </w:rPr>
          <w:t>articolo 1</w:t>
        </w:r>
      </w:hyperlink>
      <w:r w:rsidR="00582BA2" w:rsidRPr="00582BA2">
        <w:rPr>
          <w:sz w:val="20"/>
          <w:szCs w:val="20"/>
          <w:shd w:val="clear" w:color="auto" w:fill="FFFFFF"/>
        </w:rPr>
        <w:t xml:space="preserve"> del </w:t>
      </w:r>
      <w:hyperlink r:id="rId2" w:history="1">
        <w:r w:rsidR="00582BA2" w:rsidRPr="00582BA2">
          <w:rPr>
            <w:sz w:val="20"/>
            <w:szCs w:val="20"/>
          </w:rPr>
          <w:t xml:space="preserve">d.P.R. 18 aprile 1994, n. 362, </w:t>
        </w:r>
      </w:hyperlink>
      <w:r w:rsidR="00582BA2" w:rsidRPr="00582BA2">
        <w:rPr>
          <w:sz w:val="20"/>
          <w:szCs w:val="20"/>
          <w:shd w:val="clear" w:color="auto" w:fill="FFFFFF"/>
        </w:rPr>
        <w:t>e l’</w:t>
      </w:r>
      <w:hyperlink r:id="rId3" w:history="1">
        <w:r w:rsidR="00582BA2" w:rsidRPr="00582BA2">
          <w:rPr>
            <w:sz w:val="20"/>
            <w:szCs w:val="20"/>
          </w:rPr>
          <w:t>articolo 1</w:t>
        </w:r>
      </w:hyperlink>
      <w:r w:rsidR="00582BA2" w:rsidRPr="00582BA2">
        <w:rPr>
          <w:sz w:val="20"/>
          <w:szCs w:val="20"/>
          <w:shd w:val="clear" w:color="auto" w:fill="FFFFFF"/>
        </w:rPr>
        <w:t xml:space="preserve">, comma 2, lettera </w:t>
      </w:r>
      <w:r w:rsidR="00582BA2" w:rsidRPr="00582BA2">
        <w:rPr>
          <w:i/>
          <w:sz w:val="20"/>
          <w:szCs w:val="20"/>
          <w:shd w:val="clear" w:color="auto" w:fill="FFFFFF"/>
        </w:rPr>
        <w:t>a</w:t>
      </w:r>
      <w:r w:rsidR="00582BA2" w:rsidRPr="00582BA2">
        <w:rPr>
          <w:sz w:val="20"/>
          <w:szCs w:val="20"/>
          <w:shd w:val="clear" w:color="auto" w:fill="FFFFFF"/>
        </w:rPr>
        <w:t xml:space="preserve">),del </w:t>
      </w:r>
      <w:hyperlink r:id="rId4" w:history="1">
        <w:r w:rsidR="00582BA2" w:rsidRPr="00582BA2">
          <w:rPr>
            <w:sz w:val="20"/>
            <w:szCs w:val="20"/>
          </w:rPr>
          <w:t>d.P.R. 12 ottobre 1993, n. 572,</w:t>
        </w:r>
      </w:hyperlink>
      <w:r w:rsidR="00582BA2" w:rsidRPr="00582BA2">
        <w:rPr>
          <w:sz w:val="20"/>
          <w:szCs w:val="20"/>
          <w:shd w:val="clear" w:color="auto" w:fill="FFFFFF"/>
        </w:rPr>
        <w:t xml:space="preserve"> impongono che la prova della residenza sia fornita solo con riferimento alle risultanze dei registri dell’anagrafe dei residenti, non essendo consentito che, in presenza di una precisa definizione della nozione di residenza legale ai sensi della disposizione regolamentare innanzi richiamata, tale elemento possa essere surrogato con indizi di carattere presuntivo od elementi sintomatici indiretti</w:t>
      </w:r>
      <w:r w:rsidR="00582BA2">
        <w:rPr>
          <w:sz w:val="20"/>
          <w:szCs w:val="20"/>
          <w:shd w:val="clear" w:color="auto" w:fill="FFFFFF"/>
        </w:rPr>
        <w:t>), e</w:t>
      </w:r>
      <w:r w:rsidR="00582BA2" w:rsidRPr="00582BA2">
        <w:rPr>
          <w:sz w:val="20"/>
          <w:szCs w:val="20"/>
          <w:shd w:val="clear" w:color="auto" w:fill="FFFFFF"/>
        </w:rPr>
        <w:t xml:space="preserve"> pertanto gli eventuali errori in iscrizioni o cancellazioni nei registri anagrafici vanno risolti prima della presentazione della domanda di concessione della cittadinanza (cfr. </w:t>
      </w:r>
      <w:hyperlink r:id="rId5" w:history="1">
        <w:r w:rsidR="00582BA2" w:rsidRPr="00582BA2">
          <w:rPr>
            <w:sz w:val="20"/>
            <w:szCs w:val="20"/>
          </w:rPr>
          <w:t>Cons. Stato, sez. I, parere 30 dicembre 2022, n. 2210; id., parere 22 agosto 2022, n. 1370; id., sez. III, 23 dicembre 2014, n. 6369; id., 22 novembre 2011, n. 6143</w:t>
        </w:r>
      </w:hyperlink>
      <w:r w:rsidR="00582BA2" w:rsidRPr="00582BA2">
        <w:rPr>
          <w:sz w:val="20"/>
          <w:szCs w:val="20"/>
        </w:rPr>
        <w:t>; id., 25 marzo 2009, n. 1788</w:t>
      </w:r>
      <w:r w:rsidR="00582BA2">
        <w:rPr>
          <w:sz w:val="20"/>
          <w:szCs w:val="20"/>
          <w:shd w:val="clear" w:color="auto" w:fill="FFFFFF"/>
        </w:rPr>
        <w:t xml:space="preserve">), </w:t>
      </w:r>
      <w:r w:rsidR="00B865A0">
        <w:rPr>
          <w:sz w:val="20"/>
          <w:szCs w:val="20"/>
          <w:shd w:val="clear" w:color="auto" w:fill="FFFFFF"/>
        </w:rPr>
        <w:t xml:space="preserve">si registrano pronunce nelle quali, muovendo dal rilievo che l’iscrizione anagrafica </w:t>
      </w:r>
      <w:r w:rsidR="00B865A0" w:rsidRPr="00B865A0">
        <w:rPr>
          <w:color w:val="000000"/>
          <w:sz w:val="20"/>
          <w:szCs w:val="20"/>
        </w:rPr>
        <w:t>ha valore di presunzione semplice circa la rispondenza della situazi</w:t>
      </w:r>
      <w:r w:rsidR="00B865A0">
        <w:rPr>
          <w:color w:val="000000"/>
          <w:sz w:val="20"/>
          <w:szCs w:val="20"/>
        </w:rPr>
        <w:t xml:space="preserve">one di fatto a quella di diritto, </w:t>
      </w:r>
      <w:r w:rsidR="00FD66E5">
        <w:rPr>
          <w:color w:val="000000"/>
          <w:sz w:val="20"/>
          <w:szCs w:val="20"/>
        </w:rPr>
        <w:t xml:space="preserve">si </w:t>
      </w:r>
      <w:r w:rsidR="00B865A0">
        <w:rPr>
          <w:color w:val="000000"/>
          <w:sz w:val="20"/>
          <w:szCs w:val="20"/>
        </w:rPr>
        <w:t>ammette che le risultanze anagrafiche possano essere superate qualora lo straniero fornisca prova di una sua presenza effettiva e continuativa sul territorio nazionale (cfr. Cons. Stato, sez. I, parere 6 luglio 2018, n. 1751; id., sez. III, 18 marzo 2013, n. 1578).</w:t>
      </w:r>
    </w:p>
  </w:footnote>
  <w:footnote w:id="26">
    <w:p w:rsidR="00443D26" w:rsidRPr="00BB5E86" w:rsidRDefault="00443D26" w:rsidP="00443D26">
      <w:pPr>
        <w:pStyle w:val="Testonotaapidipagina"/>
        <w:jc w:val="both"/>
      </w:pPr>
      <w:r>
        <w:rPr>
          <w:rStyle w:val="Rimandonotaapidipagina"/>
        </w:rPr>
        <w:footnoteRef/>
      </w:r>
      <w:r>
        <w:t xml:space="preserve"> Per una sommaria esemplificazione delle fattispecie, cfr. </w:t>
      </w:r>
      <w:r>
        <w:rPr>
          <w:smallCaps/>
        </w:rPr>
        <w:t xml:space="preserve">C. Cudia, </w:t>
      </w:r>
      <w:r w:rsidR="00BB5E86">
        <w:rPr>
          <w:i/>
        </w:rPr>
        <w:t xml:space="preserve">Acquisto della cittadinanza per naturalizzazione, </w:t>
      </w:r>
      <w:r w:rsidR="00BB5E86">
        <w:t>cit., § 5.</w:t>
      </w:r>
    </w:p>
  </w:footnote>
  <w:footnote w:id="27">
    <w:p w:rsidR="00BB5E86" w:rsidRDefault="00BB5E86" w:rsidP="00BB5E86">
      <w:pPr>
        <w:pStyle w:val="Testonotaapidipagina"/>
        <w:jc w:val="both"/>
      </w:pPr>
      <w:r>
        <w:rPr>
          <w:rStyle w:val="Rimandonotaapidipagina"/>
        </w:rPr>
        <w:footnoteRef/>
      </w:r>
      <w:r>
        <w:t xml:space="preserve"> Cfr. Cons. Stato, </w:t>
      </w:r>
      <w:r w:rsidR="00132B10">
        <w:t>sez. III, 22 maggio 2024, n. 4573; id., 18 settembre 2023, n. 8379; id., s</w:t>
      </w:r>
      <w:r>
        <w:t xml:space="preserve">ez. I, parere 19 dicembre 2022, n. 1988; id., sez. III, </w:t>
      </w:r>
      <w:r w:rsidR="00132B10">
        <w:t>21 aprile 2022, n. 3011.</w:t>
      </w:r>
    </w:p>
  </w:footnote>
  <w:footnote w:id="28">
    <w:p w:rsidR="00132B10" w:rsidRDefault="00132B10" w:rsidP="00132B10">
      <w:pPr>
        <w:pStyle w:val="Testonotaapidipagina"/>
        <w:jc w:val="both"/>
      </w:pPr>
      <w:r>
        <w:rPr>
          <w:rStyle w:val="Rimandonotaapidipagina"/>
        </w:rPr>
        <w:footnoteRef/>
      </w:r>
      <w:r>
        <w:t xml:space="preserve"> Cfr. Cons. Stato, sez. III, 7 maggio 2025, n. 3895; id., 23 settembre 2024, n. 7716; id., 5 aprile 2024, n. 3178; id., 3 agosto 2023, n. 7495.</w:t>
      </w:r>
    </w:p>
  </w:footnote>
  <w:footnote w:id="29">
    <w:p w:rsidR="00132B10" w:rsidRDefault="00132B10" w:rsidP="00132B10">
      <w:pPr>
        <w:pStyle w:val="Testonotaapidipagina"/>
        <w:jc w:val="both"/>
      </w:pPr>
      <w:r>
        <w:rPr>
          <w:rStyle w:val="Rimandonotaapidipagina"/>
        </w:rPr>
        <w:footnoteRef/>
      </w:r>
      <w:r>
        <w:t xml:space="preserve"> Cfr. Cons. Stato, sez, III, 19 luglio 2024, n. 6535. Nello stesso senso, Cons. Stato, sez. III, 15 settembre 2022, n. 8021; id., 20 marzo 2019, n. 1837.</w:t>
      </w:r>
    </w:p>
  </w:footnote>
  <w:footnote w:id="30">
    <w:p w:rsidR="003F6FDB" w:rsidRDefault="003F6FDB" w:rsidP="003F6FDB">
      <w:pPr>
        <w:pStyle w:val="Testonotaapidipagina"/>
        <w:jc w:val="both"/>
      </w:pPr>
      <w:r>
        <w:rPr>
          <w:rStyle w:val="Rimandonotaapidipagina"/>
        </w:rPr>
        <w:footnoteRef/>
      </w:r>
      <w:r>
        <w:t xml:space="preserve"> Cfr. Cons. Stato, sez. III, 11 luglio 2023, n. 6791; id., 5 giugno 2023, n. 5489; id., 19 settembre 2022, n. 8084; id., 19 agosto 2022, n. 7297; id., sez. I, parere 16 giugno 2022, n. 943; id., sez. III, 30 gennaio 2020, n. 785.</w:t>
      </w:r>
    </w:p>
  </w:footnote>
  <w:footnote w:id="31">
    <w:p w:rsidR="00042F14" w:rsidRPr="00042F14" w:rsidRDefault="00042F14" w:rsidP="00042F14">
      <w:pPr>
        <w:pStyle w:val="Testonotaapidipagina"/>
        <w:jc w:val="both"/>
      </w:pPr>
      <w:r>
        <w:rPr>
          <w:rStyle w:val="Rimandonotaapidipagina"/>
        </w:rPr>
        <w:footnoteRef/>
      </w:r>
      <w:r>
        <w:t xml:space="preserve"> Cfr. </w:t>
      </w:r>
      <w:r>
        <w:rPr>
          <w:smallCaps/>
        </w:rPr>
        <w:t xml:space="preserve">P. Lombardi, </w:t>
      </w:r>
      <w:r>
        <w:rPr>
          <w:i/>
        </w:rPr>
        <w:t xml:space="preserve">Giudice amministrativo e cittadinanza, </w:t>
      </w:r>
      <w:r>
        <w:t>cit., § 3.</w:t>
      </w:r>
    </w:p>
  </w:footnote>
  <w:footnote w:id="32">
    <w:p w:rsidR="00042F14" w:rsidRPr="00042F14" w:rsidRDefault="00042F14" w:rsidP="00042F14">
      <w:pPr>
        <w:pStyle w:val="Testonotaapidipagina"/>
        <w:jc w:val="both"/>
      </w:pPr>
      <w:r>
        <w:rPr>
          <w:rStyle w:val="Rimandonotaapidipagina"/>
        </w:rPr>
        <w:footnoteRef/>
      </w:r>
      <w:r>
        <w:t xml:space="preserve"> Cfr. </w:t>
      </w:r>
      <w:r>
        <w:rPr>
          <w:smallCaps/>
        </w:rPr>
        <w:t xml:space="preserve">M. Noccelli, </w:t>
      </w:r>
      <w:r>
        <w:rPr>
          <w:i/>
        </w:rPr>
        <w:t xml:space="preserve">La giurisdizione del giudice amministrativo in materia di stranieri, </w:t>
      </w:r>
      <w:r>
        <w:t>cit., 31-32.</w:t>
      </w:r>
    </w:p>
  </w:footnote>
  <w:footnote w:id="33">
    <w:p w:rsidR="00B72F31" w:rsidRDefault="00B72F31" w:rsidP="00B72F31">
      <w:pPr>
        <w:pStyle w:val="Testonotaapidipagina"/>
        <w:jc w:val="both"/>
      </w:pPr>
      <w:r>
        <w:rPr>
          <w:rStyle w:val="Rimandonotaapidipagina"/>
        </w:rPr>
        <w:footnoteRef/>
      </w:r>
      <w:r>
        <w:t xml:space="preserve"> L’articolo 3 del d.P.R. n. 362/1994 quantifica il termine di conclusione del procedimento in 730 giorni dalla presentazione della domanda.</w:t>
      </w:r>
    </w:p>
  </w:footnote>
  <w:footnote w:id="34">
    <w:p w:rsidR="009E30A0" w:rsidRPr="005A62C5" w:rsidRDefault="009E30A0" w:rsidP="009E30A0">
      <w:pPr>
        <w:pStyle w:val="Testonotaapidipagina"/>
        <w:jc w:val="both"/>
      </w:pPr>
      <w:r>
        <w:rPr>
          <w:rStyle w:val="Rimandonotaapidipagina"/>
        </w:rPr>
        <w:footnoteRef/>
      </w:r>
      <w:r>
        <w:t xml:space="preserve"> Cfr., ad esempio, Cons. Stato, sez. III, 11 luglio 2025, n. 6112</w:t>
      </w:r>
      <w:r w:rsidR="005A62C5">
        <w:t>; id., 5 maggio 2025, n. 3752; id., 28 novembre 2024, n. 9565</w:t>
      </w:r>
      <w:r>
        <w:t>. Resta</w:t>
      </w:r>
      <w:r w:rsidR="005A62C5">
        <w:t>no ferme</w:t>
      </w:r>
      <w:r>
        <w:t xml:space="preserve">, in ogni caso, l’applicazione del principio </w:t>
      </w:r>
      <w:r>
        <w:rPr>
          <w:i/>
        </w:rPr>
        <w:t xml:space="preserve">tempus regit actum </w:t>
      </w:r>
      <w:r>
        <w:t xml:space="preserve">con la conseguente impossibilità di apprezzare circostanze sopravvenute in corso di giudizio ma successivamente al provvedimento impugnato (cfr. </w:t>
      </w:r>
      <w:r w:rsidR="005A62C5">
        <w:rPr>
          <w:i/>
        </w:rPr>
        <w:t xml:space="preserve">ex plurimis </w:t>
      </w:r>
      <w:r w:rsidR="005A62C5">
        <w:t>Cons. Stato, sez. III, 11 agosto 2025, n. 7003; id., 4 marzo 2025, n. 1835; id., 15 settembre 2023, n. 8371; id., 29 settembre 2022, n. 8390</w:t>
      </w:r>
      <w:r>
        <w:t xml:space="preserve">), </w:t>
      </w:r>
      <w:r w:rsidR="005A62C5">
        <w:t xml:space="preserve">nonché, con specifico riferimento alla riabilitazione, la precisazione che questa </w:t>
      </w:r>
      <w:r w:rsidR="005A62C5" w:rsidRPr="005A62C5">
        <w:rPr>
          <w:shd w:val="clear" w:color="auto" w:fill="FFFFFF"/>
        </w:rPr>
        <w:t>non implica alcun vincolo per l</w:t>
      </w:r>
      <w:r w:rsidR="00B72F31">
        <w:rPr>
          <w:shd w:val="clear" w:color="auto" w:fill="FFFFFF"/>
        </w:rPr>
        <w:t>’</w:t>
      </w:r>
      <w:r w:rsidR="005A62C5" w:rsidRPr="005A62C5">
        <w:rPr>
          <w:shd w:val="clear" w:color="auto" w:fill="FFFFFF"/>
        </w:rPr>
        <w:t>amministrazione, che ben può valutare la commissione dei fatti, costituenti reato, per trarne un giudizio di pericolosità o, comunque, di mancato inserimento sociale del richiedente la cittadinanza, avuto riguardo a tutte le circostanze del caso concreto</w:t>
      </w:r>
      <w:r w:rsidR="00B72F31">
        <w:rPr>
          <w:shd w:val="clear" w:color="auto" w:fill="FFFFFF"/>
        </w:rPr>
        <w:t xml:space="preserve"> (cfr. Cons. Stato, sez. III, 15 settembre 2023, n. 8364. Nello stesso senso, Cons. Stato, sez. III, 9 marzo 2023, n. 2486; id., 23 agosto 2022, n. 7402).</w:t>
      </w:r>
    </w:p>
  </w:footnote>
  <w:footnote w:id="35">
    <w:p w:rsidR="006F56C4" w:rsidRPr="006F56C4" w:rsidRDefault="006F56C4" w:rsidP="006F56C4">
      <w:pPr>
        <w:pStyle w:val="Testonotaapidipagina"/>
        <w:jc w:val="both"/>
      </w:pPr>
      <w:r>
        <w:rPr>
          <w:rStyle w:val="Rimandonotaapidipagina"/>
        </w:rPr>
        <w:footnoteRef/>
      </w:r>
      <w:r>
        <w:t xml:space="preserve"> Sul punto, cfr. </w:t>
      </w:r>
      <w:r>
        <w:rPr>
          <w:smallCaps/>
        </w:rPr>
        <w:t xml:space="preserve">L. Montanari, </w:t>
      </w:r>
      <w:r>
        <w:rPr>
          <w:i/>
        </w:rPr>
        <w:t xml:space="preserve">La cittadinanza in Europa: alcune riflessioni sugli sviluppi più recenti, </w:t>
      </w:r>
      <w:r>
        <w:t xml:space="preserve">in </w:t>
      </w:r>
      <w:r>
        <w:rPr>
          <w:i/>
        </w:rPr>
        <w:t xml:space="preserve">www.rivistaaic.it, </w:t>
      </w:r>
      <w:r>
        <w:t xml:space="preserve">n. 2/2012. Sul nesso inscindibile tra la disciplina della cittadinanza e la stessa forma di Stato, cfr. </w:t>
      </w:r>
      <w:r>
        <w:rPr>
          <w:smallCaps/>
        </w:rPr>
        <w:t xml:space="preserve">S. Staiano, </w:t>
      </w:r>
      <w:r>
        <w:rPr>
          <w:i/>
        </w:rPr>
        <w:t xml:space="preserve">Migrazioni e paradigmi della cittadinanza: alcune questioni di metodo, </w:t>
      </w:r>
      <w:r>
        <w:t xml:space="preserve">in </w:t>
      </w:r>
      <w:r>
        <w:rPr>
          <w:i/>
        </w:rPr>
        <w:t xml:space="preserve">www.federalismi.it, </w:t>
      </w:r>
      <w:r>
        <w:t xml:space="preserve">5 novembre 2008. </w:t>
      </w:r>
    </w:p>
  </w:footnote>
  <w:footnote w:id="36">
    <w:p w:rsidR="00F4125B" w:rsidRPr="00F4125B" w:rsidRDefault="00F4125B" w:rsidP="00F4125B">
      <w:pPr>
        <w:pStyle w:val="Testonotaapidipagina"/>
        <w:jc w:val="both"/>
      </w:pPr>
      <w:r>
        <w:rPr>
          <w:rStyle w:val="Rimandonotaapidipagina"/>
        </w:rPr>
        <w:footnoteRef/>
      </w:r>
      <w:r>
        <w:t xml:space="preserve"> Sul punto, cfr. </w:t>
      </w:r>
      <w:r>
        <w:rPr>
          <w:smallCaps/>
        </w:rPr>
        <w:t xml:space="preserve">N. Brutti, </w:t>
      </w:r>
      <w:r>
        <w:rPr>
          <w:i/>
        </w:rPr>
        <w:t xml:space="preserve">Il “sottile vincolo”: dubbi e prospettive sulla cittadinanza </w:t>
      </w:r>
      <w:r>
        <w:t xml:space="preserve">iure sanguinis, in </w:t>
      </w:r>
      <w:r>
        <w:rPr>
          <w:i/>
        </w:rPr>
        <w:t xml:space="preserve">www.federalismi.it, </w:t>
      </w:r>
      <w:r>
        <w:t>n. 13/2025.</w:t>
      </w:r>
    </w:p>
  </w:footnote>
  <w:footnote w:id="37">
    <w:p w:rsidR="00B421F0" w:rsidRPr="00B421F0" w:rsidRDefault="00B421F0" w:rsidP="00B421F0">
      <w:pPr>
        <w:pStyle w:val="Testonotaapidipagina"/>
        <w:jc w:val="both"/>
      </w:pPr>
      <w:r>
        <w:rPr>
          <w:rStyle w:val="Rimandonotaapidipagina"/>
        </w:rPr>
        <w:footnoteRef/>
      </w:r>
      <w:r>
        <w:t xml:space="preserve"> Cfr. ad esempio </w:t>
      </w:r>
      <w:r>
        <w:rPr>
          <w:smallCaps/>
        </w:rPr>
        <w:t xml:space="preserve">S. Romano, </w:t>
      </w:r>
      <w:r>
        <w:rPr>
          <w:i/>
        </w:rPr>
        <w:t xml:space="preserve">La teoria dei diritti pubblici subbiettivi, </w:t>
      </w:r>
      <w:r>
        <w:t xml:space="preserve">in </w:t>
      </w:r>
      <w:r>
        <w:rPr>
          <w:smallCaps/>
        </w:rPr>
        <w:t xml:space="preserve">V.E. Orlando </w:t>
      </w:r>
      <w:r>
        <w:t xml:space="preserve">(a cura di), </w:t>
      </w:r>
      <w:r>
        <w:rPr>
          <w:i/>
        </w:rPr>
        <w:t xml:space="preserve">Diritto amministrativo italiano, </w:t>
      </w:r>
      <w:r>
        <w:t>vol. I, Napoli, 1897, 173 ss.</w:t>
      </w:r>
    </w:p>
  </w:footnote>
  <w:footnote w:id="38">
    <w:p w:rsidR="006F0DD7" w:rsidRDefault="006F0DD7" w:rsidP="006F0DD7">
      <w:pPr>
        <w:pStyle w:val="Testonotaapidipagina"/>
        <w:jc w:val="both"/>
      </w:pPr>
      <w:r>
        <w:rPr>
          <w:rStyle w:val="Rimandonotaapidipagina"/>
        </w:rPr>
        <w:footnoteRef/>
      </w:r>
      <w:r>
        <w:t xml:space="preserve"> Cfr. Cass. civ., sez. un., 24 agosto 2022, n. 25317.</w:t>
      </w:r>
    </w:p>
  </w:footnote>
  <w:footnote w:id="39">
    <w:p w:rsidR="006F0DD7" w:rsidRPr="006F0DD7" w:rsidRDefault="006F0DD7" w:rsidP="006F0DD7">
      <w:pPr>
        <w:pStyle w:val="Testonotaapidipagina"/>
        <w:jc w:val="both"/>
      </w:pPr>
      <w:r>
        <w:rPr>
          <w:rStyle w:val="Rimandonotaapidipagina"/>
        </w:rPr>
        <w:footnoteRef/>
      </w:r>
      <w:r>
        <w:t xml:space="preserve"> Cfr. ad esempio </w:t>
      </w:r>
      <w:r>
        <w:rPr>
          <w:smallCaps/>
        </w:rPr>
        <w:t xml:space="preserve">G. Arangio-Ruiz, </w:t>
      </w:r>
      <w:r>
        <w:rPr>
          <w:i/>
        </w:rPr>
        <w:t xml:space="preserve">Istituzioni di diritto costituzionale italiano, </w:t>
      </w:r>
      <w:r>
        <w:t>Torino, 1913, 235 ss.</w:t>
      </w:r>
    </w:p>
  </w:footnote>
  <w:footnote w:id="40">
    <w:p w:rsidR="006F0DD7" w:rsidRPr="0007118D" w:rsidRDefault="006F0DD7" w:rsidP="006F0DD7">
      <w:pPr>
        <w:pStyle w:val="Testonotaapidipagina"/>
        <w:jc w:val="both"/>
      </w:pPr>
      <w:r>
        <w:rPr>
          <w:rStyle w:val="Rimandonotaapidipagina"/>
        </w:rPr>
        <w:footnoteRef/>
      </w:r>
      <w:r>
        <w:t xml:space="preserve"> Cfr. </w:t>
      </w:r>
      <w:r>
        <w:rPr>
          <w:smallCaps/>
        </w:rPr>
        <w:t xml:space="preserve">S. Staiano, </w:t>
      </w:r>
      <w:r w:rsidR="0007118D">
        <w:rPr>
          <w:i/>
        </w:rPr>
        <w:t xml:space="preserve">Migrazioni e paradigmi della cittadinanza, </w:t>
      </w:r>
      <w:r w:rsidR="0007118D">
        <w:t>cit., § 3, che riconduce almeno in parte questa crisi all’irrompere sulla scena della nozione di cittadinanza europea (introdotta dall’articolo I-10 § 1 del Trattato di Maastricht) con le sue peculiarità, prima fra tutte l’assenza di uno Stato nazionale cui riferirla.</w:t>
      </w:r>
    </w:p>
  </w:footnote>
  <w:footnote w:id="41">
    <w:p w:rsidR="008E1137" w:rsidRPr="008E1137" w:rsidRDefault="008E1137" w:rsidP="008E1137">
      <w:pPr>
        <w:pStyle w:val="Testonotaapidipagina"/>
        <w:jc w:val="both"/>
      </w:pPr>
      <w:r>
        <w:rPr>
          <w:rStyle w:val="Rimandonotaapidipagina"/>
        </w:rPr>
        <w:footnoteRef/>
      </w:r>
      <w:r>
        <w:t xml:space="preserve"> Cfr. </w:t>
      </w:r>
      <w:r>
        <w:rPr>
          <w:smallCaps/>
        </w:rPr>
        <w:t xml:space="preserve">C. Cudia, </w:t>
      </w:r>
      <w:r>
        <w:rPr>
          <w:i/>
        </w:rPr>
        <w:t xml:space="preserve">Acquisto della cittadinanza per naturalizzazione, </w:t>
      </w:r>
      <w:r>
        <w:t>cit., § 6.</w:t>
      </w:r>
    </w:p>
  </w:footnote>
  <w:footnote w:id="42">
    <w:p w:rsidR="008E1137" w:rsidRPr="008E1137" w:rsidRDefault="008E1137" w:rsidP="008E1137">
      <w:pPr>
        <w:pStyle w:val="Testonotaapidipagina"/>
        <w:jc w:val="both"/>
      </w:pPr>
      <w:r>
        <w:rPr>
          <w:rStyle w:val="Rimandonotaapidipagina"/>
        </w:rPr>
        <w:footnoteRef/>
      </w:r>
      <w:r>
        <w:t xml:space="preserve"> Cfr. </w:t>
      </w:r>
      <w:r>
        <w:rPr>
          <w:smallCaps/>
        </w:rPr>
        <w:t xml:space="preserve">S. Staiano, </w:t>
      </w:r>
      <w:r>
        <w:rPr>
          <w:i/>
        </w:rPr>
        <w:t xml:space="preserve">Migrazioni e paradigmi della cittadinanza, </w:t>
      </w:r>
      <w:r>
        <w:t>cit., § 5.</w:t>
      </w:r>
    </w:p>
  </w:footnote>
  <w:footnote w:id="43">
    <w:p w:rsidR="009A53D4" w:rsidRPr="009A53D4" w:rsidRDefault="009A53D4" w:rsidP="009A53D4">
      <w:pPr>
        <w:pStyle w:val="Testonotaapidipagina"/>
        <w:jc w:val="both"/>
      </w:pPr>
      <w:r>
        <w:rPr>
          <w:rStyle w:val="Rimandonotaapidipagina"/>
        </w:rPr>
        <w:footnoteRef/>
      </w:r>
      <w:r>
        <w:t xml:space="preserve"> </w:t>
      </w:r>
      <w:r>
        <w:rPr>
          <w:smallCaps/>
        </w:rPr>
        <w:t xml:space="preserve">A. Rauti, </w:t>
      </w:r>
      <w:r>
        <w:rPr>
          <w:i/>
        </w:rPr>
        <w:t xml:space="preserve">La cittadinanza tra “sostanza”, mercato e persona, </w:t>
      </w:r>
      <w:r>
        <w:t xml:space="preserve">in </w:t>
      </w:r>
      <w:r>
        <w:rPr>
          <w:i/>
        </w:rPr>
        <w:t xml:space="preserve">Riv. trim. dir. pubbl., </w:t>
      </w:r>
      <w:r>
        <w:t>2019, 2, 493 ss.</w:t>
      </w:r>
    </w:p>
  </w:footnote>
  <w:footnote w:id="44">
    <w:p w:rsidR="00437BAB" w:rsidRPr="00437BAB" w:rsidRDefault="00437BAB" w:rsidP="00437BAB">
      <w:pPr>
        <w:pStyle w:val="Testonotaapidipagina"/>
        <w:jc w:val="both"/>
      </w:pPr>
      <w:r>
        <w:rPr>
          <w:rStyle w:val="Rimandonotaapidipagina"/>
        </w:rPr>
        <w:footnoteRef/>
      </w:r>
      <w:r>
        <w:t xml:space="preserve"> Cfr. </w:t>
      </w:r>
      <w:r>
        <w:rPr>
          <w:smallCaps/>
        </w:rPr>
        <w:t xml:space="preserve">A. Rauti, </w:t>
      </w:r>
      <w:r>
        <w:rPr>
          <w:i/>
        </w:rPr>
        <w:t xml:space="preserve">La cittadinanza, </w:t>
      </w:r>
      <w:r>
        <w:t>cit., 501 ss.</w:t>
      </w:r>
    </w:p>
  </w:footnote>
  <w:footnote w:id="45">
    <w:p w:rsidR="00437BAB" w:rsidRPr="00BF32B3" w:rsidRDefault="00437BAB" w:rsidP="00437BAB">
      <w:pPr>
        <w:pStyle w:val="Testonotaapidipagina"/>
        <w:jc w:val="both"/>
      </w:pPr>
      <w:r>
        <w:rPr>
          <w:rStyle w:val="Rimandonotaapidipagina"/>
        </w:rPr>
        <w:footnoteRef/>
      </w:r>
      <w:r>
        <w:t xml:space="preserve"> Sulle ragioni storiche per le quali l’articolo 9 della legge n. 91/1992 continua a impiegare il modello concessorio, e sulle </w:t>
      </w:r>
      <w:r w:rsidR="00BF32B3">
        <w:t xml:space="preserve">ricadute di tale opzione, cfr. </w:t>
      </w:r>
      <w:r w:rsidR="00BF32B3">
        <w:rPr>
          <w:smallCaps/>
        </w:rPr>
        <w:t xml:space="preserve">C. Cudia, </w:t>
      </w:r>
      <w:r w:rsidR="00BF32B3">
        <w:rPr>
          <w:i/>
        </w:rPr>
        <w:t xml:space="preserve">Acquisto della cittadinanza per naturalizzazione, </w:t>
      </w:r>
      <w:r w:rsidR="00BF32B3">
        <w:t>cit., § 3.</w:t>
      </w:r>
    </w:p>
  </w:footnote>
  <w:footnote w:id="46">
    <w:p w:rsidR="00BF32B3" w:rsidRPr="00BF32B3" w:rsidRDefault="00BF32B3" w:rsidP="00BF32B3">
      <w:pPr>
        <w:pStyle w:val="Testonotaapidipagina"/>
        <w:jc w:val="both"/>
      </w:pPr>
      <w:r>
        <w:rPr>
          <w:rStyle w:val="Rimandonotaapidipagina"/>
        </w:rPr>
        <w:footnoteRef/>
      </w:r>
      <w:r>
        <w:t xml:space="preserve"> Sulle difficoltà di conferire un ancoraggio giuridico-formale ai fenomeni emergenti nella prassi di espansione limitata a favore degli stranieri dei diritti connessi alla cittadinanza (c.d. </w:t>
      </w:r>
      <w:r>
        <w:rPr>
          <w:i/>
        </w:rPr>
        <w:t>denizenship</w:t>
      </w:r>
      <w:r>
        <w:t xml:space="preserve">), cfr. </w:t>
      </w:r>
      <w:r>
        <w:rPr>
          <w:smallCaps/>
        </w:rPr>
        <w:t xml:space="preserve">S. Staiano, </w:t>
      </w:r>
      <w:r>
        <w:rPr>
          <w:i/>
        </w:rPr>
        <w:t xml:space="preserve">Migrazioni e paradigmi della cittadinanza, </w:t>
      </w:r>
      <w:r>
        <w:t>cit., § 4.1.</w:t>
      </w:r>
    </w:p>
  </w:footnote>
  <w:footnote w:id="47">
    <w:p w:rsidR="004D0884" w:rsidRPr="004D0884" w:rsidRDefault="004D0884" w:rsidP="004D0884">
      <w:pPr>
        <w:pStyle w:val="Testonotaapidipagina"/>
        <w:jc w:val="both"/>
      </w:pPr>
      <w:r>
        <w:rPr>
          <w:rStyle w:val="Rimandonotaapidipagina"/>
        </w:rPr>
        <w:footnoteRef/>
      </w:r>
      <w:r>
        <w:t xml:space="preserve"> Cfr. </w:t>
      </w:r>
      <w:r>
        <w:rPr>
          <w:smallCaps/>
        </w:rPr>
        <w:t xml:space="preserve">C. Bertolino, </w:t>
      </w:r>
      <w:r>
        <w:rPr>
          <w:i/>
        </w:rPr>
        <w:t xml:space="preserve">Paradossi della cittadinanza nella legge di conversione del decreto legge c.d. Sicurezza, </w:t>
      </w:r>
      <w:r>
        <w:t xml:space="preserve">in </w:t>
      </w:r>
      <w:r>
        <w:rPr>
          <w:i/>
        </w:rPr>
        <w:t xml:space="preserve">www.federalismi.it, </w:t>
      </w:r>
      <w:r>
        <w:t>n. 3/2019.</w:t>
      </w:r>
    </w:p>
  </w:footnote>
  <w:footnote w:id="48">
    <w:p w:rsidR="00FF117E" w:rsidRPr="00442FC0" w:rsidRDefault="00FF117E" w:rsidP="00FF117E">
      <w:pPr>
        <w:pStyle w:val="Testonotaapidipagina"/>
        <w:jc w:val="both"/>
      </w:pPr>
      <w:r>
        <w:rPr>
          <w:rStyle w:val="Rimandonotaapidipagina"/>
        </w:rPr>
        <w:footnoteRef/>
      </w:r>
      <w:r>
        <w:t xml:space="preserve"> Già nel 1990 il Consiglio di Stato affermava che </w:t>
      </w:r>
      <w:r w:rsidRPr="00442FC0">
        <w:rPr>
          <w:color w:val="000000"/>
        </w:rPr>
        <w:t xml:space="preserve">l’articolo 51, Cost. </w:t>
      </w:r>
      <w:r w:rsidR="00442FC0">
        <w:rPr>
          <w:color w:val="000000"/>
        </w:rPr>
        <w:t>“</w:t>
      </w:r>
      <w:r w:rsidRPr="00442FC0">
        <w:rPr>
          <w:i/>
          <w:iCs/>
          <w:color w:val="000000"/>
        </w:rPr>
        <w:t>non mira a riservare ai cittadini italiani l’accesso ai pubblici uffici, ma mira a garantire l’uguaglianza dei cittadini senza discriminazioni o limiti, e nel prevedere la possibilità di parificare – con legge nazionale – ai cittadini gli italiani non appartenenti alla Repubblica, si caratterizza come una norma ‘aperturista’ e non come ‘preclusiva’</w:t>
      </w:r>
      <w:r w:rsidR="00442FC0">
        <w:rPr>
          <w:color w:val="000000"/>
        </w:rPr>
        <w:t>” (cfr. Cons. Stato, sez. II, parere 20 gennaio 1990, n. 234).</w:t>
      </w:r>
    </w:p>
  </w:footnote>
  <w:footnote w:id="49">
    <w:p w:rsidR="00442FC0" w:rsidRPr="00442FC0" w:rsidRDefault="00442FC0" w:rsidP="00442FC0">
      <w:pPr>
        <w:pStyle w:val="Testonotaapidipagina"/>
        <w:jc w:val="both"/>
      </w:pPr>
      <w:r>
        <w:rPr>
          <w:rStyle w:val="Rimandonotaapidipagina"/>
        </w:rPr>
        <w:footnoteRef/>
      </w:r>
      <w:r>
        <w:t xml:space="preserve"> Come è noto, è con le riforme del 1998-2000 che si è compiuto il “salto di qualità” (poi portato a compimento dal codice del processo amministrativo) nella trasformazione del processo amministrativo da giudizio “</w:t>
      </w:r>
      <w:r w:rsidRPr="00442FC0">
        <w:rPr>
          <w:i/>
        </w:rPr>
        <w:t>sull’atto</w:t>
      </w:r>
      <w:r>
        <w:t>” a giudizio “</w:t>
      </w:r>
      <w:r>
        <w:rPr>
          <w:i/>
        </w:rPr>
        <w:t>sul rapporto</w:t>
      </w:r>
      <w:r>
        <w:t>”, con l’introduzione di strumenti e tecniche processuali tali da consentire al giudice amministrativo di andare al di là della sola considerazione del provvedimento impugnato e degli atti che lo hanno preceduto e accompagnato, per potere prendere piena cognizione dell’intera vicenda amministrativa</w:t>
      </w:r>
      <w:r w:rsidR="001A28C0">
        <w:t xml:space="preserve"> controversa</w:t>
      </w:r>
      <w:r>
        <w:t xml:space="preserve">. Sul punto, fra i primi commenti, cfr. </w:t>
      </w:r>
      <w:r>
        <w:rPr>
          <w:smallCaps/>
        </w:rPr>
        <w:t xml:space="preserve">G. Abbamonte, </w:t>
      </w:r>
      <w:r w:rsidRPr="0016554A">
        <w:rPr>
          <w:i/>
        </w:rPr>
        <w:t xml:space="preserve">L’ingresso del fatto nel processo amministrativo, </w:t>
      </w:r>
      <w:r w:rsidRPr="0016554A">
        <w:t xml:space="preserve">in </w:t>
      </w:r>
      <w:r w:rsidRPr="0016554A">
        <w:rPr>
          <w:i/>
        </w:rPr>
        <w:t xml:space="preserve">www.giustamm.it, </w:t>
      </w:r>
      <w:r w:rsidRPr="0016554A">
        <w:t>novembre 2002.</w:t>
      </w:r>
    </w:p>
  </w:footnote>
  <w:footnote w:id="50">
    <w:p w:rsidR="00442FC0" w:rsidRPr="00136A33" w:rsidRDefault="00442FC0" w:rsidP="00442FC0">
      <w:pPr>
        <w:pStyle w:val="Testonotaapidipagina"/>
        <w:jc w:val="both"/>
      </w:pPr>
      <w:r>
        <w:rPr>
          <w:rStyle w:val="Rimandonotaapidipagina"/>
        </w:rPr>
        <w:footnoteRef/>
      </w:r>
      <w:r>
        <w:t xml:space="preserve"> </w:t>
      </w:r>
      <w:r w:rsidR="00136A33">
        <w:t xml:space="preserve">Cfr. </w:t>
      </w:r>
      <w:r w:rsidR="00136A33">
        <w:rPr>
          <w:smallCaps/>
        </w:rPr>
        <w:t xml:space="preserve">C. Cudia, </w:t>
      </w:r>
      <w:r w:rsidR="00136A33">
        <w:rPr>
          <w:i/>
        </w:rPr>
        <w:t xml:space="preserve">Acquisto della cittadinanza per naturalizzazione, </w:t>
      </w:r>
      <w:r w:rsidR="00136A33">
        <w:t>cit.</w:t>
      </w:r>
    </w:p>
  </w:footnote>
  <w:footnote w:id="51">
    <w:p w:rsidR="00136A33" w:rsidRPr="00317049" w:rsidRDefault="00136A33" w:rsidP="00136A33">
      <w:pPr>
        <w:pStyle w:val="Testonotaapidipagina"/>
        <w:jc w:val="both"/>
        <w:rPr>
          <w:smallCaps/>
        </w:rPr>
      </w:pPr>
      <w:r>
        <w:rPr>
          <w:rStyle w:val="Rimandonotaapidipagina"/>
        </w:rPr>
        <w:footnoteRef/>
      </w:r>
      <w:r>
        <w:t xml:space="preserve"> Cfr. </w:t>
      </w:r>
      <w:r>
        <w:rPr>
          <w:smallCaps/>
        </w:rPr>
        <w:t xml:space="preserve">C. Cudia, </w:t>
      </w:r>
      <w:r>
        <w:rPr>
          <w:i/>
        </w:rPr>
        <w:t xml:space="preserve">Acquisto della cittadinanza per naturalizzazione, </w:t>
      </w:r>
      <w:r>
        <w:t>cit., § 6, laddove si assume che dovrebbe essere “</w:t>
      </w:r>
      <w:r>
        <w:rPr>
          <w:i/>
        </w:rPr>
        <w:t>la legge (e non, indirettamente, il regolamento o gli atti ministeriali né, tantomeno, il giudice) a definire compiutamente gli elementi che devono essere verificati o valutati</w:t>
      </w:r>
      <w:r>
        <w:t xml:space="preserve">” e che </w:t>
      </w:r>
      <w:r w:rsidR="00317049">
        <w:t>“</w:t>
      </w:r>
      <w:r w:rsidR="00317049">
        <w:rPr>
          <w:i/>
        </w:rPr>
        <w:t>in uno Stato (costituzionale) di diritto, in assenza di un compiuto schema legislativo, l’amministrazione non può autoattribuirsi né poteri valutativi, né (tantomeno) poteri discrezionali in senso stretto</w:t>
      </w:r>
      <w:r w:rsidR="00317049">
        <w:t>”. Ma è l’esperienza stessa a evidenziare, come peraltro riconosciuto dalla stessa A., come in questo settore, al pari di altri, sia il legislatore stesso a “devolvere” il compito all’amministrazione attraverso l’impiego di concetti giuridici indeterminati.</w:t>
      </w:r>
    </w:p>
  </w:footnote>
  <w:footnote w:id="52">
    <w:p w:rsidR="00317049" w:rsidRDefault="00317049" w:rsidP="00317049">
      <w:pPr>
        <w:pStyle w:val="Testonotaapidipagina"/>
        <w:jc w:val="both"/>
      </w:pPr>
      <w:r>
        <w:rPr>
          <w:rStyle w:val="Rimandonotaapidipagina"/>
        </w:rPr>
        <w:footnoteRef/>
      </w:r>
      <w:r>
        <w:t xml:space="preserve"> Cfr. Cons. Stato, sez. VII, 15 luglio 2025, n. 6190; id., sez. III, 23 luglio 2024, n. 6664; id., 21 febbraio 2024, n. 1734; id., 18 settembre 2023, n. </w:t>
      </w:r>
      <w:r w:rsidR="00897885">
        <w:t>8379.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885" w:rsidRDefault="0089788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885" w:rsidRDefault="0089788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885" w:rsidRDefault="0089788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5668E1"/>
    <w:multiLevelType w:val="hybridMultilevel"/>
    <w:tmpl w:val="985465EC"/>
    <w:lvl w:ilvl="0" w:tplc="3B7EB650">
      <w:start w:val="2"/>
      <w:numFmt w:val="bullet"/>
      <w:lvlText w:val="-"/>
      <w:lvlJc w:val="left"/>
      <w:pPr>
        <w:ind w:left="786" w:hanging="360"/>
      </w:pPr>
      <w:rPr>
        <w:rFonts w:ascii="Times New Roman" w:eastAsiaTheme="minorHAnsi" w:hAnsi="Times New Roman"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E68"/>
    <w:rsid w:val="00012820"/>
    <w:rsid w:val="00042F14"/>
    <w:rsid w:val="0006462A"/>
    <w:rsid w:val="0007118D"/>
    <w:rsid w:val="00090B39"/>
    <w:rsid w:val="000F4DCF"/>
    <w:rsid w:val="000F6935"/>
    <w:rsid w:val="00126875"/>
    <w:rsid w:val="001276AA"/>
    <w:rsid w:val="00132B10"/>
    <w:rsid w:val="00136A33"/>
    <w:rsid w:val="001624CC"/>
    <w:rsid w:val="00193B1A"/>
    <w:rsid w:val="001A28C0"/>
    <w:rsid w:val="001E48E8"/>
    <w:rsid w:val="00230405"/>
    <w:rsid w:val="002A230C"/>
    <w:rsid w:val="002C6B82"/>
    <w:rsid w:val="002E7038"/>
    <w:rsid w:val="00317049"/>
    <w:rsid w:val="003E67D1"/>
    <w:rsid w:val="003F6FDB"/>
    <w:rsid w:val="0043246B"/>
    <w:rsid w:val="00437BAB"/>
    <w:rsid w:val="00442FC0"/>
    <w:rsid w:val="00443D26"/>
    <w:rsid w:val="004D0884"/>
    <w:rsid w:val="005271DE"/>
    <w:rsid w:val="0058152A"/>
    <w:rsid w:val="00582BA2"/>
    <w:rsid w:val="005A62C5"/>
    <w:rsid w:val="005C15E7"/>
    <w:rsid w:val="00601F59"/>
    <w:rsid w:val="00602DBA"/>
    <w:rsid w:val="00633A5F"/>
    <w:rsid w:val="00660C78"/>
    <w:rsid w:val="006A1B63"/>
    <w:rsid w:val="006F0DD7"/>
    <w:rsid w:val="006F56C4"/>
    <w:rsid w:val="0074667C"/>
    <w:rsid w:val="007907C9"/>
    <w:rsid w:val="00833BFC"/>
    <w:rsid w:val="00897885"/>
    <w:rsid w:val="008E1137"/>
    <w:rsid w:val="009577A6"/>
    <w:rsid w:val="009666DC"/>
    <w:rsid w:val="009766CD"/>
    <w:rsid w:val="009A53D4"/>
    <w:rsid w:val="009E30A0"/>
    <w:rsid w:val="009F35C8"/>
    <w:rsid w:val="00A26AB4"/>
    <w:rsid w:val="00A80CBA"/>
    <w:rsid w:val="00AE50E4"/>
    <w:rsid w:val="00AF2414"/>
    <w:rsid w:val="00B21CA0"/>
    <w:rsid w:val="00B421F0"/>
    <w:rsid w:val="00B72F31"/>
    <w:rsid w:val="00B83430"/>
    <w:rsid w:val="00B865A0"/>
    <w:rsid w:val="00BB5E86"/>
    <w:rsid w:val="00BD397B"/>
    <w:rsid w:val="00BF32B3"/>
    <w:rsid w:val="00C006AF"/>
    <w:rsid w:val="00C80549"/>
    <w:rsid w:val="00D41FF8"/>
    <w:rsid w:val="00DA6730"/>
    <w:rsid w:val="00E876D0"/>
    <w:rsid w:val="00EE1707"/>
    <w:rsid w:val="00F4125B"/>
    <w:rsid w:val="00F850CF"/>
    <w:rsid w:val="00FB2E68"/>
    <w:rsid w:val="00FD66E5"/>
    <w:rsid w:val="00FF11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A8633"/>
  <w15:chartTrackingRefBased/>
  <w15:docId w15:val="{FFCE78EA-D27E-41AC-9EB0-46F6CBE7B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it-IT"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B2E68"/>
    <w:pPr>
      <w:ind w:left="720"/>
      <w:contextualSpacing/>
    </w:pPr>
  </w:style>
  <w:style w:type="paragraph" w:styleId="Testonotaapidipagina">
    <w:name w:val="footnote text"/>
    <w:basedOn w:val="Normale"/>
    <w:link w:val="TestonotaapidipaginaCarattere"/>
    <w:uiPriority w:val="99"/>
    <w:semiHidden/>
    <w:unhideWhenUsed/>
    <w:rsid w:val="007907C9"/>
    <w:rPr>
      <w:sz w:val="20"/>
      <w:szCs w:val="20"/>
    </w:rPr>
  </w:style>
  <w:style w:type="character" w:customStyle="1" w:styleId="TestonotaapidipaginaCarattere">
    <w:name w:val="Testo nota a piè di pagina Carattere"/>
    <w:basedOn w:val="Carpredefinitoparagrafo"/>
    <w:link w:val="Testonotaapidipagina"/>
    <w:uiPriority w:val="99"/>
    <w:semiHidden/>
    <w:rsid w:val="007907C9"/>
    <w:rPr>
      <w:sz w:val="20"/>
      <w:szCs w:val="20"/>
    </w:rPr>
  </w:style>
  <w:style w:type="character" w:styleId="Rimandonotaapidipagina">
    <w:name w:val="footnote reference"/>
    <w:basedOn w:val="Carpredefinitoparagrafo"/>
    <w:uiPriority w:val="99"/>
    <w:semiHidden/>
    <w:unhideWhenUsed/>
    <w:rsid w:val="007907C9"/>
    <w:rPr>
      <w:vertAlign w:val="superscript"/>
    </w:rPr>
  </w:style>
  <w:style w:type="character" w:styleId="Collegamentoipertestuale">
    <w:name w:val="Hyperlink"/>
    <w:basedOn w:val="Carpredefinitoparagrafo"/>
    <w:uiPriority w:val="99"/>
    <w:unhideWhenUsed/>
    <w:rsid w:val="00E876D0"/>
    <w:rPr>
      <w:color w:val="0563C1" w:themeColor="hyperlink"/>
      <w:u w:val="single"/>
    </w:rPr>
  </w:style>
  <w:style w:type="character" w:customStyle="1" w:styleId="wk-highlight">
    <w:name w:val="wk-highlight"/>
    <w:basedOn w:val="Carpredefinitoparagrafo"/>
    <w:rsid w:val="00132B10"/>
  </w:style>
  <w:style w:type="paragraph" w:styleId="Intestazione">
    <w:name w:val="header"/>
    <w:basedOn w:val="Normale"/>
    <w:link w:val="IntestazioneCarattere"/>
    <w:uiPriority w:val="99"/>
    <w:unhideWhenUsed/>
    <w:rsid w:val="00897885"/>
    <w:pPr>
      <w:tabs>
        <w:tab w:val="center" w:pos="4819"/>
        <w:tab w:val="right" w:pos="9638"/>
      </w:tabs>
    </w:pPr>
  </w:style>
  <w:style w:type="character" w:customStyle="1" w:styleId="IntestazioneCarattere">
    <w:name w:val="Intestazione Carattere"/>
    <w:basedOn w:val="Carpredefinitoparagrafo"/>
    <w:link w:val="Intestazione"/>
    <w:uiPriority w:val="99"/>
    <w:rsid w:val="00897885"/>
  </w:style>
  <w:style w:type="paragraph" w:styleId="Pidipagina">
    <w:name w:val="footer"/>
    <w:basedOn w:val="Normale"/>
    <w:link w:val="PidipaginaCarattere"/>
    <w:uiPriority w:val="99"/>
    <w:unhideWhenUsed/>
    <w:rsid w:val="00897885"/>
    <w:pPr>
      <w:tabs>
        <w:tab w:val="center" w:pos="4819"/>
        <w:tab w:val="right" w:pos="9638"/>
      </w:tabs>
    </w:pPr>
  </w:style>
  <w:style w:type="character" w:customStyle="1" w:styleId="PidipaginaCarattere">
    <w:name w:val="Piè di pagina Carattere"/>
    <w:basedOn w:val="Carpredefinitoparagrafo"/>
    <w:link w:val="Pidipagina"/>
    <w:uiPriority w:val="99"/>
    <w:rsid w:val="00897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onepa.wolterskluwer.it/normativa/10LX0000102348ART2?pathId=8da6764be641b" TargetMode="External"/><Relationship Id="rId2" Type="http://schemas.openxmlformats.org/officeDocument/2006/relationships/hyperlink" Target="https://onepa.wolterskluwer.it/normativa/10LX0000102347SOMM?pathId=8da6764be641b" TargetMode="External"/><Relationship Id="rId1" Type="http://schemas.openxmlformats.org/officeDocument/2006/relationships/hyperlink" Target="https://onepa.wolterskluwer.it/normativa/10LX0000102347ART2?pathId=8da6764be641b" TargetMode="External"/><Relationship Id="rId5" Type="http://schemas.openxmlformats.org/officeDocument/2006/relationships/hyperlink" Target="https://onepa.wolterskluwer.it/document/10SE0001087388?pathId=8da6764be641b" TargetMode="External"/><Relationship Id="rId4" Type="http://schemas.openxmlformats.org/officeDocument/2006/relationships/hyperlink" Target="https://onepa.wolterskluwer.it/normativa/10LX0000102348SOMM?pathId=8da6764be641b"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A047B-1E74-4B59-9F37-41E561411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747</TotalTime>
  <Pages>11</Pages>
  <Words>5192</Words>
  <Characters>29595</Characters>
  <Application>Microsoft Office Word</Application>
  <DocSecurity>0</DocSecurity>
  <Lines>246</Lines>
  <Paragraphs>69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GRECO Raffaele</dc:creator>
  <cp:keywords/>
  <dc:description/>
  <cp:lastModifiedBy>GRECO Raffaele</cp:lastModifiedBy>
  <cp:revision>7</cp:revision>
  <dcterms:created xsi:type="dcterms:W3CDTF">2025-09-15T15:01:00Z</dcterms:created>
  <dcterms:modified xsi:type="dcterms:W3CDTF">2025-09-23T14:08:00Z</dcterms:modified>
</cp:coreProperties>
</file>