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3E19" w:rsidRDefault="00ED7FBA" w:rsidP="00ED7FBA">
      <w:pPr>
        <w:jc w:val="center"/>
        <w:rPr>
          <w:i/>
        </w:rPr>
      </w:pPr>
      <w:r>
        <w:rPr>
          <w:i/>
        </w:rPr>
        <w:t>Raffaele Greco</w:t>
      </w:r>
    </w:p>
    <w:p w:rsidR="00ED7FBA" w:rsidRDefault="00ED7FBA" w:rsidP="00ED7FBA">
      <w:pPr>
        <w:jc w:val="center"/>
      </w:pPr>
      <w:r>
        <w:t>(Presidente di sezione del Consiglio di Stato)</w:t>
      </w:r>
    </w:p>
    <w:p w:rsidR="00ED7FBA" w:rsidRDefault="00ED7FBA" w:rsidP="00ED7FBA">
      <w:pPr>
        <w:jc w:val="center"/>
      </w:pPr>
    </w:p>
    <w:p w:rsidR="00ED7FBA" w:rsidRDefault="00ED7FBA" w:rsidP="00ED7FBA">
      <w:pPr>
        <w:jc w:val="center"/>
        <w:rPr>
          <w:b/>
          <w:caps/>
        </w:rPr>
      </w:pPr>
      <w:r>
        <w:rPr>
          <w:b/>
          <w:caps/>
        </w:rPr>
        <w:t>“doppia pregiudizialità” e dialogo tra corti:</w:t>
      </w:r>
    </w:p>
    <w:p w:rsidR="00ED7FBA" w:rsidRDefault="00ED7FBA" w:rsidP="00ED7FBA">
      <w:pPr>
        <w:jc w:val="center"/>
        <w:rPr>
          <w:b/>
          <w:caps/>
        </w:rPr>
      </w:pPr>
      <w:r>
        <w:rPr>
          <w:b/>
          <w:caps/>
        </w:rPr>
        <w:t>il punto di vista del giudice amministrativo</w:t>
      </w:r>
      <w:r w:rsidR="00F27DB5" w:rsidRPr="00F27DB5">
        <w:rPr>
          <w:rStyle w:val="Rimandonotaapidipagina"/>
          <w:b/>
          <w:caps/>
        </w:rPr>
        <w:footnoteReference w:customMarkFollows="1" w:id="1"/>
        <w:sym w:font="Symbol" w:char="F02A"/>
      </w:r>
    </w:p>
    <w:p w:rsidR="00F432E0" w:rsidRDefault="00F432E0" w:rsidP="00ED7FBA">
      <w:pPr>
        <w:jc w:val="center"/>
        <w:rPr>
          <w:b/>
          <w:caps/>
        </w:rPr>
      </w:pPr>
    </w:p>
    <w:p w:rsidR="0078714E" w:rsidRPr="001D1F13" w:rsidRDefault="00F432E0" w:rsidP="0078714E">
      <w:pPr>
        <w:rPr>
          <w:sz w:val="20"/>
          <w:szCs w:val="20"/>
        </w:rPr>
      </w:pPr>
      <w:r>
        <w:rPr>
          <w:b/>
          <w:caps/>
          <w:sz w:val="20"/>
          <w:szCs w:val="20"/>
        </w:rPr>
        <w:t xml:space="preserve">1. </w:t>
      </w:r>
      <w:r>
        <w:rPr>
          <w:caps/>
          <w:sz w:val="20"/>
          <w:szCs w:val="20"/>
        </w:rPr>
        <w:t>P</w:t>
      </w:r>
      <w:r>
        <w:rPr>
          <w:sz w:val="20"/>
          <w:szCs w:val="20"/>
        </w:rPr>
        <w:t xml:space="preserve">remessa. – </w:t>
      </w:r>
      <w:r>
        <w:rPr>
          <w:b/>
          <w:sz w:val="20"/>
          <w:szCs w:val="20"/>
        </w:rPr>
        <w:t xml:space="preserve">2. </w:t>
      </w:r>
      <w:r w:rsidRPr="00F432E0">
        <w:rPr>
          <w:sz w:val="20"/>
          <w:szCs w:val="20"/>
        </w:rPr>
        <w:t>La “doppia pregiudizialità” dalla sentenza n. 269 del 2017 alla sentenza n. 181 del 2024.</w:t>
      </w:r>
      <w:r>
        <w:rPr>
          <w:sz w:val="20"/>
          <w:szCs w:val="20"/>
        </w:rPr>
        <w:t xml:space="preserve"> – </w:t>
      </w:r>
      <w:r>
        <w:rPr>
          <w:b/>
          <w:sz w:val="20"/>
          <w:szCs w:val="20"/>
        </w:rPr>
        <w:t xml:space="preserve">3. </w:t>
      </w:r>
      <w:r w:rsidR="0078714E" w:rsidRPr="0078714E">
        <w:rPr>
          <w:sz w:val="20"/>
          <w:szCs w:val="20"/>
        </w:rPr>
        <w:t>La definizione dei criteri di orientamento e la posizione del giudice amministrativo.</w:t>
      </w:r>
      <w:r w:rsidR="0078714E">
        <w:rPr>
          <w:sz w:val="20"/>
          <w:szCs w:val="20"/>
        </w:rPr>
        <w:t xml:space="preserve"> – </w:t>
      </w:r>
      <w:r w:rsidR="0078714E">
        <w:rPr>
          <w:b/>
          <w:sz w:val="20"/>
          <w:szCs w:val="20"/>
        </w:rPr>
        <w:t xml:space="preserve">4. </w:t>
      </w:r>
      <w:r w:rsidR="001D1F13">
        <w:rPr>
          <w:sz w:val="20"/>
          <w:szCs w:val="20"/>
        </w:rPr>
        <w:t xml:space="preserve">Dialogo sì, ma tra quali (e quante) </w:t>
      </w:r>
      <w:r w:rsidR="0078714E" w:rsidRPr="0078714E">
        <w:rPr>
          <w:rFonts w:eastAsia="Times New Roman"/>
          <w:sz w:val="20"/>
          <w:szCs w:val="20"/>
          <w:lang w:eastAsia="it-IT"/>
        </w:rPr>
        <w:t>Corti</w:t>
      </w:r>
      <w:r w:rsidR="001D1F13">
        <w:rPr>
          <w:rFonts w:eastAsia="Times New Roman"/>
          <w:sz w:val="20"/>
          <w:szCs w:val="20"/>
          <w:lang w:eastAsia="it-IT"/>
        </w:rPr>
        <w:t xml:space="preserve">? – </w:t>
      </w:r>
      <w:r w:rsidR="001D1F13">
        <w:rPr>
          <w:rFonts w:eastAsia="Times New Roman"/>
          <w:b/>
          <w:sz w:val="20"/>
          <w:szCs w:val="20"/>
          <w:lang w:eastAsia="it-IT"/>
        </w:rPr>
        <w:t xml:space="preserve">5. </w:t>
      </w:r>
      <w:r w:rsidR="00486E01">
        <w:rPr>
          <w:rFonts w:eastAsia="Times New Roman"/>
          <w:sz w:val="20"/>
          <w:szCs w:val="20"/>
          <w:lang w:eastAsia="it-IT"/>
        </w:rPr>
        <w:t>Conclusioni: i rischi dell’accentramento nell’era del “sovranismo giudiziario”.</w:t>
      </w:r>
    </w:p>
    <w:p w:rsidR="00F432E0" w:rsidRPr="00F432E0" w:rsidRDefault="00F432E0" w:rsidP="00F432E0">
      <w:pPr>
        <w:ind w:left="426"/>
        <w:rPr>
          <w:b/>
          <w:sz w:val="20"/>
          <w:szCs w:val="20"/>
        </w:rPr>
      </w:pPr>
    </w:p>
    <w:p w:rsidR="004B52C9" w:rsidRDefault="004B52C9" w:rsidP="00ED7FBA">
      <w:pPr>
        <w:jc w:val="center"/>
        <w:rPr>
          <w:b/>
          <w:caps/>
        </w:rPr>
      </w:pPr>
    </w:p>
    <w:p w:rsidR="004B52C9" w:rsidRDefault="004B52C9" w:rsidP="00ED7FBA">
      <w:pPr>
        <w:jc w:val="center"/>
        <w:rPr>
          <w:b/>
          <w:caps/>
        </w:rPr>
      </w:pPr>
    </w:p>
    <w:p w:rsidR="004B52C9" w:rsidRDefault="004B52C9" w:rsidP="004B52C9">
      <w:pPr>
        <w:ind w:firstLine="426"/>
        <w:rPr>
          <w:b/>
        </w:rPr>
      </w:pPr>
      <w:r>
        <w:rPr>
          <w:b/>
        </w:rPr>
        <w:t>1. Premessa.</w:t>
      </w:r>
    </w:p>
    <w:p w:rsidR="00147405" w:rsidRDefault="00147405" w:rsidP="004B52C9">
      <w:pPr>
        <w:ind w:firstLine="426"/>
      </w:pPr>
    </w:p>
    <w:p w:rsidR="004B52C9" w:rsidRDefault="004B52C9" w:rsidP="004B52C9">
      <w:pPr>
        <w:ind w:firstLine="426"/>
      </w:pPr>
      <w:r>
        <w:t xml:space="preserve">Il tema che </w:t>
      </w:r>
      <w:r w:rsidR="00D55D06">
        <w:t>con espressione generica</w:t>
      </w:r>
      <w:r>
        <w:t xml:space="preserve"> </w:t>
      </w:r>
      <w:r w:rsidR="00D55D06">
        <w:t xml:space="preserve">è noto come </w:t>
      </w:r>
      <w:r>
        <w:t>della c.d. “doppia pregiudizialità”</w:t>
      </w:r>
      <w:r w:rsidR="00D55D06">
        <w:rPr>
          <w:rStyle w:val="Rimandonotaapidipagina"/>
        </w:rPr>
        <w:footnoteReference w:id="2"/>
      </w:r>
      <w:r>
        <w:t>, ossia del</w:t>
      </w:r>
      <w:r w:rsidR="00D55D06">
        <w:t>la possibilità che in uno stesso</w:t>
      </w:r>
      <w:r w:rsidR="004C3449">
        <w:t xml:space="preserve"> giudizio</w:t>
      </w:r>
      <w:r w:rsidR="00D55D06">
        <w:t xml:space="preserve"> possano venire in rilievo al tempo stesso, in relazione alle medesime disposizioni di legge, questioni di legittimità costituzionale e questioni di compatibilità con il diritto dell’Unione europea,</w:t>
      </w:r>
      <w:r w:rsidR="00F84D0F">
        <w:t xml:space="preserve"> è oggetto di un vasto dibattito dottrinario che vede oggi coinvolti, con diversi approcci e punti di vista, studiosi di diritto costituzionale e di diritto </w:t>
      </w:r>
      <w:r w:rsidR="008A6CC4">
        <w:t>unionale</w:t>
      </w:r>
      <w:r w:rsidR="00F84D0F">
        <w:t>, in conseguenza di pronunce della Corte costituzionale che negli ultimi anni hanno aperto problematici (ancorché interessanti) scenari in relazione al possibile concorso dei due rimedi in funzione della migliore attuazione del diritto europeo nel nostro ordinamento. La questione è stata da ultimo rilanciata da un’importante sentenza</w:t>
      </w:r>
      <w:r w:rsidR="00F84D0F">
        <w:rPr>
          <w:rStyle w:val="Rimandonotaapidipagina"/>
        </w:rPr>
        <w:footnoteReference w:id="3"/>
      </w:r>
      <w:r w:rsidR="00F84D0F">
        <w:t xml:space="preserve">, seguita da altre </w:t>
      </w:r>
      <w:r w:rsidR="00147405">
        <w:t xml:space="preserve">decisioni </w:t>
      </w:r>
      <w:r w:rsidR="00F84D0F">
        <w:t>recentissime</w:t>
      </w:r>
      <w:r w:rsidR="00F84D0F">
        <w:rPr>
          <w:rStyle w:val="Rimandonotaapidipagina"/>
        </w:rPr>
        <w:footnoteReference w:id="4"/>
      </w:r>
      <w:r w:rsidR="00F84D0F">
        <w:t xml:space="preserve">, con cui la Corte ha manifestato una chiara impostazione “ampliativa” dei casi di doppia pregiudizialità e forse anche tentato di tracciare un primo </w:t>
      </w:r>
      <w:r w:rsidR="00F84D0F">
        <w:rPr>
          <w:i/>
        </w:rPr>
        <w:t xml:space="preserve">vademecum </w:t>
      </w:r>
      <w:r w:rsidR="00F84D0F">
        <w:t>a uso dei giudici comuni per guidare la scelta di quale strada scegliere nei singoli casi.</w:t>
      </w:r>
    </w:p>
    <w:p w:rsidR="00F84D0F" w:rsidRDefault="00F84D0F" w:rsidP="004B52C9">
      <w:pPr>
        <w:ind w:firstLine="426"/>
      </w:pPr>
      <w:r>
        <w:t xml:space="preserve">In conseguenza di ciò, come </w:t>
      </w:r>
      <w:r w:rsidR="00C72F53">
        <w:t>osserv</w:t>
      </w:r>
      <w:r>
        <w:t>ato dal Presidente del Consiglio di Stato in occasione dell’apertura dell’ultimo anno giudiziario della giustizia amministrativa, “</w:t>
      </w:r>
      <w:r w:rsidRPr="00F84D0F">
        <w:rPr>
          <w:i/>
        </w:rPr>
        <w:t>il giudice nazionale, anche il giudice amministrativo, si può trovare di fronte ad un bivio</w:t>
      </w:r>
      <w:r>
        <w:t>”</w:t>
      </w:r>
      <w:r>
        <w:rPr>
          <w:rStyle w:val="Rimandonotaapidipagina"/>
        </w:rPr>
        <w:footnoteReference w:id="5"/>
      </w:r>
      <w:r>
        <w:t>.</w:t>
      </w:r>
      <w:r w:rsidR="00147405">
        <w:t xml:space="preserve"> Nel senso che quella che – come si vedrà – sembra essere, almeno </w:t>
      </w:r>
      <w:r w:rsidR="00147405">
        <w:rPr>
          <w:i/>
        </w:rPr>
        <w:t xml:space="preserve">prima facie, </w:t>
      </w:r>
      <w:r w:rsidR="00147405">
        <w:t>la perfetta alternatività che la Co</w:t>
      </w:r>
      <w:r w:rsidR="008A6CC4">
        <w:t>nsult</w:t>
      </w:r>
      <w:r w:rsidR="00147405">
        <w:t xml:space="preserve">a configura tra i due rimedi è suscettibile di mettere in crisi molti </w:t>
      </w:r>
      <w:r w:rsidR="008A6CC4">
        <w:t>approdi</w:t>
      </w:r>
      <w:r w:rsidR="00147405">
        <w:t xml:space="preserve"> fino ad oggi consolidati in tema di primato del diritto europeo su quello nazionale, con riguardo alle </w:t>
      </w:r>
      <w:r w:rsidR="008A6CC4">
        <w:t xml:space="preserve">loro </w:t>
      </w:r>
      <w:r w:rsidR="00147405">
        <w:t xml:space="preserve">conseguenze processuali in </w:t>
      </w:r>
      <w:r w:rsidR="008A6CC4">
        <w:t>relazio</w:t>
      </w:r>
      <w:r w:rsidR="00147405">
        <w:t>ne ai poteri/doveri del giudice qualora ritenga</w:t>
      </w:r>
      <w:r w:rsidR="004C3449">
        <w:t>,</w:t>
      </w:r>
      <w:r w:rsidR="00147405">
        <w:t xml:space="preserve"> ovvero dubiti</w:t>
      </w:r>
      <w:r w:rsidR="004C3449">
        <w:t>,</w:t>
      </w:r>
      <w:r w:rsidR="00147405">
        <w:t xml:space="preserve"> che vi sia un contrasto fra diritto interno e diritto dell’Unione.</w:t>
      </w:r>
    </w:p>
    <w:p w:rsidR="00147405" w:rsidRDefault="00147405" w:rsidP="004B52C9">
      <w:pPr>
        <w:ind w:firstLine="426"/>
      </w:pPr>
      <w:r>
        <w:t>In questa sede, pur non potendo del tutto trascurare i principali a</w:t>
      </w:r>
      <w:r w:rsidR="008A6CC4">
        <w:t>spett</w:t>
      </w:r>
      <w:r>
        <w:t xml:space="preserve">i dell’ampio dibattito teorico e dottrinale che è stato innescato dalle decisioni della Corte costituzionale sulla “doppia pregiudizialità” (che saranno </w:t>
      </w:r>
      <w:r w:rsidR="008A6CC4">
        <w:t xml:space="preserve">richiamati ancorché </w:t>
      </w:r>
      <w:r>
        <w:t>sommariamente</w:t>
      </w:r>
      <w:r w:rsidR="008A6CC4">
        <w:t>)</w:t>
      </w:r>
      <w:r>
        <w:t xml:space="preserve">, si cercherà di </w:t>
      </w:r>
      <w:r w:rsidR="009E5B2C">
        <w:t>concentrare</w:t>
      </w:r>
      <w:r>
        <w:t xml:space="preserve"> </w:t>
      </w:r>
      <w:r>
        <w:lastRenderedPageBreak/>
        <w:t xml:space="preserve">l’attenzione proprio sulla questione dei criteri e delle prospettive che devono indirizzare la scelta del giudice nei casi in cui siano astrattamente esperibili entrambi i rimedi </w:t>
      </w:r>
      <w:r>
        <w:rPr>
          <w:i/>
        </w:rPr>
        <w:t xml:space="preserve">de quibus. </w:t>
      </w:r>
      <w:r>
        <w:t>E lo si farà</w:t>
      </w:r>
      <w:r w:rsidR="009E5B2C">
        <w:t xml:space="preserve"> ponendo al centro della scena il giudice amministrativo, e il Consiglio di Stato in particolare, in quanto </w:t>
      </w:r>
      <w:r w:rsidR="008A6CC4">
        <w:t xml:space="preserve">giurisdizione </w:t>
      </w:r>
      <w:r w:rsidR="009E5B2C">
        <w:t>storicamente</w:t>
      </w:r>
      <w:r w:rsidR="008A6CC4">
        <w:t>,</w:t>
      </w:r>
      <w:r w:rsidR="009E5B2C">
        <w:t xml:space="preserve"> e quasi per necessità</w:t>
      </w:r>
      <w:r w:rsidR="008A6CC4">
        <w:t>,</w:t>
      </w:r>
      <w:r w:rsidR="009E5B2C">
        <w:t xml:space="preserve"> più frequentemente e direttamente </w:t>
      </w:r>
      <w:r w:rsidR="008A6CC4">
        <w:t>interessata da</w:t>
      </w:r>
      <w:r w:rsidR="009E5B2C">
        <w:t xml:space="preserve"> fattispecie di sovrapposizione tra diritto amministrativo nazionale e diritto europeo, anche laddove sul piano del diritto interno vengano in rilievo principi e valori di rilevanza costituzionale</w:t>
      </w:r>
      <w:r w:rsidR="009E5B2C">
        <w:rPr>
          <w:rStyle w:val="Rimandonotaapidipagina"/>
        </w:rPr>
        <w:footnoteReference w:id="6"/>
      </w:r>
      <w:r w:rsidR="009E5B2C">
        <w:t>.</w:t>
      </w:r>
    </w:p>
    <w:p w:rsidR="009E5B2C" w:rsidRDefault="009E5B2C" w:rsidP="004B52C9">
      <w:pPr>
        <w:ind w:firstLine="426"/>
      </w:pPr>
    </w:p>
    <w:p w:rsidR="009E5B2C" w:rsidRDefault="009E5B2C" w:rsidP="004B52C9">
      <w:pPr>
        <w:ind w:firstLine="426"/>
      </w:pPr>
    </w:p>
    <w:p w:rsidR="009E5B2C" w:rsidRDefault="009E5B2C" w:rsidP="004B52C9">
      <w:pPr>
        <w:ind w:firstLine="426"/>
        <w:rPr>
          <w:b/>
        </w:rPr>
      </w:pPr>
      <w:r>
        <w:rPr>
          <w:b/>
        </w:rPr>
        <w:t>2. La “doppia pregiudizialità” dalla sentenza n. 269 del 2017 alla sentenza n. 181 del 2024.</w:t>
      </w:r>
    </w:p>
    <w:p w:rsidR="009E5B2C" w:rsidRDefault="009E5B2C" w:rsidP="004B52C9">
      <w:pPr>
        <w:ind w:firstLine="426"/>
        <w:rPr>
          <w:b/>
        </w:rPr>
      </w:pPr>
    </w:p>
    <w:p w:rsidR="009E5B2C" w:rsidRDefault="009E5B2C" w:rsidP="004B52C9">
      <w:pPr>
        <w:ind w:firstLine="426"/>
      </w:pPr>
      <w:r>
        <w:t xml:space="preserve">Come già accennato, l’impatto delle più recenti pronunce della Corte costituzionale sulla tematica della “doppia pregiudizialità” concerne soprattutto </w:t>
      </w:r>
      <w:r w:rsidR="00C72F53">
        <w:t>i</w:t>
      </w:r>
      <w:r>
        <w:t>l</w:t>
      </w:r>
      <w:r w:rsidR="00C72F53">
        <w:t xml:space="preserve"> loro </w:t>
      </w:r>
      <w:r>
        <w:t xml:space="preserve">effetto ampliativo (e, </w:t>
      </w:r>
      <w:r w:rsidR="00C72F53">
        <w:t>abbastanza scoper</w:t>
      </w:r>
      <w:r w:rsidR="004C3449">
        <w:t>tamente</w:t>
      </w:r>
      <w:r>
        <w:t xml:space="preserve">, </w:t>
      </w:r>
      <w:r w:rsidR="004C3449">
        <w:t xml:space="preserve">anche </w:t>
      </w:r>
      <w:r>
        <w:t>“propulsivo”</w:t>
      </w:r>
      <w:r w:rsidR="00022DA5">
        <w:rPr>
          <w:rStyle w:val="Rimandonotaapidipagina"/>
        </w:rPr>
        <w:footnoteReference w:id="7"/>
      </w:r>
      <w:r>
        <w:t xml:space="preserve">) dei casi in cui secondo il nostro giudice delle leggi è possibile configurare una concorrenza o alternatività fra </w:t>
      </w:r>
      <w:r w:rsidR="00070326">
        <w:t>la rimessione alla stessa Corte della questione di legittimità costituzionale di una norma interna e il rinvio pregiudiziale alla Corte di giustizia ai sensi dell’articolo 267 T</w:t>
      </w:r>
      <w:r w:rsidR="00022DA5">
        <w:t>rattato sul funzionamento dell’Unione europea (T</w:t>
      </w:r>
      <w:r w:rsidR="00070326">
        <w:t>FU</w:t>
      </w:r>
      <w:r w:rsidR="004C3449">
        <w:t>E</w:t>
      </w:r>
      <w:r w:rsidR="00022DA5">
        <w:t>)</w:t>
      </w:r>
      <w:r w:rsidR="00070326">
        <w:t>, in presenza di un possibile contrasto tra la predetta norma e una norma del diritto dell’Unione europea, che abbia al tempo stesso implicazioni – si usi, per ora, questa espressione generica – rispetto a norme o principi di rango costituzionale. Il dibattito sulla questione, per vero, era già aperto e vivo almeno da quando, con una importante sentenza del 2017</w:t>
      </w:r>
      <w:r w:rsidR="00070326">
        <w:rPr>
          <w:rStyle w:val="Rimandonotaapidipagina"/>
        </w:rPr>
        <w:footnoteReference w:id="8"/>
      </w:r>
      <w:r w:rsidR="00070326">
        <w:t>, la stessa Corte cominciò ad aprire a possibili visioni diverse o alternative rispetto alla priorità della pregiudiziale europea, fino a quel momento considerata una regola generale e inderogabile.</w:t>
      </w:r>
    </w:p>
    <w:p w:rsidR="00070326" w:rsidRDefault="00070326" w:rsidP="004B52C9">
      <w:pPr>
        <w:ind w:firstLine="426"/>
      </w:pPr>
      <w:r>
        <w:t>In effetti, prima della sentenza n. 269 del 2017, la giurisprudenza costituzionale si era orientata in modo assolutamente chiaro circa l’ordine di esame delle questioni di legittimità costituzionale e di compatibilità con il diritto europeo, nel senso che quest’ultima dovesse sempre avere priorità e solo qualora la Corte di giustizia escludesse ogni contrasto tra la norma interna il diritto europeo poteva – se del caso – aprirsi la via ad un’ulteriore rimessione alla Corte costituzionale</w:t>
      </w:r>
      <w:r>
        <w:rPr>
          <w:rStyle w:val="Rimandonotaapidipagina"/>
        </w:rPr>
        <w:footnoteReference w:id="9"/>
      </w:r>
      <w:r>
        <w:t>.</w:t>
      </w:r>
      <w:r w:rsidR="009A5B64">
        <w:t xml:space="preserve"> Come è noto, questo orientamento risaliva alla nota </w:t>
      </w:r>
      <w:r w:rsidR="004C3449">
        <w:t>“</w:t>
      </w:r>
      <w:r w:rsidR="009A5B64">
        <w:t>sentenza Granital</w:t>
      </w:r>
      <w:r w:rsidR="004C3449">
        <w:t>”</w:t>
      </w:r>
      <w:r w:rsidR="009A5B64">
        <w:t xml:space="preserve"> del 1984</w:t>
      </w:r>
      <w:r w:rsidR="009A5B64">
        <w:rPr>
          <w:rStyle w:val="Rimandonotaapidipagina"/>
        </w:rPr>
        <w:footnoteReference w:id="10"/>
      </w:r>
      <w:r w:rsidR="009A5B64">
        <w:t>, con la quale la Corte costituzionale, superando la propria precedente impostazione secondo cui le norme nazionali contrastanti con il diritto europeo avrebbero dovut</w:t>
      </w:r>
      <w:r w:rsidR="004C3449">
        <w:t>o</w:t>
      </w:r>
      <w:r w:rsidR="009A5B64">
        <w:t xml:space="preserve"> essere sottoposte a essa Corte attraverso l’incidente di costituzionalità ed eventualmente annullate per contrasto con l’articolo 11 della Costituzione, </w:t>
      </w:r>
      <w:r w:rsidR="00A43592">
        <w:t>riconobbe in via generale</w:t>
      </w:r>
      <w:r w:rsidR="004C3449">
        <w:t xml:space="preserve"> -</w:t>
      </w:r>
      <w:r w:rsidR="00A43592">
        <w:t xml:space="preserve"> di fatto</w:t>
      </w:r>
      <w:r w:rsidR="004C3449">
        <w:t xml:space="preserve"> così</w:t>
      </w:r>
      <w:r w:rsidR="00A43592">
        <w:t xml:space="preserve"> accettando l’idea dell’integrazione tra i due ordinamenti </w:t>
      </w:r>
      <w:r w:rsidR="00A43592">
        <w:lastRenderedPageBreak/>
        <w:t>(italiano ed europeo) e il primato del diritto europeo su quello nazionale</w:t>
      </w:r>
      <w:r w:rsidR="004C3449">
        <w:t xml:space="preserve"> -</w:t>
      </w:r>
      <w:r w:rsidR="00A43592">
        <w:t xml:space="preserve"> il potere di ciascun giudice di non applicare la normativa interna contrastante con norme comunitarie a efficacia diretta</w:t>
      </w:r>
      <w:r w:rsidR="00A43592">
        <w:rPr>
          <w:rStyle w:val="Rimandonotaapidipagina"/>
        </w:rPr>
        <w:footnoteReference w:id="11"/>
      </w:r>
      <w:r w:rsidR="00A43592">
        <w:t xml:space="preserve">. Il concetto si era consolidato e raffinato nella giurisprudenza costituzionale successiva, </w:t>
      </w:r>
      <w:r w:rsidR="004C3449">
        <w:t>giungendosi</w:t>
      </w:r>
      <w:r w:rsidR="00A43592">
        <w:t xml:space="preserve"> a riconoscere la possibile prevalenza del diritto europeo finanche su norme interne di rango costituzionale</w:t>
      </w:r>
      <w:r w:rsidR="00A43592">
        <w:rPr>
          <w:rStyle w:val="Rimandonotaapidipagina"/>
        </w:rPr>
        <w:footnoteReference w:id="12"/>
      </w:r>
      <w:r w:rsidR="00A43592">
        <w:t xml:space="preserve"> (salvo </w:t>
      </w:r>
      <w:r w:rsidR="00B3686C">
        <w:t>riservarsi uno spazio d’intervento per casi estremi, attraverso la teoria dei cc.dd. “controlimiti”)</w:t>
      </w:r>
      <w:r w:rsidR="003F002C">
        <w:rPr>
          <w:rStyle w:val="Rimandonotaapidipagina"/>
        </w:rPr>
        <w:footnoteReference w:id="13"/>
      </w:r>
      <w:r w:rsidR="00B3686C">
        <w:t>.</w:t>
      </w:r>
    </w:p>
    <w:p w:rsidR="003F002C" w:rsidRDefault="003F002C" w:rsidP="004B52C9">
      <w:pPr>
        <w:ind w:firstLine="426"/>
      </w:pPr>
      <w:r>
        <w:t>In tale quadro, in cui la questione di compatibilità comunitaria era considerata sempre “</w:t>
      </w:r>
      <w:r>
        <w:rPr>
          <w:i/>
        </w:rPr>
        <w:t>un prius logico e giuridico rispetto alla questione di costituzionalità</w:t>
      </w:r>
      <w:r>
        <w:t>”</w:t>
      </w:r>
      <w:r>
        <w:rPr>
          <w:rStyle w:val="Rimandonotaapidipagina"/>
        </w:rPr>
        <w:footnoteReference w:id="14"/>
      </w:r>
      <w:r>
        <w:t>, una questione di legittimità costituzionale proposta senza prima interpellare la Corte di Lussemburgo sarebbe andata inevitabilmente incontro a una declaratoria di inammissibilità, innanzitutto per difetto del presupposto della rilevanza</w:t>
      </w:r>
      <w:r w:rsidR="00AD7DE7">
        <w:t xml:space="preserve"> (</w:t>
      </w:r>
      <w:r w:rsidR="00AD7DE7">
        <w:rPr>
          <w:i/>
        </w:rPr>
        <w:t xml:space="preserve">ex </w:t>
      </w:r>
      <w:r w:rsidR="00AD7DE7">
        <w:t>articolo 23, comma terzo, della legge 11 marzo 1953, n. 87)</w:t>
      </w:r>
      <w:r>
        <w:t xml:space="preserve">, in quanto il fatto stesso che il giudice </w:t>
      </w:r>
      <w:r>
        <w:rPr>
          <w:i/>
        </w:rPr>
        <w:t xml:space="preserve">a quo </w:t>
      </w:r>
      <w:r>
        <w:t>reputasse la norma interna contrastante con il diritto europeo avrebbe comportato il dovere di non applicarla, escludendo in radice ogni incidenza di un ulteriore raffronto con il parametro interno di costituzionalità</w:t>
      </w:r>
      <w:r>
        <w:rPr>
          <w:rStyle w:val="Rimandonotaapidipagina"/>
        </w:rPr>
        <w:footnoteReference w:id="15"/>
      </w:r>
      <w:r>
        <w:t>.</w:t>
      </w:r>
      <w:r w:rsidR="00C540B4">
        <w:t xml:space="preserve"> Pertanto, di “doppia pregiudizialità” poteva parlarsi soltanto per evidenziare il dovere del giudice nazionale di sollevare l’una dopo l’altra, o se del caso anche parallelamente</w:t>
      </w:r>
      <w:r w:rsidR="00C540B4">
        <w:rPr>
          <w:rStyle w:val="Rimandonotaapidipagina"/>
        </w:rPr>
        <w:footnoteReference w:id="16"/>
      </w:r>
      <w:r w:rsidR="00C540B4">
        <w:t>, la questione pregiudiziale dinanzi alla Corte di giustizia e la questione di legittimità costituzionale dinanzi alla Corte costituzionale, con effetti però defatiganti in termini di procedure e tempi del giudizio</w:t>
      </w:r>
      <w:r w:rsidR="00C540B4">
        <w:rPr>
          <w:rStyle w:val="Rimandonotaapidipagina"/>
        </w:rPr>
        <w:footnoteReference w:id="17"/>
      </w:r>
      <w:r w:rsidR="00C540B4">
        <w:t>.</w:t>
      </w:r>
    </w:p>
    <w:p w:rsidR="006D266C" w:rsidRDefault="006D266C" w:rsidP="004B52C9">
      <w:pPr>
        <w:ind w:firstLine="426"/>
      </w:pPr>
      <w:r>
        <w:t xml:space="preserve">Ulteriore precisazione rinvenibile nella giurisprudenza </w:t>
      </w:r>
      <w:r w:rsidR="004E6E01">
        <w:t>dell’epoca</w:t>
      </w:r>
      <w:r>
        <w:t xml:space="preserve"> era nel senso che la fonte interna conservasse intatto il suo valore, e pertanto non si ponesse un problema di sua non applicazione, laddove il parametro europeo di riferimento fosse costituito da una norma priva di efficacia diretta: in questi casi, l’eventuale contrasto tra le fonti doveva necessariamente essere </w:t>
      </w:r>
      <w:r>
        <w:lastRenderedPageBreak/>
        <w:t xml:space="preserve">sottoposto alla cognizione della Corte costituzionale, </w:t>
      </w:r>
      <w:r>
        <w:rPr>
          <w:i/>
        </w:rPr>
        <w:t xml:space="preserve">sub specie </w:t>
      </w:r>
      <w:r>
        <w:t>di violazione degli articoli 11 e 117 della Costituzione</w:t>
      </w:r>
      <w:r>
        <w:rPr>
          <w:rStyle w:val="Rimandonotaapidipagina"/>
        </w:rPr>
        <w:footnoteReference w:id="18"/>
      </w:r>
      <w:r>
        <w:t>.</w:t>
      </w:r>
    </w:p>
    <w:p w:rsidR="006D266C" w:rsidRDefault="006D266C" w:rsidP="004B52C9">
      <w:pPr>
        <w:ind w:firstLine="426"/>
      </w:pPr>
      <w:r w:rsidRPr="00784D15">
        <w:t>La “svolta” operata</w:t>
      </w:r>
      <w:r>
        <w:t xml:space="preserve"> dalla Corte con la sentenza n. 269 del 2017 trova </w:t>
      </w:r>
      <w:r w:rsidR="004E6E01">
        <w:t>il</w:t>
      </w:r>
      <w:r>
        <w:t xml:space="preserve"> propri</w:t>
      </w:r>
      <w:r w:rsidR="004E6E01">
        <w:t xml:space="preserve">o fondamento </w:t>
      </w:r>
      <w:r>
        <w:t xml:space="preserve">in alcuni eventi </w:t>
      </w:r>
      <w:r>
        <w:rPr>
          <w:i/>
        </w:rPr>
        <w:t xml:space="preserve">medio tempore </w:t>
      </w:r>
      <w:r>
        <w:t xml:space="preserve">verificatisi </w:t>
      </w:r>
      <w:r w:rsidR="00784D15">
        <w:t>sia all’interno che all’esterno d</w:t>
      </w:r>
      <w:r>
        <w:t>el panorama costituzionale, i più rilevanti dei quali sono stati il riconoscimento della facoltà della stessa Corte costituzionale di operare il rinvio pregiudiziale ai sensi dell’articolo 267 TFUE</w:t>
      </w:r>
      <w:r>
        <w:rPr>
          <w:rStyle w:val="Rimandonotaapidipagina"/>
        </w:rPr>
        <w:footnoteReference w:id="19"/>
      </w:r>
      <w:r>
        <w:t xml:space="preserve"> e l’entrata in vigore della Carta</w:t>
      </w:r>
      <w:r w:rsidR="00A12450">
        <w:t xml:space="preserve"> dei diritti fondamentali dell’Unione europea</w:t>
      </w:r>
      <w:r w:rsidR="003E28B7">
        <w:rPr>
          <w:rStyle w:val="Rimandonotaapidipagina"/>
        </w:rPr>
        <w:footnoteReference w:id="20"/>
      </w:r>
      <w:r w:rsidR="00A12450">
        <w:t xml:space="preserve">, cui – come è noto – </w:t>
      </w:r>
      <w:r w:rsidR="003E28B7">
        <w:t xml:space="preserve">dopo il Trattato di Lisbona </w:t>
      </w:r>
      <w:r w:rsidR="00A12450">
        <w:t>l’articolo 6 del Trattato dell’Unione attribui</w:t>
      </w:r>
      <w:r w:rsidR="004E6E01">
        <w:t>sce</w:t>
      </w:r>
      <w:r w:rsidR="00A12450">
        <w:t xml:space="preserve"> “</w:t>
      </w:r>
      <w:r w:rsidR="00A12450">
        <w:rPr>
          <w:i/>
        </w:rPr>
        <w:t>lo stesso valore giuridico dei Trattati</w:t>
      </w:r>
      <w:r w:rsidR="00A12450">
        <w:t xml:space="preserve">”, </w:t>
      </w:r>
      <w:r w:rsidR="004E6E01">
        <w:t xml:space="preserve">con ciò </w:t>
      </w:r>
      <w:r w:rsidR="00A12450">
        <w:t>imprimendo un’ulteriore accelerazione al processo di integrazione fra gli ordinamenti nazionali, con modalità ed effetti forse inaspettati per le stesse istituzioni di governo dell’Unione</w:t>
      </w:r>
      <w:r w:rsidR="003D2934">
        <w:rPr>
          <w:rStyle w:val="Rimandonotaapidipagina"/>
        </w:rPr>
        <w:footnoteReference w:id="21"/>
      </w:r>
      <w:r w:rsidR="00A12450">
        <w:t>. In</w:t>
      </w:r>
      <w:r w:rsidR="004E6E01">
        <w:t>fatti</w:t>
      </w:r>
      <w:r w:rsidR="00A12450">
        <w:t>, nella giurisprudenza della stessa Corte di giustizia alla Carta è stata riconosciuta</w:t>
      </w:r>
      <w:r w:rsidR="004E6E01">
        <w:t xml:space="preserve"> col tempo</w:t>
      </w:r>
      <w:r w:rsidR="00A12450">
        <w:t xml:space="preserve"> una </w:t>
      </w:r>
      <w:r w:rsidR="00A12450">
        <w:rPr>
          <w:i/>
        </w:rPr>
        <w:t xml:space="preserve">vis espansiva, </w:t>
      </w:r>
      <w:r w:rsidR="00A12450">
        <w:t>essendone stato equiparato l’ambito di applicazione a quello più generale del diritto dell’Unione, in modo da superare i dubbi e le incertezze di chi aveva immaginato che essa potesse avere una rilevanza soltanto “declamatoria” o programmatica</w:t>
      </w:r>
      <w:r w:rsidR="00A12450">
        <w:rPr>
          <w:rStyle w:val="Rimandonotaapidipagina"/>
        </w:rPr>
        <w:footnoteReference w:id="22"/>
      </w:r>
      <w:r w:rsidR="00A12450">
        <w:t>.</w:t>
      </w:r>
    </w:p>
    <w:p w:rsidR="0085684A" w:rsidRDefault="0085684A" w:rsidP="004B52C9">
      <w:pPr>
        <w:ind w:firstLine="426"/>
      </w:pPr>
      <w:r>
        <w:t xml:space="preserve">Sul versante interno, l’irrompere sulla scena della Carta di Nizza era </w:t>
      </w:r>
      <w:r>
        <w:rPr>
          <w:i/>
        </w:rPr>
        <w:t xml:space="preserve">ex se </w:t>
      </w:r>
      <w:r>
        <w:t xml:space="preserve">suscettibile di mettere in crisi i consolidati approdi circa il rapporto tra rinvio pregiudiziale e incidente di costituzionalità, per due ordini di motivi: per la tendenzialmente ampia sovrapposizione fra i diritti riconosciuti dalla </w:t>
      </w:r>
      <w:r w:rsidR="009119CC">
        <w:t>C</w:t>
      </w:r>
      <w:r>
        <w:t>arta stessa e quelli tutelati dalla nostra Costituzione e – soprattutto – per la natura di “principi” e non di “regole”</w:t>
      </w:r>
      <w:r>
        <w:rPr>
          <w:rStyle w:val="Rimandonotaapidipagina"/>
        </w:rPr>
        <w:footnoteReference w:id="23"/>
      </w:r>
      <w:r>
        <w:t xml:space="preserve"> delle disposizioni della Carta, tale da rendere non agevolmente risolvibile, attraverso i canoni tradizionali, la verifica circa la loro efficacia diretta o meno che è preliminare a ogni valutazione circa gli effetti di un ipotetico contrasto con il diritto interno</w:t>
      </w:r>
      <w:r>
        <w:rPr>
          <w:rStyle w:val="Rimandonotaapidipagina"/>
        </w:rPr>
        <w:footnoteReference w:id="24"/>
      </w:r>
      <w:r>
        <w:t>.</w:t>
      </w:r>
      <w:r w:rsidR="00D52711">
        <w:t xml:space="preserve"> Del resto, che quello dei diritti costituzionalmente garantiti fosse un terreno “critico” è dimostrato dal fatto che, anche nel vigore della “giurisprudenza Granital”, la Corte costituzionale tende</w:t>
      </w:r>
      <w:r w:rsidR="003D2934">
        <w:t>va</w:t>
      </w:r>
      <w:r w:rsidR="00D52711">
        <w:t xml:space="preserve"> a riservarsi un peculiare spazio di competenza per le controversie che li coinvolgessero</w:t>
      </w:r>
      <w:r w:rsidR="00CC1AD7">
        <w:t>, in relazione all’ipotesi che le disposizioni costituzionali interne a tutela dei diritti fondamentali potessero operare come “controlimiti” rispetto allo stesso diritto europeo</w:t>
      </w:r>
      <w:r w:rsidR="00D52711">
        <w:rPr>
          <w:rStyle w:val="Rimandonotaapidipagina"/>
        </w:rPr>
        <w:footnoteReference w:id="25"/>
      </w:r>
      <w:r w:rsidR="00D52711">
        <w:t>.</w:t>
      </w:r>
    </w:p>
    <w:p w:rsidR="003650FF" w:rsidRDefault="003650FF" w:rsidP="004B52C9">
      <w:pPr>
        <w:ind w:firstLine="426"/>
      </w:pPr>
      <w:r>
        <w:t xml:space="preserve">In tale temperie, </w:t>
      </w:r>
      <w:r w:rsidR="004E6E01">
        <w:t>sia pure</w:t>
      </w:r>
      <w:r>
        <w:t xml:space="preserve"> all’interno di un </w:t>
      </w:r>
      <w:r>
        <w:rPr>
          <w:i/>
        </w:rPr>
        <w:t xml:space="preserve">obiter dictum, </w:t>
      </w:r>
      <w:r w:rsidR="008E6CAF">
        <w:t xml:space="preserve">la sentenza n. 269 del 2017 introduceva una rilevante deroga alla “regola Granital”, proprio con riferimento all’ipotesi in cui l’ipotizzato contrasto con il diritto dell’Unione si sostanziasse nella lesione di un diritto garantito dalla Carta, affermando che laddove si trattasse di un diritto protetto anche dalla Costituzione italiana dovesse essere sollevata prioritariamente la questione di legittimità costituzionale. Soltanto qualora il vaglio </w:t>
      </w:r>
      <w:r w:rsidR="008E6CAF">
        <w:lastRenderedPageBreak/>
        <w:t xml:space="preserve">interno di costituzionalità fosse stato superato, il giudice </w:t>
      </w:r>
      <w:r w:rsidR="008E6CAF">
        <w:rPr>
          <w:i/>
        </w:rPr>
        <w:t xml:space="preserve">a quo </w:t>
      </w:r>
      <w:r w:rsidR="008E6CAF">
        <w:t>avrebbe potuto far luogo al rinvio pregiudiziale alla Corte di giustizia. Pertanto, a differenza di quanto contemporaneamente si verificava in altri ordinamenti europei</w:t>
      </w:r>
      <w:r w:rsidR="008E6CAF">
        <w:rPr>
          <w:rStyle w:val="Rimandonotaapidipagina"/>
        </w:rPr>
        <w:footnoteReference w:id="26"/>
      </w:r>
      <w:r w:rsidR="008E6CAF">
        <w:t xml:space="preserve">, la Corte italiana si poneva fin dapprincipio in una prospettiva </w:t>
      </w:r>
      <w:r w:rsidR="00CC1AD7">
        <w:t xml:space="preserve">(almeno formalmente) </w:t>
      </w:r>
      <w:r w:rsidR="008E6CAF">
        <w:t xml:space="preserve">non di opposizione alla Corte di giustizia, bensì di </w:t>
      </w:r>
      <w:r w:rsidR="009119CC">
        <w:t xml:space="preserve">dichiarata </w:t>
      </w:r>
      <w:r w:rsidR="008E6CAF">
        <w:t>cooperazione con essa, nella logica di un concorso dei diversi rimedi messi a disposizione dall’ordinamento per garantire la più piena attuazione del diritto europeo</w:t>
      </w:r>
      <w:r w:rsidR="009F3F7B">
        <w:t xml:space="preserve">, tenuto conto della maggior certezza garantita dall’efficacia </w:t>
      </w:r>
      <w:r w:rsidR="009F3F7B">
        <w:rPr>
          <w:i/>
        </w:rPr>
        <w:t xml:space="preserve">erga omnes </w:t>
      </w:r>
      <w:r w:rsidR="009F3F7B">
        <w:t>dell’eventuale declaratoria di incostituzionalità della norm</w:t>
      </w:r>
      <w:r w:rsidR="009119CC">
        <w:t>a</w:t>
      </w:r>
      <w:r w:rsidR="009F3F7B">
        <w:t xml:space="preserve"> interna</w:t>
      </w:r>
      <w:r w:rsidR="0067671D">
        <w:t xml:space="preserve"> (</w:t>
      </w:r>
      <w:r w:rsidR="009F3F7B">
        <w:t xml:space="preserve">e </w:t>
      </w:r>
      <w:r w:rsidR="0067671D">
        <w:t xml:space="preserve">come confermato dall’espressa riserva, </w:t>
      </w:r>
      <w:r w:rsidR="00CC1AD7">
        <w:t>esplicitata</w:t>
      </w:r>
      <w:r w:rsidR="0067671D">
        <w:t xml:space="preserve"> in decisioni successive, di proposizione di questione pregiudiziale </w:t>
      </w:r>
      <w:r w:rsidR="0067671D">
        <w:rPr>
          <w:i/>
        </w:rPr>
        <w:t xml:space="preserve">ex </w:t>
      </w:r>
      <w:r w:rsidR="0067671D">
        <w:t>articolo 267 TFUE da parte della stessa Corte costituzionale, in caso di non risolubile dubbio sull’interpretazione del diritto dell’Unione)</w:t>
      </w:r>
      <w:r w:rsidR="00CC1AD7">
        <w:rPr>
          <w:rStyle w:val="Rimandonotaapidipagina"/>
        </w:rPr>
        <w:footnoteReference w:id="27"/>
      </w:r>
      <w:r w:rsidR="008E6CAF">
        <w:t>.</w:t>
      </w:r>
    </w:p>
    <w:p w:rsidR="008E6CAF" w:rsidRDefault="008E6CAF" w:rsidP="004B52C9">
      <w:pPr>
        <w:ind w:firstLine="426"/>
      </w:pPr>
      <w:r>
        <w:t xml:space="preserve">Tale rottura di un sistema fino a quel momento granitico è stata temperata dalla giurisprudenza successiva, con la quale la Corte ha chiarito innanzitutto che </w:t>
      </w:r>
      <w:r w:rsidR="006B1D1F">
        <w:t>quella di sollevare prioritariamente la questione di costituzionalità è per il giudice una facoltà, e non un obbligo come poteva apparire dall’</w:t>
      </w:r>
      <w:r w:rsidR="006B1D1F">
        <w:rPr>
          <w:i/>
        </w:rPr>
        <w:t xml:space="preserve">obiter </w:t>
      </w:r>
      <w:r w:rsidR="006B1D1F">
        <w:t>della sentenza n. 269</w:t>
      </w:r>
      <w:r w:rsidR="006B1D1F">
        <w:rPr>
          <w:rStyle w:val="Rimandonotaapidipagina"/>
        </w:rPr>
        <w:footnoteReference w:id="28"/>
      </w:r>
      <w:r w:rsidR="006B1D1F">
        <w:t xml:space="preserve">; in secondo luogo, </w:t>
      </w:r>
      <w:r w:rsidR="000D64A4">
        <w:t>si è ammesso</w:t>
      </w:r>
      <w:r w:rsidR="006B1D1F">
        <w:t xml:space="preserve"> che l’eventuale questione di compatibilità comunitaria </w:t>
      </w:r>
      <w:r w:rsidR="000D64A4">
        <w:t>può</w:t>
      </w:r>
      <w:r w:rsidR="006B1D1F">
        <w:t xml:space="preserve"> riguardare anche gli stessi profili di contrasto con la Carta di Nizza già esaminati dalla Corte costituzionale, e non solo questioni diverse da quelle delibate da quest’ultima come poteva emergere </w:t>
      </w:r>
      <w:r w:rsidR="006B1D1F">
        <w:rPr>
          <w:i/>
        </w:rPr>
        <w:t xml:space="preserve">prima facie </w:t>
      </w:r>
      <w:r w:rsidR="006B1D1F">
        <w:t>dalla decisione del 2017</w:t>
      </w:r>
      <w:r w:rsidR="006B1D1F">
        <w:rPr>
          <w:rStyle w:val="Rimandonotaapidipagina"/>
        </w:rPr>
        <w:footnoteReference w:id="29"/>
      </w:r>
      <w:r w:rsidR="006B1D1F">
        <w:t>. In tutti i casi, veniva ribadito che restava fermo il “</w:t>
      </w:r>
      <w:r w:rsidR="006B1D1F">
        <w:rPr>
          <w:i/>
        </w:rPr>
        <w:t>dovere</w:t>
      </w:r>
      <w:r w:rsidR="006B1D1F">
        <w:t>” del giudice di non applicare le norme interne che risultassero contrastanti con una norma del diritto unionale provvista di efficacia diretta. Si trattava di temperamenti non solo opportuni, ma addirittura doverosi, se si tiene conto</w:t>
      </w:r>
      <w:r w:rsidR="0067671D">
        <w:t>, oltre che dell’assenza nell’ordinamento di strumenti idonei a forzare la “scelta” del giudice fra l’una e l’altra via, del fatto</w:t>
      </w:r>
      <w:r w:rsidR="006B1D1F">
        <w:t xml:space="preserve"> che, quasi contemporaneamente alla sentenza n. 269, la Corte di giustizia</w:t>
      </w:r>
      <w:r w:rsidR="0067671D">
        <w:t xml:space="preserve"> – intervenendo proprio sulla stessa questione -</w:t>
      </w:r>
      <w:r w:rsidR="006B1D1F">
        <w:t xml:space="preserve"> </w:t>
      </w:r>
      <w:r w:rsidR="0067671D">
        <w:t>aveva ribadito il principio per cui il giudice nazionale le cui decisioni non sono impugnabili con un ricorso giurisdizionale è tenuto, in linea di principio, a procedere al rinvio pregiudiziale di una questione di interpretazione del diritto dell’Unione anche nel caso in cui, nell’ambito del medesimo procedimento nazionale, la Corte costituzionale dello Stato membro di cui trattasi abbia valutato la costituzionalità delle norme nazionali alla luce delle norme di riferimento aventi un contenuto analogo a quello delle norme del diritto dell’Unione</w:t>
      </w:r>
      <w:r w:rsidR="0067671D">
        <w:rPr>
          <w:rStyle w:val="Rimandonotaapidipagina"/>
        </w:rPr>
        <w:footnoteReference w:id="30"/>
      </w:r>
      <w:r w:rsidR="0067671D">
        <w:t>.</w:t>
      </w:r>
    </w:p>
    <w:p w:rsidR="006B1FED" w:rsidRDefault="0067671D" w:rsidP="004B52C9">
      <w:pPr>
        <w:ind w:firstLine="426"/>
      </w:pPr>
      <w:r>
        <w:t xml:space="preserve">In disparte le numerose </w:t>
      </w:r>
      <w:r w:rsidR="000D64A4">
        <w:t>obiezioni teoriche</w:t>
      </w:r>
      <w:r>
        <w:t xml:space="preserve"> che </w:t>
      </w:r>
      <w:r w:rsidR="000D64A4">
        <w:t>sono state</w:t>
      </w:r>
      <w:r>
        <w:t xml:space="preserve"> sollevat</w:t>
      </w:r>
      <w:r w:rsidR="000D64A4">
        <w:t>e</w:t>
      </w:r>
      <w:r>
        <w:t xml:space="preserve"> </w:t>
      </w:r>
      <w:r w:rsidR="000D64A4">
        <w:t>a</w:t>
      </w:r>
      <w:r>
        <w:t>lla posizione</w:t>
      </w:r>
      <w:r w:rsidR="000D64A4">
        <w:t xml:space="preserve"> così espressa</w:t>
      </w:r>
      <w:r>
        <w:t xml:space="preserve"> d</w:t>
      </w:r>
      <w:r w:rsidR="000D64A4">
        <w:t>a</w:t>
      </w:r>
      <w:r>
        <w:t>lla Corte costituzionale (</w:t>
      </w:r>
      <w:r>
        <w:rPr>
          <w:i/>
        </w:rPr>
        <w:t xml:space="preserve">in primis </w:t>
      </w:r>
      <w:r>
        <w:t>con riguardo al monopolio dell’interpretazione del diritto unionale in capo alla Corte di giustizia, su cui si tornerà appresso</w:t>
      </w:r>
      <w:r w:rsidR="006B1FED">
        <w:t>, ed al rischio di procedura di infrazione cui si esporrebbe lo Stato che cercasse anche indirettamente di “scardinare” il meccanismo del rinvio pregiudiziale</w:t>
      </w:r>
      <w:r w:rsidR="006B1FED">
        <w:rPr>
          <w:rStyle w:val="Rimandonotaapidipagina"/>
        </w:rPr>
        <w:footnoteReference w:id="31"/>
      </w:r>
      <w:r>
        <w:t>), un problema pratico che essa poneva era quello dell’individuazione di criteri – se ve ne erano – i</w:t>
      </w:r>
      <w:r w:rsidR="000D64A4">
        <w:t>donei a</w:t>
      </w:r>
      <w:r>
        <w:t xml:space="preserve"> orientare la scelta del giudice nazionale in ordine a quale dei due rimedi attivare </w:t>
      </w:r>
      <w:r w:rsidR="000D64A4">
        <w:t>in presenza</w:t>
      </w:r>
      <w:r>
        <w:t xml:space="preserve"> dell’ipotizzato contrasto tra norma interna e diritto dell’Unione</w:t>
      </w:r>
      <w:r w:rsidR="006B1FED">
        <w:t>: un tema sul quale la casistica giurisprudenziale italiana appariva confusa e perveniva a</w:t>
      </w:r>
      <w:r w:rsidR="000D64A4">
        <w:t>d esiti non univoci</w:t>
      </w:r>
      <w:r w:rsidR="006B1FED">
        <w:rPr>
          <w:rStyle w:val="Rimandonotaapidipagina"/>
        </w:rPr>
        <w:footnoteReference w:id="32"/>
      </w:r>
      <w:r w:rsidR="006B1FED">
        <w:t>.</w:t>
      </w:r>
    </w:p>
    <w:p w:rsidR="0067671D" w:rsidRPr="00ED44D7" w:rsidRDefault="006B1FED" w:rsidP="004B52C9">
      <w:pPr>
        <w:ind w:firstLine="426"/>
      </w:pPr>
      <w:r>
        <w:t>Al riguardo, m</w:t>
      </w:r>
      <w:r w:rsidR="0067671D">
        <w:t xml:space="preserve">entre la dottrina si sforzava </w:t>
      </w:r>
      <w:r w:rsidR="0028313D">
        <w:t xml:space="preserve">di </w:t>
      </w:r>
      <w:r>
        <w:t xml:space="preserve">individuare </w:t>
      </w:r>
      <w:r w:rsidR="0028313D">
        <w:t xml:space="preserve">parametri </w:t>
      </w:r>
      <w:r w:rsidR="000D64A4">
        <w:t>b</w:t>
      </w:r>
      <w:r>
        <w:t>as</w:t>
      </w:r>
      <w:r w:rsidR="000D64A4">
        <w:t>ati</w:t>
      </w:r>
      <w:r>
        <w:t xml:space="preserve"> </w:t>
      </w:r>
      <w:r w:rsidR="000D64A4">
        <w:t>su</w:t>
      </w:r>
      <w:r>
        <w:t>lla</w:t>
      </w:r>
      <w:r w:rsidR="0028313D">
        <w:t xml:space="preserve"> maggiore o minore rilevanza che la norma costituzionale interna avesse, rispetto a quella europea, nello scrutinio di conformità della norma interna</w:t>
      </w:r>
      <w:r w:rsidR="0028313D">
        <w:rPr>
          <w:rStyle w:val="Rimandonotaapidipagina"/>
        </w:rPr>
        <w:footnoteReference w:id="33"/>
      </w:r>
      <w:r w:rsidR="0028313D">
        <w:t>, la stessa Corte costituzionale</w:t>
      </w:r>
      <w:r w:rsidR="000D64A4">
        <w:t>,</w:t>
      </w:r>
      <w:r w:rsidR="0028313D">
        <w:t xml:space="preserve"> soprattutto nelle sentenze successive alla n. 269, prendendo spunto proprio dalle già evidenziate caratteristiche </w:t>
      </w:r>
      <w:r w:rsidR="000D64A4">
        <w:t>“</w:t>
      </w:r>
      <w:r w:rsidR="0028313D">
        <w:t>di principio</w:t>
      </w:r>
      <w:r w:rsidR="000D64A4">
        <w:t>”</w:t>
      </w:r>
      <w:r w:rsidR="0028313D">
        <w:t xml:space="preserve"> </w:t>
      </w:r>
      <w:r w:rsidR="000D64A4">
        <w:t xml:space="preserve">delle norme </w:t>
      </w:r>
      <w:r w:rsidR="0028313D">
        <w:t xml:space="preserve">contenute nella Carta, poneva l’accento sul margine di discrezionalità che queste, al pari </w:t>
      </w:r>
      <w:r w:rsidR="0028313D">
        <w:lastRenderedPageBreak/>
        <w:t>della Costituzione, in genere lasciano al legislatore nazionale nella loro attuazione, individuando in esso l’elemento idoneo a consentire al giudice</w:t>
      </w:r>
      <w:r w:rsidR="000D64A4">
        <w:t xml:space="preserve"> di valutare</w:t>
      </w:r>
      <w:r w:rsidR="0028313D">
        <w:t xml:space="preserve"> </w:t>
      </w:r>
      <w:r w:rsidR="000D64A4">
        <w:t xml:space="preserve">se attivare </w:t>
      </w:r>
      <w:r w:rsidR="0028313D">
        <w:t>l’uno o l’altro rimedio giurisdizionale a fronte della supposta violazione di un diritto fondamentale</w:t>
      </w:r>
      <w:r w:rsidR="0028313D">
        <w:rPr>
          <w:rStyle w:val="Rimandonotaapidipagina"/>
        </w:rPr>
        <w:footnoteReference w:id="34"/>
      </w:r>
      <w:r w:rsidR="0028313D">
        <w:t>.</w:t>
      </w:r>
      <w:r w:rsidR="00ED44D7">
        <w:t xml:space="preserve"> In altri casi, la Corte si limitava a rilevare – con buona pace del proprio precedente indirizzo che</w:t>
      </w:r>
      <w:r w:rsidR="000D64A4">
        <w:t>, come si è visto,</w:t>
      </w:r>
      <w:r w:rsidR="00ED44D7">
        <w:t xml:space="preserve"> affermava in tali casi l’inammissibilità delle questioni di legittimità costituzionale per difetto di rilevanza – di non poter </w:t>
      </w:r>
      <w:r w:rsidR="000D64A4">
        <w:t>“</w:t>
      </w:r>
      <w:r w:rsidR="00ED44D7" w:rsidRPr="000D64A4">
        <w:rPr>
          <w:i/>
        </w:rPr>
        <w:t>esimersi</w:t>
      </w:r>
      <w:r w:rsidR="000D64A4">
        <w:t>”</w:t>
      </w:r>
      <w:r w:rsidR="00ED44D7">
        <w:t xml:space="preserve"> dal decidere sulla questione per il solo fatto che il giudice </w:t>
      </w:r>
      <w:r w:rsidR="00ED44D7">
        <w:rPr>
          <w:i/>
        </w:rPr>
        <w:t xml:space="preserve">a quo </w:t>
      </w:r>
      <w:r w:rsidR="00ED44D7">
        <w:t>aveva ritenuto di sottoporgliela, nonostante la possibile</w:t>
      </w:r>
      <w:r>
        <w:t>, e spesso conclamata,</w:t>
      </w:r>
      <w:r w:rsidR="00ED44D7">
        <w:t xml:space="preserve"> configurabilità di una questione</w:t>
      </w:r>
      <w:r>
        <w:t xml:space="preserve"> parallela</w:t>
      </w:r>
      <w:r w:rsidR="00ED44D7">
        <w:t xml:space="preserve"> di compatibilità comunitaria</w:t>
      </w:r>
      <w:r w:rsidR="00ED44D7">
        <w:rPr>
          <w:rStyle w:val="Rimandonotaapidipagina"/>
        </w:rPr>
        <w:footnoteReference w:id="35"/>
      </w:r>
      <w:r w:rsidR="00ED44D7">
        <w:t>.</w:t>
      </w:r>
    </w:p>
    <w:p w:rsidR="00ED44D7" w:rsidRDefault="00ED44D7" w:rsidP="004B52C9">
      <w:pPr>
        <w:ind w:firstLine="426"/>
      </w:pPr>
      <w:r>
        <w:t xml:space="preserve">Peraltro, già nella giurisprudenza di questi anni era evidente la potenziale </w:t>
      </w:r>
      <w:r>
        <w:rPr>
          <w:i/>
        </w:rPr>
        <w:t xml:space="preserve">vis </w:t>
      </w:r>
      <w:r w:rsidRPr="000D64A4">
        <w:t>espansiva</w:t>
      </w:r>
      <w:r>
        <w:rPr>
          <w:i/>
        </w:rPr>
        <w:t xml:space="preserve"> </w:t>
      </w:r>
      <w:r>
        <w:t>dell’eccezione introdotta con la sentenza n. 269, anticipata dall’affermazione rinvenibile in alcune decisioni successive secondo cui la possibile concorrenza dei due rimedi avrebbe dovuto affermarsi non solo nel caso in cui la norma europea di cui si lamentasse la violazione fosse contenuta nella Carta dei diritti, ma anche qualora essa fosse contenuta in altre fonti del diritto dell’Unione primario o derivato, purché detta norma si ponesse in connessione con i diritti tutelati dalla Carta</w:t>
      </w:r>
      <w:r>
        <w:rPr>
          <w:rStyle w:val="Rimandonotaapidipagina"/>
        </w:rPr>
        <w:footnoteReference w:id="36"/>
      </w:r>
      <w:r>
        <w:t>.</w:t>
      </w:r>
    </w:p>
    <w:p w:rsidR="00ED44D7" w:rsidRDefault="00ED44D7" w:rsidP="004B52C9">
      <w:pPr>
        <w:ind w:firstLine="426"/>
      </w:pPr>
      <w:r>
        <w:t>Il percorso si è completato proprio con la sentenza n. 181 del 2024, con la quale la Corte costituzionale, portando alle estreme conseguenze le posizioni espresse nelle proprie precedenti decisioni, è giunta ad affermare:</w:t>
      </w:r>
    </w:p>
    <w:p w:rsidR="00ED44D7" w:rsidRDefault="009F3F7B" w:rsidP="00ED44D7">
      <w:pPr>
        <w:pStyle w:val="Paragrafoelenco"/>
        <w:numPr>
          <w:ilvl w:val="0"/>
          <w:numId w:val="1"/>
        </w:numPr>
      </w:pPr>
      <w:r>
        <w:t>l</w:t>
      </w:r>
      <w:r w:rsidR="00ED44D7">
        <w:t>’estensione della “doppia pregiudizialità” a tutte le ipotesi</w:t>
      </w:r>
      <w:r>
        <w:t xml:space="preserve"> di ipotizza</w:t>
      </w:r>
      <w:r w:rsidR="009E6237">
        <w:t>bile</w:t>
      </w:r>
      <w:r>
        <w:t xml:space="preserve"> contrasto contestuale di una norma interna con una norma della Costituzione e con una norma del diritto dell’Unione, quale che sia la fonte in cui quest’ultima è contenuta e indipendentemente da un suo collegamento con i diritti fondamentali tutelati dalla Carta;</w:t>
      </w:r>
    </w:p>
    <w:p w:rsidR="009F3F7B" w:rsidRDefault="009F3F7B" w:rsidP="00ED44D7">
      <w:pPr>
        <w:pStyle w:val="Paragrafoelenco"/>
        <w:numPr>
          <w:ilvl w:val="0"/>
          <w:numId w:val="1"/>
        </w:numPr>
      </w:pPr>
      <w:r>
        <w:t>la piena “</w:t>
      </w:r>
      <w:r>
        <w:rPr>
          <w:i/>
        </w:rPr>
        <w:t>discrezionalità</w:t>
      </w:r>
      <w:r>
        <w:t>” della scelta tra i due rimedi giurisdizionali cui il giudice nazionale è chiamato ai fini della risoluzione dell’antinomia.</w:t>
      </w:r>
    </w:p>
    <w:p w:rsidR="005C18AA" w:rsidRPr="005C18AA" w:rsidRDefault="009F3F7B" w:rsidP="009F3F7B">
      <w:pPr>
        <w:ind w:firstLine="426"/>
      </w:pPr>
      <w:r>
        <w:t>Con riguardo a quest’ultimo punto, come si vedrà in appresso, la Corte si è altresì posta il problema di fornire ai giudici nazionali una griglia di parametri per orientarne la scelta, in primo luogo facendo riferimento al “</w:t>
      </w:r>
      <w:r>
        <w:rPr>
          <w:i/>
        </w:rPr>
        <w:t>tono costituzionale</w:t>
      </w:r>
      <w:r>
        <w:t>” che la questione può porre</w:t>
      </w:r>
      <w:r w:rsidR="005C18AA">
        <w:t xml:space="preserve">, per tale dovendosi intendere </w:t>
      </w:r>
      <w:r>
        <w:t>una sorta di prevalenza ai fini della sua risoluzione del rilievo de</w:t>
      </w:r>
      <w:r w:rsidR="00A42428">
        <w:t>gli interessi e valori di rango costituzionale rispetto a quelli tutelati dal diritto europeo</w:t>
      </w:r>
      <w:r>
        <w:rPr>
          <w:rStyle w:val="Rimandonotaapidipagina"/>
        </w:rPr>
        <w:footnoteReference w:id="37"/>
      </w:r>
      <w:r>
        <w:t xml:space="preserve">. </w:t>
      </w:r>
      <w:r w:rsidR="005C18AA">
        <w:t>Sul piano teorico, può essere interessante notare come una nozione – quella, peraltro controversa, di “</w:t>
      </w:r>
      <w:r w:rsidR="005C18AA">
        <w:rPr>
          <w:i/>
        </w:rPr>
        <w:t>tono costituzionale</w:t>
      </w:r>
      <w:r w:rsidR="005C18AA">
        <w:t>” – elaborata dalla dottrina per svolgere una funzione di “filtro” delle questioni rilevanti con riferimento allo specifico settore dei conflitti di attribuzione tra poteri dello Stato</w:t>
      </w:r>
      <w:r w:rsidR="00CD25A6">
        <w:t xml:space="preserve"> a fronte della tendenza a servirsi di tale strumento per difendere prerogative di scarso rilievo costituzionale</w:t>
      </w:r>
      <w:r w:rsidR="005C18AA">
        <w:rPr>
          <w:rStyle w:val="Rimandonotaapidipagina"/>
        </w:rPr>
        <w:footnoteReference w:id="38"/>
      </w:r>
      <w:r w:rsidR="005C18AA">
        <w:t>, venga oggi utilizzata invece</w:t>
      </w:r>
      <w:r w:rsidR="00CD25A6">
        <w:t xml:space="preserve"> – e malgrado alcuni commentatori abbiano concentrato l’attenzione su di essa per proporre una lettura “europeista” della decisione in commento</w:t>
      </w:r>
      <w:r w:rsidR="00CD25A6">
        <w:rPr>
          <w:rStyle w:val="Rimandonotaapidipagina"/>
        </w:rPr>
        <w:footnoteReference w:id="39"/>
      </w:r>
      <w:r w:rsidR="00CD25A6">
        <w:t xml:space="preserve"> -</w:t>
      </w:r>
      <w:r w:rsidR="005C18AA">
        <w:t xml:space="preserve"> per </w:t>
      </w:r>
      <w:r w:rsidR="00CD25A6">
        <w:t>ampliare il novero delle ipotesi per le quali la Corte rivendica a sé la competenza a intervenire in via prioritaria, pur all’interno del delicato equilibrio imposto dal sistema multilivello</w:t>
      </w:r>
      <w:r w:rsidR="00B851FA">
        <w:t xml:space="preserve"> delle fonti di produzione normativa</w:t>
      </w:r>
      <w:r w:rsidR="00CD25A6">
        <w:t>.</w:t>
      </w:r>
    </w:p>
    <w:p w:rsidR="009F3F7B" w:rsidRDefault="009F3F7B" w:rsidP="009F3F7B">
      <w:pPr>
        <w:ind w:firstLine="426"/>
      </w:pPr>
      <w:r>
        <w:t>Inoltre, pur formalmente ribadendo il dovere del giudice nazionale di non applicare le norme interne contrastanti con il diritto europeo</w:t>
      </w:r>
      <w:r w:rsidR="00A42428">
        <w:t xml:space="preserve"> e astenendosi dal fornire indicazioni</w:t>
      </w:r>
      <w:r w:rsidR="00B851FA">
        <w:t xml:space="preserve"> puntuali</w:t>
      </w:r>
      <w:r w:rsidR="00A42428">
        <w:t xml:space="preserve"> in ordine a quale dei due rimedi debba essere assegnata la priorità, nella sentenza in questione la Corte si dilunga nell’evidenziare i “vantaggi” in termini di certezza del diritto di un’eventuale risoluzione del conflitto attraverso la declaratoria di illegittimità costituzionale della norma nazionale nonché, in un’ottica di </w:t>
      </w:r>
      <w:r w:rsidR="00A42428">
        <w:lastRenderedPageBreak/>
        <w:t>proficua “</w:t>
      </w:r>
      <w:r w:rsidR="00A42428">
        <w:rPr>
          <w:i/>
        </w:rPr>
        <w:t>interlocuzione</w:t>
      </w:r>
      <w:r w:rsidR="00A42428">
        <w:t>” con la stessa Corte europea nel comune impegno di favorire la più piena attuazione del diritto dell’Unione, l’arricchimento degli strumenti a tal fine disponibili che consegue al sindacato accentrato di costituzionalità (esercitabile anche rispetto a norme europee prive di effetto diretto) ed alla possibilità che sia la stessa Corte costituzionale</w:t>
      </w:r>
      <w:r w:rsidR="00B851FA">
        <w:t>, se del caso,</w:t>
      </w:r>
      <w:r w:rsidR="00A42428">
        <w:t xml:space="preserve"> a interrogare la Corte di giustizia attraverso il rinvio </w:t>
      </w:r>
      <w:r w:rsidR="00A42428" w:rsidRPr="00B149EB">
        <w:t>pregiudiziale.</w:t>
      </w:r>
    </w:p>
    <w:p w:rsidR="00272FFC" w:rsidRDefault="00272FFC" w:rsidP="009F3F7B">
      <w:pPr>
        <w:ind w:firstLine="426"/>
      </w:pPr>
      <w:r>
        <w:t xml:space="preserve">Pur essendo verosimilmente </w:t>
      </w:r>
      <w:r w:rsidR="00B851FA">
        <w:t>tali</w:t>
      </w:r>
      <w:r>
        <w:t xml:space="preserve"> approdi destinati a essere precisati e anche – come </w:t>
      </w:r>
      <w:r w:rsidR="009119CC">
        <w:t>a</w:t>
      </w:r>
      <w:r>
        <w:t>vvenuto per quello del 2017 – temperati dalla giurisprudenza</w:t>
      </w:r>
      <w:r w:rsidR="00B149EB">
        <w:t xml:space="preserve"> costituzionale</w:t>
      </w:r>
      <w:r>
        <w:t xml:space="preserve"> successiva (e anzi, come si vedrà, forse ciò è in parte già avvenuto), la loro portata potenzialmente dirompente ha rinfocolato il dibattito dottrinale sulla “doppia pregiudizialità”. Da un lato, i costituzionalisti – sviluppando i concetti esposti dall’estensore della sentenza n. 181 in un contributo di poco anteriore alla stessa</w:t>
      </w:r>
      <w:r>
        <w:rPr>
          <w:rStyle w:val="Rimandonotaapidipagina"/>
        </w:rPr>
        <w:footnoteReference w:id="40"/>
      </w:r>
      <w:r>
        <w:t xml:space="preserve"> - hanno per lo più accolto con favore l’ulteriore apertura della Corte costituzionale, sottolineandone la logica non certo oppositiva o competitiva bensì collaborativa rispetto al ruolo della Corte di giustizia quale depositaria dell’ultima parola sull’interpretazione del diritto dell’Unione, nel quadro di un processo di crescente integrazione degli strumenti a disposizione per la più piena ed effettiva affermazione del diritto europeo nell’ordinamento interno</w:t>
      </w:r>
      <w:r>
        <w:rPr>
          <w:rStyle w:val="Rimandonotaapidipagina"/>
        </w:rPr>
        <w:footnoteReference w:id="41"/>
      </w:r>
      <w:r>
        <w:t xml:space="preserve">. Dall’altro lato, però, </w:t>
      </w:r>
      <w:r w:rsidR="002314DE">
        <w:t>gli studiosi di diritto dell’Unione europea non hanno risparmiato critiche e perplessità, evidenziando i numerosi aspetti di criticità che l’orientamento della nostra Corte può far emergere nel delicato settore dei rapporti tra ordinamento interno e ordinamento europeo: in linea generale, è stata sottolineata la pressoché totale obliterazione dell’articolo 11 della Costituzione, che è e rimane la norma-cardine in virtù della quale va ricostruita l’integrazione tra i due ordinamenti, attraverso la valorizzazione ai fini del sindacato interno del successivo articolo 117, che è norma sulla produzione legislativa</w:t>
      </w:r>
      <w:r w:rsidR="002314DE">
        <w:rPr>
          <w:rStyle w:val="Rimandonotaapidipagina"/>
        </w:rPr>
        <w:footnoteReference w:id="42"/>
      </w:r>
      <w:r w:rsidR="002314DE">
        <w:t xml:space="preserve">; inoltre, </w:t>
      </w:r>
      <w:r w:rsidR="00A80BB8">
        <w:t>si è evidenziato che l’allargamento della possibile sfera di intervento della Corte costituzionale finisce per ridefinire “in negativo” le competenze della Corte di giustizia, lasciando irrisolta la questione dell’obbligo di interpretazione conforme, che non è di poco momento considerando il ruolo della Corte di giustizia, quale titolare dell’interpretazione del diritto europeo, nel chiarire innanzitutto quali siano le norme dell’Unione provviste di efficacia diretta</w:t>
      </w:r>
      <w:r w:rsidR="00A80BB8">
        <w:rPr>
          <w:rStyle w:val="Rimandonotaapidipagina"/>
        </w:rPr>
        <w:footnoteReference w:id="43"/>
      </w:r>
      <w:r w:rsidR="00A80BB8">
        <w:t>.</w:t>
      </w:r>
    </w:p>
    <w:p w:rsidR="00A80BB8" w:rsidRDefault="00A80BB8" w:rsidP="009F3F7B">
      <w:pPr>
        <w:ind w:firstLine="426"/>
      </w:pPr>
      <w:r>
        <w:t>Più in generale, pur apparendo certo che la ricerca di un nuovo equilibrio nei rapporti tra rimedio interno e rinvio pregiudiziale, oltre a essere ispirata dal desiderio della Corte costituzionale di recuperare un proprio spazio di intervento evitando di essere marginalizzata nella attuazione del diritto europeo, si sia accortamente raccordata anche con le convergenti posizioni espresse dalla stessa Corte di Lussemburgo</w:t>
      </w:r>
      <w:r>
        <w:rPr>
          <w:rStyle w:val="Rimandonotaapidipagina"/>
        </w:rPr>
        <w:footnoteReference w:id="44"/>
      </w:r>
      <w:r>
        <w:t>, emerge nuovamente la preoccupazione</w:t>
      </w:r>
      <w:r w:rsidR="002B0698">
        <w:t xml:space="preserve"> – già espressa soprattutto dopo i chiarimenti successivi alla sentenza n. 269 del 2017 – che l’impregiudicata facoltà del giudice comune di sollevare la questione di compatibilità eurounitaria anche dopo una pronuncia con cui la Consulta avesse escluso il contrasto con il diritto europeo, anche per le medesime ragioni, </w:t>
      </w:r>
      <w:r w:rsidR="009119CC">
        <w:t xml:space="preserve">possa </w:t>
      </w:r>
      <w:r w:rsidR="002B0698">
        <w:t>espo</w:t>
      </w:r>
      <w:r w:rsidR="009119CC">
        <w:t>rre</w:t>
      </w:r>
      <w:r w:rsidR="002B0698">
        <w:t xml:space="preserve"> la Corte costituzionale a rischi di delegittimazione qualora invece la Corte di giustizia si </w:t>
      </w:r>
      <w:r w:rsidR="009119CC">
        <w:t>o</w:t>
      </w:r>
      <w:r w:rsidR="002B0698">
        <w:t>rient</w:t>
      </w:r>
      <w:r w:rsidR="009119CC">
        <w:t>i</w:t>
      </w:r>
      <w:r w:rsidR="002B0698">
        <w:t xml:space="preserve"> in senso opposto</w:t>
      </w:r>
      <w:r w:rsidR="002B0698">
        <w:rPr>
          <w:rStyle w:val="Rimandonotaapidipagina"/>
        </w:rPr>
        <w:footnoteReference w:id="45"/>
      </w:r>
      <w:r w:rsidR="002B0698">
        <w:t>.</w:t>
      </w:r>
      <w:r w:rsidR="00A31817">
        <w:t xml:space="preserve"> In tale prospettiva, sarebbe difficile</w:t>
      </w:r>
      <w:r w:rsidR="00B149EB">
        <w:t xml:space="preserve"> dare torto in chi già in epoca “non sospetta”</w:t>
      </w:r>
      <w:r w:rsidR="00A31817">
        <w:t xml:space="preserve"> aveva </w:t>
      </w:r>
      <w:r w:rsidR="00A31817">
        <w:lastRenderedPageBreak/>
        <w:t xml:space="preserve">ritenuto che la </w:t>
      </w:r>
      <w:r w:rsidR="009119CC">
        <w:t>“</w:t>
      </w:r>
      <w:r w:rsidR="009119CC">
        <w:rPr>
          <w:i/>
        </w:rPr>
        <w:t>deferenza</w:t>
      </w:r>
      <w:r w:rsidR="009119CC">
        <w:t>”</w:t>
      </w:r>
      <w:r w:rsidR="00A31817">
        <w:t xml:space="preserve"> manifestata dalla Corte di giustizia </w:t>
      </w:r>
      <w:r w:rsidR="009119CC">
        <w:t xml:space="preserve">nel rendersi disponibile </w:t>
      </w:r>
      <w:r w:rsidR="00A31817">
        <w:t>a lasciare la prima parola ai giudici costituzionali nazionali, riservando per sé stessa l’ultima parola, costituisse un “</w:t>
      </w:r>
      <w:r w:rsidR="00A31817">
        <w:rPr>
          <w:i/>
        </w:rPr>
        <w:t>regalo avvelenato</w:t>
      </w:r>
      <w:r w:rsidR="00A31817">
        <w:t>” agli ordinamenti nazionali degli Stati membri</w:t>
      </w:r>
      <w:r w:rsidR="00A31817">
        <w:rPr>
          <w:rStyle w:val="Rimandonotaapidipagina"/>
        </w:rPr>
        <w:footnoteReference w:id="46"/>
      </w:r>
      <w:r w:rsidR="00A31817">
        <w:t>.</w:t>
      </w:r>
    </w:p>
    <w:p w:rsidR="00A31817" w:rsidRDefault="00A31817" w:rsidP="009F3F7B">
      <w:pPr>
        <w:ind w:firstLine="426"/>
      </w:pPr>
    </w:p>
    <w:p w:rsidR="00A31817" w:rsidRDefault="00A31817" w:rsidP="009F3F7B">
      <w:pPr>
        <w:ind w:firstLine="426"/>
      </w:pPr>
    </w:p>
    <w:p w:rsidR="00A31817" w:rsidRDefault="00A31817" w:rsidP="009F3F7B">
      <w:pPr>
        <w:ind w:firstLine="426"/>
        <w:rPr>
          <w:b/>
        </w:rPr>
      </w:pPr>
      <w:r>
        <w:rPr>
          <w:b/>
        </w:rPr>
        <w:t>3. La definizione dei criteri di orientamento e la posizione del giudice amministrativo.</w:t>
      </w:r>
    </w:p>
    <w:p w:rsidR="00A31817" w:rsidRDefault="00A31817" w:rsidP="009F3F7B">
      <w:pPr>
        <w:ind w:firstLine="426"/>
        <w:rPr>
          <w:b/>
        </w:rPr>
      </w:pPr>
    </w:p>
    <w:p w:rsidR="00A31817" w:rsidRDefault="00A31817" w:rsidP="009F3F7B">
      <w:pPr>
        <w:ind w:firstLine="426"/>
      </w:pPr>
      <w:r>
        <w:t xml:space="preserve">Dal punto di vista del giudice interno, il rilancio </w:t>
      </w:r>
      <w:r w:rsidR="00B149EB">
        <w:t xml:space="preserve">- </w:t>
      </w:r>
      <w:r>
        <w:t>e l’</w:t>
      </w:r>
      <w:r w:rsidR="00B149EB">
        <w:t xml:space="preserve">apparente </w:t>
      </w:r>
      <w:r>
        <w:t>ampliamento</w:t>
      </w:r>
      <w:r w:rsidR="00B149EB">
        <w:t xml:space="preserve"> -</w:t>
      </w:r>
      <w:r>
        <w:t xml:space="preserve"> delle posizioni in tema di “doppia pregiudizialità” già espresse dalla Corte costituzionale nel 2017 </w:t>
      </w:r>
      <w:r w:rsidR="00CE30B5">
        <w:t xml:space="preserve">può </w:t>
      </w:r>
      <w:r>
        <w:t>determina</w:t>
      </w:r>
      <w:r w:rsidR="00CE30B5">
        <w:t>re</w:t>
      </w:r>
      <w:r>
        <w:t xml:space="preserve"> </w:t>
      </w:r>
      <w:r w:rsidR="00CE30B5">
        <w:t>il definitivo</w:t>
      </w:r>
      <w:r>
        <w:t xml:space="preserve"> smarrimento dei pochi punti di riferimento </w:t>
      </w:r>
      <w:r w:rsidR="00B851FA">
        <w:t xml:space="preserve">ancora </w:t>
      </w:r>
      <w:r>
        <w:t xml:space="preserve">certi </w:t>
      </w:r>
      <w:r w:rsidR="00B851FA">
        <w:t>alla stregua</w:t>
      </w:r>
      <w:r>
        <w:t xml:space="preserve"> della “regola Granital”, con </w:t>
      </w:r>
      <w:r w:rsidR="00B149EB">
        <w:t>il riproporsi</w:t>
      </w:r>
      <w:r>
        <w:t xml:space="preserve"> d</w:t>
      </w:r>
      <w:r w:rsidR="00B149EB">
        <w:t>e</w:t>
      </w:r>
      <w:r w:rsidR="00B851FA">
        <w:t>ll’</w:t>
      </w:r>
      <w:r>
        <w:t>interrogativ</w:t>
      </w:r>
      <w:r w:rsidR="00B851FA">
        <w:t>o</w:t>
      </w:r>
      <w:r>
        <w:t xml:space="preserve"> </w:t>
      </w:r>
      <w:r w:rsidR="00B851FA">
        <w:t>di</w:t>
      </w:r>
      <w:r w:rsidR="00B149EB">
        <w:t xml:space="preserve"> quali possano essere i </w:t>
      </w:r>
      <w:r>
        <w:t xml:space="preserve">criteri e </w:t>
      </w:r>
      <w:r w:rsidR="00B149EB">
        <w:t xml:space="preserve">i </w:t>
      </w:r>
      <w:r>
        <w:t xml:space="preserve">parametri </w:t>
      </w:r>
      <w:r w:rsidR="00B149EB">
        <w:t xml:space="preserve">utili a </w:t>
      </w:r>
      <w:r>
        <w:t>orientare la scelta tra l’uno e l’altro dei rimedi a disposizione</w:t>
      </w:r>
      <w:r w:rsidR="00B149EB">
        <w:t xml:space="preserve"> nelle singole fattispecie</w:t>
      </w:r>
      <w:r>
        <w:t>, posto che è la Corte stessa a volere apparentemente riconoscere la piena discrezionalità di tale scelta (aggiungendo, per giunta, che questa</w:t>
      </w:r>
      <w:r w:rsidR="00B149EB">
        <w:t>,</w:t>
      </w:r>
      <w:r>
        <w:t xml:space="preserve"> una volta operata nel senso di sollevare la questione di legittimità costituzionale</w:t>
      </w:r>
      <w:r w:rsidR="00B149EB">
        <w:t>,</w:t>
      </w:r>
      <w:r>
        <w:t xml:space="preserve"> renderebbe</w:t>
      </w:r>
      <w:r w:rsidR="00B149EB">
        <w:t xml:space="preserve"> addirittura</w:t>
      </w:r>
      <w:r>
        <w:t xml:space="preserve"> doveroso per la Corte pronunciarsi su di essa). Tale necessità </w:t>
      </w:r>
      <w:r w:rsidR="000D3DCF">
        <w:t>è particolarmente avvertita dal giudice amministrativo, non solo – e da un punto di vista pratico – per la profonda compenetrazione con il diritto dell’Unione che connota pressoché tutto il diritto amministrativo nell’attuale sistema multilivello delle fonti</w:t>
      </w:r>
      <w:r w:rsidR="000D3DCF">
        <w:rPr>
          <w:rStyle w:val="Rimandonotaapidipagina"/>
        </w:rPr>
        <w:footnoteReference w:id="47"/>
      </w:r>
      <w:r w:rsidR="000D3DCF">
        <w:t>, ma anche perché nessuno meglio del giudice amministrativo è consapevole che laddove esiste un potere discrezionale devono esservi anche criteri e principi direttivi per il suo esercizio, pena la sua trasformazione in semplice arbitrio</w:t>
      </w:r>
      <w:r w:rsidR="00CE30B5">
        <w:rPr>
          <w:rStyle w:val="Rimandonotaapidipagina"/>
        </w:rPr>
        <w:footnoteReference w:id="48"/>
      </w:r>
      <w:r w:rsidR="000D3DCF">
        <w:t>.</w:t>
      </w:r>
    </w:p>
    <w:p w:rsidR="00A27409" w:rsidRDefault="00A27409" w:rsidP="009F3F7B">
      <w:pPr>
        <w:ind w:firstLine="426"/>
      </w:pPr>
      <w:r>
        <w:t>Tuttavia, i dubbi</w:t>
      </w:r>
      <w:r w:rsidR="00F544B1">
        <w:t xml:space="preserve"> autorevolmente palesati</w:t>
      </w:r>
      <w:r>
        <w:t xml:space="preserve"> fin dall’indomani</w:t>
      </w:r>
      <w:r w:rsidR="00EC6FAD">
        <w:t xml:space="preserve"> della sentenza n. 269</w:t>
      </w:r>
      <w:r>
        <w:t xml:space="preserve"> circa la stessa possibilità di </w:t>
      </w:r>
      <w:r w:rsidR="00B851FA">
        <w:t xml:space="preserve">tracciare </w:t>
      </w:r>
      <w:r>
        <w:t>regole</w:t>
      </w:r>
      <w:r w:rsidR="00B851FA">
        <w:t xml:space="preserve"> astratte</w:t>
      </w:r>
      <w:r>
        <w:t xml:space="preserve"> </w:t>
      </w:r>
      <w:r w:rsidR="00B851FA">
        <w:t>che fissino</w:t>
      </w:r>
      <w:r>
        <w:t xml:space="preserve"> l’ordine di priorità tra l’una e l’altra questione</w:t>
      </w:r>
      <w:r>
        <w:rPr>
          <w:rStyle w:val="Rimandonotaapidipagina"/>
        </w:rPr>
        <w:footnoteReference w:id="49"/>
      </w:r>
      <w:r>
        <w:t xml:space="preserve"> sembrano trovare conferma in ragione proprio del carattere netto e “perentorio” con cui la Consulta ha </w:t>
      </w:r>
      <w:r w:rsidR="0043450A">
        <w:t>r</w:t>
      </w:r>
      <w:r>
        <w:t xml:space="preserve">iaffermato la concorrenza dei due rimedi e la piena discrezionalità del giudice </w:t>
      </w:r>
      <w:r>
        <w:rPr>
          <w:i/>
        </w:rPr>
        <w:t xml:space="preserve">a quo </w:t>
      </w:r>
      <w:r>
        <w:t>nello scegliere tra di essi, dovendo tale scelta essere guidata in primo luogo dalla peculiarità della specifica fattispecie esaminata ed essendo il “</w:t>
      </w:r>
      <w:r>
        <w:rPr>
          <w:i/>
        </w:rPr>
        <w:t>tono costituzionale</w:t>
      </w:r>
      <w:r>
        <w:t>” della questione</w:t>
      </w:r>
      <w:r w:rsidR="00F8334A">
        <w:rPr>
          <w:rStyle w:val="Rimandonotaapidipagina"/>
        </w:rPr>
        <w:footnoteReference w:id="50"/>
      </w:r>
      <w:r>
        <w:t xml:space="preserve"> – con tutta la sua intuibile evanescenza – l’unica condizione che </w:t>
      </w:r>
      <w:r>
        <w:rPr>
          <w:i/>
        </w:rPr>
        <w:t xml:space="preserve">ex se </w:t>
      </w:r>
      <w:r>
        <w:t>giustifica il riconoscimento di priorità alla questione di legittimità costituzionale.</w:t>
      </w:r>
      <w:r w:rsidR="00F8334A">
        <w:t xml:space="preserve"> Nel contempo, restano del pari validi i dubbi espressi da autorevole dottrina secondo cui le pur comprensibili posizioni della Corte costituzionale giammai avrebbero potuto scalfire la </w:t>
      </w:r>
      <w:r w:rsidR="00F8334A" w:rsidRPr="00F8334A">
        <w:t>naturale</w:t>
      </w:r>
      <w:r w:rsidR="00F8334A">
        <w:t xml:space="preserve"> prevalenza della questione pregiudiziale rispetto alla questione interna di costituzionalità, per ragioni intrinseche al primato del diritto dell’Unione (non messo in discussione, e anzi espressamente riconosciuto, dalla stessa Corte costituzionale): infatti, se il giudice nazionale fosse certo della sussistenza di un contrasto tra norma interna e norma sovranazionale, dov</w:t>
      </w:r>
      <w:r w:rsidR="00F544B1">
        <w:t>rebbe</w:t>
      </w:r>
      <w:r w:rsidR="00F8334A">
        <w:t xml:space="preserve"> senza meno non applicare la prima</w:t>
      </w:r>
      <w:r w:rsidR="00F544B1">
        <w:t>,</w:t>
      </w:r>
      <w:r w:rsidR="00F8334A">
        <w:t xml:space="preserve"> perciò solo non essendovi spazio per una rimessione alla Corte costituzionale (salva l’ipotesi in cui entr</w:t>
      </w:r>
      <w:r w:rsidR="00F544B1">
        <w:t>ino</w:t>
      </w:r>
      <w:r w:rsidR="00F8334A">
        <w:t xml:space="preserve"> in campo i “controlimiti”); qualora invece il giudice </w:t>
      </w:r>
      <w:r w:rsidR="00EC6FAD">
        <w:t>interno nutr</w:t>
      </w:r>
      <w:r w:rsidR="00F544B1">
        <w:t>a</w:t>
      </w:r>
      <w:r w:rsidR="00EC6FAD">
        <w:t xml:space="preserve"> dubbi circa la sussistenza dell’antinomia, o – prima ancora – sull’interpretazione da dare ovvero sull’efficacia diretta della norma sovranazionale, la soluzione del rinvio pregiudiziale si </w:t>
      </w:r>
      <w:r w:rsidR="00EC6FAD">
        <w:lastRenderedPageBreak/>
        <w:t>impo</w:t>
      </w:r>
      <w:r w:rsidR="00F544B1">
        <w:t>ne,</w:t>
      </w:r>
      <w:r w:rsidR="00EC6FAD">
        <w:t xml:space="preserve"> essendo ovviamente la Corte di giustizia l’unica deputata a interpretare il diritto dell’Unione</w:t>
      </w:r>
      <w:r w:rsidR="00EC6FAD">
        <w:rPr>
          <w:rStyle w:val="Rimandonotaapidipagina"/>
        </w:rPr>
        <w:footnoteReference w:id="51"/>
      </w:r>
      <w:r w:rsidR="00EC6FAD">
        <w:t>.</w:t>
      </w:r>
    </w:p>
    <w:p w:rsidR="00F544B1" w:rsidRDefault="00F544B1" w:rsidP="009F3F7B">
      <w:pPr>
        <w:ind w:firstLine="426"/>
      </w:pPr>
      <w:r>
        <w:t>Sotto diverso profilo, non può trascurarsi che una serie di criteri di “scelta” tra incidente di costituzionalità e rinvio pregiudiziale rivengono dalla stessa giurisprudenza della Corte di giustizia europea, che ha più volte esaminato la questione</w:t>
      </w:r>
      <w:r>
        <w:rPr>
          <w:rStyle w:val="Rimandonotaapidipagina"/>
        </w:rPr>
        <w:footnoteReference w:id="52"/>
      </w:r>
      <w:r>
        <w:t xml:space="preserve"> fornendo agli Stati membri indicazioni</w:t>
      </w:r>
      <w:r w:rsidR="002F5015">
        <w:t xml:space="preserve"> nel senso di un possibile coordinamento tra i due rimedi, ma pur sempre mantenendo ferma la facoltà del giudice nazionale di procedere in qualsiasi momento al rinvio pregiudiziale</w:t>
      </w:r>
      <w:r w:rsidR="002F5015">
        <w:rPr>
          <w:rStyle w:val="Rimandonotaapidipagina"/>
        </w:rPr>
        <w:footnoteReference w:id="53"/>
      </w:r>
      <w:r w:rsidR="002F5015">
        <w:t>.</w:t>
      </w:r>
    </w:p>
    <w:p w:rsidR="006C15D0" w:rsidRDefault="00EC6FAD" w:rsidP="009F3F7B">
      <w:pPr>
        <w:ind w:firstLine="426"/>
      </w:pPr>
      <w:r>
        <w:t xml:space="preserve">Malgrado tutto ciò, nella sentenza n. 181 la Corte si è sforzata di individuare un catalogo, </w:t>
      </w:r>
      <w:r w:rsidR="0043450A">
        <w:t xml:space="preserve">piuttosto che </w:t>
      </w:r>
      <w:r>
        <w:t xml:space="preserve">di criteri, di situazioni di fatto che in concreto possono legittimare </w:t>
      </w:r>
      <w:r w:rsidR="00581D4F">
        <w:t>la priorità accordata alla questione di legittimità costituzionale (se non, come si legge nella motivazione della decisione, renderla “</w:t>
      </w:r>
      <w:r w:rsidR="00581D4F">
        <w:rPr>
          <w:i/>
        </w:rPr>
        <w:t>ineludibile</w:t>
      </w:r>
      <w:r w:rsidR="00581D4F">
        <w:t>” in ragione della “</w:t>
      </w:r>
      <w:r w:rsidR="00581D4F">
        <w:rPr>
          <w:i/>
        </w:rPr>
        <w:t>esigenza di una pronuncia efficace erga omnes, che travalichi la singola controversia e offra ai consociati e al legislatore indicazioni inequivocabili</w:t>
      </w:r>
      <w:r w:rsidR="00581D4F">
        <w:t>”)</w:t>
      </w:r>
      <w:r w:rsidR="002F5015">
        <w:rPr>
          <w:rStyle w:val="Rimandonotaapidipagina"/>
        </w:rPr>
        <w:footnoteReference w:id="54"/>
      </w:r>
      <w:r w:rsidR="00581D4F">
        <w:t>. In particolare, vengono citate le ipotesi in cui vi siano incertezze interpretative della normativa vigente (si presume, sia interna che europea), quelle in cui la pubblica amministrazione continui ad applicare una norma interna nonostante il suo già riconosciuto contrasto con il diritto dell’Unione, quelle in cui le questioni interpretative siano “</w:t>
      </w:r>
      <w:r w:rsidR="00581D4F">
        <w:rPr>
          <w:i/>
        </w:rPr>
        <w:t>foriere di un impatto sistemico, destinato a dispiegare i suoi effetti ben oltre il caso concreto</w:t>
      </w:r>
      <w:r w:rsidR="00581D4F">
        <w:t>” e il caso in cui si ponga un problema di bilanciamento tra principi di carattere costituzionale.</w:t>
      </w:r>
    </w:p>
    <w:p w:rsidR="00EC6FAD" w:rsidRDefault="00581D4F" w:rsidP="009F3F7B">
      <w:pPr>
        <w:ind w:firstLine="426"/>
      </w:pPr>
      <w:r>
        <w:t>Ad un’analisi attenta pressoché tutte queste ipotesi</w:t>
      </w:r>
      <w:r w:rsidR="00CE30B5">
        <w:rPr>
          <w:rStyle w:val="Rimandonotaapidipagina"/>
        </w:rPr>
        <w:footnoteReference w:id="55"/>
      </w:r>
      <w:r>
        <w:t xml:space="preserve"> non appaiono in realtà idonee a giustificare la preferenza che dovrebbe essere accordata alla questione di legittimità costituzionale rispetto a quella di compatibilità eurounitaria, né sembra solidamente argomentata l’asserita suscettività del primo rimedio a soddisfare le esigenze di applicazione uniforme del diritto dell’Unione nell’ordinamento interno</w:t>
      </w:r>
      <w:r>
        <w:rPr>
          <w:rStyle w:val="Rimandonotaapidipagina"/>
        </w:rPr>
        <w:footnoteReference w:id="56"/>
      </w:r>
      <w:r>
        <w:t>.</w:t>
      </w:r>
      <w:r w:rsidR="006C15D0">
        <w:t xml:space="preserve"> Vero è che tra le righe di questa parte della motivazione si legge un’evidente </w:t>
      </w:r>
      <w:r w:rsidR="0043450A">
        <w:t xml:space="preserve">attenzione </w:t>
      </w:r>
      <w:r w:rsidR="006C15D0">
        <w:t>della Corte a problematiche squisitamente “interne”, rispetto alle quali la declaratoria di illegittimità costituzionale apporterebbe certamente un contributo di chiarezza: il pensiero non può non andare ai casi in cui il legislatore italiano si sottragga, più o meno scientemente, al dovere di adeguare il nostro ordinamento ai principi europei nonostante il contrasto con questi sia ormai conclamato (come testimoniato dalla vicenda emblematica delle cc.dd. concessioni balneari)</w:t>
      </w:r>
      <w:r w:rsidR="004D5E4B">
        <w:rPr>
          <w:rStyle w:val="Rimandonotaapidipagina"/>
        </w:rPr>
        <w:footnoteReference w:id="57"/>
      </w:r>
      <w:r w:rsidR="006C15D0">
        <w:t xml:space="preserve">, ovvero alla tematica ancora più delicata della c.d. “paura della firma” che può costituire un serio </w:t>
      </w:r>
      <w:r w:rsidR="006C15D0">
        <w:lastRenderedPageBreak/>
        <w:t xml:space="preserve">ostacolo all’affermazione del diritto europeo da parte delle amministrazioni pubbliche, nonostante in via di principio anche queste ultime – come è noto – abbiano il dovere di non applicare le norme europee contrastanti </w:t>
      </w:r>
      <w:r w:rsidR="006C15D0" w:rsidRPr="00762E83">
        <w:t>con il diritto dell’Unione</w:t>
      </w:r>
      <w:r w:rsidR="004D5E4B">
        <w:rPr>
          <w:rStyle w:val="Rimandonotaapidipagina"/>
        </w:rPr>
        <w:footnoteReference w:id="58"/>
      </w:r>
      <w:r w:rsidR="006C15D0">
        <w:t>.</w:t>
      </w:r>
    </w:p>
    <w:p w:rsidR="00D36EC9" w:rsidRDefault="00762E83" w:rsidP="009F3F7B">
      <w:pPr>
        <w:ind w:firstLine="426"/>
      </w:pPr>
      <w:r>
        <w:t>Sia come sia</w:t>
      </w:r>
      <w:r w:rsidR="00D36EC9">
        <w:t xml:space="preserve">, </w:t>
      </w:r>
      <w:r>
        <w:t>dal punto di vista</w:t>
      </w:r>
      <w:r w:rsidR="00D36EC9">
        <w:t xml:space="preserve"> del giudice amministrativo italiano </w:t>
      </w:r>
      <w:r w:rsidR="00747D97">
        <w:t>non sembra prevedibile che le ultime sentenze della Consulta possano determinare uno stravolgimento rispetto all’ormai consolidata sensibilità di tale giurisdizione alle esigenze di uniforme interpretazione e di piena attuazione del diritto dell’Unione europea nell’ordinamento nazionale</w:t>
      </w:r>
      <w:r>
        <w:t>:</w:t>
      </w:r>
      <w:r w:rsidR="00747D97">
        <w:t xml:space="preserve"> </w:t>
      </w:r>
      <w:r>
        <w:t xml:space="preserve">una sensibilità </w:t>
      </w:r>
      <w:r w:rsidR="00747D97">
        <w:t>che</w:t>
      </w:r>
      <w:r>
        <w:t xml:space="preserve"> nella casistica giurisprudenziale</w:t>
      </w:r>
      <w:r w:rsidR="00747D97">
        <w:t xml:space="preserve"> ha portato storicamente a riconoscere ampio spazio al rinvio pregiudiziale </w:t>
      </w:r>
      <w:r w:rsidR="00747D97">
        <w:rPr>
          <w:i/>
        </w:rPr>
        <w:t xml:space="preserve">ex </w:t>
      </w:r>
      <w:r w:rsidR="00747D97">
        <w:t xml:space="preserve">articolo 267 TFUE per la risoluzione di dubbi interpretativi. </w:t>
      </w:r>
      <w:r>
        <w:t>Le radici di tale attenzione al diritto unionale vanno ricercate</w:t>
      </w:r>
      <w:r w:rsidR="00747D97">
        <w:t xml:space="preserve"> non tanto in una speciale </w:t>
      </w:r>
      <w:r>
        <w:t xml:space="preserve">inclinazione </w:t>
      </w:r>
      <w:r w:rsidR="00747D97">
        <w:t xml:space="preserve">del giudice amministrativo </w:t>
      </w:r>
      <w:r>
        <w:t>al</w:t>
      </w:r>
      <w:r w:rsidR="00747D97">
        <w:t>la tutela dei diritti fondamentali</w:t>
      </w:r>
      <w:r w:rsidR="00747D97">
        <w:rPr>
          <w:rStyle w:val="Rimandonotaapidipagina"/>
        </w:rPr>
        <w:footnoteReference w:id="59"/>
      </w:r>
      <w:r w:rsidR="00747D97">
        <w:t xml:space="preserve"> (per richiamare il terreno, peraltro ormai superato, su cui si è</w:t>
      </w:r>
      <w:r w:rsidR="007F37A7">
        <w:t xml:space="preserve"> in principio</w:t>
      </w:r>
      <w:r w:rsidR="00747D97">
        <w:t xml:space="preserve"> affermata la “doppia pregiudizialità” nella giurisprudenza costituzionale), quanto piuttosto </w:t>
      </w:r>
      <w:r w:rsidR="003164BE">
        <w:t>per l’intenso dialogo che negli ultimi due decenni si è instaurato tra i giudici italiani e la Corte di Lussemburgo al fine di sciogliere i non indifferenti nodi problematici che scaturivano dall’essere i primi astretti – come tra Scilla e Cariddi – tra la già evidenziata crescente compenetrazione del diritto amministrativo sostanziale con il diritto dell’Unione, da un lato, e le peculiarità della disciplina del processo amministrativo</w:t>
      </w:r>
      <w:r>
        <w:t xml:space="preserve"> (a partire dalla previsione di termini di decadenza per l’esercizio delle azioni giudiziali)</w:t>
      </w:r>
      <w:r w:rsidR="003164BE">
        <w:t xml:space="preserve">, tali da poter apparentemente essere di ostacolo alla piena esplicazione del rinvio pregiudiziale </w:t>
      </w:r>
      <w:r w:rsidR="0043450A">
        <w:t xml:space="preserve">quale strumento di </w:t>
      </w:r>
      <w:r w:rsidR="003164BE">
        <w:t>affermazione del diritto europeo, dall’altro</w:t>
      </w:r>
      <w:r w:rsidR="003164BE">
        <w:rPr>
          <w:rStyle w:val="Rimandonotaapidipagina"/>
        </w:rPr>
        <w:footnoteReference w:id="60"/>
      </w:r>
      <w:r w:rsidR="003164BE">
        <w:t>.</w:t>
      </w:r>
    </w:p>
    <w:p w:rsidR="005035D0" w:rsidRDefault="005035D0" w:rsidP="009F3F7B">
      <w:pPr>
        <w:ind w:firstLine="426"/>
        <w:rPr>
          <w:shd w:val="clear" w:color="auto" w:fill="FFFFFF"/>
        </w:rPr>
      </w:pPr>
      <w:r>
        <w:t xml:space="preserve">Nella conseguente proliferazione dei rinvii pregiudiziali alla Corte di giustizia da parte dei giudici amministrativi italiani, e in primo luogo del Consiglio di Stato, </w:t>
      </w:r>
      <w:r w:rsidR="00B405AB">
        <w:t xml:space="preserve">che si è registrata negli ultimi anni, </w:t>
      </w:r>
      <w:r>
        <w:t xml:space="preserve">un’incidenza causale consistente va riconosciuta anche alla accresciuta rilevanza </w:t>
      </w:r>
      <w:r w:rsidR="009C269C">
        <w:t xml:space="preserve">del tema </w:t>
      </w:r>
      <w:r>
        <w:t>ai fini della responsabilità civile dei magistrati: come è noto, la legge 27 febbraio 2015, n. 18, ha modificato la legge 13 aprile 1988, n. 117, introducendo nel comma 3 del suo articolo 2 la previsione secondo cui costituisce colpa grave “</w:t>
      </w:r>
      <w:r w:rsidRPr="005035D0">
        <w:rPr>
          <w:i/>
          <w:shd w:val="clear" w:color="auto" w:fill="FFFFFF"/>
        </w:rPr>
        <w:t>la violazione manifesta della legge nonché del diritto dell</w:t>
      </w:r>
      <w:r w:rsidR="009C269C">
        <w:rPr>
          <w:i/>
          <w:shd w:val="clear" w:color="auto" w:fill="FFFFFF"/>
        </w:rPr>
        <w:t>’</w:t>
      </w:r>
      <w:r w:rsidRPr="005035D0">
        <w:rPr>
          <w:i/>
          <w:shd w:val="clear" w:color="auto" w:fill="FFFFFF"/>
        </w:rPr>
        <w:t>Unione europea</w:t>
      </w:r>
      <w:r w:rsidR="009C269C">
        <w:rPr>
          <w:shd w:val="clear" w:color="auto" w:fill="FFFFFF"/>
        </w:rPr>
        <w:t>” ed aggiungendo al medesimo articolo il comma 3-</w:t>
      </w:r>
      <w:r w:rsidR="009C269C">
        <w:rPr>
          <w:i/>
          <w:shd w:val="clear" w:color="auto" w:fill="FFFFFF"/>
        </w:rPr>
        <w:t xml:space="preserve">bis </w:t>
      </w:r>
      <w:r w:rsidR="009C269C">
        <w:rPr>
          <w:shd w:val="clear" w:color="auto" w:fill="FFFFFF"/>
        </w:rPr>
        <w:t>che recita: “</w:t>
      </w:r>
      <w:r w:rsidR="009C269C" w:rsidRPr="009C269C">
        <w:rPr>
          <w:rFonts w:ascii="Fira Sans" w:hAnsi="Fira Sans"/>
          <w:color w:val="474747"/>
          <w:shd w:val="clear" w:color="auto" w:fill="FFFFFF"/>
        </w:rPr>
        <w:t> </w:t>
      </w:r>
      <w:r w:rsidR="009C269C" w:rsidRPr="009C269C">
        <w:rPr>
          <w:i/>
          <w:shd w:val="clear" w:color="auto" w:fill="FFFFFF"/>
        </w:rPr>
        <w:t>Fermo restando il giudizio di responsabilità contabile di cui al </w:t>
      </w:r>
      <w:hyperlink r:id="rId8" w:history="1">
        <w:r w:rsidR="009C269C" w:rsidRPr="009C269C">
          <w:rPr>
            <w:i/>
          </w:rPr>
          <w:t>decreto-legge 23 ottobre 1996, n. 543</w:t>
        </w:r>
      </w:hyperlink>
      <w:r w:rsidR="009C269C" w:rsidRPr="009C269C">
        <w:rPr>
          <w:i/>
          <w:shd w:val="clear" w:color="auto" w:fill="FFFFFF"/>
        </w:rPr>
        <w:t>, convertito, con modificazioni, dalla </w:t>
      </w:r>
      <w:hyperlink r:id="rId9" w:history="1">
        <w:r w:rsidR="009C269C" w:rsidRPr="009C269C">
          <w:rPr>
            <w:i/>
          </w:rPr>
          <w:t>legge 20 dicembre 1996, n. 639</w:t>
        </w:r>
      </w:hyperlink>
      <w:r w:rsidR="009C269C" w:rsidRPr="009C269C">
        <w:rPr>
          <w:i/>
          <w:shd w:val="clear" w:color="auto" w:fill="FFFFFF"/>
        </w:rPr>
        <w:t>, ai fini della determinazione dei casi in cui sussiste la violazione manifesta della legge nonché del diritto dell</w:t>
      </w:r>
      <w:r w:rsidR="009C269C">
        <w:rPr>
          <w:i/>
          <w:shd w:val="clear" w:color="auto" w:fill="FFFFFF"/>
        </w:rPr>
        <w:t>’</w:t>
      </w:r>
      <w:r w:rsidR="009C269C" w:rsidRPr="009C269C">
        <w:rPr>
          <w:i/>
          <w:shd w:val="clear" w:color="auto" w:fill="FFFFFF"/>
        </w:rPr>
        <w:t>Unione europea si tiene conto, in particolare, del grado di chiarezza e precisione delle norme violate nonché dell</w:t>
      </w:r>
      <w:r w:rsidR="009C269C">
        <w:rPr>
          <w:i/>
          <w:shd w:val="clear" w:color="auto" w:fill="FFFFFF"/>
        </w:rPr>
        <w:t>’</w:t>
      </w:r>
      <w:r w:rsidR="009C269C" w:rsidRPr="009C269C">
        <w:rPr>
          <w:i/>
          <w:shd w:val="clear" w:color="auto" w:fill="FFFFFF"/>
        </w:rPr>
        <w:t>inescusabilità e della gravità dell</w:t>
      </w:r>
      <w:r w:rsidR="009C269C">
        <w:rPr>
          <w:i/>
          <w:shd w:val="clear" w:color="auto" w:fill="FFFFFF"/>
        </w:rPr>
        <w:t>’</w:t>
      </w:r>
      <w:r w:rsidR="009C269C" w:rsidRPr="009C269C">
        <w:rPr>
          <w:i/>
          <w:shd w:val="clear" w:color="auto" w:fill="FFFFFF"/>
        </w:rPr>
        <w:t>inosservanza. In caso di violazione manifesta del diritto dell</w:t>
      </w:r>
      <w:r w:rsidR="009C269C">
        <w:rPr>
          <w:i/>
          <w:shd w:val="clear" w:color="auto" w:fill="FFFFFF"/>
        </w:rPr>
        <w:t>’</w:t>
      </w:r>
      <w:r w:rsidR="009C269C" w:rsidRPr="009C269C">
        <w:rPr>
          <w:i/>
          <w:shd w:val="clear" w:color="auto" w:fill="FFFFFF"/>
        </w:rPr>
        <w:t>Unione europea si deve tener conto anche della mancata osservanza dell</w:t>
      </w:r>
      <w:r w:rsidR="007F37A7">
        <w:rPr>
          <w:i/>
          <w:shd w:val="clear" w:color="auto" w:fill="FFFFFF"/>
        </w:rPr>
        <w:t>’</w:t>
      </w:r>
      <w:r w:rsidR="009C269C" w:rsidRPr="009C269C">
        <w:rPr>
          <w:i/>
          <w:shd w:val="clear" w:color="auto" w:fill="FFFFFF"/>
        </w:rPr>
        <w:t>obbligo di rinvio pregiudiziale ai sensi dell</w:t>
      </w:r>
      <w:r w:rsidR="009C269C">
        <w:rPr>
          <w:i/>
          <w:shd w:val="clear" w:color="auto" w:fill="FFFFFF"/>
        </w:rPr>
        <w:t>’</w:t>
      </w:r>
      <w:hyperlink r:id="rId10" w:history="1">
        <w:r w:rsidR="009C269C" w:rsidRPr="009C269C">
          <w:rPr>
            <w:i/>
          </w:rPr>
          <w:t>articolo 267</w:t>
        </w:r>
      </w:hyperlink>
      <w:r w:rsidR="009C269C" w:rsidRPr="009C269C">
        <w:rPr>
          <w:i/>
          <w:shd w:val="clear" w:color="auto" w:fill="FFFFFF"/>
        </w:rPr>
        <w:t>, terzo paragrafo, del Trattato sul funzionamento dell</w:t>
      </w:r>
      <w:r w:rsidR="009C269C">
        <w:rPr>
          <w:i/>
          <w:shd w:val="clear" w:color="auto" w:fill="FFFFFF"/>
        </w:rPr>
        <w:t>’</w:t>
      </w:r>
      <w:r w:rsidR="009C269C" w:rsidRPr="009C269C">
        <w:rPr>
          <w:i/>
          <w:shd w:val="clear" w:color="auto" w:fill="FFFFFF"/>
        </w:rPr>
        <w:t>Unione europea, nonché del contrasto dell</w:t>
      </w:r>
      <w:r w:rsidR="009C269C">
        <w:rPr>
          <w:i/>
          <w:shd w:val="clear" w:color="auto" w:fill="FFFFFF"/>
        </w:rPr>
        <w:t>’</w:t>
      </w:r>
      <w:r w:rsidR="009C269C" w:rsidRPr="009C269C">
        <w:rPr>
          <w:i/>
          <w:shd w:val="clear" w:color="auto" w:fill="FFFFFF"/>
        </w:rPr>
        <w:t>atto o del provvedimento con l</w:t>
      </w:r>
      <w:r w:rsidR="009C269C">
        <w:rPr>
          <w:i/>
          <w:shd w:val="clear" w:color="auto" w:fill="FFFFFF"/>
        </w:rPr>
        <w:t>’</w:t>
      </w:r>
      <w:r w:rsidR="009C269C" w:rsidRPr="009C269C">
        <w:rPr>
          <w:i/>
          <w:shd w:val="clear" w:color="auto" w:fill="FFFFFF"/>
        </w:rPr>
        <w:t>interpretazione espressa dalla Corte di giustizia dell</w:t>
      </w:r>
      <w:r w:rsidR="009C269C">
        <w:rPr>
          <w:i/>
          <w:shd w:val="clear" w:color="auto" w:fill="FFFFFF"/>
        </w:rPr>
        <w:t>’</w:t>
      </w:r>
      <w:r w:rsidR="009C269C" w:rsidRPr="009C269C">
        <w:rPr>
          <w:i/>
          <w:shd w:val="clear" w:color="auto" w:fill="FFFFFF"/>
        </w:rPr>
        <w:t>Unione europea</w:t>
      </w:r>
      <w:r w:rsidR="009C269C">
        <w:rPr>
          <w:shd w:val="clear" w:color="auto" w:fill="FFFFFF"/>
        </w:rPr>
        <w:t xml:space="preserve">”. Il successivo articolo 9 della stessa legge n. 117/1988, come pure novellato nel 2015, affianca all’azione di rivalsa dello Stato nei confronti del magistrato (già prevista dall’articolo 7) la previsione dell’obbligatorietà dell’azione disciplinare </w:t>
      </w:r>
      <w:r w:rsidR="009C269C" w:rsidRPr="009C269C">
        <w:rPr>
          <w:shd w:val="clear" w:color="auto" w:fill="FFFFFF"/>
        </w:rPr>
        <w:t>per i fatti che hanno dato luogo all’azione risarcitoria, specificando che a tali fini non è neppure richiesta la colpa grave.</w:t>
      </w:r>
    </w:p>
    <w:p w:rsidR="009C269C" w:rsidRDefault="009C269C" w:rsidP="009F3F7B">
      <w:pPr>
        <w:ind w:firstLine="426"/>
        <w:rPr>
          <w:rStyle w:val="Enfasicorsivo"/>
          <w:i w:val="0"/>
          <w:shd w:val="clear" w:color="auto" w:fill="FFFFFF"/>
        </w:rPr>
      </w:pPr>
      <w:r>
        <w:rPr>
          <w:shd w:val="clear" w:color="auto" w:fill="FFFFFF"/>
        </w:rPr>
        <w:lastRenderedPageBreak/>
        <w:t>Si tratta, come notato dai più attenti commentatori</w:t>
      </w:r>
      <w:r>
        <w:rPr>
          <w:rStyle w:val="Rimandonotaapidipagina"/>
          <w:shd w:val="clear" w:color="auto" w:fill="FFFFFF"/>
        </w:rPr>
        <w:footnoteReference w:id="61"/>
      </w:r>
      <w:r>
        <w:rPr>
          <w:shd w:val="clear" w:color="auto" w:fill="FFFFFF"/>
        </w:rPr>
        <w:t xml:space="preserve">, di innovazioni occasionate e forse addirittura necessitate dalla giurisprudenza della Corte di giustizia che aveva affermato la incompatibilità con il diritto europeo di una legislazione nazionale che escludesse in via generale la responsabilità dello Stato membro per la violazione del diritto dell’Unione </w:t>
      </w:r>
      <w:r w:rsidRPr="009C269C">
        <w:rPr>
          <w:rStyle w:val="Enfasicorsivo"/>
          <w:i w:val="0"/>
          <w:shd w:val="clear" w:color="auto" w:fill="FFFFFF"/>
        </w:rPr>
        <w:t>imputabile a un organo giurisdizionale di ultimo grado per il motivo che l</w:t>
      </w:r>
      <w:r>
        <w:rPr>
          <w:rStyle w:val="Enfasicorsivo"/>
          <w:i w:val="0"/>
          <w:shd w:val="clear" w:color="auto" w:fill="FFFFFF"/>
        </w:rPr>
        <w:t>a violazione controversa risulti</w:t>
      </w:r>
      <w:r w:rsidRPr="009C269C">
        <w:rPr>
          <w:rStyle w:val="Enfasicorsivo"/>
          <w:i w:val="0"/>
          <w:shd w:val="clear" w:color="auto" w:fill="FFFFFF"/>
        </w:rPr>
        <w:t xml:space="preserve"> da un</w:t>
      </w:r>
      <w:r>
        <w:rPr>
          <w:rStyle w:val="Enfasicorsivo"/>
          <w:i w:val="0"/>
          <w:shd w:val="clear" w:color="auto" w:fill="FFFFFF"/>
        </w:rPr>
        <w:t>’</w:t>
      </w:r>
      <w:r w:rsidRPr="009C269C">
        <w:rPr>
          <w:rStyle w:val="Enfasicorsivo"/>
          <w:i w:val="0"/>
          <w:shd w:val="clear" w:color="auto" w:fill="FFFFFF"/>
        </w:rPr>
        <w:t>interpretazione delle norme giuridiche o da una valutazione dei fatti e delle prove operate da tale organo giurisdizionale</w:t>
      </w:r>
      <w:r w:rsidR="00B405AB">
        <w:rPr>
          <w:rStyle w:val="Enfasicorsivo"/>
          <w:i w:val="0"/>
          <w:shd w:val="clear" w:color="auto" w:fill="FFFFFF"/>
        </w:rPr>
        <w:t>, giungendo a sottoporre l’Italia a procedura di infrazione</w:t>
      </w:r>
      <w:r w:rsidR="003B3313">
        <w:rPr>
          <w:rStyle w:val="Rimandonotaapidipagina"/>
          <w:iCs/>
          <w:shd w:val="clear" w:color="auto" w:fill="FFFFFF"/>
        </w:rPr>
        <w:footnoteReference w:id="62"/>
      </w:r>
      <w:r>
        <w:rPr>
          <w:rStyle w:val="Enfasicorsivo"/>
          <w:i w:val="0"/>
          <w:shd w:val="clear" w:color="auto" w:fill="FFFFFF"/>
        </w:rPr>
        <w:t xml:space="preserve">. </w:t>
      </w:r>
      <w:r w:rsidR="006B740E">
        <w:rPr>
          <w:rStyle w:val="Enfasicorsivo"/>
          <w:i w:val="0"/>
          <w:shd w:val="clear" w:color="auto" w:fill="FFFFFF"/>
        </w:rPr>
        <w:t>Al di là di ciò</w:t>
      </w:r>
      <w:r>
        <w:rPr>
          <w:rStyle w:val="Enfasicorsivo"/>
          <w:i w:val="0"/>
          <w:shd w:val="clear" w:color="auto" w:fill="FFFFFF"/>
        </w:rPr>
        <w:t xml:space="preserve">, </w:t>
      </w:r>
      <w:r w:rsidR="00B405AB">
        <w:rPr>
          <w:rStyle w:val="Enfasicorsivo"/>
          <w:i w:val="0"/>
          <w:shd w:val="clear" w:color="auto" w:fill="FFFFFF"/>
        </w:rPr>
        <w:t xml:space="preserve">circoscrivendo l’esame alla sfera del giudizio amministrativo, </w:t>
      </w:r>
      <w:r w:rsidR="003B3313">
        <w:rPr>
          <w:rStyle w:val="Enfasicorsivo"/>
          <w:i w:val="0"/>
          <w:shd w:val="clear" w:color="auto" w:fill="FFFFFF"/>
        </w:rPr>
        <w:t xml:space="preserve">gli effetti immediati della modifica normativa sono stati in prima battuta </w:t>
      </w:r>
      <w:r w:rsidR="007F37A7">
        <w:rPr>
          <w:rStyle w:val="Enfasicorsivo"/>
          <w:i w:val="0"/>
          <w:shd w:val="clear" w:color="auto" w:fill="FFFFFF"/>
        </w:rPr>
        <w:t>il moltiplicarsi</w:t>
      </w:r>
      <w:r w:rsidR="003B3313">
        <w:rPr>
          <w:rStyle w:val="Enfasicorsivo"/>
          <w:i w:val="0"/>
          <w:shd w:val="clear" w:color="auto" w:fill="FFFFFF"/>
        </w:rPr>
        <w:t xml:space="preserve"> dei casi in cui sono le</w:t>
      </w:r>
      <w:r w:rsidR="006B740E">
        <w:rPr>
          <w:rStyle w:val="Enfasicorsivo"/>
          <w:i w:val="0"/>
          <w:shd w:val="clear" w:color="auto" w:fill="FFFFFF"/>
        </w:rPr>
        <w:t xml:space="preserve"> stesse</w:t>
      </w:r>
      <w:r w:rsidR="003B3313">
        <w:rPr>
          <w:rStyle w:val="Enfasicorsivo"/>
          <w:i w:val="0"/>
          <w:shd w:val="clear" w:color="auto" w:fill="FFFFFF"/>
        </w:rPr>
        <w:t xml:space="preserve"> parti a sollecitare il giudice a sollevare la questione pregiudiziale per il ritenuto contrasto delle norme interne con il diritto unionale (ciò che è certamente consentito in funzione collaborativa, ma che </w:t>
      </w:r>
      <w:r w:rsidR="006B740E">
        <w:rPr>
          <w:rStyle w:val="Enfasicorsivo"/>
          <w:i w:val="0"/>
          <w:shd w:val="clear" w:color="auto" w:fill="FFFFFF"/>
        </w:rPr>
        <w:t>altrettanto indubbi</w:t>
      </w:r>
      <w:r w:rsidR="003B3313">
        <w:rPr>
          <w:rStyle w:val="Enfasicorsivo"/>
          <w:i w:val="0"/>
          <w:shd w:val="clear" w:color="auto" w:fill="FFFFFF"/>
        </w:rPr>
        <w:t>amente pone il problema di elaborare un “filtro” giudiziale a fronte di possibili richieste strumentali o pretestuose)</w:t>
      </w:r>
      <w:r w:rsidR="003B3313">
        <w:rPr>
          <w:rStyle w:val="Rimandonotaapidipagina"/>
          <w:iCs/>
          <w:shd w:val="clear" w:color="auto" w:fill="FFFFFF"/>
        </w:rPr>
        <w:footnoteReference w:id="63"/>
      </w:r>
      <w:r w:rsidR="003B3313">
        <w:rPr>
          <w:rStyle w:val="Enfasicorsivo"/>
          <w:i w:val="0"/>
          <w:shd w:val="clear" w:color="auto" w:fill="FFFFFF"/>
        </w:rPr>
        <w:t xml:space="preserve">, e in via derivata la </w:t>
      </w:r>
      <w:r w:rsidR="006B740E">
        <w:rPr>
          <w:rStyle w:val="Enfasicorsivo"/>
          <w:i w:val="0"/>
          <w:shd w:val="clear" w:color="auto" w:fill="FFFFFF"/>
        </w:rPr>
        <w:t>proposizione</w:t>
      </w:r>
      <w:r w:rsidR="003B3313">
        <w:rPr>
          <w:rStyle w:val="Enfasicorsivo"/>
          <w:i w:val="0"/>
          <w:shd w:val="clear" w:color="auto" w:fill="FFFFFF"/>
        </w:rPr>
        <w:t xml:space="preserve"> di una quantità di questioni</w:t>
      </w:r>
      <w:r w:rsidR="006B740E">
        <w:rPr>
          <w:rStyle w:val="Enfasicorsivo"/>
          <w:i w:val="0"/>
          <w:shd w:val="clear" w:color="auto" w:fill="FFFFFF"/>
        </w:rPr>
        <w:t xml:space="preserve"> </w:t>
      </w:r>
      <w:r w:rsidR="00B405AB">
        <w:rPr>
          <w:rStyle w:val="Enfasicorsivo"/>
          <w:i w:val="0"/>
          <w:shd w:val="clear" w:color="auto" w:fill="FFFFFF"/>
        </w:rPr>
        <w:t>interpretative del diritto europeo</w:t>
      </w:r>
      <w:r w:rsidR="003B3313">
        <w:rPr>
          <w:rStyle w:val="Enfasicorsivo"/>
          <w:i w:val="0"/>
          <w:shd w:val="clear" w:color="auto" w:fill="FFFFFF"/>
        </w:rPr>
        <w:t>, da parte del Consiglio di Stato, in funzione prettamente “difensiva”</w:t>
      </w:r>
      <w:r w:rsidR="006B740E">
        <w:rPr>
          <w:rStyle w:val="Enfasicorsivo"/>
          <w:i w:val="0"/>
          <w:shd w:val="clear" w:color="auto" w:fill="FFFFFF"/>
        </w:rPr>
        <w:t>:</w:t>
      </w:r>
      <w:r w:rsidR="003B3313">
        <w:rPr>
          <w:rStyle w:val="Enfasicorsivo"/>
          <w:i w:val="0"/>
          <w:shd w:val="clear" w:color="auto" w:fill="FFFFFF"/>
        </w:rPr>
        <w:t xml:space="preserve"> in modo da creare un flusso che – come si vedrà – ha ingenerato anche tensioni tra la Corte di Lussemburgo e i giudici di Palazzo Spada, e che non si è interrotto </w:t>
      </w:r>
      <w:r w:rsidR="007F37A7">
        <w:rPr>
          <w:rStyle w:val="Enfasicorsivo"/>
          <w:i w:val="0"/>
          <w:shd w:val="clear" w:color="auto" w:fill="FFFFFF"/>
        </w:rPr>
        <w:t xml:space="preserve">nemmeno </w:t>
      </w:r>
      <w:r w:rsidR="003B3313">
        <w:rPr>
          <w:rStyle w:val="Enfasicorsivo"/>
          <w:i w:val="0"/>
          <w:shd w:val="clear" w:color="auto" w:fill="FFFFFF"/>
        </w:rPr>
        <w:t xml:space="preserve">dopo che la Corte ha più volte ribadito di non potere (né volere) pronunciarsi su questioni di rilevanza </w:t>
      </w:r>
      <w:r w:rsidR="003B3313" w:rsidRPr="00BE5AE0">
        <w:rPr>
          <w:rStyle w:val="Enfasicorsivo"/>
          <w:i w:val="0"/>
          <w:shd w:val="clear" w:color="auto" w:fill="FFFFFF"/>
        </w:rPr>
        <w:t>esclusivamente interna dell’ordinamento italiano</w:t>
      </w:r>
      <w:r w:rsidR="003B3313">
        <w:rPr>
          <w:rStyle w:val="Rimandonotaapidipagina"/>
          <w:iCs/>
          <w:shd w:val="clear" w:color="auto" w:fill="FFFFFF"/>
        </w:rPr>
        <w:footnoteReference w:id="64"/>
      </w:r>
      <w:r w:rsidR="003B3313">
        <w:rPr>
          <w:rStyle w:val="Enfasicorsivo"/>
          <w:i w:val="0"/>
          <w:shd w:val="clear" w:color="auto" w:fill="FFFFFF"/>
        </w:rPr>
        <w:t>.</w:t>
      </w:r>
    </w:p>
    <w:p w:rsidR="00AD3E19" w:rsidRDefault="00AD3E19" w:rsidP="009F3F7B">
      <w:pPr>
        <w:ind w:firstLine="426"/>
        <w:rPr>
          <w:rStyle w:val="Enfasigrassetto"/>
          <w:b w:val="0"/>
          <w:iCs/>
          <w:shd w:val="clear" w:color="auto" w:fill="FFFFFF"/>
        </w:rPr>
      </w:pPr>
      <w:r>
        <w:rPr>
          <w:rStyle w:val="Enfasicorsivo"/>
          <w:i w:val="0"/>
          <w:shd w:val="clear" w:color="auto" w:fill="FFFFFF"/>
        </w:rPr>
        <w:t xml:space="preserve">Occorre infatti prendere atto che la Corte, </w:t>
      </w:r>
      <w:r w:rsidR="00BE5AE0">
        <w:rPr>
          <w:rStyle w:val="Enfasicorsivo"/>
          <w:i w:val="0"/>
          <w:shd w:val="clear" w:color="auto" w:fill="FFFFFF"/>
        </w:rPr>
        <w:t xml:space="preserve">pur </w:t>
      </w:r>
      <w:r>
        <w:rPr>
          <w:rStyle w:val="Enfasicorsivo"/>
          <w:i w:val="0"/>
          <w:shd w:val="clear" w:color="auto" w:fill="FFFFFF"/>
        </w:rPr>
        <w:t xml:space="preserve">sollecitata più volte a prendere posizione in ordine alla specifica questione dei limiti dell’obbligo di rinvio pregiudiziale gravante sul giudice di ultima istanza, e in particolare a precisare i casi e le condizioni in presenza delle quali tale obbligo possa essere escluso, </w:t>
      </w:r>
      <w:r w:rsidR="00BE5AE0">
        <w:rPr>
          <w:rStyle w:val="Enfasicorsivo"/>
          <w:i w:val="0"/>
          <w:shd w:val="clear" w:color="auto" w:fill="FFFFFF"/>
        </w:rPr>
        <w:t>si è limitata in definitiva a</w:t>
      </w:r>
      <w:r>
        <w:rPr>
          <w:rStyle w:val="Enfasicorsivo"/>
          <w:i w:val="0"/>
          <w:shd w:val="clear" w:color="auto" w:fill="FFFFFF"/>
        </w:rPr>
        <w:t xml:space="preserve"> ribadi</w:t>
      </w:r>
      <w:r w:rsidR="00BE5AE0">
        <w:rPr>
          <w:rStyle w:val="Enfasicorsivo"/>
          <w:i w:val="0"/>
          <w:shd w:val="clear" w:color="auto" w:fill="FFFFFF"/>
        </w:rPr>
        <w:t>re</w:t>
      </w:r>
      <w:r>
        <w:rPr>
          <w:rStyle w:val="Enfasicorsivo"/>
          <w:i w:val="0"/>
          <w:shd w:val="clear" w:color="auto" w:fill="FFFFFF"/>
        </w:rPr>
        <w:t xml:space="preserve"> i principi </w:t>
      </w:r>
      <w:r w:rsidR="00BE5AE0">
        <w:rPr>
          <w:rStyle w:val="Enfasicorsivo"/>
          <w:i w:val="0"/>
          <w:shd w:val="clear" w:color="auto" w:fill="FFFFFF"/>
        </w:rPr>
        <w:t xml:space="preserve">già </w:t>
      </w:r>
      <w:r>
        <w:rPr>
          <w:rStyle w:val="Enfasicorsivo"/>
          <w:i w:val="0"/>
          <w:shd w:val="clear" w:color="auto" w:fill="FFFFFF"/>
        </w:rPr>
        <w:t>enunciati fin dalla nota “sentenza Cilfit” del 1982</w:t>
      </w:r>
      <w:r w:rsidR="009C675E">
        <w:rPr>
          <w:rStyle w:val="Rimandonotaapidipagina"/>
          <w:iCs/>
          <w:shd w:val="clear" w:color="auto" w:fill="FFFFFF"/>
        </w:rPr>
        <w:footnoteReference w:id="65"/>
      </w:r>
      <w:r>
        <w:rPr>
          <w:rStyle w:val="Enfasicorsivo"/>
          <w:i w:val="0"/>
          <w:shd w:val="clear" w:color="auto" w:fill="FFFFFF"/>
        </w:rPr>
        <w:t>.</w:t>
      </w:r>
      <w:r w:rsidR="009C675E">
        <w:rPr>
          <w:rStyle w:val="Enfasicorsivo"/>
          <w:i w:val="0"/>
          <w:shd w:val="clear" w:color="auto" w:fill="FFFFFF"/>
        </w:rPr>
        <w:t xml:space="preserve"> In quest’ultima, come è noto, la Corte</w:t>
      </w:r>
      <w:r w:rsidR="00B405AB">
        <w:rPr>
          <w:rStyle w:val="Enfasicorsivo"/>
          <w:i w:val="0"/>
          <w:shd w:val="clear" w:color="auto" w:fill="FFFFFF"/>
        </w:rPr>
        <w:t>,</w:t>
      </w:r>
      <w:r w:rsidR="009C675E">
        <w:rPr>
          <w:rStyle w:val="Enfasicorsivo"/>
          <w:i w:val="0"/>
          <w:shd w:val="clear" w:color="auto" w:fill="FFFFFF"/>
        </w:rPr>
        <w:t xml:space="preserve"> nel ribadire l’obbligo per il giudice di ultima istanza di procedere al rinvio pregiudiziale in tutti i casi di dubbio sull’interpretazione del diritto europeo</w:t>
      </w:r>
      <w:r w:rsidR="00B405AB">
        <w:rPr>
          <w:rStyle w:val="Enfasicorsivo"/>
          <w:i w:val="0"/>
          <w:shd w:val="clear" w:color="auto" w:fill="FFFFFF"/>
        </w:rPr>
        <w:t>,</w:t>
      </w:r>
      <w:r w:rsidR="009C675E">
        <w:rPr>
          <w:rStyle w:val="Enfasicorsivo"/>
          <w:i w:val="0"/>
          <w:shd w:val="clear" w:color="auto" w:fill="FFFFFF"/>
        </w:rPr>
        <w:t xml:space="preserve"> ha precisato che tale obbligo può escludersi solo allorché il giudice nazionale “</w:t>
      </w:r>
      <w:r w:rsidR="009C675E" w:rsidRPr="009C675E">
        <w:rPr>
          <w:rStyle w:val="Enfasicorsivo"/>
          <w:shd w:val="clear" w:color="auto" w:fill="FFFFFF"/>
        </w:rPr>
        <w:t>abbia constatato che la questione non è pertinente, o che la disposizione comunitaria di cui è causa ha già costituito oggetto di interpretazione da parte della Corte, ovvero che la corretta applicazione del diritto comunitario si impone con tale evidenza da non lasciar adito a ragionevoli dubbi</w:t>
      </w:r>
      <w:r w:rsidR="009C675E">
        <w:rPr>
          <w:rStyle w:val="Enfasicorsivo"/>
          <w:i w:val="0"/>
          <w:shd w:val="clear" w:color="auto" w:fill="FFFFFF"/>
        </w:rPr>
        <w:t>”, aggiungendo poi che “</w:t>
      </w:r>
      <w:r w:rsidR="009C675E" w:rsidRPr="009C675E">
        <w:rPr>
          <w:rStyle w:val="Enfasicorsivo"/>
          <w:shd w:val="clear" w:color="auto" w:fill="FFFFFF"/>
        </w:rPr>
        <w:t>la configurabilità di tale eventualità </w:t>
      </w:r>
      <w:r w:rsidR="009C675E" w:rsidRPr="009C675E">
        <w:rPr>
          <w:rStyle w:val="Enfasigrassetto"/>
          <w:b w:val="0"/>
          <w:i/>
          <w:iCs/>
          <w:shd w:val="clear" w:color="auto" w:fill="FFFFFF"/>
        </w:rPr>
        <w:t>va valutata in funzione delle caratteristiche proprie del diritto comunitario, delle particolari difficoltà che la sua interpretazione presenta e del rischio di divergenze di giurisprudenza all</w:t>
      </w:r>
      <w:r w:rsidR="009C675E">
        <w:rPr>
          <w:rStyle w:val="Enfasigrassetto"/>
          <w:b w:val="0"/>
          <w:i/>
          <w:iCs/>
          <w:shd w:val="clear" w:color="auto" w:fill="FFFFFF"/>
        </w:rPr>
        <w:t>’</w:t>
      </w:r>
      <w:r w:rsidR="009C675E" w:rsidRPr="009C675E">
        <w:rPr>
          <w:rStyle w:val="Enfasigrassetto"/>
          <w:b w:val="0"/>
          <w:i/>
          <w:iCs/>
          <w:shd w:val="clear" w:color="auto" w:fill="FFFFFF"/>
        </w:rPr>
        <w:t>interno della Comunità</w:t>
      </w:r>
      <w:r w:rsidR="009C675E">
        <w:rPr>
          <w:rStyle w:val="Enfasigrassetto"/>
          <w:b w:val="0"/>
          <w:iCs/>
          <w:shd w:val="clear" w:color="auto" w:fill="FFFFFF"/>
        </w:rPr>
        <w:t>”.</w:t>
      </w:r>
    </w:p>
    <w:p w:rsidR="009C675E" w:rsidRDefault="009C675E" w:rsidP="009C675E">
      <w:pPr>
        <w:shd w:val="clear" w:color="auto" w:fill="FFFFFF"/>
        <w:ind w:firstLine="426"/>
        <w:rPr>
          <w:rFonts w:eastAsia="Times New Roman"/>
          <w:lang w:eastAsia="it-IT"/>
        </w:rPr>
      </w:pPr>
      <w:r>
        <w:rPr>
          <w:rStyle w:val="Enfasigrassetto"/>
          <w:b w:val="0"/>
          <w:iCs/>
          <w:shd w:val="clear" w:color="auto" w:fill="FFFFFF"/>
        </w:rPr>
        <w:lastRenderedPageBreak/>
        <w:t xml:space="preserve">Nel richiamare i predetti principi, la Corte ha </w:t>
      </w:r>
      <w:r w:rsidR="008D5BFE">
        <w:rPr>
          <w:rStyle w:val="Enfasigrassetto"/>
          <w:b w:val="0"/>
          <w:iCs/>
          <w:shd w:val="clear" w:color="auto" w:fill="FFFFFF"/>
        </w:rPr>
        <w:t>peraltro</w:t>
      </w:r>
      <w:r>
        <w:rPr>
          <w:rStyle w:val="Enfasigrassetto"/>
          <w:b w:val="0"/>
          <w:iCs/>
          <w:shd w:val="clear" w:color="auto" w:fill="FFFFFF"/>
        </w:rPr>
        <w:t xml:space="preserve"> meglio precisato i contorni della fattispecie del c.d. “atto chiaro” affermando che per potersi avere una “</w:t>
      </w:r>
      <w:r>
        <w:rPr>
          <w:rStyle w:val="Enfasigrassetto"/>
          <w:b w:val="0"/>
          <w:i/>
          <w:iCs/>
          <w:shd w:val="clear" w:color="auto" w:fill="FFFFFF"/>
        </w:rPr>
        <w:t>evidenza</w:t>
      </w:r>
      <w:r>
        <w:rPr>
          <w:rStyle w:val="Enfasigrassetto"/>
          <w:b w:val="0"/>
          <w:iCs/>
          <w:shd w:val="clear" w:color="auto" w:fill="FFFFFF"/>
        </w:rPr>
        <w:t>” della corretta interpretazione del diritto dell’Unione, tale da escludere l’obbligo di rinvio pregiudiziale</w:t>
      </w:r>
      <w:r w:rsidR="00B405AB">
        <w:rPr>
          <w:rStyle w:val="Enfasigrassetto"/>
          <w:b w:val="0"/>
          <w:iCs/>
          <w:shd w:val="clear" w:color="auto" w:fill="FFFFFF"/>
        </w:rPr>
        <w:t>,</w:t>
      </w:r>
      <w:r>
        <w:rPr>
          <w:rStyle w:val="Enfasigrassetto"/>
          <w:b w:val="0"/>
          <w:iCs/>
          <w:shd w:val="clear" w:color="auto" w:fill="FFFFFF"/>
        </w:rPr>
        <w:t xml:space="preserve"> </w:t>
      </w:r>
      <w:r w:rsidRPr="009C675E">
        <w:rPr>
          <w:rStyle w:val="Enfasigrassetto"/>
          <w:b w:val="0"/>
          <w:iCs/>
          <w:shd w:val="clear" w:color="auto" w:fill="FFFFFF"/>
        </w:rPr>
        <w:t>“</w:t>
      </w:r>
      <w:r w:rsidRPr="009C675E">
        <w:rPr>
          <w:rFonts w:eastAsia="Times New Roman"/>
          <w:i/>
          <w:lang w:eastAsia="it-IT"/>
        </w:rPr>
        <w:t xml:space="preserve">il </w:t>
      </w:r>
      <w:r w:rsidRPr="00F432E0">
        <w:rPr>
          <w:rFonts w:eastAsia="Times New Roman"/>
          <w:i/>
          <w:lang w:eastAsia="it-IT"/>
        </w:rPr>
        <w:t xml:space="preserve">giudice </w:t>
      </w:r>
      <w:r w:rsidRPr="009C675E">
        <w:rPr>
          <w:rFonts w:eastAsia="Times New Roman"/>
          <w:i/>
          <w:lang w:eastAsia="it-IT"/>
        </w:rPr>
        <w:t xml:space="preserve">nazionale di ultima istanza deve maturare il convincimento che la stessa evidenza si imporrebbe anche ai giudici degli </w:t>
      </w:r>
      <w:r w:rsidRPr="00F432E0">
        <w:rPr>
          <w:rFonts w:eastAsia="Times New Roman"/>
          <w:i/>
          <w:lang w:eastAsia="it-IT"/>
        </w:rPr>
        <w:t>a</w:t>
      </w:r>
      <w:r w:rsidRPr="009C675E">
        <w:rPr>
          <w:rFonts w:eastAsia="Times New Roman"/>
          <w:i/>
          <w:lang w:eastAsia="it-IT"/>
        </w:rPr>
        <w:t>ltri Stati membri ed alla Corte. Solo in presenza di tali condizioni, il giudice nazionale può astenersi dal sottoporre la questione alla Corte risolvendola sotto la propria responsabilità</w:t>
      </w:r>
      <w:r w:rsidR="00F432E0">
        <w:rPr>
          <w:rFonts w:eastAsia="Times New Roman"/>
          <w:lang w:eastAsia="it-IT"/>
        </w:rPr>
        <w:t>”</w:t>
      </w:r>
      <w:r w:rsidR="00F432E0">
        <w:rPr>
          <w:rStyle w:val="Rimandonotaapidipagina"/>
          <w:rFonts w:eastAsia="Times New Roman"/>
          <w:lang w:eastAsia="it-IT"/>
        </w:rPr>
        <w:footnoteReference w:id="66"/>
      </w:r>
      <w:r w:rsidR="00F432E0">
        <w:rPr>
          <w:rFonts w:eastAsia="Times New Roman"/>
          <w:lang w:eastAsia="it-IT"/>
        </w:rPr>
        <w:t>.</w:t>
      </w:r>
    </w:p>
    <w:p w:rsidR="00F432E0" w:rsidRDefault="00F432E0" w:rsidP="009C675E">
      <w:pPr>
        <w:shd w:val="clear" w:color="auto" w:fill="FFFFFF"/>
        <w:ind w:firstLine="426"/>
        <w:rPr>
          <w:rFonts w:eastAsia="Times New Roman"/>
          <w:lang w:eastAsia="it-IT"/>
        </w:rPr>
      </w:pPr>
      <w:r>
        <w:rPr>
          <w:rFonts w:eastAsia="Times New Roman"/>
          <w:lang w:eastAsia="it-IT"/>
        </w:rPr>
        <w:t xml:space="preserve">Come si vede, </w:t>
      </w:r>
      <w:r w:rsidR="008D5BFE">
        <w:rPr>
          <w:rFonts w:eastAsia="Times New Roman"/>
          <w:lang w:eastAsia="it-IT"/>
        </w:rPr>
        <w:t xml:space="preserve">sui temi dell’obbligo di rinvio pregiudiziale, della sua portata e dei suoi limiti </w:t>
      </w:r>
      <w:r>
        <w:rPr>
          <w:rFonts w:eastAsia="Times New Roman"/>
          <w:lang w:eastAsia="it-IT"/>
        </w:rPr>
        <w:t xml:space="preserve">il dialogo tra il Consiglio di Stato e la Corte di giustizia dell’Unione europea è stato intenso </w:t>
      </w:r>
      <w:r w:rsidR="007F37A7">
        <w:rPr>
          <w:rFonts w:eastAsia="Times New Roman"/>
          <w:lang w:eastAsia="it-IT"/>
        </w:rPr>
        <w:t>e</w:t>
      </w:r>
      <w:r>
        <w:rPr>
          <w:rFonts w:eastAsia="Times New Roman"/>
          <w:lang w:eastAsia="it-IT"/>
        </w:rPr>
        <w:t xml:space="preserve"> anche serrato. Ebbene, al di là delle opinioni che si possono avere sui termini del confronto che si è sinteticamente ricostruito, e su come la Corte di Lussemburgo ha ris</w:t>
      </w:r>
      <w:r w:rsidR="007F37A7">
        <w:rPr>
          <w:rFonts w:eastAsia="Times New Roman"/>
          <w:lang w:eastAsia="it-IT"/>
        </w:rPr>
        <w:t>posto al</w:t>
      </w:r>
      <w:r>
        <w:rPr>
          <w:rFonts w:eastAsia="Times New Roman"/>
          <w:lang w:eastAsia="it-IT"/>
        </w:rPr>
        <w:t>le preoccupazioni anche reiteratamente espresse dai supremi giudici italiani</w:t>
      </w:r>
      <w:r w:rsidR="008D5BFE">
        <w:rPr>
          <w:rStyle w:val="Rimandonotaapidipagina"/>
          <w:rFonts w:eastAsia="Times New Roman"/>
          <w:lang w:eastAsia="it-IT"/>
        </w:rPr>
        <w:footnoteReference w:id="67"/>
      </w:r>
      <w:r>
        <w:rPr>
          <w:rFonts w:eastAsia="Times New Roman"/>
          <w:lang w:eastAsia="it-IT"/>
        </w:rPr>
        <w:t xml:space="preserve">, la situazione descritta può fornire utili indicazioni non solo sul “clima” che </w:t>
      </w:r>
      <w:r w:rsidR="007F37A7">
        <w:rPr>
          <w:rFonts w:eastAsia="Times New Roman"/>
          <w:lang w:eastAsia="it-IT"/>
        </w:rPr>
        <w:t xml:space="preserve">nella nostra giurisdizione amministrativa </w:t>
      </w:r>
      <w:r>
        <w:rPr>
          <w:rFonts w:eastAsia="Times New Roman"/>
          <w:lang w:eastAsia="it-IT"/>
        </w:rPr>
        <w:t>circonda l’obbligo di rinvio pregiudiziale (</w:t>
      </w:r>
      <w:r w:rsidR="007F37A7">
        <w:rPr>
          <w:rFonts w:eastAsia="Times New Roman"/>
          <w:lang w:eastAsia="it-IT"/>
        </w:rPr>
        <w:t>influenzando</w:t>
      </w:r>
      <w:r>
        <w:rPr>
          <w:rFonts w:eastAsia="Times New Roman"/>
          <w:lang w:eastAsia="it-IT"/>
        </w:rPr>
        <w:t xml:space="preserve">, </w:t>
      </w:r>
      <w:r w:rsidR="007F37A7">
        <w:rPr>
          <w:rFonts w:eastAsia="Times New Roman"/>
          <w:lang w:eastAsia="it-IT"/>
        </w:rPr>
        <w:t>inevitabilmente</w:t>
      </w:r>
      <w:r>
        <w:rPr>
          <w:rFonts w:eastAsia="Times New Roman"/>
          <w:lang w:eastAsia="it-IT"/>
        </w:rPr>
        <w:t xml:space="preserve">, anche </w:t>
      </w:r>
      <w:r w:rsidR="007F37A7">
        <w:rPr>
          <w:rFonts w:eastAsia="Times New Roman"/>
          <w:lang w:eastAsia="it-IT"/>
        </w:rPr>
        <w:t>l’approccio a</w:t>
      </w:r>
      <w:r>
        <w:rPr>
          <w:rFonts w:eastAsia="Times New Roman"/>
          <w:lang w:eastAsia="it-IT"/>
        </w:rPr>
        <w:t xml:space="preserve">l rapporto tra lo stesso e il concorrente rimedio costituito dalla rimessione alla Corte costituzionale di una questione di legittimità costituzionale), ma anche su come la </w:t>
      </w:r>
      <w:r w:rsidR="007F37A7">
        <w:rPr>
          <w:rFonts w:eastAsia="Times New Roman"/>
          <w:lang w:eastAsia="it-IT"/>
        </w:rPr>
        <w:t xml:space="preserve">stessa </w:t>
      </w:r>
      <w:r>
        <w:rPr>
          <w:rFonts w:eastAsia="Times New Roman"/>
          <w:lang w:eastAsia="it-IT"/>
        </w:rPr>
        <w:t xml:space="preserve">potrà reagire ai più recenti indirizzi della Consulta. Ammesso, e non concesso, che questi ultimi possano essere intesi effettivamente nel senso di un rinnovato invito a privilegiare la via della questione di legittimità costituzionale rispetto a quella del rinvio </w:t>
      </w:r>
      <w:r>
        <w:rPr>
          <w:rFonts w:eastAsia="Times New Roman"/>
          <w:i/>
          <w:lang w:eastAsia="it-IT"/>
        </w:rPr>
        <w:t xml:space="preserve">ex </w:t>
      </w:r>
      <w:r>
        <w:rPr>
          <w:rFonts w:eastAsia="Times New Roman"/>
          <w:lang w:eastAsia="it-IT"/>
        </w:rPr>
        <w:t>articolo 267 TFUE.</w:t>
      </w:r>
    </w:p>
    <w:p w:rsidR="00F432E0" w:rsidRDefault="00F432E0" w:rsidP="009C675E">
      <w:pPr>
        <w:shd w:val="clear" w:color="auto" w:fill="FFFFFF"/>
        <w:ind w:firstLine="426"/>
        <w:rPr>
          <w:rFonts w:eastAsia="Times New Roman"/>
          <w:lang w:eastAsia="it-IT"/>
        </w:rPr>
      </w:pPr>
    </w:p>
    <w:p w:rsidR="00F432E0" w:rsidRDefault="00F432E0" w:rsidP="009C675E">
      <w:pPr>
        <w:shd w:val="clear" w:color="auto" w:fill="FFFFFF"/>
        <w:ind w:firstLine="426"/>
        <w:rPr>
          <w:rFonts w:eastAsia="Times New Roman"/>
          <w:lang w:eastAsia="it-IT"/>
        </w:rPr>
      </w:pPr>
    </w:p>
    <w:p w:rsidR="00F432E0" w:rsidRDefault="00F432E0" w:rsidP="009C675E">
      <w:pPr>
        <w:shd w:val="clear" w:color="auto" w:fill="FFFFFF"/>
        <w:ind w:firstLine="426"/>
        <w:rPr>
          <w:rFonts w:eastAsia="Times New Roman"/>
          <w:b/>
          <w:lang w:eastAsia="it-IT"/>
        </w:rPr>
      </w:pPr>
      <w:r>
        <w:rPr>
          <w:rFonts w:eastAsia="Times New Roman"/>
          <w:b/>
          <w:lang w:eastAsia="it-IT"/>
        </w:rPr>
        <w:t xml:space="preserve">4. </w:t>
      </w:r>
      <w:r w:rsidR="001D1F13">
        <w:rPr>
          <w:rFonts w:eastAsia="Times New Roman"/>
          <w:b/>
          <w:lang w:eastAsia="it-IT"/>
        </w:rPr>
        <w:t>Dialogo sì, ma tra quali (e quante)</w:t>
      </w:r>
      <w:r>
        <w:rPr>
          <w:rFonts w:eastAsia="Times New Roman"/>
          <w:b/>
          <w:lang w:eastAsia="it-IT"/>
        </w:rPr>
        <w:t xml:space="preserve"> Corti</w:t>
      </w:r>
      <w:r w:rsidR="001D1F13">
        <w:rPr>
          <w:rFonts w:eastAsia="Times New Roman"/>
          <w:b/>
          <w:lang w:eastAsia="it-IT"/>
        </w:rPr>
        <w:t>?</w:t>
      </w:r>
    </w:p>
    <w:p w:rsidR="0078714E" w:rsidRDefault="0078714E" w:rsidP="009C675E">
      <w:pPr>
        <w:shd w:val="clear" w:color="auto" w:fill="FFFFFF"/>
        <w:ind w:firstLine="426"/>
        <w:rPr>
          <w:rFonts w:eastAsia="Times New Roman"/>
          <w:b/>
          <w:lang w:eastAsia="it-IT"/>
        </w:rPr>
      </w:pPr>
    </w:p>
    <w:p w:rsidR="0078714E" w:rsidRDefault="0078714E" w:rsidP="009C675E">
      <w:pPr>
        <w:shd w:val="clear" w:color="auto" w:fill="FFFFFF"/>
        <w:ind w:firstLine="426"/>
        <w:rPr>
          <w:rFonts w:eastAsia="Times New Roman"/>
          <w:lang w:eastAsia="it-IT"/>
        </w:rPr>
      </w:pPr>
      <w:r>
        <w:rPr>
          <w:rFonts w:eastAsia="Times New Roman"/>
          <w:lang w:eastAsia="it-IT"/>
        </w:rPr>
        <w:t>Se si compie una sommaria ricognizione di come, da</w:t>
      </w:r>
      <w:r w:rsidR="00486E01">
        <w:rPr>
          <w:rFonts w:eastAsia="Times New Roman"/>
          <w:lang w:eastAsia="it-IT"/>
        </w:rPr>
        <w:t>ll’indomani de</w:t>
      </w:r>
      <w:r>
        <w:rPr>
          <w:rFonts w:eastAsia="Times New Roman"/>
          <w:lang w:eastAsia="it-IT"/>
        </w:rPr>
        <w:t>lla sentenza n. 269 del 2017 fino a tutt’oggi, la giurisprudenza amministrativa ha approcciato il tema della “doppia pregiudizialità”, un dato colpisce immediatamente: in presenza di questioni interpretative che chiamano in causa contemporaneamente parametri costituzionali interni e norme del diritto dell’Unione europea, a fronte di una tendenza dei tribunali amministrativi regionali a pr</w:t>
      </w:r>
      <w:r w:rsidR="003C7F91">
        <w:rPr>
          <w:rFonts w:eastAsia="Times New Roman"/>
          <w:lang w:eastAsia="it-IT"/>
        </w:rPr>
        <w:t>eferire</w:t>
      </w:r>
      <w:r>
        <w:rPr>
          <w:rFonts w:eastAsia="Times New Roman"/>
          <w:lang w:eastAsia="it-IT"/>
        </w:rPr>
        <w:t xml:space="preserve"> la strada della rimessione alla Corte costituzionale</w:t>
      </w:r>
      <w:r>
        <w:rPr>
          <w:rStyle w:val="Rimandonotaapidipagina"/>
          <w:rFonts w:eastAsia="Times New Roman"/>
          <w:lang w:eastAsia="it-IT"/>
        </w:rPr>
        <w:footnoteReference w:id="68"/>
      </w:r>
      <w:r>
        <w:rPr>
          <w:rFonts w:eastAsia="Times New Roman"/>
          <w:lang w:eastAsia="it-IT"/>
        </w:rPr>
        <w:t xml:space="preserve"> (spesso senza neanche motivare più di tanto la scelta di tale soluzione</w:t>
      </w:r>
      <w:r w:rsidR="00081907">
        <w:rPr>
          <w:rFonts w:eastAsia="Times New Roman"/>
          <w:lang w:eastAsia="it-IT"/>
        </w:rPr>
        <w:t xml:space="preserve">, per lo più argomentata </w:t>
      </w:r>
      <w:r w:rsidR="00081907">
        <w:rPr>
          <w:rFonts w:eastAsia="Times New Roman"/>
          <w:i/>
          <w:lang w:eastAsia="it-IT"/>
        </w:rPr>
        <w:t xml:space="preserve">sic et simpliciter </w:t>
      </w:r>
      <w:r w:rsidR="00081907">
        <w:rPr>
          <w:rFonts w:eastAsia="Times New Roman"/>
          <w:lang w:eastAsia="it-IT"/>
        </w:rPr>
        <w:t>con il richiamo alla sentenza n. 269 del 2017 e alle successive</w:t>
      </w:r>
      <w:r>
        <w:rPr>
          <w:rFonts w:eastAsia="Times New Roman"/>
          <w:lang w:eastAsia="it-IT"/>
        </w:rPr>
        <w:t xml:space="preserve">), </w:t>
      </w:r>
      <w:r w:rsidR="00081907">
        <w:rPr>
          <w:rFonts w:eastAsia="Times New Roman"/>
          <w:lang w:eastAsia="it-IT"/>
        </w:rPr>
        <w:t>il Consiglio di Stato appare pressoché graniticamente orientato nel senso di privilegiare il rinvio pregiudiziale</w:t>
      </w:r>
      <w:r w:rsidR="00081907">
        <w:rPr>
          <w:rStyle w:val="Rimandonotaapidipagina"/>
          <w:rFonts w:eastAsia="Times New Roman"/>
          <w:lang w:eastAsia="it-IT"/>
        </w:rPr>
        <w:footnoteReference w:id="69"/>
      </w:r>
      <w:r w:rsidR="00081907">
        <w:rPr>
          <w:rFonts w:eastAsia="Times New Roman"/>
          <w:lang w:eastAsia="it-IT"/>
        </w:rPr>
        <w:t>, salvo sporadicissime e giustificate eccezioni</w:t>
      </w:r>
      <w:r w:rsidR="00081907">
        <w:rPr>
          <w:rStyle w:val="Rimandonotaapidipagina"/>
          <w:rFonts w:eastAsia="Times New Roman"/>
          <w:lang w:eastAsia="it-IT"/>
        </w:rPr>
        <w:footnoteReference w:id="70"/>
      </w:r>
      <w:r w:rsidR="00081907">
        <w:rPr>
          <w:rFonts w:eastAsia="Times New Roman"/>
          <w:lang w:eastAsia="it-IT"/>
        </w:rPr>
        <w:t>.</w:t>
      </w:r>
    </w:p>
    <w:p w:rsidR="00081907" w:rsidRDefault="00081907" w:rsidP="009C675E">
      <w:pPr>
        <w:shd w:val="clear" w:color="auto" w:fill="FFFFFF"/>
        <w:ind w:firstLine="426"/>
        <w:rPr>
          <w:rFonts w:eastAsia="Times New Roman"/>
          <w:lang w:eastAsia="it-IT"/>
        </w:rPr>
      </w:pPr>
      <w:r>
        <w:rPr>
          <w:rFonts w:eastAsia="Times New Roman"/>
          <w:lang w:eastAsia="it-IT"/>
        </w:rPr>
        <w:t>Tale significativa</w:t>
      </w:r>
      <w:r w:rsidR="003C7F91">
        <w:rPr>
          <w:rFonts w:eastAsia="Times New Roman"/>
          <w:lang w:eastAsia="it-IT"/>
        </w:rPr>
        <w:t xml:space="preserve"> divergenza, forse in parte ascrivibile alla diversa conformazione in termini di dovere anziché di facoltà (ed alle conseguenti ricadute</w:t>
      </w:r>
      <w:r w:rsidR="00FF2BF0">
        <w:rPr>
          <w:rFonts w:eastAsia="Times New Roman"/>
          <w:lang w:eastAsia="it-IT"/>
        </w:rPr>
        <w:t xml:space="preserve"> </w:t>
      </w:r>
      <w:r w:rsidR="003C7F91">
        <w:rPr>
          <w:rFonts w:eastAsia="Times New Roman"/>
          <w:lang w:eastAsia="it-IT"/>
        </w:rPr>
        <w:t>sulle correlative responsabilità) del rinvio pregiudiziale per il giudice di ultima istanza rispetto ai giudici dei gradi inferiori</w:t>
      </w:r>
      <w:r w:rsidR="003C7F91">
        <w:rPr>
          <w:rStyle w:val="Rimandonotaapidipagina"/>
          <w:rFonts w:eastAsia="Times New Roman"/>
          <w:lang w:eastAsia="it-IT"/>
        </w:rPr>
        <w:footnoteReference w:id="71"/>
      </w:r>
      <w:r w:rsidR="003C7F91">
        <w:rPr>
          <w:rFonts w:eastAsia="Times New Roman"/>
          <w:lang w:eastAsia="it-IT"/>
        </w:rPr>
        <w:t xml:space="preserve">, ha in realtà anche </w:t>
      </w:r>
      <w:r w:rsidR="003C7F91">
        <w:rPr>
          <w:rFonts w:eastAsia="Times New Roman"/>
          <w:lang w:eastAsia="it-IT"/>
        </w:rPr>
        <w:lastRenderedPageBreak/>
        <w:t>cause più profonde e complesse.</w:t>
      </w:r>
      <w:r w:rsidR="00D27AC9">
        <w:rPr>
          <w:rFonts w:eastAsia="Times New Roman"/>
          <w:lang w:eastAsia="it-IT"/>
        </w:rPr>
        <w:t xml:space="preserve"> In particolare, non può essere sottovalutata la specificità del Consiglio di Stato, il quale per propria configurazione ordinamentale è al tempo stesso una Corte suprema (non essendo le sue decisioni soggette a ulteriore impugnazione, salvo il ricorso per cassazione per le sole questioni di giurisdizione</w:t>
      </w:r>
      <w:r w:rsidR="00486E01">
        <w:rPr>
          <w:rFonts w:eastAsia="Times New Roman"/>
          <w:lang w:eastAsia="it-IT"/>
        </w:rPr>
        <w:t xml:space="preserve"> ai sensi dell’articolo 111, </w:t>
      </w:r>
      <w:r w:rsidR="0081002D">
        <w:rPr>
          <w:rFonts w:eastAsia="Times New Roman"/>
          <w:lang w:eastAsia="it-IT"/>
        </w:rPr>
        <w:t>ottavo comma, della Costituzione</w:t>
      </w:r>
      <w:r w:rsidR="00D27AC9">
        <w:rPr>
          <w:rFonts w:eastAsia="Times New Roman"/>
          <w:lang w:eastAsia="it-IT"/>
        </w:rPr>
        <w:t>)</w:t>
      </w:r>
      <w:r w:rsidR="0081002D">
        <w:rPr>
          <w:rStyle w:val="Rimandonotaapidipagina"/>
          <w:rFonts w:eastAsia="Times New Roman"/>
          <w:lang w:eastAsia="it-IT"/>
        </w:rPr>
        <w:footnoteReference w:id="72"/>
      </w:r>
      <w:r w:rsidR="00D27AC9">
        <w:rPr>
          <w:rFonts w:eastAsia="Times New Roman"/>
          <w:lang w:eastAsia="it-IT"/>
        </w:rPr>
        <w:t xml:space="preserve"> ed un giudice di appello, investito dunque a pieno titolo del merito delle controversie esaminate e delle questioni</w:t>
      </w:r>
      <w:r w:rsidR="00FF2BF0">
        <w:rPr>
          <w:rFonts w:eastAsia="Times New Roman"/>
          <w:lang w:eastAsia="it-IT"/>
        </w:rPr>
        <w:t>,</w:t>
      </w:r>
      <w:r w:rsidR="00D27AC9">
        <w:rPr>
          <w:rFonts w:eastAsia="Times New Roman"/>
          <w:lang w:eastAsia="it-IT"/>
        </w:rPr>
        <w:t xml:space="preserve"> sia di fatto che di diritto</w:t>
      </w:r>
      <w:r w:rsidR="00FF2BF0">
        <w:rPr>
          <w:rFonts w:eastAsia="Times New Roman"/>
          <w:lang w:eastAsia="it-IT"/>
        </w:rPr>
        <w:t>, ad esse sottese</w:t>
      </w:r>
      <w:r w:rsidR="00BD7465">
        <w:rPr>
          <w:rStyle w:val="Rimandonotaapidipagina"/>
          <w:rFonts w:eastAsia="Times New Roman"/>
          <w:lang w:eastAsia="it-IT"/>
        </w:rPr>
        <w:footnoteReference w:id="73"/>
      </w:r>
      <w:r w:rsidR="00FF2BF0">
        <w:rPr>
          <w:rFonts w:eastAsia="Times New Roman"/>
          <w:lang w:eastAsia="it-IT"/>
        </w:rPr>
        <w:t>.</w:t>
      </w:r>
      <w:r w:rsidR="00D27AC9">
        <w:rPr>
          <w:rFonts w:eastAsia="Times New Roman"/>
          <w:lang w:eastAsia="it-IT"/>
        </w:rPr>
        <w:t xml:space="preserve"> </w:t>
      </w:r>
      <w:r w:rsidR="00FF2BF0">
        <w:rPr>
          <w:rFonts w:eastAsia="Times New Roman"/>
          <w:lang w:eastAsia="it-IT"/>
        </w:rPr>
        <w:t>C</w:t>
      </w:r>
      <w:r w:rsidR="00D27AC9">
        <w:rPr>
          <w:rFonts w:eastAsia="Times New Roman"/>
          <w:lang w:eastAsia="it-IT"/>
        </w:rPr>
        <w:t xml:space="preserve">iò, da un lato, </w:t>
      </w:r>
      <w:r w:rsidR="007F37A7">
        <w:rPr>
          <w:rFonts w:eastAsia="Times New Roman"/>
          <w:lang w:eastAsia="it-IT"/>
        </w:rPr>
        <w:t>amplia</w:t>
      </w:r>
      <w:r w:rsidR="00D27AC9">
        <w:rPr>
          <w:rFonts w:eastAsia="Times New Roman"/>
          <w:lang w:eastAsia="it-IT"/>
        </w:rPr>
        <w:t xml:space="preserve"> l’area delle situazioni che – come si è visto – possono espor</w:t>
      </w:r>
      <w:r w:rsidR="00FF2BF0">
        <w:rPr>
          <w:rFonts w:eastAsia="Times New Roman"/>
          <w:lang w:eastAsia="it-IT"/>
        </w:rPr>
        <w:t>re lo Stato e lo stesso giudice a</w:t>
      </w:r>
      <w:r w:rsidR="00D27AC9">
        <w:rPr>
          <w:rFonts w:eastAsia="Times New Roman"/>
          <w:lang w:eastAsia="it-IT"/>
        </w:rPr>
        <w:t xml:space="preserve"> responsabilità per violazione del novellato articolo 2, comma 3, della legge n. 117/1988; per altro verso, rende potenzialmente più incisivo e penetrante il vaglio preliminare di compatibilità delle norme interne da applicare con il diritto sovranazionale rispetto a quello operato dalla stessa Corte di cassazione, cui è sottratta la piena e completa cognizione del fatto in ragione del suo ruolo di giudice di (sola) legittimità.</w:t>
      </w:r>
    </w:p>
    <w:p w:rsidR="00D27AC9" w:rsidRDefault="00D27AC9" w:rsidP="009C675E">
      <w:pPr>
        <w:shd w:val="clear" w:color="auto" w:fill="FFFFFF"/>
        <w:ind w:firstLine="426"/>
        <w:rPr>
          <w:rFonts w:eastAsia="Times New Roman"/>
          <w:lang w:eastAsia="it-IT"/>
        </w:rPr>
      </w:pPr>
      <w:r>
        <w:rPr>
          <w:rFonts w:eastAsia="Times New Roman"/>
          <w:lang w:eastAsia="it-IT"/>
        </w:rPr>
        <w:t xml:space="preserve">Queste osservazioni rendono ragione del perché il Consiglio di Stato si senta profondamente coinvolto dal </w:t>
      </w:r>
      <w:r w:rsidR="00780089">
        <w:rPr>
          <w:rFonts w:eastAsia="Times New Roman"/>
          <w:lang w:eastAsia="it-IT"/>
        </w:rPr>
        <w:t>“</w:t>
      </w:r>
      <w:r w:rsidRPr="00780089">
        <w:rPr>
          <w:rFonts w:eastAsia="Times New Roman"/>
          <w:i/>
          <w:lang w:eastAsia="it-IT"/>
        </w:rPr>
        <w:t>dialogo</w:t>
      </w:r>
      <w:r w:rsidR="00780089">
        <w:rPr>
          <w:rFonts w:eastAsia="Times New Roman"/>
          <w:lang w:eastAsia="it-IT"/>
        </w:rPr>
        <w:t>”</w:t>
      </w:r>
      <w:r>
        <w:rPr>
          <w:rFonts w:eastAsia="Times New Roman"/>
          <w:lang w:eastAsia="it-IT"/>
        </w:rPr>
        <w:t xml:space="preserve"> tra Corti che è finalizzato alla più piena e uniforme applicazione del diritto europeo, e probabilmente non intenda </w:t>
      </w:r>
      <w:r>
        <w:rPr>
          <w:rFonts w:eastAsia="Times New Roman"/>
          <w:i/>
          <w:lang w:eastAsia="it-IT"/>
        </w:rPr>
        <w:t>de futuro</w:t>
      </w:r>
      <w:r>
        <w:rPr>
          <w:rFonts w:eastAsia="Times New Roman"/>
          <w:lang w:eastAsia="it-IT"/>
        </w:rPr>
        <w:t xml:space="preserve"> estraniarsene neanche parzialmente</w:t>
      </w:r>
      <w:r w:rsidR="00780089">
        <w:rPr>
          <w:rFonts w:eastAsia="Times New Roman"/>
          <w:lang w:eastAsia="it-IT"/>
        </w:rPr>
        <w:t>. Di tale dialogo, inizialmente caldeggiato come a più voci e con il necessario coinvolgimento dei giudici comuni</w:t>
      </w:r>
      <w:r w:rsidR="00780089">
        <w:rPr>
          <w:rStyle w:val="Rimandonotaapidipagina"/>
          <w:rFonts w:eastAsia="Times New Roman"/>
          <w:lang w:eastAsia="it-IT"/>
        </w:rPr>
        <w:footnoteReference w:id="74"/>
      </w:r>
      <w:r w:rsidR="00780089">
        <w:rPr>
          <w:rFonts w:eastAsia="Times New Roman"/>
          <w:lang w:eastAsia="it-IT"/>
        </w:rPr>
        <w:t>, i più recenti indirizzi della Corte costituzionale sembrano sottendere una sorta di concentrazione fra le sole corti costituzionali nazionali e la Corte di giustizia</w:t>
      </w:r>
      <w:r w:rsidR="00253FC2">
        <w:rPr>
          <w:rFonts w:eastAsia="Times New Roman"/>
          <w:lang w:eastAsia="it-IT"/>
        </w:rPr>
        <w:t xml:space="preserve"> (oltre che la Corte europea dei diritti umani, </w:t>
      </w:r>
      <w:r w:rsidR="008306B9">
        <w:rPr>
          <w:rFonts w:eastAsia="Times New Roman"/>
          <w:lang w:eastAsia="it-IT"/>
        </w:rPr>
        <w:t>la cui interpretazione è a sua volta decisiva ai fini della tutela dei diritti fondamentali</w:t>
      </w:r>
      <w:r w:rsidR="008306B9">
        <w:rPr>
          <w:rStyle w:val="Rimandonotaapidipagina"/>
          <w:rFonts w:eastAsia="Times New Roman"/>
          <w:lang w:eastAsia="it-IT"/>
        </w:rPr>
        <w:footnoteReference w:id="75"/>
      </w:r>
      <w:r w:rsidR="00253FC2">
        <w:rPr>
          <w:rFonts w:eastAsia="Times New Roman"/>
          <w:lang w:eastAsia="it-IT"/>
        </w:rPr>
        <w:t>)</w:t>
      </w:r>
      <w:r w:rsidR="00780089">
        <w:rPr>
          <w:rFonts w:eastAsia="Times New Roman"/>
          <w:lang w:eastAsia="it-IT"/>
        </w:rPr>
        <w:t>, attraverso la “</w:t>
      </w:r>
      <w:r w:rsidR="00780089">
        <w:rPr>
          <w:rFonts w:eastAsia="Times New Roman"/>
          <w:i/>
          <w:lang w:eastAsia="it-IT"/>
        </w:rPr>
        <w:t>attrazione</w:t>
      </w:r>
      <w:r w:rsidR="00780089">
        <w:rPr>
          <w:rFonts w:eastAsia="Times New Roman"/>
          <w:lang w:eastAsia="it-IT"/>
        </w:rPr>
        <w:t>” in capo all</w:t>
      </w:r>
      <w:r w:rsidR="00613F67">
        <w:rPr>
          <w:rFonts w:eastAsia="Times New Roman"/>
          <w:lang w:eastAsia="it-IT"/>
        </w:rPr>
        <w:t>e</w:t>
      </w:r>
      <w:r w:rsidR="00780089">
        <w:rPr>
          <w:rFonts w:eastAsia="Times New Roman"/>
          <w:lang w:eastAsia="it-IT"/>
        </w:rPr>
        <w:t xml:space="preserve"> prim</w:t>
      </w:r>
      <w:r w:rsidR="00613F67">
        <w:rPr>
          <w:rFonts w:eastAsia="Times New Roman"/>
          <w:lang w:eastAsia="it-IT"/>
        </w:rPr>
        <w:t>e</w:t>
      </w:r>
      <w:r w:rsidR="00780089">
        <w:rPr>
          <w:rFonts w:eastAsia="Times New Roman"/>
          <w:lang w:eastAsia="it-IT"/>
        </w:rPr>
        <w:t xml:space="preserve"> dell’interlocuzione con la seconda</w:t>
      </w:r>
      <w:r w:rsidR="00780089">
        <w:rPr>
          <w:rStyle w:val="Rimandonotaapidipagina"/>
          <w:rFonts w:eastAsia="Times New Roman"/>
          <w:lang w:eastAsia="it-IT"/>
        </w:rPr>
        <w:footnoteReference w:id="76"/>
      </w:r>
      <w:r w:rsidR="00780089">
        <w:rPr>
          <w:rFonts w:eastAsia="Times New Roman"/>
          <w:lang w:eastAsia="it-IT"/>
        </w:rPr>
        <w:t>. Un passaggio fondamentale di siffatta evoluzione sarebbe costituito proprio dalla possibilità, ormai generalmente riconosciuta, che la Corte costituzionale possa</w:t>
      </w:r>
      <w:r w:rsidR="00B456A7">
        <w:rPr>
          <w:rFonts w:eastAsia="Times New Roman"/>
          <w:lang w:eastAsia="it-IT"/>
        </w:rPr>
        <w:t>,</w:t>
      </w:r>
      <w:r w:rsidR="00780089">
        <w:rPr>
          <w:rFonts w:eastAsia="Times New Roman"/>
          <w:lang w:eastAsia="it-IT"/>
        </w:rPr>
        <w:t xml:space="preserve"> in caso di dubbio interpretativo sul diritto unionale</w:t>
      </w:r>
      <w:r w:rsidR="00B456A7">
        <w:rPr>
          <w:rFonts w:eastAsia="Times New Roman"/>
          <w:lang w:eastAsia="it-IT"/>
        </w:rPr>
        <w:t>,</w:t>
      </w:r>
      <w:r w:rsidR="00780089">
        <w:rPr>
          <w:rFonts w:eastAsia="Times New Roman"/>
          <w:lang w:eastAsia="it-IT"/>
        </w:rPr>
        <w:t xml:space="preserve"> sollevare</w:t>
      </w:r>
      <w:r w:rsidR="00B456A7">
        <w:rPr>
          <w:rFonts w:eastAsia="Times New Roman"/>
          <w:lang w:eastAsia="it-IT"/>
        </w:rPr>
        <w:t xml:space="preserve"> essa stessa</w:t>
      </w:r>
      <w:r w:rsidR="00780089">
        <w:rPr>
          <w:rFonts w:eastAsia="Times New Roman"/>
          <w:lang w:eastAsia="it-IT"/>
        </w:rPr>
        <w:t xml:space="preserve"> la questione pregiudiziale dinanzi alla Corte di giustizia, così collaborando con essa alla formazione di uno “</w:t>
      </w:r>
      <w:r w:rsidR="00780089">
        <w:rPr>
          <w:rFonts w:eastAsia="Times New Roman"/>
          <w:i/>
          <w:lang w:eastAsia="it-IT"/>
        </w:rPr>
        <w:t>spazio costituzionale europeo</w:t>
      </w:r>
      <w:r w:rsidR="00780089">
        <w:rPr>
          <w:rFonts w:eastAsia="Times New Roman"/>
          <w:lang w:eastAsia="it-IT"/>
        </w:rPr>
        <w:t>”.</w:t>
      </w:r>
    </w:p>
    <w:p w:rsidR="00780089" w:rsidRPr="001D4289" w:rsidRDefault="00780089" w:rsidP="009C675E">
      <w:pPr>
        <w:shd w:val="clear" w:color="auto" w:fill="FFFFFF"/>
        <w:ind w:firstLine="426"/>
        <w:rPr>
          <w:rFonts w:eastAsia="Times New Roman"/>
          <w:lang w:eastAsia="it-IT"/>
        </w:rPr>
      </w:pPr>
      <w:r>
        <w:rPr>
          <w:rFonts w:eastAsia="Times New Roman"/>
          <w:lang w:eastAsia="it-IT"/>
        </w:rPr>
        <w:t xml:space="preserve">Tuttavia, non è </w:t>
      </w:r>
      <w:r w:rsidR="009E5D82">
        <w:rPr>
          <w:rFonts w:eastAsia="Times New Roman"/>
          <w:lang w:eastAsia="it-IT"/>
        </w:rPr>
        <w:t xml:space="preserve">mancato chi ha sollevato dubbi sull’idea che l’accentramento presso il giudice costituzionale interno possa sempre essere la soluzione migliore nella prospettiva del diritto </w:t>
      </w:r>
      <w:r w:rsidR="00B456A7">
        <w:rPr>
          <w:rFonts w:eastAsia="Times New Roman"/>
          <w:lang w:eastAsia="it-IT"/>
        </w:rPr>
        <w:lastRenderedPageBreak/>
        <w:t>dell’Unione</w:t>
      </w:r>
      <w:r w:rsidR="009E5D82">
        <w:rPr>
          <w:rFonts w:eastAsia="Times New Roman"/>
          <w:lang w:eastAsia="it-IT"/>
        </w:rPr>
        <w:t xml:space="preserve">. E invero, se indubbiamente può riconoscersi al giudice delle leggi rispetto al giudice comune una maggiore </w:t>
      </w:r>
      <w:r w:rsidR="009E5D82">
        <w:rPr>
          <w:rFonts w:eastAsia="Times New Roman"/>
          <w:i/>
          <w:lang w:eastAsia="it-IT"/>
        </w:rPr>
        <w:t xml:space="preserve">vis </w:t>
      </w:r>
      <w:r w:rsidR="009E5D82" w:rsidRPr="003D651F">
        <w:rPr>
          <w:rFonts w:eastAsia="Times New Roman"/>
          <w:lang w:eastAsia="it-IT"/>
        </w:rPr>
        <w:t>persuasiva</w:t>
      </w:r>
      <w:r w:rsidR="009E5D82">
        <w:rPr>
          <w:rFonts w:eastAsia="Times New Roman"/>
          <w:i/>
          <w:lang w:eastAsia="it-IT"/>
        </w:rPr>
        <w:t xml:space="preserve">, </w:t>
      </w:r>
      <w:r w:rsidR="009E5D82">
        <w:rPr>
          <w:rFonts w:eastAsia="Times New Roman"/>
          <w:lang w:eastAsia="it-IT"/>
        </w:rPr>
        <w:t>anche nell’eventuale sede del rinvio pregiudiziale alla Corte di giustizia, già solo in ragione dell’autorevolezza e del prestigio istituzionale di cui gode</w:t>
      </w:r>
      <w:r w:rsidR="009E5D82">
        <w:rPr>
          <w:rStyle w:val="Rimandonotaapidipagina"/>
          <w:rFonts w:eastAsia="Times New Roman"/>
          <w:lang w:eastAsia="it-IT"/>
        </w:rPr>
        <w:footnoteReference w:id="77"/>
      </w:r>
      <w:r w:rsidR="009E5D82">
        <w:rPr>
          <w:rFonts w:eastAsia="Times New Roman"/>
          <w:lang w:eastAsia="it-IT"/>
        </w:rPr>
        <w:t xml:space="preserve"> (e ciò è particolarmente evidente proprio laddove siano implicati diritti fondamentali oggetto di protezione a livello sia costituzionale che del diritto europeo</w:t>
      </w:r>
      <w:r w:rsidR="009E5D82">
        <w:rPr>
          <w:rStyle w:val="Rimandonotaapidipagina"/>
          <w:rFonts w:eastAsia="Times New Roman"/>
          <w:lang w:eastAsia="it-IT"/>
        </w:rPr>
        <w:footnoteReference w:id="78"/>
      </w:r>
      <w:r w:rsidR="009E5D82">
        <w:rPr>
          <w:rFonts w:eastAsia="Times New Roman"/>
          <w:lang w:eastAsia="it-IT"/>
        </w:rPr>
        <w:t>)</w:t>
      </w:r>
      <w:r w:rsidR="003D651F">
        <w:rPr>
          <w:rFonts w:eastAsia="Times New Roman"/>
          <w:lang w:eastAsia="it-IT"/>
        </w:rPr>
        <w:t xml:space="preserve">, è però innegabile che non è la stessa cosa che la domanda sia posta dall’uno o dall’altro organo giurisdizionale interno, dal momento che la Corte costituzionale non è il giudice del giudizio </w:t>
      </w:r>
      <w:r w:rsidR="003D651F">
        <w:rPr>
          <w:rFonts w:eastAsia="Times New Roman"/>
          <w:i/>
          <w:lang w:eastAsia="it-IT"/>
        </w:rPr>
        <w:t xml:space="preserve">a quo </w:t>
      </w:r>
      <w:r w:rsidR="003D651F">
        <w:rPr>
          <w:rFonts w:eastAsia="Times New Roman"/>
          <w:lang w:eastAsia="it-IT"/>
        </w:rPr>
        <w:t>e</w:t>
      </w:r>
      <w:r w:rsidR="007F37A7">
        <w:rPr>
          <w:rFonts w:eastAsia="Times New Roman"/>
          <w:lang w:eastAsia="it-IT"/>
        </w:rPr>
        <w:t xml:space="preserve"> ciò</w:t>
      </w:r>
      <w:r w:rsidR="003D651F">
        <w:rPr>
          <w:rFonts w:eastAsia="Times New Roman"/>
          <w:lang w:eastAsia="it-IT"/>
        </w:rPr>
        <w:t xml:space="preserve"> p</w:t>
      </w:r>
      <w:r w:rsidR="00B456A7">
        <w:rPr>
          <w:rFonts w:eastAsia="Times New Roman"/>
          <w:lang w:eastAsia="it-IT"/>
        </w:rPr>
        <w:t>otrebbe</w:t>
      </w:r>
      <w:r w:rsidR="003D651F">
        <w:rPr>
          <w:rFonts w:eastAsia="Times New Roman"/>
          <w:lang w:eastAsia="it-IT"/>
        </w:rPr>
        <w:t xml:space="preserve"> non consentir</w:t>
      </w:r>
      <w:r w:rsidR="00B456A7">
        <w:rPr>
          <w:rFonts w:eastAsia="Times New Roman"/>
          <w:lang w:eastAsia="it-IT"/>
        </w:rPr>
        <w:t>le</w:t>
      </w:r>
      <w:r w:rsidR="003D651F">
        <w:rPr>
          <w:rFonts w:eastAsia="Times New Roman"/>
          <w:lang w:eastAsia="it-IT"/>
        </w:rPr>
        <w:t xml:space="preserve"> di avere sempre allo stesso modo un quadro esaustivo degli elementi indispensabili ad approcciare</w:t>
      </w:r>
      <w:r w:rsidR="00B456A7">
        <w:rPr>
          <w:rFonts w:eastAsia="Times New Roman"/>
          <w:lang w:eastAsia="it-IT"/>
        </w:rPr>
        <w:t xml:space="preserve"> in modo preciso</w:t>
      </w:r>
      <w:r w:rsidR="003D651F">
        <w:rPr>
          <w:rFonts w:eastAsia="Times New Roman"/>
          <w:lang w:eastAsia="it-IT"/>
        </w:rPr>
        <w:t xml:space="preserve"> la questione del rapporto tra norma interna e norma sovranazionale</w:t>
      </w:r>
      <w:r w:rsidR="003D651F">
        <w:rPr>
          <w:rStyle w:val="Rimandonotaapidipagina"/>
          <w:rFonts w:eastAsia="Times New Roman"/>
          <w:lang w:eastAsia="it-IT"/>
        </w:rPr>
        <w:footnoteReference w:id="79"/>
      </w:r>
      <w:r w:rsidR="003D651F">
        <w:rPr>
          <w:rFonts w:eastAsia="Times New Roman"/>
          <w:lang w:eastAsia="it-IT"/>
        </w:rPr>
        <w:t>.</w:t>
      </w:r>
      <w:r w:rsidR="00B456A7">
        <w:rPr>
          <w:rFonts w:eastAsia="Times New Roman"/>
          <w:lang w:eastAsia="it-IT"/>
        </w:rPr>
        <w:t xml:space="preserve"> </w:t>
      </w:r>
      <w:r w:rsidR="001D4289">
        <w:rPr>
          <w:rFonts w:eastAsia="Times New Roman"/>
          <w:lang w:eastAsia="it-IT"/>
        </w:rPr>
        <w:t xml:space="preserve">Inoltre, l’estremizzazione dell’evidenziata tendenza all’accentramento del sindacato di compatibilità eurounitaria renderebbe ineludibile il problema della configurabilità in termini di obbligo o facoltà per la stessa Corte del rinvio pregiudiziale </w:t>
      </w:r>
      <w:r w:rsidR="001D4289">
        <w:rPr>
          <w:rFonts w:eastAsia="Times New Roman"/>
          <w:i/>
          <w:lang w:eastAsia="it-IT"/>
        </w:rPr>
        <w:t xml:space="preserve">ex </w:t>
      </w:r>
      <w:r w:rsidR="001D4289">
        <w:rPr>
          <w:rFonts w:eastAsia="Times New Roman"/>
          <w:lang w:eastAsia="it-IT"/>
        </w:rPr>
        <w:t>articolo 267 TFUE: un tema estremamente delicato, se si considera che solo nei giudizi di costituzionalità in via principale alla Corte può essere tecnicamente riconosciuta la qualità di giudice “</w:t>
      </w:r>
      <w:r w:rsidR="001D4289">
        <w:rPr>
          <w:rFonts w:eastAsia="Times New Roman"/>
          <w:i/>
          <w:lang w:eastAsia="it-IT"/>
        </w:rPr>
        <w:t>di ultima istanza</w:t>
      </w:r>
      <w:r w:rsidR="001D4289">
        <w:rPr>
          <w:rFonts w:eastAsia="Times New Roman"/>
          <w:lang w:eastAsia="it-IT"/>
        </w:rPr>
        <w:t>”, con il conseguente obbligo di rinvio pregiudiziale (e le connesse responsabilità) in caso di dubbio interpretativo, laddove nei giudizi incidentali tale qualità dovrebbe escludersi e, conseguentemente, la rimessione alla Corte di giustizia costituirebbe una mera facoltà</w:t>
      </w:r>
      <w:r w:rsidR="001D4289">
        <w:rPr>
          <w:rStyle w:val="Rimandonotaapidipagina"/>
          <w:rFonts w:eastAsia="Times New Roman"/>
          <w:lang w:eastAsia="it-IT"/>
        </w:rPr>
        <w:footnoteReference w:id="80"/>
      </w:r>
      <w:r w:rsidR="001D4289">
        <w:rPr>
          <w:rFonts w:eastAsia="Times New Roman"/>
          <w:lang w:eastAsia="it-IT"/>
        </w:rPr>
        <w:t xml:space="preserve">. </w:t>
      </w:r>
    </w:p>
    <w:p w:rsidR="003D651F" w:rsidRDefault="003D651F" w:rsidP="009C675E">
      <w:pPr>
        <w:shd w:val="clear" w:color="auto" w:fill="FFFFFF"/>
        <w:ind w:firstLine="426"/>
        <w:rPr>
          <w:rFonts w:eastAsia="Times New Roman"/>
          <w:lang w:eastAsia="it-IT"/>
        </w:rPr>
      </w:pPr>
      <w:r>
        <w:rPr>
          <w:rFonts w:eastAsia="Times New Roman"/>
          <w:lang w:eastAsia="it-IT"/>
        </w:rPr>
        <w:t xml:space="preserve">Ma non è neanche questo il punto </w:t>
      </w:r>
      <w:r w:rsidR="00160311">
        <w:rPr>
          <w:rFonts w:eastAsia="Times New Roman"/>
          <w:lang w:eastAsia="it-IT"/>
        </w:rPr>
        <w:t xml:space="preserve">realmente </w:t>
      </w:r>
      <w:r>
        <w:rPr>
          <w:rFonts w:eastAsia="Times New Roman"/>
          <w:lang w:eastAsia="it-IT"/>
        </w:rPr>
        <w:t>essenziale</w:t>
      </w:r>
      <w:r w:rsidR="00160311">
        <w:rPr>
          <w:rFonts w:eastAsia="Times New Roman"/>
          <w:lang w:eastAsia="it-IT"/>
        </w:rPr>
        <w:t>:</w:t>
      </w:r>
      <w:r>
        <w:rPr>
          <w:rFonts w:eastAsia="Times New Roman"/>
          <w:lang w:eastAsia="it-IT"/>
        </w:rPr>
        <w:t xml:space="preserve"> </w:t>
      </w:r>
      <w:r w:rsidR="00160311">
        <w:rPr>
          <w:rFonts w:eastAsia="Times New Roman"/>
          <w:lang w:eastAsia="it-IT"/>
        </w:rPr>
        <w:t>l</w:t>
      </w:r>
      <w:r w:rsidR="00D52711">
        <w:rPr>
          <w:rFonts w:eastAsia="Times New Roman"/>
          <w:lang w:eastAsia="it-IT"/>
        </w:rPr>
        <w:t>a verità è che gli obiettivi unionali di uniforme interpretazione e piena attuazione del diritto europeo vanno apprezzati, tanto nella fase “programmatica” quanto in quella della verifica di attuazione, in una dimensione necessariamente transnazionale, estesa a tutti i 27 Stati dell’Unione</w:t>
      </w:r>
      <w:r w:rsidR="00160311">
        <w:rPr>
          <w:rFonts w:eastAsia="Times New Roman"/>
          <w:lang w:eastAsia="it-IT"/>
        </w:rPr>
        <w:t xml:space="preserve">. Il carattere vincolante </w:t>
      </w:r>
      <w:r w:rsidR="00160311">
        <w:rPr>
          <w:rFonts w:eastAsia="Times New Roman"/>
          <w:i/>
          <w:lang w:eastAsia="it-IT"/>
        </w:rPr>
        <w:t xml:space="preserve">ultra partes </w:t>
      </w:r>
      <w:r w:rsidR="00160311">
        <w:rPr>
          <w:rFonts w:eastAsia="Times New Roman"/>
          <w:lang w:eastAsia="it-IT"/>
        </w:rPr>
        <w:t>delle sentenze pregiudiziali interpretative della Corte di giustizia, quali vera e propria fonte del diritto dell’Unione</w:t>
      </w:r>
      <w:r w:rsidR="00613F67">
        <w:rPr>
          <w:rFonts w:eastAsia="Times New Roman"/>
          <w:lang w:eastAsia="it-IT"/>
        </w:rPr>
        <w:t>,</w:t>
      </w:r>
      <w:r w:rsidR="00160311">
        <w:rPr>
          <w:rFonts w:eastAsia="Times New Roman"/>
          <w:lang w:eastAsia="it-IT"/>
        </w:rPr>
        <w:t xml:space="preserve"> non è solo un dato connesso all</w:t>
      </w:r>
      <w:r w:rsidR="00BC5CAD">
        <w:rPr>
          <w:rFonts w:eastAsia="Times New Roman"/>
          <w:lang w:eastAsia="it-IT"/>
        </w:rPr>
        <w:t>a particolare autorevolezza di quelle decisioni</w:t>
      </w:r>
      <w:r w:rsidR="00160311">
        <w:rPr>
          <w:rFonts w:eastAsia="Times New Roman"/>
          <w:lang w:eastAsia="it-IT"/>
        </w:rPr>
        <w:t xml:space="preserve">, ma trova i propri risvolti procedurali </w:t>
      </w:r>
      <w:r w:rsidR="00BC5CAD">
        <w:rPr>
          <w:rFonts w:eastAsia="Times New Roman"/>
          <w:lang w:eastAsia="it-IT"/>
        </w:rPr>
        <w:t>nell’</w:t>
      </w:r>
      <w:r w:rsidR="00BC5CAD">
        <w:t>articolo 23 dello Statuto della Corte, in base al quale gli Stati membri, la Commissione, e quando sia il caso il Consiglio, il Parlamento e la Banca centrale</w:t>
      </w:r>
      <w:r w:rsidR="00613F67">
        <w:t xml:space="preserve"> dell’Unione europea</w:t>
      </w:r>
      <w:r w:rsidR="00BC5CAD">
        <w:t>, hanno il diritto di presentare le proprie osservazioni nelle cause pregiudiziali</w:t>
      </w:r>
      <w:r w:rsidR="0064676B">
        <w:rPr>
          <w:rStyle w:val="Rimandonotaapidipagina"/>
        </w:rPr>
        <w:footnoteReference w:id="81"/>
      </w:r>
      <w:r w:rsidR="00BC5CAD">
        <w:t>; e,</w:t>
      </w:r>
      <w:r w:rsidR="00D52711">
        <w:rPr>
          <w:rFonts w:eastAsia="Times New Roman"/>
          <w:lang w:eastAsia="it-IT"/>
        </w:rPr>
        <w:t xml:space="preserve"> come si è visto, fra i criteri che fin dalla sentenza Cilfit la Corte di giustizia ha enunciato per perimetrare l’obbligo di rinvio pregiudiziale del giudice nazionale di ultima istanza vi è la verifica dell’esistenza o meno di un’uniforme interpretazione della norma europea in tutti gli Stati dell’Unione. Il che significa che l’attività interpretativa dei giudici nazionali deve tenere conto anche degli orientamenti delle Corti supreme di tali Stati, stante l’imprescindibile funzione nomofilattica che queste svolgono nei rispettivi ordinamenti interni</w:t>
      </w:r>
      <w:r w:rsidR="00D52711">
        <w:rPr>
          <w:rStyle w:val="Rimandonotaapidipagina"/>
          <w:rFonts w:eastAsia="Times New Roman"/>
          <w:lang w:eastAsia="it-IT"/>
        </w:rPr>
        <w:footnoteReference w:id="82"/>
      </w:r>
      <w:r w:rsidR="00D52711">
        <w:rPr>
          <w:rFonts w:eastAsia="Times New Roman"/>
          <w:lang w:eastAsia="it-IT"/>
        </w:rPr>
        <w:t>.</w:t>
      </w:r>
      <w:r w:rsidR="00253FC2">
        <w:rPr>
          <w:rFonts w:eastAsia="Times New Roman"/>
          <w:lang w:eastAsia="it-IT"/>
        </w:rPr>
        <w:t xml:space="preserve"> A fronte di tale esigenza, non è detto che il giudice costituzionale interno, nonostante la maggior certezza assicurata dalla possibile caducazione </w:t>
      </w:r>
      <w:r w:rsidR="00253FC2">
        <w:rPr>
          <w:rFonts w:eastAsia="Times New Roman"/>
          <w:i/>
          <w:lang w:eastAsia="it-IT"/>
        </w:rPr>
        <w:t xml:space="preserve">erga omnes </w:t>
      </w:r>
      <w:r w:rsidR="00253FC2">
        <w:rPr>
          <w:rFonts w:eastAsia="Times New Roman"/>
          <w:lang w:eastAsia="it-IT"/>
        </w:rPr>
        <w:t>della norma interna e – in particolare – l’ampio ventaglio di soluzioni rese disponibili dalla tipologia di decisioni sviluppata nel tempo dalla nostra Corte costituzionale, sia sempre e comunque in grado di assicurare un approccio adeguato.</w:t>
      </w:r>
    </w:p>
    <w:p w:rsidR="0064676B" w:rsidRDefault="0064676B" w:rsidP="009C675E">
      <w:pPr>
        <w:shd w:val="clear" w:color="auto" w:fill="FFFFFF"/>
        <w:ind w:firstLine="426"/>
        <w:rPr>
          <w:rFonts w:eastAsia="Times New Roman"/>
          <w:lang w:eastAsia="it-IT"/>
        </w:rPr>
      </w:pPr>
      <w:r>
        <w:rPr>
          <w:rFonts w:eastAsia="Times New Roman"/>
          <w:lang w:eastAsia="it-IT"/>
        </w:rPr>
        <w:t xml:space="preserve">Ad esempio, è astrattamente possibile che la scelta di optare per la questione di legittimità costituzionale in luogo del rinvio pregiudiziale, pur potendo portare alla caducazione della </w:t>
      </w:r>
      <w:r w:rsidR="00383D7C">
        <w:rPr>
          <w:rFonts w:eastAsia="Times New Roman"/>
          <w:lang w:eastAsia="it-IT"/>
        </w:rPr>
        <w:t>norma</w:t>
      </w:r>
      <w:r>
        <w:rPr>
          <w:rFonts w:eastAsia="Times New Roman"/>
          <w:lang w:eastAsia="it-IT"/>
        </w:rPr>
        <w:t xml:space="preserve"> nazionale qualora la </w:t>
      </w:r>
      <w:r w:rsidR="00383D7C">
        <w:rPr>
          <w:rFonts w:eastAsia="Times New Roman"/>
          <w:lang w:eastAsia="it-IT"/>
        </w:rPr>
        <w:t xml:space="preserve">Corte costituzionale ritenga fondato il dubbio di incostituzionalità del giudice </w:t>
      </w:r>
      <w:r w:rsidR="00383D7C">
        <w:rPr>
          <w:rFonts w:eastAsia="Times New Roman"/>
          <w:lang w:eastAsia="it-IT"/>
        </w:rPr>
        <w:lastRenderedPageBreak/>
        <w:t xml:space="preserve">remittente, paghi un prezzo in termini di uniformità dell’applicazione del diritto a livello unionale, nella misura in cui l’aver rinunciato a sollecitare l’attività interpretativa della Corte di giustizia determini il permanere in essere, di fatto impregiudicate, di norme </w:t>
      </w:r>
      <w:r w:rsidR="00613F67">
        <w:rPr>
          <w:rFonts w:eastAsia="Times New Roman"/>
          <w:lang w:eastAsia="it-IT"/>
        </w:rPr>
        <w:t>di contenuto analogo</w:t>
      </w:r>
      <w:r w:rsidR="00383D7C">
        <w:rPr>
          <w:rFonts w:eastAsia="Times New Roman"/>
          <w:lang w:eastAsia="it-IT"/>
        </w:rPr>
        <w:t xml:space="preserve"> o identic</w:t>
      </w:r>
      <w:r w:rsidR="00613F67">
        <w:rPr>
          <w:rFonts w:eastAsia="Times New Roman"/>
          <w:lang w:eastAsia="it-IT"/>
        </w:rPr>
        <w:t>o</w:t>
      </w:r>
      <w:r w:rsidR="00383D7C">
        <w:rPr>
          <w:rFonts w:eastAsia="Times New Roman"/>
          <w:lang w:eastAsia="it-IT"/>
        </w:rPr>
        <w:t xml:space="preserve"> eventualmente esistenti negli ordinamenti di altri Stati dell’Unione, almeno finché non siano i giudici di questi ultimi ad attivare il rimedio pregiudiziale (e fatto salvo, come è ovvio, il dovere di disapplicazione in caso di conflitto conclamato). Il che, come è chiaro a tutti, pur con l’innegabile maggiore certezza che assicurerebbe nell’ordinamento interno, non renderebbe un buon servizio all’</w:t>
      </w:r>
      <w:r w:rsidR="00613F67">
        <w:rPr>
          <w:rFonts w:eastAsia="Times New Roman"/>
          <w:lang w:eastAsia="it-IT"/>
        </w:rPr>
        <w:t xml:space="preserve">attuazione </w:t>
      </w:r>
      <w:r w:rsidR="00383D7C">
        <w:rPr>
          <w:rFonts w:eastAsia="Times New Roman"/>
          <w:lang w:eastAsia="it-IT"/>
        </w:rPr>
        <w:t>del diritto europeo</w:t>
      </w:r>
      <w:r w:rsidR="00613F67">
        <w:rPr>
          <w:rFonts w:eastAsia="Times New Roman"/>
          <w:lang w:eastAsia="it-IT"/>
        </w:rPr>
        <w:t xml:space="preserve"> in una prospettiva “unionale”</w:t>
      </w:r>
      <w:r w:rsidR="00383D7C">
        <w:rPr>
          <w:rFonts w:eastAsia="Times New Roman"/>
          <w:lang w:eastAsia="it-IT"/>
        </w:rPr>
        <w:t>.</w:t>
      </w:r>
    </w:p>
    <w:p w:rsidR="00253FC2" w:rsidRDefault="00383D7C" w:rsidP="009C675E">
      <w:pPr>
        <w:shd w:val="clear" w:color="auto" w:fill="FFFFFF"/>
        <w:ind w:firstLine="426"/>
        <w:rPr>
          <w:rFonts w:eastAsia="Times New Roman"/>
          <w:lang w:eastAsia="it-IT"/>
        </w:rPr>
      </w:pPr>
      <w:r>
        <w:rPr>
          <w:rFonts w:eastAsia="Times New Roman"/>
          <w:lang w:eastAsia="it-IT"/>
        </w:rPr>
        <w:t>In definitiva</w:t>
      </w:r>
      <w:r w:rsidR="00253FC2">
        <w:rPr>
          <w:rFonts w:eastAsia="Times New Roman"/>
          <w:lang w:eastAsia="it-IT"/>
        </w:rPr>
        <w:t>, è chiaro il perché fin dagli inizi della propria attività la Corte di Lussemburgo abbia individuato nei giudici nazionali i primi attori chiamati in causa per la realizzazione dell’obiettivo della massima diffusione del diritto comunitario: da un lato, per quello che – stavolta con ragione – può essere definito un “</w:t>
      </w:r>
      <w:r w:rsidR="00253FC2">
        <w:rPr>
          <w:rFonts w:eastAsia="Times New Roman"/>
          <w:i/>
          <w:lang w:eastAsia="it-IT"/>
        </w:rPr>
        <w:t>principio di prossimità</w:t>
      </w:r>
      <w:r w:rsidR="00253FC2">
        <w:rPr>
          <w:rFonts w:eastAsia="Times New Roman"/>
          <w:lang w:eastAsia="it-IT"/>
        </w:rPr>
        <w:t xml:space="preserve">”, potendo il rapporto tra norma interna e norma sovranazionale essere meglio apprezzato dal giudice più vicino alla </w:t>
      </w:r>
      <w:r w:rsidR="00253FC2">
        <w:rPr>
          <w:rFonts w:eastAsia="Times New Roman"/>
          <w:i/>
          <w:lang w:eastAsia="it-IT"/>
        </w:rPr>
        <w:t xml:space="preserve">res controversa </w:t>
      </w:r>
      <w:r w:rsidR="00253FC2">
        <w:rPr>
          <w:rFonts w:eastAsia="Times New Roman"/>
          <w:lang w:eastAsia="it-IT"/>
        </w:rPr>
        <w:t>del caso specifico; dall’altro, perché qualsiasi giudice nazionale nell’opera interpretativa delle norme sia interne che europee dovrà far riferimento all’interpretazione fornita dalla propria Corte suprema, cui a sua volta compete l’interpretazione uniforme del diritto nell’ordinamento interno.</w:t>
      </w:r>
      <w:r w:rsidR="0052619E">
        <w:rPr>
          <w:rFonts w:eastAsia="Times New Roman"/>
          <w:lang w:eastAsia="it-IT"/>
        </w:rPr>
        <w:t xml:space="preserve"> Il concetto è stato sviluppato dalla Corte di giustizia chiarendo che, se anche nel delicato settore dei diritti fondamentali resta valido il principio delle competenze (come dimostrato dalla stretta interrelazione tra l’articolo 51 della Carta dei diritti e l’articolo 6 del Trattato dell’Unione), e pertanto le norme nazional</w:t>
      </w:r>
      <w:r w:rsidR="001B01E9">
        <w:rPr>
          <w:rFonts w:eastAsia="Times New Roman"/>
          <w:lang w:eastAsia="it-IT"/>
        </w:rPr>
        <w:t>i</w:t>
      </w:r>
      <w:r w:rsidR="0052619E">
        <w:rPr>
          <w:rFonts w:eastAsia="Times New Roman"/>
          <w:lang w:eastAsia="it-IT"/>
        </w:rPr>
        <w:t xml:space="preserve"> possono essere valutate nel loro rapporto con quella sovranazionale solo a condizione che si collochino nell’ambito del diritto dell’Unione, è vero però che proprio attraverso l’attività interpretativa dei giudici nazionali comuni è possibile cogliere tutti i possibili collegamenti tra il diritto interno e quello unionale, e in tal modo estendere l’ambito di applicazione degli </w:t>
      </w:r>
      <w:r w:rsidR="0052619E">
        <w:rPr>
          <w:rFonts w:eastAsia="Times New Roman"/>
          <w:i/>
          <w:lang w:eastAsia="it-IT"/>
        </w:rPr>
        <w:t xml:space="preserve">standard </w:t>
      </w:r>
      <w:r w:rsidR="0052619E">
        <w:rPr>
          <w:rFonts w:eastAsia="Times New Roman"/>
          <w:lang w:eastAsia="it-IT"/>
        </w:rPr>
        <w:t>di tutela dei diritti fondamentali elaborati dalla Corte di Lussemburgo (oltre che dalla CEDU)</w:t>
      </w:r>
      <w:r w:rsidR="0052619E">
        <w:rPr>
          <w:rStyle w:val="Rimandonotaapidipagina"/>
          <w:rFonts w:eastAsia="Times New Roman"/>
          <w:lang w:eastAsia="it-IT"/>
        </w:rPr>
        <w:footnoteReference w:id="83"/>
      </w:r>
      <w:r w:rsidR="0052619E">
        <w:rPr>
          <w:rFonts w:eastAsia="Times New Roman"/>
          <w:lang w:eastAsia="it-IT"/>
        </w:rPr>
        <w:t>.</w:t>
      </w:r>
    </w:p>
    <w:p w:rsidR="0052619E" w:rsidRDefault="0052619E" w:rsidP="009C675E">
      <w:pPr>
        <w:shd w:val="clear" w:color="auto" w:fill="FFFFFF"/>
        <w:ind w:firstLine="426"/>
        <w:rPr>
          <w:rFonts w:eastAsia="Times New Roman"/>
          <w:lang w:eastAsia="it-IT"/>
        </w:rPr>
      </w:pPr>
      <w:r>
        <w:rPr>
          <w:rFonts w:eastAsia="Times New Roman"/>
          <w:lang w:eastAsia="it-IT"/>
        </w:rPr>
        <w:t>Ecco perché, da parte degli osservatori più sensibili all’affermazione del diritto unionale ed al ruolo che a tal fine le Corti possono svolgere in un momento, come quello attuale, di crisi a livello politico del processo di integrazione, sono stati espressi dubbi circa “</w:t>
      </w:r>
      <w:r>
        <w:rPr>
          <w:rFonts w:eastAsia="Times New Roman"/>
          <w:i/>
          <w:lang w:eastAsia="it-IT"/>
        </w:rPr>
        <w:t>la possibilità che il giudice nazionale possa far valere la violazione di un diritto riconosciuto dalla Carta in questioni ‘puramente interne’: se così non fosse, si avrebbe un allargamento delle ‘competenze (rectius: del diritto) dell’Unione’ a materie rimesse esclusivamente agli Stati membri</w:t>
      </w:r>
      <w:r>
        <w:rPr>
          <w:rFonts w:eastAsia="Times New Roman"/>
          <w:lang w:eastAsia="it-IT"/>
        </w:rPr>
        <w:t>”</w:t>
      </w:r>
      <w:r>
        <w:rPr>
          <w:rStyle w:val="Rimandonotaapidipagina"/>
          <w:rFonts w:eastAsia="Times New Roman"/>
          <w:lang w:eastAsia="it-IT"/>
        </w:rPr>
        <w:footnoteReference w:id="84"/>
      </w:r>
      <w:r>
        <w:rPr>
          <w:rFonts w:eastAsia="Times New Roman"/>
          <w:lang w:eastAsia="it-IT"/>
        </w:rPr>
        <w:t xml:space="preserve">. Ciò è particolarmente vero in relazione alla funzione del giudice amministrativo, che è chiamato a garantire la tutela dei diritti </w:t>
      </w:r>
      <w:r w:rsidR="003316A8">
        <w:rPr>
          <w:rFonts w:eastAsia="Times New Roman"/>
          <w:lang w:eastAsia="it-IT"/>
        </w:rPr>
        <w:t>dei cittadini, ivi compresi quelli fondamentali, rispetto all’attività del potere pubblico e a svolgere il controllo di legalità sulle modalità con cui questo è esercitato; ed è per questo che in questo settore</w:t>
      </w:r>
      <w:r w:rsidR="00383D7C">
        <w:rPr>
          <w:rFonts w:eastAsia="Times New Roman"/>
          <w:lang w:eastAsia="it-IT"/>
        </w:rPr>
        <w:t xml:space="preserve"> soprattutto negli ultimi anni</w:t>
      </w:r>
      <w:r w:rsidR="003316A8">
        <w:rPr>
          <w:rFonts w:eastAsia="Times New Roman"/>
          <w:lang w:eastAsia="it-IT"/>
        </w:rPr>
        <w:t xml:space="preserve"> si è sviluppato </w:t>
      </w:r>
      <w:r w:rsidR="00383D7C">
        <w:rPr>
          <w:rFonts w:eastAsia="Times New Roman"/>
          <w:lang w:eastAsia="it-IT"/>
        </w:rPr>
        <w:t xml:space="preserve">– </w:t>
      </w:r>
      <w:r w:rsidR="003316A8">
        <w:rPr>
          <w:rFonts w:eastAsia="Times New Roman"/>
          <w:lang w:eastAsia="it-IT"/>
        </w:rPr>
        <w:t>anche</w:t>
      </w:r>
      <w:r w:rsidR="00383D7C">
        <w:rPr>
          <w:rFonts w:eastAsia="Times New Roman"/>
          <w:lang w:eastAsia="it-IT"/>
        </w:rPr>
        <w:t xml:space="preserve"> attraverso l’attività di apposite organizzazioni internazionali</w:t>
      </w:r>
      <w:r w:rsidR="006E1E38">
        <w:rPr>
          <w:rStyle w:val="Rimandonotaapidipagina"/>
          <w:rFonts w:eastAsia="Times New Roman"/>
          <w:lang w:eastAsia="it-IT"/>
        </w:rPr>
        <w:footnoteReference w:id="85"/>
      </w:r>
      <w:r w:rsidR="00383D7C">
        <w:rPr>
          <w:rFonts w:eastAsia="Times New Roman"/>
          <w:lang w:eastAsia="it-IT"/>
        </w:rPr>
        <w:t xml:space="preserve"> -</w:t>
      </w:r>
      <w:r w:rsidR="003316A8">
        <w:rPr>
          <w:rFonts w:eastAsia="Times New Roman"/>
          <w:lang w:eastAsia="it-IT"/>
        </w:rPr>
        <w:t xml:space="preserve"> un ricco e proficuo dialogo “orizzontale” fra le Corti supreme degli Stati membri: “</w:t>
      </w:r>
      <w:r w:rsidR="003316A8">
        <w:rPr>
          <w:rFonts w:eastAsia="Times New Roman"/>
          <w:i/>
          <w:lang w:eastAsia="it-IT"/>
        </w:rPr>
        <w:t>Solo il dialogo tra le Corti, coinvolte quotidianamente nella vita dei cittadini e nel funzionamento dei mercati, può condurre a meccanismi di valutazione uniformi dei comportamenti dei pubblici poteri. In tal modo, si delineano in concreto un concetto e una pratica di ‘cittadinanza’ e di mercato comune, costituiti da diritti, doveri e rispetto delle regole a garanzia di questi</w:t>
      </w:r>
      <w:r w:rsidR="003316A8">
        <w:rPr>
          <w:rFonts w:eastAsia="Times New Roman"/>
          <w:lang w:eastAsia="it-IT"/>
        </w:rPr>
        <w:t>”</w:t>
      </w:r>
      <w:r w:rsidR="003316A8">
        <w:rPr>
          <w:rStyle w:val="Rimandonotaapidipagina"/>
          <w:rFonts w:eastAsia="Times New Roman"/>
          <w:lang w:eastAsia="it-IT"/>
        </w:rPr>
        <w:footnoteReference w:id="86"/>
      </w:r>
      <w:r w:rsidR="003316A8">
        <w:rPr>
          <w:rFonts w:eastAsia="Times New Roman"/>
          <w:lang w:eastAsia="it-IT"/>
        </w:rPr>
        <w:t>.</w:t>
      </w:r>
    </w:p>
    <w:p w:rsidR="001D1F13" w:rsidRDefault="001D1F13" w:rsidP="009C675E">
      <w:pPr>
        <w:shd w:val="clear" w:color="auto" w:fill="FFFFFF"/>
        <w:ind w:firstLine="426"/>
        <w:rPr>
          <w:rFonts w:eastAsia="Times New Roman"/>
          <w:lang w:eastAsia="it-IT"/>
        </w:rPr>
      </w:pPr>
    </w:p>
    <w:p w:rsidR="001D1F13" w:rsidRDefault="001D1F13" w:rsidP="009C675E">
      <w:pPr>
        <w:shd w:val="clear" w:color="auto" w:fill="FFFFFF"/>
        <w:ind w:firstLine="426"/>
        <w:rPr>
          <w:rFonts w:eastAsia="Times New Roman"/>
          <w:lang w:eastAsia="it-IT"/>
        </w:rPr>
      </w:pPr>
    </w:p>
    <w:p w:rsidR="001D1F13" w:rsidRPr="001D1F13" w:rsidRDefault="00486E01" w:rsidP="009C675E">
      <w:pPr>
        <w:shd w:val="clear" w:color="auto" w:fill="FFFFFF"/>
        <w:ind w:firstLine="426"/>
        <w:rPr>
          <w:rFonts w:eastAsia="Times New Roman"/>
          <w:b/>
          <w:lang w:eastAsia="it-IT"/>
        </w:rPr>
      </w:pPr>
      <w:r>
        <w:rPr>
          <w:rFonts w:eastAsia="Times New Roman"/>
          <w:b/>
          <w:lang w:eastAsia="it-IT"/>
        </w:rPr>
        <w:t>5. Conclusioni: i rischi dell’accentramento nell’era del “sovranismo giudiziario”.</w:t>
      </w:r>
    </w:p>
    <w:p w:rsidR="001D1F13" w:rsidRDefault="001D1F13" w:rsidP="009C675E">
      <w:pPr>
        <w:shd w:val="clear" w:color="auto" w:fill="FFFFFF"/>
        <w:ind w:firstLine="426"/>
        <w:rPr>
          <w:rFonts w:eastAsia="Times New Roman"/>
          <w:lang w:eastAsia="it-IT"/>
        </w:rPr>
      </w:pPr>
    </w:p>
    <w:p w:rsidR="00B53FC6" w:rsidRDefault="00B53FC6" w:rsidP="009C675E">
      <w:pPr>
        <w:shd w:val="clear" w:color="auto" w:fill="FFFFFF"/>
        <w:ind w:firstLine="426"/>
        <w:rPr>
          <w:rFonts w:eastAsia="Times New Roman"/>
          <w:lang w:eastAsia="it-IT"/>
        </w:rPr>
      </w:pPr>
      <w:r>
        <w:rPr>
          <w:rFonts w:eastAsia="Times New Roman"/>
          <w:lang w:eastAsia="it-IT"/>
        </w:rPr>
        <w:t xml:space="preserve">Sicuramente, come è già avvenuto con la sentenza n. 269 del 2017, i dubbi e le perplessità suscitati fra studiosi e commentatori dalla più recente sortita della Corte costituzionale sulla “doppia pregiudizialità” (e che in questo scritto si è cercato di analizzare) potranno essere </w:t>
      </w:r>
      <w:r w:rsidR="009B1B7F">
        <w:rPr>
          <w:rFonts w:eastAsia="Times New Roman"/>
          <w:lang w:eastAsia="it-IT"/>
        </w:rPr>
        <w:t xml:space="preserve">almeno in parte </w:t>
      </w:r>
      <w:r>
        <w:rPr>
          <w:rFonts w:eastAsia="Times New Roman"/>
          <w:lang w:eastAsia="it-IT"/>
        </w:rPr>
        <w:t xml:space="preserve">sciolti dagli </w:t>
      </w:r>
      <w:r w:rsidR="001B01E9">
        <w:rPr>
          <w:rFonts w:eastAsia="Times New Roman"/>
          <w:lang w:eastAsia="it-IT"/>
        </w:rPr>
        <w:t xml:space="preserve">ulteriori interventi con i quali la </w:t>
      </w:r>
      <w:r>
        <w:rPr>
          <w:rFonts w:eastAsia="Times New Roman"/>
          <w:lang w:eastAsia="it-IT"/>
        </w:rPr>
        <w:t xml:space="preserve">stessa </w:t>
      </w:r>
      <w:r w:rsidR="001B01E9">
        <w:rPr>
          <w:rFonts w:eastAsia="Times New Roman"/>
          <w:lang w:eastAsia="it-IT"/>
        </w:rPr>
        <w:t>Corte arricchirà, e se del caso preciserà meglio, la propria posizione</w:t>
      </w:r>
      <w:r>
        <w:rPr>
          <w:rFonts w:eastAsia="Times New Roman"/>
          <w:lang w:eastAsia="it-IT"/>
        </w:rPr>
        <w:t xml:space="preserve">. In tali occasioni, se è vero quanto fin qui evidenziato in ordine alle “criticità” che le affermazioni contenute nella sentenza n. 181 del 2024 possono suscitare rispetto alla posizione dei giudici nazionali, e delle Corti di ultima istanza in particolare, non potrà </w:t>
      </w:r>
      <w:r w:rsidR="009B1B7F">
        <w:rPr>
          <w:rFonts w:eastAsia="Times New Roman"/>
          <w:lang w:eastAsia="it-IT"/>
        </w:rPr>
        <w:t xml:space="preserve">essere </w:t>
      </w:r>
      <w:r>
        <w:rPr>
          <w:rFonts w:eastAsia="Times New Roman"/>
          <w:lang w:eastAsia="it-IT"/>
        </w:rPr>
        <w:t>elu</w:t>
      </w:r>
      <w:r w:rsidR="009B1B7F">
        <w:rPr>
          <w:rFonts w:eastAsia="Times New Roman"/>
          <w:lang w:eastAsia="it-IT"/>
        </w:rPr>
        <w:t>so</w:t>
      </w:r>
      <w:r>
        <w:rPr>
          <w:rFonts w:eastAsia="Times New Roman"/>
          <w:lang w:eastAsia="it-IT"/>
        </w:rPr>
        <w:t xml:space="preserve"> </w:t>
      </w:r>
      <w:r w:rsidR="001B01E9">
        <w:rPr>
          <w:rFonts w:eastAsia="Times New Roman"/>
          <w:lang w:eastAsia="it-IT"/>
        </w:rPr>
        <w:t xml:space="preserve">il </w:t>
      </w:r>
      <w:r>
        <w:rPr>
          <w:rFonts w:eastAsia="Times New Roman"/>
          <w:lang w:eastAsia="it-IT"/>
        </w:rPr>
        <w:t>t</w:t>
      </w:r>
      <w:r w:rsidR="001B01E9">
        <w:rPr>
          <w:rFonts w:eastAsia="Times New Roman"/>
          <w:lang w:eastAsia="it-IT"/>
        </w:rPr>
        <w:t>ema della interferenza</w:t>
      </w:r>
      <w:r>
        <w:rPr>
          <w:rFonts w:eastAsia="Times New Roman"/>
          <w:lang w:eastAsia="it-IT"/>
        </w:rPr>
        <w:t xml:space="preserve"> di un riaccentramento del sindacato di legittimità costituzionale, anche in relazione ai profili di incompatibilità delle norme interne con il diritto dell’Unione europea,</w:t>
      </w:r>
      <w:r w:rsidR="001B01E9">
        <w:rPr>
          <w:rFonts w:eastAsia="Times New Roman"/>
          <w:lang w:eastAsia="it-IT"/>
        </w:rPr>
        <w:t xml:space="preserve"> con l</w:t>
      </w:r>
      <w:r>
        <w:rPr>
          <w:rFonts w:eastAsia="Times New Roman"/>
          <w:lang w:eastAsia="it-IT"/>
        </w:rPr>
        <w:t>’imprescindibile</w:t>
      </w:r>
      <w:r w:rsidR="001B01E9">
        <w:rPr>
          <w:rFonts w:eastAsia="Times New Roman"/>
          <w:lang w:eastAsia="it-IT"/>
        </w:rPr>
        <w:t xml:space="preserve"> funzione nomofilattica svolta</w:t>
      </w:r>
      <w:r w:rsidR="009B1B7F">
        <w:rPr>
          <w:rFonts w:eastAsia="Times New Roman"/>
          <w:lang w:eastAsia="it-IT"/>
        </w:rPr>
        <w:t xml:space="preserve"> anche su tali aspetti</w:t>
      </w:r>
      <w:r w:rsidR="001B01E9">
        <w:rPr>
          <w:rFonts w:eastAsia="Times New Roman"/>
          <w:lang w:eastAsia="it-IT"/>
        </w:rPr>
        <w:t xml:space="preserve"> da</w:t>
      </w:r>
      <w:r w:rsidR="009B1B7F">
        <w:rPr>
          <w:rFonts w:eastAsia="Times New Roman"/>
          <w:lang w:eastAsia="it-IT"/>
        </w:rPr>
        <w:t>lle C</w:t>
      </w:r>
      <w:r w:rsidR="001B01E9">
        <w:rPr>
          <w:rFonts w:eastAsia="Times New Roman"/>
          <w:lang w:eastAsia="it-IT"/>
        </w:rPr>
        <w:t>orti</w:t>
      </w:r>
      <w:r w:rsidR="009B1B7F">
        <w:rPr>
          <w:rFonts w:eastAsia="Times New Roman"/>
          <w:lang w:eastAsia="it-IT"/>
        </w:rPr>
        <w:t xml:space="preserve"> supreme nazionali</w:t>
      </w:r>
      <w:r w:rsidR="001B01E9">
        <w:rPr>
          <w:rFonts w:eastAsia="Times New Roman"/>
          <w:lang w:eastAsia="it-IT"/>
        </w:rPr>
        <w:t>.</w:t>
      </w:r>
    </w:p>
    <w:p w:rsidR="00B53FC6" w:rsidRPr="00C7399A" w:rsidRDefault="00B53FC6" w:rsidP="009C675E">
      <w:pPr>
        <w:shd w:val="clear" w:color="auto" w:fill="FFFFFF"/>
        <w:ind w:firstLine="426"/>
        <w:rPr>
          <w:rFonts w:eastAsia="Times New Roman"/>
          <w:lang w:eastAsia="it-IT"/>
        </w:rPr>
      </w:pPr>
      <w:r>
        <w:rPr>
          <w:rFonts w:eastAsia="Times New Roman"/>
          <w:lang w:eastAsia="it-IT"/>
        </w:rPr>
        <w:t xml:space="preserve">Un primo segnale in questo senso può forse cogliersi </w:t>
      </w:r>
      <w:r w:rsidR="00C7399A">
        <w:rPr>
          <w:rFonts w:eastAsia="Times New Roman"/>
          <w:lang w:eastAsia="it-IT"/>
        </w:rPr>
        <w:t>in una delle sentenze già citate successive alla n. 181</w:t>
      </w:r>
      <w:r w:rsidR="00C7399A">
        <w:rPr>
          <w:rStyle w:val="Rimandonotaapidipagina"/>
          <w:rFonts w:eastAsia="Times New Roman"/>
          <w:lang w:eastAsia="it-IT"/>
        </w:rPr>
        <w:footnoteReference w:id="87"/>
      </w:r>
      <w:r w:rsidR="00C7399A">
        <w:rPr>
          <w:rFonts w:eastAsia="Times New Roman"/>
          <w:lang w:eastAsia="it-IT"/>
        </w:rPr>
        <w:t xml:space="preserve">, laddove, nel prendere atto del </w:t>
      </w:r>
      <w:r w:rsidR="00C7399A">
        <w:rPr>
          <w:rFonts w:eastAsia="Times New Roman"/>
          <w:i/>
          <w:lang w:eastAsia="it-IT"/>
        </w:rPr>
        <w:t xml:space="preserve">self-restraint </w:t>
      </w:r>
      <w:r w:rsidR="00C7399A">
        <w:rPr>
          <w:rFonts w:eastAsia="Times New Roman"/>
          <w:lang w:eastAsia="it-IT"/>
        </w:rPr>
        <w:t>manifestato dalla Corte di giustizia rispetto all’interpretazione del diritto interno, laddove da questa dipenda la risoluzione del dubbio di compatibilità con il diritto europeo, la Corte costituzionale ha ritenuto di sottolineare che “</w:t>
      </w:r>
      <w:r w:rsidR="00C7399A" w:rsidRPr="00C7399A">
        <w:rPr>
          <w:i/>
          <w:shd w:val="clear" w:color="auto" w:fill="FFFFFF"/>
        </w:rPr>
        <w:t>se è indiscutibile che alla Corte di giustizia spetta l’interpretazione dei trattati e del diritto derivato, al fine di assicurarne l’uniforme applicazione in tutti gli Stati membri, è parimenti indiscutibile che l’interpretazione della Costituzione è riservata a questa Corte, così come la funzione di nomofilachia del diritto nazionale lo è alla Corte di cassazione, essendo orientate ad assicurare anche la certezza del diritto</w:t>
      </w:r>
      <w:r w:rsidR="00C7399A">
        <w:rPr>
          <w:shd w:val="clear" w:color="auto" w:fill="FFFFFF"/>
        </w:rPr>
        <w:t>”. Un richiamo al rispetto dei ruoli, apparentemente perfino ultroneo rispetto alla materia controversa nella specie, ma che potrebbe disvelare l’attenzione della Corte rispetto all’esigenza che sia salvaguardato il ruolo dei giudici interni nel funzionamento del delicato meccanismo finalizzato ad assicurare la piena attuazione del diritto unionale.</w:t>
      </w:r>
    </w:p>
    <w:p w:rsidR="00C7399A" w:rsidRDefault="00C7399A" w:rsidP="009C675E">
      <w:pPr>
        <w:shd w:val="clear" w:color="auto" w:fill="FFFFFF"/>
        <w:ind w:firstLine="426"/>
        <w:rPr>
          <w:rFonts w:eastAsia="Times New Roman"/>
          <w:lang w:eastAsia="it-IT"/>
        </w:rPr>
      </w:pPr>
      <w:r>
        <w:rPr>
          <w:rFonts w:eastAsia="Times New Roman"/>
          <w:lang w:eastAsia="it-IT"/>
        </w:rPr>
        <w:t>In attesa dei necessari ulteriori chiarimenti, occorre però interrogarsi sulle preoccupazioni sollevate da numerosi commentatori dinanzi alla tendenza “riaccentratrice” manifesta dalla Corte costituzionale. Per vero, vi è stato chi – in controtendenza rispetto alla maggior</w:t>
      </w:r>
      <w:r w:rsidR="009B1B7F">
        <w:rPr>
          <w:rFonts w:eastAsia="Times New Roman"/>
          <w:lang w:eastAsia="it-IT"/>
        </w:rPr>
        <w:t xml:space="preserve">anza degli studiosi di diritto dell’Unione </w:t>
      </w:r>
      <w:r>
        <w:rPr>
          <w:rFonts w:eastAsia="Times New Roman"/>
          <w:lang w:eastAsia="it-IT"/>
        </w:rPr>
        <w:t xml:space="preserve">– </w:t>
      </w:r>
      <w:r w:rsidR="00D83EDC">
        <w:rPr>
          <w:rFonts w:eastAsia="Times New Roman"/>
          <w:lang w:eastAsia="it-IT"/>
        </w:rPr>
        <w:t>ha salutato con favore la possibilità che, nell’attuale momento di confusione circa la portata e i limiti dei poteri del legislatore nazionale rispetto al primato del diritto europeo, la Corte costituzionale attraverso un saggio esercizio delle proprie prerogative possa fornire un contributo di chiarezza nel senso della riaffermazione dei principi e valori dell’Unione europea</w:t>
      </w:r>
      <w:r w:rsidR="00D83EDC">
        <w:rPr>
          <w:rStyle w:val="Rimandonotaapidipagina"/>
          <w:rFonts w:eastAsia="Times New Roman"/>
          <w:lang w:eastAsia="it-IT"/>
        </w:rPr>
        <w:footnoteReference w:id="88"/>
      </w:r>
      <w:r w:rsidR="00D83EDC">
        <w:rPr>
          <w:rFonts w:eastAsia="Times New Roman"/>
          <w:lang w:eastAsia="it-IT"/>
        </w:rPr>
        <w:t xml:space="preserve">. Pur considerando apprezzabile un tale approccio ottimistico, non si può non sottolineare come la più recente posizione della Corte, nella misura in cui potrebbe determinare un potenziale effetto “disincentivante” del ricorso al rinvio pregiudiziale, in favore del rimedio interno della questione incidentale di legittimità costituzionale, finisce per porsi in oggettiva convergenza con la visione espressa, non solo a livello politico, da quanti oggi sollecitano una profonda rimeditazione dei rapporti tra </w:t>
      </w:r>
      <w:r w:rsidR="009B1B7F">
        <w:rPr>
          <w:rFonts w:eastAsia="Times New Roman"/>
          <w:lang w:eastAsia="it-IT"/>
        </w:rPr>
        <w:t xml:space="preserve">diritto </w:t>
      </w:r>
      <w:r w:rsidR="00D83EDC">
        <w:rPr>
          <w:rFonts w:eastAsia="Times New Roman"/>
          <w:lang w:eastAsia="it-IT"/>
        </w:rPr>
        <w:t>dell’Unione europea e diritto interno, fino a ridimensionare fortemente o perfino mettere in discussione la prevalenza del primo sul secondo</w:t>
      </w:r>
      <w:r w:rsidR="001F4329">
        <w:rPr>
          <w:rStyle w:val="Rimandonotaapidipagina"/>
          <w:rFonts w:eastAsia="Times New Roman"/>
          <w:lang w:eastAsia="it-IT"/>
        </w:rPr>
        <w:footnoteReference w:id="89"/>
      </w:r>
      <w:r w:rsidR="00D83EDC">
        <w:rPr>
          <w:rFonts w:eastAsia="Times New Roman"/>
          <w:lang w:eastAsia="it-IT"/>
        </w:rPr>
        <w:t>.</w:t>
      </w:r>
    </w:p>
    <w:p w:rsidR="003316A8" w:rsidRPr="003316A8" w:rsidRDefault="00256D77" w:rsidP="009C675E">
      <w:pPr>
        <w:shd w:val="clear" w:color="auto" w:fill="FFFFFF"/>
        <w:ind w:firstLine="426"/>
        <w:rPr>
          <w:rFonts w:eastAsia="Times New Roman"/>
          <w:lang w:eastAsia="it-IT"/>
        </w:rPr>
      </w:pPr>
      <w:r>
        <w:rPr>
          <w:rFonts w:eastAsia="Times New Roman"/>
          <w:lang w:eastAsia="it-IT"/>
        </w:rPr>
        <w:lastRenderedPageBreak/>
        <w:t>Se dunque viviamo, non solo a livello nazionale, in un’epoca in cui il processo di integrazione europea più che subire una battuta d’arresto è apertamente messo in discussione; se, in tale temperie, emergono nella visione dei rapporti tra ordinamento europeo e ordinamenti nazionali tendenze al “sovranismo giudiziario”</w:t>
      </w:r>
      <w:r>
        <w:rPr>
          <w:rStyle w:val="Rimandonotaapidipagina"/>
          <w:rFonts w:eastAsia="Times New Roman"/>
          <w:lang w:eastAsia="it-IT"/>
        </w:rPr>
        <w:footnoteReference w:id="90"/>
      </w:r>
      <w:r>
        <w:rPr>
          <w:rFonts w:eastAsia="Times New Roman"/>
          <w:lang w:eastAsia="it-IT"/>
        </w:rPr>
        <w:t xml:space="preserve">; se, nell’attuale dibattito sulle riforme della nostra Costituzione, </w:t>
      </w:r>
      <w:r w:rsidR="00EC2E1E">
        <w:rPr>
          <w:rFonts w:eastAsia="Times New Roman"/>
          <w:lang w:eastAsia="it-IT"/>
        </w:rPr>
        <w:t>viene espressa preoccupazione sul fatto che il rafforzamento dei poteri dell’esecutivo possa incidere sulla composizione della Corte costituzionale in modo da pregiudicarne lo stesso ruolo di suprema garanzia della Costituzione</w:t>
      </w:r>
      <w:r w:rsidR="00EC2E1E">
        <w:rPr>
          <w:rStyle w:val="Rimandonotaapidipagina"/>
          <w:rFonts w:eastAsia="Times New Roman"/>
          <w:lang w:eastAsia="it-IT"/>
        </w:rPr>
        <w:footnoteReference w:id="91"/>
      </w:r>
      <w:r w:rsidR="00EC2E1E">
        <w:rPr>
          <w:rFonts w:eastAsia="Times New Roman"/>
          <w:lang w:eastAsia="it-IT"/>
        </w:rPr>
        <w:t xml:space="preserve">: allora non è affatto detto che l’accentramento tendenziale presso la Corte costituzionale delle questioni interpretative del diritto interno nei suoi rapporti con le fonti dell’Unione europea sia necessariamente uno sviluppo rassicurante. Non sarebbe la prima volta che un’idea, concepita con le più nobili e </w:t>
      </w:r>
      <w:r w:rsidR="00011D66">
        <w:rPr>
          <w:rFonts w:eastAsia="Times New Roman"/>
          <w:lang w:eastAsia="it-IT"/>
        </w:rPr>
        <w:t>apprezzabili delle intenzioni, finisce per essere funzionale alla produzione di risultati esattamente opposti a quelli immaginati.</w:t>
      </w:r>
    </w:p>
    <w:p w:rsidR="009C675E" w:rsidRPr="009C675E" w:rsidRDefault="009C675E" w:rsidP="009F3F7B">
      <w:pPr>
        <w:ind w:firstLine="426"/>
      </w:pPr>
    </w:p>
    <w:sectPr w:rsidR="009C675E" w:rsidRPr="009C675E">
      <w:headerReference w:type="even" r:id="rId11"/>
      <w:headerReference w:type="default" r:id="rId12"/>
      <w:footerReference w:type="even" r:id="rId13"/>
      <w:footerReference w:type="default" r:id="rId14"/>
      <w:headerReference w:type="first" r:id="rId15"/>
      <w:footerReference w:type="first" r:id="rId16"/>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7399A" w:rsidRDefault="00C7399A" w:rsidP="00D55D06">
      <w:r>
        <w:separator/>
      </w:r>
    </w:p>
  </w:endnote>
  <w:endnote w:type="continuationSeparator" w:id="0">
    <w:p w:rsidR="00C7399A" w:rsidRDefault="00C7399A" w:rsidP="00D55D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Fira Sans">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399A" w:rsidRDefault="00C7399A">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1346635"/>
      <w:docPartObj>
        <w:docPartGallery w:val="Page Numbers (Bottom of Page)"/>
        <w:docPartUnique/>
      </w:docPartObj>
    </w:sdtPr>
    <w:sdtEndPr/>
    <w:sdtContent>
      <w:p w:rsidR="00C7399A" w:rsidRDefault="00C7399A">
        <w:pPr>
          <w:pStyle w:val="Pidipagina"/>
          <w:jc w:val="center"/>
        </w:pPr>
        <w:r>
          <w:fldChar w:fldCharType="begin"/>
        </w:r>
        <w:r>
          <w:instrText>PAGE   \* MERGEFORMAT</w:instrText>
        </w:r>
        <w:r>
          <w:fldChar w:fldCharType="separate"/>
        </w:r>
        <w:r w:rsidR="00F27DB5">
          <w:rPr>
            <w:noProof/>
          </w:rPr>
          <w:t>1</w:t>
        </w:r>
        <w:r>
          <w:fldChar w:fldCharType="end"/>
        </w:r>
      </w:p>
    </w:sdtContent>
  </w:sdt>
  <w:p w:rsidR="00C7399A" w:rsidRDefault="00C7399A">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399A" w:rsidRDefault="00C7399A">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7399A" w:rsidRDefault="00C7399A" w:rsidP="00D55D06">
      <w:r>
        <w:separator/>
      </w:r>
    </w:p>
  </w:footnote>
  <w:footnote w:type="continuationSeparator" w:id="0">
    <w:p w:rsidR="00C7399A" w:rsidRDefault="00C7399A" w:rsidP="00D55D06">
      <w:r>
        <w:continuationSeparator/>
      </w:r>
    </w:p>
  </w:footnote>
  <w:footnote w:id="1">
    <w:p w:rsidR="00F27DB5" w:rsidRPr="00F27DB5" w:rsidRDefault="00F27DB5">
      <w:pPr>
        <w:pStyle w:val="Testonotaapidipagina"/>
        <w:rPr>
          <w:i/>
        </w:rPr>
      </w:pPr>
      <w:r w:rsidRPr="00F27DB5">
        <w:rPr>
          <w:rStyle w:val="Rimandonotaapidipagina"/>
        </w:rPr>
        <w:sym w:font="Symbol" w:char="F02A"/>
      </w:r>
      <w:r>
        <w:t xml:space="preserve"> Il presente contributo sviluppa e amplia l’intervento svolto al convegno sul tema “</w:t>
      </w:r>
      <w:r>
        <w:rPr>
          <w:i/>
        </w:rPr>
        <w:t xml:space="preserve">Il primato del diritto dell’Unione europea alla prova del ‘tono costituzionale’”, </w:t>
      </w:r>
      <w:r>
        <w:t xml:space="preserve">organizzato dall’Università degli Studi di Napoli “Parthenope” e tenutosi presso la stessa il 31 marzo 2025. Une versione ridotta dello stesso sarà pubblicata prossimamente su un numero speciale della rivista </w:t>
      </w:r>
      <w:r>
        <w:rPr>
          <w:i/>
        </w:rPr>
        <w:t>Eurojus.</w:t>
      </w:r>
      <w:bookmarkStart w:id="0" w:name="_GoBack"/>
      <w:bookmarkEnd w:id="0"/>
    </w:p>
  </w:footnote>
  <w:footnote w:id="2">
    <w:p w:rsidR="00C7399A" w:rsidRPr="00D55D06" w:rsidRDefault="00C7399A">
      <w:pPr>
        <w:pStyle w:val="Testonotaapidipagina"/>
      </w:pPr>
      <w:r>
        <w:rPr>
          <w:rStyle w:val="Rimandonotaapidipagina"/>
        </w:rPr>
        <w:footnoteRef/>
      </w:r>
      <w:r>
        <w:t xml:space="preserve"> In questa sede si continuerà a usare l’espressione di uso comune in dottrina, pur nella consapevolezza della sua inidoneità a descrivere in modo chiaro la problematica in esame. A stretto rigore, infatti, occorrerebbe distinguere tra “</w:t>
      </w:r>
      <w:r w:rsidRPr="00C72F53">
        <w:rPr>
          <w:i/>
        </w:rPr>
        <w:t>doppia pregiudizialità</w:t>
      </w:r>
      <w:r>
        <w:t xml:space="preserve">” in senso proprio e in senso improprio, ricorrendo la prima solo laddove le questioni di compatibilità costituzionale e comunitaria che si pongono in un medesimo giudizio in relazione a una medesima norma siano tra loro indipendenti, e quindi la norma interna debba essere interpretata in modo da escluderne la difformità con norme costituzionali diverse dagli articoli 11 e 117 della Costituzione: cfr. M. CONDINANZI - R. MASTROIANNI, </w:t>
      </w:r>
      <w:r>
        <w:rPr>
          <w:i/>
        </w:rPr>
        <w:t xml:space="preserve">Il contenzioso dell’Unione europea, </w:t>
      </w:r>
      <w:r>
        <w:t>Torino, 2009, 201.</w:t>
      </w:r>
    </w:p>
  </w:footnote>
  <w:footnote w:id="3">
    <w:p w:rsidR="00C7399A" w:rsidRPr="00147405" w:rsidRDefault="00C7399A">
      <w:pPr>
        <w:pStyle w:val="Testonotaapidipagina"/>
        <w:rPr>
          <w:lang w:val="fr-FR"/>
        </w:rPr>
      </w:pPr>
      <w:r>
        <w:rPr>
          <w:rStyle w:val="Rimandonotaapidipagina"/>
        </w:rPr>
        <w:footnoteRef/>
      </w:r>
      <w:r w:rsidRPr="00147405">
        <w:rPr>
          <w:lang w:val="fr-FR"/>
        </w:rPr>
        <w:t xml:space="preserve"> Corte cost., sent. 19 novembre 2024, n. 181.</w:t>
      </w:r>
    </w:p>
  </w:footnote>
  <w:footnote w:id="4">
    <w:p w:rsidR="00C7399A" w:rsidRPr="00147405" w:rsidRDefault="00C7399A">
      <w:pPr>
        <w:pStyle w:val="Testonotaapidipagina"/>
      </w:pPr>
      <w:r>
        <w:rPr>
          <w:rStyle w:val="Rimandonotaapidipagina"/>
        </w:rPr>
        <w:footnoteRef/>
      </w:r>
      <w:r w:rsidRPr="00147405">
        <w:t xml:space="preserve"> Corte cost., sentt. </w:t>
      </w:r>
      <w:r>
        <w:t xml:space="preserve">19 dicembre 2024, n. 210, </w:t>
      </w:r>
      <w:r w:rsidRPr="00147405">
        <w:t xml:space="preserve">3 gennaio 2025, n. </w:t>
      </w:r>
      <w:r>
        <w:t>1, 4 febbraio 2025, n. 7, e 20 marzo 2025, n. 31, nonché ord. 20 febbraio 2025, n. 21.</w:t>
      </w:r>
    </w:p>
  </w:footnote>
  <w:footnote w:id="5">
    <w:p w:rsidR="00C7399A" w:rsidRPr="00F84D0F" w:rsidRDefault="00C7399A">
      <w:pPr>
        <w:pStyle w:val="Testonotaapidipagina"/>
      </w:pPr>
      <w:r>
        <w:rPr>
          <w:rStyle w:val="Rimandonotaapidipagina"/>
        </w:rPr>
        <w:footnoteRef/>
      </w:r>
      <w:r>
        <w:t xml:space="preserve"> L. MARUOTTI, </w:t>
      </w:r>
      <w:r>
        <w:rPr>
          <w:i/>
        </w:rPr>
        <w:t xml:space="preserve">Relazione sull’attività della Giustizia Amministrativa del Presidente del Consiglio di Stato, </w:t>
      </w:r>
      <w:r>
        <w:t>Roma, 2025, 22.</w:t>
      </w:r>
    </w:p>
  </w:footnote>
  <w:footnote w:id="6">
    <w:p w:rsidR="00C7399A" w:rsidRPr="009E5B2C" w:rsidRDefault="00C7399A">
      <w:pPr>
        <w:pStyle w:val="Testonotaapidipagina"/>
      </w:pPr>
      <w:r>
        <w:rPr>
          <w:rStyle w:val="Rimandonotaapidipagina"/>
        </w:rPr>
        <w:footnoteRef/>
      </w:r>
      <w:r>
        <w:t xml:space="preserve"> Sulla rilevanza e l’impatto delle competenze unionali sul diritto amministrativo interno, e in particolare sulle materie attribuite dalla legge alla giurisdizione esclusiva del giudice amministrativo, cfr. B. LAGEDER, </w:t>
      </w:r>
      <w:r>
        <w:rPr>
          <w:i/>
        </w:rPr>
        <w:t>Il giudice nazionale tra rinvio pregiudiziale alla Corte di giustizia dell’Unione europea e rimessione alla Corte costituzionale, alla luce di due recenti sentenze della Corte costituzionale (sentenza 14 dicembre 2017, n. 269) e della Corte di giustizia dell’Unione europea (sentenza 20 dicembre 2017, causa C-322/16, Global Starned Ltd</w:t>
      </w:r>
      <w:r>
        <w:t xml:space="preserve">), in </w:t>
      </w:r>
      <w:hyperlink r:id="rId1" w:history="1">
        <w:r w:rsidRPr="00554E99">
          <w:rPr>
            <w:rStyle w:val="Collegamentoipertestuale"/>
          </w:rPr>
          <w:t>www.giustizia-amministrativa.it</w:t>
        </w:r>
      </w:hyperlink>
      <w:r>
        <w:t>, 25 luglio 2018.</w:t>
      </w:r>
    </w:p>
  </w:footnote>
  <w:footnote w:id="7">
    <w:p w:rsidR="00C7399A" w:rsidRPr="00784D15" w:rsidRDefault="00C7399A">
      <w:pPr>
        <w:pStyle w:val="Testonotaapidipagina"/>
      </w:pPr>
      <w:r>
        <w:rPr>
          <w:rStyle w:val="Rimandonotaapidipagina"/>
        </w:rPr>
        <w:footnoteRef/>
      </w:r>
      <w:r>
        <w:t xml:space="preserve"> La stessa dottrina costituzionalistica, fin dall’affacciarsi nella giurisprudenza costituzionale del tema della “doppia pregiudizialità”, ha colto in esso il manifestarsi di una tendenza al “</w:t>
      </w:r>
      <w:r>
        <w:rPr>
          <w:i/>
        </w:rPr>
        <w:t>riaccentramento</w:t>
      </w:r>
      <w:r>
        <w:t xml:space="preserve">” del sindacato di costituzionalità dettata anche dall’intento di evitare una sorta di marginalizzazione della Corte costituzionale rispetto al dialogo diretto tra giudici comuni e Corte di giustizia dell’Unione europea: cfr. ad esempio F.DONATI, </w:t>
      </w:r>
      <w:r>
        <w:rPr>
          <w:i/>
        </w:rPr>
        <w:t xml:space="preserve">La questione prioritaria di costituzionalità: presupposti e limiti, </w:t>
      </w:r>
      <w:r>
        <w:t xml:space="preserve">in B. CARAVITA DI TORITTO (a cura di), </w:t>
      </w:r>
      <w:r>
        <w:rPr>
          <w:i/>
        </w:rPr>
        <w:t xml:space="preserve">Un riaccentramento del giudizio costituzionale? I nuovi spazi del Giudice delle leggi, tra Corti europee e giudici comuni, </w:t>
      </w:r>
      <w:r>
        <w:t>Torino, 2021, 9 ss.. Di un “</w:t>
      </w:r>
      <w:r>
        <w:rPr>
          <w:i/>
        </w:rPr>
        <w:t>malessere</w:t>
      </w:r>
      <w:r>
        <w:t>” della Corte costituzionale a fronte del rischio di essere emarginata nella “</w:t>
      </w:r>
      <w:r>
        <w:rPr>
          <w:i/>
        </w:rPr>
        <w:t>relazione triangolare</w:t>
      </w:r>
      <w:r>
        <w:t xml:space="preserve">” che si crea con il diritto dell’Unione europea nei rapporti fra Corti parla anche L.S. ROSSI, </w:t>
      </w:r>
      <w:r>
        <w:rPr>
          <w:i/>
        </w:rPr>
        <w:t xml:space="preserve">Il “triangolo giurisdizionale” e la difficile applicazione della sentenza 269/17 della Corte costituzionale italiana, </w:t>
      </w:r>
      <w:r>
        <w:t xml:space="preserve">in </w:t>
      </w:r>
      <w:r>
        <w:rPr>
          <w:i/>
        </w:rPr>
        <w:t xml:space="preserve">Federalismi.it </w:t>
      </w:r>
      <w:r>
        <w:t>(</w:t>
      </w:r>
      <w:hyperlink r:id="rId2" w:history="1">
        <w:r w:rsidRPr="00351280">
          <w:rPr>
            <w:rStyle w:val="Collegamentoipertestuale"/>
          </w:rPr>
          <w:t>www.federalismi.it</w:t>
        </w:r>
      </w:hyperlink>
      <w:r>
        <w:t>), n. 16/2018 (1 agosto 2018).</w:t>
      </w:r>
    </w:p>
  </w:footnote>
  <w:footnote w:id="8">
    <w:p w:rsidR="00C7399A" w:rsidRPr="00070326" w:rsidRDefault="00C7399A">
      <w:pPr>
        <w:pStyle w:val="Testonotaapidipagina"/>
        <w:rPr>
          <w:lang w:val="fr-FR"/>
        </w:rPr>
      </w:pPr>
      <w:r>
        <w:rPr>
          <w:rStyle w:val="Rimandonotaapidipagina"/>
        </w:rPr>
        <w:footnoteRef/>
      </w:r>
      <w:r w:rsidRPr="00070326">
        <w:rPr>
          <w:lang w:val="fr-FR"/>
        </w:rPr>
        <w:t xml:space="preserve"> Corte cost., sent. 14 dicembre 2017, n. 269.</w:t>
      </w:r>
    </w:p>
  </w:footnote>
  <w:footnote w:id="9">
    <w:p w:rsidR="00C7399A" w:rsidRPr="009A5B64" w:rsidRDefault="00C7399A">
      <w:pPr>
        <w:pStyle w:val="Testonotaapidipagina"/>
      </w:pPr>
      <w:r>
        <w:rPr>
          <w:rStyle w:val="Rimandonotaapidipagina"/>
        </w:rPr>
        <w:footnoteRef/>
      </w:r>
      <w:r>
        <w:t xml:space="preserve"> Cfr. A. COSENTINO, </w:t>
      </w:r>
      <w:r>
        <w:rPr>
          <w:i/>
        </w:rPr>
        <w:t xml:space="preserve">Doppia pregiudizialità, ordine delle questioni, disordine delle idee, </w:t>
      </w:r>
      <w:r>
        <w:t xml:space="preserve">in </w:t>
      </w:r>
      <w:r>
        <w:rPr>
          <w:i/>
        </w:rPr>
        <w:t xml:space="preserve">Questione giustizia </w:t>
      </w:r>
      <w:r>
        <w:t>(</w:t>
      </w:r>
      <w:hyperlink r:id="rId3" w:history="1">
        <w:r w:rsidRPr="00554E99">
          <w:rPr>
            <w:rStyle w:val="Collegamentoipertestuale"/>
          </w:rPr>
          <w:t>www.questionegiustizia.it</w:t>
        </w:r>
      </w:hyperlink>
      <w:r>
        <w:t>), 6 febbraio 2020, secondo cui nel quadro successivo alla sentenza Granital “</w:t>
      </w:r>
      <w:r>
        <w:rPr>
          <w:i/>
        </w:rPr>
        <w:t>il treno per Lussemburgo aveva sempre la precedenza sul treno per Roma</w:t>
      </w:r>
      <w:r>
        <w:t>”.</w:t>
      </w:r>
    </w:p>
  </w:footnote>
  <w:footnote w:id="10">
    <w:p w:rsidR="00C7399A" w:rsidRPr="008E6CAF" w:rsidRDefault="00C7399A">
      <w:pPr>
        <w:pStyle w:val="Testonotaapidipagina"/>
        <w:rPr>
          <w:lang w:val="en-US"/>
        </w:rPr>
      </w:pPr>
      <w:r>
        <w:rPr>
          <w:rStyle w:val="Rimandonotaapidipagina"/>
        </w:rPr>
        <w:footnoteRef/>
      </w:r>
      <w:r w:rsidRPr="008E6CAF">
        <w:rPr>
          <w:lang w:val="en-US"/>
        </w:rPr>
        <w:t xml:space="preserve"> Corte cost., sent. 8 giugno 1984, n. 170.</w:t>
      </w:r>
    </w:p>
  </w:footnote>
  <w:footnote w:id="11">
    <w:p w:rsidR="00C7399A" w:rsidRDefault="00C7399A">
      <w:pPr>
        <w:pStyle w:val="Testonotaapidipagina"/>
      </w:pPr>
      <w:r>
        <w:rPr>
          <w:rStyle w:val="Rimandonotaapidipagina"/>
        </w:rPr>
        <w:footnoteRef/>
      </w:r>
      <w:r>
        <w:t xml:space="preserve"> Come è noto, il fondamento teorico della nozione di efficacia diretta delle norme europee si rinviene nella sentenza della Corte di giustizia 5 febbraio 1963, causa C-26/62, </w:t>
      </w:r>
      <w:r>
        <w:rPr>
          <w:i/>
        </w:rPr>
        <w:t>Van Gend &amp; Loos</w:t>
      </w:r>
      <w:r>
        <w:t xml:space="preserve">. Per una più ampia trattazione sul punto, cfr. M.P. CHITI, </w:t>
      </w:r>
      <w:r w:rsidRPr="00A43592">
        <w:rPr>
          <w:i/>
        </w:rPr>
        <w:t>Diritto amministrativo europeo,</w:t>
      </w:r>
      <w:r>
        <w:t xml:space="preserve"> Milano, 2011, 90 ss.</w:t>
      </w:r>
      <w:r w:rsidR="008A6CC4">
        <w:t>.</w:t>
      </w:r>
    </w:p>
  </w:footnote>
  <w:footnote w:id="12">
    <w:p w:rsidR="00C7399A" w:rsidRDefault="00C7399A">
      <w:pPr>
        <w:pStyle w:val="Testonotaapidipagina"/>
      </w:pPr>
      <w:r>
        <w:rPr>
          <w:rStyle w:val="Rimandonotaapidipagina"/>
        </w:rPr>
        <w:footnoteRef/>
      </w:r>
      <w:r>
        <w:t xml:space="preserve"> Corte cost., sent. 19 novembre 1987, n. 399, e giurisprudenza successiva.</w:t>
      </w:r>
    </w:p>
  </w:footnote>
  <w:footnote w:id="13">
    <w:p w:rsidR="00C7399A" w:rsidRPr="00AD7DE7" w:rsidRDefault="00C7399A">
      <w:pPr>
        <w:pStyle w:val="Testonotaapidipagina"/>
      </w:pPr>
      <w:r>
        <w:rPr>
          <w:rStyle w:val="Rimandonotaapidipagina"/>
        </w:rPr>
        <w:footnoteRef/>
      </w:r>
      <w:r>
        <w:t xml:space="preserve"> Il tema dei controlimiti, con le connesse criticità, non può essere approfondito in questa sede, dove viene in rilievo soltanto tangenzialmente. Sul punto, cfr. R. GIOVAGNOLI, </w:t>
      </w:r>
      <w:r>
        <w:rPr>
          <w:i/>
        </w:rPr>
        <w:t xml:space="preserve">Rapporti tra diritto interno e diritto sovranazionale: è ancora attuale la teoria dei controlimiti?, </w:t>
      </w:r>
      <w:r>
        <w:t xml:space="preserve">in </w:t>
      </w:r>
      <w:hyperlink r:id="rId4" w:history="1">
        <w:r w:rsidRPr="00554E99">
          <w:rPr>
            <w:rStyle w:val="Collegamentoipertestuale"/>
          </w:rPr>
          <w:t>www.giustizia-amministrativa.it</w:t>
        </w:r>
      </w:hyperlink>
      <w:r>
        <w:t xml:space="preserve">, 7 aprile 2022; A. LO CALZO, </w:t>
      </w:r>
      <w:r w:rsidRPr="00AD7DE7">
        <w:rPr>
          <w:rStyle w:val="Enfasicorsivo"/>
          <w:color w:val="000000"/>
          <w:shd w:val="clear" w:color="auto" w:fill="FFFFFF"/>
        </w:rPr>
        <w:t>Dagli approdi giurisprudenziali della Corte costituzionale in tema di controlimiti alle recenti tendenze nel dialogo con le Corti nel contesto europeo</w:t>
      </w:r>
      <w:r>
        <w:rPr>
          <w:rStyle w:val="Enfasicorsivo"/>
          <w:color w:val="000000"/>
          <w:shd w:val="clear" w:color="auto" w:fill="FFFFFF"/>
        </w:rPr>
        <w:t xml:space="preserve">, </w:t>
      </w:r>
      <w:r>
        <w:rPr>
          <w:rStyle w:val="Enfasicorsivo"/>
          <w:i w:val="0"/>
          <w:color w:val="000000"/>
          <w:shd w:val="clear" w:color="auto" w:fill="FFFFFF"/>
        </w:rPr>
        <w:t xml:space="preserve">in </w:t>
      </w:r>
      <w:r>
        <w:rPr>
          <w:rStyle w:val="Enfasicorsivo"/>
          <w:color w:val="000000"/>
          <w:shd w:val="clear" w:color="auto" w:fill="FFFFFF"/>
        </w:rPr>
        <w:t xml:space="preserve">Federalismi.it </w:t>
      </w:r>
      <w:r>
        <w:rPr>
          <w:rStyle w:val="Enfasicorsivo"/>
          <w:i w:val="0"/>
          <w:color w:val="000000"/>
          <w:shd w:val="clear" w:color="auto" w:fill="FFFFFF"/>
        </w:rPr>
        <w:t>(</w:t>
      </w:r>
      <w:hyperlink r:id="rId5" w:history="1">
        <w:r w:rsidRPr="004F0290">
          <w:rPr>
            <w:rStyle w:val="Collegamentoipertestuale"/>
            <w:shd w:val="clear" w:color="auto" w:fill="FFFFFF"/>
          </w:rPr>
          <w:t>www.federalismi.it</w:t>
        </w:r>
      </w:hyperlink>
      <w:r>
        <w:rPr>
          <w:rStyle w:val="Enfasicorsivo"/>
          <w:i w:val="0"/>
          <w:color w:val="000000"/>
          <w:shd w:val="clear" w:color="auto" w:fill="FFFFFF"/>
        </w:rPr>
        <w:t xml:space="preserve">), 13 gennaio 2022; M. LUCIANI, </w:t>
      </w:r>
      <w:r>
        <w:rPr>
          <w:rStyle w:val="Enfasicorsivo"/>
          <w:color w:val="000000"/>
          <w:shd w:val="clear" w:color="auto" w:fill="FFFFFF"/>
        </w:rPr>
        <w:t xml:space="preserve">I controlimiti e l’eterogenesi dei fini, </w:t>
      </w:r>
      <w:r>
        <w:rPr>
          <w:rStyle w:val="Enfasicorsivo"/>
          <w:i w:val="0"/>
          <w:color w:val="000000"/>
          <w:shd w:val="clear" w:color="auto" w:fill="FFFFFF"/>
        </w:rPr>
        <w:t xml:space="preserve">in </w:t>
      </w:r>
      <w:r>
        <w:rPr>
          <w:rStyle w:val="Enfasicorsivo"/>
          <w:color w:val="000000"/>
          <w:shd w:val="clear" w:color="auto" w:fill="FFFFFF"/>
        </w:rPr>
        <w:t xml:space="preserve">Questione giustizia </w:t>
      </w:r>
      <w:r>
        <w:rPr>
          <w:rStyle w:val="Enfasicorsivo"/>
          <w:i w:val="0"/>
          <w:color w:val="000000"/>
          <w:shd w:val="clear" w:color="auto" w:fill="FFFFFF"/>
        </w:rPr>
        <w:t>(</w:t>
      </w:r>
      <w:hyperlink r:id="rId6" w:history="1">
        <w:r w:rsidR="004E6E01" w:rsidRPr="000209A1">
          <w:rPr>
            <w:rStyle w:val="Collegamentoipertestuale"/>
            <w:shd w:val="clear" w:color="auto" w:fill="FFFFFF"/>
          </w:rPr>
          <w:t>www.questionegiustizia.it</w:t>
        </w:r>
      </w:hyperlink>
      <w:r>
        <w:rPr>
          <w:rStyle w:val="Enfasicorsivo"/>
          <w:i w:val="0"/>
          <w:color w:val="000000"/>
          <w:shd w:val="clear" w:color="auto" w:fill="FFFFFF"/>
        </w:rPr>
        <w:t>), n. 1/2015.</w:t>
      </w:r>
    </w:p>
  </w:footnote>
  <w:footnote w:id="14">
    <w:p w:rsidR="00C7399A" w:rsidRDefault="00C7399A">
      <w:pPr>
        <w:pStyle w:val="Testonotaapidipagina"/>
      </w:pPr>
      <w:r>
        <w:rPr>
          <w:rStyle w:val="Rimandonotaapidipagina"/>
        </w:rPr>
        <w:footnoteRef/>
      </w:r>
      <w:r>
        <w:t xml:space="preserve"> Così Corte cost., sent. 4 luglio 2007, n. 284.</w:t>
      </w:r>
    </w:p>
  </w:footnote>
  <w:footnote w:id="15">
    <w:p w:rsidR="00C7399A" w:rsidRPr="003F002C" w:rsidRDefault="00C7399A">
      <w:pPr>
        <w:pStyle w:val="Testonotaapidipagina"/>
      </w:pPr>
      <w:r>
        <w:rPr>
          <w:rStyle w:val="Rimandonotaapidipagina"/>
        </w:rPr>
        <w:footnoteRef/>
      </w:r>
      <w:r>
        <w:t xml:space="preserve"> La costruzione a sostegno dell’inammissibilità delle questioni di legittimità costituzionale sollevate per ritenuto contrasto con norme europee, nel senso di un “arretramento” della norma interna laddove fosse presente una norma comunitaria con essa confliggente, prestava il fianco a critiche sotto più punti di vista: sul piano teorico, perché perpetuava un’idea di assoluta “</w:t>
      </w:r>
      <w:r>
        <w:rPr>
          <w:i/>
        </w:rPr>
        <w:t>separatezza</w:t>
      </w:r>
      <w:r>
        <w:t>” tra l’ordinamento nazionale e l’ordinamento comunitario che si scontrava con l’evidente compenetrazione e integrazione tra di essi,</w:t>
      </w:r>
      <w:r>
        <w:rPr>
          <w:i/>
        </w:rPr>
        <w:t xml:space="preserve"> </w:t>
      </w:r>
      <w:r>
        <w:t xml:space="preserve">anche al di là del contrasto teorico fra concezioni “moniste” e “dualiste” dei rapporti fra i due ordinamenti (cfr. A. PACE, </w:t>
      </w:r>
      <w:r>
        <w:rPr>
          <w:i/>
        </w:rPr>
        <w:t xml:space="preserve">La sentenza Granital, ventitré anni dopo, </w:t>
      </w:r>
      <w:r>
        <w:t xml:space="preserve">in </w:t>
      </w:r>
      <w:r>
        <w:rPr>
          <w:i/>
        </w:rPr>
        <w:t xml:space="preserve">Studi integraz. eur., </w:t>
      </w:r>
      <w:r>
        <w:t>2007, 3, 451 ss.); sul piano pratico, la “semplice</w:t>
      </w:r>
      <w:r w:rsidR="004E6E01">
        <w:t>”</w:t>
      </w:r>
      <w:r>
        <w:t xml:space="preserve"> disapplicazione era comunque una soluzione insoddisfacente per la certezza del diritto, permanendo spazi di possibile perdurante applicazione della norma anticomunitaria da parte di altri giudici e delle amministrazioni, fino a un auspicabile ma non sicuro intervento abrogativo da parte del legislatore (cfr. M.P. CHITI, </w:t>
      </w:r>
      <w:r>
        <w:rPr>
          <w:i/>
        </w:rPr>
        <w:t xml:space="preserve">op. cit., </w:t>
      </w:r>
      <w:r>
        <w:t>111 ss., che richiama la giurisprudenza della Corte di giustizia sul punto).</w:t>
      </w:r>
    </w:p>
  </w:footnote>
  <w:footnote w:id="16">
    <w:p w:rsidR="00C7399A" w:rsidRPr="008B6766" w:rsidRDefault="00C7399A">
      <w:pPr>
        <w:pStyle w:val="Testonotaapidipagina"/>
      </w:pPr>
      <w:r>
        <w:rPr>
          <w:rStyle w:val="Rimandonotaapidipagina"/>
        </w:rPr>
        <w:footnoteRef/>
      </w:r>
      <w:r>
        <w:t xml:space="preserve"> Non può essere approfondita, in questa sede, l’ulteriore problematica relativa all’ammissibilità del doppio rinvio contestuale ed ai suoi possibili effetti sulla cognizione dell’una e dell’altra delle Corti investite delle questioni incidentali: va però sottolineato che, a fronte di un originario atteggiamento di chiusura che induceva la Corte costituzionale a ritenere inammissibile, per intrinseca contraddittorietà, la questione di legittimità costituzionale sollevata qualora contestualmente il giudice rimettente avesse attivato anche il rinvio pregiudiziale dinanzi alla Corte di giustizia (cfr. Corte cost., ord. 21 marzo 2002, n. 85), la giurisprudenza più recente ha mostrato segnali di una posizione quanto meno “possibilista”: sul tema, cfr. G. REPETTO, </w:t>
      </w:r>
      <w:r>
        <w:rPr>
          <w:i/>
        </w:rPr>
        <w:t xml:space="preserve">Sentenza 269 e doppia pregiudizialità nell’evoluzione della giurisprudenza della Corte costituzionale, </w:t>
      </w:r>
      <w:r>
        <w:t xml:space="preserve">in </w:t>
      </w:r>
      <w:r>
        <w:rPr>
          <w:i/>
        </w:rPr>
        <w:t>Eurojus</w:t>
      </w:r>
      <w:r w:rsidR="00B851FA">
        <w:rPr>
          <w:i/>
        </w:rPr>
        <w:t xml:space="preserve"> </w:t>
      </w:r>
      <w:r w:rsidR="00B851FA">
        <w:t>(</w:t>
      </w:r>
      <w:hyperlink r:id="rId7" w:history="1">
        <w:r w:rsidR="00B851FA" w:rsidRPr="000209A1">
          <w:rPr>
            <w:rStyle w:val="Collegamentoipertestuale"/>
          </w:rPr>
          <w:t>www.rivista.eurojus.it</w:t>
        </w:r>
      </w:hyperlink>
      <w:r w:rsidR="00B851FA">
        <w:t>),</w:t>
      </w:r>
      <w:r>
        <w:rPr>
          <w:i/>
        </w:rPr>
        <w:t xml:space="preserve"> </w:t>
      </w:r>
      <w:r>
        <w:t>n. 2/2022, 321 ss.</w:t>
      </w:r>
      <w:r w:rsidR="004E6E01">
        <w:t>.</w:t>
      </w:r>
    </w:p>
  </w:footnote>
  <w:footnote w:id="17">
    <w:p w:rsidR="00C7399A" w:rsidRPr="008B6766" w:rsidRDefault="00C7399A">
      <w:pPr>
        <w:pStyle w:val="Testonotaapidipagina"/>
      </w:pPr>
      <w:r>
        <w:rPr>
          <w:rStyle w:val="Rimandonotaapidipagina"/>
        </w:rPr>
        <w:footnoteRef/>
      </w:r>
      <w:r>
        <w:t xml:space="preserve"> Cfr. M.P. CHITI, </w:t>
      </w:r>
      <w:r>
        <w:rPr>
          <w:i/>
        </w:rPr>
        <w:t xml:space="preserve">op. cit., </w:t>
      </w:r>
      <w:r>
        <w:t xml:space="preserve">642, nonché R. ROMBOLI, </w:t>
      </w:r>
      <w:r w:rsidRPr="008B6766">
        <w:rPr>
          <w:i/>
        </w:rPr>
        <w:t>Corte di giustizia e giudici nazionali: il rinvio pregiudiziale come strumento di dialogo</w:t>
      </w:r>
      <w:r>
        <w:rPr>
          <w:i/>
        </w:rPr>
        <w:t xml:space="preserve">, </w:t>
      </w:r>
      <w:r>
        <w:t xml:space="preserve">in </w:t>
      </w:r>
      <w:r>
        <w:rPr>
          <w:i/>
        </w:rPr>
        <w:t xml:space="preserve">Rivista AIC, </w:t>
      </w:r>
      <w:r>
        <w:t>2014, 1 ss.</w:t>
      </w:r>
      <w:r w:rsidR="004E6E01">
        <w:t>.</w:t>
      </w:r>
    </w:p>
  </w:footnote>
  <w:footnote w:id="18">
    <w:p w:rsidR="00C7399A" w:rsidRDefault="00C7399A">
      <w:pPr>
        <w:pStyle w:val="Testonotaapidipagina"/>
      </w:pPr>
      <w:r>
        <w:rPr>
          <w:rStyle w:val="Rimandonotaapidipagina"/>
        </w:rPr>
        <w:footnoteRef/>
      </w:r>
      <w:r>
        <w:t xml:space="preserve"> Cfr., fra le più recenti, Corte cost., sent. 13 giugno 2010, n. 227.</w:t>
      </w:r>
    </w:p>
  </w:footnote>
  <w:footnote w:id="19">
    <w:p w:rsidR="00C7399A" w:rsidRPr="003E28B7" w:rsidRDefault="00C7399A">
      <w:pPr>
        <w:pStyle w:val="Testonotaapidipagina"/>
      </w:pPr>
      <w:r>
        <w:rPr>
          <w:rStyle w:val="Rimandonotaapidipagina"/>
        </w:rPr>
        <w:footnoteRef/>
      </w:r>
      <w:r>
        <w:t xml:space="preserve"> Tale possibilità, riconosciuta inizialmente per il caso specifico dei giudizi di costituzionalità promossi in via principale (cfr. ord. 15 aprile 2008, n. 103), è stata poi estesa anche ai giudizi promossi in via incidentale (cfr. ord. 3 luglio 2013, n. 207), dopo che la Corte aveva per lungo tempo negato di potersi qualificare come “</w:t>
      </w:r>
      <w:r>
        <w:rPr>
          <w:i/>
        </w:rPr>
        <w:t>giurisdizione nazionale</w:t>
      </w:r>
      <w:r>
        <w:t>”, ai sensi dell’allora articolo 177 del Trattato, in ragione della propria “</w:t>
      </w:r>
      <w:r>
        <w:rPr>
          <w:i/>
        </w:rPr>
        <w:t>funzione di controllo costituzionale, di suprema garanzia dell’osservanza della Costituzione</w:t>
      </w:r>
      <w:r>
        <w:t>”, non riducibile nei termini di una “mera” giurisdizione (</w:t>
      </w:r>
      <w:r w:rsidR="004E6E01">
        <w:t xml:space="preserve">cfr., ad esempio, </w:t>
      </w:r>
      <w:r>
        <w:t>ord. 29 dicembre 1995, n. 536).</w:t>
      </w:r>
    </w:p>
  </w:footnote>
  <w:footnote w:id="20">
    <w:p w:rsidR="00C7399A" w:rsidRDefault="00C7399A">
      <w:pPr>
        <w:pStyle w:val="Testonotaapidipagina"/>
      </w:pPr>
      <w:r>
        <w:rPr>
          <w:rStyle w:val="Rimandonotaapidipagina"/>
        </w:rPr>
        <w:footnoteRef/>
      </w:r>
      <w:r>
        <w:t xml:space="preserve"> Adottata ed indi “proclamata” dai Presidenti del parlamento, del Consiglio e della Commissione europea in occasione del Consiglio europeo di Nizza del dicembre 2000, sulla base del testo elaborato da un’apposita Convenzione, la Carta è stata adottata nuovamente dal Parlamento europeo, con lievi modifiche, e quindi “riproclamata” nel novembre 2007.</w:t>
      </w:r>
    </w:p>
  </w:footnote>
  <w:footnote w:id="21">
    <w:p w:rsidR="00C7399A" w:rsidRPr="003D2934" w:rsidRDefault="00C7399A">
      <w:pPr>
        <w:pStyle w:val="Testonotaapidipagina"/>
      </w:pPr>
      <w:r>
        <w:rPr>
          <w:rStyle w:val="Rimandonotaapidipagina"/>
        </w:rPr>
        <w:footnoteRef/>
      </w:r>
      <w:r>
        <w:t xml:space="preserve"> Non è questa la sede per approfondire il tema della rilevanza e dell’efficacia della Carta dei diritti rispetto agli ordinamenti nazionali: sul punto, tra i più recenti, cfr. B. NASCIMBENE, </w:t>
      </w:r>
      <w:r>
        <w:rPr>
          <w:i/>
        </w:rPr>
        <w:t xml:space="preserve">Carta dei diritti fondamentali, applicabilità e rapporto fra giudici: la necessità di una tutela integrata, </w:t>
      </w:r>
      <w:r>
        <w:t xml:space="preserve">in </w:t>
      </w:r>
      <w:r>
        <w:rPr>
          <w:i/>
        </w:rPr>
        <w:t xml:space="preserve">European Papers, </w:t>
      </w:r>
      <w:r>
        <w:t xml:space="preserve">2021, 6, 81 ss.; A. ADINOLFI, </w:t>
      </w:r>
      <w:r w:rsidRPr="003D2934">
        <w:rPr>
          <w:i/>
        </w:rPr>
        <w:t>La rilevanza della Carta dei diritti fondamentali nella giurisprudenza interna: qualche riflessione per un tentativo di ricostruzione sistematica</w:t>
      </w:r>
      <w:r>
        <w:rPr>
          <w:i/>
        </w:rPr>
        <w:t xml:space="preserve">, </w:t>
      </w:r>
      <w:r>
        <w:t xml:space="preserve">in </w:t>
      </w:r>
      <w:r>
        <w:rPr>
          <w:i/>
        </w:rPr>
        <w:t xml:space="preserve">Studi integraz. eur., </w:t>
      </w:r>
      <w:r>
        <w:t xml:space="preserve">2018, 29 ss.; N. LAZZERINI, </w:t>
      </w:r>
      <w:r w:rsidRPr="003D2934">
        <w:rPr>
          <w:i/>
        </w:rPr>
        <w:t>La Carta dei diritti fondamentali dell’unione europea: I limiti di applicazione</w:t>
      </w:r>
      <w:r>
        <w:rPr>
          <w:i/>
        </w:rPr>
        <w:t xml:space="preserve">, </w:t>
      </w:r>
      <w:r>
        <w:t>Milano, 2018.</w:t>
      </w:r>
    </w:p>
  </w:footnote>
  <w:footnote w:id="22">
    <w:p w:rsidR="00C7399A" w:rsidRPr="0085684A" w:rsidRDefault="00C7399A">
      <w:pPr>
        <w:pStyle w:val="Testonotaapidipagina"/>
      </w:pPr>
      <w:r>
        <w:rPr>
          <w:rStyle w:val="Rimandonotaapidipagina"/>
        </w:rPr>
        <w:footnoteRef/>
      </w:r>
      <w:r>
        <w:t xml:space="preserve"> Cfr. G. REPETTO, </w:t>
      </w:r>
      <w:r>
        <w:rPr>
          <w:i/>
        </w:rPr>
        <w:t xml:space="preserve">op. cit., </w:t>
      </w:r>
      <w:r>
        <w:t>314 (con richiami di giurisprudenza).</w:t>
      </w:r>
    </w:p>
  </w:footnote>
  <w:footnote w:id="23">
    <w:p w:rsidR="00C7399A" w:rsidRPr="003650FF" w:rsidRDefault="00C7399A">
      <w:pPr>
        <w:pStyle w:val="Testonotaapidipagina"/>
      </w:pPr>
      <w:r>
        <w:rPr>
          <w:rStyle w:val="Rimandonotaapidipagina"/>
        </w:rPr>
        <w:footnoteRef/>
      </w:r>
      <w:r>
        <w:t xml:space="preserve"> Sulla distinzione tra regole e principi, cfr. la ricostruzione del dibattito teorico che animò la dottrina nei primi decenni del Novecento in G. MONTEDORO, </w:t>
      </w:r>
      <w:r>
        <w:rPr>
          <w:i/>
        </w:rPr>
        <w:t xml:space="preserve">La funzione nomofilattica e ordinante e i principi ispiratori del nuovo codice dei contratti pubblici, </w:t>
      </w:r>
      <w:r>
        <w:t xml:space="preserve">in </w:t>
      </w:r>
      <w:hyperlink r:id="rId8" w:history="1">
        <w:r w:rsidRPr="00554E99">
          <w:rPr>
            <w:rStyle w:val="Collegamentoipertestuale"/>
          </w:rPr>
          <w:t>www.giustizia-amministrativa.it</w:t>
        </w:r>
      </w:hyperlink>
      <w:r>
        <w:t>, 1 giugno 2023.</w:t>
      </w:r>
    </w:p>
  </w:footnote>
  <w:footnote w:id="24">
    <w:p w:rsidR="00C7399A" w:rsidRPr="0085684A" w:rsidRDefault="00C7399A">
      <w:pPr>
        <w:pStyle w:val="Testonotaapidipagina"/>
      </w:pPr>
      <w:r>
        <w:rPr>
          <w:rStyle w:val="Rimandonotaapidipagina"/>
        </w:rPr>
        <w:footnoteRef/>
      </w:r>
      <w:r>
        <w:t xml:space="preserve"> Sul punto, cfr. A. BARBERA, </w:t>
      </w:r>
      <w:r>
        <w:rPr>
          <w:i/>
        </w:rPr>
        <w:t xml:space="preserve">La Carta dei diritti: per un dialogo fra la Corte italiana e la Corte di Giustizia, </w:t>
      </w:r>
      <w:r>
        <w:t xml:space="preserve">in </w:t>
      </w:r>
      <w:r>
        <w:rPr>
          <w:i/>
        </w:rPr>
        <w:t xml:space="preserve">Rivista AIC, </w:t>
      </w:r>
      <w:r>
        <w:t>2017, 4, 2.</w:t>
      </w:r>
    </w:p>
  </w:footnote>
  <w:footnote w:id="25">
    <w:p w:rsidR="00C7399A" w:rsidRPr="00D52711" w:rsidRDefault="00C7399A">
      <w:pPr>
        <w:pStyle w:val="Testonotaapidipagina"/>
      </w:pPr>
      <w:r>
        <w:rPr>
          <w:rStyle w:val="Rimandonotaapidipagina"/>
        </w:rPr>
        <w:footnoteRef/>
      </w:r>
      <w:r>
        <w:t xml:space="preserve"> Cfr. M.P. CHITI, </w:t>
      </w:r>
      <w:r>
        <w:rPr>
          <w:i/>
        </w:rPr>
        <w:t xml:space="preserve">op. cit., </w:t>
      </w:r>
      <w:r>
        <w:t>102-103.</w:t>
      </w:r>
    </w:p>
  </w:footnote>
  <w:footnote w:id="26">
    <w:p w:rsidR="00C7399A" w:rsidRPr="008E6CAF" w:rsidRDefault="00C7399A">
      <w:pPr>
        <w:pStyle w:val="Testonotaapidipagina"/>
      </w:pPr>
      <w:r>
        <w:rPr>
          <w:rStyle w:val="Rimandonotaapidipagina"/>
        </w:rPr>
        <w:footnoteRef/>
      </w:r>
      <w:r>
        <w:t xml:space="preserve"> Cfr. G. REPETTO, </w:t>
      </w:r>
      <w:r>
        <w:rPr>
          <w:i/>
        </w:rPr>
        <w:t xml:space="preserve">op. e loc. cit., </w:t>
      </w:r>
      <w:r>
        <w:t>che richiama le posizioni dell’epoca del Tribunale costituzionale federale tedesco.</w:t>
      </w:r>
    </w:p>
  </w:footnote>
  <w:footnote w:id="27">
    <w:p w:rsidR="00C7399A" w:rsidRPr="00486E01" w:rsidRDefault="00C7399A">
      <w:pPr>
        <w:pStyle w:val="Testonotaapidipagina"/>
        <w:rPr>
          <w:lang w:val="en-US"/>
        </w:rPr>
      </w:pPr>
      <w:r>
        <w:rPr>
          <w:rStyle w:val="Rimandonotaapidipagina"/>
        </w:rPr>
        <w:footnoteRef/>
      </w:r>
      <w:r>
        <w:t xml:space="preserve"> Cfr., ad esempio, Corte cost., sent. </w:t>
      </w:r>
      <w:r w:rsidRPr="00486E01">
        <w:rPr>
          <w:lang w:val="en-US"/>
        </w:rPr>
        <w:t>5 febbraio 2020, n. 11.</w:t>
      </w:r>
    </w:p>
  </w:footnote>
  <w:footnote w:id="28">
    <w:p w:rsidR="00C7399A" w:rsidRPr="00486E01" w:rsidRDefault="00C7399A">
      <w:pPr>
        <w:pStyle w:val="Testonotaapidipagina"/>
      </w:pPr>
      <w:r>
        <w:rPr>
          <w:rStyle w:val="Rimandonotaapidipagina"/>
        </w:rPr>
        <w:footnoteRef/>
      </w:r>
      <w:r w:rsidRPr="006B1D1F">
        <w:rPr>
          <w:lang w:val="en-US"/>
        </w:rPr>
        <w:t xml:space="preserve"> Cfr. Corte cost., sent. </w:t>
      </w:r>
      <w:r w:rsidRPr="00486E01">
        <w:t>21 febbraio 2019, n. 20.</w:t>
      </w:r>
    </w:p>
  </w:footnote>
  <w:footnote w:id="29">
    <w:p w:rsidR="00C7399A" w:rsidRDefault="00C7399A">
      <w:pPr>
        <w:pStyle w:val="Testonotaapidipagina"/>
      </w:pPr>
      <w:r>
        <w:rPr>
          <w:rStyle w:val="Rimandonotaapidipagina"/>
        </w:rPr>
        <w:footnoteRef/>
      </w:r>
      <w:r>
        <w:t xml:space="preserve"> Cfr. ad esempio Corte cost., ord. 10 maggio 2019, n. 117.</w:t>
      </w:r>
    </w:p>
  </w:footnote>
  <w:footnote w:id="30">
    <w:p w:rsidR="00C7399A" w:rsidRPr="0067671D" w:rsidRDefault="00C7399A">
      <w:pPr>
        <w:pStyle w:val="Testonotaapidipagina"/>
        <w:rPr>
          <w:i/>
        </w:rPr>
      </w:pPr>
      <w:r>
        <w:rPr>
          <w:rStyle w:val="Rimandonotaapidipagina"/>
        </w:rPr>
        <w:footnoteRef/>
      </w:r>
      <w:r>
        <w:t xml:space="preserve"> Cfr. Corte di giustizia UE, sent. 20 dicembre 2017, causa C-322/16, </w:t>
      </w:r>
      <w:r>
        <w:rPr>
          <w:i/>
        </w:rPr>
        <w:t>Global Starned Ltd.</w:t>
      </w:r>
    </w:p>
  </w:footnote>
  <w:footnote w:id="31">
    <w:p w:rsidR="00C7399A" w:rsidRPr="006B1FED" w:rsidRDefault="00C7399A">
      <w:pPr>
        <w:pStyle w:val="Testonotaapidipagina"/>
      </w:pPr>
      <w:r>
        <w:rPr>
          <w:rStyle w:val="Rimandonotaapidipagina"/>
        </w:rPr>
        <w:footnoteRef/>
      </w:r>
      <w:r>
        <w:t xml:space="preserve"> Su quest’ultimo punto, cfr. L.S. ROSSI, </w:t>
      </w:r>
      <w:r>
        <w:rPr>
          <w:i/>
        </w:rPr>
        <w:t xml:space="preserve">op. cit., </w:t>
      </w:r>
      <w:r>
        <w:t>10-11.</w:t>
      </w:r>
    </w:p>
  </w:footnote>
  <w:footnote w:id="32">
    <w:p w:rsidR="00C7399A" w:rsidRPr="006B1FED" w:rsidRDefault="00C7399A">
      <w:pPr>
        <w:pStyle w:val="Testonotaapidipagina"/>
      </w:pPr>
      <w:r>
        <w:rPr>
          <w:rStyle w:val="Rimandonotaapidipagina"/>
        </w:rPr>
        <w:footnoteRef/>
      </w:r>
      <w:r>
        <w:t xml:space="preserve"> Si vedano le pronunce della Corte di cassazione citate da L.S. ROSSI, </w:t>
      </w:r>
      <w:r>
        <w:rPr>
          <w:i/>
        </w:rPr>
        <w:t xml:space="preserve">op. cit., </w:t>
      </w:r>
      <w:r>
        <w:t>5 ss..</w:t>
      </w:r>
    </w:p>
  </w:footnote>
  <w:footnote w:id="33">
    <w:p w:rsidR="00C7399A" w:rsidRPr="0028313D" w:rsidRDefault="00C7399A">
      <w:pPr>
        <w:pStyle w:val="Testonotaapidipagina"/>
      </w:pPr>
      <w:r>
        <w:rPr>
          <w:rStyle w:val="Rimandonotaapidipagina"/>
        </w:rPr>
        <w:footnoteRef/>
      </w:r>
      <w:r>
        <w:t xml:space="preserve"> Come ad esempio il “</w:t>
      </w:r>
      <w:r>
        <w:rPr>
          <w:i/>
        </w:rPr>
        <w:t>principio di prossimità</w:t>
      </w:r>
      <w:r>
        <w:t xml:space="preserve">” evocato da R. MASTROIANNI, </w:t>
      </w:r>
      <w:r>
        <w:rPr>
          <w:i/>
        </w:rPr>
        <w:t xml:space="preserve">Sui rapporti tra Carte e Corti: nuovi sviluppi nella ricerca di un sistema rapido ed efficace di tutela dei diritti fondamentali, </w:t>
      </w:r>
      <w:r>
        <w:t xml:space="preserve">in </w:t>
      </w:r>
      <w:r>
        <w:rPr>
          <w:i/>
        </w:rPr>
        <w:t xml:space="preserve">European Papers, </w:t>
      </w:r>
      <w:r>
        <w:t>2020, 493 ss., oppure il criterio del “</w:t>
      </w:r>
      <w:r>
        <w:rPr>
          <w:i/>
        </w:rPr>
        <w:t>centro di gravità</w:t>
      </w:r>
      <w:r>
        <w:t xml:space="preserve">” elaborato da F. FERRARO, </w:t>
      </w:r>
      <w:r>
        <w:rPr>
          <w:i/>
        </w:rPr>
        <w:t xml:space="preserve">Giudice nazionale, centro di gravità e doppia pregiudiziale, </w:t>
      </w:r>
      <w:r>
        <w:t xml:space="preserve">in AA.VV., </w:t>
      </w:r>
      <w:r>
        <w:rPr>
          <w:i/>
        </w:rPr>
        <w:t xml:space="preserve">Annali AISDUE, </w:t>
      </w:r>
      <w:r>
        <w:t>Napoli, 2021, 511 ss..</w:t>
      </w:r>
    </w:p>
  </w:footnote>
  <w:footnote w:id="34">
    <w:p w:rsidR="00C7399A" w:rsidRPr="0028313D" w:rsidRDefault="00C7399A">
      <w:pPr>
        <w:pStyle w:val="Testonotaapidipagina"/>
      </w:pPr>
      <w:r>
        <w:rPr>
          <w:rStyle w:val="Rimandonotaapidipagina"/>
        </w:rPr>
        <w:footnoteRef/>
      </w:r>
      <w:r w:rsidRPr="0028313D">
        <w:t xml:space="preserve"> Cfr. Coste cost., sentt. 8 novembre 2018, n. 194, e </w:t>
      </w:r>
      <w:r>
        <w:t>26 novembre 2020, n. 254.</w:t>
      </w:r>
    </w:p>
  </w:footnote>
  <w:footnote w:id="35">
    <w:p w:rsidR="00C7399A" w:rsidRPr="00ED44D7" w:rsidRDefault="00C7399A">
      <w:pPr>
        <w:pStyle w:val="Testonotaapidipagina"/>
      </w:pPr>
      <w:r>
        <w:rPr>
          <w:rStyle w:val="Rimandonotaapidipagina"/>
        </w:rPr>
        <w:footnoteRef/>
      </w:r>
      <w:r w:rsidRPr="00272FFC">
        <w:t xml:space="preserve"> Cfr. Corte cost., sent. </w:t>
      </w:r>
      <w:r w:rsidRPr="00ED44D7">
        <w:t>21 marzo 2019, n. 63, e ord. n. 117/2019, cit.</w:t>
      </w:r>
    </w:p>
  </w:footnote>
  <w:footnote w:id="36">
    <w:p w:rsidR="00C7399A" w:rsidRDefault="00C7399A">
      <w:pPr>
        <w:pStyle w:val="Testonotaapidipagina"/>
      </w:pPr>
      <w:r>
        <w:rPr>
          <w:rStyle w:val="Rimandonotaapidipagina"/>
        </w:rPr>
        <w:footnoteRef/>
      </w:r>
      <w:r>
        <w:t xml:space="preserve"> Cfr., in particolare, Corte cost., sent. n. 20/2019, cit.</w:t>
      </w:r>
    </w:p>
  </w:footnote>
  <w:footnote w:id="37">
    <w:p w:rsidR="00C7399A" w:rsidRPr="009F3F7B" w:rsidRDefault="00C7399A">
      <w:pPr>
        <w:pStyle w:val="Testonotaapidipagina"/>
      </w:pPr>
      <w:r>
        <w:rPr>
          <w:rStyle w:val="Rimandonotaapidipagina"/>
        </w:rPr>
        <w:footnoteRef/>
      </w:r>
      <w:r>
        <w:t xml:space="preserve"> In questo senso, in definitiva, la Corte apparentemente si pone in linea con i criteri già elaborati dalla dottrina cui si è accennato </w:t>
      </w:r>
      <w:r>
        <w:rPr>
          <w:i/>
        </w:rPr>
        <w:t xml:space="preserve">supra, </w:t>
      </w:r>
      <w:r>
        <w:t>n. 32.</w:t>
      </w:r>
    </w:p>
  </w:footnote>
  <w:footnote w:id="38">
    <w:p w:rsidR="00C7399A" w:rsidRDefault="00C7399A">
      <w:pPr>
        <w:pStyle w:val="Testonotaapidipagina"/>
      </w:pPr>
      <w:r>
        <w:rPr>
          <w:rStyle w:val="Rimandonotaapidipagina"/>
        </w:rPr>
        <w:footnoteRef/>
      </w:r>
      <w:r>
        <w:t xml:space="preserve"> Ci si riferisce al noto scritto di C. MEZZANOTTE, </w:t>
      </w:r>
      <w:r>
        <w:rPr>
          <w:i/>
          <w:iCs/>
          <w:color w:val="000000"/>
        </w:rPr>
        <w:t>Le nozioni di potere e di conflitto nella giurisprudenza della Corte costituzionale</w:t>
      </w:r>
      <w:r>
        <w:rPr>
          <w:color w:val="000000"/>
        </w:rPr>
        <w:t xml:space="preserve">, in </w:t>
      </w:r>
      <w:r>
        <w:rPr>
          <w:i/>
          <w:iCs/>
          <w:color w:val="000000"/>
        </w:rPr>
        <w:t xml:space="preserve">Giur.cost., </w:t>
      </w:r>
      <w:r>
        <w:rPr>
          <w:color w:val="000000"/>
        </w:rPr>
        <w:t xml:space="preserve">1979, I, 110 ss.. Per una critica all’utilità della nozione, cfr. R. BIN, </w:t>
      </w:r>
      <w:r>
        <w:rPr>
          <w:i/>
          <w:iCs/>
          <w:color w:val="000000"/>
        </w:rPr>
        <w:t>L’ultima fortezza. Teoria della costituzione e conflitti di attribuzione</w:t>
      </w:r>
      <w:r>
        <w:rPr>
          <w:color w:val="000000"/>
        </w:rPr>
        <w:t>, Milano 1996, 125 ss..</w:t>
      </w:r>
    </w:p>
  </w:footnote>
  <w:footnote w:id="39">
    <w:p w:rsidR="00C7399A" w:rsidRPr="00CD25A6" w:rsidRDefault="00C7399A">
      <w:pPr>
        <w:pStyle w:val="Testonotaapidipagina"/>
      </w:pPr>
      <w:r>
        <w:rPr>
          <w:rStyle w:val="Rimandonotaapidipagina"/>
        </w:rPr>
        <w:footnoteRef/>
      </w:r>
      <w:r>
        <w:t xml:space="preserve"> In questo senso, cfr. P. DE PASQUALE – O. PALLOTTA, </w:t>
      </w:r>
      <w:r>
        <w:rPr>
          <w:i/>
        </w:rPr>
        <w:t xml:space="preserve">In tempi di sovranismo la Consulta difende il primato dell’Unione europea (e l’autonomia dei giudici), </w:t>
      </w:r>
      <w:r>
        <w:t xml:space="preserve">in </w:t>
      </w:r>
      <w:r>
        <w:rPr>
          <w:i/>
        </w:rPr>
        <w:t xml:space="preserve">Eurojus </w:t>
      </w:r>
      <w:r>
        <w:t>(</w:t>
      </w:r>
      <w:hyperlink r:id="rId9" w:history="1">
        <w:r w:rsidR="00B851FA" w:rsidRPr="000209A1">
          <w:rPr>
            <w:rStyle w:val="Collegamentoipertestuale"/>
          </w:rPr>
          <w:t>www.rivista.eurojus.it</w:t>
        </w:r>
      </w:hyperlink>
      <w:r>
        <w:t>), n. 4/2024, 174 ss..</w:t>
      </w:r>
    </w:p>
  </w:footnote>
  <w:footnote w:id="40">
    <w:p w:rsidR="00C7399A" w:rsidRPr="00220F62" w:rsidRDefault="00C7399A">
      <w:pPr>
        <w:pStyle w:val="Testonotaapidipagina"/>
      </w:pPr>
      <w:r>
        <w:rPr>
          <w:rStyle w:val="Rimandonotaapidipagina"/>
        </w:rPr>
        <w:footnoteRef/>
      </w:r>
      <w:r>
        <w:t xml:space="preserve"> Cfr. G. PITRUZZELLA, </w:t>
      </w:r>
      <w:r>
        <w:rPr>
          <w:i/>
        </w:rPr>
        <w:t xml:space="preserve">La costruzione dello spazio costituzionale europeo nel “dialogo” tra Corte di giustizia e corti costituzionali, Relazione al V Incontro quadrilaterale tra i Tribunali costituzionali di Spagna e Portogallo, la Corte costituzionale italiana e il Consiglio costituzionale di Francia, sul tema “Corti costituzionali, attori del costituzionalismo europeo”, Madrid 26-28 settembre 2024, </w:t>
      </w:r>
      <w:r>
        <w:t xml:space="preserve">in </w:t>
      </w:r>
      <w:r>
        <w:rPr>
          <w:i/>
        </w:rPr>
        <w:t xml:space="preserve">Quaderni costituzionali, </w:t>
      </w:r>
      <w:r>
        <w:t>2024, 795 ss..</w:t>
      </w:r>
    </w:p>
  </w:footnote>
  <w:footnote w:id="41">
    <w:p w:rsidR="00C7399A" w:rsidRPr="002314DE" w:rsidRDefault="00C7399A">
      <w:pPr>
        <w:pStyle w:val="Testonotaapidipagina"/>
        <w:rPr>
          <w:i/>
        </w:rPr>
      </w:pPr>
      <w:r>
        <w:rPr>
          <w:rStyle w:val="Rimandonotaapidipagina"/>
        </w:rPr>
        <w:footnoteRef/>
      </w:r>
      <w:r>
        <w:t xml:space="preserve"> Cfr., fra i tanti, N. ZANON, </w:t>
      </w:r>
      <w:r>
        <w:rPr>
          <w:i/>
        </w:rPr>
        <w:t xml:space="preserve">Il ruolo della Corte costituzionale nella difesa del principio di uguaglianza e degli obblighi europei ex art. 117, primo comma, Cost., </w:t>
      </w:r>
      <w:r>
        <w:t xml:space="preserve">in </w:t>
      </w:r>
      <w:r>
        <w:rPr>
          <w:i/>
        </w:rPr>
        <w:t xml:space="preserve">Federalismi </w:t>
      </w:r>
      <w:r>
        <w:t>(</w:t>
      </w:r>
      <w:hyperlink r:id="rId10" w:history="1">
        <w:r w:rsidRPr="00844CAE">
          <w:rPr>
            <w:rStyle w:val="Collegamentoipertestuale"/>
          </w:rPr>
          <w:t>www.federalismi.it</w:t>
        </w:r>
      </w:hyperlink>
      <w:r>
        <w:t xml:space="preserve">), n. 30/2024, 18 dicembre 2024; B. SBORO, </w:t>
      </w:r>
      <w:r>
        <w:rPr>
          <w:i/>
        </w:rPr>
        <w:t xml:space="preserve">Sindacato accentrato e doppia pregiudiziale di “impatto sistemico” dal “tono costituzionale”. Note a margine di Corte cost., sent. n. 181/2024, </w:t>
      </w:r>
      <w:r>
        <w:t xml:space="preserve">in </w:t>
      </w:r>
      <w:r>
        <w:rPr>
          <w:i/>
        </w:rPr>
        <w:t xml:space="preserve">Riv. contenzioso europeo </w:t>
      </w:r>
      <w:r>
        <w:t>(</w:t>
      </w:r>
      <w:hyperlink r:id="rId11" w:history="1">
        <w:r w:rsidRPr="00844CAE">
          <w:rPr>
            <w:rStyle w:val="Collegamentoipertestuale"/>
          </w:rPr>
          <w:t>europeanlitigation.eu</w:t>
        </w:r>
      </w:hyperlink>
      <w:r>
        <w:t>), n. 1/2025.</w:t>
      </w:r>
      <w:r>
        <w:rPr>
          <w:i/>
        </w:rPr>
        <w:t xml:space="preserve"> </w:t>
      </w:r>
    </w:p>
  </w:footnote>
  <w:footnote w:id="42">
    <w:p w:rsidR="00C7399A" w:rsidRPr="002314DE" w:rsidRDefault="00C7399A">
      <w:pPr>
        <w:pStyle w:val="Testonotaapidipagina"/>
      </w:pPr>
      <w:r>
        <w:rPr>
          <w:rStyle w:val="Rimandonotaapidipagina"/>
        </w:rPr>
        <w:footnoteRef/>
      </w:r>
      <w:r>
        <w:t xml:space="preserve"> Cfr. R. MASTROIANNI, </w:t>
      </w:r>
      <w:r>
        <w:rPr>
          <w:i/>
        </w:rPr>
        <w:t xml:space="preserve">La sentenza della Corte costituzionale n. 181 del 2024 in tema di rapporti tra ordinamenti, ovvero la scomparsa dell’articolo 11 della Costituzione, </w:t>
      </w:r>
      <w:r>
        <w:t xml:space="preserve">in </w:t>
      </w:r>
      <w:r>
        <w:rPr>
          <w:i/>
        </w:rPr>
        <w:t xml:space="preserve">Quaderni AISDUE </w:t>
      </w:r>
      <w:r>
        <w:t>(</w:t>
      </w:r>
      <w:hyperlink r:id="rId12" w:history="1">
        <w:r w:rsidRPr="00844CAE">
          <w:rPr>
            <w:rStyle w:val="Collegamentoipertestuale"/>
          </w:rPr>
          <w:t>www.aisdue.it</w:t>
        </w:r>
      </w:hyperlink>
      <w:r>
        <w:t>), n. 1/2025.</w:t>
      </w:r>
    </w:p>
  </w:footnote>
  <w:footnote w:id="43">
    <w:p w:rsidR="00C7399A" w:rsidRPr="00A80BB8" w:rsidRDefault="00C7399A">
      <w:pPr>
        <w:pStyle w:val="Testonotaapidipagina"/>
      </w:pPr>
      <w:r>
        <w:rPr>
          <w:rStyle w:val="Rimandonotaapidipagina"/>
        </w:rPr>
        <w:footnoteRef/>
      </w:r>
      <w:r>
        <w:t xml:space="preserve"> Cfr. F. FERRARO, </w:t>
      </w:r>
      <w:r>
        <w:rPr>
          <w:i/>
        </w:rPr>
        <w:t xml:space="preserve">La Consulta si affida al “tono costituzionale” per estendere il suo controllo (anche) sulle norme dell’Unione provviste di effetto diretto, </w:t>
      </w:r>
      <w:r>
        <w:t xml:space="preserve">in </w:t>
      </w:r>
      <w:r>
        <w:rPr>
          <w:i/>
        </w:rPr>
        <w:t xml:space="preserve">Eurojus </w:t>
      </w:r>
      <w:r>
        <w:t>(</w:t>
      </w:r>
      <w:hyperlink r:id="rId13" w:history="1">
        <w:r w:rsidRPr="00844CAE">
          <w:rPr>
            <w:rStyle w:val="Collegamentoipertestuale"/>
          </w:rPr>
          <w:t>www.rivista.eurojus.it</w:t>
        </w:r>
      </w:hyperlink>
      <w:r>
        <w:t>), 2024, 4, 160 ss.</w:t>
      </w:r>
    </w:p>
  </w:footnote>
  <w:footnote w:id="44">
    <w:p w:rsidR="00C7399A" w:rsidRPr="00A80BB8" w:rsidRDefault="00C7399A">
      <w:pPr>
        <w:pStyle w:val="Testonotaapidipagina"/>
      </w:pPr>
      <w:r>
        <w:rPr>
          <w:rStyle w:val="Rimandonotaapidipagina"/>
        </w:rPr>
        <w:footnoteRef/>
      </w:r>
      <w:r>
        <w:t xml:space="preserve"> Cfr. A. RUGGERI, </w:t>
      </w:r>
      <w:r>
        <w:rPr>
          <w:i/>
        </w:rPr>
        <w:t xml:space="preserve">La doppia pregiudizialità torna ancora una volta alla Consulta, in attesa di successive messe a punto (a prima lettura di Corte cost. n. 181 del 2024), </w:t>
      </w:r>
      <w:r>
        <w:t xml:space="preserve">in </w:t>
      </w:r>
      <w:r>
        <w:rPr>
          <w:i/>
        </w:rPr>
        <w:t xml:space="preserve">Consulta Online </w:t>
      </w:r>
      <w:r>
        <w:t>(</w:t>
      </w:r>
      <w:hyperlink r:id="rId14" w:history="1">
        <w:r w:rsidRPr="00844CAE">
          <w:rPr>
            <w:rStyle w:val="Collegamentoipertestuale"/>
          </w:rPr>
          <w:t>www.giurcost.it</w:t>
        </w:r>
      </w:hyperlink>
      <w:r>
        <w:t>), 2024, III, 1346, il quale parla al riguardo di una vera e propria “</w:t>
      </w:r>
      <w:r>
        <w:rPr>
          <w:i/>
        </w:rPr>
        <w:t>convenzione costituzionale – se così può dirsi – a carattere interordinamentale</w:t>
      </w:r>
      <w:r>
        <w:t xml:space="preserve">”. </w:t>
      </w:r>
    </w:p>
  </w:footnote>
  <w:footnote w:id="45">
    <w:p w:rsidR="00C7399A" w:rsidRPr="002B0698" w:rsidRDefault="00C7399A">
      <w:pPr>
        <w:pStyle w:val="Testonotaapidipagina"/>
      </w:pPr>
      <w:r>
        <w:rPr>
          <w:rStyle w:val="Rimandonotaapidipagina"/>
        </w:rPr>
        <w:footnoteRef/>
      </w:r>
      <w:r>
        <w:t xml:space="preserve"> Cfr. A. RUGGERI, </w:t>
      </w:r>
      <w:r>
        <w:rPr>
          <w:i/>
        </w:rPr>
        <w:t xml:space="preserve">Il giudice e la “doppia pregiudizialità”: istruzioni per l’uso, </w:t>
      </w:r>
      <w:r>
        <w:t xml:space="preserve">in </w:t>
      </w:r>
      <w:r>
        <w:rPr>
          <w:i/>
        </w:rPr>
        <w:t xml:space="preserve">Federalismi </w:t>
      </w:r>
      <w:r>
        <w:t>(</w:t>
      </w:r>
      <w:hyperlink r:id="rId15" w:history="1">
        <w:r w:rsidRPr="00844CAE">
          <w:rPr>
            <w:rStyle w:val="Collegamentoipertestuale"/>
          </w:rPr>
          <w:t>www.federalismi.it</w:t>
        </w:r>
      </w:hyperlink>
      <w:r>
        <w:t>), n. 6/2021, 24 febbraio 2021, 225-226.</w:t>
      </w:r>
    </w:p>
  </w:footnote>
  <w:footnote w:id="46">
    <w:p w:rsidR="00C7399A" w:rsidRPr="00A31817" w:rsidRDefault="00C7399A">
      <w:pPr>
        <w:pStyle w:val="Testonotaapidipagina"/>
      </w:pPr>
      <w:r>
        <w:rPr>
          <w:rStyle w:val="Rimandonotaapidipagina"/>
        </w:rPr>
        <w:footnoteRef/>
      </w:r>
      <w:r>
        <w:t xml:space="preserve"> Così R. MASTROIANNI, </w:t>
      </w:r>
      <w:r>
        <w:rPr>
          <w:i/>
        </w:rPr>
        <w:t xml:space="preserve">La Corte di giustizia ed il controllo di costituzionalità: Simmenthal revisited?, </w:t>
      </w:r>
      <w:r>
        <w:t xml:space="preserve">in </w:t>
      </w:r>
      <w:r>
        <w:rPr>
          <w:i/>
        </w:rPr>
        <w:t xml:space="preserve">Giur. cost., </w:t>
      </w:r>
      <w:r>
        <w:t>2014, 5, 4100.</w:t>
      </w:r>
    </w:p>
  </w:footnote>
  <w:footnote w:id="47">
    <w:p w:rsidR="00C7399A" w:rsidRPr="00A41C23" w:rsidRDefault="00C7399A">
      <w:pPr>
        <w:pStyle w:val="Testonotaapidipagina"/>
      </w:pPr>
      <w:r>
        <w:rPr>
          <w:rStyle w:val="Rimandonotaapidipagina"/>
        </w:rPr>
        <w:footnoteRef/>
      </w:r>
      <w:r>
        <w:t xml:space="preserve"> Sul punto, sia consentito rinviare a R. GRECO, </w:t>
      </w:r>
      <w:r>
        <w:rPr>
          <w:i/>
        </w:rPr>
        <w:t xml:space="preserve">Il diritto amministrativo europeo dopo il Trattato di Lisbona, </w:t>
      </w:r>
      <w:r>
        <w:t xml:space="preserve">in </w:t>
      </w:r>
      <w:hyperlink r:id="rId16" w:history="1">
        <w:r w:rsidRPr="0003781D">
          <w:rPr>
            <w:rStyle w:val="Collegamentoipertestuale"/>
          </w:rPr>
          <w:t>www.giustizia-amministrativa.it</w:t>
        </w:r>
      </w:hyperlink>
      <w:r>
        <w:t>, 7 giugno 2011.</w:t>
      </w:r>
    </w:p>
  </w:footnote>
  <w:footnote w:id="48">
    <w:p w:rsidR="00C7399A" w:rsidRPr="00CE30B5" w:rsidRDefault="00C7399A">
      <w:pPr>
        <w:pStyle w:val="Testonotaapidipagina"/>
      </w:pPr>
      <w:r>
        <w:rPr>
          <w:rStyle w:val="Rimandonotaapidipagina"/>
        </w:rPr>
        <w:footnoteRef/>
      </w:r>
      <w:r>
        <w:t xml:space="preserve"> Pressoché scontato, al riguardo, il rinvio agli studi di Massimo Severo Giannini, </w:t>
      </w:r>
      <w:r>
        <w:rPr>
          <w:i/>
        </w:rPr>
        <w:t xml:space="preserve">in primis </w:t>
      </w:r>
      <w:r>
        <w:t xml:space="preserve">il seminale </w:t>
      </w:r>
      <w:r>
        <w:rPr>
          <w:i/>
        </w:rPr>
        <w:t xml:space="preserve">Il potere discrezionale della pubblica amministrazione, </w:t>
      </w:r>
      <w:r>
        <w:t>Milano, 1939, 104 ss..</w:t>
      </w:r>
    </w:p>
  </w:footnote>
  <w:footnote w:id="49">
    <w:p w:rsidR="00C7399A" w:rsidRPr="00A27409" w:rsidRDefault="00C7399A">
      <w:pPr>
        <w:pStyle w:val="Testonotaapidipagina"/>
      </w:pPr>
      <w:r>
        <w:rPr>
          <w:rStyle w:val="Rimandonotaapidipagina"/>
        </w:rPr>
        <w:footnoteRef/>
      </w:r>
      <w:r>
        <w:t xml:space="preserve"> Cfr. G. REPETTO, </w:t>
      </w:r>
      <w:r>
        <w:rPr>
          <w:i/>
        </w:rPr>
        <w:t xml:space="preserve">op. cit., </w:t>
      </w:r>
      <w:r>
        <w:t>319-320, che pure si sforzava di individuare delle tipologie di fattispecie nelle quali fosse preferibile l’una o l’altra opzione.</w:t>
      </w:r>
    </w:p>
  </w:footnote>
  <w:footnote w:id="50">
    <w:p w:rsidR="00C7399A" w:rsidRPr="00F8334A" w:rsidRDefault="00C7399A">
      <w:pPr>
        <w:pStyle w:val="Testonotaapidipagina"/>
      </w:pPr>
      <w:r>
        <w:rPr>
          <w:rStyle w:val="Rimandonotaapidipagina"/>
        </w:rPr>
        <w:footnoteRef/>
      </w:r>
      <w:r>
        <w:t xml:space="preserve"> Osserva F. FERRARO, </w:t>
      </w:r>
      <w:r>
        <w:rPr>
          <w:i/>
        </w:rPr>
        <w:t xml:space="preserve">op. ult. cit., </w:t>
      </w:r>
      <w:r>
        <w:t>165, che in tal modo “</w:t>
      </w:r>
      <w:r>
        <w:rPr>
          <w:i/>
        </w:rPr>
        <w:t>la Corte circoscrive solo formalmente il suo raggio di azione, ma in realtà estende notevolmente le sue competenze, in considerazione del fatto che il nesso degli interessi e principi costituzionali con le norme dell’Unione provviste di efficacia diretta è piuttosto ampio e alquanto difficile da definire con precisione</w:t>
      </w:r>
      <w:r>
        <w:t xml:space="preserve">”. Cfr. anche F. PATRONI GRIFFI, </w:t>
      </w:r>
      <w:r>
        <w:rPr>
          <w:i/>
        </w:rPr>
        <w:t xml:space="preserve">Convergenze tra le Carte e criticità tra le Corti nel dialogo tra Giudici supremi, </w:t>
      </w:r>
      <w:r>
        <w:t xml:space="preserve">in </w:t>
      </w:r>
      <w:r>
        <w:rPr>
          <w:i/>
        </w:rPr>
        <w:t xml:space="preserve">Federalismi </w:t>
      </w:r>
      <w:r>
        <w:t>(</w:t>
      </w:r>
      <w:hyperlink r:id="rId17" w:history="1">
        <w:r w:rsidRPr="00844CAE">
          <w:rPr>
            <w:rStyle w:val="Collegamentoipertestuale"/>
          </w:rPr>
          <w:t>www.federalismi.it</w:t>
        </w:r>
      </w:hyperlink>
      <w:r>
        <w:t>), n. 12/2017, 14 giugno 2017, che già in epoca non sospetta sottolineava la difficoltà, specie laddove fosse coinvolta la Carta dei diritti, di tracciare una netta linea di demarcazione tra questioni di compatibilità di rilevanza esclusivamente costituzionale interna e questioni di compatibilità eurounitaria.</w:t>
      </w:r>
    </w:p>
  </w:footnote>
  <w:footnote w:id="51">
    <w:p w:rsidR="00C7399A" w:rsidRPr="00EC6FAD" w:rsidRDefault="00C7399A">
      <w:pPr>
        <w:pStyle w:val="Testonotaapidipagina"/>
      </w:pPr>
      <w:r>
        <w:rPr>
          <w:rStyle w:val="Rimandonotaapidipagina"/>
        </w:rPr>
        <w:footnoteRef/>
      </w:r>
      <w:r>
        <w:t xml:space="preserve"> Cfr. A. RUGGERI, </w:t>
      </w:r>
      <w:r>
        <w:rPr>
          <w:i/>
        </w:rPr>
        <w:t xml:space="preserve">op. ult. cit., </w:t>
      </w:r>
      <w:r>
        <w:t xml:space="preserve">216 ss. In questa sede, non è possibile approfondire l’ulteriore posizione di chi, per obiettivi di maggiore tutela degli interessi in gioco, ha ipotizzato la possibile proposizione contestuale di entrambe le questioni, attraverso la temporanea “sospensione” della norma interna in attesa dell’interpretazione della norma europea di riferimento da parte della Corte di giustizia e al tempo stesso la rimessione alla Corte costituzionale ai fini dell’annullamento </w:t>
      </w:r>
      <w:r>
        <w:rPr>
          <w:i/>
        </w:rPr>
        <w:t xml:space="preserve">erga omnes </w:t>
      </w:r>
      <w:r>
        <w:t xml:space="preserve">della prima (cfr. F. DONATI, </w:t>
      </w:r>
      <w:r>
        <w:rPr>
          <w:i/>
        </w:rPr>
        <w:t>I principi del primato e dell’effetto diretto del diritto dell’Unione in un sistema di tutele concorrenti dei diritti fondamentali</w:t>
      </w:r>
      <w:r>
        <w:t xml:space="preserve">, in </w:t>
      </w:r>
      <w:r>
        <w:rPr>
          <w:i/>
        </w:rPr>
        <w:t xml:space="preserve">Federalismi </w:t>
      </w:r>
      <w:r>
        <w:t>(</w:t>
      </w:r>
      <w:hyperlink r:id="rId18" w:history="1">
        <w:r w:rsidRPr="00844CAE">
          <w:rPr>
            <w:rStyle w:val="Collegamentoipertestuale"/>
          </w:rPr>
          <w:t>www.federalismi.it</w:t>
        </w:r>
      </w:hyperlink>
      <w:r>
        <w:t>), n. 12/2020, 29 aprile 2020, 104 ss.).</w:t>
      </w:r>
    </w:p>
  </w:footnote>
  <w:footnote w:id="52">
    <w:p w:rsidR="00C7399A" w:rsidRPr="002F5015" w:rsidRDefault="00C7399A">
      <w:pPr>
        <w:pStyle w:val="Testonotaapidipagina"/>
        <w:rPr>
          <w:i/>
        </w:rPr>
      </w:pPr>
      <w:r>
        <w:rPr>
          <w:rStyle w:val="Rimandonotaapidipagina"/>
        </w:rPr>
        <w:footnoteRef/>
      </w:r>
      <w:r>
        <w:t xml:space="preserve"> Cfr. Corte di giustizia UE, sent. 22 giugno 2010, cause riunite C-188/10 e 189/10, </w:t>
      </w:r>
      <w:r>
        <w:rPr>
          <w:i/>
        </w:rPr>
        <w:t>Melki e Abdeli</w:t>
      </w:r>
      <w:r>
        <w:t xml:space="preserve">; id., sez. V, sent. 11 settembre 2014, causa C-112/13, </w:t>
      </w:r>
      <w:r>
        <w:rPr>
          <w:i/>
        </w:rPr>
        <w:t>A.</w:t>
      </w:r>
      <w:r>
        <w:t xml:space="preserve">, oltre alla già citata sent. 20 dicembre 2017, causa C-322/16, </w:t>
      </w:r>
      <w:r>
        <w:rPr>
          <w:i/>
        </w:rPr>
        <w:t>Global Starned Ltd.</w:t>
      </w:r>
    </w:p>
  </w:footnote>
  <w:footnote w:id="53">
    <w:p w:rsidR="00C7399A" w:rsidRPr="002F5015" w:rsidRDefault="00C7399A">
      <w:pPr>
        <w:pStyle w:val="Testonotaapidipagina"/>
      </w:pPr>
      <w:r>
        <w:rPr>
          <w:rStyle w:val="Rimandonotaapidipagina"/>
        </w:rPr>
        <w:footnoteRef/>
      </w:r>
      <w:r>
        <w:t xml:space="preserve"> Cfr. L.S. ROSSI, </w:t>
      </w:r>
      <w:r>
        <w:rPr>
          <w:i/>
        </w:rPr>
        <w:t xml:space="preserve">op. cit., </w:t>
      </w:r>
      <w:r>
        <w:t>3-4.</w:t>
      </w:r>
    </w:p>
  </w:footnote>
  <w:footnote w:id="54">
    <w:p w:rsidR="00C7399A" w:rsidRPr="006C15D0" w:rsidRDefault="00C7399A">
      <w:pPr>
        <w:pStyle w:val="Testonotaapidipagina"/>
      </w:pPr>
      <w:r>
        <w:rPr>
          <w:rStyle w:val="Rimandonotaapidipagina"/>
        </w:rPr>
        <w:footnoteRef/>
      </w:r>
      <w:r>
        <w:t xml:space="preserve"> Peraltro, occorre fin d’ora avvertire che all’insistenza sull’efficacia </w:t>
      </w:r>
      <w:r>
        <w:rPr>
          <w:i/>
        </w:rPr>
        <w:t xml:space="preserve">erga omnes </w:t>
      </w:r>
      <w:r>
        <w:t xml:space="preserve">delle sentenze della Corte costituzionale che dichiarano l’illegittimità costituzionale delle norme nazionali sembra corrispondere una sottovalutazione (se non una obliterazione) del particolare valore </w:t>
      </w:r>
      <w:r>
        <w:rPr>
          <w:i/>
        </w:rPr>
        <w:t xml:space="preserve">ultra partes </w:t>
      </w:r>
      <w:r>
        <w:t xml:space="preserve">dell’interpretazione del diritto dell’Unione fornita dalla Corte di giustizia attraverso le sentenze pregiudiziali (cfr. M.P. CHITI, </w:t>
      </w:r>
      <w:r>
        <w:rPr>
          <w:i/>
        </w:rPr>
        <w:t xml:space="preserve">op. cit., </w:t>
      </w:r>
      <w:r>
        <w:t xml:space="preserve">650 ss.), tale da consentire di affermare che anche queste ultime – a loro modo – abbiano un’efficacia </w:t>
      </w:r>
      <w:r>
        <w:rPr>
          <w:i/>
        </w:rPr>
        <w:t>erga omnes</w:t>
      </w:r>
      <w:r>
        <w:t>: sul punto si tornerà in conclusione.</w:t>
      </w:r>
    </w:p>
  </w:footnote>
  <w:footnote w:id="55">
    <w:p w:rsidR="00C7399A" w:rsidRDefault="00C7399A">
      <w:pPr>
        <w:pStyle w:val="Testonotaapidipagina"/>
      </w:pPr>
      <w:r>
        <w:rPr>
          <w:rStyle w:val="Rimandonotaapidipagina"/>
        </w:rPr>
        <w:footnoteRef/>
      </w:r>
      <w:r>
        <w:t xml:space="preserve"> Per vero, l’ultima situazione indicata nel testo (la necessità di operare un bilanciamento tra diversi valori costituzionali) evoca un’attività tipica della Corte costituzionale, e potrebbe essere letta come un implicito richiamo alla teoria dei </w:t>
      </w:r>
      <w:r w:rsidR="0043450A">
        <w:t>“</w:t>
      </w:r>
      <w:r>
        <w:t>controlimiti</w:t>
      </w:r>
      <w:r w:rsidR="0043450A">
        <w:t>”</w:t>
      </w:r>
      <w:r>
        <w:t xml:space="preserve">: cfr. R. MASTROIANNI, </w:t>
      </w:r>
      <w:r>
        <w:rPr>
          <w:i/>
        </w:rPr>
        <w:t xml:space="preserve">La sentenza della Corte costituzionale n. 181 del 2024 in tema di rapporti tra ordinamenti, ovvero la scomparsa dell’articolo 11 della Costituzione, </w:t>
      </w:r>
      <w:r>
        <w:t>cit.</w:t>
      </w:r>
      <w:r w:rsidR="0043450A">
        <w:t>.</w:t>
      </w:r>
    </w:p>
  </w:footnote>
  <w:footnote w:id="56">
    <w:p w:rsidR="00C7399A" w:rsidRPr="007F37A7" w:rsidRDefault="00C7399A">
      <w:pPr>
        <w:pStyle w:val="Testonotaapidipagina"/>
        <w:rPr>
          <w:i/>
        </w:rPr>
      </w:pPr>
      <w:r>
        <w:rPr>
          <w:rStyle w:val="Rimandonotaapidipagina"/>
        </w:rPr>
        <w:footnoteRef/>
      </w:r>
      <w:r>
        <w:t xml:space="preserve"> Cfr. R. MASTROIANNI, </w:t>
      </w:r>
      <w:r>
        <w:rPr>
          <w:i/>
        </w:rPr>
        <w:t>op. ult. cit.</w:t>
      </w:r>
    </w:p>
  </w:footnote>
  <w:footnote w:id="57">
    <w:p w:rsidR="00C7399A" w:rsidRPr="004D5E4B" w:rsidRDefault="00C7399A">
      <w:pPr>
        <w:pStyle w:val="Testonotaapidipagina"/>
      </w:pPr>
      <w:r>
        <w:rPr>
          <w:rStyle w:val="Rimandonotaapidipagina"/>
        </w:rPr>
        <w:footnoteRef/>
      </w:r>
      <w:r>
        <w:t xml:space="preserve"> Sulla quale, per un riepilogo generale della questione, cfr. G. FORNABAIO, </w:t>
      </w:r>
      <w:r>
        <w:rPr>
          <w:i/>
        </w:rPr>
        <w:t xml:space="preserve">La disciplina delle concessioni demaniali marittime per finalità turistico-ricreative: profili applicativi, criticità e prospettive di regolazione, </w:t>
      </w:r>
      <w:r>
        <w:t xml:space="preserve">in </w:t>
      </w:r>
      <w:r>
        <w:rPr>
          <w:i/>
        </w:rPr>
        <w:t xml:space="preserve">Amministrativ@mente </w:t>
      </w:r>
      <w:r>
        <w:t>(</w:t>
      </w:r>
      <w:hyperlink r:id="rId19" w:history="1">
        <w:r w:rsidRPr="0003781D">
          <w:rPr>
            <w:rStyle w:val="Collegamentoipertestuale"/>
          </w:rPr>
          <w:t>www.amministrativamente.it</w:t>
        </w:r>
      </w:hyperlink>
      <w:r>
        <w:t xml:space="preserve">), n. 2/2024, 1 ss.; per i più recenti aggiornamenti, M. CLARICH – A. NARDI, </w:t>
      </w:r>
      <w:r>
        <w:rPr>
          <w:i/>
        </w:rPr>
        <w:t xml:space="preserve">Concessioni prorogate al 2027, una vicenda forse al capolinea, </w:t>
      </w:r>
      <w:r>
        <w:t xml:space="preserve">in </w:t>
      </w:r>
      <w:r>
        <w:rPr>
          <w:i/>
        </w:rPr>
        <w:t xml:space="preserve">Norme &amp; Tributi </w:t>
      </w:r>
      <w:r>
        <w:t>(</w:t>
      </w:r>
      <w:hyperlink r:id="rId20" w:history="1">
        <w:r w:rsidRPr="0003781D">
          <w:rPr>
            <w:rStyle w:val="Collegamentoipertestuale"/>
          </w:rPr>
          <w:t>www.ntplusdiritto.ilsole24ore.com</w:t>
        </w:r>
      </w:hyperlink>
      <w:r>
        <w:t>), n. 37, 25 settembre 2024.</w:t>
      </w:r>
    </w:p>
  </w:footnote>
  <w:footnote w:id="58">
    <w:p w:rsidR="00C7399A" w:rsidRPr="004D5E4B" w:rsidRDefault="00C7399A">
      <w:pPr>
        <w:pStyle w:val="Testonotaapidipagina"/>
      </w:pPr>
      <w:r>
        <w:rPr>
          <w:rStyle w:val="Rimandonotaapidipagina"/>
        </w:rPr>
        <w:footnoteRef/>
      </w:r>
      <w:r>
        <w:t xml:space="preserve"> Sulla c.d. “</w:t>
      </w:r>
      <w:r>
        <w:rPr>
          <w:i/>
        </w:rPr>
        <w:t>amministrazione difensiva</w:t>
      </w:r>
      <w:r>
        <w:t xml:space="preserve">” e sulla paura della firma, cfr. P. SEVERINO, </w:t>
      </w:r>
      <w:r>
        <w:rPr>
          <w:i/>
        </w:rPr>
        <w:t xml:space="preserve">La burocrazia difensiva, </w:t>
      </w:r>
      <w:r>
        <w:t xml:space="preserve">in </w:t>
      </w:r>
      <w:r>
        <w:rPr>
          <w:i/>
        </w:rPr>
        <w:t xml:space="preserve">La Repubblica, </w:t>
      </w:r>
      <w:r>
        <w:t xml:space="preserve">30 maggio 2020, nonché S. BATTINI – F. DECAROLIS, </w:t>
      </w:r>
      <w:r>
        <w:rPr>
          <w:i/>
        </w:rPr>
        <w:t xml:space="preserve">L’amministrazione si difende, </w:t>
      </w:r>
      <w:r>
        <w:t xml:space="preserve">in </w:t>
      </w:r>
      <w:r>
        <w:rPr>
          <w:i/>
        </w:rPr>
        <w:t xml:space="preserve">Riv. trim. dir. pubbl., </w:t>
      </w:r>
      <w:r>
        <w:t>2019, 1, 294 ss..</w:t>
      </w:r>
    </w:p>
  </w:footnote>
  <w:footnote w:id="59">
    <w:p w:rsidR="00C7399A" w:rsidRPr="00747D97" w:rsidRDefault="00C7399A">
      <w:pPr>
        <w:pStyle w:val="Testonotaapidipagina"/>
      </w:pPr>
      <w:r>
        <w:rPr>
          <w:rStyle w:val="Rimandonotaapidipagina"/>
        </w:rPr>
        <w:footnoteRef/>
      </w:r>
      <w:r>
        <w:t xml:space="preserve"> </w:t>
      </w:r>
      <w:r>
        <w:rPr>
          <w:caps/>
        </w:rPr>
        <w:t xml:space="preserve">è </w:t>
      </w:r>
      <w:r>
        <w:t xml:space="preserve">noto che per lungo tempo ha prevalso nella giurisprudenza della Corte di cassazione – quale giudice regolatore della giurisdizione - l’idea che, laddove venissero in gioco diritti fondamentali, la cognizione anche per controversie involgenti l’esercizio dei pubblici poteri spettasse al giudice ordinario: orientamento superato solo dopo che la Corte costituzionale, con la storica sentenza n. 140 del 27 aprile 2007, affermò la piena idoneità del giudice amministrativo a offrire una tutela piena ai diritti soggettivi, anche costituzionalmente garantiti, ove coinvolti nell’esercizio della funzione amministrativa. Sul tema, cfr. M. NOCCELLI, </w:t>
      </w:r>
      <w:r>
        <w:rPr>
          <w:i/>
        </w:rPr>
        <w:t xml:space="preserve">Il giudice amministrativo e la tutela dei diritti fondamentali, </w:t>
      </w:r>
      <w:r>
        <w:t xml:space="preserve">in </w:t>
      </w:r>
      <w:hyperlink r:id="rId21" w:history="1">
        <w:r w:rsidRPr="00844CAE">
          <w:rPr>
            <w:rStyle w:val="Collegamentoipertestuale"/>
          </w:rPr>
          <w:t>www.giustizia-amministrativa.it</w:t>
        </w:r>
      </w:hyperlink>
      <w:r>
        <w:t>, 20 febbraio 2018.</w:t>
      </w:r>
    </w:p>
  </w:footnote>
  <w:footnote w:id="60">
    <w:p w:rsidR="00C7399A" w:rsidRPr="003164BE" w:rsidRDefault="00C7399A">
      <w:pPr>
        <w:pStyle w:val="Testonotaapidipagina"/>
      </w:pPr>
      <w:r>
        <w:rPr>
          <w:rStyle w:val="Rimandonotaapidipagina"/>
        </w:rPr>
        <w:footnoteRef/>
      </w:r>
      <w:r>
        <w:t xml:space="preserve"> Cfr. </w:t>
      </w:r>
      <w:r>
        <w:rPr>
          <w:caps/>
        </w:rPr>
        <w:t xml:space="preserve">s. foà, </w:t>
      </w:r>
      <w:r>
        <w:rPr>
          <w:i/>
        </w:rPr>
        <w:t xml:space="preserve">Giustizia amministrativa e rinvio pregiudiziale alla CGUE: da strumento “difensivo” a mezzo per ridiscutere il sistema costituzionale, </w:t>
      </w:r>
      <w:r>
        <w:t xml:space="preserve">in </w:t>
      </w:r>
      <w:r>
        <w:rPr>
          <w:i/>
        </w:rPr>
        <w:t xml:space="preserve">Federalismi </w:t>
      </w:r>
      <w:r>
        <w:t>(</w:t>
      </w:r>
      <w:hyperlink r:id="rId22" w:history="1">
        <w:r w:rsidRPr="00844CAE">
          <w:rPr>
            <w:rStyle w:val="Collegamentoipertestuale"/>
          </w:rPr>
          <w:t>www.federalismi.it</w:t>
        </w:r>
      </w:hyperlink>
      <w:r>
        <w:t>), n. 4/2021, 10 febbraio 2021, 125 ss.</w:t>
      </w:r>
    </w:p>
  </w:footnote>
  <w:footnote w:id="61">
    <w:p w:rsidR="00C7399A" w:rsidRPr="000863E4" w:rsidRDefault="00C7399A">
      <w:pPr>
        <w:pStyle w:val="Testonotaapidipagina"/>
      </w:pPr>
      <w:r>
        <w:rPr>
          <w:rStyle w:val="Rimandonotaapidipagina"/>
        </w:rPr>
        <w:footnoteRef/>
      </w:r>
      <w:r>
        <w:t xml:space="preserve"> Cfr. M.A. SANDULLI, </w:t>
      </w:r>
      <w:r>
        <w:rPr>
          <w:i/>
        </w:rPr>
        <w:t xml:space="preserve">Rinvio pregiudiziale e giustizia amministrativa: i più recenti sviluppi, </w:t>
      </w:r>
      <w:r>
        <w:t xml:space="preserve">in </w:t>
      </w:r>
      <w:r>
        <w:rPr>
          <w:i/>
        </w:rPr>
        <w:t xml:space="preserve">Giustizia Insieme </w:t>
      </w:r>
      <w:r>
        <w:t>(</w:t>
      </w:r>
      <w:hyperlink r:id="rId23" w:history="1">
        <w:r w:rsidRPr="00844CAE">
          <w:rPr>
            <w:rStyle w:val="Collegamentoipertestuale"/>
          </w:rPr>
          <w:t>www.giustiziainsieme.it</w:t>
        </w:r>
      </w:hyperlink>
      <w:r>
        <w:t xml:space="preserve">), 20 ottobre 2022. Si veda però </w:t>
      </w:r>
      <w:r>
        <w:rPr>
          <w:caps/>
        </w:rPr>
        <w:t xml:space="preserve">m. nisticò, </w:t>
      </w:r>
      <w:r>
        <w:rPr>
          <w:i/>
        </w:rPr>
        <w:t xml:space="preserve">La nuova legge sulla responsabilità civile dello Stato e dei magistrati. Inquadramento storico-sistematico e profili problematici, </w:t>
      </w:r>
      <w:r>
        <w:t xml:space="preserve">in </w:t>
      </w:r>
      <w:r>
        <w:rPr>
          <w:i/>
        </w:rPr>
        <w:t xml:space="preserve">Rivista AIC </w:t>
      </w:r>
      <w:r>
        <w:t>(</w:t>
      </w:r>
      <w:hyperlink r:id="rId24" w:history="1">
        <w:r w:rsidRPr="000D43AD">
          <w:rPr>
            <w:rStyle w:val="Collegamentoipertestuale"/>
          </w:rPr>
          <w:t>www.osservatorioaic.it</w:t>
        </w:r>
      </w:hyperlink>
      <w:r>
        <w:t>), maggio 2015, il quale evidenzia come le statuizioni della Corte di giustizia siano state anche impiegate come pretesto per introdurre innovazioni frutto di scelte politiche del tutto autonome del legislatore italiano, peraltro a fronte di un’innegabile inadeguatezza della previgente versione della legge n. 117/1988.</w:t>
      </w:r>
    </w:p>
  </w:footnote>
  <w:footnote w:id="62">
    <w:p w:rsidR="00C7399A" w:rsidRPr="006B740E" w:rsidRDefault="00C7399A">
      <w:pPr>
        <w:pStyle w:val="Testonotaapidipagina"/>
      </w:pPr>
      <w:r>
        <w:rPr>
          <w:rStyle w:val="Rimandonotaapidipagina"/>
        </w:rPr>
        <w:footnoteRef/>
      </w:r>
      <w:r>
        <w:t xml:space="preserve"> Corte di giustizia UE, gr. sez., sent. 13 giugno 2006, causa C-173/03, </w:t>
      </w:r>
      <w:r>
        <w:rPr>
          <w:i/>
        </w:rPr>
        <w:t xml:space="preserve">Traghetti del Mediterraneo, </w:t>
      </w:r>
      <w:r>
        <w:t>e, da ultimo, Corte di giustizia UE, sez. III, 24 novembre 2011, causa C-379/10,</w:t>
      </w:r>
      <w:r w:rsidR="00B405AB">
        <w:t xml:space="preserve"> </w:t>
      </w:r>
      <w:r w:rsidR="00B405AB">
        <w:rPr>
          <w:i/>
        </w:rPr>
        <w:t>Commissione europea c. Repubblica Italiana</w:t>
      </w:r>
      <w:r w:rsidR="00B405AB">
        <w:t>,</w:t>
      </w:r>
      <w:r>
        <w:t xml:space="preserve"> che ha dichiarato contraria al diritto dell’Unione europea la disciplina della legge n. 117/1988 nella parte in cui </w:t>
      </w:r>
      <w:r w:rsidRPr="006B740E">
        <w:rPr>
          <w:shd w:val="clear" w:color="auto" w:fill="FFFFFF"/>
        </w:rPr>
        <w:t>escludeva qualsiasi responsabilità dello Stato italiano per i danni arrecati ai singoli a seguito di una violazione del diritto dell’Unione imputabile a un organo giurisdizionale nazionale di ultimo grado, qualora tale violazione risultasse da interpretazione di norme di diritto o di valutazione di fatti e prove effettuate dall’organo giurisdizionale medesimo, </w:t>
      </w:r>
      <w:r>
        <w:rPr>
          <w:shd w:val="clear" w:color="auto" w:fill="FFFFFF"/>
        </w:rPr>
        <w:t>e</w:t>
      </w:r>
      <w:r w:rsidRPr="006B740E">
        <w:rPr>
          <w:rStyle w:val="Enfasicorsivo"/>
          <w:shd w:val="clear" w:color="auto" w:fill="FFFFFF"/>
        </w:rPr>
        <w:t> </w:t>
      </w:r>
      <w:r w:rsidRPr="006B740E">
        <w:rPr>
          <w:shd w:val="clear" w:color="auto" w:fill="FFFFFF"/>
        </w:rPr>
        <w:t>limita</w:t>
      </w:r>
      <w:r>
        <w:rPr>
          <w:shd w:val="clear" w:color="auto" w:fill="FFFFFF"/>
        </w:rPr>
        <w:t>va</w:t>
      </w:r>
      <w:r w:rsidRPr="006B740E">
        <w:rPr>
          <w:shd w:val="clear" w:color="auto" w:fill="FFFFFF"/>
        </w:rPr>
        <w:t xml:space="preserve"> tale responsabilità ai soli casi di dolo o colpa grave.</w:t>
      </w:r>
    </w:p>
  </w:footnote>
  <w:footnote w:id="63">
    <w:p w:rsidR="00C7399A" w:rsidRPr="003B3313" w:rsidRDefault="00C7399A">
      <w:pPr>
        <w:pStyle w:val="Testonotaapidipagina"/>
      </w:pPr>
      <w:r>
        <w:rPr>
          <w:rStyle w:val="Rimandonotaapidipagina"/>
        </w:rPr>
        <w:footnoteRef/>
      </w:r>
      <w:r>
        <w:t xml:space="preserve"> Sul punto, cfr. C. VOLPE, </w:t>
      </w:r>
      <w:r>
        <w:rPr>
          <w:i/>
        </w:rPr>
        <w:t xml:space="preserve">La responsabilità civile del magistrato amministrativo e il rinvio pregiudiziale, </w:t>
      </w:r>
      <w:r>
        <w:t xml:space="preserve">in </w:t>
      </w:r>
      <w:hyperlink r:id="rId25" w:history="1">
        <w:r w:rsidRPr="00844CAE">
          <w:rPr>
            <w:rStyle w:val="Collegamentoipertestuale"/>
          </w:rPr>
          <w:t>www.giustizia-amministrativa.it</w:t>
        </w:r>
      </w:hyperlink>
      <w:r>
        <w:t>, 2024.</w:t>
      </w:r>
    </w:p>
  </w:footnote>
  <w:footnote w:id="64">
    <w:p w:rsidR="00C7399A" w:rsidRPr="003B3313" w:rsidRDefault="00C7399A" w:rsidP="009C675E">
      <w:pPr>
        <w:shd w:val="clear" w:color="auto" w:fill="FFFFFF"/>
      </w:pPr>
      <w:r w:rsidRPr="00AD3E19">
        <w:rPr>
          <w:rStyle w:val="Rimandonotaapidipagina"/>
          <w:sz w:val="20"/>
          <w:szCs w:val="20"/>
        </w:rPr>
        <w:footnoteRef/>
      </w:r>
      <w:r w:rsidRPr="00AD3E19">
        <w:rPr>
          <w:sz w:val="20"/>
          <w:szCs w:val="20"/>
        </w:rPr>
        <w:t xml:space="preserve"> Cfr. </w:t>
      </w:r>
      <w:r w:rsidRPr="00AD3E19">
        <w:rPr>
          <w:caps/>
          <w:sz w:val="20"/>
          <w:szCs w:val="20"/>
        </w:rPr>
        <w:t xml:space="preserve">s. foà, </w:t>
      </w:r>
      <w:r w:rsidRPr="00AD3E19">
        <w:rPr>
          <w:i/>
          <w:sz w:val="20"/>
          <w:szCs w:val="20"/>
        </w:rPr>
        <w:t xml:space="preserve">op. cit., </w:t>
      </w:r>
      <w:r w:rsidRPr="00AD3E19">
        <w:rPr>
          <w:sz w:val="20"/>
          <w:szCs w:val="20"/>
        </w:rPr>
        <w:t>133-134, il quale cita un’ordinanza nella quale è espresso un giudizio esplicito sull’infondatezza della questione</w:t>
      </w:r>
      <w:r>
        <w:rPr>
          <w:sz w:val="20"/>
          <w:szCs w:val="20"/>
        </w:rPr>
        <w:t xml:space="preserve"> pregiudiziale</w:t>
      </w:r>
      <w:r w:rsidRPr="00AD3E19">
        <w:rPr>
          <w:sz w:val="20"/>
          <w:szCs w:val="20"/>
        </w:rPr>
        <w:t xml:space="preserve"> sollecitata dalle parti, aggiungendosi che il rinvio alla Corte di giustizia viene disposto “</w:t>
      </w:r>
      <w:r w:rsidRPr="00AD3E19">
        <w:rPr>
          <w:rFonts w:eastAsia="Times New Roman"/>
          <w:i/>
          <w:sz w:val="20"/>
          <w:szCs w:val="20"/>
          <w:lang w:eastAsia="it-IT"/>
        </w:rPr>
        <w:t>al solo fine di ottemperare al dovere di rinvio pregiudiziale da parte del Giudice nazionale di ultima istanza ed in considerazione del fatto che l’inosservanza di siffatto dovere determina una diretta responsabilità dello Stato membro di carattere  sostanzialmente oggettivo</w:t>
      </w:r>
      <w:r w:rsidRPr="00AD3E19">
        <w:rPr>
          <w:rFonts w:eastAsia="Times New Roman"/>
          <w:sz w:val="20"/>
          <w:szCs w:val="20"/>
          <w:lang w:eastAsia="it-IT"/>
        </w:rPr>
        <w:t xml:space="preserve"> (</w:t>
      </w:r>
      <w:r>
        <w:rPr>
          <w:rFonts w:eastAsia="Times New Roman"/>
          <w:sz w:val="20"/>
          <w:szCs w:val="20"/>
          <w:lang w:eastAsia="it-IT"/>
        </w:rPr>
        <w:t>…)</w:t>
      </w:r>
      <w:r w:rsidRPr="00AD3E19">
        <w:rPr>
          <w:rFonts w:eastAsia="Times New Roman"/>
          <w:i/>
          <w:sz w:val="20"/>
          <w:szCs w:val="20"/>
          <w:lang w:eastAsia="it-IT"/>
        </w:rPr>
        <w:t>, nonché la responsabilità civile del magistrato</w:t>
      </w:r>
      <w:r>
        <w:rPr>
          <w:rFonts w:eastAsia="Times New Roman"/>
          <w:sz w:val="20"/>
          <w:szCs w:val="20"/>
          <w:lang w:eastAsia="it-IT"/>
        </w:rPr>
        <w:t>” (Cons. Stato, sez. IV, ord. 5 agosto 2020, n. 4943).</w:t>
      </w:r>
    </w:p>
  </w:footnote>
  <w:footnote w:id="65">
    <w:p w:rsidR="00C7399A" w:rsidRPr="009C675E" w:rsidRDefault="00C7399A">
      <w:pPr>
        <w:pStyle w:val="Testonotaapidipagina"/>
        <w:rPr>
          <w:i/>
        </w:rPr>
      </w:pPr>
      <w:r>
        <w:rPr>
          <w:rStyle w:val="Rimandonotaapidipagina"/>
        </w:rPr>
        <w:footnoteRef/>
      </w:r>
      <w:r>
        <w:t xml:space="preserve"> Corte di giustizia UE, sent. 6 ottobre 1982, causa C-283/81, </w:t>
      </w:r>
      <w:r>
        <w:rPr>
          <w:i/>
        </w:rPr>
        <w:t>Cilfit.</w:t>
      </w:r>
    </w:p>
  </w:footnote>
  <w:footnote w:id="66">
    <w:p w:rsidR="00C7399A" w:rsidRPr="00F432E0" w:rsidRDefault="00C7399A">
      <w:pPr>
        <w:pStyle w:val="Testonotaapidipagina"/>
        <w:rPr>
          <w:i/>
        </w:rPr>
      </w:pPr>
      <w:r>
        <w:rPr>
          <w:rStyle w:val="Rimandonotaapidipagina"/>
        </w:rPr>
        <w:footnoteRef/>
      </w:r>
      <w:r>
        <w:t xml:space="preserve"> Cfr. Corte di giustizia UE, sent. 28 luglio 2016, causa C-379/15, </w:t>
      </w:r>
      <w:r>
        <w:rPr>
          <w:i/>
        </w:rPr>
        <w:t>Association France Nature Environment.</w:t>
      </w:r>
    </w:p>
  </w:footnote>
  <w:footnote w:id="67">
    <w:p w:rsidR="00C7399A" w:rsidRPr="001D1F13" w:rsidRDefault="00C7399A" w:rsidP="008D5BFE">
      <w:r w:rsidRPr="008D5BFE">
        <w:rPr>
          <w:rStyle w:val="Rimandonotaapidipagina"/>
          <w:sz w:val="20"/>
          <w:szCs w:val="20"/>
        </w:rPr>
        <w:footnoteRef/>
      </w:r>
      <w:r w:rsidRPr="008D5BFE">
        <w:rPr>
          <w:sz w:val="20"/>
          <w:szCs w:val="20"/>
        </w:rPr>
        <w:t xml:space="preserve"> Sul tema, cfr. G.L. BARRECA, </w:t>
      </w:r>
      <w:r w:rsidRPr="008D5BFE">
        <w:rPr>
          <w:i/>
          <w:color w:val="000000" w:themeColor="text1"/>
          <w:sz w:val="20"/>
          <w:szCs w:val="20"/>
        </w:rPr>
        <w:t>Il rinvio pregiudiziale alla Corte di Giustizia dell’Unione europea e l’obbligo di rinvio del giudice nazionale di ultima istanza</w:t>
      </w:r>
      <w:r>
        <w:rPr>
          <w:color w:val="000000" w:themeColor="text1"/>
          <w:sz w:val="20"/>
          <w:szCs w:val="20"/>
        </w:rPr>
        <w:t xml:space="preserve">, in </w:t>
      </w:r>
      <w:hyperlink r:id="rId26" w:history="1">
        <w:r w:rsidRPr="000D43AD">
          <w:rPr>
            <w:rStyle w:val="Collegamentoipertestuale"/>
            <w:sz w:val="20"/>
            <w:szCs w:val="20"/>
          </w:rPr>
          <w:t>www.giustizia-amministrativa.it</w:t>
        </w:r>
      </w:hyperlink>
      <w:r>
        <w:rPr>
          <w:color w:val="000000" w:themeColor="text1"/>
          <w:sz w:val="20"/>
          <w:szCs w:val="20"/>
        </w:rPr>
        <w:t xml:space="preserve">, 23 dicembre 2021; G. TULUMELLO, </w:t>
      </w:r>
      <w:r>
        <w:rPr>
          <w:i/>
          <w:color w:val="000000" w:themeColor="text1"/>
          <w:sz w:val="20"/>
          <w:szCs w:val="20"/>
        </w:rPr>
        <w:t xml:space="preserve">Sui presupposti dell’obbligatorietà del rinvio pregiudiziale per i giudici nazionali di ultima istanza: segnali (convergenti) di un’esigenza di ripensamento della giurisprudenza Cilfit, ivi, </w:t>
      </w:r>
      <w:r>
        <w:rPr>
          <w:color w:val="000000" w:themeColor="text1"/>
          <w:sz w:val="20"/>
          <w:szCs w:val="20"/>
        </w:rPr>
        <w:t>28 settembre 2021</w:t>
      </w:r>
    </w:p>
  </w:footnote>
  <w:footnote w:id="68">
    <w:p w:rsidR="00C7399A" w:rsidRPr="0078714E" w:rsidRDefault="00C7399A">
      <w:pPr>
        <w:pStyle w:val="Testonotaapidipagina"/>
      </w:pPr>
      <w:r>
        <w:rPr>
          <w:rStyle w:val="Rimandonotaapidipagina"/>
        </w:rPr>
        <w:footnoteRef/>
      </w:r>
      <w:r>
        <w:t xml:space="preserve"> Cfr. </w:t>
      </w:r>
      <w:r>
        <w:rPr>
          <w:i/>
        </w:rPr>
        <w:t>ex plurimis</w:t>
      </w:r>
      <w:r>
        <w:t xml:space="preserve"> Tar Lazio, sez. II </w:t>
      </w:r>
      <w:r>
        <w:rPr>
          <w:i/>
        </w:rPr>
        <w:t xml:space="preserve">ter, </w:t>
      </w:r>
      <w:r>
        <w:t xml:space="preserve">ord. 16 gennaio 2024, n. 762; Tar Napoli, sez. I, ord. 2 maggio 2022, n. 2986; Tar Lazio, sez. II </w:t>
      </w:r>
      <w:r>
        <w:rPr>
          <w:i/>
        </w:rPr>
        <w:t xml:space="preserve">bis, </w:t>
      </w:r>
      <w:r>
        <w:t>10 febbraio 2020, n. 1770.</w:t>
      </w:r>
    </w:p>
  </w:footnote>
  <w:footnote w:id="69">
    <w:p w:rsidR="00C7399A" w:rsidRPr="00081907" w:rsidRDefault="00C7399A">
      <w:pPr>
        <w:pStyle w:val="Testonotaapidipagina"/>
      </w:pPr>
      <w:r>
        <w:rPr>
          <w:rStyle w:val="Rimandonotaapidipagina"/>
        </w:rPr>
        <w:footnoteRef/>
      </w:r>
      <w:r>
        <w:t xml:space="preserve"> Cfr. </w:t>
      </w:r>
      <w:r>
        <w:rPr>
          <w:i/>
        </w:rPr>
        <w:t xml:space="preserve">ex plurimis </w:t>
      </w:r>
      <w:r>
        <w:t>Cons. Stato, ord. 21 novembre 2022, n. 10261; id., sez. IV, 2 settembre 2021, n. 6206; id., ord. 16 luglio 2021, n. 5361; id., ord. 23 aprile 2021, n. 3272; id., sez. III, ord. 3 marzo 2021, n. 1797; id., ord. 18 gennaio 2021, n. 536; id., sez. IV, ord. 31 agosto 2020, n. 5299; id., 3 settembre 2019, n. 6079.</w:t>
      </w:r>
    </w:p>
  </w:footnote>
  <w:footnote w:id="70">
    <w:p w:rsidR="00C7399A" w:rsidRPr="00081907" w:rsidRDefault="00C7399A">
      <w:pPr>
        <w:pStyle w:val="Testonotaapidipagina"/>
      </w:pPr>
      <w:r>
        <w:rPr>
          <w:rStyle w:val="Rimandonotaapidipagina"/>
        </w:rPr>
        <w:footnoteRef/>
      </w:r>
      <w:r>
        <w:t xml:space="preserve"> Cfr. Cons. Stato, sez. V, 15 gennaio 2025, n. 294, laddove la scelta per la questione di legittimità costituzionale è motivata con la ritenuta sussistenza di un “</w:t>
      </w:r>
      <w:r>
        <w:rPr>
          <w:i/>
        </w:rPr>
        <w:t>vizio di produzione normativa</w:t>
      </w:r>
      <w:r>
        <w:t xml:space="preserve">” (nella specie, si trattava della carenza dei presupposti per l’adozione di un decreto-legge </w:t>
      </w:r>
      <w:r>
        <w:rPr>
          <w:i/>
        </w:rPr>
        <w:t xml:space="preserve">ex </w:t>
      </w:r>
      <w:r>
        <w:t>articolo 77 della Costituzione), che per consolidata giurisprudenza costituzionale avrebbe carattere assorbente di ogni altro profilo di incostituzionalità, e che ovviamente ha rilevanza esclusivamente interna.</w:t>
      </w:r>
    </w:p>
  </w:footnote>
  <w:footnote w:id="71">
    <w:p w:rsidR="00C7399A" w:rsidRPr="00D27AC9" w:rsidRDefault="00C7399A">
      <w:pPr>
        <w:pStyle w:val="Testonotaapidipagina"/>
      </w:pPr>
      <w:r>
        <w:rPr>
          <w:rStyle w:val="Rimandonotaapidipagina"/>
        </w:rPr>
        <w:footnoteRef/>
      </w:r>
      <w:r>
        <w:t xml:space="preserve"> Cfr. però A. RUGGERI, </w:t>
      </w:r>
      <w:r>
        <w:rPr>
          <w:i/>
        </w:rPr>
        <w:t xml:space="preserve">op. ult. cit., </w:t>
      </w:r>
      <w:r>
        <w:t>213-214, n. 10, che rileva come di questa distinzione di posizioni tra giudici di ultima istanza e giudici le cui decisioni siano impugnabili non si rinvenga traccia nelle pronunce della Corte costituzionale (le quali, in effetti, si basano molto più sul dato oggettivo della natura delle questioni interpretative esaminate – attraverso il richiamo al loro “</w:t>
      </w:r>
      <w:r>
        <w:rPr>
          <w:i/>
        </w:rPr>
        <w:t>tono costituzionale</w:t>
      </w:r>
      <w:r>
        <w:t>” quale elemento dirimente - che sulle qualità soggettive dei giudici chiamati a esaminarle).</w:t>
      </w:r>
    </w:p>
  </w:footnote>
  <w:footnote w:id="72">
    <w:p w:rsidR="00C7399A" w:rsidRPr="0081002D" w:rsidRDefault="00C7399A">
      <w:pPr>
        <w:pStyle w:val="Testonotaapidipagina"/>
      </w:pPr>
      <w:r>
        <w:rPr>
          <w:rStyle w:val="Rimandonotaapidipagina"/>
        </w:rPr>
        <w:footnoteRef/>
      </w:r>
      <w:r>
        <w:t xml:space="preserve"> Si può discutere sul piano formale della correttezza dell’attribuzione al Consiglio di Stato della qualifica di “</w:t>
      </w:r>
      <w:r>
        <w:rPr>
          <w:i/>
        </w:rPr>
        <w:t>Corte suprema</w:t>
      </w:r>
      <w:r>
        <w:t>”, alla stregua del tuttora vigente articolo 65 dell’ordinamento giudiziario (r.d. 30 gennaio 1941, n. 12), che attribuisce alla (sola) Corte di cassazione la veste di “</w:t>
      </w:r>
      <w:r>
        <w:rPr>
          <w:i/>
        </w:rPr>
        <w:t>organo supremo della giustizia</w:t>
      </w:r>
      <w:r>
        <w:t xml:space="preserve">”; ma è innegabile che in concreto, proprio grazie alla disposizione costituzionale richiamata nel testo, ad esso (così come alla Corte dei conti) sia riconosciuta in via esclusiva la funzione nomofilattica nel proprio ambito di competenza giurisdizionale, funzione dunque condivisa con la Suprema Corte nell’interesse all’uniforme interpretazione ed all’esatta osservanza della legge: cfr. A. PAJNO, </w:t>
      </w:r>
      <w:r>
        <w:rPr>
          <w:i/>
        </w:rPr>
        <w:t xml:space="preserve">Nomofilachia e giustizia amministrativa, </w:t>
      </w:r>
      <w:r>
        <w:t xml:space="preserve">in </w:t>
      </w:r>
      <w:r>
        <w:rPr>
          <w:i/>
        </w:rPr>
        <w:t xml:space="preserve">Riv. it. dir. pubbl. com., </w:t>
      </w:r>
      <w:r>
        <w:t>2015, 2, 345 ss..</w:t>
      </w:r>
    </w:p>
  </w:footnote>
  <w:footnote w:id="73">
    <w:p w:rsidR="00C7399A" w:rsidRPr="008306B9" w:rsidRDefault="00C7399A">
      <w:pPr>
        <w:pStyle w:val="Testonotaapidipagina"/>
      </w:pPr>
      <w:r>
        <w:rPr>
          <w:rStyle w:val="Rimandonotaapidipagina"/>
        </w:rPr>
        <w:footnoteRef/>
      </w:r>
      <w:r>
        <w:t xml:space="preserve"> Sulle ragioni storiche di tale doppio ruolo, e sul contributo che questo ha dato all’evoluzione della giurisdizione amministrativa verso una cognizione “</w:t>
      </w:r>
      <w:r>
        <w:rPr>
          <w:i/>
        </w:rPr>
        <w:t>piena</w:t>
      </w:r>
      <w:r>
        <w:t xml:space="preserve">” in vista della tutela effettiva dei diritti dei cittadini, cfr. A. POLICE, </w:t>
      </w:r>
      <w:r>
        <w:rPr>
          <w:i/>
        </w:rPr>
        <w:t xml:space="preserve">L’epifania della piena giurisdizione nella prima stagione della “giurisdizione propria” del Consiglio di Stato, </w:t>
      </w:r>
      <w:r>
        <w:t xml:space="preserve">in </w:t>
      </w:r>
      <w:r>
        <w:rPr>
          <w:i/>
        </w:rPr>
        <w:t xml:space="preserve">Persona e Amministrazione, </w:t>
      </w:r>
      <w:r>
        <w:t xml:space="preserve">n. 2/2018, 263 ss.. Sui vantaggi del mantenimento di tale assetto, a fronte di ricorrenti ipotesi di riforma contemplanti l’istituzione di organi di giustizia amministrativa di secondo grado e la ridefinizione del ruolo del Consiglio di Stato come giudice di sola legittimità, cfr. V. NERI, </w:t>
      </w:r>
      <w:r>
        <w:rPr>
          <w:i/>
        </w:rPr>
        <w:t xml:space="preserve">Il Consiglio di Stato nel sistema della giurisdizione amministrativa: problematiche e prospettive future, </w:t>
      </w:r>
      <w:r>
        <w:t xml:space="preserve">in </w:t>
      </w:r>
      <w:hyperlink r:id="rId27" w:history="1">
        <w:r w:rsidRPr="00E11C89">
          <w:rPr>
            <w:rStyle w:val="Collegamentoipertestuale"/>
          </w:rPr>
          <w:t>www.giustizia-amministrativa.it</w:t>
        </w:r>
      </w:hyperlink>
      <w:r>
        <w:t>, 13 dicembre 2021.</w:t>
      </w:r>
    </w:p>
  </w:footnote>
  <w:footnote w:id="74">
    <w:p w:rsidR="00C7399A" w:rsidRPr="00780089" w:rsidRDefault="00C7399A">
      <w:pPr>
        <w:pStyle w:val="Testonotaapidipagina"/>
        <w:rPr>
          <w:i/>
        </w:rPr>
      </w:pPr>
      <w:r>
        <w:rPr>
          <w:rStyle w:val="Rimandonotaapidipagina"/>
        </w:rPr>
        <w:footnoteRef/>
      </w:r>
      <w:r>
        <w:t xml:space="preserve"> Cfr. A. BARBERA, </w:t>
      </w:r>
      <w:r>
        <w:rPr>
          <w:i/>
        </w:rPr>
        <w:t>op. cit.</w:t>
      </w:r>
    </w:p>
  </w:footnote>
  <w:footnote w:id="75">
    <w:p w:rsidR="00C7399A" w:rsidRPr="00B456A7" w:rsidRDefault="00C7399A">
      <w:pPr>
        <w:pStyle w:val="Testonotaapidipagina"/>
      </w:pPr>
      <w:r>
        <w:rPr>
          <w:rStyle w:val="Rimandonotaapidipagina"/>
        </w:rPr>
        <w:footnoteRef/>
      </w:r>
      <w:r>
        <w:t xml:space="preserve"> Esula dai limiti della presente trattazione l’approfondimento del modo con cui, a partire dalle note sentenze “gemelle” n. 348 e n. 349 del 24 ottobre 2007, la Corte costituzionale ha riservato a sé il sindacato sulle norme nazionali in contrasto con la Convenzione europea dei diritti umani, considerate come “interposte” e quindi rilevanti ai fini della violazione dell’articolo 117, primo comma, della Costituzione: sull’attualità di tale approccio a fronte di più recenti tendenze a ravvisare una diretta efficacia della Convenzione, cfr. G. SCACCIA, </w:t>
      </w:r>
      <w:r w:rsidRPr="008306B9">
        <w:rPr>
          <w:i/>
        </w:rPr>
        <w:t>Sindacato accentrato di costituzionalità vs diretta applicazione della Carta dei diritti fondamentali dell’Unione europea</w:t>
      </w:r>
      <w:r>
        <w:t xml:space="preserve">, in </w:t>
      </w:r>
      <w:r w:rsidRPr="008306B9">
        <w:rPr>
          <w:i/>
        </w:rPr>
        <w:t>Forum di Quaderni Costituzionali</w:t>
      </w:r>
      <w:r>
        <w:t xml:space="preserve">, 3, 2021, 235 ss.. Sul “dialogo” instaurato tra Corte di giustizia dell’Unione europea e Corte europea dei diritti umani ai fini dell’elaborazione di </w:t>
      </w:r>
      <w:r>
        <w:rPr>
          <w:i/>
        </w:rPr>
        <w:t xml:space="preserve">standard </w:t>
      </w:r>
      <w:r>
        <w:t xml:space="preserve">comuni di tutela dei diritti, cfr. L. TOMASI, </w:t>
      </w:r>
      <w:r>
        <w:rPr>
          <w:i/>
        </w:rPr>
        <w:t xml:space="preserve">L’interazione tra Corte EDU e Corte di giustizia e la ripresa dei negoziati per l’adesione dell’UE alla CEDU, </w:t>
      </w:r>
      <w:r>
        <w:t xml:space="preserve">in </w:t>
      </w:r>
      <w:r>
        <w:rPr>
          <w:i/>
        </w:rPr>
        <w:t xml:space="preserve">Federalismi.it </w:t>
      </w:r>
      <w:r>
        <w:t>(</w:t>
      </w:r>
      <w:hyperlink r:id="rId28" w:history="1">
        <w:r w:rsidRPr="00E11C89">
          <w:rPr>
            <w:rStyle w:val="Collegamentoipertestuale"/>
          </w:rPr>
          <w:t>www.federalismi.it</w:t>
        </w:r>
      </w:hyperlink>
      <w:r>
        <w:t>), n. 20/2023, 4 agosto 2023.</w:t>
      </w:r>
    </w:p>
  </w:footnote>
  <w:footnote w:id="76">
    <w:p w:rsidR="00C7399A" w:rsidRPr="00780089" w:rsidRDefault="00C7399A">
      <w:pPr>
        <w:pStyle w:val="Testonotaapidipagina"/>
        <w:rPr>
          <w:i/>
        </w:rPr>
      </w:pPr>
      <w:r>
        <w:rPr>
          <w:rStyle w:val="Rimandonotaapidipagina"/>
        </w:rPr>
        <w:footnoteRef/>
      </w:r>
      <w:r>
        <w:t xml:space="preserve"> Cfr. G. PITRUZZELLA, </w:t>
      </w:r>
      <w:r>
        <w:rPr>
          <w:i/>
        </w:rPr>
        <w:t>op. cit.</w:t>
      </w:r>
    </w:p>
  </w:footnote>
  <w:footnote w:id="77">
    <w:p w:rsidR="00C7399A" w:rsidRPr="009E5D82" w:rsidRDefault="00C7399A">
      <w:pPr>
        <w:pStyle w:val="Testonotaapidipagina"/>
      </w:pPr>
      <w:r>
        <w:rPr>
          <w:rStyle w:val="Rimandonotaapidipagina"/>
        </w:rPr>
        <w:footnoteRef/>
      </w:r>
      <w:r>
        <w:t xml:space="preserve"> Cfr. A. RUGGERI, </w:t>
      </w:r>
      <w:r>
        <w:rPr>
          <w:i/>
        </w:rPr>
        <w:t xml:space="preserve">op. ult. cit., </w:t>
      </w:r>
      <w:r>
        <w:t>224.</w:t>
      </w:r>
    </w:p>
  </w:footnote>
  <w:footnote w:id="78">
    <w:p w:rsidR="00C7399A" w:rsidRDefault="00C7399A">
      <w:pPr>
        <w:pStyle w:val="Testonotaapidipagina"/>
      </w:pPr>
      <w:r>
        <w:rPr>
          <w:rStyle w:val="Rimandonotaapidipagina"/>
        </w:rPr>
        <w:footnoteRef/>
      </w:r>
      <w:r>
        <w:t xml:space="preserve"> Ciò traspare, ad esempio, dalla motivazione di Corte cost., sent. 12 febbraio 2024, n. 15, che può essere considerata una sorta di anticipazione dei concetti poi sviluppati nella sentenza n. 181 del 2024.</w:t>
      </w:r>
    </w:p>
  </w:footnote>
  <w:footnote w:id="79">
    <w:p w:rsidR="00C7399A" w:rsidRPr="003D651F" w:rsidRDefault="00C7399A">
      <w:pPr>
        <w:pStyle w:val="Testonotaapidipagina"/>
      </w:pPr>
      <w:r>
        <w:rPr>
          <w:rStyle w:val="Rimandonotaapidipagina"/>
        </w:rPr>
        <w:footnoteRef/>
      </w:r>
      <w:r>
        <w:t xml:space="preserve"> Cfr. A. RUGGERI, </w:t>
      </w:r>
      <w:r>
        <w:rPr>
          <w:i/>
        </w:rPr>
        <w:t xml:space="preserve">La doppia pregiudizialità torna ancora una volta alla Consulta, in attesa di successive messe a punto (a prima lettura di Corte cost. n. 181 del 2024), </w:t>
      </w:r>
      <w:r>
        <w:t>cit., 1349, secondo cui “</w:t>
      </w:r>
      <w:r>
        <w:rPr>
          <w:i/>
        </w:rPr>
        <w:t>la Consulta non sempre ha modo di attingere al proprio interno gli elementi di conoscenza di cui ha bisogno al fine di potersi pronunziare causa cognita</w:t>
      </w:r>
      <w:r>
        <w:t>”.</w:t>
      </w:r>
    </w:p>
  </w:footnote>
  <w:footnote w:id="80">
    <w:p w:rsidR="00C7399A" w:rsidRPr="00CF52F5" w:rsidRDefault="00C7399A">
      <w:pPr>
        <w:pStyle w:val="Testonotaapidipagina"/>
      </w:pPr>
      <w:r>
        <w:rPr>
          <w:rStyle w:val="Rimandonotaapidipagina"/>
        </w:rPr>
        <w:footnoteRef/>
      </w:r>
      <w:r>
        <w:t xml:space="preserve"> Cfr. M.P. CHITI, </w:t>
      </w:r>
      <w:r>
        <w:rPr>
          <w:i/>
        </w:rPr>
        <w:t xml:space="preserve">La Corte costituzionale e il primo rinvio pregiudiziale alla Corte di giustizia: verso il concerto costituzionale europeo, </w:t>
      </w:r>
      <w:r>
        <w:t xml:space="preserve">in </w:t>
      </w:r>
      <w:hyperlink r:id="rId29" w:history="1">
        <w:r w:rsidRPr="00E11C89">
          <w:rPr>
            <w:rStyle w:val="Collegamentoipertestuale"/>
          </w:rPr>
          <w:t>www.studiolegalechiti.it</w:t>
        </w:r>
      </w:hyperlink>
      <w:r>
        <w:t>, 11 novembre 2008.</w:t>
      </w:r>
    </w:p>
  </w:footnote>
  <w:footnote w:id="81">
    <w:p w:rsidR="00C7399A" w:rsidRPr="0064676B" w:rsidRDefault="00C7399A">
      <w:pPr>
        <w:pStyle w:val="Testonotaapidipagina"/>
      </w:pPr>
      <w:r>
        <w:rPr>
          <w:rStyle w:val="Rimandonotaapidipagina"/>
        </w:rPr>
        <w:footnoteRef/>
      </w:r>
      <w:r>
        <w:t xml:space="preserve"> Non è fuori luogo, forse, richiamare il concetto di “</w:t>
      </w:r>
      <w:r>
        <w:rPr>
          <w:i/>
        </w:rPr>
        <w:t>autorità di cosa interpretata</w:t>
      </w:r>
      <w:r>
        <w:t xml:space="preserve">”, elaborato dalla dottrina per descrivere il peculiare effetto </w:t>
      </w:r>
      <w:r>
        <w:rPr>
          <w:i/>
        </w:rPr>
        <w:t xml:space="preserve">erga omnes </w:t>
      </w:r>
      <w:r>
        <w:t xml:space="preserve">delle sentenze della Corte di Strasburgo nell’interpretazione che forniscono delle disposizioni della Convenzione EDU (cfr. M. CARTABIA, </w:t>
      </w:r>
      <w:r>
        <w:rPr>
          <w:i/>
        </w:rPr>
        <w:t xml:space="preserve">La Costituzione italiana e l’universalità dei diritti umani, </w:t>
      </w:r>
      <w:r>
        <w:t xml:space="preserve">in </w:t>
      </w:r>
      <w:r>
        <w:rPr>
          <w:i/>
        </w:rPr>
        <w:t xml:space="preserve">Astrid </w:t>
      </w:r>
      <w:r>
        <w:t>[</w:t>
      </w:r>
      <w:r w:rsidRPr="0064676B">
        <w:rPr>
          <w:color w:val="5B9BD5" w:themeColor="accent1"/>
          <w:u w:val="single"/>
        </w:rPr>
        <w:t>www.astrid-online.it</w:t>
      </w:r>
      <w:r>
        <w:t>], 2008, 9-10) e che ben si presta a definire anche il valore vincolante dell’interpretazione del diritto unionale fornit</w:t>
      </w:r>
      <w:r w:rsidR="00613F67">
        <w:t>a</w:t>
      </w:r>
      <w:r>
        <w:t xml:space="preserve"> dalla Corte di Lussemburgo nelle proprie sentenze pregiudiziali.</w:t>
      </w:r>
    </w:p>
  </w:footnote>
  <w:footnote w:id="82">
    <w:p w:rsidR="00C7399A" w:rsidRPr="00D52711" w:rsidRDefault="00C7399A">
      <w:pPr>
        <w:pStyle w:val="Testonotaapidipagina"/>
      </w:pPr>
      <w:r>
        <w:rPr>
          <w:rStyle w:val="Rimandonotaapidipagina"/>
        </w:rPr>
        <w:footnoteRef/>
      </w:r>
      <w:r>
        <w:t xml:space="preserve"> Cfr. L. MARUOTTI, </w:t>
      </w:r>
      <w:r>
        <w:rPr>
          <w:i/>
        </w:rPr>
        <w:t xml:space="preserve">op. cit., </w:t>
      </w:r>
      <w:r>
        <w:t>23.</w:t>
      </w:r>
    </w:p>
  </w:footnote>
  <w:footnote w:id="83">
    <w:p w:rsidR="00C7399A" w:rsidRPr="0052619E" w:rsidRDefault="00C7399A">
      <w:pPr>
        <w:pStyle w:val="Testonotaapidipagina"/>
        <w:rPr>
          <w:i/>
        </w:rPr>
      </w:pPr>
      <w:r>
        <w:rPr>
          <w:rStyle w:val="Rimandonotaapidipagina"/>
        </w:rPr>
        <w:footnoteRef/>
      </w:r>
      <w:r>
        <w:t xml:space="preserve"> Cfr., soprattutto, Corte di giustizia UE, 26 febbraio 2013, causa C-617/10, </w:t>
      </w:r>
      <w:r>
        <w:rPr>
          <w:i/>
        </w:rPr>
        <w:t>Akerberg Fransson.</w:t>
      </w:r>
    </w:p>
  </w:footnote>
  <w:footnote w:id="84">
    <w:p w:rsidR="00C7399A" w:rsidRPr="0052619E" w:rsidRDefault="00C7399A">
      <w:pPr>
        <w:pStyle w:val="Testonotaapidipagina"/>
        <w:rPr>
          <w:i/>
        </w:rPr>
      </w:pPr>
      <w:r>
        <w:rPr>
          <w:rStyle w:val="Rimandonotaapidipagina"/>
        </w:rPr>
        <w:footnoteRef/>
      </w:r>
      <w:r>
        <w:t xml:space="preserve"> F. PATRONI GRIFFI, </w:t>
      </w:r>
      <w:r>
        <w:rPr>
          <w:i/>
        </w:rPr>
        <w:t>op. cit.</w:t>
      </w:r>
    </w:p>
  </w:footnote>
  <w:footnote w:id="85">
    <w:p w:rsidR="00C7399A" w:rsidRPr="006E1E38" w:rsidRDefault="00C7399A">
      <w:pPr>
        <w:pStyle w:val="Testonotaapidipagina"/>
      </w:pPr>
      <w:r>
        <w:rPr>
          <w:rStyle w:val="Rimandonotaapidipagina"/>
        </w:rPr>
        <w:footnoteRef/>
      </w:r>
      <w:r w:rsidRPr="006E1E38">
        <w:t xml:space="preserve"> Ci si riferisce, in particolare, all’ACA-Europe (</w:t>
      </w:r>
      <w:r w:rsidRPr="006E1E38">
        <w:rPr>
          <w:i/>
        </w:rPr>
        <w:t>Association of the Councils of State and Supreme Administrative Jurisdictions of the European Union</w:t>
      </w:r>
      <w:r w:rsidRPr="006E1E38">
        <w:t>), che raggruppa le Corti supreme amministrative degli Stati membri dell’Unione, ed all’ENCJ (</w:t>
      </w:r>
      <w:r w:rsidRPr="006E1E38">
        <w:rPr>
          <w:i/>
        </w:rPr>
        <w:t>European Networks of Councils for the Judiciary</w:t>
      </w:r>
      <w:r w:rsidRPr="006E1E38">
        <w:t xml:space="preserve">), </w:t>
      </w:r>
      <w:r>
        <w:t>che è invece composta dai rappresentanti degli organi di autogoverno delle magistrature europee e focalizza la propria attenzione sui temi dell’indipendenza e dell’autonomia dell’ordine giudiziario rispetto agli altri poteri statuali.</w:t>
      </w:r>
    </w:p>
  </w:footnote>
  <w:footnote w:id="86">
    <w:p w:rsidR="00C7399A" w:rsidRPr="006E1E38" w:rsidRDefault="00C7399A">
      <w:pPr>
        <w:pStyle w:val="Testonotaapidipagina"/>
        <w:rPr>
          <w:lang w:val="en-US"/>
        </w:rPr>
      </w:pPr>
      <w:r>
        <w:rPr>
          <w:rStyle w:val="Rimandonotaapidipagina"/>
        </w:rPr>
        <w:footnoteRef/>
      </w:r>
      <w:r>
        <w:t xml:space="preserve"> F. PATRONI GRIFFI, </w:t>
      </w:r>
      <w:r>
        <w:rPr>
          <w:i/>
        </w:rPr>
        <w:t xml:space="preserve">Relazione sull’attività della Giustizia Amministrativa e discorso di insediamento del Presidente del Consiglio di Stato, </w:t>
      </w:r>
      <w:r>
        <w:t>Roma, 2019, 56. Per chiarire maggiormente il punto, può essere utile riportare un brano del discorso con cui il Presidente del Consiglio di Stato ha inaugurato il 31 maggio 2021 il biennio di presidenza italiana dell’ACA-Europe: “</w:t>
      </w:r>
      <w:r w:rsidRPr="006E1E38">
        <w:rPr>
          <w:i/>
          <w:color w:val="333333"/>
          <w:shd w:val="clear" w:color="auto" w:fill="FFFFFF"/>
        </w:rPr>
        <w:t xml:space="preserve">The Italian presidency will focus, as you already know, on the so-called horizontal dialogue among Supreme Administrative Courts. </w:t>
      </w:r>
      <w:r w:rsidRPr="006E1E38">
        <w:rPr>
          <w:i/>
          <w:color w:val="333333"/>
          <w:shd w:val="clear" w:color="auto" w:fill="FFFFFF"/>
          <w:lang w:val="en-US"/>
        </w:rPr>
        <w:t>What Germany initiated, and Italy, from today onwards, will carry forward, will be to verify, in a historical, comparative, supranational perspective, the possibility of developing a homogeneous judicial review of public power, within European legal space. From a different point of view, the aim would be to achieve a common standard of legal protection of individuals and enterprises by European administrative Courts, covering also non-harmonised areas. An effective European citizenship requires common standards of legal protection by Courts in the European legal space</w:t>
      </w:r>
      <w:r>
        <w:rPr>
          <w:color w:val="333333"/>
          <w:shd w:val="clear" w:color="auto" w:fill="FFFFFF"/>
          <w:lang w:val="en-US"/>
        </w:rPr>
        <w:t>”.</w:t>
      </w:r>
    </w:p>
  </w:footnote>
  <w:footnote w:id="87">
    <w:p w:rsidR="00C7399A" w:rsidRPr="00C7399A" w:rsidRDefault="00C7399A">
      <w:pPr>
        <w:pStyle w:val="Testonotaapidipagina"/>
        <w:rPr>
          <w:lang w:val="en-US"/>
        </w:rPr>
      </w:pPr>
      <w:r>
        <w:rPr>
          <w:rStyle w:val="Rimandonotaapidipagina"/>
        </w:rPr>
        <w:footnoteRef/>
      </w:r>
      <w:r w:rsidRPr="00C7399A">
        <w:rPr>
          <w:lang w:val="en-US"/>
        </w:rPr>
        <w:t xml:space="preserve"> Corte cost., sent. 12 febbraio 2025, n. 31, cit..</w:t>
      </w:r>
    </w:p>
  </w:footnote>
  <w:footnote w:id="88">
    <w:p w:rsidR="00D83EDC" w:rsidRPr="00D83EDC" w:rsidRDefault="00D83EDC">
      <w:pPr>
        <w:pStyle w:val="Testonotaapidipagina"/>
      </w:pPr>
      <w:r>
        <w:rPr>
          <w:rStyle w:val="Rimandonotaapidipagina"/>
        </w:rPr>
        <w:footnoteRef/>
      </w:r>
      <w:r>
        <w:t xml:space="preserve"> Cfr. P. DE PASQUALE – O. PALLOTTA, </w:t>
      </w:r>
      <w:r>
        <w:rPr>
          <w:i/>
        </w:rPr>
        <w:t xml:space="preserve">op. cit., </w:t>
      </w:r>
      <w:r>
        <w:t>175, che citano come esempio le recenti polemiche insorte, nell’applicazione della disciplina nazionale in materia di rimpatrio degli immigrati irregolari, in ordine alla nozione di “</w:t>
      </w:r>
      <w:r>
        <w:rPr>
          <w:i/>
        </w:rPr>
        <w:t>paese di origine sicuro</w:t>
      </w:r>
      <w:r>
        <w:t>”.</w:t>
      </w:r>
    </w:p>
  </w:footnote>
  <w:footnote w:id="89">
    <w:p w:rsidR="001F4329" w:rsidRPr="00256D77" w:rsidRDefault="001F4329">
      <w:pPr>
        <w:pStyle w:val="Testonotaapidipagina"/>
      </w:pPr>
      <w:r>
        <w:rPr>
          <w:rStyle w:val="Rimandonotaapidipagina"/>
        </w:rPr>
        <w:footnoteRef/>
      </w:r>
      <w:r>
        <w:t xml:space="preserve"> Il pensiero non può non andare alla grave situazione dei rapporti tra Governo e ordine giudiziario in Ungheria, che è sfociata in una sentenza della Corte di giustizia nella quale è stato stigmatizzato il fatto che un procedimento disciplinare potesse essere iniziato nei confronti di un giudice per il solo fatto che quest’ultimo avesse presentato alla Corte una domanda di pronuncia pregiudiziale (Corte di giustizia UE, gr. sez., 23 novembre 2021, causa C-564/19), oppure, per restare al nostro Paese</w:t>
      </w:r>
      <w:r w:rsidR="00256D77">
        <w:t xml:space="preserve"> (e su di un piano del tutto diverso)</w:t>
      </w:r>
      <w:r>
        <w:t>, al pensiero autorevolmente espresso da un rappresentante del Governo in senso</w:t>
      </w:r>
      <w:r w:rsidR="00256D77">
        <w:t xml:space="preserve"> tendenzialmente</w:t>
      </w:r>
      <w:r>
        <w:t xml:space="preserve"> sfavorevole alla disapplicazione della norma italiana contrastante con il diritto dell’Unione europea</w:t>
      </w:r>
      <w:r w:rsidR="00256D77">
        <w:t>, essendo la norma nazionale promanante “</w:t>
      </w:r>
      <w:r w:rsidR="00256D77" w:rsidRPr="00256D77">
        <w:rPr>
          <w:i/>
          <w:spacing w:val="3"/>
          <w:shd w:val="clear" w:color="auto" w:fill="FFFFFF"/>
        </w:rPr>
        <w:t>da una fonte non direttamente rappresentativa della sovranità popolare</w:t>
      </w:r>
      <w:r w:rsidR="00256D77" w:rsidRPr="00256D77">
        <w:rPr>
          <w:spacing w:val="3"/>
          <w:shd w:val="clear" w:color="auto" w:fill="FFFFFF"/>
        </w:rPr>
        <w:t>” ovvero consistente nella “</w:t>
      </w:r>
      <w:r w:rsidR="00256D77" w:rsidRPr="00256D77">
        <w:rPr>
          <w:i/>
          <w:spacing w:val="3"/>
          <w:shd w:val="clear" w:color="auto" w:fill="FFFFFF"/>
        </w:rPr>
        <w:t>estrapolazione di brani di decisioni emesse da Corti sovranazionali</w:t>
      </w:r>
      <w:r w:rsidR="00256D77" w:rsidRPr="00256D77">
        <w:rPr>
          <w:spacing w:val="3"/>
          <w:shd w:val="clear" w:color="auto" w:fill="FFFFFF"/>
        </w:rPr>
        <w:t>”</w:t>
      </w:r>
      <w:r w:rsidR="00256D77">
        <w:rPr>
          <w:spacing w:val="3"/>
          <w:shd w:val="clear" w:color="auto" w:fill="FFFFFF"/>
        </w:rPr>
        <w:t>, fino a denunciare “</w:t>
      </w:r>
      <w:r w:rsidR="00256D77" w:rsidRPr="00256D77">
        <w:rPr>
          <w:i/>
          <w:spacing w:val="3"/>
          <w:shd w:val="clear" w:color="auto" w:fill="FFFFFF"/>
        </w:rPr>
        <w:t>il rischio di un corto circuito del principio di legalità</w:t>
      </w:r>
      <w:r w:rsidR="00256D77">
        <w:rPr>
          <w:spacing w:val="3"/>
          <w:shd w:val="clear" w:color="auto" w:fill="FFFFFF"/>
        </w:rPr>
        <w:t>”: “</w:t>
      </w:r>
      <w:r w:rsidR="00256D77" w:rsidRPr="00256D77">
        <w:rPr>
          <w:i/>
          <w:color w:val="333333"/>
          <w:spacing w:val="3"/>
          <w:shd w:val="clear" w:color="auto" w:fill="FFFFFF"/>
        </w:rPr>
        <w:t>Dal giusto obiettivo di creare ordinamenti sovranazionali che assicurino la pace e la giustizia fra le nazioni, tracciato dall’art. 11 Cost., si è passati a ordinamenti che estendono sempre più i propri ambiti di intervento, ben oltre le competenze attribuite dai trattati. Senza essere depositari di sovranità popolare: perché manca il presupposto fondativo di una costituente di matrice popolare</w:t>
      </w:r>
      <w:r w:rsidR="00256D77">
        <w:rPr>
          <w:color w:val="333333"/>
          <w:spacing w:val="3"/>
          <w:shd w:val="clear" w:color="auto" w:fill="FFFFFF"/>
        </w:rPr>
        <w:t xml:space="preserve">” (A. MANTOVANO, </w:t>
      </w:r>
      <w:r w:rsidR="00256D77">
        <w:rPr>
          <w:i/>
          <w:color w:val="333333"/>
          <w:spacing w:val="3"/>
          <w:shd w:val="clear" w:color="auto" w:fill="FFFFFF"/>
        </w:rPr>
        <w:t xml:space="preserve">Il principio di legalità nell’età del costituzionalismo multilivello, </w:t>
      </w:r>
      <w:r w:rsidR="00256D77">
        <w:rPr>
          <w:color w:val="333333"/>
          <w:spacing w:val="3"/>
          <w:shd w:val="clear" w:color="auto" w:fill="FFFFFF"/>
        </w:rPr>
        <w:t xml:space="preserve">Intervento al Convegno di studi “Giustizia al servizio del Paese – Il principio di legalità”, 22 novembre 2024, in </w:t>
      </w:r>
      <w:hyperlink r:id="rId30" w:history="1">
        <w:r w:rsidR="00256D77" w:rsidRPr="00E11C89">
          <w:rPr>
            <w:rStyle w:val="Collegamentoipertestuale"/>
            <w:spacing w:val="3"/>
            <w:shd w:val="clear" w:color="auto" w:fill="FFFFFF"/>
          </w:rPr>
          <w:t>www.governo.it</w:t>
        </w:r>
      </w:hyperlink>
      <w:r w:rsidR="00256D77">
        <w:rPr>
          <w:color w:val="333333"/>
          <w:spacing w:val="3"/>
          <w:shd w:val="clear" w:color="auto" w:fill="FFFFFF"/>
        </w:rPr>
        <w:t>).</w:t>
      </w:r>
    </w:p>
  </w:footnote>
  <w:footnote w:id="90">
    <w:p w:rsidR="00256D77" w:rsidRPr="00EC2E1E" w:rsidRDefault="00256D77">
      <w:pPr>
        <w:pStyle w:val="Testonotaapidipagina"/>
      </w:pPr>
      <w:r>
        <w:rPr>
          <w:rStyle w:val="Rimandonotaapidipagina"/>
        </w:rPr>
        <w:footnoteRef/>
      </w:r>
      <w:r>
        <w:t xml:space="preserve"> L’espressione “</w:t>
      </w:r>
      <w:r>
        <w:rPr>
          <w:i/>
        </w:rPr>
        <w:t>sovranismo giudiziario</w:t>
      </w:r>
      <w:r>
        <w:t>”</w:t>
      </w:r>
      <w:r w:rsidR="009B1B7F">
        <w:t xml:space="preserve"> (o “</w:t>
      </w:r>
      <w:r w:rsidR="009B1B7F">
        <w:rPr>
          <w:i/>
        </w:rPr>
        <w:t>giuridico</w:t>
      </w:r>
      <w:r w:rsidR="009B1B7F">
        <w:t>”)</w:t>
      </w:r>
      <w:r>
        <w:t xml:space="preserve">, con riferimento a un </w:t>
      </w:r>
      <w:r w:rsidR="009B1B7F">
        <w:t xml:space="preserve">prospettato </w:t>
      </w:r>
      <w:r>
        <w:t xml:space="preserve">abbandono da parte dei giudici nazionali degli ormai consolidati </w:t>
      </w:r>
      <w:r w:rsidR="00EC2E1E">
        <w:t xml:space="preserve">criteri per la risoluzione delle </w:t>
      </w:r>
      <w:r w:rsidR="009B1B7F">
        <w:t>antin</w:t>
      </w:r>
      <w:r w:rsidR="00EC2E1E">
        <w:t xml:space="preserve">omie tra fonti nel sistema multilivello (obbligo di disapplicazione della norma interna contrastante con quella europea, rinvio pregiudiziale </w:t>
      </w:r>
      <w:r w:rsidR="00EC2E1E">
        <w:rPr>
          <w:i/>
        </w:rPr>
        <w:t xml:space="preserve">ex </w:t>
      </w:r>
      <w:r w:rsidR="00EC2E1E">
        <w:t xml:space="preserve">articolo 267 TFUE quale strumento unico di risoluzione dei dubbi interpretativi), è stata utilizzata sia a livello giornalistico (cfr. C. INTRIERI, </w:t>
      </w:r>
      <w:r w:rsidR="00EC2E1E">
        <w:rPr>
          <w:i/>
        </w:rPr>
        <w:t xml:space="preserve">La legge del più forte: il manifesto del sovranismo giudiziario e Mantovano, </w:t>
      </w:r>
      <w:r w:rsidR="00EC2E1E">
        <w:t xml:space="preserve">in </w:t>
      </w:r>
      <w:r w:rsidR="00EC2E1E">
        <w:rPr>
          <w:i/>
        </w:rPr>
        <w:t xml:space="preserve">Domani, </w:t>
      </w:r>
      <w:r w:rsidR="00EC2E1E">
        <w:t xml:space="preserve">9 aprile 2025) che nel dibattito dottrinario (cfr. G. MARTINICO – L. PIERDOMINICI </w:t>
      </w:r>
      <w:r w:rsidR="009B1B7F">
        <w:t>[</w:t>
      </w:r>
      <w:r w:rsidR="00EC2E1E">
        <w:t>a cura di</w:t>
      </w:r>
      <w:r w:rsidR="009B1B7F">
        <w:t>]</w:t>
      </w:r>
      <w:r w:rsidR="00EC2E1E">
        <w:t xml:space="preserve">, </w:t>
      </w:r>
      <w:r w:rsidR="00EC2E1E">
        <w:rPr>
          <w:i/>
        </w:rPr>
        <w:t xml:space="preserve">Miserie del sovranismo giuridico. Il valore aggiunto del costituzionalismo europeo, </w:t>
      </w:r>
      <w:r w:rsidR="00EC2E1E">
        <w:t>Roma, 2023).</w:t>
      </w:r>
    </w:p>
  </w:footnote>
  <w:footnote w:id="91">
    <w:p w:rsidR="00EC2E1E" w:rsidRPr="00EC2E1E" w:rsidRDefault="00EC2E1E">
      <w:pPr>
        <w:pStyle w:val="Testonotaapidipagina"/>
      </w:pPr>
      <w:r>
        <w:rPr>
          <w:rStyle w:val="Rimandonotaapidipagina"/>
        </w:rPr>
        <w:footnoteRef/>
      </w:r>
      <w:r>
        <w:t xml:space="preserve"> Cfr. N. ROSSI, </w:t>
      </w:r>
      <w:r>
        <w:rPr>
          <w:i/>
        </w:rPr>
        <w:t xml:space="preserve">Premierato elettivo e organi di garanzia. Toccare la Costituzione con mano tremante, </w:t>
      </w:r>
      <w:r>
        <w:t xml:space="preserve">in </w:t>
      </w:r>
      <w:r>
        <w:rPr>
          <w:i/>
        </w:rPr>
        <w:t xml:space="preserve">Questione Giustizia </w:t>
      </w:r>
      <w:r>
        <w:t>(</w:t>
      </w:r>
      <w:hyperlink r:id="rId31" w:history="1">
        <w:r w:rsidRPr="00E11C89">
          <w:rPr>
            <w:rStyle w:val="Collegamentoipertestuale"/>
          </w:rPr>
          <w:t>www.questionegiustizia.it</w:t>
        </w:r>
      </w:hyperlink>
      <w:r>
        <w:t>), n. 4/2024.</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399A" w:rsidRDefault="00C7399A">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399A" w:rsidRDefault="00C7399A">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399A" w:rsidRDefault="00C7399A">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D365F6E"/>
    <w:multiLevelType w:val="hybridMultilevel"/>
    <w:tmpl w:val="C4E6688C"/>
    <w:lvl w:ilvl="0" w:tplc="13307602">
      <w:start w:val="1"/>
      <w:numFmt w:val="lowerLetter"/>
      <w:lvlText w:val="%1)"/>
      <w:lvlJc w:val="left"/>
      <w:pPr>
        <w:ind w:left="786" w:hanging="360"/>
      </w:pPr>
      <w:rPr>
        <w:rFonts w:hint="default"/>
        <w:i/>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7FBA"/>
    <w:rsid w:val="00011D66"/>
    <w:rsid w:val="00022DA5"/>
    <w:rsid w:val="00070326"/>
    <w:rsid w:val="00081907"/>
    <w:rsid w:val="000863E4"/>
    <w:rsid w:val="000D3DCF"/>
    <w:rsid w:val="000D64A4"/>
    <w:rsid w:val="00101406"/>
    <w:rsid w:val="00130DD6"/>
    <w:rsid w:val="00147405"/>
    <w:rsid w:val="00160311"/>
    <w:rsid w:val="001B01E9"/>
    <w:rsid w:val="001D1F13"/>
    <w:rsid w:val="001D4289"/>
    <w:rsid w:val="001F4329"/>
    <w:rsid w:val="00220F62"/>
    <w:rsid w:val="002314DE"/>
    <w:rsid w:val="00253FC2"/>
    <w:rsid w:val="00256D77"/>
    <w:rsid w:val="00272FFC"/>
    <w:rsid w:val="0028313D"/>
    <w:rsid w:val="002B0698"/>
    <w:rsid w:val="002F5015"/>
    <w:rsid w:val="003164BE"/>
    <w:rsid w:val="003316A8"/>
    <w:rsid w:val="003650FF"/>
    <w:rsid w:val="00383D7C"/>
    <w:rsid w:val="003B3313"/>
    <w:rsid w:val="003C7F91"/>
    <w:rsid w:val="003D2934"/>
    <w:rsid w:val="003D651F"/>
    <w:rsid w:val="003E28B7"/>
    <w:rsid w:val="003F002C"/>
    <w:rsid w:val="0043450A"/>
    <w:rsid w:val="00486E01"/>
    <w:rsid w:val="004B52C9"/>
    <w:rsid w:val="004C3449"/>
    <w:rsid w:val="004D5E4B"/>
    <w:rsid w:val="004E6E01"/>
    <w:rsid w:val="005035D0"/>
    <w:rsid w:val="0052619E"/>
    <w:rsid w:val="005506A6"/>
    <w:rsid w:val="00581D4F"/>
    <w:rsid w:val="005C18AA"/>
    <w:rsid w:val="0060758B"/>
    <w:rsid w:val="00613F67"/>
    <w:rsid w:val="0064676B"/>
    <w:rsid w:val="0067671D"/>
    <w:rsid w:val="006B1D1F"/>
    <w:rsid w:val="006B1FED"/>
    <w:rsid w:val="006B740E"/>
    <w:rsid w:val="006C15D0"/>
    <w:rsid w:val="006D266C"/>
    <w:rsid w:val="006E1E38"/>
    <w:rsid w:val="00747D97"/>
    <w:rsid w:val="00762E83"/>
    <w:rsid w:val="00780089"/>
    <w:rsid w:val="00784D15"/>
    <w:rsid w:val="0078714E"/>
    <w:rsid w:val="007F37A7"/>
    <w:rsid w:val="0081002D"/>
    <w:rsid w:val="008306B9"/>
    <w:rsid w:val="0085684A"/>
    <w:rsid w:val="008A6CC4"/>
    <w:rsid w:val="008B6766"/>
    <w:rsid w:val="008D5BFE"/>
    <w:rsid w:val="008E05EE"/>
    <w:rsid w:val="008E6CAF"/>
    <w:rsid w:val="009119CC"/>
    <w:rsid w:val="009A5B64"/>
    <w:rsid w:val="009B1B7F"/>
    <w:rsid w:val="009C269C"/>
    <w:rsid w:val="009C675E"/>
    <w:rsid w:val="009E5B2C"/>
    <w:rsid w:val="009E5D82"/>
    <w:rsid w:val="009E6237"/>
    <w:rsid w:val="009F3F7B"/>
    <w:rsid w:val="00A12450"/>
    <w:rsid w:val="00A27409"/>
    <w:rsid w:val="00A31817"/>
    <w:rsid w:val="00A41C23"/>
    <w:rsid w:val="00A42428"/>
    <w:rsid w:val="00A43592"/>
    <w:rsid w:val="00A80BB8"/>
    <w:rsid w:val="00AD3E19"/>
    <w:rsid w:val="00AD7DE7"/>
    <w:rsid w:val="00B149EB"/>
    <w:rsid w:val="00B3686C"/>
    <w:rsid w:val="00B405AB"/>
    <w:rsid w:val="00B456A7"/>
    <w:rsid w:val="00B53FC6"/>
    <w:rsid w:val="00B851FA"/>
    <w:rsid w:val="00BC5CAD"/>
    <w:rsid w:val="00BD7465"/>
    <w:rsid w:val="00BE5AE0"/>
    <w:rsid w:val="00C540B4"/>
    <w:rsid w:val="00C72F53"/>
    <w:rsid w:val="00C7399A"/>
    <w:rsid w:val="00CC1AD7"/>
    <w:rsid w:val="00CD25A6"/>
    <w:rsid w:val="00CE30B5"/>
    <w:rsid w:val="00CF52F5"/>
    <w:rsid w:val="00D10A33"/>
    <w:rsid w:val="00D27AC9"/>
    <w:rsid w:val="00D36EC9"/>
    <w:rsid w:val="00D52711"/>
    <w:rsid w:val="00D55D06"/>
    <w:rsid w:val="00D83EDC"/>
    <w:rsid w:val="00DB3D38"/>
    <w:rsid w:val="00EC2E1E"/>
    <w:rsid w:val="00EC6FAD"/>
    <w:rsid w:val="00ED44D7"/>
    <w:rsid w:val="00ED7FBA"/>
    <w:rsid w:val="00F27DB5"/>
    <w:rsid w:val="00F432E0"/>
    <w:rsid w:val="00F544B1"/>
    <w:rsid w:val="00F8334A"/>
    <w:rsid w:val="00F84D0F"/>
    <w:rsid w:val="00FF2BF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ECFF89"/>
  <w15:chartTrackingRefBased/>
  <w15:docId w15:val="{B1D5A57A-0F52-4758-9C87-331FA75F1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it-IT"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4B52C9"/>
    <w:pPr>
      <w:ind w:left="720"/>
      <w:contextualSpacing/>
    </w:pPr>
  </w:style>
  <w:style w:type="paragraph" w:styleId="Testonotaapidipagina">
    <w:name w:val="footnote text"/>
    <w:basedOn w:val="Normale"/>
    <w:link w:val="TestonotaapidipaginaCarattere"/>
    <w:uiPriority w:val="99"/>
    <w:semiHidden/>
    <w:unhideWhenUsed/>
    <w:rsid w:val="00D55D06"/>
    <w:rPr>
      <w:sz w:val="20"/>
      <w:szCs w:val="20"/>
    </w:rPr>
  </w:style>
  <w:style w:type="character" w:customStyle="1" w:styleId="TestonotaapidipaginaCarattere">
    <w:name w:val="Testo nota a piè di pagina Carattere"/>
    <w:basedOn w:val="Carpredefinitoparagrafo"/>
    <w:link w:val="Testonotaapidipagina"/>
    <w:uiPriority w:val="99"/>
    <w:semiHidden/>
    <w:rsid w:val="00D55D06"/>
    <w:rPr>
      <w:sz w:val="20"/>
      <w:szCs w:val="20"/>
    </w:rPr>
  </w:style>
  <w:style w:type="character" w:styleId="Rimandonotaapidipagina">
    <w:name w:val="footnote reference"/>
    <w:basedOn w:val="Carpredefinitoparagrafo"/>
    <w:uiPriority w:val="99"/>
    <w:semiHidden/>
    <w:unhideWhenUsed/>
    <w:rsid w:val="00D55D06"/>
    <w:rPr>
      <w:vertAlign w:val="superscript"/>
    </w:rPr>
  </w:style>
  <w:style w:type="character" w:styleId="Collegamentoipertestuale">
    <w:name w:val="Hyperlink"/>
    <w:basedOn w:val="Carpredefinitoparagrafo"/>
    <w:uiPriority w:val="99"/>
    <w:unhideWhenUsed/>
    <w:rsid w:val="009A5B64"/>
    <w:rPr>
      <w:color w:val="0563C1" w:themeColor="hyperlink"/>
      <w:u w:val="single"/>
    </w:rPr>
  </w:style>
  <w:style w:type="character" w:styleId="Enfasicorsivo">
    <w:name w:val="Emphasis"/>
    <w:basedOn w:val="Carpredefinitoparagrafo"/>
    <w:uiPriority w:val="20"/>
    <w:qFormat/>
    <w:rsid w:val="009C269C"/>
    <w:rPr>
      <w:i/>
      <w:iCs/>
    </w:rPr>
  </w:style>
  <w:style w:type="character" w:styleId="Enfasigrassetto">
    <w:name w:val="Strong"/>
    <w:basedOn w:val="Carpredefinitoparagrafo"/>
    <w:uiPriority w:val="22"/>
    <w:qFormat/>
    <w:rsid w:val="009C675E"/>
    <w:rPr>
      <w:b/>
      <w:bCs/>
    </w:rPr>
  </w:style>
  <w:style w:type="paragraph" w:styleId="Intestazione">
    <w:name w:val="header"/>
    <w:basedOn w:val="Normale"/>
    <w:link w:val="IntestazioneCarattere"/>
    <w:uiPriority w:val="99"/>
    <w:unhideWhenUsed/>
    <w:rsid w:val="003316A8"/>
    <w:pPr>
      <w:tabs>
        <w:tab w:val="center" w:pos="4819"/>
        <w:tab w:val="right" w:pos="9638"/>
      </w:tabs>
    </w:pPr>
  </w:style>
  <w:style w:type="character" w:customStyle="1" w:styleId="IntestazioneCarattere">
    <w:name w:val="Intestazione Carattere"/>
    <w:basedOn w:val="Carpredefinitoparagrafo"/>
    <w:link w:val="Intestazione"/>
    <w:uiPriority w:val="99"/>
    <w:rsid w:val="003316A8"/>
  </w:style>
  <w:style w:type="paragraph" w:styleId="Pidipagina">
    <w:name w:val="footer"/>
    <w:basedOn w:val="Normale"/>
    <w:link w:val="PidipaginaCarattere"/>
    <w:uiPriority w:val="99"/>
    <w:unhideWhenUsed/>
    <w:rsid w:val="003316A8"/>
    <w:pPr>
      <w:tabs>
        <w:tab w:val="center" w:pos="4819"/>
        <w:tab w:val="right" w:pos="9638"/>
      </w:tabs>
    </w:pPr>
  </w:style>
  <w:style w:type="character" w:customStyle="1" w:styleId="PidipaginaCarattere">
    <w:name w:val="Piè di pagina Carattere"/>
    <w:basedOn w:val="Carpredefinitoparagrafo"/>
    <w:link w:val="Pidipagina"/>
    <w:uiPriority w:val="99"/>
    <w:rsid w:val="003316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3885676">
      <w:bodyDiv w:val="1"/>
      <w:marLeft w:val="0"/>
      <w:marRight w:val="0"/>
      <w:marTop w:val="0"/>
      <w:marBottom w:val="0"/>
      <w:divBdr>
        <w:top w:val="none" w:sz="0" w:space="0" w:color="auto"/>
        <w:left w:val="none" w:sz="0" w:space="0" w:color="auto"/>
        <w:bottom w:val="none" w:sz="0" w:space="0" w:color="auto"/>
        <w:right w:val="none" w:sz="0" w:space="0" w:color="auto"/>
      </w:divBdr>
      <w:divsChild>
        <w:div w:id="1724522449">
          <w:marLeft w:val="0"/>
          <w:marRight w:val="0"/>
          <w:marTop w:val="0"/>
          <w:marBottom w:val="0"/>
          <w:divBdr>
            <w:top w:val="none" w:sz="0" w:space="0" w:color="auto"/>
            <w:left w:val="none" w:sz="0" w:space="0" w:color="auto"/>
            <w:bottom w:val="none" w:sz="0" w:space="0" w:color="auto"/>
            <w:right w:val="none" w:sz="0" w:space="0" w:color="auto"/>
          </w:divBdr>
        </w:div>
        <w:div w:id="558513400">
          <w:marLeft w:val="0"/>
          <w:marRight w:val="0"/>
          <w:marTop w:val="0"/>
          <w:marBottom w:val="0"/>
          <w:divBdr>
            <w:top w:val="none" w:sz="0" w:space="0" w:color="auto"/>
            <w:left w:val="none" w:sz="0" w:space="0" w:color="auto"/>
            <w:bottom w:val="none" w:sz="0" w:space="0" w:color="auto"/>
            <w:right w:val="none" w:sz="0" w:space="0" w:color="auto"/>
          </w:divBdr>
        </w:div>
        <w:div w:id="270750042">
          <w:marLeft w:val="0"/>
          <w:marRight w:val="0"/>
          <w:marTop w:val="0"/>
          <w:marBottom w:val="0"/>
          <w:divBdr>
            <w:top w:val="none" w:sz="0" w:space="0" w:color="auto"/>
            <w:left w:val="none" w:sz="0" w:space="0" w:color="auto"/>
            <w:bottom w:val="none" w:sz="0" w:space="0" w:color="auto"/>
            <w:right w:val="none" w:sz="0" w:space="0" w:color="auto"/>
          </w:divBdr>
        </w:div>
        <w:div w:id="168837145">
          <w:marLeft w:val="0"/>
          <w:marRight w:val="0"/>
          <w:marTop w:val="0"/>
          <w:marBottom w:val="0"/>
          <w:divBdr>
            <w:top w:val="none" w:sz="0" w:space="0" w:color="auto"/>
            <w:left w:val="none" w:sz="0" w:space="0" w:color="auto"/>
            <w:bottom w:val="none" w:sz="0" w:space="0" w:color="auto"/>
            <w:right w:val="none" w:sz="0" w:space="0" w:color="auto"/>
          </w:divBdr>
        </w:div>
        <w:div w:id="417794970">
          <w:marLeft w:val="0"/>
          <w:marRight w:val="0"/>
          <w:marTop w:val="0"/>
          <w:marBottom w:val="0"/>
          <w:divBdr>
            <w:top w:val="none" w:sz="0" w:space="0" w:color="auto"/>
            <w:left w:val="none" w:sz="0" w:space="0" w:color="auto"/>
            <w:bottom w:val="none" w:sz="0" w:space="0" w:color="auto"/>
            <w:right w:val="none" w:sz="0" w:space="0" w:color="auto"/>
          </w:divBdr>
        </w:div>
        <w:div w:id="516309884">
          <w:marLeft w:val="0"/>
          <w:marRight w:val="0"/>
          <w:marTop w:val="0"/>
          <w:marBottom w:val="0"/>
          <w:divBdr>
            <w:top w:val="none" w:sz="0" w:space="0" w:color="auto"/>
            <w:left w:val="none" w:sz="0" w:space="0" w:color="auto"/>
            <w:bottom w:val="none" w:sz="0" w:space="0" w:color="auto"/>
            <w:right w:val="none" w:sz="0" w:space="0" w:color="auto"/>
          </w:divBdr>
        </w:div>
      </w:divsChild>
    </w:div>
    <w:div w:id="979072881">
      <w:bodyDiv w:val="1"/>
      <w:marLeft w:val="0"/>
      <w:marRight w:val="0"/>
      <w:marTop w:val="0"/>
      <w:marBottom w:val="0"/>
      <w:divBdr>
        <w:top w:val="none" w:sz="0" w:space="0" w:color="auto"/>
        <w:left w:val="none" w:sz="0" w:space="0" w:color="auto"/>
        <w:bottom w:val="none" w:sz="0" w:space="0" w:color="auto"/>
        <w:right w:val="none" w:sz="0" w:space="0" w:color="auto"/>
      </w:divBdr>
      <w:divsChild>
        <w:div w:id="1400707272">
          <w:marLeft w:val="0"/>
          <w:marRight w:val="0"/>
          <w:marTop w:val="0"/>
          <w:marBottom w:val="0"/>
          <w:divBdr>
            <w:top w:val="none" w:sz="0" w:space="0" w:color="auto"/>
            <w:left w:val="none" w:sz="0" w:space="0" w:color="auto"/>
            <w:bottom w:val="none" w:sz="0" w:space="0" w:color="auto"/>
            <w:right w:val="none" w:sz="0" w:space="0" w:color="auto"/>
          </w:divBdr>
        </w:div>
        <w:div w:id="1118062265">
          <w:marLeft w:val="0"/>
          <w:marRight w:val="0"/>
          <w:marTop w:val="0"/>
          <w:marBottom w:val="0"/>
          <w:divBdr>
            <w:top w:val="none" w:sz="0" w:space="0" w:color="auto"/>
            <w:left w:val="none" w:sz="0" w:space="0" w:color="auto"/>
            <w:bottom w:val="none" w:sz="0" w:space="0" w:color="auto"/>
            <w:right w:val="none" w:sz="0" w:space="0" w:color="auto"/>
          </w:divBdr>
        </w:div>
      </w:divsChild>
    </w:div>
    <w:div w:id="1475561807">
      <w:bodyDiv w:val="1"/>
      <w:marLeft w:val="0"/>
      <w:marRight w:val="0"/>
      <w:marTop w:val="0"/>
      <w:marBottom w:val="0"/>
      <w:divBdr>
        <w:top w:val="none" w:sz="0" w:space="0" w:color="auto"/>
        <w:left w:val="none" w:sz="0" w:space="0" w:color="auto"/>
        <w:bottom w:val="none" w:sz="0" w:space="0" w:color="auto"/>
        <w:right w:val="none" w:sz="0" w:space="0" w:color="auto"/>
      </w:divBdr>
      <w:divsChild>
        <w:div w:id="342437331">
          <w:marLeft w:val="0"/>
          <w:marRight w:val="0"/>
          <w:marTop w:val="0"/>
          <w:marBottom w:val="0"/>
          <w:divBdr>
            <w:top w:val="none" w:sz="0" w:space="0" w:color="auto"/>
            <w:left w:val="none" w:sz="0" w:space="0" w:color="auto"/>
            <w:bottom w:val="none" w:sz="0" w:space="0" w:color="auto"/>
            <w:right w:val="none" w:sz="0" w:space="0" w:color="auto"/>
          </w:divBdr>
        </w:div>
        <w:div w:id="2111660485">
          <w:marLeft w:val="0"/>
          <w:marRight w:val="0"/>
          <w:marTop w:val="0"/>
          <w:marBottom w:val="0"/>
          <w:divBdr>
            <w:top w:val="none" w:sz="0" w:space="0" w:color="auto"/>
            <w:left w:val="none" w:sz="0" w:space="0" w:color="auto"/>
            <w:bottom w:val="none" w:sz="0" w:space="0" w:color="auto"/>
            <w:right w:val="none" w:sz="0" w:space="0" w:color="auto"/>
          </w:divBdr>
        </w:div>
        <w:div w:id="1856266110">
          <w:marLeft w:val="0"/>
          <w:marRight w:val="0"/>
          <w:marTop w:val="0"/>
          <w:marBottom w:val="0"/>
          <w:divBdr>
            <w:top w:val="none" w:sz="0" w:space="0" w:color="auto"/>
            <w:left w:val="none" w:sz="0" w:space="0" w:color="auto"/>
            <w:bottom w:val="none" w:sz="0" w:space="0" w:color="auto"/>
            <w:right w:val="none" w:sz="0" w:space="0" w:color="auto"/>
          </w:divBdr>
        </w:div>
        <w:div w:id="46606975">
          <w:marLeft w:val="0"/>
          <w:marRight w:val="0"/>
          <w:marTop w:val="0"/>
          <w:marBottom w:val="0"/>
          <w:divBdr>
            <w:top w:val="none" w:sz="0" w:space="0" w:color="auto"/>
            <w:left w:val="none" w:sz="0" w:space="0" w:color="auto"/>
            <w:bottom w:val="none" w:sz="0" w:space="0" w:color="auto"/>
            <w:right w:val="none" w:sz="0" w:space="0" w:color="auto"/>
          </w:divBdr>
        </w:div>
        <w:div w:id="1773864314">
          <w:marLeft w:val="0"/>
          <w:marRight w:val="0"/>
          <w:marTop w:val="0"/>
          <w:marBottom w:val="0"/>
          <w:divBdr>
            <w:top w:val="none" w:sz="0" w:space="0" w:color="auto"/>
            <w:left w:val="none" w:sz="0" w:space="0" w:color="auto"/>
            <w:bottom w:val="none" w:sz="0" w:space="0" w:color="auto"/>
            <w:right w:val="none" w:sz="0" w:space="0" w:color="auto"/>
          </w:divBdr>
        </w:div>
        <w:div w:id="7264956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nepa.wolterskluwer.it/normativa/10LX0000105852SOMM?pathId=8c3a7826bad75"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onepa.wolterskluwer.it/normativa/10LX0000653341ART591?pathId=8c3a7826bad75" TargetMode="External"/><Relationship Id="rId4" Type="http://schemas.openxmlformats.org/officeDocument/2006/relationships/settings" Target="settings.xml"/><Relationship Id="rId9" Type="http://schemas.openxmlformats.org/officeDocument/2006/relationships/hyperlink" Target="https://onepa.wolterskluwer.it/normativa/10LX0000125469SOMM?pathId=8c3a7826bad75" TargetMode="Externa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8" Type="http://schemas.openxmlformats.org/officeDocument/2006/relationships/hyperlink" Target="http://www.giustizia-amministrativa.it" TargetMode="External"/><Relationship Id="rId13" Type="http://schemas.openxmlformats.org/officeDocument/2006/relationships/hyperlink" Target="http://www.rivista.eurojus.it" TargetMode="External"/><Relationship Id="rId18" Type="http://schemas.openxmlformats.org/officeDocument/2006/relationships/hyperlink" Target="http://www.federalismi.it" TargetMode="External"/><Relationship Id="rId26" Type="http://schemas.openxmlformats.org/officeDocument/2006/relationships/hyperlink" Target="http://www.giustizia-amministrativa.it" TargetMode="External"/><Relationship Id="rId3" Type="http://schemas.openxmlformats.org/officeDocument/2006/relationships/hyperlink" Target="http://www.questionegiustizia.it" TargetMode="External"/><Relationship Id="rId21" Type="http://schemas.openxmlformats.org/officeDocument/2006/relationships/hyperlink" Target="http://www.giustizia-amministrativa.it" TargetMode="External"/><Relationship Id="rId7" Type="http://schemas.openxmlformats.org/officeDocument/2006/relationships/hyperlink" Target="http://www.rivista.eurojus.it" TargetMode="External"/><Relationship Id="rId12" Type="http://schemas.openxmlformats.org/officeDocument/2006/relationships/hyperlink" Target="http://www.aisdue.it" TargetMode="External"/><Relationship Id="rId17" Type="http://schemas.openxmlformats.org/officeDocument/2006/relationships/hyperlink" Target="http://www.federalismi.it" TargetMode="External"/><Relationship Id="rId25" Type="http://schemas.openxmlformats.org/officeDocument/2006/relationships/hyperlink" Target="http://www.giustizia-amministrativa.it" TargetMode="External"/><Relationship Id="rId2" Type="http://schemas.openxmlformats.org/officeDocument/2006/relationships/hyperlink" Target="http://www.federalismi.it" TargetMode="External"/><Relationship Id="rId16" Type="http://schemas.openxmlformats.org/officeDocument/2006/relationships/hyperlink" Target="http://www.giustizia-amministrativa.it" TargetMode="External"/><Relationship Id="rId20" Type="http://schemas.openxmlformats.org/officeDocument/2006/relationships/hyperlink" Target="http://www.ntplusdiritto.ilsole24ore.com" TargetMode="External"/><Relationship Id="rId29" Type="http://schemas.openxmlformats.org/officeDocument/2006/relationships/hyperlink" Target="http://www.studiolegalechiti.it" TargetMode="External"/><Relationship Id="rId1" Type="http://schemas.openxmlformats.org/officeDocument/2006/relationships/hyperlink" Target="http://www.giustizia-amministrativa.it" TargetMode="External"/><Relationship Id="rId6" Type="http://schemas.openxmlformats.org/officeDocument/2006/relationships/hyperlink" Target="http://www.questionegiustizia.it" TargetMode="External"/><Relationship Id="rId11" Type="http://schemas.openxmlformats.org/officeDocument/2006/relationships/hyperlink" Target="http://www.europeanlitigation.eu" TargetMode="External"/><Relationship Id="rId24" Type="http://schemas.openxmlformats.org/officeDocument/2006/relationships/hyperlink" Target="http://www.osservatorioaic.it" TargetMode="External"/><Relationship Id="rId5" Type="http://schemas.openxmlformats.org/officeDocument/2006/relationships/hyperlink" Target="http://www.federalismi.it" TargetMode="External"/><Relationship Id="rId15" Type="http://schemas.openxmlformats.org/officeDocument/2006/relationships/hyperlink" Target="http://www.federalismi.it" TargetMode="External"/><Relationship Id="rId23" Type="http://schemas.openxmlformats.org/officeDocument/2006/relationships/hyperlink" Target="http://www.giustiziainsieme.it" TargetMode="External"/><Relationship Id="rId28" Type="http://schemas.openxmlformats.org/officeDocument/2006/relationships/hyperlink" Target="http://www.federalismi.it" TargetMode="External"/><Relationship Id="rId10" Type="http://schemas.openxmlformats.org/officeDocument/2006/relationships/hyperlink" Target="http://www.federalismi.it" TargetMode="External"/><Relationship Id="rId19" Type="http://schemas.openxmlformats.org/officeDocument/2006/relationships/hyperlink" Target="http://www.amministrativamente.it" TargetMode="External"/><Relationship Id="rId31" Type="http://schemas.openxmlformats.org/officeDocument/2006/relationships/hyperlink" Target="http://www.questionegiustizia.it" TargetMode="External"/><Relationship Id="rId4" Type="http://schemas.openxmlformats.org/officeDocument/2006/relationships/hyperlink" Target="http://www.giustizia-amministrativa.it" TargetMode="External"/><Relationship Id="rId9" Type="http://schemas.openxmlformats.org/officeDocument/2006/relationships/hyperlink" Target="http://www.rivista.eurojus.it" TargetMode="External"/><Relationship Id="rId14" Type="http://schemas.openxmlformats.org/officeDocument/2006/relationships/hyperlink" Target="http://www.giurcost.it" TargetMode="External"/><Relationship Id="rId22" Type="http://schemas.openxmlformats.org/officeDocument/2006/relationships/hyperlink" Target="http://www.federalismi.it" TargetMode="External"/><Relationship Id="rId27" Type="http://schemas.openxmlformats.org/officeDocument/2006/relationships/hyperlink" Target="http://www.giustizia-amministrativa.it" TargetMode="External"/><Relationship Id="rId30" Type="http://schemas.openxmlformats.org/officeDocument/2006/relationships/hyperlink" Target="http://www.governo.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5E15CB-5E4B-46C6-A99C-5B97661A75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1530</TotalTime>
  <Pages>17</Pages>
  <Words>7884</Words>
  <Characters>44940</Characters>
  <Application>Microsoft Office Word</Application>
  <DocSecurity>0</DocSecurity>
  <Lines>374</Lines>
  <Paragraphs>105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52719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GRECO Raffaele</dc:creator>
  <cp:keywords/>
  <dc:description/>
  <cp:lastModifiedBy>GRECO Raffaele</cp:lastModifiedBy>
  <cp:revision>17</cp:revision>
  <dcterms:created xsi:type="dcterms:W3CDTF">2025-03-26T15:25:00Z</dcterms:created>
  <dcterms:modified xsi:type="dcterms:W3CDTF">2025-05-01T14:41:00Z</dcterms:modified>
</cp:coreProperties>
</file>