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A8E" w:rsidRPr="00845A7D" w:rsidRDefault="00B30A8E" w:rsidP="00B30A8E">
      <w:pPr>
        <w:jc w:val="both"/>
        <w:rPr>
          <w:rFonts w:ascii="Times New Roman" w:hAnsi="Times New Roman" w:cs="Times New Roman"/>
          <w:b/>
          <w:sz w:val="28"/>
          <w:szCs w:val="28"/>
        </w:rPr>
      </w:pPr>
      <w:r w:rsidRPr="00845A7D">
        <w:rPr>
          <w:rFonts w:ascii="Times New Roman" w:hAnsi="Times New Roman" w:cs="Times New Roman"/>
          <w:b/>
          <w:sz w:val="28"/>
          <w:szCs w:val="28"/>
        </w:rPr>
        <w:t>Programmazione urbanistica e tutela dell’ambiente e del paesaggio.</w:t>
      </w:r>
    </w:p>
    <w:p w:rsidR="00B30A8E" w:rsidRPr="00804E37" w:rsidRDefault="00B30A8E" w:rsidP="00B30A8E">
      <w:pPr>
        <w:jc w:val="both"/>
        <w:rPr>
          <w:rFonts w:ascii="Times New Roman" w:hAnsi="Times New Roman" w:cs="Times New Roman"/>
          <w:sz w:val="24"/>
          <w:szCs w:val="24"/>
        </w:rPr>
      </w:pPr>
    </w:p>
    <w:p w:rsidR="00B30A8E" w:rsidRPr="00804E37" w:rsidRDefault="00B30A8E" w:rsidP="00B30A8E">
      <w:pPr>
        <w:jc w:val="both"/>
        <w:rPr>
          <w:rFonts w:ascii="Times New Roman" w:hAnsi="Times New Roman" w:cs="Times New Roman"/>
          <w:i/>
          <w:sz w:val="28"/>
          <w:szCs w:val="28"/>
        </w:rPr>
      </w:pPr>
      <w:r w:rsidRPr="00804E37">
        <w:rPr>
          <w:rFonts w:ascii="Times New Roman" w:hAnsi="Times New Roman" w:cs="Times New Roman"/>
          <w:i/>
          <w:sz w:val="28"/>
          <w:szCs w:val="28"/>
        </w:rPr>
        <w:t xml:space="preserve">1. Il governo del territorio. Un quadro di insieme - 2. La pianificazione urbanistica e le tutele parallele - </w:t>
      </w:r>
      <w:r>
        <w:rPr>
          <w:rFonts w:ascii="Times New Roman" w:hAnsi="Times New Roman" w:cs="Times New Roman"/>
          <w:i/>
          <w:sz w:val="28"/>
          <w:szCs w:val="28"/>
        </w:rPr>
        <w:t xml:space="preserve">3. </w:t>
      </w:r>
      <w:r w:rsidRPr="00804E37">
        <w:rPr>
          <w:rFonts w:ascii="Times New Roman" w:hAnsi="Times New Roman" w:cs="Times New Roman"/>
          <w:i/>
          <w:sz w:val="28"/>
          <w:szCs w:val="28"/>
        </w:rPr>
        <w:t>Disciplina statale di principio, gerarchia e coordinamento degli interessi - 4. Le nuove prospettive della tutela del territorio: dalle politiche di espansione a quelle di riqualificazione del territorio, di rigenerazione urbana e riduzione del consumo di suolo - 5. Conclusioni</w:t>
      </w:r>
    </w:p>
    <w:p w:rsidR="00B30A8E" w:rsidRPr="00845A7D" w:rsidRDefault="00B30A8E" w:rsidP="00B30A8E">
      <w:pPr>
        <w:jc w:val="both"/>
        <w:rPr>
          <w:rFonts w:ascii="Times New Roman" w:hAnsi="Times New Roman" w:cs="Times New Roman"/>
          <w:sz w:val="28"/>
          <w:szCs w:val="28"/>
        </w:rPr>
      </w:pPr>
    </w:p>
    <w:p w:rsidR="00B30A8E" w:rsidRPr="00845A7D" w:rsidRDefault="00B30A8E" w:rsidP="00B30A8E">
      <w:pPr>
        <w:jc w:val="both"/>
        <w:rPr>
          <w:rFonts w:ascii="Times New Roman" w:hAnsi="Times New Roman" w:cs="Times New Roman"/>
          <w:b/>
          <w:sz w:val="28"/>
          <w:szCs w:val="28"/>
        </w:rPr>
      </w:pPr>
      <w:r w:rsidRPr="00845A7D">
        <w:rPr>
          <w:rFonts w:ascii="Times New Roman" w:hAnsi="Times New Roman" w:cs="Times New Roman"/>
          <w:b/>
          <w:sz w:val="28"/>
          <w:szCs w:val="28"/>
        </w:rPr>
        <w:t>1. Il governo del territorio. Un quadro di insieme</w:t>
      </w:r>
    </w:p>
    <w:p w:rsidR="00B30A8E" w:rsidRPr="00601518" w:rsidRDefault="00B30A8E" w:rsidP="00B30A8E">
      <w:pPr>
        <w:jc w:val="both"/>
        <w:rPr>
          <w:rFonts w:ascii="Times New Roman" w:hAnsi="Times New Roman" w:cs="Times New Roman"/>
          <w:sz w:val="28"/>
          <w:szCs w:val="28"/>
        </w:rPr>
      </w:pPr>
      <w:bookmarkStart w:id="0" w:name="_GoBack"/>
      <w:bookmarkEnd w:id="0"/>
      <w:r w:rsidRPr="00601518">
        <w:rPr>
          <w:rFonts w:ascii="Times New Roman" w:hAnsi="Times New Roman" w:cs="Times New Roman"/>
          <w:sz w:val="28"/>
          <w:szCs w:val="28"/>
        </w:rPr>
        <w:t>La materia “urbanistica” ha subito una profonda trasformazione dalla legge urbanistica n. 1150 del 1942, in cui viene definita come «</w:t>
      </w:r>
      <w:r w:rsidRPr="00601518">
        <w:rPr>
          <w:rFonts w:ascii="Times New Roman" w:hAnsi="Times New Roman" w:cs="Times New Roman"/>
          <w:i/>
          <w:sz w:val="28"/>
          <w:szCs w:val="28"/>
        </w:rPr>
        <w:t>l’assetto e l’incremento edilizio dei centri abitati e lo sviluppo urbanistico in genere del territorio</w:t>
      </w:r>
      <w:r w:rsidRPr="00601518">
        <w:rPr>
          <w:rFonts w:ascii="Times New Roman" w:hAnsi="Times New Roman" w:cs="Times New Roman"/>
          <w:sz w:val="28"/>
          <w:szCs w:val="28"/>
        </w:rPr>
        <w:t>» (art. 1), coerentemente con il principio della sostanziale intangibilità della proprietà privata, della quale però, solo pochi anni dopo, la Costituzione repubblicana avrebbe sancito la “funzione sociale”.</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Nella legge urbanistica la disciplina del territorio è affidata ad una serie di piani su scala diversa, che procedono dal generale al particolare, “a cascata”; riguarda essenzialmente i centri abitati; la ripartizione delle competenze è suddivisa tra lo Stato e i Comuni.</w:t>
      </w:r>
    </w:p>
    <w:p w:rsidR="00B30A8E" w:rsidRPr="00845A7D" w:rsidRDefault="00E97B93" w:rsidP="00B30A8E">
      <w:pPr>
        <w:jc w:val="both"/>
        <w:rPr>
          <w:rFonts w:ascii="Times New Roman" w:hAnsi="Times New Roman" w:cs="Times New Roman"/>
          <w:sz w:val="28"/>
          <w:szCs w:val="28"/>
        </w:rPr>
      </w:pPr>
      <w:r>
        <w:rPr>
          <w:rFonts w:ascii="Times New Roman" w:hAnsi="Times New Roman" w:cs="Times New Roman"/>
          <w:sz w:val="28"/>
          <w:szCs w:val="28"/>
        </w:rPr>
        <w:t>In Assembla Costituente l’urbanistica</w:t>
      </w:r>
      <w:r w:rsidR="00B30A8E" w:rsidRPr="00845A7D">
        <w:rPr>
          <w:rFonts w:ascii="Times New Roman" w:hAnsi="Times New Roman" w:cs="Times New Roman"/>
          <w:sz w:val="28"/>
          <w:szCs w:val="28"/>
        </w:rPr>
        <w:t xml:space="preserve"> viene inserit</w:t>
      </w:r>
      <w:r w:rsidR="00B30A8E">
        <w:rPr>
          <w:rFonts w:ascii="Times New Roman" w:hAnsi="Times New Roman" w:cs="Times New Roman"/>
          <w:sz w:val="28"/>
          <w:szCs w:val="28"/>
        </w:rPr>
        <w:t>a tra le materie di competenza concorrente</w:t>
      </w:r>
      <w:r w:rsidR="00B30A8E" w:rsidRPr="00845A7D">
        <w:rPr>
          <w:rFonts w:ascii="Times New Roman" w:hAnsi="Times New Roman" w:cs="Times New Roman"/>
          <w:sz w:val="28"/>
          <w:szCs w:val="28"/>
        </w:rPr>
        <w:t xml:space="preserve"> regionale, senza darne, però, una specifica definizione.</w:t>
      </w:r>
    </w:p>
    <w:p w:rsidR="00B30A8E" w:rsidRPr="006900AA" w:rsidRDefault="00B30A8E" w:rsidP="00B30A8E">
      <w:pPr>
        <w:jc w:val="both"/>
        <w:rPr>
          <w:rFonts w:ascii="Times New Roman" w:hAnsi="Times New Roman" w:cs="Times New Roman"/>
          <w:sz w:val="28"/>
          <w:szCs w:val="28"/>
        </w:rPr>
      </w:pPr>
      <w:r w:rsidRPr="00601518">
        <w:rPr>
          <w:rFonts w:ascii="Times New Roman" w:hAnsi="Times New Roman" w:cs="Times New Roman"/>
          <w:sz w:val="28"/>
          <w:szCs w:val="28"/>
        </w:rPr>
        <w:t>Alla legge n. 1150 del 1942 sono apportate rilevanti modifich</w:t>
      </w:r>
      <w:r w:rsidR="00D60F55">
        <w:rPr>
          <w:rFonts w:ascii="Times New Roman" w:hAnsi="Times New Roman" w:cs="Times New Roman"/>
          <w:sz w:val="28"/>
          <w:szCs w:val="28"/>
        </w:rPr>
        <w:t>e solo con la legge n. 765/1967 (c.d. legge ponte)</w:t>
      </w:r>
      <w:r w:rsidRPr="00845A7D">
        <w:rPr>
          <w:rFonts w:ascii="Times New Roman" w:hAnsi="Times New Roman" w:cs="Times New Roman"/>
          <w:sz w:val="28"/>
          <w:szCs w:val="28"/>
        </w:rPr>
        <w:t xml:space="preserve"> varata dopo la presa di coscienza maturata nella classe politica e ne</w:t>
      </w:r>
      <w:r w:rsidR="00601518">
        <w:rPr>
          <w:rFonts w:ascii="Times New Roman" w:hAnsi="Times New Roman" w:cs="Times New Roman"/>
          <w:sz w:val="28"/>
          <w:szCs w:val="28"/>
        </w:rPr>
        <w:t>ll’opinione pubblica in ordine agli effetti della speculazione edilizia che accompagnò il boom economico de</w:t>
      </w:r>
      <w:r w:rsidRPr="00845A7D">
        <w:rPr>
          <w:rFonts w:ascii="Times New Roman" w:hAnsi="Times New Roman" w:cs="Times New Roman"/>
          <w:sz w:val="28"/>
          <w:szCs w:val="28"/>
        </w:rPr>
        <w:t xml:space="preserve">gli anni Sessanta del secolo scorso. </w:t>
      </w:r>
      <w:r w:rsidRPr="006900AA">
        <w:rPr>
          <w:rFonts w:ascii="Times New Roman" w:hAnsi="Times New Roman" w:cs="Times New Roman"/>
          <w:sz w:val="28"/>
          <w:szCs w:val="28"/>
        </w:rPr>
        <w:t>Questo compendio normativo rappresenta l’ultimo intervento legislativo statale che affronta organicamente i temi della pianificazione urbanistica</w:t>
      </w:r>
      <w:r w:rsidR="00D3464A">
        <w:rPr>
          <w:rFonts w:ascii="Times New Roman" w:hAnsi="Times New Roman" w:cs="Times New Roman"/>
          <w:sz w:val="28"/>
          <w:szCs w:val="28"/>
        </w:rPr>
        <w:t xml:space="preserve"> </w:t>
      </w:r>
      <w:r w:rsidRPr="006900AA">
        <w:rPr>
          <w:rFonts w:ascii="Times New Roman" w:hAnsi="Times New Roman" w:cs="Times New Roman"/>
          <w:sz w:val="28"/>
          <w:szCs w:val="28"/>
        </w:rPr>
        <w:t>e che fissa fondamentali principi vigenti ancora oggi, quali le significative limitazioni poste all’edificazione in assenza del piano urbanistico (</w:t>
      </w:r>
      <w:r w:rsidR="006900AA">
        <w:rPr>
          <w:rFonts w:ascii="Times New Roman" w:hAnsi="Times New Roman" w:cs="Times New Roman"/>
          <w:sz w:val="28"/>
          <w:szCs w:val="28"/>
        </w:rPr>
        <w:t>art.</w:t>
      </w:r>
      <w:r w:rsidRPr="006900AA">
        <w:rPr>
          <w:rFonts w:ascii="Times New Roman" w:hAnsi="Times New Roman" w:cs="Times New Roman"/>
          <w:sz w:val="28"/>
          <w:szCs w:val="28"/>
        </w:rPr>
        <w:t xml:space="preserve">17), e la subordinazione del rilascio della </w:t>
      </w:r>
      <w:r w:rsidR="006900AA">
        <w:rPr>
          <w:rFonts w:ascii="Times New Roman" w:hAnsi="Times New Roman" w:cs="Times New Roman"/>
          <w:sz w:val="28"/>
          <w:szCs w:val="28"/>
        </w:rPr>
        <w:t xml:space="preserve">licenza </w:t>
      </w:r>
      <w:r w:rsidRPr="006900AA">
        <w:rPr>
          <w:rFonts w:ascii="Times New Roman" w:hAnsi="Times New Roman" w:cs="Times New Roman"/>
          <w:sz w:val="28"/>
          <w:szCs w:val="28"/>
        </w:rPr>
        <w:t>edilizia all’esistenza e/o alla realizzazione delle opere di urbanizzazione (articoli 8 e 10)</w:t>
      </w:r>
      <w:r w:rsidR="00D3464A">
        <w:rPr>
          <w:rStyle w:val="Rimandonotaapidipagina"/>
          <w:rFonts w:ascii="Times New Roman" w:hAnsi="Times New Roman" w:cs="Times New Roman"/>
          <w:sz w:val="28"/>
          <w:szCs w:val="28"/>
        </w:rPr>
        <w:footnoteReference w:id="1"/>
      </w:r>
      <w:r w:rsidRPr="006900AA">
        <w:rPr>
          <w:rFonts w:ascii="Times New Roman" w:hAnsi="Times New Roman" w:cs="Times New Roman"/>
          <w:sz w:val="28"/>
          <w:szCs w:val="28"/>
        </w:rPr>
        <w:t>.</w:t>
      </w:r>
    </w:p>
    <w:p w:rsidR="00B30A8E" w:rsidRPr="006900AA" w:rsidRDefault="00D60F55" w:rsidP="00B30A8E">
      <w:pPr>
        <w:jc w:val="both"/>
        <w:rPr>
          <w:rFonts w:ascii="Times New Roman" w:hAnsi="Times New Roman" w:cs="Times New Roman"/>
          <w:sz w:val="28"/>
          <w:szCs w:val="28"/>
        </w:rPr>
      </w:pPr>
      <w:r>
        <w:rPr>
          <w:rFonts w:ascii="Times New Roman" w:hAnsi="Times New Roman" w:cs="Times New Roman"/>
          <w:sz w:val="28"/>
          <w:szCs w:val="28"/>
        </w:rPr>
        <w:t xml:space="preserve">In attuazione della legge </w:t>
      </w:r>
      <w:r w:rsidR="00B30A8E" w:rsidRPr="006900AA">
        <w:rPr>
          <w:rFonts w:ascii="Times New Roman" w:hAnsi="Times New Roman" w:cs="Times New Roman"/>
          <w:sz w:val="28"/>
          <w:szCs w:val="28"/>
        </w:rPr>
        <w:t>ponte è stato adottato il decreto interministeriale 2 aprile 1968, n. 1444 che per la prima volta nel nostro paese introduce e disciplina gli standard urbanistici, definendo i rapporti massimi tra spazi destinati agli insediamenti residenziali o produttivi, a spazi pubblici o riservati alle attività</w:t>
      </w:r>
      <w:r w:rsidR="00B30A8E" w:rsidRPr="004B2001">
        <w:rPr>
          <w:rFonts w:ascii="Times New Roman" w:hAnsi="Times New Roman" w:cs="Times New Roman"/>
          <w:b/>
          <w:sz w:val="28"/>
          <w:szCs w:val="28"/>
        </w:rPr>
        <w:t xml:space="preserve"> </w:t>
      </w:r>
      <w:r w:rsidR="00B30A8E" w:rsidRPr="006900AA">
        <w:rPr>
          <w:rFonts w:ascii="Times New Roman" w:hAnsi="Times New Roman" w:cs="Times New Roman"/>
          <w:sz w:val="28"/>
          <w:szCs w:val="28"/>
        </w:rPr>
        <w:t>collettive, a verde</w:t>
      </w:r>
      <w:r w:rsidR="00B30A8E" w:rsidRPr="004B2001">
        <w:rPr>
          <w:rFonts w:ascii="Times New Roman" w:hAnsi="Times New Roman" w:cs="Times New Roman"/>
          <w:b/>
          <w:sz w:val="28"/>
          <w:szCs w:val="28"/>
        </w:rPr>
        <w:t xml:space="preserve"> </w:t>
      </w:r>
      <w:r w:rsidR="00B30A8E" w:rsidRPr="006900AA">
        <w:rPr>
          <w:rFonts w:ascii="Times New Roman" w:hAnsi="Times New Roman" w:cs="Times New Roman"/>
          <w:sz w:val="28"/>
          <w:szCs w:val="28"/>
        </w:rPr>
        <w:t xml:space="preserve">pubblico o a parcheggi. Esso ha rappresentato il recepimento, all’interno del modello </w:t>
      </w:r>
      <w:r w:rsidR="00B30A8E" w:rsidRPr="006900AA">
        <w:rPr>
          <w:rFonts w:ascii="Times New Roman" w:hAnsi="Times New Roman" w:cs="Times New Roman"/>
          <w:sz w:val="28"/>
          <w:szCs w:val="28"/>
        </w:rPr>
        <w:lastRenderedPageBreak/>
        <w:t>giuridico italiano di pianificazione, di uno degli strumenti centrali dell’urbanistica razionalista europea: la standardizzazione delle funzioni urbane</w:t>
      </w:r>
      <w:r w:rsidR="00B30A8E" w:rsidRPr="006900AA">
        <w:rPr>
          <w:rStyle w:val="Rimandonotaapidipagina"/>
          <w:rFonts w:ascii="Times New Roman" w:hAnsi="Times New Roman" w:cs="Times New Roman"/>
          <w:sz w:val="28"/>
          <w:szCs w:val="28"/>
        </w:rPr>
        <w:footnoteReference w:id="2"/>
      </w:r>
      <w:r w:rsidR="00B30A8E" w:rsidRPr="006900AA">
        <w:rPr>
          <w:rFonts w:ascii="Times New Roman" w:hAnsi="Times New Roman" w:cs="Times New Roman"/>
          <w:sz w:val="28"/>
          <w:szCs w:val="28"/>
        </w:rPr>
        <w:t>.</w:t>
      </w:r>
    </w:p>
    <w:p w:rsidR="00B30A8E" w:rsidRPr="006900AA" w:rsidRDefault="00B30A8E" w:rsidP="00B30A8E">
      <w:pPr>
        <w:jc w:val="both"/>
        <w:rPr>
          <w:rFonts w:ascii="Times New Roman" w:hAnsi="Times New Roman" w:cs="Times New Roman"/>
          <w:sz w:val="28"/>
          <w:szCs w:val="28"/>
        </w:rPr>
      </w:pPr>
      <w:r w:rsidRPr="006900AA">
        <w:rPr>
          <w:rFonts w:ascii="Times New Roman" w:hAnsi="Times New Roman" w:cs="Times New Roman"/>
          <w:sz w:val="28"/>
          <w:szCs w:val="28"/>
        </w:rPr>
        <w:t>Negli anni successivi si consolida l’idea che tutto il territorio sia soggetto a poteri pubblici di pianificazione al fine di assicurarne la funzione sociale in quanto luogo di vita della comunità</w:t>
      </w:r>
      <w:r w:rsidRPr="006900AA">
        <w:rPr>
          <w:rStyle w:val="Rimandonotaapidipagina"/>
          <w:rFonts w:ascii="Times New Roman" w:hAnsi="Times New Roman" w:cs="Times New Roman"/>
          <w:sz w:val="28"/>
          <w:szCs w:val="28"/>
        </w:rPr>
        <w:footnoteReference w:id="3"/>
      </w:r>
      <w:r w:rsidRPr="006900AA">
        <w:rPr>
          <w:rFonts w:ascii="Times New Roman" w:hAnsi="Times New Roman" w:cs="Times New Roman"/>
          <w:sz w:val="28"/>
          <w:szCs w:val="28"/>
        </w:rPr>
        <w:t>.</w:t>
      </w:r>
    </w:p>
    <w:p w:rsidR="00B30A8E" w:rsidRPr="006900AA" w:rsidRDefault="00B30A8E" w:rsidP="00B30A8E">
      <w:pPr>
        <w:jc w:val="both"/>
        <w:rPr>
          <w:rFonts w:ascii="Times New Roman" w:hAnsi="Times New Roman" w:cs="Times New Roman"/>
          <w:sz w:val="28"/>
          <w:szCs w:val="28"/>
        </w:rPr>
      </w:pPr>
      <w:r w:rsidRPr="006900AA">
        <w:rPr>
          <w:rFonts w:ascii="Times New Roman" w:hAnsi="Times New Roman" w:cs="Times New Roman"/>
          <w:sz w:val="28"/>
          <w:szCs w:val="28"/>
        </w:rPr>
        <w:t>Con l’istituzione delle Regioni e con il trasferimento di funzioni compiuto dal d.P.R. n. 616 del 1977 sono queste ultime ad assumere il</w:t>
      </w:r>
      <w:r w:rsidR="00D60F55">
        <w:rPr>
          <w:rFonts w:ascii="Times New Roman" w:hAnsi="Times New Roman" w:cs="Times New Roman"/>
          <w:sz w:val="28"/>
          <w:szCs w:val="28"/>
        </w:rPr>
        <w:t xml:space="preserve"> ruolo di </w:t>
      </w:r>
      <w:r w:rsidR="006900AA" w:rsidRPr="006900AA">
        <w:rPr>
          <w:rFonts w:ascii="Times New Roman" w:hAnsi="Times New Roman" w:cs="Times New Roman"/>
          <w:sz w:val="28"/>
          <w:szCs w:val="28"/>
        </w:rPr>
        <w:t>regolatori principali</w:t>
      </w:r>
      <w:r w:rsidRPr="006900AA">
        <w:rPr>
          <w:rFonts w:ascii="Times New Roman" w:hAnsi="Times New Roman" w:cs="Times New Roman"/>
          <w:sz w:val="28"/>
          <w:szCs w:val="28"/>
        </w:rPr>
        <w:t xml:space="preserve"> della materia urbanistica.</w:t>
      </w:r>
      <w:r w:rsidRPr="006900AA">
        <w:rPr>
          <w:sz w:val="28"/>
          <w:szCs w:val="28"/>
        </w:rPr>
        <w:t xml:space="preserve">  </w:t>
      </w:r>
      <w:r w:rsidRPr="006900AA">
        <w:rPr>
          <w:rFonts w:ascii="Times New Roman" w:hAnsi="Times New Roman" w:cs="Times New Roman"/>
          <w:sz w:val="28"/>
          <w:szCs w:val="28"/>
        </w:rPr>
        <w:t>L’art. 80 di questo decreto definisce per la prima volta le funzioni amministrative in materia come quelle che “</w:t>
      </w:r>
      <w:r w:rsidRPr="006900AA">
        <w:rPr>
          <w:rFonts w:ascii="Times New Roman" w:hAnsi="Times New Roman" w:cs="Times New Roman"/>
          <w:i/>
          <w:sz w:val="28"/>
          <w:szCs w:val="28"/>
        </w:rPr>
        <w:t>concernono la disciplina dell'uso del territorio comprensiva di tutti gli aspetti conoscitivi, normativi</w:t>
      </w:r>
      <w:r w:rsidRPr="006900AA">
        <w:rPr>
          <w:rFonts w:ascii="Times New Roman" w:hAnsi="Times New Roman" w:cs="Times New Roman"/>
          <w:sz w:val="28"/>
          <w:szCs w:val="28"/>
        </w:rPr>
        <w:t xml:space="preserve"> </w:t>
      </w:r>
      <w:r w:rsidRPr="006900AA">
        <w:rPr>
          <w:rFonts w:ascii="Times New Roman" w:hAnsi="Times New Roman" w:cs="Times New Roman"/>
          <w:i/>
          <w:sz w:val="28"/>
          <w:szCs w:val="28"/>
        </w:rPr>
        <w:t>e gestionali riguardanti le operazioni di salvaguardia e di trasformazione del suolo nonché la protezione dell'ambiente</w:t>
      </w:r>
      <w:r w:rsidRPr="006900AA">
        <w:rPr>
          <w:rFonts w:ascii="Times New Roman" w:hAnsi="Times New Roman" w:cs="Times New Roman"/>
          <w:sz w:val="28"/>
          <w:szCs w:val="28"/>
        </w:rPr>
        <w:t>” prendendo così atto del fatto che sul territorio sul territorio prendono vita e si intrecciano una pluralità di interessi meritevoli di considerazione e di tutela i quali ricadono tutti nell’ambito di disciplina degli strumenti urbanistici, pur nel rispetto delle competenze statali</w:t>
      </w:r>
      <w:r w:rsidRPr="006900AA">
        <w:rPr>
          <w:rStyle w:val="Rimandonotaapidipagina"/>
          <w:rFonts w:ascii="Times New Roman" w:hAnsi="Times New Roman" w:cs="Times New Roman"/>
          <w:sz w:val="28"/>
          <w:szCs w:val="28"/>
        </w:rPr>
        <w:footnoteReference w:id="4"/>
      </w:r>
      <w:r w:rsidRPr="006900AA">
        <w:rPr>
          <w:rFonts w:ascii="Times New Roman" w:hAnsi="Times New Roman" w:cs="Times New Roman"/>
          <w:sz w:val="28"/>
          <w:szCs w:val="28"/>
        </w:rPr>
        <w:t>.</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Successivamente, il d.lgs. n</w:t>
      </w:r>
      <w:r>
        <w:rPr>
          <w:rFonts w:ascii="Times New Roman" w:hAnsi="Times New Roman" w:cs="Times New Roman"/>
          <w:sz w:val="28"/>
          <w:szCs w:val="28"/>
        </w:rPr>
        <w:t>. 112 del 1998 prevede</w:t>
      </w:r>
      <w:r w:rsidRPr="00845A7D">
        <w:rPr>
          <w:rFonts w:ascii="Times New Roman" w:hAnsi="Times New Roman" w:cs="Times New Roman"/>
          <w:sz w:val="28"/>
          <w:szCs w:val="28"/>
        </w:rPr>
        <w:t xml:space="preserve"> il trasferimento alle regioni e agli enti locali di funzioni e compiti amministrativi in tema di «territorio e urbanistica», «protezione della natura e dell’ambiente, tutela dell’ambiente dagli inquinamenti e gestione dei rifiuti», «risorse idriche e difesa del suolo», «opere pubbliche», «viabilità», «trasporti» e «protezione civile», senza tuttavia fornire definizioni di</w:t>
      </w:r>
      <w:r>
        <w:rPr>
          <w:rFonts w:ascii="Times New Roman" w:hAnsi="Times New Roman" w:cs="Times New Roman"/>
          <w:sz w:val="28"/>
          <w:szCs w:val="28"/>
        </w:rPr>
        <w:t xml:space="preserve"> tali materie (art. 51); tuttavia lo stesso decreto </w:t>
      </w:r>
      <w:r w:rsidRPr="00845A7D">
        <w:rPr>
          <w:rFonts w:ascii="Times New Roman" w:hAnsi="Times New Roman" w:cs="Times New Roman"/>
          <w:sz w:val="28"/>
          <w:szCs w:val="28"/>
        </w:rPr>
        <w:t>riserva allo Stato, in quanto aventi “rilievo nazionale”, “</w:t>
      </w:r>
      <w:r w:rsidRPr="00845A7D">
        <w:rPr>
          <w:rFonts w:ascii="Times New Roman" w:hAnsi="Times New Roman" w:cs="Times New Roman"/>
          <w:i/>
          <w:sz w:val="28"/>
          <w:szCs w:val="28"/>
        </w:rPr>
        <w:t>i compiti relativi alla identificazione delle linee fondamentali dell'assetto del territorio nazionale con riferimento ai valori naturali e ambientali, alla difesa del suolo e alla articolazione territoriale delle reti infrastrutturali e delle opere di competenza statale, nonché al sistema delle città e delle aree metropolitane, anche ai fini dello sviluppo del Mezzogiorno e delle aree depresse del paese</w:t>
      </w:r>
      <w:r w:rsidRPr="00845A7D">
        <w:rPr>
          <w:rFonts w:ascii="Times New Roman" w:hAnsi="Times New Roman" w:cs="Times New Roman"/>
          <w:sz w:val="28"/>
          <w:szCs w:val="28"/>
        </w:rPr>
        <w:t>” (art. 52, comma 1).</w:t>
      </w:r>
    </w:p>
    <w:p w:rsidR="00B30A8E" w:rsidRPr="006900AA" w:rsidRDefault="00B30A8E" w:rsidP="00B30A8E">
      <w:pPr>
        <w:jc w:val="both"/>
        <w:rPr>
          <w:rFonts w:ascii="Times New Roman" w:hAnsi="Times New Roman" w:cs="Times New Roman"/>
          <w:sz w:val="28"/>
          <w:szCs w:val="28"/>
        </w:rPr>
      </w:pPr>
      <w:r w:rsidRPr="006900AA">
        <w:rPr>
          <w:rFonts w:ascii="Times New Roman" w:hAnsi="Times New Roman" w:cs="Times New Roman"/>
          <w:sz w:val="28"/>
          <w:szCs w:val="28"/>
        </w:rPr>
        <w:t>Nello stesso anno, il d.lgs. n. 80 del 1998 ribadisce la nozione estensiva dell’“urbanistica” affermatasi già dalla fine degli anni settanta quale materia che “</w:t>
      </w:r>
      <w:r w:rsidRPr="006900AA">
        <w:rPr>
          <w:rFonts w:ascii="Times New Roman" w:hAnsi="Times New Roman" w:cs="Times New Roman"/>
          <w:i/>
          <w:sz w:val="28"/>
          <w:szCs w:val="28"/>
        </w:rPr>
        <w:t>concerne tutti gli aspetti dell’uso del territorio</w:t>
      </w:r>
      <w:r w:rsidRPr="006900AA">
        <w:rPr>
          <w:rFonts w:ascii="Times New Roman" w:hAnsi="Times New Roman" w:cs="Times New Roman"/>
          <w:sz w:val="28"/>
          <w:szCs w:val="28"/>
        </w:rPr>
        <w:t>” destinata ad intersecare molteplici competenze statali (art. 34).</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 xml:space="preserve">Nel d.P.R. n. 380 del 2001 recante il testo unico dell’edilizia (approvato dal Governo in attuazione della delega di riordino di cui all’art.7, commi 1 e 2, della legge n. 50 del 1999, come modificato dall’art. 1 della legge n. 340 del 2000) confluiscono i contenuti </w:t>
      </w:r>
      <w:r w:rsidRPr="00845A7D">
        <w:rPr>
          <w:rFonts w:ascii="Times New Roman" w:hAnsi="Times New Roman" w:cs="Times New Roman"/>
          <w:sz w:val="28"/>
          <w:szCs w:val="28"/>
        </w:rPr>
        <w:lastRenderedPageBreak/>
        <w:t>della legge urbanistica attinenti alla materia edilizia. L’art. 2 di tale decreto stabilisce espressamente c</w:t>
      </w:r>
      <w:r w:rsidR="0092764B">
        <w:rPr>
          <w:rFonts w:ascii="Times New Roman" w:hAnsi="Times New Roman" w:cs="Times New Roman"/>
          <w:sz w:val="28"/>
          <w:szCs w:val="28"/>
        </w:rPr>
        <w:t>he le R</w:t>
      </w:r>
      <w:r w:rsidRPr="00845A7D">
        <w:rPr>
          <w:rFonts w:ascii="Times New Roman" w:hAnsi="Times New Roman" w:cs="Times New Roman"/>
          <w:sz w:val="28"/>
          <w:szCs w:val="28"/>
        </w:rPr>
        <w:t>egioni ordinarie esercitano la potestà legislativa concorrente in materia edilizia nel rispetto dei principi fondamentali della legislazione statale desumibili dalle disposizioni contenute nel testo unico, mentre quelle a statuto speciale esercitano la propria potestà legislativa esclusiva, nel rispetto e nei limiti degli statuti di autonomia e delle relative norme di attuazione.</w:t>
      </w:r>
    </w:p>
    <w:p w:rsidR="00B30A8E" w:rsidRPr="006900AA" w:rsidRDefault="00B30A8E" w:rsidP="00B30A8E">
      <w:pPr>
        <w:jc w:val="both"/>
        <w:rPr>
          <w:rFonts w:ascii="Times New Roman" w:hAnsi="Times New Roman" w:cs="Times New Roman"/>
          <w:sz w:val="28"/>
          <w:szCs w:val="28"/>
        </w:rPr>
      </w:pPr>
      <w:r w:rsidRPr="006900AA">
        <w:rPr>
          <w:rFonts w:ascii="Times New Roman" w:hAnsi="Times New Roman" w:cs="Times New Roman"/>
          <w:sz w:val="28"/>
          <w:szCs w:val="28"/>
        </w:rPr>
        <w:t>Con la riforma del titolo V e l’attribuzione alle Regioni della potestà legislativa concorrente in materia di “governo del territorio” i primi problemi interpreta</w:t>
      </w:r>
      <w:r w:rsidR="00E97B93">
        <w:rPr>
          <w:rFonts w:ascii="Times New Roman" w:hAnsi="Times New Roman" w:cs="Times New Roman"/>
          <w:sz w:val="28"/>
          <w:szCs w:val="28"/>
        </w:rPr>
        <w:t>tivi che si pongono sono quelli relativi, da un lato, al rapporto</w:t>
      </w:r>
      <w:r w:rsidRPr="006900AA">
        <w:rPr>
          <w:rFonts w:ascii="Times New Roman" w:hAnsi="Times New Roman" w:cs="Times New Roman"/>
          <w:sz w:val="28"/>
          <w:szCs w:val="28"/>
        </w:rPr>
        <w:t xml:space="preserve"> con i tradizionali ambiti dell’urbanistica e dell’edilizia; dall’altro, </w:t>
      </w:r>
      <w:r w:rsidR="00E97B93">
        <w:rPr>
          <w:rFonts w:ascii="Times New Roman" w:hAnsi="Times New Roman" w:cs="Times New Roman"/>
          <w:sz w:val="28"/>
          <w:szCs w:val="28"/>
        </w:rPr>
        <w:t xml:space="preserve">al rapporto con le materie affidate </w:t>
      </w:r>
      <w:r w:rsidRPr="006900AA">
        <w:rPr>
          <w:rFonts w:ascii="Times New Roman" w:hAnsi="Times New Roman" w:cs="Times New Roman"/>
          <w:sz w:val="28"/>
          <w:szCs w:val="28"/>
        </w:rPr>
        <w:t>alla legislazione esclusiva statale dall</w:t>
      </w:r>
      <w:r w:rsidR="00E97B93">
        <w:rPr>
          <w:rFonts w:ascii="Times New Roman" w:hAnsi="Times New Roman" w:cs="Times New Roman"/>
          <w:sz w:val="28"/>
          <w:szCs w:val="28"/>
        </w:rPr>
        <w:t xml:space="preserve">’art. 117, comma 2, lett. s) ovvero </w:t>
      </w:r>
      <w:r w:rsidRPr="006900AA">
        <w:rPr>
          <w:rFonts w:ascii="Times New Roman" w:hAnsi="Times New Roman" w:cs="Times New Roman"/>
          <w:sz w:val="28"/>
          <w:szCs w:val="28"/>
        </w:rPr>
        <w:t>“</w:t>
      </w:r>
      <w:r w:rsidRPr="006900AA">
        <w:rPr>
          <w:rFonts w:ascii="Times New Roman" w:hAnsi="Times New Roman" w:cs="Times New Roman"/>
          <w:i/>
          <w:sz w:val="28"/>
          <w:szCs w:val="28"/>
        </w:rPr>
        <w:t>tutela dell'ambiente, dell'ecosistema e dei beni culturali</w:t>
      </w:r>
      <w:r w:rsidRPr="006900AA">
        <w:rPr>
          <w:rFonts w:ascii="Times New Roman" w:hAnsi="Times New Roman" w:cs="Times New Roman"/>
          <w:sz w:val="28"/>
          <w:szCs w:val="28"/>
        </w:rPr>
        <w:t>”.</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 xml:space="preserve">Fin dalle prime pronunce la Corte Costituzionale ha ritenuto che l’urbanistica e l’edilizia devono senz’altro essere considerate parte del “governo del territorio” pur non potendo tale materia esaurirsi in esse. In tal senso </w:t>
      </w:r>
      <w:r w:rsidR="006900AA">
        <w:rPr>
          <w:rFonts w:ascii="Times New Roman" w:hAnsi="Times New Roman" w:cs="Times New Roman"/>
          <w:sz w:val="28"/>
          <w:szCs w:val="28"/>
        </w:rPr>
        <w:t>si esprime la Corte Costituzionale</w:t>
      </w:r>
      <w:r w:rsidRPr="00845A7D">
        <w:rPr>
          <w:rFonts w:ascii="Times New Roman" w:hAnsi="Times New Roman" w:cs="Times New Roman"/>
          <w:sz w:val="28"/>
          <w:szCs w:val="28"/>
        </w:rPr>
        <w:t xml:space="preserve"> già nelle sentenze n. 303 del 2003 e n. 362 del 2003</w:t>
      </w:r>
      <w:r w:rsidRPr="00845A7D">
        <w:rPr>
          <w:rStyle w:val="Rimandonotaapidipagina"/>
          <w:rFonts w:ascii="Times New Roman" w:hAnsi="Times New Roman" w:cs="Times New Roman"/>
          <w:sz w:val="28"/>
          <w:szCs w:val="28"/>
        </w:rPr>
        <w:footnoteReference w:id="5"/>
      </w:r>
      <w:r w:rsidRPr="00845A7D">
        <w:rPr>
          <w:rFonts w:ascii="Times New Roman" w:hAnsi="Times New Roman" w:cs="Times New Roman"/>
          <w:sz w:val="28"/>
          <w:szCs w:val="28"/>
        </w:rPr>
        <w:t>.</w:t>
      </w:r>
    </w:p>
    <w:p w:rsidR="00B30A8E" w:rsidRPr="004B0283" w:rsidRDefault="00B30A8E" w:rsidP="00B30A8E">
      <w:pPr>
        <w:jc w:val="both"/>
        <w:rPr>
          <w:rFonts w:ascii="Times New Roman" w:hAnsi="Times New Roman" w:cs="Times New Roman"/>
          <w:sz w:val="28"/>
          <w:szCs w:val="28"/>
        </w:rPr>
      </w:pPr>
      <w:r w:rsidRPr="006900AA">
        <w:rPr>
          <w:rFonts w:ascii="Times New Roman" w:hAnsi="Times New Roman" w:cs="Times New Roman"/>
          <w:sz w:val="28"/>
          <w:szCs w:val="28"/>
        </w:rPr>
        <w:t>Comincia quindi a profilarsi il nodo problematico dell’interferenza con le attribuzioni statali in materia ambientale e paesaggistica, che resta l’elemento qualificante di ogni</w:t>
      </w:r>
      <w:r w:rsidRPr="00845A7D">
        <w:rPr>
          <w:rFonts w:ascii="Times New Roman" w:hAnsi="Times New Roman" w:cs="Times New Roman"/>
          <w:sz w:val="28"/>
          <w:szCs w:val="28"/>
        </w:rPr>
        <w:t xml:space="preserve"> ricostruzione dell’effettivo significato dell’espressione “governo </w:t>
      </w:r>
      <w:r w:rsidRPr="004B0283">
        <w:rPr>
          <w:rFonts w:ascii="Times New Roman" w:hAnsi="Times New Roman" w:cs="Times New Roman"/>
          <w:sz w:val="28"/>
          <w:szCs w:val="28"/>
        </w:rPr>
        <w:t>del territorio”</w:t>
      </w:r>
      <w:r w:rsidRPr="004B0283">
        <w:rPr>
          <w:rStyle w:val="Rimandonotaapidipagina"/>
          <w:rFonts w:ascii="Times New Roman" w:hAnsi="Times New Roman" w:cs="Times New Roman"/>
          <w:sz w:val="28"/>
          <w:szCs w:val="28"/>
        </w:rPr>
        <w:footnoteReference w:id="6"/>
      </w:r>
      <w:r w:rsidR="00B73AE3">
        <w:rPr>
          <w:rFonts w:ascii="Times New Roman" w:hAnsi="Times New Roman" w:cs="Times New Roman"/>
          <w:sz w:val="28"/>
          <w:szCs w:val="28"/>
        </w:rPr>
        <w:t xml:space="preserve">. Quest’ultima </w:t>
      </w:r>
      <w:r w:rsidRPr="004B0283">
        <w:rPr>
          <w:rFonts w:ascii="Times New Roman" w:hAnsi="Times New Roman" w:cs="Times New Roman"/>
          <w:sz w:val="28"/>
          <w:szCs w:val="28"/>
        </w:rPr>
        <w:t>viene dalla Corte riferita non soltanto all’ur</w:t>
      </w:r>
      <w:r w:rsidR="00EF579E">
        <w:rPr>
          <w:rFonts w:ascii="Times New Roman" w:hAnsi="Times New Roman" w:cs="Times New Roman"/>
          <w:sz w:val="28"/>
          <w:szCs w:val="28"/>
        </w:rPr>
        <w:t>banistica</w:t>
      </w:r>
      <w:r w:rsidR="0092764B">
        <w:rPr>
          <w:rFonts w:ascii="Times New Roman" w:hAnsi="Times New Roman" w:cs="Times New Roman"/>
          <w:sz w:val="28"/>
          <w:szCs w:val="28"/>
        </w:rPr>
        <w:t xml:space="preserve"> nel suo significato storico</w:t>
      </w:r>
      <w:r w:rsidRPr="004B0283">
        <w:rPr>
          <w:rFonts w:ascii="Times New Roman" w:hAnsi="Times New Roman" w:cs="Times New Roman"/>
          <w:sz w:val="28"/>
          <w:szCs w:val="28"/>
        </w:rPr>
        <w:t xml:space="preserve"> ma ormai</w:t>
      </w:r>
      <w:r w:rsidR="0092764B">
        <w:rPr>
          <w:rFonts w:ascii="Times New Roman" w:hAnsi="Times New Roman" w:cs="Times New Roman"/>
          <w:sz w:val="28"/>
          <w:szCs w:val="28"/>
        </w:rPr>
        <w:t xml:space="preserve"> anche</w:t>
      </w:r>
      <w:r w:rsidRPr="004B0283">
        <w:rPr>
          <w:rFonts w:ascii="Times New Roman" w:hAnsi="Times New Roman" w:cs="Times New Roman"/>
          <w:sz w:val="28"/>
          <w:szCs w:val="28"/>
        </w:rPr>
        <w:t xml:space="preserve"> “</w:t>
      </w:r>
      <w:r w:rsidRPr="004B0283">
        <w:rPr>
          <w:rFonts w:ascii="Times New Roman" w:hAnsi="Times New Roman" w:cs="Times New Roman"/>
          <w:i/>
          <w:sz w:val="28"/>
          <w:szCs w:val="28"/>
        </w:rPr>
        <w:t>all’insieme delle norme che</w:t>
      </w:r>
      <w:r w:rsidRPr="004B0283">
        <w:rPr>
          <w:rFonts w:ascii="Times New Roman" w:hAnsi="Times New Roman" w:cs="Times New Roman"/>
          <w:sz w:val="28"/>
          <w:szCs w:val="28"/>
        </w:rPr>
        <w:t xml:space="preserve"> </w:t>
      </w:r>
      <w:r w:rsidRPr="004B0283">
        <w:rPr>
          <w:rFonts w:ascii="Times New Roman" w:hAnsi="Times New Roman" w:cs="Times New Roman"/>
          <w:i/>
          <w:sz w:val="28"/>
          <w:szCs w:val="28"/>
        </w:rPr>
        <w:t>consentono di identificare e graduare gli interessi in base ai quali possono essere regolati gli usi ammissibili del territorio</w:t>
      </w:r>
      <w:r w:rsidRPr="004B0283">
        <w:rPr>
          <w:rFonts w:ascii="Times New Roman" w:hAnsi="Times New Roman" w:cs="Times New Roman"/>
          <w:sz w:val="28"/>
          <w:szCs w:val="28"/>
        </w:rPr>
        <w:t>”</w:t>
      </w:r>
      <w:r w:rsidRPr="004B0283">
        <w:rPr>
          <w:rStyle w:val="Rimandonotaapidipagina"/>
          <w:rFonts w:ascii="Times New Roman" w:hAnsi="Times New Roman" w:cs="Times New Roman"/>
          <w:sz w:val="28"/>
          <w:szCs w:val="28"/>
        </w:rPr>
        <w:footnoteReference w:id="7"/>
      </w:r>
      <w:r w:rsidRPr="004B0283">
        <w:rPr>
          <w:rFonts w:ascii="Times New Roman" w:hAnsi="Times New Roman" w:cs="Times New Roman"/>
          <w:sz w:val="28"/>
          <w:szCs w:val="28"/>
        </w:rPr>
        <w:t>.</w:t>
      </w:r>
    </w:p>
    <w:p w:rsidR="00B30A8E" w:rsidRPr="004B0283" w:rsidRDefault="00B30A8E" w:rsidP="00B30A8E">
      <w:pPr>
        <w:jc w:val="both"/>
        <w:rPr>
          <w:rFonts w:ascii="Times New Roman" w:hAnsi="Times New Roman" w:cs="Times New Roman"/>
          <w:sz w:val="28"/>
          <w:szCs w:val="28"/>
        </w:rPr>
      </w:pPr>
      <w:r w:rsidRPr="004B0283">
        <w:rPr>
          <w:rFonts w:ascii="Times New Roman" w:hAnsi="Times New Roman" w:cs="Times New Roman"/>
          <w:sz w:val="28"/>
          <w:szCs w:val="28"/>
        </w:rPr>
        <w:t xml:space="preserve">La complessità del nuovo ordine costituzionale delle competenze, operato con la riforma del </w:t>
      </w:r>
      <w:r w:rsidR="00E97B93">
        <w:rPr>
          <w:rFonts w:ascii="Times New Roman" w:hAnsi="Times New Roman" w:cs="Times New Roman"/>
          <w:sz w:val="28"/>
          <w:szCs w:val="28"/>
        </w:rPr>
        <w:t xml:space="preserve">titolo V della Costituzione, ha </w:t>
      </w:r>
      <w:r w:rsidRPr="004B0283">
        <w:rPr>
          <w:rFonts w:ascii="Times New Roman" w:hAnsi="Times New Roman" w:cs="Times New Roman"/>
          <w:sz w:val="28"/>
          <w:szCs w:val="28"/>
        </w:rPr>
        <w:t xml:space="preserve">richiesto più volte l’intervento della Corte costituzionale. Ai problemi di coordinamento con le competenze statali in materia di ambiente si è aggiunto quello del difficile equilibrio tra poteri dello Stato e prerogative delle autonomie territoriali. Anche l’individuazione della linea di confine tra il governo </w:t>
      </w:r>
      <w:r w:rsidRPr="004B0283">
        <w:rPr>
          <w:rFonts w:ascii="Times New Roman" w:hAnsi="Times New Roman" w:cs="Times New Roman"/>
          <w:sz w:val="28"/>
          <w:szCs w:val="28"/>
        </w:rPr>
        <w:lastRenderedPageBreak/>
        <w:t>del territorio e le altre materie è divenuta sempre più frequentemente oggetto delle pronunce della Corte costituzionale</w:t>
      </w:r>
      <w:r w:rsidRPr="004B0283">
        <w:rPr>
          <w:rStyle w:val="Rimandonotaapidipagina"/>
          <w:rFonts w:ascii="Times New Roman" w:hAnsi="Times New Roman" w:cs="Times New Roman"/>
          <w:sz w:val="28"/>
          <w:szCs w:val="28"/>
        </w:rPr>
        <w:footnoteReference w:id="8"/>
      </w:r>
      <w:r w:rsidRPr="004B0283">
        <w:rPr>
          <w:rFonts w:ascii="Times New Roman" w:hAnsi="Times New Roman" w:cs="Times New Roman"/>
          <w:sz w:val="28"/>
          <w:szCs w:val="28"/>
        </w:rPr>
        <w:t>.</w:t>
      </w:r>
    </w:p>
    <w:p w:rsidR="00B30A8E" w:rsidRPr="004B0283"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È stato osservato che la trasformazione dell’urbanistica in «governo del territorio» non ha determinato</w:t>
      </w:r>
      <w:r w:rsidR="004B0283">
        <w:rPr>
          <w:rFonts w:ascii="Times New Roman" w:hAnsi="Times New Roman" w:cs="Times New Roman"/>
          <w:sz w:val="28"/>
          <w:szCs w:val="28"/>
        </w:rPr>
        <w:t xml:space="preserve"> </w:t>
      </w:r>
      <w:r w:rsidRPr="00845A7D">
        <w:rPr>
          <w:rFonts w:ascii="Times New Roman" w:hAnsi="Times New Roman" w:cs="Times New Roman"/>
          <w:sz w:val="28"/>
          <w:szCs w:val="28"/>
        </w:rPr>
        <w:t xml:space="preserve">l’ampliamento della potestà legislativa regionale. </w:t>
      </w:r>
      <w:r w:rsidRPr="004B0283">
        <w:rPr>
          <w:rFonts w:ascii="Times New Roman" w:hAnsi="Times New Roman" w:cs="Times New Roman"/>
          <w:sz w:val="28"/>
          <w:szCs w:val="28"/>
        </w:rPr>
        <w:t>La Corte, pur affermando che la trasformazione dell’urbanistica in governo del territorio ha ampliato il contenuto della materia di competenza legislativa concorrente ‒ da ritenersi comprensiva di «</w:t>
      </w:r>
      <w:r w:rsidRPr="004B0283">
        <w:rPr>
          <w:rFonts w:ascii="Times New Roman" w:hAnsi="Times New Roman" w:cs="Times New Roman"/>
          <w:i/>
          <w:sz w:val="28"/>
          <w:szCs w:val="28"/>
        </w:rPr>
        <w:t>tutto ciò che attiene all’uso del territorio e alla localizzazione di impianti o attività</w:t>
      </w:r>
      <w:r w:rsidRPr="004B0283">
        <w:rPr>
          <w:rFonts w:ascii="Times New Roman" w:hAnsi="Times New Roman" w:cs="Times New Roman"/>
          <w:sz w:val="28"/>
          <w:szCs w:val="28"/>
        </w:rPr>
        <w:t xml:space="preserve">» ‒, ha </w:t>
      </w:r>
      <w:r w:rsidR="0092764B">
        <w:rPr>
          <w:rFonts w:ascii="Times New Roman" w:hAnsi="Times New Roman" w:cs="Times New Roman"/>
          <w:sz w:val="28"/>
          <w:szCs w:val="28"/>
        </w:rPr>
        <w:t xml:space="preserve">tuttavia </w:t>
      </w:r>
      <w:r w:rsidRPr="004B0283">
        <w:rPr>
          <w:rFonts w:ascii="Times New Roman" w:hAnsi="Times New Roman" w:cs="Times New Roman"/>
          <w:sz w:val="28"/>
          <w:szCs w:val="28"/>
        </w:rPr>
        <w:t>mantenuto fe</w:t>
      </w:r>
      <w:r w:rsidR="00D3464A">
        <w:rPr>
          <w:rFonts w:ascii="Times New Roman" w:hAnsi="Times New Roman" w:cs="Times New Roman"/>
          <w:sz w:val="28"/>
          <w:szCs w:val="28"/>
        </w:rPr>
        <w:t xml:space="preserve">rmo il principio di una tutela </w:t>
      </w:r>
      <w:r w:rsidRPr="004B0283">
        <w:rPr>
          <w:rFonts w:ascii="Times New Roman" w:hAnsi="Times New Roman" w:cs="Times New Roman"/>
          <w:sz w:val="28"/>
          <w:szCs w:val="28"/>
        </w:rPr>
        <w:t>for</w:t>
      </w:r>
      <w:r w:rsidR="00D3464A">
        <w:rPr>
          <w:rFonts w:ascii="Times New Roman" w:hAnsi="Times New Roman" w:cs="Times New Roman"/>
          <w:sz w:val="28"/>
          <w:szCs w:val="28"/>
        </w:rPr>
        <w:t>te</w:t>
      </w:r>
      <w:r w:rsidRPr="004B0283">
        <w:rPr>
          <w:rFonts w:ascii="Times New Roman" w:hAnsi="Times New Roman" w:cs="Times New Roman"/>
          <w:sz w:val="28"/>
          <w:szCs w:val="28"/>
        </w:rPr>
        <w:t xml:space="preserve"> degli interessi differenziati, contenendo l’espansione della legislazione regionale</w:t>
      </w:r>
      <w:r w:rsidRPr="004B0283">
        <w:rPr>
          <w:rStyle w:val="Rimandonotaapidipagina"/>
          <w:rFonts w:ascii="Times New Roman" w:hAnsi="Times New Roman" w:cs="Times New Roman"/>
          <w:sz w:val="28"/>
          <w:szCs w:val="28"/>
        </w:rPr>
        <w:footnoteReference w:id="9"/>
      </w:r>
      <w:r w:rsidRPr="004B0283">
        <w:rPr>
          <w:rFonts w:ascii="Times New Roman" w:hAnsi="Times New Roman" w:cs="Times New Roman"/>
          <w:sz w:val="28"/>
          <w:szCs w:val="28"/>
        </w:rPr>
        <w:t>.</w:t>
      </w:r>
    </w:p>
    <w:p w:rsidR="00B30A8E" w:rsidRPr="004B0283" w:rsidRDefault="00B30A8E" w:rsidP="00B30A8E">
      <w:pPr>
        <w:jc w:val="both"/>
        <w:rPr>
          <w:rFonts w:ascii="Times New Roman" w:hAnsi="Times New Roman" w:cs="Times New Roman"/>
          <w:sz w:val="28"/>
          <w:szCs w:val="28"/>
        </w:rPr>
      </w:pPr>
      <w:r w:rsidRPr="004B0283">
        <w:rPr>
          <w:rFonts w:ascii="Times New Roman" w:hAnsi="Times New Roman" w:cs="Times New Roman"/>
          <w:sz w:val="28"/>
          <w:szCs w:val="28"/>
        </w:rPr>
        <w:t xml:space="preserve">Con riguardo alla nozione di paesaggio, </w:t>
      </w:r>
      <w:r w:rsidR="004B0283" w:rsidRPr="004B0283">
        <w:rPr>
          <w:rFonts w:ascii="Times New Roman" w:hAnsi="Times New Roman" w:cs="Times New Roman"/>
          <w:sz w:val="28"/>
          <w:szCs w:val="28"/>
        </w:rPr>
        <w:t xml:space="preserve">la Corte ha dato una </w:t>
      </w:r>
      <w:r w:rsidRPr="004B0283">
        <w:rPr>
          <w:rFonts w:ascii="Times New Roman" w:hAnsi="Times New Roman" w:cs="Times New Roman"/>
          <w:sz w:val="28"/>
          <w:szCs w:val="28"/>
        </w:rPr>
        <w:t>lettura ampliativa dell’art. 117, comma 2, lettera s), della Costituzione, così da conservare l’attribuzione statale della tutela del paesaggio. Anche la nozione di ambiente come</w:t>
      </w:r>
      <w:r w:rsidR="0056296A">
        <w:rPr>
          <w:rFonts w:ascii="Times New Roman" w:hAnsi="Times New Roman" w:cs="Times New Roman"/>
          <w:sz w:val="28"/>
          <w:szCs w:val="28"/>
        </w:rPr>
        <w:t xml:space="preserve"> bene giuridico e come materia trasversale</w:t>
      </w:r>
      <w:r w:rsidRPr="004B0283">
        <w:rPr>
          <w:rFonts w:ascii="Times New Roman" w:hAnsi="Times New Roman" w:cs="Times New Roman"/>
          <w:sz w:val="28"/>
          <w:szCs w:val="28"/>
        </w:rPr>
        <w:t xml:space="preserve"> elaborata dalla giurisprudenza costituzionale ha ampliato gli ambiti di competenza riserv</w:t>
      </w:r>
      <w:r w:rsidR="004B0283" w:rsidRPr="004B0283">
        <w:rPr>
          <w:rFonts w:ascii="Times New Roman" w:hAnsi="Times New Roman" w:cs="Times New Roman"/>
          <w:sz w:val="28"/>
          <w:szCs w:val="28"/>
        </w:rPr>
        <w:t xml:space="preserve">ati in tale materia allo Stato. </w:t>
      </w:r>
      <w:r w:rsidRPr="004B0283">
        <w:rPr>
          <w:rFonts w:ascii="Times New Roman" w:hAnsi="Times New Roman" w:cs="Times New Roman"/>
          <w:sz w:val="28"/>
          <w:szCs w:val="28"/>
        </w:rPr>
        <w:t>Ambiente ed ecosistema, secondo la Corte, esprimono valori molto vicini ma non costituiscono un’endiadi, perché “</w:t>
      </w:r>
      <w:r w:rsidRPr="004B0283">
        <w:rPr>
          <w:rFonts w:ascii="Times New Roman" w:hAnsi="Times New Roman" w:cs="Times New Roman"/>
          <w:i/>
          <w:sz w:val="28"/>
          <w:szCs w:val="28"/>
        </w:rPr>
        <w:t>col primo termine si vuole, soprattutto, fare riferimento a ciò che riguarda l’habitat degli esseri umani, mentre con il secondo a ciò che riguarda la conservazione della natura come valore in sé</w:t>
      </w:r>
      <w:r w:rsidRPr="004B0283">
        <w:rPr>
          <w:rFonts w:ascii="Times New Roman" w:hAnsi="Times New Roman" w:cs="Times New Roman"/>
          <w:sz w:val="28"/>
          <w:szCs w:val="28"/>
        </w:rPr>
        <w:t>”; in tale competenza, la Corte fa rientrare anche la tutela del “paesaggio”, cioè “</w:t>
      </w:r>
      <w:r w:rsidRPr="004B0283">
        <w:rPr>
          <w:rFonts w:ascii="Times New Roman" w:hAnsi="Times New Roman" w:cs="Times New Roman"/>
          <w:i/>
          <w:sz w:val="28"/>
          <w:szCs w:val="28"/>
        </w:rPr>
        <w:t>l’ambiente nel suo aspetto visivo</w:t>
      </w:r>
      <w:r w:rsidRPr="004B0283">
        <w:rPr>
          <w:rFonts w:ascii="Times New Roman" w:hAnsi="Times New Roman" w:cs="Times New Roman"/>
          <w:sz w:val="28"/>
          <w:szCs w:val="28"/>
        </w:rPr>
        <w:t>”</w:t>
      </w:r>
      <w:r w:rsidRPr="004B0283">
        <w:rPr>
          <w:rStyle w:val="Rimandonotaapidipagina"/>
          <w:rFonts w:ascii="Times New Roman" w:hAnsi="Times New Roman" w:cs="Times New Roman"/>
          <w:sz w:val="28"/>
          <w:szCs w:val="28"/>
        </w:rPr>
        <w:footnoteReference w:id="10"/>
      </w:r>
      <w:r w:rsidRPr="004B0283">
        <w:rPr>
          <w:rFonts w:ascii="Times New Roman" w:hAnsi="Times New Roman" w:cs="Times New Roman"/>
          <w:sz w:val="28"/>
          <w:szCs w:val="28"/>
        </w:rPr>
        <w:t>.</w:t>
      </w:r>
    </w:p>
    <w:p w:rsidR="00B30A8E" w:rsidRPr="004B0283" w:rsidRDefault="00B30A8E" w:rsidP="00B30A8E">
      <w:pPr>
        <w:jc w:val="both"/>
        <w:rPr>
          <w:rFonts w:ascii="Times New Roman" w:hAnsi="Times New Roman" w:cs="Times New Roman"/>
          <w:sz w:val="28"/>
          <w:szCs w:val="28"/>
        </w:rPr>
      </w:pPr>
      <w:r w:rsidRPr="004B0283">
        <w:rPr>
          <w:rFonts w:ascii="Times New Roman" w:hAnsi="Times New Roman" w:cs="Times New Roman"/>
          <w:sz w:val="28"/>
          <w:szCs w:val="28"/>
        </w:rPr>
        <w:t xml:space="preserve">La tutela dell’ambiente e del paesaggio è contrassegnata dalla “forza unificante” della sua funzionalizzazione finalistica, con il limite dei principi di proporzionalità e adeguatezza. In tale ottica, una illegittima invasione della sfera di competenza delle Regioni può essere evitata non tramite la distinzione tra norme di principio e norme di dettaglio ma </w:t>
      </w:r>
      <w:r w:rsidR="00B73AE3">
        <w:rPr>
          <w:rFonts w:ascii="Times New Roman" w:hAnsi="Times New Roman" w:cs="Times New Roman"/>
          <w:sz w:val="28"/>
          <w:szCs w:val="28"/>
        </w:rPr>
        <w:t>solo</w:t>
      </w:r>
      <w:r w:rsidR="004B0283">
        <w:rPr>
          <w:rFonts w:ascii="Times New Roman" w:hAnsi="Times New Roman" w:cs="Times New Roman"/>
          <w:sz w:val="28"/>
          <w:szCs w:val="28"/>
        </w:rPr>
        <w:t xml:space="preserve"> </w:t>
      </w:r>
      <w:r w:rsidRPr="004B0283">
        <w:rPr>
          <w:rFonts w:ascii="Times New Roman" w:hAnsi="Times New Roman" w:cs="Times New Roman"/>
          <w:sz w:val="28"/>
          <w:szCs w:val="28"/>
        </w:rPr>
        <w:t>“</w:t>
      </w:r>
      <w:r w:rsidRPr="004B0283">
        <w:rPr>
          <w:rFonts w:ascii="Times New Roman" w:hAnsi="Times New Roman" w:cs="Times New Roman"/>
          <w:i/>
          <w:sz w:val="28"/>
          <w:szCs w:val="28"/>
        </w:rPr>
        <w:t>con la rigorosa verifica della effettiva funzionalità delle norme statali alla tutela dello specifico bene costituzionale in questione</w:t>
      </w:r>
      <w:r w:rsidRPr="004B0283">
        <w:rPr>
          <w:rFonts w:ascii="Times New Roman" w:hAnsi="Times New Roman" w:cs="Times New Roman"/>
          <w:sz w:val="28"/>
          <w:szCs w:val="28"/>
        </w:rPr>
        <w:t>” (</w:t>
      </w:r>
      <w:r w:rsidR="004B0283">
        <w:rPr>
          <w:rFonts w:ascii="Times New Roman" w:hAnsi="Times New Roman" w:cs="Times New Roman"/>
          <w:sz w:val="28"/>
          <w:szCs w:val="28"/>
        </w:rPr>
        <w:t xml:space="preserve">Corte cost., </w:t>
      </w:r>
      <w:r w:rsidRPr="004B0283">
        <w:rPr>
          <w:rFonts w:ascii="Times New Roman" w:hAnsi="Times New Roman" w:cs="Times New Roman"/>
          <w:sz w:val="28"/>
          <w:szCs w:val="28"/>
        </w:rPr>
        <w:t>sentenza n. 443 del 2007).</w:t>
      </w:r>
    </w:p>
    <w:p w:rsidR="00B30A8E" w:rsidRPr="004B0283"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Sullo stesso bene concorrono diverse competenze, che restano distinte tra loro, perseguendo autonomamente le loro finalità attraverso la previsione di diverse discipline (sentenza n. 225 del 2009).</w:t>
      </w:r>
      <w:r w:rsidR="0092764B">
        <w:rPr>
          <w:rFonts w:ascii="Times New Roman" w:hAnsi="Times New Roman" w:cs="Times New Roman"/>
          <w:sz w:val="28"/>
          <w:szCs w:val="28"/>
        </w:rPr>
        <w:t xml:space="preserve"> </w:t>
      </w:r>
      <w:r w:rsidR="004B0283" w:rsidRPr="004B0283">
        <w:rPr>
          <w:rFonts w:ascii="Times New Roman" w:hAnsi="Times New Roman" w:cs="Times New Roman"/>
          <w:sz w:val="28"/>
          <w:szCs w:val="28"/>
        </w:rPr>
        <w:t xml:space="preserve">La disciplina </w:t>
      </w:r>
      <w:r w:rsidRPr="004B0283">
        <w:rPr>
          <w:rFonts w:ascii="Times New Roman" w:hAnsi="Times New Roman" w:cs="Times New Roman"/>
          <w:sz w:val="28"/>
          <w:szCs w:val="28"/>
        </w:rPr>
        <w:t>statale in m</w:t>
      </w:r>
      <w:r w:rsidR="004B0283" w:rsidRPr="004B0283">
        <w:rPr>
          <w:rFonts w:ascii="Times New Roman" w:hAnsi="Times New Roman" w:cs="Times New Roman"/>
          <w:sz w:val="28"/>
          <w:szCs w:val="28"/>
        </w:rPr>
        <w:t xml:space="preserve">ateria di ambiente è quindi </w:t>
      </w:r>
      <w:r w:rsidRPr="004B0283">
        <w:rPr>
          <w:rFonts w:ascii="Times New Roman" w:hAnsi="Times New Roman" w:cs="Times New Roman"/>
          <w:sz w:val="28"/>
          <w:szCs w:val="28"/>
        </w:rPr>
        <w:t>un limite alla disciplina che le Regioni dettano in altre materie di loro competenza, salva la facoltà di queste</w:t>
      </w:r>
      <w:r w:rsidRPr="004B2001">
        <w:rPr>
          <w:rFonts w:ascii="Times New Roman" w:hAnsi="Times New Roman" w:cs="Times New Roman"/>
          <w:b/>
          <w:sz w:val="28"/>
          <w:szCs w:val="28"/>
        </w:rPr>
        <w:t xml:space="preserve"> </w:t>
      </w:r>
      <w:r w:rsidRPr="00B73AE3">
        <w:rPr>
          <w:rFonts w:ascii="Times New Roman" w:hAnsi="Times New Roman" w:cs="Times New Roman"/>
          <w:sz w:val="28"/>
          <w:szCs w:val="28"/>
        </w:rPr>
        <w:t>ultime</w:t>
      </w:r>
      <w:r w:rsidRPr="004B2001">
        <w:rPr>
          <w:rFonts w:ascii="Times New Roman" w:hAnsi="Times New Roman" w:cs="Times New Roman"/>
          <w:b/>
          <w:sz w:val="28"/>
          <w:szCs w:val="28"/>
        </w:rPr>
        <w:t xml:space="preserve"> </w:t>
      </w:r>
      <w:r w:rsidRPr="004B0283">
        <w:rPr>
          <w:rFonts w:ascii="Times New Roman" w:hAnsi="Times New Roman" w:cs="Times New Roman"/>
          <w:sz w:val="28"/>
          <w:szCs w:val="28"/>
        </w:rPr>
        <w:t xml:space="preserve">di adottare norme di tutela ambientale più </w:t>
      </w:r>
      <w:r w:rsidRPr="004B0283">
        <w:rPr>
          <w:rFonts w:ascii="Times New Roman" w:hAnsi="Times New Roman" w:cs="Times New Roman"/>
          <w:sz w:val="28"/>
          <w:szCs w:val="28"/>
        </w:rPr>
        <w:lastRenderedPageBreak/>
        <w:t>elevate. Il rapporto tra le due normati</w:t>
      </w:r>
      <w:r w:rsidR="0092764B">
        <w:rPr>
          <w:rFonts w:ascii="Times New Roman" w:hAnsi="Times New Roman" w:cs="Times New Roman"/>
          <w:sz w:val="28"/>
          <w:szCs w:val="28"/>
        </w:rPr>
        <w:t>ve è ricostruito in termini di prevalenza</w:t>
      </w:r>
      <w:r w:rsidRPr="004B0283">
        <w:rPr>
          <w:rFonts w:ascii="Times New Roman" w:hAnsi="Times New Roman" w:cs="Times New Roman"/>
          <w:sz w:val="28"/>
          <w:szCs w:val="28"/>
        </w:rPr>
        <w:t xml:space="preserve"> della prima sulla seconda, nel senso della inderogabilità </w:t>
      </w:r>
      <w:r w:rsidRPr="004B0283">
        <w:rPr>
          <w:rFonts w:ascii="Times New Roman" w:hAnsi="Times New Roman" w:cs="Times New Roman"/>
          <w:i/>
          <w:sz w:val="28"/>
          <w:szCs w:val="28"/>
        </w:rPr>
        <w:t>in pejus</w:t>
      </w:r>
      <w:r w:rsidRPr="004B0283">
        <w:rPr>
          <w:rFonts w:ascii="Times New Roman" w:hAnsi="Times New Roman" w:cs="Times New Roman"/>
          <w:sz w:val="28"/>
          <w:szCs w:val="28"/>
        </w:rPr>
        <w:t xml:space="preserve"> da parte delle Regioni degli </w:t>
      </w:r>
      <w:r w:rsidRPr="004B0283">
        <w:rPr>
          <w:rFonts w:ascii="Times New Roman" w:hAnsi="Times New Roman" w:cs="Times New Roman"/>
          <w:i/>
          <w:sz w:val="28"/>
          <w:szCs w:val="28"/>
        </w:rPr>
        <w:t>standard</w:t>
      </w:r>
      <w:r w:rsidRPr="004B0283">
        <w:rPr>
          <w:rFonts w:ascii="Times New Roman" w:hAnsi="Times New Roman" w:cs="Times New Roman"/>
          <w:sz w:val="28"/>
          <w:szCs w:val="28"/>
        </w:rPr>
        <w:t xml:space="preserve"> stabiliti sul territorio nazionale</w:t>
      </w:r>
      <w:r w:rsidRPr="004B0283">
        <w:rPr>
          <w:rStyle w:val="Rimandonotaapidipagina"/>
          <w:rFonts w:ascii="Times New Roman" w:hAnsi="Times New Roman" w:cs="Times New Roman"/>
          <w:sz w:val="28"/>
          <w:szCs w:val="28"/>
        </w:rPr>
        <w:footnoteReference w:id="11"/>
      </w:r>
      <w:r w:rsidRPr="004B0283">
        <w:rPr>
          <w:rFonts w:ascii="Times New Roman" w:hAnsi="Times New Roman" w:cs="Times New Roman"/>
          <w:sz w:val="28"/>
          <w:szCs w:val="28"/>
        </w:rPr>
        <w:t>.</w:t>
      </w:r>
    </w:p>
    <w:p w:rsidR="00B30A8E" w:rsidRPr="00845A7D" w:rsidRDefault="00B30A8E" w:rsidP="00B30A8E">
      <w:pPr>
        <w:jc w:val="both"/>
        <w:rPr>
          <w:rFonts w:ascii="Times New Roman" w:hAnsi="Times New Roman" w:cs="Times New Roman"/>
          <w:sz w:val="28"/>
          <w:szCs w:val="28"/>
        </w:rPr>
      </w:pPr>
      <w:r w:rsidRPr="004B0283">
        <w:rPr>
          <w:rFonts w:ascii="Times New Roman" w:hAnsi="Times New Roman" w:cs="Times New Roman"/>
          <w:sz w:val="28"/>
          <w:szCs w:val="28"/>
        </w:rPr>
        <w:t xml:space="preserve">Analoghe limitazioni caratterizzano altri ambiti di disciplina – che rientrerebbero nella potestà legislativa concorrente  - come quelli relativi alla localizzazione degli impianti di smaltimento rifiuti e  degli impianti per la produzione di energia da fonti </w:t>
      </w:r>
      <w:r w:rsidR="004B0283">
        <w:rPr>
          <w:rFonts w:ascii="Times New Roman" w:hAnsi="Times New Roman" w:cs="Times New Roman"/>
          <w:sz w:val="28"/>
          <w:szCs w:val="28"/>
        </w:rPr>
        <w:t xml:space="preserve">rinnovabili in cui è sempre più evidente la difficoltà di contemperare </w:t>
      </w:r>
      <w:r w:rsidRPr="004B0283">
        <w:rPr>
          <w:rFonts w:ascii="Times New Roman" w:hAnsi="Times New Roman" w:cs="Times New Roman"/>
          <w:sz w:val="28"/>
          <w:szCs w:val="28"/>
        </w:rPr>
        <w:t xml:space="preserve">la tutela paesaggistica </w:t>
      </w:r>
      <w:r w:rsidR="00E97B93">
        <w:rPr>
          <w:rFonts w:ascii="Times New Roman" w:hAnsi="Times New Roman" w:cs="Times New Roman"/>
          <w:sz w:val="28"/>
          <w:szCs w:val="28"/>
        </w:rPr>
        <w:t xml:space="preserve">con </w:t>
      </w:r>
      <w:r w:rsidRPr="004B0283">
        <w:rPr>
          <w:rFonts w:ascii="Times New Roman" w:hAnsi="Times New Roman" w:cs="Times New Roman"/>
          <w:sz w:val="28"/>
          <w:szCs w:val="28"/>
        </w:rPr>
        <w:t xml:space="preserve">l’esigenza di favorire fonti di energia ecocompatibili, in attuazione di vincoli derivanti dall’ordinamento internazionale (Protocollo di Kyoto, cui è stata data esecuzione, in Italia con legge 1 giugno 2002, n. 120) ed europeo (con </w:t>
      </w:r>
      <w:r w:rsidR="004B0283">
        <w:rPr>
          <w:rFonts w:ascii="Times New Roman" w:hAnsi="Times New Roman" w:cs="Times New Roman"/>
          <w:sz w:val="28"/>
          <w:szCs w:val="28"/>
        </w:rPr>
        <w:t xml:space="preserve">le </w:t>
      </w:r>
      <w:r w:rsidRPr="004B0283">
        <w:rPr>
          <w:rFonts w:ascii="Times New Roman" w:hAnsi="Times New Roman" w:cs="Times New Roman"/>
          <w:sz w:val="28"/>
          <w:szCs w:val="28"/>
        </w:rPr>
        <w:t>varie direttive che si sono succedute in materia).</w:t>
      </w:r>
      <w:r w:rsidRPr="00845A7D">
        <w:rPr>
          <w:rFonts w:ascii="Times New Roman" w:hAnsi="Times New Roman" w:cs="Times New Roman"/>
          <w:sz w:val="28"/>
          <w:szCs w:val="28"/>
        </w:rPr>
        <w:t xml:space="preserve"> Quest’ultimo, in particolare, sancisce il principio di massima diffusione delle fonti di energia rinnovabile. </w:t>
      </w:r>
      <w:r w:rsidR="00B73AE3">
        <w:rPr>
          <w:rFonts w:ascii="Times New Roman" w:hAnsi="Times New Roman" w:cs="Times New Roman"/>
          <w:sz w:val="28"/>
          <w:szCs w:val="28"/>
        </w:rPr>
        <w:t xml:space="preserve">I </w:t>
      </w:r>
      <w:r w:rsidRPr="004B0283">
        <w:rPr>
          <w:rFonts w:ascii="Times New Roman" w:hAnsi="Times New Roman" w:cs="Times New Roman"/>
          <w:sz w:val="28"/>
          <w:szCs w:val="28"/>
        </w:rPr>
        <w:t>principi fondament</w:t>
      </w:r>
      <w:r w:rsidR="00B73AE3">
        <w:rPr>
          <w:rFonts w:ascii="Times New Roman" w:hAnsi="Times New Roman" w:cs="Times New Roman"/>
          <w:sz w:val="28"/>
          <w:szCs w:val="28"/>
        </w:rPr>
        <w:t xml:space="preserve">ali dettati dallo Stato </w:t>
      </w:r>
      <w:r w:rsidRPr="004B0283">
        <w:rPr>
          <w:rFonts w:ascii="Times New Roman" w:hAnsi="Times New Roman" w:cs="Times New Roman"/>
          <w:sz w:val="28"/>
          <w:szCs w:val="28"/>
        </w:rPr>
        <w:t>con riferimento agli aspetti localizzativi</w:t>
      </w:r>
      <w:r w:rsidR="00B73AE3">
        <w:rPr>
          <w:rFonts w:ascii="Times New Roman" w:hAnsi="Times New Roman" w:cs="Times New Roman"/>
          <w:sz w:val="28"/>
          <w:szCs w:val="28"/>
        </w:rPr>
        <w:t xml:space="preserve"> condizionano le scelte delle </w:t>
      </w:r>
      <w:r w:rsidRPr="004B0283">
        <w:rPr>
          <w:rFonts w:ascii="Times New Roman" w:hAnsi="Times New Roman" w:cs="Times New Roman"/>
          <w:sz w:val="28"/>
          <w:szCs w:val="28"/>
        </w:rPr>
        <w:t>Regioni.</w:t>
      </w:r>
      <w:r w:rsidRPr="00845A7D">
        <w:rPr>
          <w:rFonts w:ascii="Times New Roman" w:hAnsi="Times New Roman" w:cs="Times New Roman"/>
          <w:sz w:val="28"/>
          <w:szCs w:val="28"/>
        </w:rPr>
        <w:t xml:space="preserve"> In materia la </w:t>
      </w:r>
      <w:r w:rsidR="0056296A">
        <w:rPr>
          <w:rFonts w:ascii="Times New Roman" w:hAnsi="Times New Roman" w:cs="Times New Roman"/>
          <w:sz w:val="28"/>
          <w:szCs w:val="28"/>
        </w:rPr>
        <w:t xml:space="preserve">Corte Costituzionale </w:t>
      </w:r>
      <w:r w:rsidRPr="00845A7D">
        <w:rPr>
          <w:rFonts w:ascii="Times New Roman" w:hAnsi="Times New Roman" w:cs="Times New Roman"/>
          <w:sz w:val="28"/>
          <w:szCs w:val="28"/>
        </w:rPr>
        <w:t>ha ritenuto che le Regioni non potessero procedere ad indicare “</w:t>
      </w:r>
      <w:r w:rsidRPr="00845A7D">
        <w:rPr>
          <w:rFonts w:ascii="Times New Roman" w:hAnsi="Times New Roman" w:cs="Times New Roman"/>
          <w:i/>
          <w:sz w:val="28"/>
          <w:szCs w:val="28"/>
        </w:rPr>
        <w:t>aree e siti non idonei alla installazione di specifiche tipologie di impiant</w:t>
      </w:r>
      <w:r w:rsidRPr="00845A7D">
        <w:rPr>
          <w:rFonts w:ascii="Times New Roman" w:hAnsi="Times New Roman" w:cs="Times New Roman"/>
          <w:sz w:val="28"/>
          <w:szCs w:val="28"/>
        </w:rPr>
        <w:t>i” in assenza delle linee guida approvate in sede di Conferenza unificata previste dalla normativa statale con il compito di “</w:t>
      </w:r>
      <w:r w:rsidRPr="00845A7D">
        <w:rPr>
          <w:rFonts w:ascii="Times New Roman" w:hAnsi="Times New Roman" w:cs="Times New Roman"/>
          <w:i/>
          <w:sz w:val="28"/>
          <w:szCs w:val="28"/>
        </w:rPr>
        <w:t>assicurare un corretto inserimento degli impianti, con specifico riguardo agli impianti eolici, nel paesaggio</w:t>
      </w:r>
      <w:r w:rsidRPr="00845A7D">
        <w:rPr>
          <w:rFonts w:ascii="Times New Roman" w:hAnsi="Times New Roman" w:cs="Times New Roman"/>
          <w:sz w:val="28"/>
          <w:szCs w:val="28"/>
        </w:rPr>
        <w:t xml:space="preserve">” </w:t>
      </w:r>
      <w:r w:rsidRPr="00845A7D">
        <w:rPr>
          <w:rStyle w:val="Rimandonotaapidipagina"/>
          <w:rFonts w:ascii="Times New Roman" w:hAnsi="Times New Roman" w:cs="Times New Roman"/>
          <w:sz w:val="28"/>
          <w:szCs w:val="28"/>
        </w:rPr>
        <w:footnoteReference w:id="12"/>
      </w:r>
      <w:r w:rsidRPr="00845A7D">
        <w:rPr>
          <w:rFonts w:ascii="Times New Roman" w:hAnsi="Times New Roman" w:cs="Times New Roman"/>
          <w:sz w:val="28"/>
          <w:szCs w:val="28"/>
        </w:rPr>
        <w:t>.</w:t>
      </w:r>
    </w:p>
    <w:p w:rsidR="00B30A8E" w:rsidRPr="00845A7D" w:rsidRDefault="0092764B" w:rsidP="00B30A8E">
      <w:pPr>
        <w:jc w:val="both"/>
        <w:rPr>
          <w:rFonts w:ascii="Times New Roman" w:hAnsi="Times New Roman" w:cs="Times New Roman"/>
          <w:sz w:val="28"/>
          <w:szCs w:val="28"/>
        </w:rPr>
      </w:pPr>
      <w:r>
        <w:rPr>
          <w:rFonts w:ascii="Times New Roman" w:hAnsi="Times New Roman" w:cs="Times New Roman"/>
          <w:sz w:val="28"/>
          <w:szCs w:val="28"/>
        </w:rPr>
        <w:t xml:space="preserve">Tale condizionamento delle potestà regionale permane anche nel nuovo sistema -  derivante </w:t>
      </w:r>
      <w:r w:rsidR="00BF2469">
        <w:rPr>
          <w:rFonts w:ascii="Times New Roman" w:hAnsi="Times New Roman" w:cs="Times New Roman"/>
          <w:sz w:val="28"/>
          <w:szCs w:val="28"/>
        </w:rPr>
        <w:t>dall’</w:t>
      </w:r>
      <w:r w:rsidR="00B30A8E" w:rsidRPr="004B0283">
        <w:rPr>
          <w:rFonts w:ascii="Times New Roman" w:hAnsi="Times New Roman" w:cs="Times New Roman"/>
          <w:sz w:val="28"/>
          <w:szCs w:val="28"/>
        </w:rPr>
        <w:t xml:space="preserve">art. 20, comma 8, del d.lgs. n. 199 del 2021 </w:t>
      </w:r>
      <w:r>
        <w:rPr>
          <w:rFonts w:ascii="Times New Roman" w:hAnsi="Times New Roman" w:cs="Times New Roman"/>
          <w:sz w:val="28"/>
          <w:szCs w:val="28"/>
        </w:rPr>
        <w:t xml:space="preserve">- </w:t>
      </w:r>
      <w:r w:rsidR="00B30A8E" w:rsidRPr="00845A7D">
        <w:rPr>
          <w:rFonts w:ascii="Times New Roman" w:hAnsi="Times New Roman" w:cs="Times New Roman"/>
          <w:sz w:val="28"/>
          <w:szCs w:val="28"/>
        </w:rPr>
        <w:t>di individuazione delle aree in cui è consentita l</w:t>
      </w:r>
      <w:r w:rsidR="00B30A8E">
        <w:rPr>
          <w:rFonts w:ascii="Times New Roman" w:hAnsi="Times New Roman" w:cs="Times New Roman"/>
          <w:sz w:val="28"/>
          <w:szCs w:val="28"/>
        </w:rPr>
        <w:t xml:space="preserve">'installazione degli impianti per la produzione di energia da </w:t>
      </w:r>
      <w:r w:rsidR="00B30A8E" w:rsidRPr="00845A7D">
        <w:rPr>
          <w:rFonts w:ascii="Times New Roman" w:hAnsi="Times New Roman" w:cs="Times New Roman"/>
          <w:sz w:val="28"/>
          <w:szCs w:val="28"/>
        </w:rPr>
        <w:t>fonti rinnovabili. Con esso, il legislatore statale ha inteso superare il sistema dettato dall'art. 12, comma 10, del decreto legislativo 29 dicembre 2003, n. 387 (Attuazione della direttiva 2001/77/CE relativa alla promozione dell'energia elettrica prodotta da fonti energetiche rinnovabili nel mercato interno dell'elettricità) e dal conseguente decreto del Ministro dello sviluppo economico del 10 se</w:t>
      </w:r>
      <w:r w:rsidR="00B73AE3">
        <w:rPr>
          <w:rFonts w:ascii="Times New Roman" w:hAnsi="Times New Roman" w:cs="Times New Roman"/>
          <w:sz w:val="28"/>
          <w:szCs w:val="28"/>
        </w:rPr>
        <w:t>ttembre 2010 (Linee guida per l’</w:t>
      </w:r>
      <w:r w:rsidR="00B30A8E" w:rsidRPr="00845A7D">
        <w:rPr>
          <w:rFonts w:ascii="Times New Roman" w:hAnsi="Times New Roman" w:cs="Times New Roman"/>
          <w:sz w:val="28"/>
          <w:szCs w:val="28"/>
        </w:rPr>
        <w:t>autorizzazione degli impianti alimentati da fonti rinnovabili), contenenti i principi e i criteri di individuaz</w:t>
      </w:r>
      <w:r w:rsidR="00B30A8E">
        <w:rPr>
          <w:rFonts w:ascii="Times New Roman" w:hAnsi="Times New Roman" w:cs="Times New Roman"/>
          <w:sz w:val="28"/>
          <w:szCs w:val="28"/>
        </w:rPr>
        <w:t xml:space="preserve">ione delle aree non idonee. </w:t>
      </w:r>
      <w:r w:rsidR="00B30A8E" w:rsidRPr="00B73AE3">
        <w:rPr>
          <w:rFonts w:ascii="Times New Roman" w:hAnsi="Times New Roman" w:cs="Times New Roman"/>
          <w:sz w:val="28"/>
          <w:szCs w:val="28"/>
        </w:rPr>
        <w:t xml:space="preserve">Le </w:t>
      </w:r>
      <w:r w:rsidR="00B30A8E" w:rsidRPr="000B13C0">
        <w:rPr>
          <w:rFonts w:ascii="Times New Roman" w:hAnsi="Times New Roman" w:cs="Times New Roman"/>
          <w:sz w:val="28"/>
          <w:szCs w:val="28"/>
        </w:rPr>
        <w:t>Regioni, pertanto, sono ora chiamate a individuare le aree «idonee» all’installazione degli impianti, sulla scorta dei principi e dei criteri stabiliti con</w:t>
      </w:r>
      <w:r w:rsidR="00B30A8E" w:rsidRPr="004B2001">
        <w:rPr>
          <w:rFonts w:ascii="Times New Roman" w:hAnsi="Times New Roman" w:cs="Times New Roman"/>
          <w:b/>
          <w:sz w:val="28"/>
          <w:szCs w:val="28"/>
        </w:rPr>
        <w:t xml:space="preserve"> </w:t>
      </w:r>
      <w:r w:rsidR="00B30A8E" w:rsidRPr="00B73AE3">
        <w:rPr>
          <w:rFonts w:ascii="Times New Roman" w:hAnsi="Times New Roman" w:cs="Times New Roman"/>
          <w:sz w:val="28"/>
          <w:szCs w:val="28"/>
        </w:rPr>
        <w:t>appositi decreti</w:t>
      </w:r>
      <w:r w:rsidR="00B30A8E" w:rsidRPr="004B2001">
        <w:rPr>
          <w:rFonts w:ascii="Times New Roman" w:hAnsi="Times New Roman" w:cs="Times New Roman"/>
          <w:b/>
          <w:sz w:val="28"/>
          <w:szCs w:val="28"/>
        </w:rPr>
        <w:t xml:space="preserve"> </w:t>
      </w:r>
      <w:r w:rsidR="00B30A8E" w:rsidRPr="000B13C0">
        <w:rPr>
          <w:rFonts w:ascii="Times New Roman" w:hAnsi="Times New Roman" w:cs="Times New Roman"/>
          <w:sz w:val="28"/>
          <w:szCs w:val="28"/>
        </w:rPr>
        <w:t>interministeriali, previsti dal comm</w:t>
      </w:r>
      <w:r w:rsidR="00725860">
        <w:rPr>
          <w:rFonts w:ascii="Times New Roman" w:hAnsi="Times New Roman" w:cs="Times New Roman"/>
          <w:sz w:val="28"/>
          <w:szCs w:val="28"/>
        </w:rPr>
        <w:t>a 1 del citato art. 20</w:t>
      </w:r>
      <w:r w:rsidR="00B30A8E" w:rsidRPr="000B13C0">
        <w:rPr>
          <w:rFonts w:ascii="Times New Roman" w:hAnsi="Times New Roman" w:cs="Times New Roman"/>
          <w:sz w:val="28"/>
          <w:szCs w:val="28"/>
        </w:rPr>
        <w:t>.</w:t>
      </w:r>
      <w:r w:rsidR="00B30A8E" w:rsidRPr="00845A7D">
        <w:rPr>
          <w:rFonts w:ascii="Times New Roman" w:hAnsi="Times New Roman" w:cs="Times New Roman"/>
          <w:sz w:val="28"/>
          <w:szCs w:val="28"/>
        </w:rPr>
        <w:t xml:space="preserve"> Inoltre, l’individuazione delle aree idonee dovrà avvenire non più in sede amministrativa, come prevedeva la disciplina precedente in relazione a quelle non </w:t>
      </w:r>
      <w:r w:rsidR="00B30A8E" w:rsidRPr="00845A7D">
        <w:rPr>
          <w:rFonts w:ascii="Times New Roman" w:hAnsi="Times New Roman" w:cs="Times New Roman"/>
          <w:sz w:val="28"/>
          <w:szCs w:val="28"/>
        </w:rPr>
        <w:lastRenderedPageBreak/>
        <w:t>idonee, bensì «con legge» regionale, secondo quanto precisato dal comma 4 (primo periodo) dello stesso art. 20</w:t>
      </w:r>
      <w:r w:rsidR="00B30A8E" w:rsidRPr="00845A7D">
        <w:rPr>
          <w:rStyle w:val="Rimandonotaapidipagina"/>
          <w:rFonts w:ascii="Times New Roman" w:hAnsi="Times New Roman" w:cs="Times New Roman"/>
          <w:sz w:val="28"/>
          <w:szCs w:val="28"/>
        </w:rPr>
        <w:footnoteReference w:id="13"/>
      </w:r>
      <w:r w:rsidR="00B30A8E" w:rsidRPr="00845A7D">
        <w:rPr>
          <w:rFonts w:ascii="Times New Roman" w:hAnsi="Times New Roman" w:cs="Times New Roman"/>
          <w:sz w:val="28"/>
          <w:szCs w:val="28"/>
        </w:rPr>
        <w:t xml:space="preserve">.  </w:t>
      </w:r>
    </w:p>
    <w:p w:rsidR="00B30A8E" w:rsidRPr="000B13C0" w:rsidRDefault="00C46714" w:rsidP="00B30A8E">
      <w:pPr>
        <w:jc w:val="both"/>
        <w:rPr>
          <w:rFonts w:ascii="Times New Roman" w:hAnsi="Times New Roman" w:cs="Times New Roman"/>
          <w:sz w:val="28"/>
          <w:szCs w:val="28"/>
        </w:rPr>
      </w:pPr>
      <w:r>
        <w:rPr>
          <w:rFonts w:ascii="Times New Roman" w:hAnsi="Times New Roman" w:cs="Times New Roman"/>
          <w:sz w:val="28"/>
          <w:szCs w:val="28"/>
        </w:rPr>
        <w:t>All’interno di questo complessivo</w:t>
      </w:r>
      <w:r w:rsidR="00B30A8E" w:rsidRPr="000B13C0">
        <w:rPr>
          <w:rFonts w:ascii="Times New Roman" w:hAnsi="Times New Roman" w:cs="Times New Roman"/>
          <w:sz w:val="28"/>
          <w:szCs w:val="28"/>
        </w:rPr>
        <w:t xml:space="preserve"> quadro normativo stat</w:t>
      </w:r>
      <w:r w:rsidR="0092764B">
        <w:rPr>
          <w:rFonts w:ascii="Times New Roman" w:hAnsi="Times New Roman" w:cs="Times New Roman"/>
          <w:sz w:val="28"/>
          <w:szCs w:val="28"/>
        </w:rPr>
        <w:t xml:space="preserve">ale, le Regioni si sono tuttavia </w:t>
      </w:r>
      <w:r w:rsidR="00B30A8E" w:rsidRPr="000B13C0">
        <w:rPr>
          <w:rFonts w:ascii="Times New Roman" w:hAnsi="Times New Roman" w:cs="Times New Roman"/>
          <w:sz w:val="28"/>
          <w:szCs w:val="28"/>
        </w:rPr>
        <w:t xml:space="preserve">dotate </w:t>
      </w:r>
      <w:r w:rsidR="0092764B">
        <w:rPr>
          <w:rFonts w:ascii="Times New Roman" w:hAnsi="Times New Roman" w:cs="Times New Roman"/>
          <w:sz w:val="28"/>
          <w:szCs w:val="28"/>
        </w:rPr>
        <w:t xml:space="preserve">nel corso degli anni </w:t>
      </w:r>
      <w:r w:rsidR="00B30A8E" w:rsidRPr="000B13C0">
        <w:rPr>
          <w:rFonts w:ascii="Times New Roman" w:hAnsi="Times New Roman" w:cs="Times New Roman"/>
          <w:sz w:val="28"/>
          <w:szCs w:val="28"/>
        </w:rPr>
        <w:t>di una propria legge urbanistica di carattere organico, variamente intitolata, contenente le norme regionali sugli standard urbanistici, i relativi piani, la disciplina edilizia, l’organizzazione amministrativa in</w:t>
      </w:r>
      <w:r w:rsidR="00B73AE3">
        <w:rPr>
          <w:rFonts w:ascii="Times New Roman" w:hAnsi="Times New Roman" w:cs="Times New Roman"/>
          <w:sz w:val="28"/>
          <w:szCs w:val="28"/>
        </w:rPr>
        <w:t xml:space="preserve"> materia di pianificazione territoriale</w:t>
      </w:r>
      <w:r w:rsidR="00B30A8E" w:rsidRPr="000B13C0">
        <w:rPr>
          <w:rFonts w:ascii="Times New Roman" w:hAnsi="Times New Roman" w:cs="Times New Roman"/>
          <w:sz w:val="28"/>
          <w:szCs w:val="28"/>
        </w:rPr>
        <w:t xml:space="preserve">. Il cuore di tali discipline è costituito dalla disciplina degli strumenti della pianificazione territoriale, all’interno dei margini lasciati dalla normativa statale di principio, </w:t>
      </w:r>
      <w:r w:rsidR="0092764B">
        <w:rPr>
          <w:rFonts w:ascii="Times New Roman" w:hAnsi="Times New Roman" w:cs="Times New Roman"/>
          <w:sz w:val="28"/>
          <w:szCs w:val="28"/>
        </w:rPr>
        <w:t xml:space="preserve">così come </w:t>
      </w:r>
      <w:r w:rsidR="00B30A8E" w:rsidRPr="000B13C0">
        <w:rPr>
          <w:rFonts w:ascii="Times New Roman" w:hAnsi="Times New Roman" w:cs="Times New Roman"/>
          <w:sz w:val="28"/>
          <w:szCs w:val="28"/>
        </w:rPr>
        <w:t>ricostrui</w:t>
      </w:r>
      <w:r w:rsidR="00E97B93">
        <w:rPr>
          <w:rFonts w:ascii="Times New Roman" w:hAnsi="Times New Roman" w:cs="Times New Roman"/>
          <w:sz w:val="28"/>
          <w:szCs w:val="28"/>
        </w:rPr>
        <w:t xml:space="preserve">ta dalla Corte costituzionale. </w:t>
      </w:r>
      <w:r w:rsidR="00B30A8E" w:rsidRPr="000B13C0">
        <w:rPr>
          <w:rFonts w:ascii="Times New Roman" w:hAnsi="Times New Roman" w:cs="Times New Roman"/>
          <w:sz w:val="28"/>
          <w:szCs w:val="28"/>
        </w:rPr>
        <w:t xml:space="preserve">Tra i principi fondamentali della materia individuati dalla Corte figurano quelli relativi all’organizzazione dei poteri urbanistici e edilizi, alla dotazione degli </w:t>
      </w:r>
      <w:r w:rsidR="00B30A8E" w:rsidRPr="00E97B93">
        <w:rPr>
          <w:rFonts w:ascii="Times New Roman" w:hAnsi="Times New Roman" w:cs="Times New Roman"/>
          <w:sz w:val="28"/>
          <w:szCs w:val="28"/>
        </w:rPr>
        <w:t>standard,</w:t>
      </w:r>
      <w:r w:rsidR="00B30A8E" w:rsidRPr="000B13C0">
        <w:rPr>
          <w:rFonts w:ascii="Times New Roman" w:hAnsi="Times New Roman" w:cs="Times New Roman"/>
          <w:sz w:val="28"/>
          <w:szCs w:val="28"/>
        </w:rPr>
        <w:t xml:space="preserve"> al principio di pianificazione, ai titoli abilitativi per la trasformazione del territorio, al controllo sulle trasformazioni del territorio, al contrasto all’abusivismo.</w:t>
      </w:r>
    </w:p>
    <w:p w:rsidR="00B30A8E" w:rsidRPr="00845A7D" w:rsidRDefault="00B73AE3" w:rsidP="00B30A8E">
      <w:pPr>
        <w:jc w:val="both"/>
        <w:rPr>
          <w:rFonts w:ascii="Times New Roman" w:hAnsi="Times New Roman" w:cs="Times New Roman"/>
          <w:sz w:val="28"/>
          <w:szCs w:val="28"/>
        </w:rPr>
      </w:pPr>
      <w:r>
        <w:rPr>
          <w:rFonts w:ascii="Times New Roman" w:hAnsi="Times New Roman" w:cs="Times New Roman"/>
          <w:sz w:val="28"/>
          <w:szCs w:val="28"/>
        </w:rPr>
        <w:t xml:space="preserve">La </w:t>
      </w:r>
      <w:r w:rsidR="00B30A8E" w:rsidRPr="000B13C0">
        <w:rPr>
          <w:rFonts w:ascii="Times New Roman" w:hAnsi="Times New Roman" w:cs="Times New Roman"/>
          <w:sz w:val="28"/>
          <w:szCs w:val="28"/>
        </w:rPr>
        <w:t>progressiva modifica del conten</w:t>
      </w:r>
      <w:r w:rsidR="00E97B93">
        <w:rPr>
          <w:rFonts w:ascii="Times New Roman" w:hAnsi="Times New Roman" w:cs="Times New Roman"/>
          <w:sz w:val="28"/>
          <w:szCs w:val="28"/>
        </w:rPr>
        <w:t>uto della materia “urbanistica”</w:t>
      </w:r>
      <w:r w:rsidR="00B30A8E" w:rsidRPr="000B13C0">
        <w:rPr>
          <w:rFonts w:ascii="Times New Roman" w:hAnsi="Times New Roman" w:cs="Times New Roman"/>
          <w:sz w:val="28"/>
          <w:szCs w:val="28"/>
        </w:rPr>
        <w:t xml:space="preserve"> </w:t>
      </w:r>
      <w:r w:rsidR="000B13C0" w:rsidRPr="000B13C0">
        <w:rPr>
          <w:rFonts w:ascii="Times New Roman" w:hAnsi="Times New Roman" w:cs="Times New Roman"/>
          <w:sz w:val="28"/>
          <w:szCs w:val="28"/>
        </w:rPr>
        <w:t>è stata puntualmente recepita dalla</w:t>
      </w:r>
      <w:r w:rsidR="00B30A8E" w:rsidRPr="000B13C0">
        <w:rPr>
          <w:rFonts w:ascii="Times New Roman" w:hAnsi="Times New Roman" w:cs="Times New Roman"/>
          <w:sz w:val="28"/>
          <w:szCs w:val="28"/>
        </w:rPr>
        <w:t xml:space="preserve"> giurispr</w:t>
      </w:r>
      <w:r w:rsidR="000B13C0" w:rsidRPr="000B13C0">
        <w:rPr>
          <w:rFonts w:ascii="Times New Roman" w:hAnsi="Times New Roman" w:cs="Times New Roman"/>
          <w:sz w:val="28"/>
          <w:szCs w:val="28"/>
        </w:rPr>
        <w:t>udenza amministrativa che la definisce</w:t>
      </w:r>
      <w:r>
        <w:rPr>
          <w:rFonts w:ascii="Times New Roman" w:hAnsi="Times New Roman" w:cs="Times New Roman"/>
          <w:sz w:val="28"/>
          <w:szCs w:val="28"/>
        </w:rPr>
        <w:t xml:space="preserve"> oggi</w:t>
      </w:r>
      <w:r w:rsidR="000B13C0" w:rsidRPr="000B13C0">
        <w:rPr>
          <w:rFonts w:ascii="Times New Roman" w:hAnsi="Times New Roman" w:cs="Times New Roman"/>
          <w:sz w:val="28"/>
          <w:szCs w:val="28"/>
        </w:rPr>
        <w:t xml:space="preserve"> </w:t>
      </w:r>
      <w:r w:rsidR="00B30A8E" w:rsidRPr="000B13C0">
        <w:rPr>
          <w:rFonts w:ascii="Times New Roman" w:hAnsi="Times New Roman" w:cs="Times New Roman"/>
          <w:sz w:val="28"/>
          <w:szCs w:val="28"/>
        </w:rPr>
        <w:t>quale concetto olistico</w:t>
      </w:r>
      <w:r w:rsidR="00B30A8E" w:rsidRPr="000B13C0">
        <w:rPr>
          <w:rStyle w:val="Rimandonotaapidipagina"/>
          <w:rFonts w:ascii="Times New Roman" w:hAnsi="Times New Roman" w:cs="Times New Roman"/>
          <w:sz w:val="28"/>
          <w:szCs w:val="28"/>
        </w:rPr>
        <w:footnoteReference w:id="14"/>
      </w:r>
      <w:r w:rsidR="00B30A8E" w:rsidRPr="000B13C0">
        <w:rPr>
          <w:rFonts w:ascii="Times New Roman" w:hAnsi="Times New Roman" w:cs="Times New Roman"/>
          <w:sz w:val="28"/>
          <w:szCs w:val="28"/>
        </w:rPr>
        <w:t xml:space="preserve"> concernente lo sviluppo complessivo ed armonico del territorio, alla luce “</w:t>
      </w:r>
      <w:r w:rsidR="00B30A8E" w:rsidRPr="000B13C0">
        <w:rPr>
          <w:rFonts w:ascii="Times New Roman" w:hAnsi="Times New Roman" w:cs="Times New Roman"/>
          <w:i/>
          <w:sz w:val="28"/>
          <w:szCs w:val="28"/>
        </w:rPr>
        <w:t>sia delle potenzialità edificatorie dei luoghi in relazione alle effettive esigenze di abitazione della comunità ed alle concrete vocazioni dei luoghi, sia di valori ambientali e paesaggistici, sia di esigenze di tutela della salute e quindi della</w:t>
      </w:r>
      <w:r w:rsidR="00B30A8E" w:rsidRPr="004B2001">
        <w:rPr>
          <w:rFonts w:ascii="Times New Roman" w:hAnsi="Times New Roman" w:cs="Times New Roman"/>
          <w:b/>
          <w:i/>
          <w:sz w:val="28"/>
          <w:szCs w:val="28"/>
        </w:rPr>
        <w:t xml:space="preserve"> </w:t>
      </w:r>
      <w:r w:rsidR="00B30A8E" w:rsidRPr="000B13C0">
        <w:rPr>
          <w:rFonts w:ascii="Times New Roman" w:hAnsi="Times New Roman" w:cs="Times New Roman"/>
          <w:i/>
          <w:sz w:val="28"/>
          <w:szCs w:val="28"/>
        </w:rPr>
        <w:t xml:space="preserve">vita </w:t>
      </w:r>
      <w:r w:rsidR="00B30A8E" w:rsidRPr="000B13C0">
        <w:rPr>
          <w:rFonts w:ascii="Times New Roman" w:hAnsi="Times New Roman" w:cs="Times New Roman"/>
          <w:i/>
          <w:sz w:val="28"/>
          <w:szCs w:val="28"/>
        </w:rPr>
        <w:lastRenderedPageBreak/>
        <w:t>salubre degli</w:t>
      </w:r>
      <w:r w:rsidR="00B30A8E" w:rsidRPr="004B2001">
        <w:rPr>
          <w:rFonts w:ascii="Times New Roman" w:hAnsi="Times New Roman" w:cs="Times New Roman"/>
          <w:b/>
          <w:i/>
          <w:sz w:val="28"/>
          <w:szCs w:val="28"/>
        </w:rPr>
        <w:t xml:space="preserve"> </w:t>
      </w:r>
      <w:r w:rsidR="00B30A8E" w:rsidRPr="000B13C0">
        <w:rPr>
          <w:rFonts w:ascii="Times New Roman" w:hAnsi="Times New Roman" w:cs="Times New Roman"/>
          <w:i/>
          <w:sz w:val="28"/>
          <w:szCs w:val="28"/>
        </w:rPr>
        <w:t>abitanti, sia delle esigenze economico-sociali della comunità radicata sul territorio</w:t>
      </w:r>
      <w:r w:rsidR="00B30A8E" w:rsidRPr="00845A7D">
        <w:rPr>
          <w:rFonts w:ascii="Times New Roman" w:hAnsi="Times New Roman" w:cs="Times New Roman"/>
          <w:sz w:val="28"/>
          <w:szCs w:val="28"/>
        </w:rPr>
        <w:t xml:space="preserve"> [...]”</w:t>
      </w:r>
      <w:r w:rsidR="00B30A8E" w:rsidRPr="00845A7D">
        <w:rPr>
          <w:rStyle w:val="Rimandonotaapidipagina"/>
          <w:rFonts w:ascii="Times New Roman" w:hAnsi="Times New Roman" w:cs="Times New Roman"/>
          <w:sz w:val="28"/>
          <w:szCs w:val="28"/>
        </w:rPr>
        <w:footnoteReference w:id="15"/>
      </w:r>
      <w:r w:rsidR="00B30A8E" w:rsidRPr="00845A7D">
        <w:rPr>
          <w:rFonts w:ascii="Times New Roman" w:hAnsi="Times New Roman" w:cs="Times New Roman"/>
          <w:sz w:val="28"/>
          <w:szCs w:val="28"/>
        </w:rPr>
        <w:t xml:space="preserve">.  </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Il potere di pian</w:t>
      </w:r>
      <w:r>
        <w:rPr>
          <w:rFonts w:ascii="Times New Roman" w:hAnsi="Times New Roman" w:cs="Times New Roman"/>
          <w:sz w:val="28"/>
          <w:szCs w:val="28"/>
        </w:rPr>
        <w:t xml:space="preserve">ificazione urbanistica è </w:t>
      </w:r>
      <w:r w:rsidRPr="00845A7D">
        <w:rPr>
          <w:rFonts w:ascii="Times New Roman" w:hAnsi="Times New Roman" w:cs="Times New Roman"/>
          <w:sz w:val="28"/>
          <w:szCs w:val="28"/>
        </w:rPr>
        <w:t>interpretato come funzionalmente rivolto alla realizzazione contemperata di una pluralità di interessi pubblici, che trovano il proprio fondamento in valori costituzionalmente garantiti. Richiamandosi alle sentenze n. 55 e 56 del 1968 della Corte costituzionale (alla quale risale la distinzione tra vincoli urbanistici espropriativi e vincoli conformativi</w:t>
      </w:r>
      <w:r w:rsidRPr="00845A7D">
        <w:rPr>
          <w:sz w:val="28"/>
          <w:szCs w:val="28"/>
        </w:rPr>
        <w:t xml:space="preserve"> </w:t>
      </w:r>
      <w:r w:rsidRPr="00845A7D">
        <w:rPr>
          <w:rFonts w:ascii="Times New Roman" w:hAnsi="Times New Roman" w:cs="Times New Roman"/>
          <w:sz w:val="28"/>
          <w:szCs w:val="28"/>
        </w:rPr>
        <w:t>della proprietà per l’ordinato sviluppo del territorio)</w:t>
      </w:r>
      <w:r>
        <w:rPr>
          <w:rFonts w:ascii="Times New Roman" w:hAnsi="Times New Roman" w:cs="Times New Roman"/>
          <w:sz w:val="28"/>
          <w:szCs w:val="28"/>
        </w:rPr>
        <w:t xml:space="preserve">, la giurisprudenza amministrativa ha </w:t>
      </w:r>
      <w:r w:rsidRPr="00845A7D">
        <w:rPr>
          <w:rFonts w:ascii="Times New Roman" w:hAnsi="Times New Roman" w:cs="Times New Roman"/>
          <w:sz w:val="28"/>
          <w:szCs w:val="28"/>
        </w:rPr>
        <w:t>sottolineato che “</w:t>
      </w:r>
      <w:r w:rsidRPr="00845A7D">
        <w:rPr>
          <w:rFonts w:ascii="Times New Roman" w:hAnsi="Times New Roman" w:cs="Times New Roman"/>
          <w:i/>
          <w:sz w:val="28"/>
          <w:szCs w:val="28"/>
        </w:rPr>
        <w:t>resta escluso che il diritto di proprietà possa venire inteso come dominio assoluto ed illimitato sui beni propri, dovendosi invece ritenerlo caratterizzato dall'attitudine di essere sottoposto nel suo contenuto, ad un regime che la Costituzione lascia al legislatore di determinare</w:t>
      </w:r>
      <w:r w:rsidRPr="00845A7D">
        <w:rPr>
          <w:rFonts w:ascii="Times New Roman" w:hAnsi="Times New Roman" w:cs="Times New Roman"/>
          <w:sz w:val="28"/>
          <w:szCs w:val="28"/>
        </w:rPr>
        <w:t>”</w:t>
      </w:r>
      <w:r w:rsidRPr="00845A7D">
        <w:rPr>
          <w:rStyle w:val="Rimandonotaapidipagina"/>
          <w:rFonts w:ascii="Times New Roman" w:hAnsi="Times New Roman" w:cs="Times New Roman"/>
          <w:sz w:val="28"/>
          <w:szCs w:val="28"/>
        </w:rPr>
        <w:footnoteReference w:id="16"/>
      </w:r>
      <w:r w:rsidRPr="00845A7D">
        <w:rPr>
          <w:rFonts w:ascii="Times New Roman" w:hAnsi="Times New Roman" w:cs="Times New Roman"/>
          <w:sz w:val="28"/>
          <w:szCs w:val="28"/>
        </w:rPr>
        <w:t>.</w:t>
      </w:r>
    </w:p>
    <w:p w:rsidR="00B30A8E" w:rsidRPr="000B13C0" w:rsidRDefault="00B30A8E" w:rsidP="00B30A8E">
      <w:pPr>
        <w:jc w:val="both"/>
        <w:rPr>
          <w:rFonts w:ascii="Times New Roman" w:hAnsi="Times New Roman" w:cs="Times New Roman"/>
          <w:sz w:val="28"/>
          <w:szCs w:val="28"/>
        </w:rPr>
      </w:pPr>
      <w:r w:rsidRPr="000B13C0">
        <w:rPr>
          <w:rFonts w:ascii="Times New Roman" w:hAnsi="Times New Roman" w:cs="Times New Roman"/>
          <w:sz w:val="28"/>
          <w:szCs w:val="28"/>
        </w:rPr>
        <w:t>Si tratta di concetti ripresi dal</w:t>
      </w:r>
      <w:r w:rsidR="0092764B">
        <w:rPr>
          <w:rFonts w:ascii="Times New Roman" w:hAnsi="Times New Roman" w:cs="Times New Roman"/>
          <w:sz w:val="28"/>
          <w:szCs w:val="28"/>
        </w:rPr>
        <w:t xml:space="preserve">la stessa Corte costituzionale </w:t>
      </w:r>
      <w:r w:rsidRPr="000B13C0">
        <w:rPr>
          <w:rFonts w:ascii="Times New Roman" w:hAnsi="Times New Roman" w:cs="Times New Roman"/>
          <w:sz w:val="28"/>
          <w:szCs w:val="28"/>
        </w:rPr>
        <w:t xml:space="preserve">laddove (superando l’orientamento risalente alla sentenza n. 5 del 1980, in cui  ancora veniva ribadita l’inerenza dello </w:t>
      </w:r>
      <w:r w:rsidRPr="000B13C0">
        <w:rPr>
          <w:rFonts w:ascii="Times New Roman" w:hAnsi="Times New Roman" w:cs="Times New Roman"/>
          <w:i/>
          <w:sz w:val="28"/>
          <w:szCs w:val="28"/>
        </w:rPr>
        <w:t>ius aedificandi</w:t>
      </w:r>
      <w:r w:rsidRPr="000B13C0">
        <w:rPr>
          <w:rFonts w:ascii="Times New Roman" w:hAnsi="Times New Roman" w:cs="Times New Roman"/>
          <w:sz w:val="28"/>
          <w:szCs w:val="28"/>
        </w:rPr>
        <w:t xml:space="preserve"> al diritto di proprietà), più recentemente ha sottolineato che oggi l’urbanistica “</w:t>
      </w:r>
      <w:r w:rsidRPr="000B13C0">
        <w:rPr>
          <w:rFonts w:ascii="Times New Roman" w:hAnsi="Times New Roman" w:cs="Times New Roman"/>
          <w:i/>
          <w:sz w:val="28"/>
          <w:szCs w:val="28"/>
        </w:rPr>
        <w:t>da un lato, traguarda le più recenti concezioni di territorio, considerato non più solo come uno spazio topografico suscettibile di occupazione edificatoria, ma rivalutato come una risorsa complessa che incarna molteplici vocazioni (ambientali, culturali, produttive, storiche) e, dall’altro, è avvertita sul fatto che il consumo di suolo rappresenta una delle variabili più gravi del problema della pressione antropica sulle risorse naturali</w:t>
      </w:r>
      <w:r w:rsidRPr="000B13C0">
        <w:rPr>
          <w:rFonts w:ascii="Times New Roman" w:hAnsi="Times New Roman" w:cs="Times New Roman"/>
          <w:sz w:val="28"/>
          <w:szCs w:val="28"/>
        </w:rPr>
        <w:t xml:space="preserve">” </w:t>
      </w:r>
      <w:r w:rsidRPr="000B13C0">
        <w:rPr>
          <w:rStyle w:val="Rimandonotaapidipagina"/>
          <w:rFonts w:ascii="Times New Roman" w:hAnsi="Times New Roman" w:cs="Times New Roman"/>
          <w:sz w:val="28"/>
          <w:szCs w:val="28"/>
        </w:rPr>
        <w:footnoteReference w:id="17"/>
      </w:r>
      <w:r w:rsidRPr="000B13C0">
        <w:rPr>
          <w:rFonts w:ascii="Times New Roman" w:hAnsi="Times New Roman" w:cs="Times New Roman"/>
          <w:sz w:val="28"/>
          <w:szCs w:val="28"/>
        </w:rPr>
        <w:t>.</w:t>
      </w:r>
    </w:p>
    <w:p w:rsidR="00B30A8E" w:rsidRPr="000B13C0"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 xml:space="preserve">Questa visione dell’urbanistica è ormai affermata anche in ambito europeo e internazionale. </w:t>
      </w:r>
      <w:r w:rsidRPr="000B13C0">
        <w:rPr>
          <w:rFonts w:ascii="Times New Roman" w:hAnsi="Times New Roman" w:cs="Times New Roman"/>
          <w:sz w:val="28"/>
          <w:szCs w:val="28"/>
        </w:rPr>
        <w:t xml:space="preserve">Nel diritto primario dell’Unione si rinvengono disposizioni riconducibili al contenimento di consumo del suolo </w:t>
      </w:r>
      <w:r w:rsidR="00B73AE3">
        <w:rPr>
          <w:rFonts w:ascii="Times New Roman" w:hAnsi="Times New Roman" w:cs="Times New Roman"/>
          <w:sz w:val="28"/>
          <w:szCs w:val="28"/>
        </w:rPr>
        <w:t xml:space="preserve">quale </w:t>
      </w:r>
      <w:r w:rsidRPr="000B13C0">
        <w:rPr>
          <w:rFonts w:ascii="Times New Roman" w:hAnsi="Times New Roman" w:cs="Times New Roman"/>
          <w:sz w:val="28"/>
          <w:szCs w:val="28"/>
        </w:rPr>
        <w:t>interesse pubblico ambienta</w:t>
      </w:r>
      <w:r w:rsidR="00B73AE3">
        <w:rPr>
          <w:rFonts w:ascii="Times New Roman" w:hAnsi="Times New Roman" w:cs="Times New Roman"/>
          <w:sz w:val="28"/>
          <w:szCs w:val="28"/>
        </w:rPr>
        <w:t xml:space="preserve">le e, a un tempo, </w:t>
      </w:r>
      <w:r w:rsidRPr="000B13C0">
        <w:rPr>
          <w:rFonts w:ascii="Times New Roman" w:hAnsi="Times New Roman" w:cs="Times New Roman"/>
          <w:sz w:val="28"/>
          <w:szCs w:val="28"/>
        </w:rPr>
        <w:t>obiettivo delle politiche territoriali. Sotto il primo profilo, l’art. 191, par. 1 TFUE</w:t>
      </w:r>
      <w:r w:rsidRPr="004B2001">
        <w:rPr>
          <w:rFonts w:ascii="Times New Roman" w:hAnsi="Times New Roman" w:cs="Times New Roman"/>
          <w:b/>
          <w:sz w:val="28"/>
          <w:szCs w:val="28"/>
        </w:rPr>
        <w:t xml:space="preserve">, </w:t>
      </w:r>
      <w:r w:rsidRPr="004B2001">
        <w:rPr>
          <w:rFonts w:ascii="Times New Roman" w:hAnsi="Times New Roman" w:cs="Times New Roman"/>
          <w:sz w:val="28"/>
          <w:szCs w:val="28"/>
        </w:rPr>
        <w:t>dispone che l’utilizzazione razionale e accorta delle risorse naturali, nonché la salvaguardia e il miglioramento della qualità dell’ambiente, sono obiettivi imprescindibili nella politica dell’Unione Europea. Sotto il secondo profilo, concernente le politiche territoriali, l’art. 192 TFUE riconosce al Parlamento europeo e al Consiglio, in via congiunta, il potere di adottare gli atti finalizzati a perseguire gli obiettivi di tutela ambientale di cui all’art. 191, tramite la procedura legislativa ordinaria, cd. procedura di co-decisione</w:t>
      </w:r>
      <w:r w:rsidRPr="00845A7D">
        <w:rPr>
          <w:rFonts w:ascii="Times New Roman" w:hAnsi="Times New Roman" w:cs="Times New Roman"/>
          <w:sz w:val="28"/>
          <w:szCs w:val="28"/>
        </w:rPr>
        <w:t>.</w:t>
      </w:r>
      <w:r w:rsidR="000B13C0">
        <w:rPr>
          <w:rFonts w:ascii="Times New Roman" w:hAnsi="Times New Roman" w:cs="Times New Roman"/>
          <w:sz w:val="28"/>
          <w:szCs w:val="28"/>
        </w:rPr>
        <w:t xml:space="preserve"> </w:t>
      </w:r>
      <w:r w:rsidR="000B13C0" w:rsidRPr="000B13C0">
        <w:rPr>
          <w:rFonts w:ascii="Times New Roman" w:hAnsi="Times New Roman" w:cs="Times New Roman"/>
          <w:sz w:val="28"/>
          <w:szCs w:val="28"/>
        </w:rPr>
        <w:t>N</w:t>
      </w:r>
      <w:r w:rsidRPr="000B13C0">
        <w:rPr>
          <w:rFonts w:ascii="Times New Roman" w:hAnsi="Times New Roman" w:cs="Times New Roman"/>
          <w:sz w:val="28"/>
          <w:szCs w:val="28"/>
        </w:rPr>
        <w:t xml:space="preserve">el 2007, la Commissione </w:t>
      </w:r>
      <w:r w:rsidR="000B13C0" w:rsidRPr="000B13C0">
        <w:rPr>
          <w:rFonts w:ascii="Times New Roman" w:hAnsi="Times New Roman" w:cs="Times New Roman"/>
          <w:sz w:val="28"/>
          <w:szCs w:val="28"/>
        </w:rPr>
        <w:t xml:space="preserve">UE </w:t>
      </w:r>
      <w:r w:rsidRPr="000B13C0">
        <w:rPr>
          <w:rFonts w:ascii="Times New Roman" w:hAnsi="Times New Roman" w:cs="Times New Roman"/>
          <w:sz w:val="28"/>
          <w:szCs w:val="28"/>
        </w:rPr>
        <w:t>ha presentato una proposta di direttiva quadro sulla protezione del suolo, che pone l’accento sul problema della impermeabilizzazione del suolo e prevede forme di contenimento del consumo di suolo tra</w:t>
      </w:r>
      <w:r w:rsidR="000B13C0">
        <w:rPr>
          <w:rFonts w:ascii="Times New Roman" w:hAnsi="Times New Roman" w:cs="Times New Roman"/>
          <w:sz w:val="28"/>
          <w:szCs w:val="28"/>
        </w:rPr>
        <w:t>mite il recupero e la rigenerazione urbana.</w:t>
      </w:r>
      <w:r w:rsidRPr="000B13C0">
        <w:rPr>
          <w:rFonts w:ascii="Times New Roman" w:hAnsi="Times New Roman" w:cs="Times New Roman"/>
          <w:sz w:val="28"/>
          <w:szCs w:val="28"/>
        </w:rPr>
        <w:br/>
        <w:t>L’</w:t>
      </w:r>
      <w:r w:rsidRPr="000B13C0">
        <w:rPr>
          <w:rFonts w:ascii="Times New Roman" w:hAnsi="Times New Roman" w:cs="Times New Roman"/>
          <w:i/>
          <w:sz w:val="28"/>
          <w:szCs w:val="28"/>
        </w:rPr>
        <w:t>iter</w:t>
      </w:r>
      <w:r w:rsidRPr="000B13C0">
        <w:rPr>
          <w:rFonts w:ascii="Times New Roman" w:hAnsi="Times New Roman" w:cs="Times New Roman"/>
          <w:sz w:val="28"/>
          <w:szCs w:val="28"/>
        </w:rPr>
        <w:t xml:space="preserve"> di questa direttiva si è arrestato ma con la comunicazione n. 571/2011, la</w:t>
      </w:r>
      <w:r w:rsidRPr="004B2001">
        <w:rPr>
          <w:rFonts w:ascii="Times New Roman" w:hAnsi="Times New Roman" w:cs="Times New Roman"/>
          <w:b/>
          <w:sz w:val="28"/>
          <w:szCs w:val="28"/>
        </w:rPr>
        <w:t xml:space="preserve"> </w:t>
      </w:r>
      <w:r w:rsidRPr="000B13C0">
        <w:rPr>
          <w:rFonts w:ascii="Times New Roman" w:hAnsi="Times New Roman" w:cs="Times New Roman"/>
          <w:sz w:val="28"/>
          <w:szCs w:val="28"/>
        </w:rPr>
        <w:t>Commissione ha indicato come obiettivo di medio-lungo periodo quello di portare</w:t>
      </w:r>
      <w:r w:rsidRPr="004B2001">
        <w:rPr>
          <w:rFonts w:ascii="Times New Roman" w:hAnsi="Times New Roman" w:cs="Times New Roman"/>
          <w:b/>
          <w:sz w:val="28"/>
          <w:szCs w:val="28"/>
        </w:rPr>
        <w:t xml:space="preserve"> </w:t>
      </w:r>
      <w:r w:rsidRPr="000B13C0">
        <w:rPr>
          <w:rFonts w:ascii="Times New Roman" w:hAnsi="Times New Roman" w:cs="Times New Roman"/>
          <w:sz w:val="28"/>
          <w:szCs w:val="28"/>
        </w:rPr>
        <w:t>il</w:t>
      </w:r>
      <w:r w:rsidRPr="004B2001">
        <w:rPr>
          <w:rFonts w:ascii="Times New Roman" w:hAnsi="Times New Roman" w:cs="Times New Roman"/>
          <w:b/>
          <w:sz w:val="28"/>
          <w:szCs w:val="28"/>
        </w:rPr>
        <w:t xml:space="preserve"> </w:t>
      </w:r>
      <w:r w:rsidRPr="000B13C0">
        <w:rPr>
          <w:rFonts w:ascii="Times New Roman" w:hAnsi="Times New Roman" w:cs="Times New Roman"/>
          <w:sz w:val="28"/>
          <w:szCs w:val="28"/>
        </w:rPr>
        <w:lastRenderedPageBreak/>
        <w:t>consumo di suolo «</w:t>
      </w:r>
      <w:r w:rsidRPr="000B13C0">
        <w:rPr>
          <w:rFonts w:ascii="Times New Roman" w:hAnsi="Times New Roman" w:cs="Times New Roman"/>
          <w:i/>
          <w:sz w:val="28"/>
          <w:szCs w:val="28"/>
        </w:rPr>
        <w:t>a quota zero entro il 2050</w:t>
      </w:r>
      <w:r w:rsidRPr="000B13C0">
        <w:rPr>
          <w:rFonts w:ascii="Times New Roman" w:hAnsi="Times New Roman" w:cs="Times New Roman"/>
          <w:sz w:val="28"/>
          <w:szCs w:val="28"/>
        </w:rPr>
        <w:t xml:space="preserve">», raccomandando agli Stati membri, </w:t>
      </w:r>
      <w:r w:rsidRPr="000B13C0">
        <w:rPr>
          <w:rFonts w:ascii="Times New Roman" w:hAnsi="Times New Roman" w:cs="Times New Roman"/>
          <w:i/>
          <w:sz w:val="28"/>
          <w:szCs w:val="28"/>
        </w:rPr>
        <w:t>medio tempore</w:t>
      </w:r>
      <w:r w:rsidRPr="000B13C0">
        <w:rPr>
          <w:rFonts w:ascii="Times New Roman" w:hAnsi="Times New Roman" w:cs="Times New Roman"/>
          <w:sz w:val="28"/>
          <w:szCs w:val="28"/>
        </w:rPr>
        <w:t xml:space="preserve">, di predisporre le misure più idonee per ridurre la costante perdita di suolo e incentivare la rigenerazione dell’esistente. Tale obiettivo è stato ribadito nella decisione n. 1386/2013/UE del Parlamento europeo e del Consiglio del 20 novembre 2013. </w:t>
      </w:r>
      <w:r w:rsidRPr="00845A7D">
        <w:rPr>
          <w:rFonts w:ascii="Times New Roman" w:hAnsi="Times New Roman" w:cs="Times New Roman"/>
          <w:sz w:val="28"/>
          <w:szCs w:val="28"/>
        </w:rPr>
        <w:t>Con specifico riguardo alla rigenerazione urbana, la Carta di Lipsia sulle città europe</w:t>
      </w:r>
      <w:r>
        <w:rPr>
          <w:rFonts w:ascii="Times New Roman" w:hAnsi="Times New Roman" w:cs="Times New Roman"/>
          <w:sz w:val="28"/>
          <w:szCs w:val="28"/>
        </w:rPr>
        <w:t xml:space="preserve">e sostenibili del 2007 </w:t>
      </w:r>
      <w:r w:rsidRPr="00845A7D">
        <w:rPr>
          <w:rFonts w:ascii="Times New Roman" w:hAnsi="Times New Roman" w:cs="Times New Roman"/>
          <w:sz w:val="28"/>
          <w:szCs w:val="28"/>
        </w:rPr>
        <w:t>fa espresso riferimento allo “sviluppo urbano integrato”, per affermare la necessità che gli interessi e le decisioni delle politiche urbane non vengano più considerati in modo isolato, ma come sistema</w:t>
      </w:r>
      <w:r w:rsidRPr="000B13C0">
        <w:rPr>
          <w:rFonts w:ascii="Times New Roman" w:hAnsi="Times New Roman" w:cs="Times New Roman"/>
          <w:sz w:val="28"/>
          <w:szCs w:val="28"/>
        </w:rPr>
        <w:t>. L’Unione europea ha poi adottato l’Agenda Urbana Europea, in attuazione dei principi, impegni e azioni previsti dalla New Urban Agenda delle Nazioni Unite, il cui scopo è di migliorare l’armonizzazione e integrazione delle politiche settoriali nello sviluppo urbano europeo</w:t>
      </w:r>
      <w:r w:rsidRPr="000B13C0">
        <w:rPr>
          <w:rStyle w:val="Rimandonotaapidipagina"/>
          <w:rFonts w:ascii="Times New Roman" w:hAnsi="Times New Roman" w:cs="Times New Roman"/>
          <w:sz w:val="28"/>
          <w:szCs w:val="28"/>
        </w:rPr>
        <w:footnoteReference w:id="18"/>
      </w:r>
      <w:r w:rsidRPr="000B13C0">
        <w:rPr>
          <w:rFonts w:ascii="Times New Roman" w:hAnsi="Times New Roman" w:cs="Times New Roman"/>
          <w:sz w:val="28"/>
          <w:szCs w:val="28"/>
        </w:rPr>
        <w:t>.</w:t>
      </w:r>
    </w:p>
    <w:p w:rsidR="00B30A8E" w:rsidRPr="00845A7D" w:rsidRDefault="00B30A8E" w:rsidP="00B30A8E">
      <w:pPr>
        <w:jc w:val="both"/>
        <w:rPr>
          <w:rFonts w:ascii="Times New Roman" w:hAnsi="Times New Roman" w:cs="Times New Roman"/>
          <w:sz w:val="28"/>
          <w:szCs w:val="28"/>
        </w:rPr>
      </w:pPr>
      <w:r w:rsidRPr="000B13C0">
        <w:rPr>
          <w:rFonts w:ascii="Times New Roman" w:hAnsi="Times New Roman" w:cs="Times New Roman"/>
          <w:sz w:val="28"/>
          <w:szCs w:val="28"/>
        </w:rPr>
        <w:t>Da ultimo va ricordato</w:t>
      </w:r>
      <w:r w:rsidR="000B13C0" w:rsidRPr="000B13C0">
        <w:rPr>
          <w:rFonts w:ascii="Times New Roman" w:hAnsi="Times New Roman" w:cs="Times New Roman"/>
          <w:sz w:val="28"/>
          <w:szCs w:val="28"/>
        </w:rPr>
        <w:t xml:space="preserve"> anche </w:t>
      </w:r>
      <w:r w:rsidR="0018598A">
        <w:rPr>
          <w:rFonts w:ascii="Times New Roman" w:hAnsi="Times New Roman" w:cs="Times New Roman"/>
          <w:sz w:val="28"/>
          <w:szCs w:val="28"/>
        </w:rPr>
        <w:t>il Piano n</w:t>
      </w:r>
      <w:r w:rsidRPr="000B13C0">
        <w:rPr>
          <w:rFonts w:ascii="Times New Roman" w:hAnsi="Times New Roman" w:cs="Times New Roman"/>
          <w:sz w:val="28"/>
          <w:szCs w:val="28"/>
        </w:rPr>
        <w:t>azionale di ripresa e resilienza</w:t>
      </w:r>
      <w:r w:rsidR="00DA3346">
        <w:rPr>
          <w:rStyle w:val="Rimandonotaapidipagina"/>
          <w:rFonts w:ascii="Times New Roman" w:hAnsi="Times New Roman" w:cs="Times New Roman"/>
          <w:sz w:val="28"/>
          <w:szCs w:val="28"/>
        </w:rPr>
        <w:footnoteReference w:id="19"/>
      </w:r>
      <w:r w:rsidRPr="000B13C0">
        <w:rPr>
          <w:rFonts w:ascii="Times New Roman" w:hAnsi="Times New Roman" w:cs="Times New Roman"/>
          <w:sz w:val="28"/>
          <w:szCs w:val="28"/>
        </w:rPr>
        <w:t>. In particolare, la misura</w:t>
      </w:r>
      <w:r w:rsidRPr="000B13C0">
        <w:rPr>
          <w:sz w:val="28"/>
          <w:szCs w:val="28"/>
        </w:rPr>
        <w:t xml:space="preserve"> </w:t>
      </w:r>
      <w:r w:rsidRPr="000B13C0">
        <w:rPr>
          <w:rFonts w:ascii="Times New Roman" w:hAnsi="Times New Roman" w:cs="Times New Roman"/>
          <w:sz w:val="28"/>
          <w:szCs w:val="28"/>
        </w:rPr>
        <w:t>M5C2 Investimento 2.2,</w:t>
      </w:r>
      <w:r w:rsidRPr="00845A7D">
        <w:rPr>
          <w:rFonts w:ascii="Times New Roman" w:hAnsi="Times New Roman" w:cs="Times New Roman"/>
          <w:sz w:val="28"/>
          <w:szCs w:val="28"/>
        </w:rPr>
        <w:t xml:space="preserve"> per le città metropolitane prevede che gli interventi finanziati devono riguardare investimenti volti al miglioramento di ampie aree urbane degradate, per la rigenerazione e rivitalizzazione economica, con particolare attenzione alla creazione di nuovi servizi alla persona e alla riqualificazione dell’accessibilità e delle infrastrutture, permettendo la trasformazione di territori vulnerabili in città intelligenti e sost</w:t>
      </w:r>
      <w:r w:rsidR="00B73AE3">
        <w:rPr>
          <w:rFonts w:ascii="Times New Roman" w:hAnsi="Times New Roman" w:cs="Times New Roman"/>
          <w:sz w:val="28"/>
          <w:szCs w:val="28"/>
        </w:rPr>
        <w:t xml:space="preserve">enibili, attraverso: a) </w:t>
      </w:r>
      <w:r w:rsidRPr="00845A7D">
        <w:rPr>
          <w:rFonts w:ascii="Times New Roman" w:hAnsi="Times New Roman" w:cs="Times New Roman"/>
          <w:sz w:val="28"/>
          <w:szCs w:val="28"/>
        </w:rPr>
        <w:t xml:space="preserve">la manutenzione per il riuso e la rifunzionalizzazione ecosostenibile di aree pubbliche e di strutture edilizie pubbliche esistenti per finalità di interesse pubblico; b) il miglioramento della qualità del decoro urbano e del tessuto sociale e ambientale, anche mediante la ristrutturazione degli edifici pubblici, con particolare riferimento allo sviluppo e potenziamento dei servizi sociali e culturali e alla promozione delle attività culturali e sportive; c) interventi finalizzati a sostenere progetti legati alle </w:t>
      </w:r>
      <w:r w:rsidRPr="009C70D8">
        <w:rPr>
          <w:rFonts w:ascii="Times New Roman" w:hAnsi="Times New Roman" w:cs="Times New Roman"/>
          <w:i/>
          <w:sz w:val="28"/>
          <w:szCs w:val="28"/>
        </w:rPr>
        <w:t>smart–cities</w:t>
      </w:r>
      <w:r w:rsidRPr="00845A7D">
        <w:rPr>
          <w:rFonts w:ascii="Times New Roman" w:hAnsi="Times New Roman" w:cs="Times New Roman"/>
          <w:sz w:val="28"/>
          <w:szCs w:val="28"/>
        </w:rPr>
        <w:t>, con particolare riferimento ai trasporti ed al consumo energetico, volti al  miglioramento della qualità ambientale e del profilo digitale delle aree urbane mediante il sostegno alle tecnologie digitali e alle tecnologie con minori emissioni di CO2.</w:t>
      </w:r>
    </w:p>
    <w:p w:rsidR="00B30A8E" w:rsidRDefault="00B30A8E" w:rsidP="00B30A8E">
      <w:pPr>
        <w:jc w:val="both"/>
        <w:rPr>
          <w:rFonts w:ascii="Times New Roman" w:hAnsi="Times New Roman" w:cs="Times New Roman"/>
          <w:b/>
          <w:sz w:val="28"/>
          <w:szCs w:val="28"/>
        </w:rPr>
      </w:pPr>
    </w:p>
    <w:p w:rsidR="00B30A8E" w:rsidRPr="000B13C0" w:rsidRDefault="00B30A8E" w:rsidP="00B30A8E">
      <w:pPr>
        <w:jc w:val="both"/>
        <w:rPr>
          <w:rFonts w:ascii="Times New Roman" w:hAnsi="Times New Roman" w:cs="Times New Roman"/>
          <w:sz w:val="28"/>
          <w:szCs w:val="28"/>
        </w:rPr>
      </w:pPr>
      <w:r w:rsidRPr="000B13C0">
        <w:rPr>
          <w:rFonts w:ascii="Times New Roman" w:hAnsi="Times New Roman" w:cs="Times New Roman"/>
          <w:b/>
          <w:sz w:val="28"/>
          <w:szCs w:val="28"/>
        </w:rPr>
        <w:t>2. La pianificazione urbanistica e le tutele parallele</w:t>
      </w:r>
      <w:r w:rsidRPr="000B13C0">
        <w:rPr>
          <w:rFonts w:ascii="Times New Roman" w:hAnsi="Times New Roman" w:cs="Times New Roman"/>
          <w:sz w:val="28"/>
          <w:szCs w:val="28"/>
        </w:rPr>
        <w:t>.</w:t>
      </w:r>
    </w:p>
    <w:p w:rsidR="00B30A8E" w:rsidRPr="000B13C0" w:rsidRDefault="00B30A8E" w:rsidP="00B30A8E">
      <w:pPr>
        <w:jc w:val="both"/>
        <w:rPr>
          <w:rFonts w:ascii="Times New Roman" w:hAnsi="Times New Roman" w:cs="Times New Roman"/>
          <w:sz w:val="28"/>
          <w:szCs w:val="28"/>
        </w:rPr>
      </w:pPr>
      <w:r w:rsidRPr="000B13C0">
        <w:rPr>
          <w:rFonts w:ascii="Times New Roman" w:hAnsi="Times New Roman" w:cs="Times New Roman"/>
          <w:sz w:val="28"/>
          <w:szCs w:val="28"/>
        </w:rPr>
        <w:t>Sin dalla sentenza n. 303 del 2003 la Corte costituzionale ha ritenuto che nell’art. 118, primo comma, Cost., vada rinvenuto un peculiare elemento di flessibil</w:t>
      </w:r>
      <w:r w:rsidR="00B73AE3">
        <w:rPr>
          <w:rFonts w:ascii="Times New Roman" w:hAnsi="Times New Roman" w:cs="Times New Roman"/>
          <w:sz w:val="28"/>
          <w:szCs w:val="28"/>
        </w:rPr>
        <w:t>ità</w:t>
      </w:r>
      <w:r w:rsidRPr="000B13C0">
        <w:rPr>
          <w:rFonts w:ascii="Times New Roman" w:hAnsi="Times New Roman" w:cs="Times New Roman"/>
          <w:sz w:val="28"/>
          <w:szCs w:val="28"/>
        </w:rPr>
        <w:t xml:space="preserve"> il quale - nel prevedere che le funzioni amministrative, generalmente attribuite ai Comuni, possano essere allocate ad un livello di governo diverso per assicurarne l'esercizio unitario, sulla base dei principî di sussidiarietà, differenziazione e adeguatezza - introduce un meccanismo dinamico incidente anche sulla stessa</w:t>
      </w:r>
      <w:r w:rsidRPr="004B2001">
        <w:rPr>
          <w:rFonts w:ascii="Times New Roman" w:hAnsi="Times New Roman" w:cs="Times New Roman"/>
          <w:b/>
          <w:sz w:val="28"/>
          <w:szCs w:val="28"/>
        </w:rPr>
        <w:t xml:space="preserve"> </w:t>
      </w:r>
      <w:r w:rsidRPr="000B13C0">
        <w:rPr>
          <w:rFonts w:ascii="Times New Roman" w:hAnsi="Times New Roman" w:cs="Times New Roman"/>
          <w:sz w:val="28"/>
          <w:szCs w:val="28"/>
        </w:rPr>
        <w:t>distribuzione delle competenze</w:t>
      </w:r>
      <w:r w:rsidRPr="004B2001">
        <w:rPr>
          <w:rFonts w:ascii="Times New Roman" w:hAnsi="Times New Roman" w:cs="Times New Roman"/>
          <w:b/>
          <w:sz w:val="28"/>
          <w:szCs w:val="28"/>
        </w:rPr>
        <w:t xml:space="preserve"> </w:t>
      </w:r>
      <w:r w:rsidRPr="000B13C0">
        <w:rPr>
          <w:rFonts w:ascii="Times New Roman" w:hAnsi="Times New Roman" w:cs="Times New Roman"/>
          <w:sz w:val="28"/>
          <w:szCs w:val="28"/>
        </w:rPr>
        <w:lastRenderedPageBreak/>
        <w:t>legislative, diretto appunto a superare l’equazione tra titolarità delle funzioni legislative e titolarità delle funzioni amministrative</w:t>
      </w:r>
      <w:r w:rsidRPr="000B13C0">
        <w:rPr>
          <w:rStyle w:val="Rimandonotaapidipagina"/>
          <w:rFonts w:ascii="Times New Roman" w:hAnsi="Times New Roman" w:cs="Times New Roman"/>
          <w:sz w:val="28"/>
          <w:szCs w:val="28"/>
        </w:rPr>
        <w:footnoteReference w:id="20"/>
      </w:r>
      <w:r w:rsidRPr="000B13C0">
        <w:rPr>
          <w:rFonts w:ascii="Times New Roman" w:hAnsi="Times New Roman" w:cs="Times New Roman"/>
          <w:sz w:val="28"/>
          <w:szCs w:val="28"/>
        </w:rPr>
        <w:t xml:space="preserve">. </w:t>
      </w:r>
    </w:p>
    <w:p w:rsidR="00B30A8E" w:rsidRPr="000B13C0" w:rsidRDefault="00B30A8E" w:rsidP="00B30A8E">
      <w:pPr>
        <w:jc w:val="both"/>
        <w:rPr>
          <w:rFonts w:ascii="Times New Roman" w:hAnsi="Times New Roman" w:cs="Times New Roman"/>
          <w:sz w:val="28"/>
          <w:szCs w:val="28"/>
        </w:rPr>
      </w:pPr>
      <w:r w:rsidRPr="000B13C0">
        <w:rPr>
          <w:rFonts w:ascii="Times New Roman" w:hAnsi="Times New Roman" w:cs="Times New Roman"/>
          <w:sz w:val="28"/>
          <w:szCs w:val="28"/>
        </w:rPr>
        <w:t>Secondo la Corte il rispetto delle autonomie comunali deve armonizzarsi con la verifica e la protezione di concorrenti interessi generali, collegati ad una valutazione più ampia delle esigenze diffuse nel territorio: ciò giustifica l’eventuale emanazione di disposizioni legislative (statali e regionali) che vengano ad incidere su funzioni già assegnate agli enti loca</w:t>
      </w:r>
      <w:r w:rsidR="000B13C0">
        <w:rPr>
          <w:rFonts w:ascii="Times New Roman" w:hAnsi="Times New Roman" w:cs="Times New Roman"/>
          <w:sz w:val="28"/>
          <w:szCs w:val="28"/>
        </w:rPr>
        <w:t>li (sentenza n. 286 del 19</w:t>
      </w:r>
      <w:r w:rsidRPr="000B13C0">
        <w:rPr>
          <w:rFonts w:ascii="Times New Roman" w:hAnsi="Times New Roman" w:cs="Times New Roman"/>
          <w:sz w:val="28"/>
          <w:szCs w:val="28"/>
        </w:rPr>
        <w:t>97). Le leggi regionali, in particolare, sono tenute a valutare “</w:t>
      </w:r>
      <w:r w:rsidRPr="000B13C0">
        <w:rPr>
          <w:rFonts w:ascii="Times New Roman" w:hAnsi="Times New Roman" w:cs="Times New Roman"/>
          <w:i/>
          <w:sz w:val="28"/>
          <w:szCs w:val="28"/>
        </w:rPr>
        <w:t>la maggiore efficienza della gestione a livello sovracomunale degli interessi coinvolti</w:t>
      </w:r>
      <w:r w:rsidRPr="000B13C0">
        <w:rPr>
          <w:rFonts w:ascii="Times New Roman" w:hAnsi="Times New Roman" w:cs="Times New Roman"/>
          <w:sz w:val="28"/>
          <w:szCs w:val="28"/>
        </w:rPr>
        <w:t>”.</w:t>
      </w:r>
    </w:p>
    <w:p w:rsidR="00B30A8E" w:rsidRPr="000B13C0" w:rsidRDefault="00B30A8E" w:rsidP="00B30A8E">
      <w:pPr>
        <w:jc w:val="both"/>
        <w:rPr>
          <w:rFonts w:ascii="Times New Roman" w:hAnsi="Times New Roman" w:cs="Times New Roman"/>
          <w:sz w:val="28"/>
          <w:szCs w:val="28"/>
        </w:rPr>
      </w:pPr>
      <w:r w:rsidRPr="000B13C0">
        <w:rPr>
          <w:rFonts w:ascii="Times New Roman" w:hAnsi="Times New Roman" w:cs="Times New Roman"/>
          <w:sz w:val="28"/>
          <w:szCs w:val="28"/>
        </w:rPr>
        <w:t>Essa ha tuttavia anche evidenziato (sentenza n. 478 del 2002) in relazione ai poteri urbanistici dei Comuni, come la legge nazionale e regionale possa modificarne le caratteristiche o l’estensione, ovvero subordinarli a preminenti interessi pubblici, alla condizione di non annullarli o comprimerli radicalmente, garantendo adeguate forme di partecipazione dei Comuni interessati ai procedimenti che ne condizionano l’autonomia</w:t>
      </w:r>
      <w:r w:rsidR="00F50F86">
        <w:rPr>
          <w:rStyle w:val="Rimandonotaapidipagina"/>
          <w:rFonts w:ascii="Times New Roman" w:hAnsi="Times New Roman" w:cs="Times New Roman"/>
          <w:sz w:val="28"/>
          <w:szCs w:val="28"/>
        </w:rPr>
        <w:footnoteReference w:id="21"/>
      </w:r>
      <w:r w:rsidRPr="000B13C0">
        <w:rPr>
          <w:rFonts w:ascii="Times New Roman" w:hAnsi="Times New Roman" w:cs="Times New Roman"/>
          <w:sz w:val="28"/>
          <w:szCs w:val="28"/>
        </w:rPr>
        <w:t>.</w:t>
      </w:r>
    </w:p>
    <w:p w:rsidR="00B30A8E" w:rsidRPr="00845A7D" w:rsidRDefault="00B30A8E" w:rsidP="00B30A8E">
      <w:pPr>
        <w:jc w:val="both"/>
        <w:rPr>
          <w:rFonts w:ascii="Times New Roman" w:hAnsi="Times New Roman" w:cs="Times New Roman"/>
          <w:sz w:val="28"/>
          <w:szCs w:val="28"/>
        </w:rPr>
      </w:pPr>
      <w:r w:rsidRPr="000B13C0">
        <w:rPr>
          <w:rFonts w:ascii="Times New Roman" w:hAnsi="Times New Roman" w:cs="Times New Roman"/>
          <w:sz w:val="28"/>
          <w:szCs w:val="28"/>
        </w:rPr>
        <w:t>La potestà amministrativa relativa all’uso del territorio si ripartisce dunque non per materie ma sulla base dei criteri di sussidiarietà, differenziazione e adeguatezza.</w:t>
      </w:r>
      <w:r w:rsidR="000B13C0">
        <w:rPr>
          <w:rFonts w:ascii="Times New Roman" w:hAnsi="Times New Roman" w:cs="Times New Roman"/>
          <w:sz w:val="28"/>
          <w:szCs w:val="28"/>
        </w:rPr>
        <w:t xml:space="preserve"> </w:t>
      </w:r>
      <w:r w:rsidRPr="00845A7D">
        <w:rPr>
          <w:rFonts w:ascii="Times New Roman" w:hAnsi="Times New Roman" w:cs="Times New Roman"/>
          <w:sz w:val="28"/>
          <w:szCs w:val="28"/>
        </w:rPr>
        <w:t>Il c.d. “policentrismo autonomistico” era una caratteristica evidentemente estranea alla legge urbanistica fondamentale e si è attestato definitivamente nell’ordinamento giuridico nazionale con la riforma del titolo V. Al riguardo, è stato osservato che la disciplina in esame è definita oggi da due esigenze fondamentali</w:t>
      </w:r>
      <w:r>
        <w:rPr>
          <w:rFonts w:ascii="Times New Roman" w:hAnsi="Times New Roman" w:cs="Times New Roman"/>
          <w:sz w:val="28"/>
          <w:szCs w:val="28"/>
        </w:rPr>
        <w:t>: l</w:t>
      </w:r>
      <w:r w:rsidRPr="00845A7D">
        <w:rPr>
          <w:rFonts w:ascii="Times New Roman" w:hAnsi="Times New Roman" w:cs="Times New Roman"/>
          <w:sz w:val="28"/>
          <w:szCs w:val="28"/>
        </w:rPr>
        <w:t>a prima è quella per cui la normativa statale in materia di urbanistica rappresenti un modello di riferimento per le leggi sulla pianificazione proprie di ogni Regione; la seconda, che, nei confronti di queste ultime, siano tracciati dei confini ben precisi, stabiliti dallo stesso dato normativo statale, al fine di salvaguardare il ruolo primario degli Enti locali nelle scelte di pianificazione del loro territorio, le quali devono essere sempre attuate mediante la previa adozione di piani generali</w:t>
      </w:r>
      <w:r w:rsidRPr="00845A7D">
        <w:rPr>
          <w:rStyle w:val="Rimandonotaapidipagina"/>
          <w:rFonts w:ascii="Times New Roman" w:hAnsi="Times New Roman" w:cs="Times New Roman"/>
          <w:sz w:val="28"/>
          <w:szCs w:val="28"/>
        </w:rPr>
        <w:footnoteReference w:id="22"/>
      </w:r>
      <w:r w:rsidRPr="00845A7D">
        <w:rPr>
          <w:rFonts w:ascii="Times New Roman" w:hAnsi="Times New Roman" w:cs="Times New Roman"/>
          <w:sz w:val="28"/>
          <w:szCs w:val="28"/>
        </w:rPr>
        <w:t>.</w:t>
      </w:r>
    </w:p>
    <w:p w:rsidR="00B30A8E" w:rsidRPr="000B13C0" w:rsidRDefault="00E97B93" w:rsidP="00B30A8E">
      <w:pPr>
        <w:jc w:val="both"/>
        <w:rPr>
          <w:rFonts w:ascii="Times New Roman" w:hAnsi="Times New Roman" w:cs="Times New Roman"/>
          <w:sz w:val="28"/>
          <w:szCs w:val="28"/>
        </w:rPr>
      </w:pPr>
      <w:r>
        <w:rPr>
          <w:rFonts w:ascii="Times New Roman" w:hAnsi="Times New Roman" w:cs="Times New Roman"/>
          <w:sz w:val="28"/>
          <w:szCs w:val="28"/>
        </w:rPr>
        <w:t xml:space="preserve">La potestà </w:t>
      </w:r>
      <w:r w:rsidR="00B30A8E" w:rsidRPr="000B13C0">
        <w:rPr>
          <w:rFonts w:ascii="Times New Roman" w:hAnsi="Times New Roman" w:cs="Times New Roman"/>
          <w:sz w:val="28"/>
          <w:szCs w:val="28"/>
        </w:rPr>
        <w:t>di stabilire gli</w:t>
      </w:r>
      <w:r w:rsidR="00FE1F13">
        <w:rPr>
          <w:rFonts w:ascii="Times New Roman" w:hAnsi="Times New Roman" w:cs="Times New Roman"/>
          <w:sz w:val="28"/>
          <w:szCs w:val="28"/>
        </w:rPr>
        <w:t xml:space="preserve"> u</w:t>
      </w:r>
      <w:r w:rsidR="00226661">
        <w:rPr>
          <w:rFonts w:ascii="Times New Roman" w:hAnsi="Times New Roman" w:cs="Times New Roman"/>
          <w:sz w:val="28"/>
          <w:szCs w:val="28"/>
        </w:rPr>
        <w:t xml:space="preserve">si del territorio è in primo luogo </w:t>
      </w:r>
      <w:r w:rsidR="00B30A8E" w:rsidRPr="000B13C0">
        <w:rPr>
          <w:rFonts w:ascii="Times New Roman" w:hAnsi="Times New Roman" w:cs="Times New Roman"/>
          <w:sz w:val="28"/>
          <w:szCs w:val="28"/>
        </w:rPr>
        <w:t>conformata dalle previsioni contenute nell’articolo 117, comma 2, lett. s) e lett. p), e comma 3, della Costituzione.</w:t>
      </w:r>
      <w:r w:rsidR="000B13C0">
        <w:rPr>
          <w:rFonts w:ascii="Times New Roman" w:hAnsi="Times New Roman" w:cs="Times New Roman"/>
          <w:sz w:val="28"/>
          <w:szCs w:val="28"/>
        </w:rPr>
        <w:t xml:space="preserve"> </w:t>
      </w:r>
      <w:r w:rsidR="00B30A8E" w:rsidRPr="000B13C0">
        <w:rPr>
          <w:rFonts w:ascii="Times New Roman" w:hAnsi="Times New Roman" w:cs="Times New Roman"/>
          <w:sz w:val="28"/>
          <w:szCs w:val="28"/>
        </w:rPr>
        <w:t>Ai sensi dell’art. 117, comma 3, il “governo del territorio” è materia di potestà legislativa concorrente in cui “</w:t>
      </w:r>
      <w:r w:rsidR="00B30A8E" w:rsidRPr="000B13C0">
        <w:rPr>
          <w:rFonts w:ascii="Times New Roman" w:hAnsi="Times New Roman" w:cs="Times New Roman"/>
          <w:i/>
          <w:sz w:val="28"/>
          <w:szCs w:val="28"/>
        </w:rPr>
        <w:t>spetta alle regioni la potestà legislativa, salvo che per la determinazione dei principi fondamentali riservata allo Stato</w:t>
      </w:r>
      <w:r w:rsidR="00B30A8E" w:rsidRPr="000B13C0">
        <w:rPr>
          <w:rFonts w:ascii="Times New Roman" w:hAnsi="Times New Roman" w:cs="Times New Roman"/>
          <w:sz w:val="28"/>
          <w:szCs w:val="28"/>
        </w:rPr>
        <w:t>”. Allo Stato, ai sensi dell'art. 117 comma 2 lett. p), spetta però la potestà legislativa esclusiva in</w:t>
      </w:r>
      <w:r w:rsidR="00B30A8E" w:rsidRPr="004B2001">
        <w:rPr>
          <w:rFonts w:ascii="Times New Roman" w:hAnsi="Times New Roman" w:cs="Times New Roman"/>
          <w:b/>
          <w:sz w:val="28"/>
          <w:szCs w:val="28"/>
        </w:rPr>
        <w:t xml:space="preserve"> </w:t>
      </w:r>
      <w:r w:rsidR="00B30A8E" w:rsidRPr="000B13C0">
        <w:rPr>
          <w:rFonts w:ascii="Times New Roman" w:hAnsi="Times New Roman" w:cs="Times New Roman"/>
          <w:sz w:val="28"/>
          <w:szCs w:val="28"/>
        </w:rPr>
        <w:t xml:space="preserve">materia di </w:t>
      </w:r>
      <w:r w:rsidR="00B30A8E" w:rsidRPr="000B13C0">
        <w:rPr>
          <w:rFonts w:ascii="Times New Roman" w:hAnsi="Times New Roman" w:cs="Times New Roman"/>
          <w:sz w:val="28"/>
          <w:szCs w:val="28"/>
        </w:rPr>
        <w:lastRenderedPageBreak/>
        <w:t>“</w:t>
      </w:r>
      <w:r w:rsidR="00B30A8E" w:rsidRPr="000B13C0">
        <w:rPr>
          <w:rFonts w:ascii="Times New Roman" w:hAnsi="Times New Roman" w:cs="Times New Roman"/>
          <w:i/>
          <w:sz w:val="28"/>
          <w:szCs w:val="28"/>
        </w:rPr>
        <w:t>legislazione elettorale, organi di governo e funzioni fondamentali di Comuni Province e città Metropolitane</w:t>
      </w:r>
      <w:r w:rsidR="00B30A8E" w:rsidRPr="000B13C0">
        <w:rPr>
          <w:rFonts w:ascii="Times New Roman" w:hAnsi="Times New Roman" w:cs="Times New Roman"/>
          <w:sz w:val="28"/>
          <w:szCs w:val="28"/>
        </w:rPr>
        <w:t>”.</w:t>
      </w:r>
      <w:r w:rsidR="00B120A2">
        <w:rPr>
          <w:rFonts w:ascii="Times New Roman" w:hAnsi="Times New Roman" w:cs="Times New Roman"/>
          <w:sz w:val="28"/>
          <w:szCs w:val="28"/>
        </w:rPr>
        <w:t xml:space="preserve"> </w:t>
      </w:r>
      <w:r w:rsidR="00B30A8E" w:rsidRPr="000B13C0">
        <w:rPr>
          <w:rFonts w:ascii="Times New Roman" w:hAnsi="Times New Roman" w:cs="Times New Roman"/>
          <w:sz w:val="28"/>
          <w:szCs w:val="28"/>
        </w:rPr>
        <w:t>Ai sensi dell’art. 117, comma 2, lett. s) allo Stato compete altresì la potestà legislativa esclusiva in materia di “</w:t>
      </w:r>
      <w:r w:rsidR="00B30A8E" w:rsidRPr="000B13C0">
        <w:rPr>
          <w:rFonts w:ascii="Times New Roman" w:hAnsi="Times New Roman" w:cs="Times New Roman"/>
          <w:i/>
          <w:sz w:val="28"/>
          <w:szCs w:val="28"/>
        </w:rPr>
        <w:t>tutela dell'ambiente, dell'ecosistema e dei beni culturali</w:t>
      </w:r>
      <w:r w:rsidR="00B30A8E" w:rsidRPr="000B13C0">
        <w:rPr>
          <w:rFonts w:ascii="Times New Roman" w:hAnsi="Times New Roman" w:cs="Times New Roman"/>
          <w:sz w:val="28"/>
          <w:szCs w:val="28"/>
        </w:rPr>
        <w:t>”.</w:t>
      </w:r>
    </w:p>
    <w:p w:rsidR="00B30A8E" w:rsidRPr="000B13C0" w:rsidRDefault="00B30A8E" w:rsidP="00B30A8E">
      <w:pPr>
        <w:jc w:val="both"/>
        <w:rPr>
          <w:rFonts w:ascii="Times New Roman" w:hAnsi="Times New Roman" w:cs="Times New Roman"/>
          <w:sz w:val="28"/>
          <w:szCs w:val="28"/>
        </w:rPr>
      </w:pPr>
      <w:r w:rsidRPr="000B13C0">
        <w:rPr>
          <w:rFonts w:ascii="Times New Roman" w:hAnsi="Times New Roman" w:cs="Times New Roman"/>
          <w:sz w:val="28"/>
          <w:szCs w:val="28"/>
        </w:rPr>
        <w:t>Come già accennato, la Corte costituzionale ha affermato l’esistenza di un nucleo sostanziale, intangibile, del potere del Comune di disciplinare gli usi del proprio territorio perché esso rappresenta l’ente esponenziale della Comunità che su quel territorio è insediata</w:t>
      </w:r>
      <w:r w:rsidRPr="000B13C0">
        <w:rPr>
          <w:rStyle w:val="Rimandonotaapidipagina"/>
          <w:rFonts w:ascii="Times New Roman" w:hAnsi="Times New Roman" w:cs="Times New Roman"/>
          <w:sz w:val="28"/>
          <w:szCs w:val="28"/>
        </w:rPr>
        <w:footnoteReference w:id="23"/>
      </w:r>
      <w:r w:rsidRPr="000B13C0">
        <w:rPr>
          <w:rFonts w:ascii="Times New Roman" w:hAnsi="Times New Roman" w:cs="Times New Roman"/>
          <w:sz w:val="28"/>
          <w:szCs w:val="28"/>
        </w:rPr>
        <w:t>. In tale ottica, sarebbe quindi certamente incostituzionale una legge regionale che dovesse espropriare del tutto il Comune della potestà di pianificare il proprio territorio, per lo meno in assenza delle circostanze, sostanziali e procedurali, che consentono in nome del principio di sussidiarietà differenziazione e adeguatezza di allocare le funzioni amministrative in capo ad un ente più vasto del Comune</w:t>
      </w:r>
      <w:r w:rsidRPr="000B13C0">
        <w:rPr>
          <w:rStyle w:val="Rimandonotaapidipagina"/>
          <w:rFonts w:ascii="Times New Roman" w:hAnsi="Times New Roman" w:cs="Times New Roman"/>
          <w:sz w:val="28"/>
          <w:szCs w:val="28"/>
        </w:rPr>
        <w:footnoteReference w:id="24"/>
      </w:r>
      <w:r w:rsidRPr="000B13C0">
        <w:rPr>
          <w:rFonts w:ascii="Times New Roman" w:hAnsi="Times New Roman" w:cs="Times New Roman"/>
          <w:sz w:val="28"/>
          <w:szCs w:val="28"/>
        </w:rPr>
        <w:t>.</w:t>
      </w:r>
    </w:p>
    <w:p w:rsidR="00B30A8E" w:rsidRDefault="00B30A8E" w:rsidP="00B30A8E">
      <w:pPr>
        <w:jc w:val="both"/>
        <w:rPr>
          <w:rFonts w:ascii="Times New Roman" w:hAnsi="Times New Roman" w:cs="Times New Roman"/>
          <w:sz w:val="28"/>
          <w:szCs w:val="28"/>
        </w:rPr>
      </w:pPr>
      <w:r w:rsidRPr="00B360D3">
        <w:rPr>
          <w:rFonts w:ascii="Times New Roman" w:hAnsi="Times New Roman" w:cs="Times New Roman"/>
          <w:sz w:val="28"/>
          <w:szCs w:val="28"/>
        </w:rPr>
        <w:t xml:space="preserve">Dalla normativa statale, espressione di potestà </w:t>
      </w:r>
      <w:r w:rsidR="00B360D3" w:rsidRPr="00B360D3">
        <w:rPr>
          <w:rFonts w:ascii="Times New Roman" w:hAnsi="Times New Roman" w:cs="Times New Roman"/>
          <w:sz w:val="28"/>
          <w:szCs w:val="28"/>
        </w:rPr>
        <w:t>legislativa esclusiva, derivano</w:t>
      </w:r>
      <w:r w:rsidRPr="00B360D3">
        <w:rPr>
          <w:rFonts w:ascii="Times New Roman" w:hAnsi="Times New Roman" w:cs="Times New Roman"/>
          <w:sz w:val="28"/>
          <w:szCs w:val="28"/>
        </w:rPr>
        <w:t xml:space="preserve"> le principali limitazioni alla capacità della pianificazione urbanistica. Si tratta principalmente delle norme in materia di tutela dell’ambiente, difesa del suolo, parchi nazionali, difesa del paesaggio, localizzazione delle opere pubbliche statali, le q</w:t>
      </w:r>
      <w:r w:rsidR="000A66C2">
        <w:rPr>
          <w:rFonts w:ascii="Times New Roman" w:hAnsi="Times New Roman" w:cs="Times New Roman"/>
          <w:sz w:val="28"/>
          <w:szCs w:val="28"/>
        </w:rPr>
        <w:t>uali comportano riduzioni</w:t>
      </w:r>
      <w:r w:rsidRPr="00B360D3">
        <w:rPr>
          <w:rFonts w:ascii="Times New Roman" w:hAnsi="Times New Roman" w:cs="Times New Roman"/>
          <w:sz w:val="28"/>
          <w:szCs w:val="28"/>
        </w:rPr>
        <w:t xml:space="preserve"> dell’oggetto della materia volte ad assicurare allo Stato la tutela di interessi di cui è titolare</w:t>
      </w:r>
      <w:r w:rsidRPr="00B360D3">
        <w:rPr>
          <w:rStyle w:val="Rimandonotaapidipagina"/>
          <w:rFonts w:ascii="Times New Roman" w:hAnsi="Times New Roman" w:cs="Times New Roman"/>
          <w:sz w:val="28"/>
          <w:szCs w:val="28"/>
        </w:rPr>
        <w:footnoteReference w:id="25"/>
      </w:r>
      <w:r w:rsidRPr="00B360D3">
        <w:rPr>
          <w:rFonts w:ascii="Times New Roman" w:hAnsi="Times New Roman" w:cs="Times New Roman"/>
          <w:sz w:val="28"/>
          <w:szCs w:val="28"/>
        </w:rPr>
        <w:t>.</w:t>
      </w:r>
    </w:p>
    <w:p w:rsidR="00B360D3" w:rsidRPr="00B360D3" w:rsidRDefault="00B360D3" w:rsidP="00B30A8E">
      <w:pPr>
        <w:jc w:val="both"/>
        <w:rPr>
          <w:rFonts w:ascii="Times New Roman" w:hAnsi="Times New Roman" w:cs="Times New Roman"/>
          <w:sz w:val="28"/>
          <w:szCs w:val="28"/>
        </w:rPr>
      </w:pPr>
      <w:r w:rsidRPr="00B360D3">
        <w:rPr>
          <w:rFonts w:ascii="Times New Roman" w:hAnsi="Times New Roman" w:cs="Times New Roman"/>
          <w:sz w:val="28"/>
          <w:szCs w:val="28"/>
        </w:rPr>
        <w:t xml:space="preserve">L’intreccio tra tali materie era peraltro già </w:t>
      </w:r>
      <w:r w:rsidR="00FE1F13">
        <w:rPr>
          <w:rFonts w:ascii="Times New Roman" w:hAnsi="Times New Roman" w:cs="Times New Roman"/>
          <w:sz w:val="28"/>
          <w:szCs w:val="28"/>
        </w:rPr>
        <w:t xml:space="preserve">evidente nelle </w:t>
      </w:r>
      <w:r w:rsidRPr="00B360D3">
        <w:rPr>
          <w:rFonts w:ascii="Times New Roman" w:hAnsi="Times New Roman" w:cs="Times New Roman"/>
          <w:sz w:val="28"/>
          <w:szCs w:val="28"/>
        </w:rPr>
        <w:t>modifiche alla legge urbanistica dalla legge 19 novembre 1968, n. 1187, che ha modificato l’art. 7 della legge n. 1150 del 1942, prevedendo che i piani regolatori devono indicare anche i vincoli da osservare nelle zone a carattere storico, ambientale, paesistico.</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Sul rapporto tra tutela del paesaggio e disciplina urbanistica dagli anni 70 fino all’inizio degli anni 2000, è stata prevalente una impostazione c.d. panurbanistica, influenzata dalla dottrina fondata sulla nozione integrale di paesaggio come forma visibile del territorio</w:t>
      </w:r>
      <w:r w:rsidRPr="00845A7D">
        <w:rPr>
          <w:rStyle w:val="Rimandonotaapidipagina"/>
          <w:rFonts w:ascii="Times New Roman" w:hAnsi="Times New Roman" w:cs="Times New Roman"/>
          <w:sz w:val="28"/>
          <w:szCs w:val="28"/>
        </w:rPr>
        <w:footnoteReference w:id="26"/>
      </w:r>
      <w:r w:rsidRPr="00845A7D">
        <w:rPr>
          <w:rFonts w:ascii="Times New Roman" w:hAnsi="Times New Roman" w:cs="Times New Roman"/>
          <w:sz w:val="28"/>
          <w:szCs w:val="28"/>
        </w:rPr>
        <w:t>.</w:t>
      </w:r>
    </w:p>
    <w:p w:rsidR="00B30A8E" w:rsidRPr="00B360D3"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lastRenderedPageBreak/>
        <w:t>Successivamente, con la riforma del Titolo V è riemersa la necessità di distinguere concettualmente e differenziare i regimi giuridici e le competenze.</w:t>
      </w:r>
      <w:r w:rsidR="00FE1F13">
        <w:rPr>
          <w:rFonts w:ascii="Times New Roman" w:hAnsi="Times New Roman" w:cs="Times New Roman"/>
          <w:sz w:val="28"/>
          <w:szCs w:val="28"/>
        </w:rPr>
        <w:t xml:space="preserve"> </w:t>
      </w:r>
      <w:r w:rsidRPr="00B360D3">
        <w:rPr>
          <w:rFonts w:ascii="Times New Roman" w:hAnsi="Times New Roman" w:cs="Times New Roman"/>
          <w:sz w:val="28"/>
          <w:szCs w:val="28"/>
        </w:rPr>
        <w:t>La linea della</w:t>
      </w:r>
      <w:r w:rsidRPr="00B360D3">
        <w:rPr>
          <w:sz w:val="28"/>
          <w:szCs w:val="28"/>
        </w:rPr>
        <w:t xml:space="preserve"> </w:t>
      </w:r>
      <w:r w:rsidRPr="00B360D3">
        <w:rPr>
          <w:rFonts w:ascii="Times New Roman" w:hAnsi="Times New Roman" w:cs="Times New Roman"/>
          <w:sz w:val="28"/>
          <w:szCs w:val="28"/>
        </w:rPr>
        <w:t>distinzione trova espressione nella teorica delle “tutele parallele degli interessi differenziati”</w:t>
      </w:r>
      <w:r w:rsidRPr="00B360D3">
        <w:rPr>
          <w:rStyle w:val="Rimandonotaapidipagina"/>
          <w:rFonts w:ascii="Times New Roman" w:hAnsi="Times New Roman" w:cs="Times New Roman"/>
          <w:sz w:val="28"/>
          <w:szCs w:val="28"/>
        </w:rPr>
        <w:footnoteReference w:id="27"/>
      </w:r>
      <w:r w:rsidRPr="00B360D3">
        <w:rPr>
          <w:rFonts w:ascii="Times New Roman" w:hAnsi="Times New Roman" w:cs="Times New Roman"/>
          <w:sz w:val="28"/>
          <w:szCs w:val="28"/>
        </w:rPr>
        <w:t>.</w:t>
      </w:r>
    </w:p>
    <w:p w:rsidR="00B30A8E" w:rsidRPr="00845A7D" w:rsidRDefault="00B30A8E" w:rsidP="00B30A8E">
      <w:pPr>
        <w:jc w:val="both"/>
        <w:rPr>
          <w:rFonts w:ascii="Times New Roman" w:hAnsi="Times New Roman" w:cs="Times New Roman"/>
          <w:sz w:val="28"/>
          <w:szCs w:val="28"/>
        </w:rPr>
      </w:pPr>
      <w:r>
        <w:rPr>
          <w:rFonts w:ascii="Times New Roman" w:hAnsi="Times New Roman" w:cs="Times New Roman"/>
          <w:sz w:val="28"/>
          <w:szCs w:val="28"/>
        </w:rPr>
        <w:t xml:space="preserve">Tuttavia, le </w:t>
      </w:r>
      <w:r w:rsidRPr="00845A7D">
        <w:rPr>
          <w:rFonts w:ascii="Times New Roman" w:hAnsi="Times New Roman" w:cs="Times New Roman"/>
          <w:sz w:val="28"/>
          <w:szCs w:val="28"/>
        </w:rPr>
        <w:t xml:space="preserve">potestà inerenti </w:t>
      </w:r>
      <w:r w:rsidR="00FE1F13">
        <w:rPr>
          <w:rFonts w:ascii="Times New Roman" w:hAnsi="Times New Roman" w:cs="Times New Roman"/>
          <w:sz w:val="28"/>
          <w:szCs w:val="28"/>
        </w:rPr>
        <w:t xml:space="preserve">la disciplina dei </w:t>
      </w:r>
      <w:r w:rsidRPr="00845A7D">
        <w:rPr>
          <w:rFonts w:ascii="Times New Roman" w:hAnsi="Times New Roman" w:cs="Times New Roman"/>
          <w:sz w:val="28"/>
          <w:szCs w:val="28"/>
        </w:rPr>
        <w:t xml:space="preserve">possibili usi di un determinato territorio devono </w:t>
      </w:r>
      <w:r>
        <w:rPr>
          <w:rFonts w:ascii="Times New Roman" w:hAnsi="Times New Roman" w:cs="Times New Roman"/>
          <w:sz w:val="28"/>
          <w:szCs w:val="28"/>
        </w:rPr>
        <w:t xml:space="preserve">essere necessariamente </w:t>
      </w:r>
      <w:r w:rsidRPr="00845A7D">
        <w:rPr>
          <w:rFonts w:ascii="Times New Roman" w:hAnsi="Times New Roman" w:cs="Times New Roman"/>
          <w:sz w:val="28"/>
          <w:szCs w:val="28"/>
        </w:rPr>
        <w:t>coordinate</w:t>
      </w:r>
      <w:r>
        <w:rPr>
          <w:rFonts w:ascii="Times New Roman" w:hAnsi="Times New Roman" w:cs="Times New Roman"/>
          <w:sz w:val="28"/>
          <w:szCs w:val="28"/>
        </w:rPr>
        <w:t xml:space="preserve"> tra loro</w:t>
      </w:r>
      <w:r w:rsidRPr="00845A7D">
        <w:rPr>
          <w:rFonts w:ascii="Times New Roman" w:hAnsi="Times New Roman" w:cs="Times New Roman"/>
          <w:sz w:val="28"/>
          <w:szCs w:val="28"/>
        </w:rPr>
        <w:t xml:space="preserve"> e ricondotte ad unità, in quanto afferenti ad un’unica materia, appunto, il “governo del territorio”</w:t>
      </w:r>
      <w:r w:rsidRPr="00845A7D">
        <w:rPr>
          <w:rStyle w:val="Rimandonotaapidipagina"/>
          <w:rFonts w:ascii="Times New Roman" w:hAnsi="Times New Roman" w:cs="Times New Roman"/>
          <w:sz w:val="28"/>
          <w:szCs w:val="28"/>
        </w:rPr>
        <w:footnoteReference w:id="28"/>
      </w:r>
      <w:r w:rsidRPr="00845A7D">
        <w:rPr>
          <w:rFonts w:ascii="Times New Roman" w:hAnsi="Times New Roman" w:cs="Times New Roman"/>
          <w:sz w:val="28"/>
          <w:szCs w:val="28"/>
        </w:rPr>
        <w:t>.</w:t>
      </w:r>
      <w:r w:rsidR="00226661">
        <w:rPr>
          <w:rFonts w:ascii="Times New Roman" w:hAnsi="Times New Roman" w:cs="Times New Roman"/>
          <w:sz w:val="28"/>
          <w:szCs w:val="28"/>
        </w:rPr>
        <w:t xml:space="preserve"> </w:t>
      </w:r>
      <w:r w:rsidRPr="00845A7D">
        <w:rPr>
          <w:rFonts w:ascii="Times New Roman" w:hAnsi="Times New Roman" w:cs="Times New Roman"/>
          <w:sz w:val="28"/>
          <w:szCs w:val="28"/>
        </w:rPr>
        <w:t>La ripartizione delle funzioni amministrative relative all’uso del territorio secondo il principi</w:t>
      </w:r>
      <w:r w:rsidR="00B360D3">
        <w:rPr>
          <w:rFonts w:ascii="Times New Roman" w:hAnsi="Times New Roman" w:cs="Times New Roman"/>
          <w:sz w:val="28"/>
          <w:szCs w:val="28"/>
        </w:rPr>
        <w:t xml:space="preserve">o di sussidiarietà comporta </w:t>
      </w:r>
      <w:r w:rsidRPr="00845A7D">
        <w:rPr>
          <w:rFonts w:ascii="Times New Roman" w:hAnsi="Times New Roman" w:cs="Times New Roman"/>
          <w:sz w:val="28"/>
          <w:szCs w:val="28"/>
        </w:rPr>
        <w:t>che agli Enti di più vasta dimensione compete generalmente una potestà di indirizzo destinata ad evidenziare gli interessi di dimensione più ampia, secondo i principi di differenziazion</w:t>
      </w:r>
      <w:r>
        <w:rPr>
          <w:rFonts w:ascii="Times New Roman" w:hAnsi="Times New Roman" w:cs="Times New Roman"/>
          <w:sz w:val="28"/>
          <w:szCs w:val="28"/>
        </w:rPr>
        <w:t xml:space="preserve">e e adeguatezza, </w:t>
      </w:r>
      <w:r w:rsidR="00FE1F13">
        <w:rPr>
          <w:rFonts w:ascii="Times New Roman" w:hAnsi="Times New Roman" w:cs="Times New Roman"/>
          <w:sz w:val="28"/>
          <w:szCs w:val="28"/>
        </w:rPr>
        <w:t xml:space="preserve">mentre </w:t>
      </w:r>
      <w:r>
        <w:rPr>
          <w:rFonts w:ascii="Times New Roman" w:hAnsi="Times New Roman" w:cs="Times New Roman"/>
          <w:sz w:val="28"/>
          <w:szCs w:val="28"/>
        </w:rPr>
        <w:t>ai C</w:t>
      </w:r>
      <w:r w:rsidRPr="00845A7D">
        <w:rPr>
          <w:rFonts w:ascii="Times New Roman" w:hAnsi="Times New Roman" w:cs="Times New Roman"/>
          <w:sz w:val="28"/>
          <w:szCs w:val="28"/>
        </w:rPr>
        <w:t xml:space="preserve">omuni </w:t>
      </w:r>
      <w:r w:rsidR="00FE1F13">
        <w:rPr>
          <w:rFonts w:ascii="Times New Roman" w:hAnsi="Times New Roman" w:cs="Times New Roman"/>
          <w:sz w:val="28"/>
          <w:szCs w:val="28"/>
        </w:rPr>
        <w:t xml:space="preserve">è riservata </w:t>
      </w:r>
      <w:r w:rsidRPr="00845A7D">
        <w:rPr>
          <w:rFonts w:ascii="Times New Roman" w:hAnsi="Times New Roman" w:cs="Times New Roman"/>
          <w:sz w:val="28"/>
          <w:szCs w:val="28"/>
        </w:rPr>
        <w:t>la potestà di stabilire nel concreto e nel dettaglio la conformazione del proprio territorio e quindi la conformazione dei beni giuridici oggetto di diritto di proprietà in esso collocati.</w:t>
      </w:r>
    </w:p>
    <w:p w:rsidR="00B30A8E" w:rsidRPr="00B360D3" w:rsidRDefault="00B30A8E" w:rsidP="00B30A8E">
      <w:pPr>
        <w:jc w:val="both"/>
        <w:rPr>
          <w:rFonts w:ascii="Times New Roman" w:hAnsi="Times New Roman" w:cs="Times New Roman"/>
          <w:sz w:val="28"/>
          <w:szCs w:val="28"/>
        </w:rPr>
      </w:pPr>
      <w:r w:rsidRPr="00B360D3">
        <w:rPr>
          <w:rFonts w:ascii="Times New Roman" w:hAnsi="Times New Roman" w:cs="Times New Roman"/>
          <w:sz w:val="28"/>
          <w:szCs w:val="28"/>
        </w:rPr>
        <w:t>È stato osservato che l’idea panterritorialista, finisce per sbilanciare verso le Regioni e i Comuni (secondo il principio di sussidiarietà verticale e di prossimità) il criterio distributivo delle competenze, mentre la teoria della divisione ritiene indispensabile riequilibrare questo sistema in termini di adeguatezza e differenziazione del livello territoriale di allocazione delle funzioni</w:t>
      </w:r>
      <w:r w:rsidRPr="00B360D3">
        <w:rPr>
          <w:rStyle w:val="Rimandonotaapidipagina"/>
          <w:rFonts w:ascii="Times New Roman" w:hAnsi="Times New Roman" w:cs="Times New Roman"/>
          <w:sz w:val="28"/>
          <w:szCs w:val="28"/>
        </w:rPr>
        <w:footnoteReference w:id="29"/>
      </w:r>
      <w:r w:rsidRPr="00B360D3">
        <w:rPr>
          <w:rFonts w:ascii="Times New Roman" w:hAnsi="Times New Roman" w:cs="Times New Roman"/>
          <w:sz w:val="28"/>
          <w:szCs w:val="28"/>
        </w:rPr>
        <w:t>.</w:t>
      </w:r>
      <w:r w:rsidR="00226661">
        <w:rPr>
          <w:rFonts w:ascii="Times New Roman" w:hAnsi="Times New Roman" w:cs="Times New Roman"/>
          <w:sz w:val="28"/>
          <w:szCs w:val="28"/>
        </w:rPr>
        <w:t xml:space="preserve"> </w:t>
      </w:r>
      <w:r w:rsidRPr="00B360D3">
        <w:rPr>
          <w:rFonts w:ascii="Times New Roman" w:hAnsi="Times New Roman" w:cs="Times New Roman"/>
          <w:sz w:val="28"/>
          <w:szCs w:val="28"/>
        </w:rPr>
        <w:t>In tale direzione, si è mossa ad esempio l’evoluzione della pianificazione paesaggistica che ha assunto progressivamente i caratteri di una pianificazione generale. Tale evoluzione ha avuto il suo punto di svolta dalla legge “Galasso” del 1985, con cui si passò dalla logica selettiva della legge n. 1497 del 1939, ai vincoli morfologico-</w:t>
      </w:r>
      <w:r w:rsidR="00B120A2">
        <w:rPr>
          <w:rFonts w:ascii="Times New Roman" w:hAnsi="Times New Roman" w:cs="Times New Roman"/>
          <w:sz w:val="28"/>
          <w:szCs w:val="28"/>
        </w:rPr>
        <w:t xml:space="preserve">ubicazionali, </w:t>
      </w:r>
      <w:r w:rsidRPr="00B360D3">
        <w:rPr>
          <w:rFonts w:ascii="Times New Roman" w:hAnsi="Times New Roman" w:cs="Times New Roman"/>
          <w:sz w:val="28"/>
          <w:szCs w:val="28"/>
        </w:rPr>
        <w:t>in base ai quali circa la metà del territorio nazionale si trovò ad essere sottoposta a vincolo paesaggistico.</w:t>
      </w:r>
      <w:r w:rsidR="00FE1F13">
        <w:rPr>
          <w:rFonts w:ascii="Times New Roman" w:hAnsi="Times New Roman" w:cs="Times New Roman"/>
          <w:sz w:val="28"/>
          <w:szCs w:val="28"/>
        </w:rPr>
        <w:t xml:space="preserve"> </w:t>
      </w:r>
      <w:r w:rsidRPr="00B360D3">
        <w:rPr>
          <w:rFonts w:ascii="Times New Roman" w:hAnsi="Times New Roman" w:cs="Times New Roman"/>
          <w:sz w:val="28"/>
          <w:szCs w:val="28"/>
        </w:rPr>
        <w:t>L’emersione di una vera e propria prevalenza gerarchica della tutela paesaggistica sull’urbanistica e sulle pianificazioni di settore si è imposta con la Convenzione europea del paesaggio del 2000 e con il Codice dei beni culturali e del paesaggio del 2004 (artt. 135, 143 e 145 per la pianificazione paesaggistica, art. 146 e 167 per le autorizzazioni paesaggistiche). La vigente disciplina legislativa prevede in particolare che la pianificazion</w:t>
      </w:r>
      <w:r w:rsidR="007C316F">
        <w:rPr>
          <w:rFonts w:ascii="Times New Roman" w:hAnsi="Times New Roman" w:cs="Times New Roman"/>
          <w:sz w:val="28"/>
          <w:szCs w:val="28"/>
        </w:rPr>
        <w:t>e paesaggistica sia effettuata congiuntamente</w:t>
      </w:r>
      <w:r w:rsidRPr="00B360D3">
        <w:rPr>
          <w:rFonts w:ascii="Times New Roman" w:hAnsi="Times New Roman" w:cs="Times New Roman"/>
          <w:sz w:val="28"/>
          <w:szCs w:val="28"/>
        </w:rPr>
        <w:t xml:space="preserve"> tra Stato e Regioni (art. 135, comma 1, del d.lgs. n. 42 del 2004) e che prevalga su ogni altro strumento di pianificazione (art. 145, comma 3).</w:t>
      </w:r>
    </w:p>
    <w:p w:rsidR="00B30A8E" w:rsidRPr="003238BE" w:rsidRDefault="00B360D3" w:rsidP="00B30A8E">
      <w:pPr>
        <w:jc w:val="both"/>
        <w:rPr>
          <w:rFonts w:ascii="Times New Roman" w:hAnsi="Times New Roman" w:cs="Times New Roman"/>
          <w:sz w:val="28"/>
          <w:szCs w:val="28"/>
        </w:rPr>
      </w:pPr>
      <w:r w:rsidRPr="00B360D3">
        <w:rPr>
          <w:rFonts w:ascii="Times New Roman" w:hAnsi="Times New Roman" w:cs="Times New Roman"/>
          <w:sz w:val="28"/>
          <w:szCs w:val="28"/>
        </w:rPr>
        <w:t xml:space="preserve">Il </w:t>
      </w:r>
      <w:r w:rsidR="00B30A8E" w:rsidRPr="00B360D3">
        <w:rPr>
          <w:rFonts w:ascii="Times New Roman" w:hAnsi="Times New Roman" w:cs="Times New Roman"/>
          <w:sz w:val="28"/>
          <w:szCs w:val="28"/>
        </w:rPr>
        <w:t xml:space="preserve">quadro dei rapporti tra la tutela del patrimonio culturale e del paesaggio è </w:t>
      </w:r>
      <w:r w:rsidRPr="00B360D3">
        <w:rPr>
          <w:rFonts w:ascii="Times New Roman" w:hAnsi="Times New Roman" w:cs="Times New Roman"/>
          <w:sz w:val="28"/>
          <w:szCs w:val="28"/>
        </w:rPr>
        <w:t>stato disegnato dalla Corte costituzionale in una molteplicità di sentenze.</w:t>
      </w:r>
      <w:r w:rsidR="00FE1F13">
        <w:rPr>
          <w:rFonts w:ascii="Times New Roman" w:hAnsi="Times New Roman" w:cs="Times New Roman"/>
          <w:sz w:val="28"/>
          <w:szCs w:val="28"/>
        </w:rPr>
        <w:t xml:space="preserve"> </w:t>
      </w:r>
      <w:r w:rsidRPr="00B360D3">
        <w:rPr>
          <w:rFonts w:ascii="Times New Roman" w:hAnsi="Times New Roman" w:cs="Times New Roman"/>
          <w:sz w:val="28"/>
          <w:szCs w:val="28"/>
        </w:rPr>
        <w:t xml:space="preserve">Ad esempio, nella </w:t>
      </w:r>
      <w:r w:rsidR="00B30A8E" w:rsidRPr="00B360D3">
        <w:rPr>
          <w:rFonts w:ascii="Times New Roman" w:hAnsi="Times New Roman" w:cs="Times New Roman"/>
          <w:sz w:val="28"/>
          <w:szCs w:val="28"/>
        </w:rPr>
        <w:t>sentenza n. 219 del 2021</w:t>
      </w:r>
      <w:r w:rsidR="00B30A8E" w:rsidRPr="00845A7D">
        <w:rPr>
          <w:rFonts w:ascii="Times New Roman" w:hAnsi="Times New Roman" w:cs="Times New Roman"/>
          <w:sz w:val="28"/>
          <w:szCs w:val="28"/>
        </w:rPr>
        <w:t xml:space="preserve">(che ha annullato la legge regionale della Calabria 2 luglio 2020, n. 10, nella parte in cui ampliava il piano casa regionale prorogandolo ancora di </w:t>
      </w:r>
      <w:r w:rsidR="00B30A8E" w:rsidRPr="00845A7D">
        <w:rPr>
          <w:rFonts w:ascii="Times New Roman" w:hAnsi="Times New Roman" w:cs="Times New Roman"/>
          <w:sz w:val="28"/>
          <w:szCs w:val="28"/>
        </w:rPr>
        <w:lastRenderedPageBreak/>
        <w:t>un ulteriore anno)</w:t>
      </w:r>
      <w:r w:rsidR="00B30A8E">
        <w:rPr>
          <w:rStyle w:val="Rimandonotaapidipagina"/>
          <w:rFonts w:ascii="Times New Roman" w:hAnsi="Times New Roman" w:cs="Times New Roman"/>
          <w:sz w:val="28"/>
          <w:szCs w:val="28"/>
        </w:rPr>
        <w:footnoteReference w:id="30"/>
      </w:r>
      <w:r>
        <w:rPr>
          <w:rFonts w:ascii="Times New Roman" w:hAnsi="Times New Roman" w:cs="Times New Roman"/>
          <w:sz w:val="28"/>
          <w:szCs w:val="28"/>
        </w:rPr>
        <w:t xml:space="preserve">, la </w:t>
      </w:r>
      <w:r w:rsidR="00B30A8E" w:rsidRPr="00845A7D">
        <w:rPr>
          <w:rFonts w:ascii="Times New Roman" w:hAnsi="Times New Roman" w:cs="Times New Roman"/>
          <w:sz w:val="28"/>
          <w:szCs w:val="28"/>
        </w:rPr>
        <w:t xml:space="preserve">Corte ha richiamato </w:t>
      </w:r>
      <w:r>
        <w:rPr>
          <w:rFonts w:ascii="Times New Roman" w:hAnsi="Times New Roman" w:cs="Times New Roman"/>
          <w:sz w:val="28"/>
          <w:szCs w:val="28"/>
        </w:rPr>
        <w:t xml:space="preserve">tutta </w:t>
      </w:r>
      <w:r w:rsidR="00B30A8E" w:rsidRPr="00845A7D">
        <w:rPr>
          <w:rFonts w:ascii="Times New Roman" w:hAnsi="Times New Roman" w:cs="Times New Roman"/>
          <w:sz w:val="28"/>
          <w:szCs w:val="28"/>
        </w:rPr>
        <w:t>la propria precedente giurisprudenza sulla portata unitaria e complessa della</w:t>
      </w:r>
      <w:r w:rsidR="00EB5008">
        <w:rPr>
          <w:rFonts w:ascii="Times New Roman" w:hAnsi="Times New Roman" w:cs="Times New Roman"/>
          <w:sz w:val="28"/>
          <w:szCs w:val="28"/>
        </w:rPr>
        <w:t xml:space="preserve"> nozione di territorio</w:t>
      </w:r>
      <w:r w:rsidR="00226661">
        <w:rPr>
          <w:rFonts w:ascii="Times New Roman" w:hAnsi="Times New Roman" w:cs="Times New Roman"/>
          <w:sz w:val="28"/>
          <w:szCs w:val="28"/>
        </w:rPr>
        <w:t xml:space="preserve"> “</w:t>
      </w:r>
      <w:r w:rsidR="00226661" w:rsidRPr="00BF2469">
        <w:rPr>
          <w:rFonts w:ascii="Times New Roman" w:hAnsi="Times New Roman" w:cs="Times New Roman"/>
          <w:i/>
          <w:sz w:val="28"/>
          <w:szCs w:val="28"/>
        </w:rPr>
        <w:t>su cui</w:t>
      </w:r>
      <w:r w:rsidR="00226661">
        <w:rPr>
          <w:rFonts w:ascii="Times New Roman" w:hAnsi="Times New Roman" w:cs="Times New Roman"/>
          <w:sz w:val="28"/>
          <w:szCs w:val="28"/>
        </w:rPr>
        <w:t xml:space="preserve"> </w:t>
      </w:r>
      <w:r w:rsidR="00226661" w:rsidRPr="00226661">
        <w:rPr>
          <w:rFonts w:ascii="Times New Roman" w:hAnsi="Times New Roman" w:cs="Times New Roman"/>
          <w:sz w:val="28"/>
          <w:szCs w:val="28"/>
        </w:rPr>
        <w:t>«</w:t>
      </w:r>
      <w:r w:rsidR="00226661" w:rsidRPr="00226661">
        <w:rPr>
          <w:rFonts w:ascii="Times New Roman" w:hAnsi="Times New Roman" w:cs="Times New Roman"/>
          <w:i/>
          <w:sz w:val="28"/>
          <w:szCs w:val="28"/>
        </w:rPr>
        <w:t>gravano più interessi pubblici: quelli concernenti la conservazione ambientale e paesaggistica, la cui cura spetta in via esclusiva allo Stato, e quelli concernenti il governo del territorio e la valorizzazione dei beni culturali ed ambientali (fruizione del territorio), che sono affidati alla competenza concorrente dello Stato e delle Regioni» (sentenza n. 367 del 2007</w:t>
      </w:r>
      <w:r w:rsidR="00226661">
        <w:rPr>
          <w:rFonts w:ascii="Times New Roman" w:hAnsi="Times New Roman" w:cs="Times New Roman"/>
          <w:sz w:val="28"/>
          <w:szCs w:val="28"/>
        </w:rPr>
        <w:t xml:space="preserve">”. </w:t>
      </w:r>
      <w:r w:rsidR="00B30A8E" w:rsidRPr="00845A7D">
        <w:rPr>
          <w:rFonts w:ascii="Times New Roman" w:hAnsi="Times New Roman" w:cs="Times New Roman"/>
          <w:sz w:val="28"/>
          <w:szCs w:val="28"/>
        </w:rPr>
        <w:t xml:space="preserve">La Corte ha altresì </w:t>
      </w:r>
      <w:r w:rsidR="00B120A2">
        <w:rPr>
          <w:rFonts w:ascii="Times New Roman" w:hAnsi="Times New Roman" w:cs="Times New Roman"/>
          <w:sz w:val="28"/>
          <w:szCs w:val="28"/>
        </w:rPr>
        <w:t xml:space="preserve">confermato che la tutela del paesaggio è un </w:t>
      </w:r>
      <w:r w:rsidR="00B30A8E" w:rsidRPr="00845A7D">
        <w:rPr>
          <w:rFonts w:ascii="Times New Roman" w:hAnsi="Times New Roman" w:cs="Times New Roman"/>
          <w:sz w:val="28"/>
          <w:szCs w:val="28"/>
        </w:rPr>
        <w:t>val</w:t>
      </w:r>
      <w:r w:rsidR="00226661">
        <w:rPr>
          <w:rFonts w:ascii="Times New Roman" w:hAnsi="Times New Roman" w:cs="Times New Roman"/>
          <w:sz w:val="28"/>
          <w:szCs w:val="28"/>
        </w:rPr>
        <w:t xml:space="preserve">ore costituzionale «primario» e </w:t>
      </w:r>
      <w:r w:rsidR="00B30A8E" w:rsidRPr="00845A7D">
        <w:rPr>
          <w:rFonts w:ascii="Times New Roman" w:hAnsi="Times New Roman" w:cs="Times New Roman"/>
          <w:sz w:val="28"/>
          <w:szCs w:val="28"/>
        </w:rPr>
        <w:t xml:space="preserve">«assoluto» </w:t>
      </w:r>
      <w:r w:rsidR="00B120A2">
        <w:rPr>
          <w:rFonts w:ascii="Times New Roman" w:hAnsi="Times New Roman" w:cs="Times New Roman"/>
          <w:sz w:val="28"/>
          <w:szCs w:val="28"/>
        </w:rPr>
        <w:t xml:space="preserve">nonché </w:t>
      </w:r>
      <w:r w:rsidR="00B30A8E" w:rsidRPr="003238BE">
        <w:rPr>
          <w:rFonts w:ascii="Times New Roman" w:hAnsi="Times New Roman" w:cs="Times New Roman"/>
          <w:sz w:val="28"/>
          <w:szCs w:val="28"/>
        </w:rPr>
        <w:t>riaffermato il principio per cui la tutela ambientale e paesaggis</w:t>
      </w:r>
      <w:r w:rsidR="007D5949">
        <w:rPr>
          <w:rFonts w:ascii="Times New Roman" w:hAnsi="Times New Roman" w:cs="Times New Roman"/>
          <w:sz w:val="28"/>
          <w:szCs w:val="28"/>
        </w:rPr>
        <w:t>tica, affidata allo Stato</w:t>
      </w:r>
      <w:r w:rsidR="00226661">
        <w:rPr>
          <w:rFonts w:ascii="Times New Roman" w:hAnsi="Times New Roman" w:cs="Times New Roman"/>
          <w:sz w:val="28"/>
          <w:szCs w:val="28"/>
        </w:rPr>
        <w:t xml:space="preserve"> “</w:t>
      </w:r>
      <w:r w:rsidR="00B30A8E" w:rsidRPr="003238BE">
        <w:rPr>
          <w:rFonts w:ascii="Times New Roman" w:hAnsi="Times New Roman" w:cs="Times New Roman"/>
          <w:i/>
          <w:sz w:val="28"/>
          <w:szCs w:val="28"/>
        </w:rPr>
        <w:t>precede e comunque costituisce un limite alla tutela degli altri interessi pubblici assegnati alla competenza concorrente delle Regioni in materia di governo del territorio e di valorizzazione dei beni culturali e ambientali</w:t>
      </w:r>
      <w:r w:rsidR="00226661">
        <w:rPr>
          <w:rFonts w:ascii="Times New Roman" w:hAnsi="Times New Roman" w:cs="Times New Roman"/>
          <w:sz w:val="28"/>
          <w:szCs w:val="28"/>
        </w:rPr>
        <w:t>”, sebbene tale tutela debba “</w:t>
      </w:r>
      <w:r w:rsidR="00226661" w:rsidRPr="00226661">
        <w:rPr>
          <w:rFonts w:ascii="Times New Roman" w:hAnsi="Times New Roman" w:cs="Times New Roman"/>
          <w:i/>
          <w:sz w:val="28"/>
          <w:szCs w:val="28"/>
        </w:rPr>
        <w:t>trovare forme di coordinamento con quella affidata alle Regioni, proprio in considerazione dell'unitarietà del territorio</w:t>
      </w:r>
      <w:r w:rsidR="00226661">
        <w:rPr>
          <w:rFonts w:ascii="Times New Roman" w:hAnsi="Times New Roman" w:cs="Times New Roman"/>
          <w:sz w:val="28"/>
          <w:szCs w:val="28"/>
        </w:rPr>
        <w:t>”</w:t>
      </w:r>
      <w:r w:rsidR="00226661" w:rsidRPr="00226661">
        <w:rPr>
          <w:rFonts w:ascii="Times New Roman" w:hAnsi="Times New Roman" w:cs="Times New Roman"/>
          <w:sz w:val="28"/>
          <w:szCs w:val="28"/>
        </w:rPr>
        <w:t>.</w:t>
      </w:r>
      <w:r w:rsidR="0042596C">
        <w:rPr>
          <w:rFonts w:ascii="Times New Roman" w:hAnsi="Times New Roman" w:cs="Times New Roman"/>
          <w:sz w:val="28"/>
          <w:szCs w:val="28"/>
        </w:rPr>
        <w:t xml:space="preserve"> </w:t>
      </w:r>
      <w:r w:rsidR="00B30A8E" w:rsidRPr="003238BE">
        <w:rPr>
          <w:rFonts w:ascii="Times New Roman" w:hAnsi="Times New Roman" w:cs="Times New Roman"/>
          <w:sz w:val="28"/>
          <w:szCs w:val="28"/>
        </w:rPr>
        <w:t>La Corte ha infine ribadito che “</w:t>
      </w:r>
      <w:r w:rsidR="00B120A2">
        <w:rPr>
          <w:rFonts w:ascii="Times New Roman" w:hAnsi="Times New Roman" w:cs="Times New Roman"/>
          <w:sz w:val="28"/>
          <w:szCs w:val="28"/>
        </w:rPr>
        <w:t xml:space="preserve">Il </w:t>
      </w:r>
      <w:r w:rsidR="00B30A8E" w:rsidRPr="003238BE">
        <w:rPr>
          <w:rFonts w:ascii="Times New Roman" w:hAnsi="Times New Roman" w:cs="Times New Roman"/>
          <w:i/>
          <w:sz w:val="28"/>
          <w:szCs w:val="28"/>
        </w:rPr>
        <w:t>piano paesaggistico regionale – le cui prescrizioni sono «cogenti per gli strumenti urbanistici dei comuni, delle città metropolitane e delle province» e «immediatamente prevalenti sulle disposizioni difformi eventualmente contenute negli strumenti urbanistici» (art. 145, comma 3, del d.lgs. n. 42 del 2004) – è «strumento di ricognizione del territorio oggetto di pianificazione non solo ai fini della salvaguardia e valorizzazione dei beni paesaggistici, ma anche nell’ottica dello sviluppo sostenibile e dell’uso consapevole del suolo, in modo da poter consentire l’individuazione delle misure necessarie per il corretto inserimento, nel contesto paesaggistico, degli interventi di trasformazione del territorio</w:t>
      </w:r>
      <w:r w:rsidR="00B30A8E" w:rsidRPr="003238BE">
        <w:rPr>
          <w:rFonts w:ascii="Times New Roman" w:hAnsi="Times New Roman" w:cs="Times New Roman"/>
          <w:sz w:val="28"/>
          <w:szCs w:val="28"/>
        </w:rPr>
        <w:t xml:space="preserve">» </w:t>
      </w:r>
      <w:r w:rsidR="00B30A8E" w:rsidRPr="00226661">
        <w:rPr>
          <w:rFonts w:ascii="Times New Roman" w:hAnsi="Times New Roman" w:cs="Times New Roman"/>
          <w:i/>
          <w:sz w:val="28"/>
          <w:szCs w:val="28"/>
        </w:rPr>
        <w:t xml:space="preserve">(sentenza n. 172 del 2018, richiamata </w:t>
      </w:r>
      <w:r w:rsidR="0042596C">
        <w:rPr>
          <w:rFonts w:ascii="Times New Roman" w:hAnsi="Times New Roman" w:cs="Times New Roman"/>
          <w:i/>
          <w:sz w:val="28"/>
          <w:szCs w:val="28"/>
        </w:rPr>
        <w:t>dalla sentenza n. 86 del 2019)</w:t>
      </w:r>
      <w:r w:rsidR="0042596C">
        <w:rPr>
          <w:rFonts w:ascii="Times New Roman" w:hAnsi="Times New Roman" w:cs="Times New Roman"/>
          <w:sz w:val="28"/>
          <w:szCs w:val="28"/>
        </w:rPr>
        <w:t xml:space="preserve">”. </w:t>
      </w:r>
      <w:r w:rsidR="00B30A8E" w:rsidRPr="0042596C">
        <w:rPr>
          <w:rFonts w:ascii="Times New Roman" w:hAnsi="Times New Roman" w:cs="Times New Roman"/>
          <w:sz w:val="28"/>
          <w:szCs w:val="28"/>
        </w:rPr>
        <w:t xml:space="preserve">Per tale motivo, </w:t>
      </w:r>
      <w:r w:rsidR="0042596C">
        <w:rPr>
          <w:rFonts w:ascii="Times New Roman" w:hAnsi="Times New Roman" w:cs="Times New Roman"/>
          <w:sz w:val="28"/>
          <w:szCs w:val="28"/>
        </w:rPr>
        <w:t>“</w:t>
      </w:r>
      <w:r w:rsidR="00B30A8E" w:rsidRPr="0042596C">
        <w:rPr>
          <w:rFonts w:ascii="Times New Roman" w:hAnsi="Times New Roman" w:cs="Times New Roman"/>
          <w:i/>
          <w:sz w:val="28"/>
          <w:szCs w:val="28"/>
        </w:rPr>
        <w:t xml:space="preserve">è necessario salvaguardare </w:t>
      </w:r>
      <w:r w:rsidR="00B30A8E" w:rsidRPr="003238BE">
        <w:rPr>
          <w:rFonts w:ascii="Times New Roman" w:hAnsi="Times New Roman" w:cs="Times New Roman"/>
          <w:sz w:val="28"/>
          <w:szCs w:val="28"/>
        </w:rPr>
        <w:t>«</w:t>
      </w:r>
      <w:r w:rsidR="00B30A8E" w:rsidRPr="003238BE">
        <w:rPr>
          <w:rFonts w:ascii="Times New Roman" w:hAnsi="Times New Roman" w:cs="Times New Roman"/>
          <w:i/>
          <w:sz w:val="28"/>
          <w:szCs w:val="28"/>
        </w:rPr>
        <w:t xml:space="preserve">la complessiva efficacia del piano paesaggistico, ponendola al riparo dalla pluralità e dalla parcellizzazione degli interventi delle amministrazioni locali (sentenza n. 182 del 2006)» </w:t>
      </w:r>
      <w:r w:rsidR="00B30A8E" w:rsidRPr="0042596C">
        <w:rPr>
          <w:rFonts w:ascii="Times New Roman" w:hAnsi="Times New Roman" w:cs="Times New Roman"/>
          <w:i/>
          <w:sz w:val="28"/>
          <w:szCs w:val="28"/>
        </w:rPr>
        <w:t>(sentenza n. 74 del 2021</w:t>
      </w:r>
      <w:r w:rsidR="003238BE" w:rsidRPr="0042596C">
        <w:rPr>
          <w:rFonts w:ascii="Times New Roman" w:hAnsi="Times New Roman" w:cs="Times New Roman"/>
          <w:i/>
          <w:sz w:val="28"/>
          <w:szCs w:val="28"/>
        </w:rPr>
        <w:t>)</w:t>
      </w:r>
      <w:r w:rsidR="0042596C">
        <w:rPr>
          <w:rFonts w:ascii="Times New Roman" w:hAnsi="Times New Roman" w:cs="Times New Roman"/>
          <w:sz w:val="28"/>
          <w:szCs w:val="28"/>
        </w:rPr>
        <w:t>”</w:t>
      </w:r>
      <w:r w:rsidR="00B30A8E" w:rsidRPr="003238BE">
        <w:rPr>
          <w:rFonts w:ascii="Times New Roman" w:hAnsi="Times New Roman" w:cs="Times New Roman"/>
          <w:sz w:val="28"/>
          <w:szCs w:val="28"/>
        </w:rPr>
        <w:t xml:space="preserve">. </w:t>
      </w:r>
      <w:r w:rsidR="0042596C">
        <w:rPr>
          <w:rFonts w:ascii="Times New Roman" w:hAnsi="Times New Roman" w:cs="Times New Roman"/>
          <w:sz w:val="28"/>
          <w:szCs w:val="28"/>
        </w:rPr>
        <w:t xml:space="preserve"> </w:t>
      </w:r>
      <w:r w:rsidR="00B30A8E" w:rsidRPr="003238BE">
        <w:rPr>
          <w:rFonts w:ascii="Times New Roman" w:hAnsi="Times New Roman" w:cs="Times New Roman"/>
          <w:sz w:val="28"/>
          <w:szCs w:val="28"/>
        </w:rPr>
        <w:t>Si tratta di un orientamento</w:t>
      </w:r>
      <w:r w:rsidR="00EB5008">
        <w:rPr>
          <w:rFonts w:ascii="Times New Roman" w:hAnsi="Times New Roman" w:cs="Times New Roman"/>
          <w:sz w:val="28"/>
          <w:szCs w:val="28"/>
        </w:rPr>
        <w:t xml:space="preserve"> ormai costante</w:t>
      </w:r>
      <w:r w:rsidR="00B30A8E" w:rsidRPr="003238BE">
        <w:rPr>
          <w:rFonts w:ascii="Times New Roman" w:hAnsi="Times New Roman" w:cs="Times New Roman"/>
          <w:sz w:val="28"/>
          <w:szCs w:val="28"/>
        </w:rPr>
        <w:t>, sul rilievo che mediante tale principio il Codice dei beni culturali ha inteso garantire l’impronta unitaria della pianificazione paesaggistica, valore imprescindibile e pertanto non derog</w:t>
      </w:r>
      <w:r w:rsidR="00B120A2">
        <w:rPr>
          <w:rFonts w:ascii="Times New Roman" w:hAnsi="Times New Roman" w:cs="Times New Roman"/>
          <w:sz w:val="28"/>
          <w:szCs w:val="28"/>
        </w:rPr>
        <w:t>abile dal legislatore regionale</w:t>
      </w:r>
      <w:r w:rsidR="00B30A8E" w:rsidRPr="003238BE">
        <w:rPr>
          <w:rFonts w:ascii="Times New Roman" w:hAnsi="Times New Roman" w:cs="Times New Roman"/>
          <w:sz w:val="28"/>
          <w:szCs w:val="28"/>
        </w:rPr>
        <w:t xml:space="preserve"> in quanto espressione di un intervento teso a stabilire una</w:t>
      </w:r>
      <w:r w:rsidR="00B30A8E" w:rsidRPr="00866272">
        <w:rPr>
          <w:rFonts w:ascii="Times New Roman" w:hAnsi="Times New Roman" w:cs="Times New Roman"/>
          <w:b/>
          <w:sz w:val="28"/>
          <w:szCs w:val="28"/>
        </w:rPr>
        <w:t xml:space="preserve"> </w:t>
      </w:r>
      <w:r w:rsidR="00B30A8E" w:rsidRPr="003238BE">
        <w:rPr>
          <w:rFonts w:ascii="Times New Roman" w:hAnsi="Times New Roman" w:cs="Times New Roman"/>
          <w:sz w:val="28"/>
          <w:szCs w:val="28"/>
        </w:rPr>
        <w:t>metodologia uniforme di tutela, conservazione e trasformazion</w:t>
      </w:r>
      <w:r w:rsidR="007C316F">
        <w:rPr>
          <w:rFonts w:ascii="Times New Roman" w:hAnsi="Times New Roman" w:cs="Times New Roman"/>
          <w:sz w:val="28"/>
          <w:szCs w:val="28"/>
        </w:rPr>
        <w:t xml:space="preserve">e del territorio (Corte cost. nn. 147 del 2023, </w:t>
      </w:r>
      <w:r w:rsidR="00BE0BB4">
        <w:rPr>
          <w:rFonts w:ascii="Times New Roman" w:hAnsi="Times New Roman" w:cs="Times New Roman"/>
          <w:sz w:val="28"/>
          <w:szCs w:val="28"/>
        </w:rPr>
        <w:t xml:space="preserve">251 del 2022, </w:t>
      </w:r>
      <w:r w:rsidR="007C316F">
        <w:rPr>
          <w:rFonts w:ascii="Times New Roman" w:hAnsi="Times New Roman" w:cs="Times New Roman"/>
          <w:sz w:val="28"/>
          <w:szCs w:val="28"/>
        </w:rPr>
        <w:t xml:space="preserve">192 del 2022, 45 del 2022, </w:t>
      </w:r>
      <w:r w:rsidR="00BE0BB4">
        <w:rPr>
          <w:rFonts w:ascii="Times New Roman" w:hAnsi="Times New Roman" w:cs="Times New Roman"/>
          <w:sz w:val="28"/>
          <w:szCs w:val="28"/>
        </w:rPr>
        <w:t xml:space="preserve">261 del 2021, </w:t>
      </w:r>
      <w:r w:rsidR="007C316F">
        <w:rPr>
          <w:rFonts w:ascii="Times New Roman" w:hAnsi="Times New Roman" w:cs="Times New Roman"/>
          <w:sz w:val="28"/>
          <w:szCs w:val="28"/>
        </w:rPr>
        <w:t xml:space="preserve">74 del 2021 e 240 del </w:t>
      </w:r>
      <w:r w:rsidR="00B30A8E" w:rsidRPr="003238BE">
        <w:rPr>
          <w:rFonts w:ascii="Times New Roman" w:hAnsi="Times New Roman" w:cs="Times New Roman"/>
          <w:sz w:val="28"/>
          <w:szCs w:val="28"/>
        </w:rPr>
        <w:t>2020)</w:t>
      </w:r>
      <w:r w:rsidR="00B30A8E" w:rsidRPr="003238BE">
        <w:rPr>
          <w:rStyle w:val="Rimandonotaapidipagina"/>
          <w:rFonts w:ascii="Times New Roman" w:hAnsi="Times New Roman" w:cs="Times New Roman"/>
          <w:sz w:val="28"/>
          <w:szCs w:val="28"/>
        </w:rPr>
        <w:footnoteReference w:id="31"/>
      </w:r>
      <w:r w:rsidR="00B30A8E" w:rsidRPr="003238BE">
        <w:rPr>
          <w:rFonts w:ascii="Times New Roman" w:hAnsi="Times New Roman" w:cs="Times New Roman"/>
          <w:sz w:val="28"/>
          <w:szCs w:val="28"/>
        </w:rPr>
        <w:t>.</w:t>
      </w:r>
    </w:p>
    <w:p w:rsidR="00B30A8E" w:rsidRPr="003238BE" w:rsidRDefault="00B30A8E" w:rsidP="00B30A8E">
      <w:pPr>
        <w:jc w:val="both"/>
        <w:rPr>
          <w:rFonts w:ascii="Times New Roman" w:hAnsi="Times New Roman" w:cs="Times New Roman"/>
          <w:sz w:val="28"/>
          <w:szCs w:val="28"/>
        </w:rPr>
      </w:pPr>
      <w:r w:rsidRPr="003238BE">
        <w:rPr>
          <w:rFonts w:ascii="Times New Roman" w:hAnsi="Times New Roman" w:cs="Times New Roman"/>
          <w:sz w:val="28"/>
          <w:szCs w:val="28"/>
        </w:rPr>
        <w:t xml:space="preserve">L’esistenza di “tutele parallele” ed “interessi differenziati” si riflette nel contenuto del piano regolatore generale il quale reca accanto alle prescrizioni autonome </w:t>
      </w:r>
      <w:r w:rsidRPr="003238BE">
        <w:rPr>
          <w:rFonts w:ascii="Times New Roman" w:hAnsi="Times New Roman" w:cs="Times New Roman"/>
          <w:sz w:val="28"/>
          <w:szCs w:val="28"/>
        </w:rPr>
        <w:lastRenderedPageBreak/>
        <w:t xml:space="preserve">(comprensive </w:t>
      </w:r>
      <w:r w:rsidR="008A5888">
        <w:rPr>
          <w:rFonts w:ascii="Times New Roman" w:hAnsi="Times New Roman" w:cs="Times New Roman"/>
          <w:sz w:val="28"/>
          <w:szCs w:val="28"/>
        </w:rPr>
        <w:t xml:space="preserve">anche </w:t>
      </w:r>
      <w:r w:rsidRPr="003238BE">
        <w:rPr>
          <w:rFonts w:ascii="Times New Roman" w:hAnsi="Times New Roman" w:cs="Times New Roman"/>
          <w:sz w:val="28"/>
          <w:szCs w:val="28"/>
        </w:rPr>
        <w:t>del recepimento dei piani urbanistici territoriali di livello sovraordinato), le prescrizioni c.d. eteronome in quanto costituite da atti non appartenenti al sistema della pianificazione territoriale.</w:t>
      </w:r>
      <w:r w:rsidR="00BF2469">
        <w:rPr>
          <w:rFonts w:ascii="Times New Roman" w:hAnsi="Times New Roman" w:cs="Times New Roman"/>
          <w:sz w:val="28"/>
          <w:szCs w:val="28"/>
        </w:rPr>
        <w:t xml:space="preserve"> </w:t>
      </w:r>
      <w:r w:rsidRPr="003238BE">
        <w:rPr>
          <w:rFonts w:ascii="Times New Roman" w:hAnsi="Times New Roman" w:cs="Times New Roman"/>
          <w:sz w:val="28"/>
          <w:szCs w:val="28"/>
        </w:rPr>
        <w:t>Tra i contenuti “autonomi” del piano urbanistico, aventi la funzione (anche) di garantire interessi ambientali, va ricordata la c.d. funzionalizzazione ambientale della tipizzazione delle zone agricole e a verde, pubblico o privato. Il giudice amministrativo si è spesso pronunciato sulla legittimità di tale impostazione, con la possibilità di attribuire al verde agricolo la duplice valenza di salvaguardia degli interessi connessi all’agricoltura e di tutela dei valori naturalistici al fine di assicurare le condizioni fisiche di rigenerazione ambientale nel territor</w:t>
      </w:r>
      <w:r w:rsidR="00FE1F13">
        <w:rPr>
          <w:rFonts w:ascii="Times New Roman" w:hAnsi="Times New Roman" w:cs="Times New Roman"/>
          <w:sz w:val="28"/>
          <w:szCs w:val="28"/>
        </w:rPr>
        <w:t>io urbanizzato o per impedire l’</w:t>
      </w:r>
      <w:r w:rsidRPr="003238BE">
        <w:rPr>
          <w:rFonts w:ascii="Times New Roman" w:hAnsi="Times New Roman" w:cs="Times New Roman"/>
          <w:sz w:val="28"/>
          <w:szCs w:val="28"/>
        </w:rPr>
        <w:t>ulteriore uso residenziale di una zona di particolare pregio paesistico</w:t>
      </w:r>
      <w:r w:rsidRPr="003238BE">
        <w:rPr>
          <w:rStyle w:val="Rimandonotaapidipagina"/>
          <w:rFonts w:ascii="Times New Roman" w:hAnsi="Times New Roman" w:cs="Times New Roman"/>
          <w:sz w:val="28"/>
          <w:szCs w:val="28"/>
        </w:rPr>
        <w:footnoteReference w:id="32"/>
      </w:r>
      <w:r w:rsidRPr="003238BE">
        <w:rPr>
          <w:rFonts w:ascii="Times New Roman" w:hAnsi="Times New Roman" w:cs="Times New Roman"/>
          <w:sz w:val="28"/>
          <w:szCs w:val="28"/>
        </w:rPr>
        <w:t>.</w:t>
      </w:r>
    </w:p>
    <w:p w:rsidR="00B30A8E" w:rsidRPr="003238BE" w:rsidRDefault="00B30A8E" w:rsidP="00B30A8E">
      <w:pPr>
        <w:jc w:val="both"/>
        <w:rPr>
          <w:rFonts w:ascii="Times New Roman" w:hAnsi="Times New Roman" w:cs="Times New Roman"/>
          <w:sz w:val="28"/>
          <w:szCs w:val="28"/>
        </w:rPr>
      </w:pPr>
      <w:r w:rsidRPr="003238BE">
        <w:rPr>
          <w:rFonts w:ascii="Times New Roman" w:hAnsi="Times New Roman" w:cs="Times New Roman"/>
          <w:sz w:val="28"/>
          <w:szCs w:val="28"/>
        </w:rPr>
        <w:t>Il giudice amministrativo si è pronunciato anche in merito ai c.d. vincoli ambientali e culturali urbanistici</w:t>
      </w:r>
      <w:r w:rsidRPr="003238BE">
        <w:rPr>
          <w:rStyle w:val="Rimandonotaapidipagina"/>
          <w:rFonts w:ascii="Times New Roman" w:hAnsi="Times New Roman" w:cs="Times New Roman"/>
          <w:sz w:val="28"/>
          <w:szCs w:val="28"/>
        </w:rPr>
        <w:footnoteReference w:id="33"/>
      </w:r>
      <w:r w:rsidRPr="003238BE">
        <w:rPr>
          <w:rFonts w:ascii="Times New Roman" w:hAnsi="Times New Roman" w:cs="Times New Roman"/>
          <w:sz w:val="28"/>
          <w:szCs w:val="28"/>
        </w:rPr>
        <w:t>, affermando ad esempio la legittimità di un piano comunale recante la disciplina di utilizzazione dei fabb</w:t>
      </w:r>
      <w:r w:rsidR="00FA2AC0">
        <w:rPr>
          <w:rFonts w:ascii="Times New Roman" w:hAnsi="Times New Roman" w:cs="Times New Roman"/>
          <w:sz w:val="28"/>
          <w:szCs w:val="28"/>
        </w:rPr>
        <w:t>ricati del nucleo centrale del c</w:t>
      </w:r>
      <w:r w:rsidRPr="003238BE">
        <w:rPr>
          <w:rFonts w:ascii="Times New Roman" w:hAnsi="Times New Roman" w:cs="Times New Roman"/>
          <w:sz w:val="28"/>
          <w:szCs w:val="28"/>
        </w:rPr>
        <w:t xml:space="preserve">entro </w:t>
      </w:r>
      <w:r w:rsidR="00FA2AC0">
        <w:rPr>
          <w:rFonts w:ascii="Times New Roman" w:hAnsi="Times New Roman" w:cs="Times New Roman"/>
          <w:sz w:val="28"/>
          <w:szCs w:val="28"/>
        </w:rPr>
        <w:t>s</w:t>
      </w:r>
      <w:r w:rsidRPr="003238BE">
        <w:rPr>
          <w:rFonts w:ascii="Times New Roman" w:hAnsi="Times New Roman" w:cs="Times New Roman"/>
          <w:sz w:val="28"/>
          <w:szCs w:val="28"/>
        </w:rPr>
        <w:t>torico, finalizza alla “</w:t>
      </w:r>
      <w:r w:rsidRPr="003238BE">
        <w:rPr>
          <w:rFonts w:ascii="Times New Roman" w:hAnsi="Times New Roman" w:cs="Times New Roman"/>
          <w:i/>
          <w:sz w:val="28"/>
          <w:szCs w:val="28"/>
        </w:rPr>
        <w:t>tutela e valorizzazione delle testimonianze identitarie del paesaggio “storico”, con finalità di conservazione di “locali tipici</w:t>
      </w:r>
      <w:r w:rsidRPr="003238BE">
        <w:rPr>
          <w:rFonts w:ascii="Times New Roman" w:hAnsi="Times New Roman" w:cs="Times New Roman"/>
          <w:sz w:val="28"/>
          <w:szCs w:val="28"/>
        </w:rPr>
        <w:t>”.  Secondo il Consiglio di Stato “</w:t>
      </w:r>
      <w:r w:rsidRPr="003238BE">
        <w:rPr>
          <w:rFonts w:ascii="Times New Roman" w:hAnsi="Times New Roman" w:cs="Times New Roman"/>
          <w:i/>
          <w:sz w:val="28"/>
          <w:szCs w:val="28"/>
        </w:rPr>
        <w:t>è ben possibile che un bene, pur privo in sé di valenza culturale, rivesta una oggettiva centralità identitaria per una città e sia traguardato dagli abitanti (e dagli appositi organi elettivi comunali), come elemento idoneo a rappresentarne il passato ed a veicolare fisicamente i trascorsi</w:t>
      </w:r>
      <w:r w:rsidRPr="003238BE">
        <w:rPr>
          <w:rFonts w:ascii="Times New Roman" w:hAnsi="Times New Roman" w:cs="Times New Roman"/>
          <w:sz w:val="28"/>
          <w:szCs w:val="28"/>
        </w:rPr>
        <w:t xml:space="preserve">”. </w:t>
      </w:r>
      <w:r w:rsidRPr="00845A7D">
        <w:rPr>
          <w:rFonts w:ascii="Times New Roman" w:hAnsi="Times New Roman" w:cs="Times New Roman"/>
          <w:sz w:val="28"/>
          <w:szCs w:val="28"/>
        </w:rPr>
        <w:t xml:space="preserve">Il P.R.G. può infatti recare previsioni vincolistiche incidenti anche su singoli edifici ogni volta che tale scelta si appalesi come rivolta non già alla tutela autonoma dell’immobile </w:t>
      </w:r>
      <w:r w:rsidRPr="00FE1F13">
        <w:rPr>
          <w:rFonts w:ascii="Times New Roman" w:hAnsi="Times New Roman" w:cs="Times New Roman"/>
          <w:i/>
          <w:sz w:val="28"/>
          <w:szCs w:val="28"/>
        </w:rPr>
        <w:t>ex se</w:t>
      </w:r>
      <w:r w:rsidRPr="00845A7D">
        <w:rPr>
          <w:rFonts w:ascii="Times New Roman" w:hAnsi="Times New Roman" w:cs="Times New Roman"/>
          <w:sz w:val="28"/>
          <w:szCs w:val="28"/>
        </w:rPr>
        <w:t xml:space="preserve"> considerato bensì al soddisfacimento di esigenze urbanistiche evidenziate dal carattere qualificante che il singolo immobile assume nel contesto dell’assetto territoriale. In tale ipotesi, infatti, non si realizza una duplicazione rispetto alla sfera di azione della legislazione statale di settore in quanto il pregio del bene, pur se non sufficiente al fine di giustificare l’adozione di un provvedimento impositivo di vincolo culturale o paesaggistico, viene valutato come elemento di particolare valore urbanistico e può quindi costituire oggetto di salvaguardia in sede di scelte pianificatorie</w:t>
      </w:r>
      <w:r w:rsidR="00FE1F13">
        <w:rPr>
          <w:rFonts w:ascii="Times New Roman" w:hAnsi="Times New Roman" w:cs="Times New Roman"/>
          <w:sz w:val="28"/>
          <w:szCs w:val="28"/>
        </w:rPr>
        <w:t xml:space="preserve">. </w:t>
      </w:r>
      <w:r w:rsidRPr="003238BE">
        <w:rPr>
          <w:rFonts w:ascii="Times New Roman" w:hAnsi="Times New Roman" w:cs="Times New Roman"/>
          <w:sz w:val="28"/>
          <w:szCs w:val="28"/>
        </w:rPr>
        <w:t>Tale indirizzo si fonda sulla norma che, a partire dagli anni Sessanta del secolo scorso, ha esteso il contenuto del piano regolatore generale anche all’indicazione dei “</w:t>
      </w:r>
      <w:r w:rsidRPr="003238BE">
        <w:rPr>
          <w:rFonts w:ascii="Times New Roman" w:hAnsi="Times New Roman" w:cs="Times New Roman"/>
          <w:i/>
          <w:sz w:val="28"/>
          <w:szCs w:val="28"/>
        </w:rPr>
        <w:t>vincoli da osservare nelle zone a carattere storico, ambientale e paesistico</w:t>
      </w:r>
      <w:r w:rsidRPr="003238BE">
        <w:rPr>
          <w:rFonts w:ascii="Times New Roman" w:hAnsi="Times New Roman" w:cs="Times New Roman"/>
          <w:sz w:val="28"/>
          <w:szCs w:val="28"/>
        </w:rPr>
        <w:t>” (art. 1 della l. n. 1187 del 1968). Essa legittima l’autorità titolare del potere di pianificazione urbanistica a valutare autonomamente tali interessi ed eventualmente, nel rispetto dei vin</w:t>
      </w:r>
      <w:r w:rsidR="00B120A2">
        <w:rPr>
          <w:rFonts w:ascii="Times New Roman" w:hAnsi="Times New Roman" w:cs="Times New Roman"/>
          <w:sz w:val="28"/>
          <w:szCs w:val="28"/>
        </w:rPr>
        <w:t>coli già esistenti posti dalle A</w:t>
      </w:r>
      <w:r w:rsidRPr="003238BE">
        <w:rPr>
          <w:rFonts w:ascii="Times New Roman" w:hAnsi="Times New Roman" w:cs="Times New Roman"/>
          <w:sz w:val="28"/>
          <w:szCs w:val="28"/>
        </w:rPr>
        <w:t>mministrazioni competenti, ad imporre nuove e ulteriori limitazioni</w:t>
      </w:r>
      <w:r w:rsidRPr="003238BE">
        <w:rPr>
          <w:rStyle w:val="Rimandonotaapidipagina"/>
          <w:rFonts w:ascii="Times New Roman" w:hAnsi="Times New Roman" w:cs="Times New Roman"/>
          <w:sz w:val="28"/>
          <w:szCs w:val="28"/>
        </w:rPr>
        <w:footnoteReference w:id="34"/>
      </w:r>
      <w:r w:rsidRPr="003238BE">
        <w:rPr>
          <w:rFonts w:ascii="Times New Roman" w:hAnsi="Times New Roman" w:cs="Times New Roman"/>
          <w:sz w:val="28"/>
          <w:szCs w:val="28"/>
        </w:rPr>
        <w:t xml:space="preserve">. </w:t>
      </w:r>
    </w:p>
    <w:p w:rsidR="00B30A8E" w:rsidRPr="003238BE" w:rsidRDefault="00B30A8E" w:rsidP="00B30A8E">
      <w:pPr>
        <w:jc w:val="both"/>
        <w:rPr>
          <w:rFonts w:ascii="Times New Roman" w:hAnsi="Times New Roman" w:cs="Times New Roman"/>
          <w:sz w:val="28"/>
          <w:szCs w:val="28"/>
        </w:rPr>
      </w:pPr>
      <w:r w:rsidRPr="003238BE">
        <w:rPr>
          <w:rFonts w:ascii="Times New Roman" w:hAnsi="Times New Roman" w:cs="Times New Roman"/>
          <w:sz w:val="28"/>
          <w:szCs w:val="28"/>
        </w:rPr>
        <w:lastRenderedPageBreak/>
        <w:t>Gli interessi “differenziati” sono oggi correlati anche agli impegni assunti dallo Stato italiano in ambito sovranazionale al fine di garantire, nel decidere del proprio territorio, la tutela di determinati interessi relativi alla sopravvivenza di fauna e flora minacciate dal comportamento umano, nonché la tutela di determinati beni paesistici e culturali</w:t>
      </w:r>
      <w:r w:rsidRPr="003238BE">
        <w:rPr>
          <w:rStyle w:val="Rimandonotaapidipagina"/>
          <w:rFonts w:ascii="Times New Roman" w:hAnsi="Times New Roman" w:cs="Times New Roman"/>
          <w:sz w:val="28"/>
          <w:szCs w:val="28"/>
        </w:rPr>
        <w:footnoteReference w:id="35"/>
      </w:r>
      <w:r w:rsidRPr="003238BE">
        <w:rPr>
          <w:rFonts w:ascii="Times New Roman" w:hAnsi="Times New Roman" w:cs="Times New Roman"/>
          <w:sz w:val="28"/>
          <w:szCs w:val="28"/>
        </w:rPr>
        <w:t>.</w:t>
      </w:r>
    </w:p>
    <w:p w:rsidR="00B30A8E" w:rsidRPr="00845A7D" w:rsidRDefault="00B30A8E" w:rsidP="00B30A8E">
      <w:pPr>
        <w:jc w:val="both"/>
        <w:rPr>
          <w:rFonts w:ascii="Times New Roman" w:hAnsi="Times New Roman" w:cs="Times New Roman"/>
          <w:sz w:val="28"/>
          <w:szCs w:val="28"/>
        </w:rPr>
      </w:pPr>
      <w:r w:rsidRPr="003238BE">
        <w:rPr>
          <w:rFonts w:ascii="Times New Roman" w:hAnsi="Times New Roman" w:cs="Times New Roman"/>
          <w:sz w:val="28"/>
          <w:szCs w:val="28"/>
        </w:rPr>
        <w:t>Al quadro testé delineato va infine aggiunto l’obbligo di effettuare, per tutti i piani che sono elaborati nei settori “</w:t>
      </w:r>
      <w:r w:rsidRPr="003238BE">
        <w:rPr>
          <w:rFonts w:ascii="Times New Roman" w:hAnsi="Times New Roman" w:cs="Times New Roman"/>
          <w:i/>
          <w:sz w:val="28"/>
          <w:szCs w:val="28"/>
        </w:rPr>
        <w:t>della pianificazione territoriale o della destinazione dei suoli,</w:t>
      </w:r>
      <w:r w:rsidRPr="00845A7D">
        <w:rPr>
          <w:rFonts w:ascii="Times New Roman" w:hAnsi="Times New Roman" w:cs="Times New Roman"/>
          <w:i/>
          <w:sz w:val="28"/>
          <w:szCs w:val="28"/>
        </w:rPr>
        <w:t xml:space="preserve"> e che definiscono il quadro di riferimento per l'approvazione, l'autorizzazione, l'area di localizzazione o comunque la realizzazione dei progetti elencati negli allegati II, II-bis, III e IV del presente decreto</w:t>
      </w:r>
      <w:r w:rsidRPr="00845A7D">
        <w:rPr>
          <w:rFonts w:ascii="Times New Roman" w:hAnsi="Times New Roman" w:cs="Times New Roman"/>
          <w:sz w:val="28"/>
          <w:szCs w:val="28"/>
        </w:rPr>
        <w:t xml:space="preserve">” </w:t>
      </w:r>
      <w:r w:rsidRPr="003238BE">
        <w:rPr>
          <w:rFonts w:ascii="Times New Roman" w:hAnsi="Times New Roman" w:cs="Times New Roman"/>
          <w:sz w:val="28"/>
          <w:szCs w:val="28"/>
        </w:rPr>
        <w:t>la valutazione ambientale strategica, disciplina</w:t>
      </w:r>
      <w:r w:rsidR="00FE1F13">
        <w:rPr>
          <w:rFonts w:ascii="Times New Roman" w:hAnsi="Times New Roman" w:cs="Times New Roman"/>
          <w:sz w:val="28"/>
          <w:szCs w:val="28"/>
        </w:rPr>
        <w:t>ta</w:t>
      </w:r>
      <w:r w:rsidRPr="003238BE">
        <w:rPr>
          <w:rFonts w:ascii="Times New Roman" w:hAnsi="Times New Roman" w:cs="Times New Roman"/>
          <w:sz w:val="28"/>
          <w:szCs w:val="28"/>
        </w:rPr>
        <w:t xml:space="preserve"> dal Codice dell’Ambiente in attuaz</w:t>
      </w:r>
      <w:r w:rsidR="003238BE">
        <w:rPr>
          <w:rFonts w:ascii="Times New Roman" w:hAnsi="Times New Roman" w:cs="Times New Roman"/>
          <w:sz w:val="28"/>
          <w:szCs w:val="28"/>
        </w:rPr>
        <w:t>ione della direttiva 2001/42/CE (art. 6 del d.lgs. n. 152 del 2006).</w:t>
      </w:r>
      <w:r w:rsidR="0042596C">
        <w:rPr>
          <w:rFonts w:ascii="Times New Roman" w:hAnsi="Times New Roman" w:cs="Times New Roman"/>
          <w:sz w:val="28"/>
          <w:szCs w:val="28"/>
        </w:rPr>
        <w:t xml:space="preserve"> </w:t>
      </w:r>
      <w:r w:rsidRPr="003238BE">
        <w:rPr>
          <w:rFonts w:ascii="Times New Roman" w:hAnsi="Times New Roman" w:cs="Times New Roman"/>
          <w:sz w:val="28"/>
          <w:szCs w:val="28"/>
        </w:rPr>
        <w:t>Essa costituisce un atto di valutazione interno al procedimento di pianificazione, cioè una valutazione degli effetti ambientali conseguenti all’esecuzione delle previsioni ivi contenute. La VAS ha la finalità di assicurare che l’attività</w:t>
      </w:r>
      <w:r w:rsidRPr="00866272">
        <w:rPr>
          <w:rFonts w:ascii="Times New Roman" w:hAnsi="Times New Roman" w:cs="Times New Roman"/>
          <w:b/>
          <w:sz w:val="28"/>
          <w:szCs w:val="28"/>
        </w:rPr>
        <w:t xml:space="preserve"> </w:t>
      </w:r>
      <w:r w:rsidRPr="003238BE">
        <w:rPr>
          <w:rFonts w:ascii="Times New Roman" w:hAnsi="Times New Roman" w:cs="Times New Roman"/>
          <w:sz w:val="28"/>
          <w:szCs w:val="28"/>
        </w:rPr>
        <w:t>antropica sia compatibile</w:t>
      </w:r>
      <w:r w:rsidRPr="00866272">
        <w:rPr>
          <w:rFonts w:ascii="Times New Roman" w:hAnsi="Times New Roman" w:cs="Times New Roman"/>
          <w:b/>
          <w:sz w:val="28"/>
          <w:szCs w:val="28"/>
        </w:rPr>
        <w:t xml:space="preserve"> </w:t>
      </w:r>
      <w:r w:rsidRPr="003238BE">
        <w:rPr>
          <w:rFonts w:ascii="Times New Roman" w:hAnsi="Times New Roman" w:cs="Times New Roman"/>
          <w:sz w:val="28"/>
          <w:szCs w:val="28"/>
        </w:rPr>
        <w:t>con le condizioni per uno sviluppo sostenibile</w:t>
      </w:r>
      <w:r w:rsidRPr="00845A7D">
        <w:rPr>
          <w:rFonts w:ascii="Times New Roman" w:hAnsi="Times New Roman" w:cs="Times New Roman"/>
          <w:sz w:val="28"/>
          <w:szCs w:val="28"/>
        </w:rPr>
        <w:t xml:space="preserve">, e quindi nel rispetto della capacità rigenerativa degli ecosistemi e delle risorse, della salvaguardia della biodiversità e di un’equa distribuzione dei vantaggi connessi all’attività economica. </w:t>
      </w:r>
      <w:r w:rsidRPr="003238BE">
        <w:rPr>
          <w:rFonts w:ascii="Times New Roman" w:hAnsi="Times New Roman" w:cs="Times New Roman"/>
          <w:sz w:val="28"/>
          <w:szCs w:val="28"/>
        </w:rPr>
        <w:t>I risu</w:t>
      </w:r>
      <w:r w:rsidR="0042596C">
        <w:rPr>
          <w:rFonts w:ascii="Times New Roman" w:hAnsi="Times New Roman" w:cs="Times New Roman"/>
          <w:sz w:val="28"/>
          <w:szCs w:val="28"/>
        </w:rPr>
        <w:t>ltati della VAS debbono essere integrati</w:t>
      </w:r>
      <w:r w:rsidRPr="003238BE">
        <w:rPr>
          <w:rFonts w:ascii="Times New Roman" w:hAnsi="Times New Roman" w:cs="Times New Roman"/>
          <w:sz w:val="28"/>
          <w:szCs w:val="28"/>
        </w:rPr>
        <w:t xml:space="preserve"> nel processo decisionale con la conseguenza che tale valutazione costituisce non già un procedimento o subprocedimento autonomo ma un passaggio endoprocedimentale </w:t>
      </w:r>
      <w:r w:rsidR="00845AC2">
        <w:rPr>
          <w:rFonts w:ascii="Times New Roman" w:hAnsi="Times New Roman" w:cs="Times New Roman"/>
          <w:sz w:val="28"/>
          <w:szCs w:val="28"/>
        </w:rPr>
        <w:t xml:space="preserve">della formazione del piano, </w:t>
      </w:r>
      <w:r w:rsidRPr="003238BE">
        <w:rPr>
          <w:rFonts w:ascii="Times New Roman" w:hAnsi="Times New Roman" w:cs="Times New Roman"/>
          <w:sz w:val="28"/>
          <w:szCs w:val="28"/>
        </w:rPr>
        <w:t xml:space="preserve">concretantesi nell’espressione di un </w:t>
      </w:r>
      <w:r w:rsidR="0042596C">
        <w:rPr>
          <w:rFonts w:ascii="Times New Roman" w:hAnsi="Times New Roman" w:cs="Times New Roman"/>
          <w:sz w:val="28"/>
          <w:szCs w:val="28"/>
        </w:rPr>
        <w:t>parere</w:t>
      </w:r>
      <w:r w:rsidRPr="003238BE">
        <w:rPr>
          <w:rFonts w:ascii="Times New Roman" w:hAnsi="Times New Roman" w:cs="Times New Roman"/>
          <w:sz w:val="28"/>
          <w:szCs w:val="28"/>
        </w:rPr>
        <w:t xml:space="preserve"> che riflette la verifica di sostenibilità ambientale della pianificazione medesima</w:t>
      </w:r>
      <w:r w:rsidRPr="00845A7D">
        <w:rPr>
          <w:rStyle w:val="Rimandonotaapidipagina"/>
          <w:rFonts w:ascii="Times New Roman" w:hAnsi="Times New Roman" w:cs="Times New Roman"/>
          <w:sz w:val="28"/>
          <w:szCs w:val="28"/>
        </w:rPr>
        <w:footnoteReference w:id="36"/>
      </w:r>
      <w:r w:rsidRPr="00845A7D">
        <w:rPr>
          <w:rFonts w:ascii="Times New Roman" w:hAnsi="Times New Roman" w:cs="Times New Roman"/>
          <w:sz w:val="28"/>
          <w:szCs w:val="28"/>
        </w:rPr>
        <w:t>.</w:t>
      </w:r>
      <w:r w:rsidR="00FE1F13">
        <w:rPr>
          <w:rFonts w:ascii="Times New Roman" w:hAnsi="Times New Roman" w:cs="Times New Roman"/>
          <w:sz w:val="28"/>
          <w:szCs w:val="28"/>
        </w:rPr>
        <w:t xml:space="preserve"> </w:t>
      </w:r>
      <w:r w:rsidRPr="00845A7D">
        <w:rPr>
          <w:rFonts w:ascii="Times New Roman" w:hAnsi="Times New Roman" w:cs="Times New Roman"/>
          <w:sz w:val="28"/>
          <w:szCs w:val="28"/>
        </w:rPr>
        <w:t>Co</w:t>
      </w:r>
      <w:r w:rsidR="00CC5460">
        <w:rPr>
          <w:rFonts w:ascii="Times New Roman" w:hAnsi="Times New Roman" w:cs="Times New Roman"/>
          <w:sz w:val="28"/>
          <w:szCs w:val="28"/>
        </w:rPr>
        <w:t>n la VAS si passa quindi dalla conformità</w:t>
      </w:r>
      <w:r w:rsidRPr="00845A7D">
        <w:rPr>
          <w:rFonts w:ascii="Times New Roman" w:hAnsi="Times New Roman" w:cs="Times New Roman"/>
          <w:sz w:val="28"/>
          <w:szCs w:val="28"/>
        </w:rPr>
        <w:t xml:space="preserve"> del piano urbanistico rispetto a disposizioni contenute in altri piani di settore ovvero di un piano rispetto ad un altro – nell’ottica sopra richiamata </w:t>
      </w:r>
      <w:r w:rsidR="00CC5460">
        <w:rPr>
          <w:rFonts w:ascii="Times New Roman" w:hAnsi="Times New Roman" w:cs="Times New Roman"/>
          <w:sz w:val="28"/>
          <w:szCs w:val="28"/>
        </w:rPr>
        <w:lastRenderedPageBreak/>
        <w:t>delle tutele parallele</w:t>
      </w:r>
      <w:r w:rsidRPr="00845A7D">
        <w:rPr>
          <w:rFonts w:ascii="Times New Roman" w:hAnsi="Times New Roman" w:cs="Times New Roman"/>
          <w:sz w:val="28"/>
          <w:szCs w:val="28"/>
        </w:rPr>
        <w:t xml:space="preserve"> - alla “compatibilità” di tutti gli interess</w:t>
      </w:r>
      <w:r>
        <w:rPr>
          <w:rFonts w:ascii="Times New Roman" w:hAnsi="Times New Roman" w:cs="Times New Roman"/>
          <w:sz w:val="28"/>
          <w:szCs w:val="28"/>
        </w:rPr>
        <w:t>i coinvolti dall</w:t>
      </w:r>
      <w:r w:rsidR="00CB09FC">
        <w:rPr>
          <w:rFonts w:ascii="Times New Roman" w:hAnsi="Times New Roman" w:cs="Times New Roman"/>
          <w:sz w:val="28"/>
          <w:szCs w:val="28"/>
        </w:rPr>
        <w:t>a</w:t>
      </w:r>
      <w:r>
        <w:rPr>
          <w:rFonts w:ascii="Times New Roman" w:hAnsi="Times New Roman" w:cs="Times New Roman"/>
          <w:sz w:val="28"/>
          <w:szCs w:val="28"/>
        </w:rPr>
        <w:t xml:space="preserve"> pianificazione</w:t>
      </w:r>
      <w:r w:rsidRPr="00845A7D">
        <w:rPr>
          <w:rStyle w:val="Rimandonotaapidipagina"/>
          <w:rFonts w:ascii="Times New Roman" w:hAnsi="Times New Roman" w:cs="Times New Roman"/>
          <w:sz w:val="28"/>
          <w:szCs w:val="28"/>
        </w:rPr>
        <w:footnoteReference w:id="37"/>
      </w:r>
      <w:r w:rsidRPr="00845A7D">
        <w:rPr>
          <w:rFonts w:ascii="Times New Roman" w:hAnsi="Times New Roman" w:cs="Times New Roman"/>
          <w:sz w:val="28"/>
          <w:szCs w:val="28"/>
        </w:rPr>
        <w:t>.</w:t>
      </w:r>
    </w:p>
    <w:p w:rsidR="00B30A8E" w:rsidRPr="00845A7D" w:rsidRDefault="00B30A8E" w:rsidP="00B30A8E">
      <w:pPr>
        <w:jc w:val="both"/>
        <w:rPr>
          <w:rFonts w:ascii="Times New Roman" w:hAnsi="Times New Roman" w:cs="Times New Roman"/>
          <w:sz w:val="28"/>
          <w:szCs w:val="28"/>
        </w:rPr>
      </w:pPr>
    </w:p>
    <w:p w:rsidR="00B30A8E" w:rsidRPr="00845A7D" w:rsidRDefault="00B30A8E" w:rsidP="00B30A8E">
      <w:pPr>
        <w:rPr>
          <w:rFonts w:ascii="Times New Roman" w:hAnsi="Times New Roman" w:cs="Times New Roman"/>
          <w:b/>
          <w:sz w:val="28"/>
          <w:szCs w:val="28"/>
        </w:rPr>
      </w:pPr>
      <w:r w:rsidRPr="00845A7D">
        <w:rPr>
          <w:rFonts w:ascii="Times New Roman" w:hAnsi="Times New Roman" w:cs="Times New Roman"/>
          <w:b/>
          <w:sz w:val="28"/>
          <w:szCs w:val="28"/>
        </w:rPr>
        <w:t>3.</w:t>
      </w:r>
      <w:r w:rsidRPr="00845A7D">
        <w:rPr>
          <w:rFonts w:ascii="Times New Roman" w:hAnsi="Times New Roman" w:cs="Times New Roman"/>
          <w:b/>
          <w:sz w:val="28"/>
          <w:szCs w:val="28"/>
        </w:rPr>
        <w:tab/>
        <w:t>Disciplina statale di principio, gerarchia e coordinamento degli interessi.</w:t>
      </w:r>
    </w:p>
    <w:p w:rsidR="00B30A8E" w:rsidRPr="00845A7D" w:rsidRDefault="00B30A8E" w:rsidP="00B30A8E">
      <w:pPr>
        <w:jc w:val="both"/>
        <w:rPr>
          <w:rFonts w:ascii="Times New Roman" w:hAnsi="Times New Roman" w:cs="Times New Roman"/>
          <w:sz w:val="28"/>
          <w:szCs w:val="28"/>
        </w:rPr>
      </w:pPr>
      <w:r w:rsidRPr="003238BE">
        <w:rPr>
          <w:rFonts w:ascii="Times New Roman" w:hAnsi="Times New Roman" w:cs="Times New Roman"/>
          <w:sz w:val="28"/>
          <w:szCs w:val="28"/>
        </w:rPr>
        <w:t>Il governo d</w:t>
      </w:r>
      <w:r w:rsidR="0018598A">
        <w:rPr>
          <w:rFonts w:ascii="Times New Roman" w:hAnsi="Times New Roman" w:cs="Times New Roman"/>
          <w:sz w:val="28"/>
          <w:szCs w:val="28"/>
        </w:rPr>
        <w:t xml:space="preserve">el territorio è divenuto </w:t>
      </w:r>
      <w:r w:rsidRPr="003238BE">
        <w:rPr>
          <w:rFonts w:ascii="Times New Roman" w:hAnsi="Times New Roman" w:cs="Times New Roman"/>
          <w:sz w:val="28"/>
          <w:szCs w:val="28"/>
        </w:rPr>
        <w:t xml:space="preserve">il punto di intersezione di discipline distinte che vanno a comporre un mosaico </w:t>
      </w:r>
      <w:r w:rsidR="00AE7643">
        <w:rPr>
          <w:rFonts w:ascii="Times New Roman" w:hAnsi="Times New Roman" w:cs="Times New Roman"/>
          <w:sz w:val="28"/>
          <w:szCs w:val="28"/>
        </w:rPr>
        <w:t>c</w:t>
      </w:r>
      <w:r w:rsidRPr="003238BE">
        <w:rPr>
          <w:rFonts w:ascii="Times New Roman" w:hAnsi="Times New Roman" w:cs="Times New Roman"/>
          <w:sz w:val="28"/>
          <w:szCs w:val="28"/>
        </w:rPr>
        <w:t>omplesso. L’equilibrio tra urbanistica e discipline differenziate passa attraverso il continuo raccordo tra le competenze normative ed amministrative dei diversi livelli di governo</w:t>
      </w:r>
      <w:r w:rsidRPr="00845A7D">
        <w:rPr>
          <w:rStyle w:val="Rimandonotaapidipagina"/>
          <w:rFonts w:ascii="Times New Roman" w:hAnsi="Times New Roman" w:cs="Times New Roman"/>
          <w:sz w:val="28"/>
          <w:szCs w:val="28"/>
        </w:rPr>
        <w:footnoteReference w:id="38"/>
      </w:r>
      <w:r w:rsidRPr="00845A7D">
        <w:rPr>
          <w:rFonts w:ascii="Times New Roman" w:hAnsi="Times New Roman" w:cs="Times New Roman"/>
          <w:sz w:val="28"/>
          <w:szCs w:val="28"/>
        </w:rPr>
        <w:t>.</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 xml:space="preserve">Dal punto di vista normativo, la Corte costituzionale ha </w:t>
      </w:r>
      <w:r w:rsidR="003238BE">
        <w:rPr>
          <w:rFonts w:ascii="Times New Roman" w:hAnsi="Times New Roman" w:cs="Times New Roman"/>
          <w:sz w:val="28"/>
          <w:szCs w:val="28"/>
        </w:rPr>
        <w:t xml:space="preserve">stabilito che </w:t>
      </w:r>
      <w:r w:rsidRPr="00845A7D">
        <w:rPr>
          <w:rFonts w:ascii="Times New Roman" w:hAnsi="Times New Roman" w:cs="Times New Roman"/>
          <w:sz w:val="28"/>
          <w:szCs w:val="28"/>
        </w:rPr>
        <w:t>il corretto riparto di potestà legi</w:t>
      </w:r>
      <w:r w:rsidR="003238BE">
        <w:rPr>
          <w:rFonts w:ascii="Times New Roman" w:hAnsi="Times New Roman" w:cs="Times New Roman"/>
          <w:sz w:val="28"/>
          <w:szCs w:val="28"/>
        </w:rPr>
        <w:t xml:space="preserve">slativa tra Stato e Regione </w:t>
      </w:r>
      <w:r w:rsidRPr="00845A7D">
        <w:rPr>
          <w:rFonts w:ascii="Times New Roman" w:hAnsi="Times New Roman" w:cs="Times New Roman"/>
          <w:sz w:val="28"/>
          <w:szCs w:val="28"/>
        </w:rPr>
        <w:t>deve essere identificato non secondo il criterio dell’elemento materiale consistente nell’incidenza delle attività sul territorio, bensì attraverso la valutazione dell’elemento funzionale, nel senso della individuazione degli interessi pubblici sottesi allo svolgimento di quelle attività</w:t>
      </w:r>
      <w:r w:rsidRPr="00845A7D">
        <w:rPr>
          <w:rStyle w:val="Rimandonotaapidipagina"/>
          <w:rFonts w:ascii="Times New Roman" w:hAnsi="Times New Roman" w:cs="Times New Roman"/>
          <w:sz w:val="28"/>
          <w:szCs w:val="28"/>
        </w:rPr>
        <w:footnoteReference w:id="39"/>
      </w:r>
      <w:r>
        <w:rPr>
          <w:rFonts w:ascii="Times New Roman" w:hAnsi="Times New Roman" w:cs="Times New Roman"/>
          <w:sz w:val="28"/>
          <w:szCs w:val="28"/>
        </w:rPr>
        <w:t>.</w:t>
      </w:r>
    </w:p>
    <w:p w:rsidR="00B30A8E" w:rsidRPr="003238BE" w:rsidRDefault="00B30A8E" w:rsidP="00B30A8E">
      <w:pPr>
        <w:jc w:val="both"/>
        <w:rPr>
          <w:rFonts w:ascii="Times New Roman" w:hAnsi="Times New Roman" w:cs="Times New Roman"/>
          <w:sz w:val="28"/>
          <w:szCs w:val="28"/>
        </w:rPr>
      </w:pPr>
      <w:r w:rsidRPr="003238BE">
        <w:rPr>
          <w:rFonts w:ascii="Times New Roman" w:hAnsi="Times New Roman" w:cs="Times New Roman"/>
          <w:sz w:val="28"/>
          <w:szCs w:val="28"/>
        </w:rPr>
        <w:t xml:space="preserve">Il principio di sussidiarietà verticale </w:t>
      </w:r>
      <w:r w:rsidR="00683689">
        <w:rPr>
          <w:rFonts w:ascii="Times New Roman" w:hAnsi="Times New Roman" w:cs="Times New Roman"/>
          <w:sz w:val="28"/>
          <w:szCs w:val="28"/>
        </w:rPr>
        <w:t xml:space="preserve">regola </w:t>
      </w:r>
      <w:r w:rsidRPr="003238BE">
        <w:rPr>
          <w:rFonts w:ascii="Times New Roman" w:hAnsi="Times New Roman" w:cs="Times New Roman"/>
          <w:sz w:val="28"/>
          <w:szCs w:val="28"/>
        </w:rPr>
        <w:t>il rapporto tra la riserva di funzioni regionali, nata dalla riforma del titolo V della Costituzione, e il potere dei Comuni di autodeterminarsi in ordine all’assetto e alla utili</w:t>
      </w:r>
      <w:r w:rsidR="00683689">
        <w:rPr>
          <w:rFonts w:ascii="Times New Roman" w:hAnsi="Times New Roman" w:cs="Times New Roman"/>
          <w:sz w:val="28"/>
          <w:szCs w:val="28"/>
        </w:rPr>
        <w:t>zzazione del proprio territorio.</w:t>
      </w:r>
      <w:r w:rsidRPr="003238BE">
        <w:rPr>
          <w:rFonts w:ascii="Times New Roman" w:hAnsi="Times New Roman" w:cs="Times New Roman"/>
          <w:sz w:val="28"/>
          <w:szCs w:val="28"/>
        </w:rPr>
        <w:t xml:space="preserve"> </w:t>
      </w:r>
      <w:r w:rsidR="00683689">
        <w:rPr>
          <w:rFonts w:ascii="Times New Roman" w:hAnsi="Times New Roman" w:cs="Times New Roman"/>
          <w:sz w:val="28"/>
          <w:szCs w:val="28"/>
        </w:rPr>
        <w:t xml:space="preserve">Il legislatore regionale, </w:t>
      </w:r>
      <w:r w:rsidRPr="003238BE">
        <w:rPr>
          <w:rFonts w:ascii="Times New Roman" w:hAnsi="Times New Roman" w:cs="Times New Roman"/>
          <w:sz w:val="28"/>
          <w:szCs w:val="28"/>
        </w:rPr>
        <w:t>nell’ambito d</w:t>
      </w:r>
      <w:r w:rsidR="00683689">
        <w:rPr>
          <w:rFonts w:ascii="Times New Roman" w:hAnsi="Times New Roman" w:cs="Times New Roman"/>
          <w:sz w:val="28"/>
          <w:szCs w:val="28"/>
        </w:rPr>
        <w:t xml:space="preserve">ella pianificazione urbanistica, interviene </w:t>
      </w:r>
      <w:r w:rsidRPr="003238BE">
        <w:rPr>
          <w:rFonts w:ascii="Times New Roman" w:hAnsi="Times New Roman" w:cs="Times New Roman"/>
          <w:sz w:val="28"/>
          <w:szCs w:val="28"/>
        </w:rPr>
        <w:t xml:space="preserve">quando </w:t>
      </w:r>
      <w:r w:rsidR="00B44102">
        <w:rPr>
          <w:rFonts w:ascii="Times New Roman" w:hAnsi="Times New Roman" w:cs="Times New Roman"/>
          <w:sz w:val="28"/>
          <w:szCs w:val="28"/>
        </w:rPr>
        <w:t xml:space="preserve">occorre </w:t>
      </w:r>
      <w:r w:rsidRPr="003238BE">
        <w:rPr>
          <w:rFonts w:ascii="Times New Roman" w:hAnsi="Times New Roman" w:cs="Times New Roman"/>
          <w:sz w:val="28"/>
          <w:szCs w:val="28"/>
        </w:rPr>
        <w:t>realizzare interessi di livello sovracomunale (Corte cost. n. 198 del 2019; n. 378 del 2000), con il limite</w:t>
      </w:r>
      <w:r w:rsidRPr="00866272">
        <w:rPr>
          <w:rFonts w:ascii="Times New Roman" w:hAnsi="Times New Roman" w:cs="Times New Roman"/>
          <w:b/>
          <w:sz w:val="28"/>
          <w:szCs w:val="28"/>
        </w:rPr>
        <w:t xml:space="preserve"> </w:t>
      </w:r>
      <w:r w:rsidRPr="003238BE">
        <w:rPr>
          <w:rFonts w:ascii="Times New Roman" w:hAnsi="Times New Roman" w:cs="Times New Roman"/>
          <w:sz w:val="28"/>
          <w:szCs w:val="28"/>
        </w:rPr>
        <w:t>del divieto</w:t>
      </w:r>
      <w:r w:rsidRPr="00845A7D">
        <w:rPr>
          <w:rFonts w:ascii="Times New Roman" w:hAnsi="Times New Roman" w:cs="Times New Roman"/>
          <w:sz w:val="28"/>
          <w:szCs w:val="28"/>
        </w:rPr>
        <w:t xml:space="preserve"> </w:t>
      </w:r>
      <w:r w:rsidRPr="003238BE">
        <w:rPr>
          <w:rFonts w:ascii="Times New Roman" w:hAnsi="Times New Roman" w:cs="Times New Roman"/>
          <w:sz w:val="28"/>
          <w:szCs w:val="28"/>
        </w:rPr>
        <w:t>di vanificazione dell’autonomia comunale (Corte cost. n. 83 del 1997; n. 212 del 1991)</w:t>
      </w:r>
      <w:r w:rsidRPr="003238BE">
        <w:rPr>
          <w:rStyle w:val="Rimandonotaapidipagina"/>
          <w:rFonts w:ascii="Times New Roman" w:hAnsi="Times New Roman" w:cs="Times New Roman"/>
          <w:sz w:val="28"/>
          <w:szCs w:val="28"/>
        </w:rPr>
        <w:footnoteReference w:id="40"/>
      </w:r>
      <w:r w:rsidRPr="003238BE">
        <w:rPr>
          <w:rFonts w:ascii="Times New Roman" w:hAnsi="Times New Roman" w:cs="Times New Roman"/>
          <w:sz w:val="28"/>
          <w:szCs w:val="28"/>
        </w:rPr>
        <w:t>.</w:t>
      </w:r>
    </w:p>
    <w:p w:rsidR="00B30A8E" w:rsidRPr="003238BE" w:rsidRDefault="00B30A8E" w:rsidP="00B30A8E">
      <w:pPr>
        <w:jc w:val="both"/>
        <w:rPr>
          <w:rFonts w:ascii="Times New Roman" w:hAnsi="Times New Roman" w:cs="Times New Roman"/>
          <w:sz w:val="28"/>
          <w:szCs w:val="28"/>
        </w:rPr>
      </w:pPr>
      <w:r w:rsidRPr="003238BE">
        <w:rPr>
          <w:rFonts w:ascii="Times New Roman" w:hAnsi="Times New Roman" w:cs="Times New Roman"/>
          <w:sz w:val="28"/>
          <w:szCs w:val="28"/>
        </w:rPr>
        <w:t xml:space="preserve">La soluzione del potenziale </w:t>
      </w:r>
      <w:r w:rsidR="003238BE">
        <w:rPr>
          <w:rFonts w:ascii="Times New Roman" w:hAnsi="Times New Roman" w:cs="Times New Roman"/>
          <w:sz w:val="28"/>
          <w:szCs w:val="28"/>
        </w:rPr>
        <w:t xml:space="preserve">conflitto </w:t>
      </w:r>
      <w:r w:rsidRPr="003238BE">
        <w:rPr>
          <w:rFonts w:ascii="Times New Roman" w:hAnsi="Times New Roman" w:cs="Times New Roman"/>
          <w:sz w:val="28"/>
          <w:szCs w:val="28"/>
        </w:rPr>
        <w:t>tra gli interessi che convergono sulla medesim</w:t>
      </w:r>
      <w:r w:rsidR="00BC06B6">
        <w:rPr>
          <w:rFonts w:ascii="Times New Roman" w:hAnsi="Times New Roman" w:cs="Times New Roman"/>
          <w:sz w:val="28"/>
          <w:szCs w:val="28"/>
        </w:rPr>
        <w:t>a area territoriale ha visto</w:t>
      </w:r>
      <w:r w:rsidRPr="003238BE">
        <w:rPr>
          <w:rFonts w:ascii="Times New Roman" w:hAnsi="Times New Roman" w:cs="Times New Roman"/>
          <w:sz w:val="28"/>
          <w:szCs w:val="28"/>
        </w:rPr>
        <w:t xml:space="preserve"> l’elaborazione di tecniche di regolazione m</w:t>
      </w:r>
      <w:r w:rsidR="00BC06B6">
        <w:rPr>
          <w:rFonts w:ascii="Times New Roman" w:hAnsi="Times New Roman" w:cs="Times New Roman"/>
          <w:sz w:val="28"/>
          <w:szCs w:val="28"/>
        </w:rPr>
        <w:t xml:space="preserve">odificatesi nel corso del tempo e divenute via via più </w:t>
      </w:r>
      <w:r w:rsidR="008339D2">
        <w:rPr>
          <w:rFonts w:ascii="Times New Roman" w:hAnsi="Times New Roman" w:cs="Times New Roman"/>
          <w:sz w:val="28"/>
          <w:szCs w:val="28"/>
        </w:rPr>
        <w:t>articolate</w:t>
      </w:r>
      <w:r w:rsidR="00BC06B6">
        <w:rPr>
          <w:rFonts w:ascii="Times New Roman" w:hAnsi="Times New Roman" w:cs="Times New Roman"/>
          <w:sz w:val="28"/>
          <w:szCs w:val="28"/>
        </w:rPr>
        <w:t>.</w:t>
      </w:r>
    </w:p>
    <w:p w:rsidR="00B30A8E" w:rsidRPr="003238BE" w:rsidRDefault="000A66C2" w:rsidP="00B30A8E">
      <w:pPr>
        <w:jc w:val="both"/>
        <w:rPr>
          <w:rFonts w:ascii="Times New Roman" w:hAnsi="Times New Roman" w:cs="Times New Roman"/>
          <w:sz w:val="28"/>
          <w:szCs w:val="28"/>
        </w:rPr>
      </w:pPr>
      <w:r>
        <w:rPr>
          <w:rFonts w:ascii="Times New Roman" w:hAnsi="Times New Roman" w:cs="Times New Roman"/>
          <w:sz w:val="28"/>
          <w:szCs w:val="28"/>
        </w:rPr>
        <w:t xml:space="preserve">La più risalente </w:t>
      </w:r>
      <w:r w:rsidR="00B30A8E" w:rsidRPr="003238BE">
        <w:rPr>
          <w:rFonts w:ascii="Times New Roman" w:hAnsi="Times New Roman" w:cs="Times New Roman"/>
          <w:sz w:val="28"/>
          <w:szCs w:val="28"/>
        </w:rPr>
        <w:t xml:space="preserve">forma </w:t>
      </w:r>
      <w:r w:rsidR="003238BE" w:rsidRPr="003238BE">
        <w:rPr>
          <w:rFonts w:ascii="Times New Roman" w:hAnsi="Times New Roman" w:cs="Times New Roman"/>
          <w:sz w:val="28"/>
          <w:szCs w:val="28"/>
        </w:rPr>
        <w:t xml:space="preserve">di regolazione è contenuta </w:t>
      </w:r>
      <w:r w:rsidR="00B30A8E" w:rsidRPr="003238BE">
        <w:rPr>
          <w:rFonts w:ascii="Times New Roman" w:hAnsi="Times New Roman" w:cs="Times New Roman"/>
          <w:sz w:val="28"/>
          <w:szCs w:val="28"/>
        </w:rPr>
        <w:t>nella stessa legge urbanistica che configura il piano regolatore, secondo la nota teoria di</w:t>
      </w:r>
      <w:r w:rsidR="008339D2">
        <w:rPr>
          <w:rFonts w:ascii="Times New Roman" w:hAnsi="Times New Roman" w:cs="Times New Roman"/>
          <w:sz w:val="28"/>
          <w:szCs w:val="28"/>
        </w:rPr>
        <w:t xml:space="preserve"> </w:t>
      </w:r>
      <w:r w:rsidR="00B30A8E" w:rsidRPr="003238BE">
        <w:rPr>
          <w:rFonts w:ascii="Times New Roman" w:hAnsi="Times New Roman" w:cs="Times New Roman"/>
          <w:sz w:val="28"/>
          <w:szCs w:val="28"/>
        </w:rPr>
        <w:t xml:space="preserve">Sandulli, come atto complesso </w:t>
      </w:r>
      <w:r w:rsidR="00AE66F7">
        <w:rPr>
          <w:rFonts w:ascii="Times New Roman" w:hAnsi="Times New Roman" w:cs="Times New Roman"/>
          <w:sz w:val="28"/>
          <w:szCs w:val="28"/>
        </w:rPr>
        <w:t xml:space="preserve">nonché </w:t>
      </w:r>
      <w:r w:rsidR="00B30A8E" w:rsidRPr="003238BE">
        <w:rPr>
          <w:rFonts w:ascii="Times New Roman" w:hAnsi="Times New Roman" w:cs="Times New Roman"/>
          <w:sz w:val="28"/>
          <w:szCs w:val="28"/>
        </w:rPr>
        <w:t>suscettibile, ai fini dell’approvazione, di modifiche d’ufficio da parte, un tempo del Minis</w:t>
      </w:r>
      <w:r>
        <w:rPr>
          <w:rFonts w:ascii="Times New Roman" w:hAnsi="Times New Roman" w:cs="Times New Roman"/>
          <w:sz w:val="28"/>
          <w:szCs w:val="28"/>
        </w:rPr>
        <w:t xml:space="preserve">tero dei lavori pubblici, e oggi </w:t>
      </w:r>
      <w:r w:rsidR="00B30A8E" w:rsidRPr="003238BE">
        <w:rPr>
          <w:rFonts w:ascii="Times New Roman" w:hAnsi="Times New Roman" w:cs="Times New Roman"/>
          <w:sz w:val="28"/>
          <w:szCs w:val="28"/>
        </w:rPr>
        <w:t>della Regione (cfr. l’art. 10)</w:t>
      </w:r>
      <w:r w:rsidR="00B30A8E" w:rsidRPr="003238BE">
        <w:rPr>
          <w:rStyle w:val="Rimandonotaapidipagina"/>
          <w:rFonts w:ascii="Times New Roman" w:hAnsi="Times New Roman" w:cs="Times New Roman"/>
          <w:sz w:val="28"/>
          <w:szCs w:val="28"/>
        </w:rPr>
        <w:footnoteReference w:id="41"/>
      </w:r>
      <w:r w:rsidR="00B30A8E" w:rsidRPr="003238BE">
        <w:rPr>
          <w:rFonts w:ascii="Times New Roman" w:hAnsi="Times New Roman" w:cs="Times New Roman"/>
          <w:sz w:val="28"/>
          <w:szCs w:val="28"/>
        </w:rPr>
        <w:t>.</w:t>
      </w:r>
    </w:p>
    <w:p w:rsidR="00B30A8E" w:rsidRPr="00BA382B" w:rsidRDefault="003238BE" w:rsidP="00B30A8E">
      <w:pPr>
        <w:jc w:val="both"/>
        <w:rPr>
          <w:rFonts w:ascii="Times New Roman" w:hAnsi="Times New Roman" w:cs="Times New Roman"/>
          <w:sz w:val="28"/>
          <w:szCs w:val="28"/>
        </w:rPr>
      </w:pPr>
      <w:r w:rsidRPr="00BA382B">
        <w:rPr>
          <w:rFonts w:ascii="Times New Roman" w:hAnsi="Times New Roman" w:cs="Times New Roman"/>
          <w:sz w:val="28"/>
          <w:szCs w:val="28"/>
        </w:rPr>
        <w:t>In una prima fase, il conflitto è stato governato principalmente attraverso il principio gerarchico (c.d. gerarchia degli interessi).</w:t>
      </w:r>
      <w:r w:rsidR="00AE66F7">
        <w:rPr>
          <w:rFonts w:ascii="Times New Roman" w:hAnsi="Times New Roman" w:cs="Times New Roman"/>
          <w:sz w:val="28"/>
          <w:szCs w:val="28"/>
        </w:rPr>
        <w:t xml:space="preserve"> </w:t>
      </w:r>
      <w:r w:rsidR="00B30A8E" w:rsidRPr="00BA382B">
        <w:rPr>
          <w:rFonts w:ascii="Times New Roman" w:hAnsi="Times New Roman" w:cs="Times New Roman"/>
          <w:sz w:val="28"/>
          <w:szCs w:val="28"/>
        </w:rPr>
        <w:t>Nella fase successiva, a partire dalla seconda metà degli anni ’80 dello scorso secolo, l’espansione delle discipline di settore ha dato luogo a</w:t>
      </w:r>
      <w:r w:rsidR="008A5888">
        <w:rPr>
          <w:rFonts w:ascii="Times New Roman" w:hAnsi="Times New Roman" w:cs="Times New Roman"/>
          <w:sz w:val="28"/>
          <w:szCs w:val="28"/>
        </w:rPr>
        <w:t xml:space="preserve">d un sistema di pianificazioni </w:t>
      </w:r>
      <w:r w:rsidR="00B30A8E" w:rsidRPr="00BA382B">
        <w:rPr>
          <w:rFonts w:ascii="Times New Roman" w:hAnsi="Times New Roman" w:cs="Times New Roman"/>
          <w:sz w:val="28"/>
          <w:szCs w:val="28"/>
        </w:rPr>
        <w:t>parallele</w:t>
      </w:r>
      <w:r w:rsidR="005B2F2B">
        <w:rPr>
          <w:rFonts w:ascii="Times New Roman" w:hAnsi="Times New Roman" w:cs="Times New Roman"/>
          <w:sz w:val="28"/>
          <w:szCs w:val="28"/>
        </w:rPr>
        <w:t xml:space="preserve"> sia urbanistiche che rela</w:t>
      </w:r>
      <w:r w:rsidR="0042596C">
        <w:rPr>
          <w:rFonts w:ascii="Times New Roman" w:hAnsi="Times New Roman" w:cs="Times New Roman"/>
          <w:sz w:val="28"/>
          <w:szCs w:val="28"/>
        </w:rPr>
        <w:t xml:space="preserve">tive alla tutela </w:t>
      </w:r>
      <w:r w:rsidR="0042596C">
        <w:rPr>
          <w:rFonts w:ascii="Times New Roman" w:hAnsi="Times New Roman" w:cs="Times New Roman"/>
          <w:sz w:val="28"/>
          <w:szCs w:val="28"/>
        </w:rPr>
        <w:lastRenderedPageBreak/>
        <w:t>degli interessi</w:t>
      </w:r>
      <w:r w:rsidR="005B2F2B">
        <w:rPr>
          <w:rFonts w:ascii="Times New Roman" w:hAnsi="Times New Roman" w:cs="Times New Roman"/>
          <w:sz w:val="28"/>
          <w:szCs w:val="28"/>
        </w:rPr>
        <w:t xml:space="preserve"> differenziati</w:t>
      </w:r>
      <w:r w:rsidR="00B30A8E" w:rsidRPr="00845A7D">
        <w:rPr>
          <w:rFonts w:ascii="Times New Roman" w:hAnsi="Times New Roman" w:cs="Times New Roman"/>
          <w:sz w:val="28"/>
          <w:szCs w:val="28"/>
        </w:rPr>
        <w:t xml:space="preserve">. </w:t>
      </w:r>
      <w:r w:rsidR="00B30A8E" w:rsidRPr="00BA382B">
        <w:rPr>
          <w:rFonts w:ascii="Times New Roman" w:hAnsi="Times New Roman" w:cs="Times New Roman"/>
          <w:sz w:val="28"/>
          <w:szCs w:val="28"/>
        </w:rPr>
        <w:t>Si è osservato che, in considerazione di questo processo, l’urbanistica appare degradata a funzione “debole”, che ha perso la funzione di guid</w:t>
      </w:r>
      <w:r w:rsidR="004E4306">
        <w:rPr>
          <w:rFonts w:ascii="Times New Roman" w:hAnsi="Times New Roman" w:cs="Times New Roman"/>
          <w:sz w:val="28"/>
          <w:szCs w:val="28"/>
        </w:rPr>
        <w:t>a dello sviluppo del territorio</w:t>
      </w:r>
      <w:r w:rsidR="00B30A8E" w:rsidRPr="00BA382B">
        <w:rPr>
          <w:rFonts w:ascii="Times New Roman" w:hAnsi="Times New Roman" w:cs="Times New Roman"/>
          <w:sz w:val="28"/>
          <w:szCs w:val="28"/>
        </w:rPr>
        <w:t xml:space="preserve"> in quanto destinata a fungere da mero recettore di scelte e di priorità decise al di sopra del livello comunale. Il meccanismo di coordinamento tra i diversi livelli di tutela avviene ora in termini di gerarchia, non più degli interessi, bensì tra i diversi piani, i quali sembrano riflettere anche un antagonismo tra valori</w:t>
      </w:r>
      <w:r w:rsidR="00B30A8E" w:rsidRPr="00BA382B">
        <w:rPr>
          <w:rStyle w:val="Rimandonotaapidipagina"/>
          <w:rFonts w:ascii="Times New Roman" w:hAnsi="Times New Roman" w:cs="Times New Roman"/>
          <w:sz w:val="28"/>
          <w:szCs w:val="28"/>
        </w:rPr>
        <w:footnoteReference w:id="42"/>
      </w:r>
      <w:r w:rsidR="00B30A8E" w:rsidRPr="00BA382B">
        <w:rPr>
          <w:rFonts w:ascii="Times New Roman" w:hAnsi="Times New Roman" w:cs="Times New Roman"/>
          <w:sz w:val="28"/>
          <w:szCs w:val="28"/>
        </w:rPr>
        <w:t>.</w:t>
      </w:r>
    </w:p>
    <w:p w:rsidR="00B30A8E" w:rsidRPr="00845A7D" w:rsidRDefault="00B30A8E" w:rsidP="00B30A8E">
      <w:pPr>
        <w:jc w:val="both"/>
        <w:rPr>
          <w:rFonts w:ascii="Times New Roman" w:hAnsi="Times New Roman" w:cs="Times New Roman"/>
          <w:sz w:val="28"/>
          <w:szCs w:val="28"/>
        </w:rPr>
      </w:pPr>
      <w:r w:rsidRPr="00BA382B">
        <w:rPr>
          <w:rFonts w:ascii="Times New Roman" w:hAnsi="Times New Roman" w:cs="Times New Roman"/>
          <w:sz w:val="28"/>
          <w:szCs w:val="28"/>
        </w:rPr>
        <w:t>Negli anni più recenti, la tutela degli interessi differenziati ha</w:t>
      </w:r>
      <w:r w:rsidR="000A66C2">
        <w:rPr>
          <w:rFonts w:ascii="Times New Roman" w:hAnsi="Times New Roman" w:cs="Times New Roman"/>
          <w:sz w:val="28"/>
          <w:szCs w:val="28"/>
        </w:rPr>
        <w:t xml:space="preserve"> poi</w:t>
      </w:r>
      <w:r w:rsidRPr="00BA382B">
        <w:rPr>
          <w:rFonts w:ascii="Times New Roman" w:hAnsi="Times New Roman" w:cs="Times New Roman"/>
          <w:sz w:val="28"/>
          <w:szCs w:val="28"/>
        </w:rPr>
        <w:t xml:space="preserve"> iniziato a </w:t>
      </w:r>
      <w:r w:rsidR="008A5888">
        <w:rPr>
          <w:rFonts w:ascii="Times New Roman" w:hAnsi="Times New Roman" w:cs="Times New Roman"/>
          <w:sz w:val="28"/>
          <w:szCs w:val="28"/>
        </w:rPr>
        <w:t xml:space="preserve">condizionare </w:t>
      </w:r>
      <w:r w:rsidRPr="00BA382B">
        <w:rPr>
          <w:rFonts w:ascii="Times New Roman" w:hAnsi="Times New Roman" w:cs="Times New Roman"/>
          <w:sz w:val="28"/>
          <w:szCs w:val="28"/>
        </w:rPr>
        <w:t>la funzione urbanistica “dall’interno”, come avviene nel caso della valutazione ambientale strategica, la quale, come sopra ricordato, diviene un presupposto del piano e un momento indispensabile del procedimento di pianificazione.</w:t>
      </w:r>
      <w:r w:rsidR="00BA382B">
        <w:rPr>
          <w:rFonts w:ascii="Times New Roman" w:hAnsi="Times New Roman" w:cs="Times New Roman"/>
          <w:sz w:val="28"/>
          <w:szCs w:val="28"/>
        </w:rPr>
        <w:t xml:space="preserve">  Inoltre, nella disciplina regionale più recente, la consapevolezza della connessione tra i </w:t>
      </w:r>
      <w:r w:rsidRPr="00BA382B">
        <w:rPr>
          <w:rFonts w:ascii="Times New Roman" w:hAnsi="Times New Roman" w:cs="Times New Roman"/>
          <w:sz w:val="28"/>
          <w:szCs w:val="28"/>
        </w:rPr>
        <w:t>diversi interessi territoriali</w:t>
      </w:r>
      <w:r w:rsidR="00BA382B">
        <w:rPr>
          <w:rFonts w:ascii="Times New Roman" w:hAnsi="Times New Roman" w:cs="Times New Roman"/>
          <w:b/>
          <w:sz w:val="28"/>
          <w:szCs w:val="28"/>
        </w:rPr>
        <w:t xml:space="preserve">, </w:t>
      </w:r>
      <w:r w:rsidR="00BA382B" w:rsidRPr="00BA382B">
        <w:rPr>
          <w:rFonts w:ascii="Times New Roman" w:hAnsi="Times New Roman" w:cs="Times New Roman"/>
          <w:sz w:val="28"/>
          <w:szCs w:val="28"/>
        </w:rPr>
        <w:t xml:space="preserve">e della necessità di </w:t>
      </w:r>
      <w:r w:rsidRPr="00BA382B">
        <w:rPr>
          <w:rFonts w:ascii="Times New Roman" w:hAnsi="Times New Roman" w:cs="Times New Roman"/>
          <w:sz w:val="28"/>
          <w:szCs w:val="28"/>
        </w:rPr>
        <w:t>una vera e propria integrazione delle scelte,</w:t>
      </w:r>
      <w:r w:rsidRPr="00866272">
        <w:rPr>
          <w:rFonts w:ascii="Times New Roman" w:hAnsi="Times New Roman" w:cs="Times New Roman"/>
          <w:b/>
          <w:sz w:val="28"/>
          <w:szCs w:val="28"/>
        </w:rPr>
        <w:t xml:space="preserve"> </w:t>
      </w:r>
      <w:r w:rsidR="00BA382B" w:rsidRPr="00BA382B">
        <w:rPr>
          <w:rFonts w:ascii="Times New Roman" w:hAnsi="Times New Roman" w:cs="Times New Roman"/>
          <w:sz w:val="28"/>
          <w:szCs w:val="28"/>
        </w:rPr>
        <w:t xml:space="preserve">ha condotto all’introduzione di </w:t>
      </w:r>
      <w:r w:rsidR="00BA382B">
        <w:rPr>
          <w:rFonts w:ascii="Times New Roman" w:hAnsi="Times New Roman" w:cs="Times New Roman"/>
          <w:sz w:val="28"/>
          <w:szCs w:val="28"/>
        </w:rPr>
        <w:t xml:space="preserve">innovative </w:t>
      </w:r>
      <w:r w:rsidR="00BA382B" w:rsidRPr="00BA382B">
        <w:rPr>
          <w:rFonts w:ascii="Times New Roman" w:hAnsi="Times New Roman" w:cs="Times New Roman"/>
          <w:sz w:val="28"/>
          <w:szCs w:val="28"/>
        </w:rPr>
        <w:t xml:space="preserve">tecniche </w:t>
      </w:r>
      <w:r w:rsidRPr="00BA382B">
        <w:rPr>
          <w:rFonts w:ascii="Times New Roman" w:hAnsi="Times New Roman" w:cs="Times New Roman"/>
          <w:sz w:val="28"/>
          <w:szCs w:val="28"/>
        </w:rPr>
        <w:t>di copianificazione e negoziazione (tra le esigenze di conservazione del suolo e le aspettative di sviluppo delle collettività locali)</w:t>
      </w:r>
      <w:r w:rsidRPr="00BA382B">
        <w:rPr>
          <w:rStyle w:val="Rimandonotaapidipagina"/>
          <w:rFonts w:ascii="Times New Roman" w:hAnsi="Times New Roman" w:cs="Times New Roman"/>
          <w:sz w:val="28"/>
          <w:szCs w:val="28"/>
        </w:rPr>
        <w:footnoteReference w:id="43"/>
      </w:r>
      <w:r w:rsidRPr="00BA382B">
        <w:rPr>
          <w:rFonts w:ascii="Times New Roman" w:hAnsi="Times New Roman" w:cs="Times New Roman"/>
          <w:sz w:val="28"/>
          <w:szCs w:val="28"/>
        </w:rPr>
        <w:t>.</w:t>
      </w:r>
    </w:p>
    <w:p w:rsidR="00B30A8E" w:rsidRPr="00845A7D" w:rsidRDefault="00B30A8E" w:rsidP="00B30A8E">
      <w:pPr>
        <w:jc w:val="both"/>
        <w:rPr>
          <w:rFonts w:ascii="Times New Roman" w:hAnsi="Times New Roman" w:cs="Times New Roman"/>
          <w:b/>
          <w:sz w:val="28"/>
          <w:szCs w:val="28"/>
        </w:rPr>
      </w:pPr>
      <w:r w:rsidRPr="00845A7D">
        <w:rPr>
          <w:rFonts w:ascii="Times New Roman" w:hAnsi="Times New Roman" w:cs="Times New Roman"/>
          <w:b/>
          <w:sz w:val="28"/>
          <w:szCs w:val="28"/>
        </w:rPr>
        <w:t>4.   Le nuove prospettive della tutela del territorio: dalle politiche di espansione a quelle di riqualificazione del territorio, di rigenerazione urbana e riduzione del consumo di suolo</w:t>
      </w:r>
    </w:p>
    <w:p w:rsidR="00B30A8E" w:rsidRDefault="00E758EE" w:rsidP="00B30A8E">
      <w:pPr>
        <w:jc w:val="both"/>
        <w:rPr>
          <w:rFonts w:ascii="Times New Roman" w:hAnsi="Times New Roman" w:cs="Times New Roman"/>
          <w:sz w:val="28"/>
          <w:szCs w:val="28"/>
        </w:rPr>
      </w:pPr>
      <w:r w:rsidRPr="00E758EE">
        <w:rPr>
          <w:rFonts w:ascii="Times New Roman" w:hAnsi="Times New Roman" w:cs="Times New Roman"/>
          <w:sz w:val="28"/>
          <w:szCs w:val="28"/>
        </w:rPr>
        <w:t xml:space="preserve">La </w:t>
      </w:r>
      <w:r w:rsidR="00B30A8E" w:rsidRPr="00E758EE">
        <w:rPr>
          <w:rFonts w:ascii="Times New Roman" w:hAnsi="Times New Roman" w:cs="Times New Roman"/>
          <w:sz w:val="28"/>
          <w:szCs w:val="28"/>
        </w:rPr>
        <w:t>nuova concezione del “suolo” o del “territorio”, non più inteso come mero luogo destinato alla trasformazione urbanistica, rende evidenti i collegamenti tra rigenerazione urbana, paesaggio e ambiente</w:t>
      </w:r>
      <w:r w:rsidR="00B30A8E" w:rsidRPr="00845A7D">
        <w:rPr>
          <w:rFonts w:ascii="Times New Roman" w:hAnsi="Times New Roman" w:cs="Times New Roman"/>
          <w:sz w:val="28"/>
          <w:szCs w:val="28"/>
        </w:rPr>
        <w:t>. Lo stesso Codice d</w:t>
      </w:r>
      <w:r w:rsidR="00AE66F7">
        <w:rPr>
          <w:rFonts w:ascii="Times New Roman" w:hAnsi="Times New Roman" w:cs="Times New Roman"/>
          <w:sz w:val="28"/>
          <w:szCs w:val="28"/>
        </w:rPr>
        <w:t>e</w:t>
      </w:r>
      <w:r w:rsidR="00B30A8E" w:rsidRPr="00845A7D">
        <w:rPr>
          <w:rFonts w:ascii="Times New Roman" w:hAnsi="Times New Roman" w:cs="Times New Roman"/>
          <w:sz w:val="28"/>
          <w:szCs w:val="28"/>
        </w:rPr>
        <w:t>i beni culturali e del paesaggio dispone che il piano paesaggistico contenga prescrizioni ordinate alla “</w:t>
      </w:r>
      <w:r w:rsidR="00B30A8E" w:rsidRPr="006E7C55">
        <w:rPr>
          <w:rFonts w:ascii="Times New Roman" w:hAnsi="Times New Roman" w:cs="Times New Roman"/>
          <w:i/>
          <w:sz w:val="28"/>
          <w:szCs w:val="28"/>
        </w:rPr>
        <w:t>riqualificazione delle aree compromesse e degradate</w:t>
      </w:r>
      <w:r w:rsidR="00B30A8E" w:rsidRPr="00845A7D">
        <w:rPr>
          <w:rFonts w:ascii="Times New Roman" w:hAnsi="Times New Roman" w:cs="Times New Roman"/>
          <w:sz w:val="28"/>
          <w:szCs w:val="28"/>
        </w:rPr>
        <w:t>” (art. 135, comma 4, lett. b)</w:t>
      </w:r>
      <w:r w:rsidR="00B30A8E" w:rsidRPr="00845A7D">
        <w:rPr>
          <w:rStyle w:val="Rimandonotaapidipagina"/>
          <w:rFonts w:ascii="Times New Roman" w:hAnsi="Times New Roman" w:cs="Times New Roman"/>
          <w:sz w:val="28"/>
          <w:szCs w:val="28"/>
        </w:rPr>
        <w:footnoteReference w:id="44"/>
      </w:r>
      <w:r w:rsidR="00B30A8E" w:rsidRPr="00845A7D">
        <w:rPr>
          <w:rFonts w:ascii="Times New Roman" w:hAnsi="Times New Roman" w:cs="Times New Roman"/>
          <w:sz w:val="28"/>
          <w:szCs w:val="28"/>
        </w:rPr>
        <w:t xml:space="preserve">. </w:t>
      </w:r>
    </w:p>
    <w:p w:rsidR="00912B3F" w:rsidRPr="00845A7D" w:rsidRDefault="00912B3F" w:rsidP="00912B3F">
      <w:pPr>
        <w:jc w:val="both"/>
        <w:rPr>
          <w:rFonts w:ascii="Times New Roman" w:hAnsi="Times New Roman" w:cs="Times New Roman"/>
          <w:sz w:val="28"/>
          <w:szCs w:val="28"/>
        </w:rPr>
      </w:pPr>
      <w:r w:rsidRPr="00912B3F">
        <w:rPr>
          <w:rFonts w:ascii="Times New Roman" w:hAnsi="Times New Roman" w:cs="Times New Roman"/>
          <w:sz w:val="28"/>
          <w:szCs w:val="28"/>
        </w:rPr>
        <w:t>La rigenerazione urb</w:t>
      </w:r>
      <w:r>
        <w:rPr>
          <w:rFonts w:ascii="Times New Roman" w:hAnsi="Times New Roman" w:cs="Times New Roman"/>
          <w:sz w:val="28"/>
          <w:szCs w:val="28"/>
        </w:rPr>
        <w:t xml:space="preserve">ana è stata </w:t>
      </w:r>
      <w:r w:rsidRPr="00912B3F">
        <w:rPr>
          <w:rFonts w:ascii="Times New Roman" w:hAnsi="Times New Roman" w:cs="Times New Roman"/>
          <w:sz w:val="28"/>
          <w:szCs w:val="28"/>
        </w:rPr>
        <w:t>definita come un complesso di attività di</w:t>
      </w:r>
      <w:r>
        <w:rPr>
          <w:rFonts w:ascii="Times New Roman" w:hAnsi="Times New Roman" w:cs="Times New Roman"/>
          <w:sz w:val="28"/>
          <w:szCs w:val="28"/>
        </w:rPr>
        <w:t xml:space="preserve"> </w:t>
      </w:r>
      <w:r w:rsidRPr="00912B3F">
        <w:rPr>
          <w:rFonts w:ascii="Times New Roman" w:hAnsi="Times New Roman" w:cs="Times New Roman"/>
          <w:sz w:val="28"/>
          <w:szCs w:val="28"/>
        </w:rPr>
        <w:t>trasformazione della città – mediante cambiamenti sia nei beni e negli spazi, sia a livello economico,</w:t>
      </w:r>
      <w:r>
        <w:rPr>
          <w:rFonts w:ascii="Times New Roman" w:hAnsi="Times New Roman" w:cs="Times New Roman"/>
          <w:sz w:val="28"/>
          <w:szCs w:val="28"/>
        </w:rPr>
        <w:t xml:space="preserve"> </w:t>
      </w:r>
      <w:r w:rsidRPr="00912B3F">
        <w:rPr>
          <w:rFonts w:ascii="Times New Roman" w:hAnsi="Times New Roman" w:cs="Times New Roman"/>
          <w:sz w:val="28"/>
          <w:szCs w:val="28"/>
        </w:rPr>
        <w:t xml:space="preserve">sociale, culturale – che comporta una riqualificazione e </w:t>
      </w:r>
      <w:r w:rsidRPr="00912B3F">
        <w:rPr>
          <w:rFonts w:ascii="Times New Roman" w:hAnsi="Times New Roman" w:cs="Times New Roman"/>
          <w:sz w:val="28"/>
          <w:szCs w:val="28"/>
        </w:rPr>
        <w:lastRenderedPageBreak/>
        <w:t>valorizzazione urbana con un ridotto impatto</w:t>
      </w:r>
      <w:r>
        <w:rPr>
          <w:rFonts w:ascii="Times New Roman" w:hAnsi="Times New Roman" w:cs="Times New Roman"/>
          <w:sz w:val="28"/>
          <w:szCs w:val="28"/>
        </w:rPr>
        <w:t xml:space="preserve"> </w:t>
      </w:r>
      <w:r w:rsidR="0042596C">
        <w:rPr>
          <w:rFonts w:ascii="Times New Roman" w:hAnsi="Times New Roman" w:cs="Times New Roman"/>
          <w:sz w:val="28"/>
          <w:szCs w:val="28"/>
        </w:rPr>
        <w:t>ambientale volto</w:t>
      </w:r>
      <w:r w:rsidRPr="00912B3F">
        <w:rPr>
          <w:rFonts w:ascii="Times New Roman" w:hAnsi="Times New Roman" w:cs="Times New Roman"/>
          <w:sz w:val="28"/>
          <w:szCs w:val="28"/>
        </w:rPr>
        <w:t xml:space="preserve"> a migliorare la qualità della vita dei cittadini</w:t>
      </w:r>
      <w:r>
        <w:rPr>
          <w:rStyle w:val="Rimandonotaapidipagina"/>
          <w:rFonts w:ascii="Times New Roman" w:hAnsi="Times New Roman" w:cs="Times New Roman"/>
          <w:sz w:val="28"/>
          <w:szCs w:val="28"/>
        </w:rPr>
        <w:footnoteReference w:id="45"/>
      </w:r>
      <w:r w:rsidR="00AE66F7">
        <w:rPr>
          <w:rFonts w:ascii="Times New Roman" w:hAnsi="Times New Roman" w:cs="Times New Roman"/>
          <w:sz w:val="28"/>
          <w:szCs w:val="28"/>
        </w:rPr>
        <w:t>.</w:t>
      </w:r>
    </w:p>
    <w:p w:rsidR="00B30A8E" w:rsidRPr="005F631B" w:rsidRDefault="00B30A8E" w:rsidP="00B30A8E">
      <w:pPr>
        <w:jc w:val="both"/>
        <w:rPr>
          <w:rFonts w:ascii="Times New Roman" w:hAnsi="Times New Roman" w:cs="Times New Roman"/>
          <w:sz w:val="28"/>
          <w:szCs w:val="28"/>
        </w:rPr>
      </w:pPr>
      <w:r w:rsidRPr="005F631B">
        <w:rPr>
          <w:rFonts w:ascii="Times New Roman" w:hAnsi="Times New Roman" w:cs="Times New Roman"/>
          <w:sz w:val="28"/>
          <w:szCs w:val="28"/>
        </w:rPr>
        <w:t xml:space="preserve">Sul versante dell’esercizio della funzione legislativa, la rigenerazione </w:t>
      </w:r>
      <w:r w:rsidR="000F391E">
        <w:rPr>
          <w:rFonts w:ascii="Times New Roman" w:hAnsi="Times New Roman" w:cs="Times New Roman"/>
          <w:sz w:val="28"/>
          <w:szCs w:val="28"/>
        </w:rPr>
        <w:t xml:space="preserve">urbana intercetta </w:t>
      </w:r>
      <w:r w:rsidRPr="005F631B">
        <w:rPr>
          <w:rFonts w:ascii="Times New Roman" w:hAnsi="Times New Roman" w:cs="Times New Roman"/>
          <w:sz w:val="28"/>
          <w:szCs w:val="28"/>
        </w:rPr>
        <w:t>la materia del “governo del territorio”, attribuita dall’art. 117, comma 3, Cost. alla potestà legislativa concorrente di Stato e Regioni. Secondo la giurisprudenza costituzionale la previsione di misure di riqualificazione del patrimonio immobiliare dismesso può essere ricondotta “</w:t>
      </w:r>
      <w:r w:rsidRPr="005F631B">
        <w:rPr>
          <w:rFonts w:ascii="Times New Roman" w:hAnsi="Times New Roman" w:cs="Times New Roman"/>
          <w:i/>
          <w:sz w:val="28"/>
          <w:szCs w:val="28"/>
        </w:rPr>
        <w:t>a un obiettivo legittimamente perseguibile dal legislatore regionale in quanto rientrante nella sua competenza legislativa in materia di governo del territorio</w:t>
      </w:r>
      <w:r w:rsidRPr="005F631B">
        <w:rPr>
          <w:rFonts w:ascii="Times New Roman" w:hAnsi="Times New Roman" w:cs="Times New Roman"/>
          <w:sz w:val="28"/>
          <w:szCs w:val="28"/>
        </w:rPr>
        <w:t>” (Corte cost. n. 119 del 2020).</w:t>
      </w:r>
      <w:r w:rsidR="00823304">
        <w:rPr>
          <w:rFonts w:ascii="Times New Roman" w:hAnsi="Times New Roman" w:cs="Times New Roman"/>
          <w:sz w:val="28"/>
          <w:szCs w:val="28"/>
        </w:rPr>
        <w:t xml:space="preserve"> </w:t>
      </w:r>
      <w:r w:rsidRPr="005F631B">
        <w:rPr>
          <w:rFonts w:ascii="Times New Roman" w:hAnsi="Times New Roman" w:cs="Times New Roman"/>
          <w:sz w:val="28"/>
          <w:szCs w:val="28"/>
        </w:rPr>
        <w:t>È stato anzi affermato che la rigenerazione urbana dovrebbe costituire oggi uno dei principi fondamentali della materia “governo del territorio”</w:t>
      </w:r>
      <w:r w:rsidRPr="005F631B">
        <w:rPr>
          <w:rStyle w:val="Rimandonotaapidipagina"/>
          <w:rFonts w:ascii="Times New Roman" w:hAnsi="Times New Roman" w:cs="Times New Roman"/>
          <w:sz w:val="28"/>
          <w:szCs w:val="28"/>
        </w:rPr>
        <w:footnoteReference w:id="46"/>
      </w:r>
      <w:r w:rsidR="000F391E">
        <w:rPr>
          <w:rFonts w:ascii="Times New Roman" w:hAnsi="Times New Roman" w:cs="Times New Roman"/>
          <w:sz w:val="28"/>
          <w:szCs w:val="28"/>
        </w:rPr>
        <w:t xml:space="preserve"> sebbene non esista ancora una normativa statale organica dalla quale possano essere tratti i relativi criteri.</w:t>
      </w:r>
    </w:p>
    <w:p w:rsidR="00B30A8E" w:rsidRPr="005F631B" w:rsidRDefault="00B30A8E" w:rsidP="00B30A8E">
      <w:pPr>
        <w:jc w:val="both"/>
        <w:rPr>
          <w:rFonts w:ascii="Times New Roman" w:hAnsi="Times New Roman" w:cs="Times New Roman"/>
          <w:sz w:val="28"/>
          <w:szCs w:val="28"/>
        </w:rPr>
      </w:pPr>
      <w:r w:rsidRPr="005F631B">
        <w:rPr>
          <w:rFonts w:ascii="Times New Roman" w:hAnsi="Times New Roman" w:cs="Times New Roman"/>
          <w:sz w:val="28"/>
          <w:szCs w:val="28"/>
        </w:rPr>
        <w:t>Anche sotto questo profilo rilevano le fonti europee e internazionali.</w:t>
      </w:r>
    </w:p>
    <w:p w:rsidR="00B30A8E" w:rsidRPr="00845A7D" w:rsidRDefault="00B30A8E" w:rsidP="00B30A8E">
      <w:pPr>
        <w:jc w:val="both"/>
        <w:rPr>
          <w:rFonts w:ascii="Times New Roman" w:hAnsi="Times New Roman" w:cs="Times New Roman"/>
          <w:sz w:val="28"/>
          <w:szCs w:val="28"/>
        </w:rPr>
      </w:pPr>
      <w:r w:rsidRPr="005F631B">
        <w:rPr>
          <w:rFonts w:ascii="Times New Roman" w:hAnsi="Times New Roman" w:cs="Times New Roman"/>
          <w:sz w:val="28"/>
          <w:szCs w:val="28"/>
        </w:rPr>
        <w:t>La Convenzione europea del paesaggio, adottata a Firenze il 20 ottobre 2000 e ratificata dall’Italia con la legge 9 gennaio 2006 n. 14,</w:t>
      </w:r>
      <w:r w:rsidRPr="00845A7D">
        <w:rPr>
          <w:rFonts w:ascii="Times New Roman" w:hAnsi="Times New Roman" w:cs="Times New Roman"/>
          <w:sz w:val="28"/>
          <w:szCs w:val="28"/>
        </w:rPr>
        <w:t xml:space="preserve"> ha esteso la nozione di paesaggio sino a comprendere anche le aree urbane e periurbane e ricomprende “</w:t>
      </w:r>
      <w:r w:rsidRPr="006E7C55">
        <w:rPr>
          <w:rFonts w:ascii="Times New Roman" w:hAnsi="Times New Roman" w:cs="Times New Roman"/>
          <w:i/>
          <w:sz w:val="28"/>
          <w:szCs w:val="28"/>
        </w:rPr>
        <w:t>sia i paesaggi che possono essere considerati eccezionali,</w:t>
      </w:r>
      <w:r w:rsidRPr="006E7C55">
        <w:rPr>
          <w:i/>
          <w:sz w:val="28"/>
          <w:szCs w:val="28"/>
        </w:rPr>
        <w:t xml:space="preserve"> </w:t>
      </w:r>
      <w:r w:rsidRPr="006E7C55">
        <w:rPr>
          <w:rFonts w:ascii="Times New Roman" w:hAnsi="Times New Roman" w:cs="Times New Roman"/>
          <w:i/>
          <w:sz w:val="28"/>
          <w:szCs w:val="28"/>
        </w:rPr>
        <w:t>che i paesaggi della vita quotidiana e i paesaggi degradati</w:t>
      </w:r>
      <w:r w:rsidRPr="00845A7D">
        <w:rPr>
          <w:rFonts w:ascii="Times New Roman" w:hAnsi="Times New Roman" w:cs="Times New Roman"/>
          <w:sz w:val="28"/>
          <w:szCs w:val="28"/>
        </w:rPr>
        <w:t xml:space="preserve">”. </w:t>
      </w:r>
      <w:r w:rsidRPr="005F631B">
        <w:rPr>
          <w:rFonts w:ascii="Times New Roman" w:hAnsi="Times New Roman" w:cs="Times New Roman"/>
          <w:sz w:val="28"/>
          <w:szCs w:val="28"/>
        </w:rPr>
        <w:t xml:space="preserve">La Convenzione quadro del Consiglio d’Europa sul valore del </w:t>
      </w:r>
      <w:r w:rsidRPr="005F631B">
        <w:rPr>
          <w:rFonts w:ascii="Times New Roman" w:hAnsi="Times New Roman" w:cs="Times New Roman"/>
          <w:i/>
          <w:sz w:val="28"/>
          <w:szCs w:val="28"/>
        </w:rPr>
        <w:t>cultural heritage</w:t>
      </w:r>
      <w:r w:rsidRPr="005F631B">
        <w:rPr>
          <w:rFonts w:ascii="Times New Roman" w:hAnsi="Times New Roman" w:cs="Times New Roman"/>
          <w:sz w:val="28"/>
          <w:szCs w:val="28"/>
        </w:rPr>
        <w:t xml:space="preserve"> per la società, adottata a Faro il 27 ottobre 2005, entrata in vigore il 1° giugno 2011, firmata dall’Italia il 27 febbraio 2013, ma non ancora ratificata, introduce tra l’altro la nozione di “</w:t>
      </w:r>
      <w:r w:rsidRPr="005F631B">
        <w:rPr>
          <w:rFonts w:ascii="Times New Roman" w:hAnsi="Times New Roman" w:cs="Times New Roman"/>
          <w:i/>
          <w:sz w:val="28"/>
          <w:szCs w:val="28"/>
        </w:rPr>
        <w:t>comunità di heritage</w:t>
      </w:r>
      <w:r w:rsidRPr="005F631B">
        <w:rPr>
          <w:rFonts w:ascii="Times New Roman" w:hAnsi="Times New Roman" w:cs="Times New Roman"/>
          <w:sz w:val="28"/>
          <w:szCs w:val="28"/>
        </w:rPr>
        <w:t>”,</w:t>
      </w:r>
      <w:r w:rsidRPr="00845A7D">
        <w:rPr>
          <w:rFonts w:ascii="Times New Roman" w:hAnsi="Times New Roman" w:cs="Times New Roman"/>
          <w:sz w:val="28"/>
          <w:szCs w:val="28"/>
        </w:rPr>
        <w:t xml:space="preserve"> costituita da “</w:t>
      </w:r>
      <w:r w:rsidRPr="006E7C55">
        <w:rPr>
          <w:rFonts w:ascii="Times New Roman" w:hAnsi="Times New Roman" w:cs="Times New Roman"/>
          <w:i/>
          <w:sz w:val="28"/>
          <w:szCs w:val="28"/>
        </w:rPr>
        <w:t>un insieme di persone che attribuisce valore ad aspetti specifici del cultural heritage e che desidera, nel quadro di un’azione pubblica, sostenerli e trasmetterli alle generazioni future</w:t>
      </w:r>
      <w:r>
        <w:rPr>
          <w:rFonts w:ascii="Times New Roman" w:hAnsi="Times New Roman" w:cs="Times New Roman"/>
          <w:sz w:val="28"/>
          <w:szCs w:val="28"/>
        </w:rPr>
        <w:t>”</w:t>
      </w:r>
      <w:r w:rsidRPr="00845A7D">
        <w:rPr>
          <w:rStyle w:val="Rimandonotaapidipagina"/>
          <w:rFonts w:ascii="Times New Roman" w:hAnsi="Times New Roman" w:cs="Times New Roman"/>
          <w:sz w:val="28"/>
          <w:szCs w:val="28"/>
        </w:rPr>
        <w:footnoteReference w:id="47"/>
      </w:r>
      <w:r w:rsidRPr="00845A7D">
        <w:rPr>
          <w:rFonts w:ascii="Times New Roman" w:hAnsi="Times New Roman" w:cs="Times New Roman"/>
          <w:sz w:val="28"/>
          <w:szCs w:val="28"/>
        </w:rPr>
        <w:t>. Come già evidenziato l’“</w:t>
      </w:r>
      <w:r w:rsidRPr="006E7C55">
        <w:rPr>
          <w:rFonts w:ascii="Times New Roman" w:hAnsi="Times New Roman" w:cs="Times New Roman"/>
          <w:i/>
          <w:sz w:val="28"/>
          <w:szCs w:val="28"/>
        </w:rPr>
        <w:t>utilizzazione accorta e razionale delle risorse naturali</w:t>
      </w:r>
      <w:r w:rsidRPr="00845A7D">
        <w:rPr>
          <w:rFonts w:ascii="Times New Roman" w:hAnsi="Times New Roman" w:cs="Times New Roman"/>
          <w:sz w:val="28"/>
          <w:szCs w:val="28"/>
        </w:rPr>
        <w:t>” è altresì diventata uno degli obiettivi della politica europea in materia ambientale, ai sensi dell’art. 191 del Trattato sul funzionamento dell’Unione europea (TFUE).</w:t>
      </w:r>
    </w:p>
    <w:p w:rsidR="00B30A8E" w:rsidRPr="00823304" w:rsidRDefault="00B30A8E" w:rsidP="00B30A8E">
      <w:pPr>
        <w:jc w:val="both"/>
        <w:rPr>
          <w:rFonts w:ascii="Times New Roman" w:hAnsi="Times New Roman" w:cs="Times New Roman"/>
          <w:sz w:val="28"/>
          <w:szCs w:val="28"/>
        </w:rPr>
      </w:pPr>
      <w:r w:rsidRPr="00823304">
        <w:rPr>
          <w:rFonts w:ascii="Times New Roman" w:hAnsi="Times New Roman" w:cs="Times New Roman"/>
          <w:sz w:val="28"/>
          <w:szCs w:val="28"/>
        </w:rPr>
        <w:t>In materia, la giurisprudenza</w:t>
      </w:r>
      <w:r w:rsidRPr="00823304">
        <w:rPr>
          <w:rStyle w:val="Rimandonotaapidipagina"/>
          <w:rFonts w:ascii="Times New Roman" w:hAnsi="Times New Roman" w:cs="Times New Roman"/>
          <w:sz w:val="28"/>
          <w:szCs w:val="28"/>
        </w:rPr>
        <w:footnoteReference w:id="48"/>
      </w:r>
      <w:r w:rsidRPr="00823304">
        <w:rPr>
          <w:rFonts w:ascii="Times New Roman" w:hAnsi="Times New Roman" w:cs="Times New Roman"/>
          <w:sz w:val="28"/>
          <w:szCs w:val="28"/>
        </w:rPr>
        <w:t xml:space="preserve"> ha affermato che:</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 xml:space="preserve">a) nella parte in cui la rigenerazione urbana sintetizza anche il valore ambientale, non può escludersi che la relativa disciplina sia connessa anche al fine della “tutela dell’ambiente”, di competenza esclusiva dello Stato: ne consegue che la potestà regionale concorrente può essere conformata in funzione del valore ambientale. Lo Stato può dettare standard di tutela uniformi sull’intero territorio nazionale anche </w:t>
      </w:r>
      <w:r w:rsidRPr="00845A7D">
        <w:rPr>
          <w:rFonts w:ascii="Times New Roman" w:hAnsi="Times New Roman" w:cs="Times New Roman"/>
          <w:sz w:val="28"/>
          <w:szCs w:val="28"/>
        </w:rPr>
        <w:lastRenderedPageBreak/>
        <w:t>incidenti sulle competenze legislative regionali ex art. 117 della Costituzione (Corte cost. n. 536 del 2002; n. 407 del 2002);</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b) un limite alla funzione legislativa regionale è rappresentato dalla salvaguardia della funzione di pianificaz</w:t>
      </w:r>
      <w:r w:rsidR="00823304">
        <w:rPr>
          <w:rFonts w:ascii="Times New Roman" w:hAnsi="Times New Roman" w:cs="Times New Roman"/>
          <w:sz w:val="28"/>
          <w:szCs w:val="28"/>
        </w:rPr>
        <w:t>ione urbanistica attribuita ai C</w:t>
      </w:r>
      <w:r w:rsidRPr="00845A7D">
        <w:rPr>
          <w:rFonts w:ascii="Times New Roman" w:hAnsi="Times New Roman" w:cs="Times New Roman"/>
          <w:sz w:val="28"/>
          <w:szCs w:val="28"/>
        </w:rPr>
        <w:t>omuni. Per quanto la rigenerazione, anche in deroga agli strumenti urbanistici, possa essere annoverata tra gli obiettivi legittimamente perseguibili dal legislatore regionale, alla luce della competenza legislativa in materia di governo del territorio, le modalità di intervento e la loro stessa entità, non devono determinare una compressione d</w:t>
      </w:r>
      <w:r w:rsidR="00823304">
        <w:rPr>
          <w:rFonts w:ascii="Times New Roman" w:hAnsi="Times New Roman" w:cs="Times New Roman"/>
          <w:sz w:val="28"/>
          <w:szCs w:val="28"/>
        </w:rPr>
        <w:t>ella funzione fondamentale dei C</w:t>
      </w:r>
      <w:r w:rsidRPr="00845A7D">
        <w:rPr>
          <w:rFonts w:ascii="Times New Roman" w:hAnsi="Times New Roman" w:cs="Times New Roman"/>
          <w:sz w:val="28"/>
          <w:szCs w:val="28"/>
        </w:rPr>
        <w:t>omuni in materia di pianificazione urbanistica “</w:t>
      </w:r>
      <w:r w:rsidRPr="0042596C">
        <w:rPr>
          <w:rFonts w:ascii="Times New Roman" w:hAnsi="Times New Roman" w:cs="Times New Roman"/>
          <w:i/>
          <w:sz w:val="28"/>
          <w:szCs w:val="28"/>
        </w:rPr>
        <w:t>oltre la soglia dell’adeguatezza e della necessità</w:t>
      </w:r>
      <w:r w:rsidRPr="00845A7D">
        <w:rPr>
          <w:rFonts w:ascii="Times New Roman" w:hAnsi="Times New Roman" w:cs="Times New Roman"/>
          <w:sz w:val="28"/>
          <w:szCs w:val="28"/>
        </w:rPr>
        <w:t>” (Corte cost., n. 119 del 2020);</w:t>
      </w:r>
    </w:p>
    <w:p w:rsidR="00B30A8E" w:rsidRPr="005F631B" w:rsidRDefault="00B30A8E" w:rsidP="00B30A8E">
      <w:pPr>
        <w:jc w:val="both"/>
        <w:rPr>
          <w:rFonts w:ascii="Times New Roman" w:hAnsi="Times New Roman" w:cs="Times New Roman"/>
          <w:sz w:val="28"/>
          <w:szCs w:val="28"/>
        </w:rPr>
      </w:pPr>
      <w:r w:rsidRPr="005F631B">
        <w:rPr>
          <w:rFonts w:ascii="Times New Roman" w:hAnsi="Times New Roman" w:cs="Times New Roman"/>
          <w:sz w:val="28"/>
          <w:szCs w:val="28"/>
        </w:rPr>
        <w:t xml:space="preserve">c) il livello regionale è strutturalmente quello più efficace a contrastare il fenomeno del consumo di suolo, perché in grado di porre limiti </w:t>
      </w:r>
      <w:r w:rsidRPr="005F631B">
        <w:rPr>
          <w:rFonts w:ascii="Times New Roman" w:hAnsi="Times New Roman" w:cs="Times New Roman"/>
          <w:i/>
          <w:sz w:val="28"/>
          <w:szCs w:val="28"/>
        </w:rPr>
        <w:t>ab externo</w:t>
      </w:r>
      <w:r w:rsidRPr="005F631B">
        <w:rPr>
          <w:rFonts w:ascii="Times New Roman" w:hAnsi="Times New Roman" w:cs="Times New Roman"/>
          <w:sz w:val="28"/>
          <w:szCs w:val="28"/>
        </w:rPr>
        <w:t xml:space="preserve"> e generali alla pianificazione urbanistica locale. Ove si assuma lesa la potestà pianificatoria comunale, pertanto, lo scrutinio di legittimità costituzionale si concentrerà “</w:t>
      </w:r>
      <w:r w:rsidRPr="005F631B">
        <w:rPr>
          <w:rFonts w:ascii="Times New Roman" w:hAnsi="Times New Roman" w:cs="Times New Roman"/>
          <w:i/>
          <w:sz w:val="28"/>
          <w:szCs w:val="28"/>
        </w:rPr>
        <w:t>dapprima, in astratto sulla legittimità dello scopo perseguito dal legislatore regionale e quindi in concreto con riguardo alla necessità, alla adeguatezza e al corretto bilanciamento degli interessi coinvolti</w:t>
      </w:r>
      <w:r w:rsidRPr="005F631B">
        <w:rPr>
          <w:rFonts w:ascii="Times New Roman" w:hAnsi="Times New Roman" w:cs="Times New Roman"/>
          <w:sz w:val="28"/>
          <w:szCs w:val="28"/>
        </w:rPr>
        <w:t>”, così da verificare se la compressione della potestà comunale costituisca effettivamente “</w:t>
      </w:r>
      <w:r w:rsidRPr="005F631B">
        <w:rPr>
          <w:rFonts w:ascii="Times New Roman" w:hAnsi="Times New Roman" w:cs="Times New Roman"/>
          <w:i/>
          <w:sz w:val="28"/>
          <w:szCs w:val="28"/>
        </w:rPr>
        <w:t>il minimo mezzo utile per perseguire gli scopi del legislatore regionale</w:t>
      </w:r>
      <w:r w:rsidRPr="005F631B">
        <w:rPr>
          <w:rFonts w:ascii="Times New Roman" w:hAnsi="Times New Roman" w:cs="Times New Roman"/>
          <w:sz w:val="28"/>
          <w:szCs w:val="28"/>
        </w:rPr>
        <w:t>” (Corte cost., n. 179 del 2019).</w:t>
      </w:r>
    </w:p>
    <w:p w:rsidR="00B30A8E" w:rsidRPr="005F631B"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 xml:space="preserve">Da ultimo, la tutela dell’ambiente, della biodiversità e degli ecosistemi nell’interesse delle generazioni future è stata espressamente introdotta, accanto alla tutela del paesaggio e del patrimonio storico-artistico della Nazione, con la legge costituzionale n. 1 dell’11 febbraio 2022 (che ha in tal senso integrato l’art. 9 della Costituzione, nonché l’art. 41). </w:t>
      </w:r>
      <w:r w:rsidRPr="005F631B">
        <w:rPr>
          <w:rFonts w:ascii="Times New Roman" w:hAnsi="Times New Roman" w:cs="Times New Roman"/>
          <w:sz w:val="28"/>
          <w:szCs w:val="28"/>
        </w:rPr>
        <w:t xml:space="preserve">La nuova configurazione della tutela ambientale come principio fondamentale della Costituzione, fonte di precisi obblighi per lo Stato (anche nella prospettiva intergenerazionale), è stata </w:t>
      </w:r>
      <w:r w:rsidR="005F631B">
        <w:rPr>
          <w:rFonts w:ascii="Times New Roman" w:hAnsi="Times New Roman" w:cs="Times New Roman"/>
          <w:sz w:val="28"/>
          <w:szCs w:val="28"/>
        </w:rPr>
        <w:t xml:space="preserve">delineata </w:t>
      </w:r>
      <w:r w:rsidRPr="005F631B">
        <w:rPr>
          <w:rFonts w:ascii="Times New Roman" w:hAnsi="Times New Roman" w:cs="Times New Roman"/>
          <w:sz w:val="28"/>
          <w:szCs w:val="28"/>
        </w:rPr>
        <w:t>dalla</w:t>
      </w:r>
      <w:r w:rsidRPr="00866272">
        <w:rPr>
          <w:rFonts w:ascii="Times New Roman" w:hAnsi="Times New Roman" w:cs="Times New Roman"/>
          <w:b/>
          <w:sz w:val="28"/>
          <w:szCs w:val="28"/>
        </w:rPr>
        <w:t xml:space="preserve"> </w:t>
      </w:r>
      <w:r w:rsidRPr="005F631B">
        <w:rPr>
          <w:rFonts w:ascii="Times New Roman" w:hAnsi="Times New Roman" w:cs="Times New Roman"/>
          <w:sz w:val="28"/>
          <w:szCs w:val="28"/>
        </w:rPr>
        <w:t>Corte costituzionale con la sentenza 13 giugno 2024,</w:t>
      </w:r>
      <w:r w:rsidR="0042596C">
        <w:rPr>
          <w:rFonts w:ascii="Times New Roman" w:hAnsi="Times New Roman" w:cs="Times New Roman"/>
          <w:sz w:val="28"/>
          <w:szCs w:val="28"/>
        </w:rPr>
        <w:t xml:space="preserve"> n. 105. Con tale pronuncia</w:t>
      </w:r>
      <w:r w:rsidRPr="005F631B">
        <w:rPr>
          <w:rStyle w:val="Rimandonotaapidipagina"/>
          <w:rFonts w:ascii="Times New Roman" w:hAnsi="Times New Roman" w:cs="Times New Roman"/>
          <w:sz w:val="28"/>
          <w:szCs w:val="28"/>
        </w:rPr>
        <w:footnoteReference w:id="49"/>
      </w:r>
      <w:r w:rsidRPr="005F631B">
        <w:rPr>
          <w:rFonts w:ascii="Times New Roman" w:hAnsi="Times New Roman" w:cs="Times New Roman"/>
          <w:sz w:val="28"/>
          <w:szCs w:val="28"/>
        </w:rPr>
        <w:t xml:space="preserve"> è stata dichiarata</w:t>
      </w:r>
      <w:r w:rsidRPr="00866272">
        <w:rPr>
          <w:rFonts w:ascii="Times New Roman" w:hAnsi="Times New Roman" w:cs="Times New Roman"/>
          <w:b/>
          <w:sz w:val="28"/>
          <w:szCs w:val="28"/>
        </w:rPr>
        <w:t xml:space="preserve"> </w:t>
      </w:r>
      <w:r w:rsidRPr="005F631B">
        <w:rPr>
          <w:rFonts w:ascii="Times New Roman" w:hAnsi="Times New Roman" w:cs="Times New Roman"/>
          <w:sz w:val="28"/>
          <w:szCs w:val="28"/>
        </w:rPr>
        <w:t>l’illegittimità costituzionale di una norma del codice di procedura penale nella parte in cui non era stato previsto, in relazione ad impianti produttivi di interesse strategico nazionale sottoposti a sequestro giudiziario per reati ambientali, un termine massimo di durata delle misure adottabili dal Governo per garantire il contemperamento dell’attività produttiva con la tutela della salute e dell’am</w:t>
      </w:r>
      <w:r w:rsidR="00044DE4">
        <w:rPr>
          <w:rFonts w:ascii="Times New Roman" w:hAnsi="Times New Roman" w:cs="Times New Roman"/>
          <w:sz w:val="28"/>
          <w:szCs w:val="28"/>
        </w:rPr>
        <w:t xml:space="preserve">biente. La Corte </w:t>
      </w:r>
      <w:r w:rsidRPr="005F631B">
        <w:rPr>
          <w:rFonts w:ascii="Times New Roman" w:hAnsi="Times New Roman" w:cs="Times New Roman"/>
          <w:sz w:val="28"/>
          <w:szCs w:val="28"/>
        </w:rPr>
        <w:t xml:space="preserve">ha affermato che la riforma intervenuta nel 2022 vincola tutte le pubbliche autorità ad attivarsi in vista della efficace tutela del territorio e dell’ambiente anche nell’interesse delle generazioni </w:t>
      </w:r>
      <w:r w:rsidRPr="005F631B">
        <w:rPr>
          <w:rFonts w:ascii="Times New Roman" w:hAnsi="Times New Roman" w:cs="Times New Roman"/>
          <w:sz w:val="28"/>
          <w:szCs w:val="28"/>
        </w:rPr>
        <w:lastRenderedPageBreak/>
        <w:t>future, sussistendo un preciso dovere delle generazioni attuali di preservare l’integrità dei beni tutelati dalla norma costituzionale</w:t>
      </w:r>
      <w:r w:rsidRPr="005F631B">
        <w:rPr>
          <w:rStyle w:val="Rimandonotaapidipagina"/>
          <w:rFonts w:ascii="Times New Roman" w:hAnsi="Times New Roman" w:cs="Times New Roman"/>
          <w:sz w:val="28"/>
          <w:szCs w:val="28"/>
        </w:rPr>
        <w:footnoteReference w:id="50"/>
      </w:r>
      <w:r w:rsidRPr="005F631B">
        <w:rPr>
          <w:rFonts w:ascii="Times New Roman" w:hAnsi="Times New Roman" w:cs="Times New Roman"/>
          <w:sz w:val="28"/>
          <w:szCs w:val="28"/>
        </w:rPr>
        <w:t>.</w:t>
      </w:r>
    </w:p>
    <w:p w:rsidR="00B30A8E" w:rsidRPr="005F631B" w:rsidRDefault="00B30A8E" w:rsidP="00B30A8E">
      <w:pPr>
        <w:jc w:val="both"/>
        <w:rPr>
          <w:rFonts w:ascii="Times New Roman" w:hAnsi="Times New Roman" w:cs="Times New Roman"/>
          <w:sz w:val="28"/>
          <w:szCs w:val="28"/>
        </w:rPr>
      </w:pPr>
      <w:r w:rsidRPr="005F631B">
        <w:rPr>
          <w:rFonts w:ascii="Times New Roman" w:hAnsi="Times New Roman" w:cs="Times New Roman"/>
          <w:sz w:val="28"/>
          <w:szCs w:val="28"/>
        </w:rPr>
        <w:t>È stato osservato che della rigenerazione urbana sono possibili due visioni fondamentali, che in parte si sovrappongono e in parte possono armonizzarsi: una visione che guarda soprattutto all’intervento pubblico autoritativo</w:t>
      </w:r>
      <w:r w:rsidR="0042596C">
        <w:rPr>
          <w:rFonts w:ascii="Times New Roman" w:hAnsi="Times New Roman" w:cs="Times New Roman"/>
          <w:sz w:val="28"/>
          <w:szCs w:val="28"/>
        </w:rPr>
        <w:t>,</w:t>
      </w:r>
      <w:r w:rsidRPr="00845A7D">
        <w:rPr>
          <w:rFonts w:ascii="Times New Roman" w:hAnsi="Times New Roman" w:cs="Times New Roman"/>
          <w:sz w:val="28"/>
          <w:szCs w:val="28"/>
        </w:rPr>
        <w:t xml:space="preserve"> che affida alla mano pubblica la pianificazione, programmazione e realizzazione della nuova città pubblica; </w:t>
      </w:r>
      <w:r w:rsidRPr="005F631B">
        <w:rPr>
          <w:rFonts w:ascii="Times New Roman" w:hAnsi="Times New Roman" w:cs="Times New Roman"/>
          <w:sz w:val="28"/>
          <w:szCs w:val="28"/>
        </w:rPr>
        <w:t>e una visione che guarda soprattutto alla liberalizzazione dell’azione della proprietà privata, attraverso incentivi fiscali, premi di cubatura, cambi di destinazion</w:t>
      </w:r>
      <w:r w:rsidR="00526A4C">
        <w:rPr>
          <w:rFonts w:ascii="Times New Roman" w:hAnsi="Times New Roman" w:cs="Times New Roman"/>
          <w:sz w:val="28"/>
          <w:szCs w:val="28"/>
        </w:rPr>
        <w:t xml:space="preserve">e urbanistica, semplificazioni </w:t>
      </w:r>
      <w:r w:rsidRPr="005F631B">
        <w:rPr>
          <w:rFonts w:ascii="Times New Roman" w:hAnsi="Times New Roman" w:cs="Times New Roman"/>
          <w:sz w:val="28"/>
          <w:szCs w:val="28"/>
        </w:rPr>
        <w:t>procedurali, e che rinviene il suo strumentario elettivo nella così detta urbanistica contrattata o negoziata</w:t>
      </w:r>
      <w:r w:rsidRPr="005F631B">
        <w:rPr>
          <w:rStyle w:val="Rimandonotaapidipagina"/>
          <w:rFonts w:ascii="Times New Roman" w:hAnsi="Times New Roman" w:cs="Times New Roman"/>
          <w:sz w:val="28"/>
          <w:szCs w:val="28"/>
        </w:rPr>
        <w:footnoteReference w:id="51"/>
      </w:r>
      <w:r w:rsidRPr="005F631B">
        <w:rPr>
          <w:rFonts w:ascii="Times New Roman" w:hAnsi="Times New Roman" w:cs="Times New Roman"/>
          <w:sz w:val="28"/>
          <w:szCs w:val="28"/>
        </w:rPr>
        <w:t>.</w:t>
      </w:r>
    </w:p>
    <w:p w:rsidR="00B30A8E" w:rsidRPr="005F631B" w:rsidRDefault="0042596C" w:rsidP="00B30A8E">
      <w:pPr>
        <w:jc w:val="both"/>
        <w:rPr>
          <w:rFonts w:ascii="Times New Roman" w:hAnsi="Times New Roman" w:cs="Times New Roman"/>
          <w:sz w:val="28"/>
          <w:szCs w:val="28"/>
        </w:rPr>
      </w:pPr>
      <w:r>
        <w:rPr>
          <w:rFonts w:ascii="Times New Roman" w:hAnsi="Times New Roman" w:cs="Times New Roman"/>
          <w:sz w:val="28"/>
          <w:szCs w:val="28"/>
        </w:rPr>
        <w:t xml:space="preserve">Strettamente legata agli strumenti della rigenerazione urbana è la </w:t>
      </w:r>
      <w:r w:rsidR="00B30A8E" w:rsidRPr="005F631B">
        <w:rPr>
          <w:rFonts w:ascii="Times New Roman" w:hAnsi="Times New Roman" w:cs="Times New Roman"/>
          <w:sz w:val="28"/>
          <w:szCs w:val="28"/>
        </w:rPr>
        <w:t xml:space="preserve">disciplina delle </w:t>
      </w:r>
      <w:r>
        <w:rPr>
          <w:rFonts w:ascii="Times New Roman" w:hAnsi="Times New Roman" w:cs="Times New Roman"/>
          <w:sz w:val="28"/>
          <w:szCs w:val="28"/>
        </w:rPr>
        <w:t>limitazioni al consumo di suolo</w:t>
      </w:r>
      <w:r w:rsidR="000707EF">
        <w:rPr>
          <w:rStyle w:val="Rimandonotaapidipagina"/>
          <w:rFonts w:ascii="Times New Roman" w:hAnsi="Times New Roman" w:cs="Times New Roman"/>
          <w:sz w:val="28"/>
          <w:szCs w:val="28"/>
        </w:rPr>
        <w:footnoteReference w:id="52"/>
      </w:r>
      <w:r>
        <w:rPr>
          <w:rFonts w:ascii="Times New Roman" w:hAnsi="Times New Roman" w:cs="Times New Roman"/>
          <w:sz w:val="28"/>
          <w:szCs w:val="28"/>
        </w:rPr>
        <w:t xml:space="preserve">, la quale </w:t>
      </w:r>
      <w:r w:rsidR="00B30A8E" w:rsidRPr="005F631B">
        <w:rPr>
          <w:rFonts w:ascii="Times New Roman" w:hAnsi="Times New Roman" w:cs="Times New Roman"/>
          <w:sz w:val="28"/>
          <w:szCs w:val="28"/>
        </w:rPr>
        <w:t xml:space="preserve">si è sviluppata soprattutto in ambito regionale. Sono molteplici le Regioni che, negli </w:t>
      </w:r>
      <w:r>
        <w:rPr>
          <w:rFonts w:ascii="Times New Roman" w:hAnsi="Times New Roman" w:cs="Times New Roman"/>
          <w:sz w:val="28"/>
          <w:szCs w:val="28"/>
        </w:rPr>
        <w:t xml:space="preserve">ultimi anni, hanno posto </w:t>
      </w:r>
      <w:r w:rsidR="00B30A8E" w:rsidRPr="005F631B">
        <w:rPr>
          <w:rFonts w:ascii="Times New Roman" w:hAnsi="Times New Roman" w:cs="Times New Roman"/>
          <w:sz w:val="28"/>
          <w:szCs w:val="28"/>
        </w:rPr>
        <w:t>limiti al consumo di suolo,</w:t>
      </w:r>
      <w:r>
        <w:rPr>
          <w:rFonts w:ascii="Times New Roman" w:hAnsi="Times New Roman" w:cs="Times New Roman"/>
          <w:sz w:val="28"/>
          <w:szCs w:val="28"/>
        </w:rPr>
        <w:t xml:space="preserve"> sviluppando </w:t>
      </w:r>
      <w:r w:rsidR="00B30A8E" w:rsidRPr="005F631B">
        <w:rPr>
          <w:rFonts w:ascii="Times New Roman" w:hAnsi="Times New Roman" w:cs="Times New Roman"/>
          <w:sz w:val="28"/>
          <w:szCs w:val="28"/>
        </w:rPr>
        <w:t xml:space="preserve">strumenti di conservazione e pianificazione razionale del territorio oltreché di sostenibilità ambientale Un esempio significativo è dato dalla </w:t>
      </w:r>
      <w:r>
        <w:rPr>
          <w:rFonts w:ascii="Times New Roman" w:hAnsi="Times New Roman" w:cs="Times New Roman"/>
          <w:sz w:val="28"/>
          <w:szCs w:val="28"/>
        </w:rPr>
        <w:t>legge della R</w:t>
      </w:r>
      <w:r w:rsidR="00B30A8E" w:rsidRPr="005F631B">
        <w:rPr>
          <w:rFonts w:ascii="Times New Roman" w:hAnsi="Times New Roman" w:cs="Times New Roman"/>
          <w:sz w:val="28"/>
          <w:szCs w:val="28"/>
        </w:rPr>
        <w:t>egione Toscana, 10 novembre 2014 n. 65</w:t>
      </w:r>
      <w:r w:rsidR="00B30A8E" w:rsidRPr="00866272">
        <w:rPr>
          <w:rFonts w:ascii="Times New Roman" w:hAnsi="Times New Roman" w:cs="Times New Roman"/>
          <w:b/>
          <w:sz w:val="28"/>
          <w:szCs w:val="28"/>
        </w:rPr>
        <w:t xml:space="preserve"> </w:t>
      </w:r>
      <w:r w:rsidR="00B30A8E" w:rsidRPr="00845A7D">
        <w:rPr>
          <w:rFonts w:ascii="Times New Roman" w:hAnsi="Times New Roman" w:cs="Times New Roman"/>
          <w:sz w:val="28"/>
          <w:szCs w:val="28"/>
        </w:rPr>
        <w:t>(“Norme per il governo del territorio”), che “</w:t>
      </w:r>
      <w:r w:rsidR="00B30A8E" w:rsidRPr="006E7C55">
        <w:rPr>
          <w:rFonts w:ascii="Times New Roman" w:hAnsi="Times New Roman" w:cs="Times New Roman"/>
          <w:i/>
          <w:sz w:val="28"/>
          <w:szCs w:val="28"/>
        </w:rPr>
        <w:t>detta le norme per il governo del territorio al fine di garantire lo sviluppo sostenibile delle attività rispetto alle trasformazioni territoriali da esse indotte anche evitando il nuovo consumo di suolo</w:t>
      </w:r>
      <w:r w:rsidR="00776DA9">
        <w:rPr>
          <w:rFonts w:ascii="Times New Roman" w:hAnsi="Times New Roman" w:cs="Times New Roman"/>
          <w:sz w:val="28"/>
          <w:szCs w:val="28"/>
        </w:rPr>
        <w:t xml:space="preserve">”, </w:t>
      </w:r>
      <w:r w:rsidR="00B30A8E" w:rsidRPr="00845A7D">
        <w:rPr>
          <w:rFonts w:ascii="Times New Roman" w:hAnsi="Times New Roman" w:cs="Times New Roman"/>
          <w:sz w:val="28"/>
          <w:szCs w:val="28"/>
        </w:rPr>
        <w:t>vieta che gli elementi costitutivi del patrimonio territoriale e le risorse naturali siano ridotte in m</w:t>
      </w:r>
      <w:r w:rsidR="005F631B">
        <w:rPr>
          <w:rFonts w:ascii="Times New Roman" w:hAnsi="Times New Roman" w:cs="Times New Roman"/>
          <w:sz w:val="28"/>
          <w:szCs w:val="28"/>
        </w:rPr>
        <w:t xml:space="preserve">odo irreversibile, prevede </w:t>
      </w:r>
      <w:r w:rsidR="00B30A8E" w:rsidRPr="00845A7D">
        <w:rPr>
          <w:rFonts w:ascii="Times New Roman" w:hAnsi="Times New Roman" w:cs="Times New Roman"/>
          <w:sz w:val="28"/>
          <w:szCs w:val="28"/>
        </w:rPr>
        <w:t>in ogni caso che le eventuali trasformazioni territoriali costituiscano oggetto di considerazione estesa agli effetti prodott</w:t>
      </w:r>
      <w:r w:rsidR="00776DA9">
        <w:rPr>
          <w:rFonts w:ascii="Times New Roman" w:hAnsi="Times New Roman" w:cs="Times New Roman"/>
          <w:sz w:val="28"/>
          <w:szCs w:val="28"/>
        </w:rPr>
        <w:t xml:space="preserve">i su tutte le componenti (art.4, comma 1), stabilisce altresì </w:t>
      </w:r>
      <w:r w:rsidR="00B30A8E" w:rsidRPr="005F631B">
        <w:rPr>
          <w:rFonts w:ascii="Times New Roman" w:hAnsi="Times New Roman" w:cs="Times New Roman"/>
          <w:sz w:val="28"/>
          <w:szCs w:val="28"/>
        </w:rPr>
        <w:t>che “</w:t>
      </w:r>
      <w:r w:rsidR="00B30A8E" w:rsidRPr="005F631B">
        <w:rPr>
          <w:rFonts w:ascii="Times New Roman" w:hAnsi="Times New Roman" w:cs="Times New Roman"/>
          <w:i/>
          <w:sz w:val="28"/>
          <w:szCs w:val="28"/>
        </w:rPr>
        <w:t>Le trasformazioni che comportano impegno di suolo non edificato a fini insediativi o infrastrutturali sono consentite esclusivamente nell'ambito del territorio urbanizzato</w:t>
      </w:r>
      <w:r w:rsidR="00B30A8E" w:rsidRPr="005F631B">
        <w:rPr>
          <w:rFonts w:ascii="Times New Roman" w:hAnsi="Times New Roman" w:cs="Times New Roman"/>
          <w:sz w:val="28"/>
          <w:szCs w:val="28"/>
        </w:rPr>
        <w:t>” (art. 4, comma 2, l.r. cit.).</w:t>
      </w:r>
      <w:r w:rsidR="000F391E">
        <w:rPr>
          <w:rFonts w:ascii="Times New Roman" w:hAnsi="Times New Roman" w:cs="Times New Roman"/>
          <w:sz w:val="28"/>
          <w:szCs w:val="28"/>
        </w:rPr>
        <w:t xml:space="preserve"> </w:t>
      </w:r>
      <w:r w:rsidR="00B30A8E" w:rsidRPr="00845A7D">
        <w:rPr>
          <w:rFonts w:ascii="Times New Roman" w:hAnsi="Times New Roman" w:cs="Times New Roman"/>
          <w:sz w:val="28"/>
          <w:szCs w:val="28"/>
        </w:rPr>
        <w:t>Le trasformazioni di aree inedificate sono ammesse soltanto per destinazioni produttive, infrastrutturali e di grande distribuzione, attraverso una proc</w:t>
      </w:r>
      <w:r w:rsidR="00776DA9">
        <w:rPr>
          <w:rFonts w:ascii="Times New Roman" w:hAnsi="Times New Roman" w:cs="Times New Roman"/>
          <w:sz w:val="28"/>
          <w:szCs w:val="28"/>
        </w:rPr>
        <w:t>edura complessa che consideri l’</w:t>
      </w:r>
      <w:r w:rsidR="00B30A8E" w:rsidRPr="00845A7D">
        <w:rPr>
          <w:rFonts w:ascii="Times New Roman" w:hAnsi="Times New Roman" w:cs="Times New Roman"/>
          <w:sz w:val="28"/>
          <w:szCs w:val="28"/>
        </w:rPr>
        <w:t>area va</w:t>
      </w:r>
      <w:r w:rsidR="00B30A8E">
        <w:rPr>
          <w:rFonts w:ascii="Times New Roman" w:hAnsi="Times New Roman" w:cs="Times New Roman"/>
          <w:sz w:val="28"/>
          <w:szCs w:val="28"/>
        </w:rPr>
        <w:t>sta, a cui partecipano tutti i C</w:t>
      </w:r>
      <w:r w:rsidR="004E2D7C">
        <w:rPr>
          <w:rFonts w:ascii="Times New Roman" w:hAnsi="Times New Roman" w:cs="Times New Roman"/>
          <w:sz w:val="28"/>
          <w:szCs w:val="28"/>
        </w:rPr>
        <w:t>omuni interessati, la P</w:t>
      </w:r>
      <w:r w:rsidR="00B30A8E" w:rsidRPr="00845A7D">
        <w:rPr>
          <w:rFonts w:ascii="Times New Roman" w:hAnsi="Times New Roman" w:cs="Times New Roman"/>
          <w:sz w:val="28"/>
          <w:szCs w:val="28"/>
        </w:rPr>
        <w:t>rovincia e la Regione sempreché “</w:t>
      </w:r>
      <w:r w:rsidR="00B30A8E" w:rsidRPr="006E7C55">
        <w:rPr>
          <w:rFonts w:ascii="Times New Roman" w:hAnsi="Times New Roman" w:cs="Times New Roman"/>
          <w:i/>
          <w:sz w:val="28"/>
          <w:szCs w:val="28"/>
        </w:rPr>
        <w:t>non sussistano alternative di</w:t>
      </w:r>
      <w:r w:rsidR="00B30A8E" w:rsidRPr="00845A7D">
        <w:rPr>
          <w:rFonts w:ascii="Times New Roman" w:hAnsi="Times New Roman" w:cs="Times New Roman"/>
          <w:sz w:val="28"/>
          <w:szCs w:val="28"/>
        </w:rPr>
        <w:t xml:space="preserve"> </w:t>
      </w:r>
      <w:r w:rsidR="00B30A8E" w:rsidRPr="006E7C55">
        <w:rPr>
          <w:rFonts w:ascii="Times New Roman" w:hAnsi="Times New Roman" w:cs="Times New Roman"/>
          <w:i/>
          <w:sz w:val="28"/>
          <w:szCs w:val="28"/>
        </w:rPr>
        <w:t>riutilizzazione e riorganizzazione degli insediamenti e delle infrastrutture esistenti</w:t>
      </w:r>
      <w:r w:rsidR="00B30A8E" w:rsidRPr="00845A7D">
        <w:rPr>
          <w:rFonts w:ascii="Times New Roman" w:hAnsi="Times New Roman" w:cs="Times New Roman"/>
          <w:sz w:val="28"/>
          <w:szCs w:val="28"/>
        </w:rPr>
        <w:t>” (art. 4, comma 8, l.r. cit</w:t>
      </w:r>
      <w:r w:rsidR="00B30A8E" w:rsidRPr="00866272">
        <w:rPr>
          <w:rFonts w:ascii="Times New Roman" w:hAnsi="Times New Roman" w:cs="Times New Roman"/>
          <w:b/>
          <w:sz w:val="28"/>
          <w:szCs w:val="28"/>
        </w:rPr>
        <w:t xml:space="preserve">.).  </w:t>
      </w:r>
      <w:r w:rsidR="00B30A8E" w:rsidRPr="005F631B">
        <w:rPr>
          <w:rFonts w:ascii="Times New Roman" w:hAnsi="Times New Roman" w:cs="Times New Roman"/>
          <w:sz w:val="28"/>
          <w:szCs w:val="28"/>
        </w:rPr>
        <w:t>Il “</w:t>
      </w:r>
      <w:r w:rsidR="00B30A8E" w:rsidRPr="005F631B">
        <w:rPr>
          <w:rFonts w:ascii="Times New Roman" w:hAnsi="Times New Roman" w:cs="Times New Roman"/>
          <w:i/>
          <w:sz w:val="28"/>
          <w:szCs w:val="28"/>
        </w:rPr>
        <w:t>traguardo previsto dalla Commissione europea di giungere entro il 2050 a una occupazione netta di terreno pari a zero</w:t>
      </w:r>
      <w:r w:rsidR="00B30A8E" w:rsidRPr="005F631B">
        <w:rPr>
          <w:rFonts w:ascii="Times New Roman" w:hAnsi="Times New Roman" w:cs="Times New Roman"/>
          <w:sz w:val="28"/>
          <w:szCs w:val="28"/>
        </w:rPr>
        <w:t xml:space="preserve">” è espressamente indicato come lo scopo primario della l.r. Lombardia 28 novembre 2014 n. 31 (“Disposizioni per la riduzione del consumo di suolo e per la riqualificazione del suolo degradato”). Anche l.r. Emilia-Romagna 21 dicembre 2017 n. 24 (“Disciplina reginale sulla tutela e l'uso del territorio”) ha quale obiettivo il </w:t>
      </w:r>
      <w:r w:rsidR="00B30A8E" w:rsidRPr="005F631B">
        <w:rPr>
          <w:rFonts w:ascii="Times New Roman" w:hAnsi="Times New Roman" w:cs="Times New Roman"/>
          <w:sz w:val="28"/>
          <w:szCs w:val="28"/>
        </w:rPr>
        <w:lastRenderedPageBreak/>
        <w:t>consumo di suolo zero entro il 2050, cosicché agli strumenti di pianificazione territoriale ed urbanistica, conformati dalla stessa legge, è affidato il compito di limitare il consumo di suolo attraverso il riuso e la rigenera</w:t>
      </w:r>
      <w:r w:rsidR="005223D9">
        <w:rPr>
          <w:rFonts w:ascii="Times New Roman" w:hAnsi="Times New Roman" w:cs="Times New Roman"/>
          <w:sz w:val="28"/>
          <w:szCs w:val="28"/>
        </w:rPr>
        <w:t>zione del territorio urbanizzato</w:t>
      </w:r>
      <w:r w:rsidR="00B30A8E" w:rsidRPr="005F631B">
        <w:rPr>
          <w:rFonts w:ascii="Times New Roman" w:hAnsi="Times New Roman" w:cs="Times New Roman"/>
          <w:sz w:val="28"/>
          <w:szCs w:val="28"/>
        </w:rPr>
        <w:t xml:space="preserve"> (art. 5, comma 1)</w:t>
      </w:r>
      <w:r w:rsidR="00B30A8E" w:rsidRPr="005F631B">
        <w:rPr>
          <w:rStyle w:val="Rimandonotaapidipagina"/>
          <w:rFonts w:ascii="Times New Roman" w:hAnsi="Times New Roman" w:cs="Times New Roman"/>
          <w:sz w:val="28"/>
          <w:szCs w:val="28"/>
        </w:rPr>
        <w:footnoteReference w:id="53"/>
      </w:r>
      <w:r w:rsidR="00B30A8E" w:rsidRPr="005F631B">
        <w:rPr>
          <w:rFonts w:ascii="Times New Roman" w:hAnsi="Times New Roman" w:cs="Times New Roman"/>
          <w:sz w:val="28"/>
          <w:szCs w:val="28"/>
        </w:rPr>
        <w:t>.</w:t>
      </w:r>
    </w:p>
    <w:p w:rsidR="00B30A8E" w:rsidRPr="005F631B" w:rsidRDefault="00776DA9" w:rsidP="00B30A8E">
      <w:pPr>
        <w:jc w:val="both"/>
        <w:rPr>
          <w:rFonts w:ascii="Times New Roman" w:hAnsi="Times New Roman" w:cs="Times New Roman"/>
          <w:sz w:val="28"/>
          <w:szCs w:val="28"/>
        </w:rPr>
      </w:pPr>
      <w:r>
        <w:rPr>
          <w:rFonts w:ascii="Times New Roman" w:hAnsi="Times New Roman" w:cs="Times New Roman"/>
          <w:sz w:val="28"/>
          <w:szCs w:val="28"/>
        </w:rPr>
        <w:t>Dal quadro testé delineato si evince chiaramente che l</w:t>
      </w:r>
      <w:r w:rsidR="00AE66F7">
        <w:rPr>
          <w:rFonts w:ascii="Times New Roman" w:hAnsi="Times New Roman" w:cs="Times New Roman"/>
          <w:sz w:val="28"/>
          <w:szCs w:val="28"/>
        </w:rPr>
        <w:t xml:space="preserve">’obiettivo del </w:t>
      </w:r>
      <w:r>
        <w:rPr>
          <w:rFonts w:ascii="Times New Roman" w:hAnsi="Times New Roman" w:cs="Times New Roman"/>
          <w:sz w:val="28"/>
          <w:szCs w:val="28"/>
        </w:rPr>
        <w:t xml:space="preserve">consumo di suolo zero incide fortemente </w:t>
      </w:r>
      <w:r w:rsidR="00AE66F7">
        <w:rPr>
          <w:rFonts w:ascii="Times New Roman" w:hAnsi="Times New Roman" w:cs="Times New Roman"/>
          <w:sz w:val="28"/>
          <w:szCs w:val="28"/>
        </w:rPr>
        <w:t xml:space="preserve">sullo statuto della </w:t>
      </w:r>
      <w:r w:rsidR="00823304">
        <w:rPr>
          <w:rFonts w:ascii="Times New Roman" w:hAnsi="Times New Roman" w:cs="Times New Roman"/>
          <w:sz w:val="28"/>
          <w:szCs w:val="28"/>
        </w:rPr>
        <w:t>proprietà fondiaria</w:t>
      </w:r>
      <w:r w:rsidR="00B30A8E" w:rsidRPr="005F631B">
        <w:rPr>
          <w:rFonts w:ascii="Times New Roman" w:hAnsi="Times New Roman" w:cs="Times New Roman"/>
          <w:sz w:val="28"/>
          <w:szCs w:val="28"/>
        </w:rPr>
        <w:t xml:space="preserve"> </w:t>
      </w:r>
      <w:r>
        <w:rPr>
          <w:rFonts w:ascii="Times New Roman" w:hAnsi="Times New Roman" w:cs="Times New Roman"/>
          <w:sz w:val="28"/>
          <w:szCs w:val="28"/>
        </w:rPr>
        <w:t>in quanto la rende subalterna</w:t>
      </w:r>
      <w:r w:rsidR="00AE66F7">
        <w:rPr>
          <w:rFonts w:ascii="Times New Roman" w:hAnsi="Times New Roman" w:cs="Times New Roman"/>
          <w:sz w:val="28"/>
          <w:szCs w:val="28"/>
        </w:rPr>
        <w:t xml:space="preserve"> </w:t>
      </w:r>
      <w:r w:rsidR="00B30A8E" w:rsidRPr="005F631B">
        <w:rPr>
          <w:rFonts w:ascii="Times New Roman" w:hAnsi="Times New Roman" w:cs="Times New Roman"/>
          <w:sz w:val="28"/>
          <w:szCs w:val="28"/>
        </w:rPr>
        <w:t xml:space="preserve">rispetto </w:t>
      </w:r>
      <w:r w:rsidR="00AE66F7">
        <w:rPr>
          <w:rFonts w:ascii="Times New Roman" w:hAnsi="Times New Roman" w:cs="Times New Roman"/>
          <w:sz w:val="28"/>
          <w:szCs w:val="28"/>
        </w:rPr>
        <w:t>alla “funzione sociale” richiamata da</w:t>
      </w:r>
      <w:r w:rsidR="00951F0A">
        <w:rPr>
          <w:rFonts w:ascii="Times New Roman" w:hAnsi="Times New Roman" w:cs="Times New Roman"/>
          <w:sz w:val="28"/>
          <w:szCs w:val="28"/>
        </w:rPr>
        <w:t>l</w:t>
      </w:r>
      <w:r w:rsidR="00AE66F7">
        <w:rPr>
          <w:rFonts w:ascii="Times New Roman" w:hAnsi="Times New Roman" w:cs="Times New Roman"/>
          <w:sz w:val="28"/>
          <w:szCs w:val="28"/>
        </w:rPr>
        <w:t>l</w:t>
      </w:r>
      <w:r w:rsidR="00B30A8E" w:rsidRPr="005F631B">
        <w:rPr>
          <w:rFonts w:ascii="Times New Roman" w:hAnsi="Times New Roman" w:cs="Times New Roman"/>
          <w:sz w:val="28"/>
          <w:szCs w:val="28"/>
        </w:rPr>
        <w:t xml:space="preserve">’art. 42, comma 2, Cost., </w:t>
      </w:r>
      <w:r w:rsidR="00AE66F7">
        <w:rPr>
          <w:rFonts w:ascii="Times New Roman" w:hAnsi="Times New Roman" w:cs="Times New Roman"/>
          <w:sz w:val="28"/>
          <w:szCs w:val="28"/>
        </w:rPr>
        <w:t xml:space="preserve">nonché agli </w:t>
      </w:r>
      <w:r w:rsidR="00B30A8E" w:rsidRPr="005F631B">
        <w:rPr>
          <w:rFonts w:ascii="Times New Roman" w:hAnsi="Times New Roman" w:cs="Times New Roman"/>
          <w:sz w:val="28"/>
          <w:szCs w:val="28"/>
        </w:rPr>
        <w:t xml:space="preserve">inderogabili doveri di solidarietà politica, economica e sociale di cui </w:t>
      </w:r>
      <w:r w:rsidR="00AE66F7">
        <w:rPr>
          <w:rFonts w:ascii="Times New Roman" w:hAnsi="Times New Roman" w:cs="Times New Roman"/>
          <w:sz w:val="28"/>
          <w:szCs w:val="28"/>
        </w:rPr>
        <w:t xml:space="preserve">all’art. 2 </w:t>
      </w:r>
      <w:r w:rsidR="00B30A8E" w:rsidRPr="005F631B">
        <w:rPr>
          <w:rFonts w:ascii="Times New Roman" w:hAnsi="Times New Roman" w:cs="Times New Roman"/>
          <w:sz w:val="28"/>
          <w:szCs w:val="28"/>
        </w:rPr>
        <w:t xml:space="preserve">Cost. </w:t>
      </w:r>
      <w:r w:rsidR="00AE66F7">
        <w:rPr>
          <w:rFonts w:ascii="Times New Roman" w:hAnsi="Times New Roman" w:cs="Times New Roman"/>
          <w:sz w:val="28"/>
          <w:szCs w:val="28"/>
        </w:rPr>
        <w:t xml:space="preserve">In tale ottica, </w:t>
      </w:r>
      <w:r>
        <w:rPr>
          <w:rFonts w:ascii="Times New Roman" w:hAnsi="Times New Roman" w:cs="Times New Roman"/>
          <w:sz w:val="28"/>
          <w:szCs w:val="28"/>
        </w:rPr>
        <w:t xml:space="preserve">attraverso tale disciplina, </w:t>
      </w:r>
      <w:r w:rsidR="00AE66F7">
        <w:rPr>
          <w:rFonts w:ascii="Times New Roman" w:hAnsi="Times New Roman" w:cs="Times New Roman"/>
          <w:sz w:val="28"/>
          <w:szCs w:val="28"/>
        </w:rPr>
        <w:t xml:space="preserve">potrebbe </w:t>
      </w:r>
      <w:r w:rsidR="00B30A8E" w:rsidRPr="005F631B">
        <w:rPr>
          <w:rFonts w:ascii="Times New Roman" w:hAnsi="Times New Roman" w:cs="Times New Roman"/>
          <w:sz w:val="28"/>
          <w:szCs w:val="28"/>
        </w:rPr>
        <w:t xml:space="preserve">essere superata una questione </w:t>
      </w:r>
      <w:r w:rsidR="00AE66F7">
        <w:rPr>
          <w:rFonts w:ascii="Times New Roman" w:hAnsi="Times New Roman" w:cs="Times New Roman"/>
          <w:sz w:val="28"/>
          <w:szCs w:val="28"/>
        </w:rPr>
        <w:t xml:space="preserve">ricorrente nel </w:t>
      </w:r>
      <w:r w:rsidR="00823304">
        <w:rPr>
          <w:rFonts w:ascii="Times New Roman" w:hAnsi="Times New Roman" w:cs="Times New Roman"/>
          <w:sz w:val="28"/>
          <w:szCs w:val="28"/>
        </w:rPr>
        <w:t xml:space="preserve">diritto urbanistico italiano: </w:t>
      </w:r>
      <w:r>
        <w:rPr>
          <w:rFonts w:ascii="Times New Roman" w:hAnsi="Times New Roman" w:cs="Times New Roman"/>
          <w:sz w:val="28"/>
          <w:szCs w:val="28"/>
        </w:rPr>
        <w:t xml:space="preserve">quella relativa </w:t>
      </w:r>
      <w:r w:rsidR="000707EF">
        <w:rPr>
          <w:rFonts w:ascii="Times New Roman" w:hAnsi="Times New Roman" w:cs="Times New Roman"/>
          <w:sz w:val="28"/>
          <w:szCs w:val="28"/>
        </w:rPr>
        <w:t>al</w:t>
      </w:r>
      <w:r w:rsidR="00823304">
        <w:rPr>
          <w:rFonts w:ascii="Times New Roman" w:hAnsi="Times New Roman" w:cs="Times New Roman"/>
          <w:sz w:val="28"/>
          <w:szCs w:val="28"/>
        </w:rPr>
        <w:t>l’</w:t>
      </w:r>
      <w:r w:rsidR="00B30A8E" w:rsidRPr="005F631B">
        <w:rPr>
          <w:rFonts w:ascii="Times New Roman" w:hAnsi="Times New Roman" w:cs="Times New Roman"/>
          <w:sz w:val="28"/>
          <w:szCs w:val="28"/>
        </w:rPr>
        <w:t xml:space="preserve">inerenza (o meno) dello </w:t>
      </w:r>
      <w:r w:rsidR="00B30A8E" w:rsidRPr="005F631B">
        <w:rPr>
          <w:rFonts w:ascii="Times New Roman" w:hAnsi="Times New Roman" w:cs="Times New Roman"/>
          <w:i/>
          <w:sz w:val="28"/>
          <w:szCs w:val="28"/>
        </w:rPr>
        <w:t>ius aedificandi</w:t>
      </w:r>
      <w:r w:rsidR="00B30A8E" w:rsidRPr="005F631B">
        <w:rPr>
          <w:rFonts w:ascii="Times New Roman" w:hAnsi="Times New Roman" w:cs="Times New Roman"/>
          <w:sz w:val="28"/>
          <w:szCs w:val="28"/>
        </w:rPr>
        <w:t xml:space="preserve"> al diritto di proprietà fondiaria. Da questo punto di vista</w:t>
      </w:r>
      <w:r>
        <w:rPr>
          <w:rFonts w:ascii="Times New Roman" w:hAnsi="Times New Roman" w:cs="Times New Roman"/>
          <w:sz w:val="28"/>
          <w:szCs w:val="28"/>
        </w:rPr>
        <w:t xml:space="preserve"> si è osservato che una disciplina organica </w:t>
      </w:r>
      <w:r w:rsidR="00B30A8E" w:rsidRPr="005F631B">
        <w:rPr>
          <w:rFonts w:ascii="Times New Roman" w:hAnsi="Times New Roman" w:cs="Times New Roman"/>
          <w:sz w:val="28"/>
          <w:szCs w:val="28"/>
        </w:rPr>
        <w:t>in materia di riduzione del consumo di suolo e rigenerazione urbana dovrebbe comportare anche la riforma del diritto di proprietà fondiaria/edilizia, cioè una modificazione dell’ordinamento civile, materia che l'art. 117, comma 2,  Cost., affida in via esclusiva al legislatore statale</w:t>
      </w:r>
      <w:r w:rsidR="00B30A8E" w:rsidRPr="005F631B">
        <w:rPr>
          <w:rStyle w:val="Rimandonotaapidipagina"/>
          <w:rFonts w:ascii="Times New Roman" w:hAnsi="Times New Roman" w:cs="Times New Roman"/>
          <w:sz w:val="28"/>
          <w:szCs w:val="28"/>
        </w:rPr>
        <w:footnoteReference w:id="54"/>
      </w:r>
      <w:r w:rsidR="00B30A8E" w:rsidRPr="005F631B">
        <w:rPr>
          <w:rFonts w:ascii="Times New Roman" w:hAnsi="Times New Roman" w:cs="Times New Roman"/>
          <w:sz w:val="28"/>
          <w:szCs w:val="28"/>
        </w:rPr>
        <w:t>.</w:t>
      </w:r>
    </w:p>
    <w:p w:rsidR="00B30A8E" w:rsidRPr="00845A7D" w:rsidRDefault="00B30A8E" w:rsidP="00B30A8E">
      <w:pPr>
        <w:rPr>
          <w:rFonts w:ascii="Times New Roman" w:hAnsi="Times New Roman" w:cs="Times New Roman"/>
          <w:b/>
          <w:sz w:val="28"/>
          <w:szCs w:val="28"/>
        </w:rPr>
      </w:pPr>
      <w:r w:rsidRPr="00845A7D">
        <w:rPr>
          <w:rFonts w:ascii="Times New Roman" w:hAnsi="Times New Roman" w:cs="Times New Roman"/>
          <w:b/>
          <w:sz w:val="28"/>
          <w:szCs w:val="28"/>
        </w:rPr>
        <w:t>5. Conclusioni</w:t>
      </w:r>
    </w:p>
    <w:p w:rsidR="00B30A8E" w:rsidRPr="005F631B" w:rsidRDefault="00B30A8E" w:rsidP="00B30A8E">
      <w:pPr>
        <w:jc w:val="both"/>
        <w:rPr>
          <w:rFonts w:ascii="Times New Roman" w:hAnsi="Times New Roman" w:cs="Times New Roman"/>
          <w:sz w:val="28"/>
          <w:szCs w:val="28"/>
        </w:rPr>
      </w:pPr>
      <w:r w:rsidRPr="005F631B">
        <w:rPr>
          <w:rFonts w:ascii="Times New Roman" w:hAnsi="Times New Roman" w:cs="Times New Roman"/>
          <w:sz w:val="28"/>
          <w:szCs w:val="28"/>
        </w:rPr>
        <w:t>È lecito domandarsi</w:t>
      </w:r>
      <w:r w:rsidR="00356137">
        <w:rPr>
          <w:rFonts w:ascii="Times New Roman" w:hAnsi="Times New Roman" w:cs="Times New Roman"/>
          <w:sz w:val="28"/>
          <w:szCs w:val="28"/>
        </w:rPr>
        <w:t xml:space="preserve"> </w:t>
      </w:r>
      <w:r w:rsidRPr="005F631B">
        <w:rPr>
          <w:rFonts w:ascii="Times New Roman" w:hAnsi="Times New Roman" w:cs="Times New Roman"/>
          <w:sz w:val="28"/>
          <w:szCs w:val="28"/>
        </w:rPr>
        <w:t>se il governo del territorio si avvii ad assumere il ruolo di un obiettivo fondamentale da perseguire</w:t>
      </w:r>
      <w:r w:rsidRPr="00866272">
        <w:rPr>
          <w:rFonts w:ascii="Times New Roman" w:hAnsi="Times New Roman" w:cs="Times New Roman"/>
          <w:b/>
          <w:sz w:val="28"/>
          <w:szCs w:val="28"/>
        </w:rPr>
        <w:t xml:space="preserve"> </w:t>
      </w:r>
      <w:r w:rsidR="005F631B" w:rsidRPr="005F631B">
        <w:rPr>
          <w:rFonts w:ascii="Times New Roman" w:hAnsi="Times New Roman" w:cs="Times New Roman"/>
          <w:sz w:val="28"/>
          <w:szCs w:val="28"/>
        </w:rPr>
        <w:t>da parte del</w:t>
      </w:r>
      <w:r w:rsidRPr="005F631B">
        <w:rPr>
          <w:rFonts w:ascii="Times New Roman" w:hAnsi="Times New Roman" w:cs="Times New Roman"/>
          <w:sz w:val="28"/>
          <w:szCs w:val="28"/>
        </w:rPr>
        <w:t xml:space="preserve">l’intero sistema della territorialità </w:t>
      </w:r>
      <w:r w:rsidR="005F631B">
        <w:rPr>
          <w:rFonts w:ascii="Times New Roman" w:hAnsi="Times New Roman" w:cs="Times New Roman"/>
          <w:sz w:val="28"/>
          <w:szCs w:val="28"/>
        </w:rPr>
        <w:t xml:space="preserve">attraverso </w:t>
      </w:r>
      <w:r w:rsidRPr="005F631B">
        <w:rPr>
          <w:rFonts w:ascii="Times New Roman" w:hAnsi="Times New Roman" w:cs="Times New Roman"/>
          <w:sz w:val="28"/>
          <w:szCs w:val="28"/>
        </w:rPr>
        <w:t xml:space="preserve">azioni pubbliche ispirate da una visione biocentrica. In questa prospettiva, lo spazio di potestà concorrente previsto nell’art. 117, terzo comma, Cost, </w:t>
      </w:r>
      <w:r w:rsidR="005F631B">
        <w:rPr>
          <w:rFonts w:ascii="Times New Roman" w:hAnsi="Times New Roman" w:cs="Times New Roman"/>
          <w:sz w:val="28"/>
          <w:szCs w:val="28"/>
        </w:rPr>
        <w:t xml:space="preserve">dovrebbe essere concepito </w:t>
      </w:r>
      <w:r w:rsidRPr="005F631B">
        <w:rPr>
          <w:rFonts w:ascii="Times New Roman" w:hAnsi="Times New Roman" w:cs="Times New Roman"/>
          <w:sz w:val="28"/>
          <w:szCs w:val="28"/>
        </w:rPr>
        <w:t xml:space="preserve">in termini di </w:t>
      </w:r>
      <w:r w:rsidRPr="005F631B">
        <w:rPr>
          <w:rFonts w:ascii="Times New Roman" w:hAnsi="Times New Roman" w:cs="Times New Roman"/>
          <w:i/>
          <w:sz w:val="28"/>
          <w:szCs w:val="28"/>
        </w:rPr>
        <w:t>governance,</w:t>
      </w:r>
      <w:r w:rsidRPr="005F631B">
        <w:rPr>
          <w:rFonts w:ascii="Times New Roman" w:hAnsi="Times New Roman" w:cs="Times New Roman"/>
          <w:sz w:val="28"/>
          <w:szCs w:val="28"/>
        </w:rPr>
        <w:t xml:space="preserve"> quale tratto unificante</w:t>
      </w:r>
      <w:r w:rsidRPr="00866272">
        <w:rPr>
          <w:rFonts w:ascii="Times New Roman" w:hAnsi="Times New Roman" w:cs="Times New Roman"/>
          <w:b/>
          <w:sz w:val="28"/>
          <w:szCs w:val="28"/>
        </w:rPr>
        <w:t xml:space="preserve"> </w:t>
      </w:r>
      <w:r w:rsidRPr="005F631B">
        <w:rPr>
          <w:rFonts w:ascii="Times New Roman" w:hAnsi="Times New Roman" w:cs="Times New Roman"/>
          <w:sz w:val="28"/>
          <w:szCs w:val="28"/>
        </w:rPr>
        <w:t>dell’organizzazione dei processi che hanno incidenza sugli equilibri del territorio</w:t>
      </w:r>
      <w:r w:rsidR="00776DA9">
        <w:rPr>
          <w:rStyle w:val="Rimandonotaapidipagina"/>
          <w:rFonts w:ascii="Times New Roman" w:hAnsi="Times New Roman" w:cs="Times New Roman"/>
          <w:sz w:val="28"/>
          <w:szCs w:val="28"/>
        </w:rPr>
        <w:footnoteReference w:id="55"/>
      </w:r>
      <w:r w:rsidRPr="005F631B">
        <w:rPr>
          <w:rFonts w:ascii="Times New Roman" w:hAnsi="Times New Roman" w:cs="Times New Roman"/>
          <w:sz w:val="28"/>
          <w:szCs w:val="28"/>
        </w:rPr>
        <w:t>.</w:t>
      </w:r>
    </w:p>
    <w:p w:rsidR="00B30A8E" w:rsidRPr="005F631B" w:rsidRDefault="00B30A8E" w:rsidP="00B30A8E">
      <w:pPr>
        <w:jc w:val="both"/>
        <w:rPr>
          <w:rFonts w:ascii="Times New Roman" w:hAnsi="Times New Roman" w:cs="Times New Roman"/>
          <w:sz w:val="28"/>
          <w:szCs w:val="28"/>
        </w:rPr>
      </w:pPr>
      <w:r w:rsidRPr="005F631B">
        <w:rPr>
          <w:rFonts w:ascii="Times New Roman" w:hAnsi="Times New Roman" w:cs="Times New Roman"/>
          <w:sz w:val="28"/>
          <w:szCs w:val="28"/>
        </w:rPr>
        <w:t>Nella prospettiva del consumo di suolo zero, anche la pianificazione urbanistica è destinata a diventare strumento della più complessiva tutela paesaggistico-ambientale</w:t>
      </w:r>
      <w:r w:rsidRPr="005F631B">
        <w:rPr>
          <w:rStyle w:val="Rimandonotaapidipagina"/>
          <w:rFonts w:ascii="Times New Roman" w:hAnsi="Times New Roman" w:cs="Times New Roman"/>
          <w:sz w:val="28"/>
          <w:szCs w:val="28"/>
        </w:rPr>
        <w:footnoteReference w:id="56"/>
      </w:r>
      <w:r w:rsidRPr="005F631B">
        <w:rPr>
          <w:rFonts w:ascii="Times New Roman" w:hAnsi="Times New Roman" w:cs="Times New Roman"/>
          <w:sz w:val="28"/>
          <w:szCs w:val="28"/>
        </w:rPr>
        <w:t xml:space="preserve">. A tal fine </w:t>
      </w:r>
      <w:r w:rsidR="00776DA9">
        <w:rPr>
          <w:rFonts w:ascii="Times New Roman" w:hAnsi="Times New Roman" w:cs="Times New Roman"/>
          <w:sz w:val="28"/>
          <w:szCs w:val="28"/>
        </w:rPr>
        <w:t xml:space="preserve">ci si è chiesti se non debba </w:t>
      </w:r>
      <w:r w:rsidRPr="005F631B">
        <w:rPr>
          <w:rFonts w:ascii="Times New Roman" w:hAnsi="Times New Roman" w:cs="Times New Roman"/>
          <w:sz w:val="28"/>
          <w:szCs w:val="28"/>
        </w:rPr>
        <w:t>essere ripensato lo stesso schema della pianificazione urbanistica</w:t>
      </w:r>
      <w:r w:rsidR="00776DA9">
        <w:rPr>
          <w:rFonts w:ascii="Times New Roman" w:hAnsi="Times New Roman" w:cs="Times New Roman"/>
          <w:sz w:val="28"/>
          <w:szCs w:val="28"/>
        </w:rPr>
        <w:t xml:space="preserve"> in considerazione del venir meno della</w:t>
      </w:r>
      <w:r w:rsidRPr="005F631B">
        <w:rPr>
          <w:rFonts w:ascii="Times New Roman" w:hAnsi="Times New Roman" w:cs="Times New Roman"/>
          <w:sz w:val="28"/>
          <w:szCs w:val="28"/>
        </w:rPr>
        <w:t xml:space="preserve"> centralità del piano regolatore generale comunale. La dimensione del singolo Comune non è infatti compatibile con le esigenze tecniche </w:t>
      </w:r>
      <w:r w:rsidR="004E2D7C">
        <w:rPr>
          <w:rFonts w:ascii="Times New Roman" w:hAnsi="Times New Roman" w:cs="Times New Roman"/>
          <w:sz w:val="28"/>
          <w:szCs w:val="28"/>
        </w:rPr>
        <w:t xml:space="preserve">di una pianificazione orientata verso la riduzione del consumo di suolo. </w:t>
      </w:r>
      <w:r w:rsidRPr="005F631B">
        <w:rPr>
          <w:rFonts w:ascii="Times New Roman" w:hAnsi="Times New Roman" w:cs="Times New Roman"/>
          <w:sz w:val="28"/>
          <w:szCs w:val="28"/>
        </w:rPr>
        <w:t xml:space="preserve">In questa prospettiva, inoltre, il problema del rapporto con le tutele differenziate non può più essere affrontato </w:t>
      </w:r>
      <w:r w:rsidR="005F631B">
        <w:rPr>
          <w:rFonts w:ascii="Times New Roman" w:hAnsi="Times New Roman" w:cs="Times New Roman"/>
          <w:sz w:val="28"/>
          <w:szCs w:val="28"/>
        </w:rPr>
        <w:t xml:space="preserve">soltanto </w:t>
      </w:r>
      <w:r w:rsidRPr="005F631B">
        <w:rPr>
          <w:rFonts w:ascii="Times New Roman" w:hAnsi="Times New Roman" w:cs="Times New Roman"/>
          <w:sz w:val="28"/>
          <w:szCs w:val="28"/>
        </w:rPr>
        <w:t xml:space="preserve">in termini dualistici secondo la logica basata sulla gerarchia degli interessi, poiché l’interesse ambientale ormai </w:t>
      </w:r>
      <w:r w:rsidRPr="005F631B">
        <w:rPr>
          <w:rFonts w:ascii="Times New Roman" w:hAnsi="Times New Roman" w:cs="Times New Roman"/>
          <w:sz w:val="28"/>
          <w:szCs w:val="28"/>
        </w:rPr>
        <w:lastRenderedPageBreak/>
        <w:t>integra necessariament</w:t>
      </w:r>
      <w:r w:rsidR="00776DA9">
        <w:rPr>
          <w:rFonts w:ascii="Times New Roman" w:hAnsi="Times New Roman" w:cs="Times New Roman"/>
          <w:sz w:val="28"/>
          <w:szCs w:val="28"/>
        </w:rPr>
        <w:t xml:space="preserve">e le stesse scelte urbanistiche, dall’interno, </w:t>
      </w:r>
      <w:r w:rsidRPr="005F631B">
        <w:rPr>
          <w:rFonts w:ascii="Times New Roman" w:hAnsi="Times New Roman" w:cs="Times New Roman"/>
          <w:sz w:val="28"/>
          <w:szCs w:val="28"/>
        </w:rPr>
        <w:t>mentre l’espansione edilizia finisce per assumere un ruolo residuale e circoscritto a tessuti già edificati</w:t>
      </w:r>
      <w:r w:rsidR="00F50F86">
        <w:rPr>
          <w:rStyle w:val="Rimandonotaapidipagina"/>
          <w:rFonts w:ascii="Times New Roman" w:hAnsi="Times New Roman" w:cs="Times New Roman"/>
          <w:sz w:val="28"/>
          <w:szCs w:val="28"/>
        </w:rPr>
        <w:footnoteReference w:id="57"/>
      </w:r>
      <w:r w:rsidRPr="005F631B">
        <w:rPr>
          <w:rFonts w:ascii="Times New Roman" w:hAnsi="Times New Roman" w:cs="Times New Roman"/>
          <w:sz w:val="28"/>
          <w:szCs w:val="28"/>
        </w:rPr>
        <w:t>.</w:t>
      </w:r>
    </w:p>
    <w:p w:rsidR="00B30A8E" w:rsidRDefault="005223D9" w:rsidP="00B30A8E">
      <w:pPr>
        <w:jc w:val="both"/>
        <w:rPr>
          <w:rFonts w:ascii="Times New Roman" w:hAnsi="Times New Roman" w:cs="Times New Roman"/>
          <w:sz w:val="28"/>
          <w:szCs w:val="28"/>
        </w:rPr>
      </w:pPr>
      <w:r>
        <w:rPr>
          <w:rFonts w:ascii="Times New Roman" w:hAnsi="Times New Roman" w:cs="Times New Roman"/>
          <w:sz w:val="28"/>
          <w:szCs w:val="28"/>
        </w:rPr>
        <w:t>A tale trasformazione della pianificazione urbanistica</w:t>
      </w:r>
      <w:r w:rsidR="005F631B" w:rsidRPr="005F631B">
        <w:rPr>
          <w:rFonts w:ascii="Times New Roman" w:hAnsi="Times New Roman" w:cs="Times New Roman"/>
          <w:sz w:val="28"/>
          <w:szCs w:val="28"/>
        </w:rPr>
        <w:t xml:space="preserve"> dovrebbe </w:t>
      </w:r>
      <w:r w:rsidR="00B30A8E" w:rsidRPr="005F631B">
        <w:rPr>
          <w:rFonts w:ascii="Times New Roman" w:hAnsi="Times New Roman" w:cs="Times New Roman"/>
          <w:sz w:val="28"/>
          <w:szCs w:val="28"/>
        </w:rPr>
        <w:t xml:space="preserve">però corrispondere anche una più penetrante forma di sindacato giurisdizionale sui processi pianificatori. In tale ottica, la molteplicità ed eterogeneità degli interessi coinvolti  - con la sempre maggior incidenza sul diritto di proprietà e la diversa conformazione dello </w:t>
      </w:r>
      <w:r w:rsidR="00B30A8E" w:rsidRPr="005F631B">
        <w:rPr>
          <w:rFonts w:ascii="Times New Roman" w:hAnsi="Times New Roman" w:cs="Times New Roman"/>
          <w:i/>
          <w:sz w:val="28"/>
          <w:szCs w:val="28"/>
        </w:rPr>
        <w:t>ius aedificandi</w:t>
      </w:r>
      <w:r w:rsidR="00B30A8E" w:rsidRPr="005F631B">
        <w:rPr>
          <w:rFonts w:ascii="Times New Roman" w:hAnsi="Times New Roman" w:cs="Times New Roman"/>
          <w:sz w:val="28"/>
          <w:szCs w:val="28"/>
        </w:rPr>
        <w:t xml:space="preserve"> </w:t>
      </w:r>
      <w:r w:rsidR="00044DE4">
        <w:rPr>
          <w:rFonts w:ascii="Times New Roman" w:hAnsi="Times New Roman" w:cs="Times New Roman"/>
          <w:sz w:val="28"/>
          <w:szCs w:val="28"/>
        </w:rPr>
        <w:t>–</w:t>
      </w:r>
      <w:r w:rsidR="00B30A8E" w:rsidRPr="005F631B">
        <w:rPr>
          <w:rFonts w:ascii="Times New Roman" w:hAnsi="Times New Roman" w:cs="Times New Roman"/>
          <w:sz w:val="28"/>
          <w:szCs w:val="28"/>
        </w:rPr>
        <w:t xml:space="preserve"> </w:t>
      </w:r>
      <w:r w:rsidR="00044DE4">
        <w:rPr>
          <w:rFonts w:ascii="Times New Roman" w:hAnsi="Times New Roman" w:cs="Times New Roman"/>
          <w:sz w:val="28"/>
          <w:szCs w:val="28"/>
        </w:rPr>
        <w:t xml:space="preserve">richiede, da un lato, </w:t>
      </w:r>
      <w:r w:rsidR="00B30A8E" w:rsidRPr="005F631B">
        <w:rPr>
          <w:rFonts w:ascii="Times New Roman" w:hAnsi="Times New Roman" w:cs="Times New Roman"/>
          <w:sz w:val="28"/>
          <w:szCs w:val="28"/>
        </w:rPr>
        <w:t>una più incisiva valorizzazione della fase istruttoria del procedimento di formazione dello strumento urbanistico, e, dall’altro, una significativa accentuazione dell’obbligo di motivazione affinché il provvedimento finale renda adeguatamente conto delle valutazioni effettuate, degli accertamenti compiuti e delle concrete modalità con cui l’Amministrazione ha esercitato i suoi poteri</w:t>
      </w:r>
      <w:r w:rsidR="00B30A8E" w:rsidRPr="005F631B">
        <w:rPr>
          <w:rStyle w:val="Rimandonotaapidipagina"/>
          <w:rFonts w:ascii="Times New Roman" w:hAnsi="Times New Roman" w:cs="Times New Roman"/>
          <w:sz w:val="28"/>
          <w:szCs w:val="28"/>
        </w:rPr>
        <w:footnoteReference w:id="58"/>
      </w:r>
      <w:r w:rsidR="00B30A8E" w:rsidRPr="005F631B">
        <w:rPr>
          <w:rFonts w:ascii="Times New Roman" w:hAnsi="Times New Roman" w:cs="Times New Roman"/>
          <w:sz w:val="28"/>
          <w:szCs w:val="28"/>
        </w:rPr>
        <w:t>.</w:t>
      </w:r>
    </w:p>
    <w:p w:rsidR="005A60A3" w:rsidRPr="005F631B" w:rsidRDefault="005A60A3" w:rsidP="00B30A8E">
      <w:pPr>
        <w:jc w:val="both"/>
        <w:rPr>
          <w:rFonts w:ascii="Times New Roman" w:hAnsi="Times New Roman" w:cs="Times New Roman"/>
          <w:sz w:val="28"/>
          <w:szCs w:val="28"/>
        </w:rPr>
      </w:pPr>
      <w:r>
        <w:rPr>
          <w:rFonts w:ascii="Times New Roman" w:hAnsi="Times New Roman" w:cs="Times New Roman"/>
          <w:sz w:val="28"/>
          <w:szCs w:val="28"/>
        </w:rPr>
        <w:t>Accanto al miglioramento della partecipazione dei cittadini ai processi pianificatori, secondo gli strumenti tradizionali, la dottrina più recente, con riferimento al tema della rigenerazione urbana, ha prospettato anche l</w:t>
      </w:r>
      <w:r w:rsidR="00AE66F7">
        <w:rPr>
          <w:rFonts w:ascii="Times New Roman" w:hAnsi="Times New Roman" w:cs="Times New Roman"/>
          <w:sz w:val="28"/>
          <w:szCs w:val="28"/>
        </w:rPr>
        <w:t>a necessità di incentivare forme</w:t>
      </w:r>
      <w:r>
        <w:rPr>
          <w:rFonts w:ascii="Times New Roman" w:hAnsi="Times New Roman" w:cs="Times New Roman"/>
          <w:sz w:val="28"/>
          <w:szCs w:val="28"/>
        </w:rPr>
        <w:t xml:space="preserve"> di partecipazione non necessariament</w:t>
      </w:r>
      <w:r w:rsidR="004305A7">
        <w:rPr>
          <w:rFonts w:ascii="Times New Roman" w:hAnsi="Times New Roman" w:cs="Times New Roman"/>
          <w:sz w:val="28"/>
          <w:szCs w:val="28"/>
        </w:rPr>
        <w:t xml:space="preserve">e legate </w:t>
      </w:r>
      <w:r>
        <w:rPr>
          <w:rFonts w:ascii="Times New Roman" w:hAnsi="Times New Roman" w:cs="Times New Roman"/>
          <w:sz w:val="28"/>
          <w:szCs w:val="28"/>
        </w:rPr>
        <w:t xml:space="preserve">ai procedimenti formali, e comunque </w:t>
      </w:r>
      <w:r w:rsidR="00776DA9">
        <w:rPr>
          <w:rFonts w:ascii="Times New Roman" w:hAnsi="Times New Roman" w:cs="Times New Roman"/>
          <w:sz w:val="28"/>
          <w:szCs w:val="28"/>
        </w:rPr>
        <w:t xml:space="preserve">nuove </w:t>
      </w:r>
      <w:r w:rsidR="00044DE4">
        <w:rPr>
          <w:rFonts w:ascii="Times New Roman" w:hAnsi="Times New Roman" w:cs="Times New Roman"/>
          <w:sz w:val="28"/>
          <w:szCs w:val="28"/>
        </w:rPr>
        <w:t xml:space="preserve">modalità </w:t>
      </w:r>
      <w:r>
        <w:rPr>
          <w:rFonts w:ascii="Times New Roman" w:hAnsi="Times New Roman" w:cs="Times New Roman"/>
          <w:sz w:val="28"/>
          <w:szCs w:val="28"/>
        </w:rPr>
        <w:t xml:space="preserve">di </w:t>
      </w:r>
      <w:r w:rsidRPr="005A60A3">
        <w:rPr>
          <w:rFonts w:ascii="Times New Roman" w:hAnsi="Times New Roman" w:cs="Times New Roman"/>
          <w:sz w:val="28"/>
          <w:szCs w:val="28"/>
        </w:rPr>
        <w:t>raccordo tra</w:t>
      </w:r>
      <w:r>
        <w:rPr>
          <w:rFonts w:ascii="Times New Roman" w:hAnsi="Times New Roman" w:cs="Times New Roman"/>
          <w:sz w:val="28"/>
          <w:szCs w:val="28"/>
        </w:rPr>
        <w:t xml:space="preserve"> decisore pubblico e cittadini al fine di implementare i progetti di </w:t>
      </w:r>
      <w:r w:rsidR="0055240D">
        <w:rPr>
          <w:rFonts w:ascii="Times New Roman" w:hAnsi="Times New Roman" w:cs="Times New Roman"/>
          <w:sz w:val="28"/>
          <w:szCs w:val="28"/>
        </w:rPr>
        <w:t>rigeneraz</w:t>
      </w:r>
      <w:r w:rsidR="00776DA9">
        <w:rPr>
          <w:rFonts w:ascii="Times New Roman" w:hAnsi="Times New Roman" w:cs="Times New Roman"/>
          <w:sz w:val="28"/>
          <w:szCs w:val="28"/>
        </w:rPr>
        <w:t>ione urbana che vengono promossi</w:t>
      </w:r>
      <w:r>
        <w:rPr>
          <w:rFonts w:ascii="Times New Roman" w:hAnsi="Times New Roman" w:cs="Times New Roman"/>
          <w:sz w:val="28"/>
          <w:szCs w:val="28"/>
        </w:rPr>
        <w:t xml:space="preserve"> dai cittadini stessi</w:t>
      </w:r>
      <w:r w:rsidR="004305A7">
        <w:rPr>
          <w:rStyle w:val="Rimandonotaapidipagina"/>
          <w:rFonts w:ascii="Times New Roman" w:hAnsi="Times New Roman" w:cs="Times New Roman"/>
          <w:sz w:val="28"/>
          <w:szCs w:val="28"/>
        </w:rPr>
        <w:footnoteReference w:id="59"/>
      </w:r>
      <w:r>
        <w:rPr>
          <w:rFonts w:ascii="Times New Roman" w:hAnsi="Times New Roman" w:cs="Times New Roman"/>
          <w:sz w:val="28"/>
          <w:szCs w:val="28"/>
        </w:rPr>
        <w:t>.</w:t>
      </w:r>
    </w:p>
    <w:p w:rsidR="00B30A8E" w:rsidRPr="005F631B" w:rsidRDefault="0055240D" w:rsidP="00B30A8E">
      <w:pPr>
        <w:jc w:val="both"/>
        <w:rPr>
          <w:rFonts w:ascii="Times New Roman" w:hAnsi="Times New Roman" w:cs="Times New Roman"/>
          <w:sz w:val="28"/>
          <w:szCs w:val="28"/>
        </w:rPr>
      </w:pPr>
      <w:r>
        <w:rPr>
          <w:rFonts w:ascii="Times New Roman" w:hAnsi="Times New Roman" w:cs="Times New Roman"/>
          <w:sz w:val="28"/>
          <w:szCs w:val="28"/>
        </w:rPr>
        <w:t>Di fronte alla complessità del sistema della territorialità, permane</w:t>
      </w:r>
      <w:r w:rsidR="00044DE4">
        <w:rPr>
          <w:rFonts w:ascii="Times New Roman" w:hAnsi="Times New Roman" w:cs="Times New Roman"/>
          <w:sz w:val="28"/>
          <w:szCs w:val="28"/>
        </w:rPr>
        <w:t xml:space="preserve"> </w:t>
      </w:r>
      <w:r>
        <w:rPr>
          <w:rFonts w:ascii="Times New Roman" w:hAnsi="Times New Roman" w:cs="Times New Roman"/>
          <w:sz w:val="28"/>
          <w:szCs w:val="28"/>
        </w:rPr>
        <w:t>l</w:t>
      </w:r>
      <w:r w:rsidR="005F631B">
        <w:rPr>
          <w:rFonts w:ascii="Times New Roman" w:hAnsi="Times New Roman" w:cs="Times New Roman"/>
          <w:sz w:val="28"/>
          <w:szCs w:val="28"/>
        </w:rPr>
        <w:t xml:space="preserve">a necessità </w:t>
      </w:r>
      <w:r w:rsidR="00B30A8E" w:rsidRPr="005F631B">
        <w:rPr>
          <w:rFonts w:ascii="Times New Roman" w:hAnsi="Times New Roman" w:cs="Times New Roman"/>
          <w:sz w:val="28"/>
          <w:szCs w:val="28"/>
        </w:rPr>
        <w:t xml:space="preserve">di una organica legge statale di principi in materia di governo del territorio, </w:t>
      </w:r>
      <w:r w:rsidR="00044DE4">
        <w:rPr>
          <w:rFonts w:ascii="Times New Roman" w:hAnsi="Times New Roman" w:cs="Times New Roman"/>
          <w:sz w:val="28"/>
          <w:szCs w:val="28"/>
        </w:rPr>
        <w:t xml:space="preserve">ed emerge altresì </w:t>
      </w:r>
      <w:r w:rsidR="005F631B">
        <w:rPr>
          <w:rFonts w:ascii="Times New Roman" w:hAnsi="Times New Roman" w:cs="Times New Roman"/>
          <w:sz w:val="28"/>
          <w:szCs w:val="28"/>
        </w:rPr>
        <w:t xml:space="preserve">quella di </w:t>
      </w:r>
      <w:r w:rsidR="00B30A8E" w:rsidRPr="005F631B">
        <w:rPr>
          <w:rFonts w:ascii="Times New Roman" w:hAnsi="Times New Roman" w:cs="Times New Roman"/>
          <w:sz w:val="28"/>
          <w:szCs w:val="28"/>
        </w:rPr>
        <w:t xml:space="preserve">una disciplina nazionale che detti </w:t>
      </w:r>
      <w:r>
        <w:rPr>
          <w:rFonts w:ascii="Times New Roman" w:hAnsi="Times New Roman" w:cs="Times New Roman"/>
          <w:sz w:val="28"/>
          <w:szCs w:val="28"/>
        </w:rPr>
        <w:t xml:space="preserve">quantomeno </w:t>
      </w:r>
      <w:r w:rsidR="00B30A8E" w:rsidRPr="005F631B">
        <w:rPr>
          <w:rFonts w:ascii="Times New Roman" w:hAnsi="Times New Roman" w:cs="Times New Roman"/>
          <w:sz w:val="28"/>
          <w:szCs w:val="28"/>
        </w:rPr>
        <w:t xml:space="preserve">gli </w:t>
      </w:r>
      <w:r w:rsidR="00B30A8E" w:rsidRPr="005F631B">
        <w:rPr>
          <w:rFonts w:ascii="Times New Roman" w:hAnsi="Times New Roman" w:cs="Times New Roman"/>
          <w:i/>
          <w:sz w:val="28"/>
          <w:szCs w:val="28"/>
        </w:rPr>
        <w:t xml:space="preserve">standard </w:t>
      </w:r>
      <w:r w:rsidR="00B30A8E" w:rsidRPr="005F631B">
        <w:rPr>
          <w:rFonts w:ascii="Times New Roman" w:hAnsi="Times New Roman" w:cs="Times New Roman"/>
          <w:sz w:val="28"/>
          <w:szCs w:val="28"/>
        </w:rPr>
        <w:t>minimi in materia di riduzione del consumo di suolo.</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Come rilevato dalla Commissione per la riforma della normativa nazionale in materia di pianificazione del territorio, standard urbanistici e in materia edilizia, nell’illustrare il progetto elaborato al termine dei lavori</w:t>
      </w:r>
      <w:r w:rsidRPr="00845A7D">
        <w:rPr>
          <w:rStyle w:val="Rimandonotaapidipagina"/>
          <w:rFonts w:ascii="Times New Roman" w:hAnsi="Times New Roman" w:cs="Times New Roman"/>
          <w:sz w:val="28"/>
          <w:szCs w:val="28"/>
        </w:rPr>
        <w:footnoteReference w:id="60"/>
      </w:r>
      <w:r w:rsidR="005F631B">
        <w:rPr>
          <w:rFonts w:ascii="Times New Roman" w:hAnsi="Times New Roman" w:cs="Times New Roman"/>
          <w:sz w:val="28"/>
          <w:szCs w:val="28"/>
        </w:rPr>
        <w:t xml:space="preserve">, la prima di tali leggi </w:t>
      </w:r>
      <w:r w:rsidRPr="00845A7D">
        <w:rPr>
          <w:rFonts w:ascii="Times New Roman" w:hAnsi="Times New Roman" w:cs="Times New Roman"/>
          <w:sz w:val="28"/>
          <w:szCs w:val="28"/>
        </w:rPr>
        <w:t>consentirebbe:</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 xml:space="preserve">a) di delineare finalmente un quadro chiaro dei principi fondamentali della legislazione statale nella materia “governo del territorio” in modo da evitare che sia l’interprete a </w:t>
      </w:r>
      <w:r w:rsidRPr="00845A7D">
        <w:rPr>
          <w:rFonts w:ascii="Times New Roman" w:hAnsi="Times New Roman" w:cs="Times New Roman"/>
          <w:sz w:val="28"/>
          <w:szCs w:val="28"/>
        </w:rPr>
        <w:lastRenderedPageBreak/>
        <w:t>dover di volta in volta enucleare tali principi da una normativa complessa e stratificata nel tempo, con i conseguenti rischi di incertezze e di conflitti tra Stato e Regioni;</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 xml:space="preserve">b) </w:t>
      </w:r>
      <w:r w:rsidR="00823304">
        <w:rPr>
          <w:rFonts w:ascii="Times New Roman" w:hAnsi="Times New Roman" w:cs="Times New Roman"/>
          <w:sz w:val="28"/>
          <w:szCs w:val="28"/>
        </w:rPr>
        <w:t xml:space="preserve">di </w:t>
      </w:r>
      <w:r w:rsidRPr="00845A7D">
        <w:rPr>
          <w:rFonts w:ascii="Times New Roman" w:hAnsi="Times New Roman" w:cs="Times New Roman"/>
          <w:sz w:val="28"/>
          <w:szCs w:val="28"/>
        </w:rPr>
        <w:t xml:space="preserve">porre le basi per un riordino complessivo della disciplina della pianificazione territoriale, estremamente articolatasi nel corso dei decenni a seguito della proliferazione di piani introdotti dal legislatore per esigenze di tutela di altri valori di rango costituzionale (è </w:t>
      </w:r>
      <w:r w:rsidR="00A62178">
        <w:rPr>
          <w:rFonts w:ascii="Times New Roman" w:hAnsi="Times New Roman" w:cs="Times New Roman"/>
          <w:sz w:val="28"/>
          <w:szCs w:val="28"/>
        </w:rPr>
        <w:t>il caso dei piani paesaggistici</w:t>
      </w:r>
      <w:r w:rsidRPr="00845A7D">
        <w:rPr>
          <w:rFonts w:ascii="Times New Roman" w:hAnsi="Times New Roman" w:cs="Times New Roman"/>
          <w:sz w:val="28"/>
          <w:szCs w:val="28"/>
        </w:rPr>
        <w:t xml:space="preserve">) ovvero in attuazione dei principi di sussidiarietà e prossimità (come nel caso del piano territoriale di </w:t>
      </w:r>
      <w:r w:rsidR="005223D9">
        <w:rPr>
          <w:rFonts w:ascii="Times New Roman" w:hAnsi="Times New Roman" w:cs="Times New Roman"/>
          <w:sz w:val="28"/>
          <w:szCs w:val="28"/>
        </w:rPr>
        <w:t>coordinamento provinciale</w:t>
      </w:r>
      <w:r w:rsidRPr="00845A7D">
        <w:rPr>
          <w:rFonts w:ascii="Times New Roman" w:hAnsi="Times New Roman" w:cs="Times New Roman"/>
          <w:sz w:val="28"/>
          <w:szCs w:val="28"/>
        </w:rPr>
        <w:t xml:space="preserve"> a suo tempo introdotto dalla legge n. 142/1990 e oggi disciplinato dal d.lgs. n. 267/2000) o ancora </w:t>
      </w:r>
      <w:r w:rsidR="00A62178">
        <w:rPr>
          <w:rFonts w:ascii="Times New Roman" w:hAnsi="Times New Roman" w:cs="Times New Roman"/>
          <w:sz w:val="28"/>
          <w:szCs w:val="28"/>
        </w:rPr>
        <w:t xml:space="preserve">ai fini della </w:t>
      </w:r>
      <w:r w:rsidRPr="00845A7D">
        <w:rPr>
          <w:rFonts w:ascii="Times New Roman" w:hAnsi="Times New Roman" w:cs="Times New Roman"/>
          <w:sz w:val="28"/>
          <w:szCs w:val="28"/>
        </w:rPr>
        <w:t xml:space="preserve">pianificazione di specifici settori dell’economia o della disciplina </w:t>
      </w:r>
      <w:r w:rsidR="00A62178">
        <w:rPr>
          <w:rFonts w:ascii="Times New Roman" w:hAnsi="Times New Roman" w:cs="Times New Roman"/>
          <w:sz w:val="28"/>
          <w:szCs w:val="28"/>
        </w:rPr>
        <w:t xml:space="preserve">di svariati interessi settoriali </w:t>
      </w:r>
      <w:r w:rsidRPr="00845A7D">
        <w:rPr>
          <w:rFonts w:ascii="Times New Roman" w:hAnsi="Times New Roman" w:cs="Times New Roman"/>
          <w:sz w:val="28"/>
          <w:szCs w:val="28"/>
        </w:rPr>
        <w:t>(piani commerciali, piani di zonizzazione acustica etc.), con conseguenti sovrapposizioni e difficoltà di ricostruirne i rapporti in modo chiaro;</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 xml:space="preserve">c) </w:t>
      </w:r>
      <w:r w:rsidR="00823304">
        <w:rPr>
          <w:rFonts w:ascii="Times New Roman" w:hAnsi="Times New Roman" w:cs="Times New Roman"/>
          <w:sz w:val="28"/>
          <w:szCs w:val="28"/>
        </w:rPr>
        <w:t xml:space="preserve">di </w:t>
      </w:r>
      <w:r w:rsidRPr="00845A7D">
        <w:rPr>
          <w:rFonts w:ascii="Times New Roman" w:hAnsi="Times New Roman" w:cs="Times New Roman"/>
          <w:sz w:val="28"/>
          <w:szCs w:val="28"/>
        </w:rPr>
        <w:t>mutuare le più rilevanti esperienze della legislazione regionale</w:t>
      </w:r>
      <w:r w:rsidR="004D105B">
        <w:rPr>
          <w:rFonts w:ascii="Times New Roman" w:hAnsi="Times New Roman" w:cs="Times New Roman"/>
          <w:sz w:val="28"/>
          <w:szCs w:val="28"/>
        </w:rPr>
        <w:t xml:space="preserve">, caratterizzata da </w:t>
      </w:r>
      <w:r w:rsidRPr="00845A7D">
        <w:rPr>
          <w:rFonts w:ascii="Times New Roman" w:hAnsi="Times New Roman" w:cs="Times New Roman"/>
          <w:sz w:val="28"/>
          <w:szCs w:val="28"/>
        </w:rPr>
        <w:t>normative anche di ampio respiro nel disciplinare le potestà pianificatorie e di governo del territorio;</w:t>
      </w:r>
    </w:p>
    <w:p w:rsidR="00B30A8E" w:rsidRPr="00845A7D"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 xml:space="preserve">d) in quest’ultima prospettiva, </w:t>
      </w:r>
      <w:r w:rsidR="00823304">
        <w:rPr>
          <w:rFonts w:ascii="Times New Roman" w:hAnsi="Times New Roman" w:cs="Times New Roman"/>
          <w:sz w:val="28"/>
          <w:szCs w:val="28"/>
        </w:rPr>
        <w:t xml:space="preserve">di </w:t>
      </w:r>
      <w:r w:rsidRPr="00845A7D">
        <w:rPr>
          <w:rFonts w:ascii="Times New Roman" w:hAnsi="Times New Roman" w:cs="Times New Roman"/>
          <w:sz w:val="28"/>
          <w:szCs w:val="28"/>
        </w:rPr>
        <w:t>elaborare finalmente una disciplina minima uniforme, valida su tutto il territorio nazionale, non solo su temi essenziali oggi oggetto di normative estremamente differenziate (</w:t>
      </w:r>
      <w:r w:rsidRPr="00823304">
        <w:rPr>
          <w:rFonts w:ascii="Times New Roman" w:hAnsi="Times New Roman" w:cs="Times New Roman"/>
          <w:i/>
          <w:sz w:val="28"/>
          <w:szCs w:val="28"/>
        </w:rPr>
        <w:t>in primis</w:t>
      </w:r>
      <w:r w:rsidRPr="00845A7D">
        <w:rPr>
          <w:rFonts w:ascii="Times New Roman" w:hAnsi="Times New Roman" w:cs="Times New Roman"/>
          <w:sz w:val="28"/>
          <w:szCs w:val="28"/>
        </w:rPr>
        <w:t>, la forma e il contenuto dei piani urbanistici comunali), ma anche per alcuni innovativi istituti (perequazione urbanistica, compensazione, circolazione dei diritti edificatori etc.) da tempo affermatisi nella legislazione regionale, che allo stato pongono numerosi problemi interpretativi e applicativi alle pubbliche amministrazioni e alla giurisprudenza.</w:t>
      </w:r>
    </w:p>
    <w:p w:rsidR="00B30A8E" w:rsidRDefault="00B30A8E" w:rsidP="00B30A8E">
      <w:pPr>
        <w:jc w:val="both"/>
        <w:rPr>
          <w:rFonts w:ascii="Times New Roman" w:hAnsi="Times New Roman" w:cs="Times New Roman"/>
          <w:sz w:val="28"/>
          <w:szCs w:val="28"/>
        </w:rPr>
      </w:pPr>
      <w:r w:rsidRPr="00845A7D">
        <w:rPr>
          <w:rFonts w:ascii="Times New Roman" w:hAnsi="Times New Roman" w:cs="Times New Roman"/>
          <w:sz w:val="28"/>
          <w:szCs w:val="28"/>
        </w:rPr>
        <w:t>A ciò, come detto, si aggiunge la necessità di dettare misure minime in materia di riduzione del con</w:t>
      </w:r>
      <w:r w:rsidR="00AE66F7">
        <w:rPr>
          <w:rFonts w:ascii="Times New Roman" w:hAnsi="Times New Roman" w:cs="Times New Roman"/>
          <w:sz w:val="28"/>
          <w:szCs w:val="28"/>
        </w:rPr>
        <w:t>sumo di suolo,</w:t>
      </w:r>
      <w:r w:rsidRPr="00845A7D">
        <w:rPr>
          <w:rFonts w:ascii="Times New Roman" w:hAnsi="Times New Roman" w:cs="Times New Roman"/>
          <w:sz w:val="28"/>
          <w:szCs w:val="28"/>
        </w:rPr>
        <w:t xml:space="preserve"> tali da conformare, secondo il livello loro proprio, le varie forme di pianificazione incidenti sul territorio</w:t>
      </w:r>
      <w:r w:rsidR="00DA3346">
        <w:rPr>
          <w:rStyle w:val="Rimandonotaapidipagina"/>
          <w:rFonts w:ascii="Times New Roman" w:hAnsi="Times New Roman" w:cs="Times New Roman"/>
          <w:sz w:val="28"/>
          <w:szCs w:val="28"/>
        </w:rPr>
        <w:footnoteReference w:id="61"/>
      </w:r>
      <w:r w:rsidRPr="00845A7D">
        <w:rPr>
          <w:rFonts w:ascii="Times New Roman" w:hAnsi="Times New Roman" w:cs="Times New Roman"/>
          <w:sz w:val="28"/>
          <w:szCs w:val="28"/>
        </w:rPr>
        <w:t>.</w:t>
      </w:r>
      <w:r w:rsidR="005F631B">
        <w:rPr>
          <w:rFonts w:ascii="Times New Roman" w:hAnsi="Times New Roman" w:cs="Times New Roman"/>
          <w:sz w:val="28"/>
          <w:szCs w:val="28"/>
        </w:rPr>
        <w:t xml:space="preserve"> </w:t>
      </w:r>
      <w:r w:rsidR="005F631B" w:rsidRPr="005F631B">
        <w:rPr>
          <w:rFonts w:ascii="Times New Roman" w:hAnsi="Times New Roman" w:cs="Times New Roman"/>
          <w:sz w:val="28"/>
          <w:szCs w:val="28"/>
        </w:rPr>
        <w:t xml:space="preserve">Si tratta, come avviene per gli standard urbanistici, di misure attinenti ai “livelli essenziali delle prestazioni” a tutela di diritti civili e sociali, da garantire su </w:t>
      </w:r>
      <w:r w:rsidR="00044DE4">
        <w:rPr>
          <w:rFonts w:ascii="Times New Roman" w:hAnsi="Times New Roman" w:cs="Times New Roman"/>
          <w:sz w:val="28"/>
          <w:szCs w:val="28"/>
        </w:rPr>
        <w:t>tutto il territorio nazionale, ai sensi dell’art. 120 della Costituzione e rientranti, come tali, nella competenza legislativa esclusiva dello Stato (art. 117, comma 2, lett. m, Cost.).</w:t>
      </w:r>
    </w:p>
    <w:p w:rsidR="00C00B83" w:rsidRDefault="00C00B83" w:rsidP="00B30A8E">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C5388">
        <w:rPr>
          <w:rFonts w:ascii="Times New Roman" w:hAnsi="Times New Roman" w:cs="Times New Roman"/>
          <w:sz w:val="28"/>
          <w:szCs w:val="28"/>
        </w:rPr>
        <w:t>Silvia Martino</w:t>
      </w:r>
    </w:p>
    <w:p w:rsidR="00B30A8E" w:rsidRPr="00845A7D" w:rsidRDefault="00C00B83" w:rsidP="00B30A8E">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20592" w:rsidRDefault="00C00B83">
      <w:r>
        <w:tab/>
      </w:r>
      <w:r>
        <w:tab/>
      </w:r>
      <w:r>
        <w:tab/>
      </w:r>
      <w:r>
        <w:tab/>
      </w:r>
      <w:r>
        <w:tab/>
      </w:r>
      <w:r>
        <w:tab/>
      </w:r>
      <w:r>
        <w:tab/>
      </w:r>
      <w:r>
        <w:tab/>
      </w:r>
    </w:p>
    <w:sectPr w:rsidR="00A20592">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200" w:rsidRDefault="00B36200" w:rsidP="00B30A8E">
      <w:pPr>
        <w:spacing w:after="0" w:line="240" w:lineRule="auto"/>
      </w:pPr>
      <w:r>
        <w:separator/>
      </w:r>
    </w:p>
  </w:endnote>
  <w:endnote w:type="continuationSeparator" w:id="0">
    <w:p w:rsidR="00B36200" w:rsidRDefault="00B36200" w:rsidP="00B3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78479"/>
      <w:docPartObj>
        <w:docPartGallery w:val="Page Numbers (Bottom of Page)"/>
        <w:docPartUnique/>
      </w:docPartObj>
    </w:sdtPr>
    <w:sdtEndPr/>
    <w:sdtContent>
      <w:p w:rsidR="00704262" w:rsidRDefault="00EC6820">
        <w:pPr>
          <w:pStyle w:val="Pidipagina"/>
          <w:jc w:val="right"/>
        </w:pPr>
        <w:r>
          <w:fldChar w:fldCharType="begin"/>
        </w:r>
        <w:r>
          <w:instrText>PAGE   \* MERGEFORMAT</w:instrText>
        </w:r>
        <w:r>
          <w:fldChar w:fldCharType="separate"/>
        </w:r>
        <w:r w:rsidR="00773C66">
          <w:rPr>
            <w:noProof/>
          </w:rPr>
          <w:t>21</w:t>
        </w:r>
        <w:r>
          <w:fldChar w:fldCharType="end"/>
        </w:r>
      </w:p>
    </w:sdtContent>
  </w:sdt>
  <w:p w:rsidR="00704262" w:rsidRDefault="00B362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200" w:rsidRDefault="00B36200" w:rsidP="00B30A8E">
      <w:pPr>
        <w:spacing w:after="0" w:line="240" w:lineRule="auto"/>
      </w:pPr>
      <w:r>
        <w:separator/>
      </w:r>
    </w:p>
  </w:footnote>
  <w:footnote w:type="continuationSeparator" w:id="0">
    <w:p w:rsidR="00B36200" w:rsidRDefault="00B36200" w:rsidP="00B30A8E">
      <w:pPr>
        <w:spacing w:after="0" w:line="240" w:lineRule="auto"/>
      </w:pPr>
      <w:r>
        <w:continuationSeparator/>
      </w:r>
    </w:p>
  </w:footnote>
  <w:footnote w:id="1">
    <w:p w:rsidR="00D3464A" w:rsidRPr="007D5949" w:rsidRDefault="00D3464A" w:rsidP="00D3464A">
      <w:pPr>
        <w:pStyle w:val="Testonotaapidipagina"/>
        <w:jc w:val="both"/>
        <w:rPr>
          <w:i/>
        </w:rPr>
      </w:pPr>
      <w:r>
        <w:rPr>
          <w:rStyle w:val="Rimandonotaapidipagina"/>
        </w:rPr>
        <w:footnoteRef/>
      </w:r>
      <w:r>
        <w:t xml:space="preserve"> </w:t>
      </w:r>
      <w:r w:rsidRPr="00D3464A">
        <w:t xml:space="preserve">GARDINI, </w:t>
      </w:r>
      <w:r w:rsidRPr="007D5949">
        <w:rPr>
          <w:i/>
        </w:rPr>
        <w:t>Alla ricerca della “città giusta”. La rigenerazione come metodo di pianificazione urbana</w:t>
      </w:r>
      <w:r w:rsidRPr="00D3464A">
        <w:t xml:space="preserve">, </w:t>
      </w:r>
      <w:r w:rsidR="007D5949">
        <w:rPr>
          <w:i/>
        </w:rPr>
        <w:t>in www.</w:t>
      </w:r>
      <w:r w:rsidR="004555DC">
        <w:rPr>
          <w:i/>
        </w:rPr>
        <w:t>f</w:t>
      </w:r>
      <w:r w:rsidRPr="007D5949">
        <w:rPr>
          <w:i/>
        </w:rPr>
        <w:t>ederalismi.it</w:t>
      </w:r>
    </w:p>
  </w:footnote>
  <w:footnote w:id="2">
    <w:p w:rsidR="00B30A8E" w:rsidRDefault="00B30A8E" w:rsidP="00B30A8E">
      <w:pPr>
        <w:pStyle w:val="Testonotaapidipagina"/>
        <w:jc w:val="both"/>
      </w:pPr>
      <w:r>
        <w:rPr>
          <w:rStyle w:val="Rimandonotaapidipagina"/>
        </w:rPr>
        <w:footnoteRef/>
      </w:r>
      <w:r>
        <w:t xml:space="preserve"> PORTALURI, </w:t>
      </w:r>
      <w:r w:rsidRPr="002873B8">
        <w:rPr>
          <w:i/>
        </w:rPr>
        <w:t>Dal diritto delle costruzioni nelle città al governo del territorio (Relazione al 65° Convegno di Varenna, 19 settembre 2019</w:t>
      </w:r>
      <w:r>
        <w:t xml:space="preserve">), in </w:t>
      </w:r>
      <w:r w:rsidRPr="0062492F">
        <w:rPr>
          <w:i/>
        </w:rPr>
        <w:t>www.giustizia-amministrativa.it</w:t>
      </w:r>
    </w:p>
  </w:footnote>
  <w:footnote w:id="3">
    <w:p w:rsidR="00B30A8E" w:rsidRDefault="00B30A8E" w:rsidP="00B30A8E">
      <w:pPr>
        <w:pStyle w:val="Testonotaapidipagina"/>
        <w:jc w:val="both"/>
      </w:pPr>
      <w:r>
        <w:rPr>
          <w:rStyle w:val="Rimandonotaapidipagina"/>
        </w:rPr>
        <w:footnoteRef/>
      </w:r>
      <w:r>
        <w:t xml:space="preserve"> GARDINI, op.cit.</w:t>
      </w:r>
    </w:p>
  </w:footnote>
  <w:footnote w:id="4">
    <w:p w:rsidR="00B30A8E" w:rsidRDefault="00B30A8E" w:rsidP="00B30A8E">
      <w:pPr>
        <w:pStyle w:val="Testonotaapidipagina"/>
        <w:jc w:val="both"/>
      </w:pPr>
      <w:r>
        <w:rPr>
          <w:rStyle w:val="Rimandonotaapidipagina"/>
        </w:rPr>
        <w:footnoteRef/>
      </w:r>
      <w:r>
        <w:t xml:space="preserve"> MENGOZZI</w:t>
      </w:r>
      <w:r w:rsidRPr="00216EA9">
        <w:t>,</w:t>
      </w:r>
      <w:r w:rsidRPr="0062492F">
        <w:t xml:space="preserve"> </w:t>
      </w:r>
      <w:r w:rsidRPr="00216EA9">
        <w:rPr>
          <w:i/>
        </w:rPr>
        <w:t>Il “Governo del territorio” e la sua intersezione strutturale con la “tutela dell’ambiente”: linee di continuità e di evoluzione</w:t>
      </w:r>
      <w:r w:rsidRPr="0062492F">
        <w:t xml:space="preserve">, in </w:t>
      </w:r>
      <w:r w:rsidRPr="00E4137C">
        <w:rPr>
          <w:i/>
        </w:rPr>
        <w:t>www.federalismi.it</w:t>
      </w:r>
    </w:p>
  </w:footnote>
  <w:footnote w:id="5">
    <w:p w:rsidR="00B30A8E" w:rsidRDefault="00B30A8E" w:rsidP="00B30A8E">
      <w:pPr>
        <w:pStyle w:val="Testonotaapidipagina"/>
        <w:jc w:val="both"/>
      </w:pPr>
      <w:r>
        <w:rPr>
          <w:rStyle w:val="Rimandonotaapidipagina"/>
        </w:rPr>
        <w:footnoteRef/>
      </w:r>
      <w:r>
        <w:t xml:space="preserve"> La sentenza n. 303 del 2003 è quella in cui la Corte, esprimendosi in merito all’impugnativa di molteplici disposizioni della c.d. legge obiettivo, n. 443 del 2001, ha elaborato</w:t>
      </w:r>
      <w:r w:rsidRPr="0062492F">
        <w:t xml:space="preserve"> il meccanismo della c.d. chiamata in sussidiarietà, che diverrà poi un elemento centrale della ricostruzione del sistema costituzionale</w:t>
      </w:r>
      <w:r>
        <w:t xml:space="preserve"> derivante dalla riforma del titolo V</w:t>
      </w:r>
      <w:r w:rsidRPr="0062492F">
        <w:t>, in quanto in grado di incidere sul riparto costituzionale delle competenze regionali introducendo un elemento di flessibilità</w:t>
      </w:r>
      <w:r>
        <w:t xml:space="preserve">. </w:t>
      </w:r>
      <w:r w:rsidR="00D60F55">
        <w:t>Secondo la Corte costituzionale</w:t>
      </w:r>
      <w:r>
        <w:t xml:space="preserve"> </w:t>
      </w:r>
      <w:r w:rsidRPr="00845A7D">
        <w:t xml:space="preserve">il principio di sussidiarietà </w:t>
      </w:r>
      <w:r>
        <w:t xml:space="preserve">ha un’attitudine ascensionale </w:t>
      </w:r>
      <w:r w:rsidRPr="00845A7D">
        <w:t>in virtù della quale “</w:t>
      </w:r>
      <w:r w:rsidRPr="00845A7D">
        <w:rPr>
          <w:i/>
        </w:rPr>
        <w:t>quando l’istanza di esercizio unitario trascende anche l’ambito regionale, la funzione amministrativa può essere esercitata dallo Stato</w:t>
      </w:r>
      <w:r w:rsidRPr="00845A7D">
        <w:t xml:space="preserve">”. </w:t>
      </w:r>
      <w:r>
        <w:t>Q</w:t>
      </w:r>
      <w:r w:rsidRPr="00845A7D">
        <w:t>uesto esercizio di funzioni amministrative da parte dello Stato ha necessariamente, secondo la Corte, conseguenze sull’esercizio della fu</w:t>
      </w:r>
      <w:r>
        <w:t>nzione legislativa</w:t>
      </w:r>
      <w:r w:rsidRPr="00845A7D">
        <w:t>. La connessione fra principio di sussidiarietà, principio di legalità e funzione amminis</w:t>
      </w:r>
      <w:r w:rsidR="00D60F55">
        <w:t xml:space="preserve">trativa ha dunque l’effetto di attrarre </w:t>
      </w:r>
      <w:r w:rsidRPr="00845A7D">
        <w:t xml:space="preserve">in capo allo Stato anche l’esercizio della potestà legislativa, in deroga al riparto di competenza legislativa contenuto nell’art.117.  </w:t>
      </w:r>
    </w:p>
  </w:footnote>
  <w:footnote w:id="6">
    <w:p w:rsidR="00B30A8E" w:rsidRDefault="00B30A8E" w:rsidP="00B30A8E">
      <w:pPr>
        <w:pStyle w:val="Testonotaapidipagina"/>
      </w:pPr>
      <w:r>
        <w:rPr>
          <w:rStyle w:val="Rimandonotaapidipagina"/>
        </w:rPr>
        <w:footnoteRef/>
      </w:r>
      <w:r>
        <w:t xml:space="preserve"> MENGOZZI, op. cit.</w:t>
      </w:r>
    </w:p>
  </w:footnote>
  <w:footnote w:id="7">
    <w:p w:rsidR="00B30A8E" w:rsidRDefault="00B30A8E" w:rsidP="00B30A8E">
      <w:pPr>
        <w:pStyle w:val="Testonotaapidipagina"/>
        <w:jc w:val="both"/>
      </w:pPr>
      <w:r>
        <w:rPr>
          <w:rStyle w:val="Rimandonotaapidipagina"/>
        </w:rPr>
        <w:footnoteRef/>
      </w:r>
      <w:r>
        <w:t xml:space="preserve"> C. Cost., sent. n. 196 del </w:t>
      </w:r>
      <w:r w:rsidRPr="0062492F">
        <w:t>2004, sul terzo condono</w:t>
      </w:r>
      <w:r>
        <w:t>.</w:t>
      </w:r>
    </w:p>
  </w:footnote>
  <w:footnote w:id="8">
    <w:p w:rsidR="00B30A8E" w:rsidRDefault="00B30A8E" w:rsidP="00B30A8E">
      <w:pPr>
        <w:pStyle w:val="Testonotaapidipagina"/>
        <w:jc w:val="both"/>
      </w:pPr>
      <w:r>
        <w:rPr>
          <w:rStyle w:val="Rimandonotaapidipagina"/>
        </w:rPr>
        <w:footnoteRef/>
      </w:r>
      <w:r>
        <w:t xml:space="preserve"> PATRONI GRIFFI, </w:t>
      </w:r>
      <w:r w:rsidRPr="00216EA9">
        <w:rPr>
          <w:i/>
        </w:rPr>
        <w:t>Dall’urbanistica al governo del territorio -  Valori culturali, crescita economica, infrastrutture pubbliche e tutela del cittadino (Relazione al 65° Convegno di Varenna, 19 settembre 2019</w:t>
      </w:r>
      <w:r>
        <w:t xml:space="preserve">), in </w:t>
      </w:r>
      <w:r w:rsidRPr="00E4137C">
        <w:rPr>
          <w:i/>
        </w:rPr>
        <w:t>www.giustizia-amministrativa.it</w:t>
      </w:r>
      <w:r>
        <w:t>.</w:t>
      </w:r>
    </w:p>
  </w:footnote>
  <w:footnote w:id="9">
    <w:p w:rsidR="00B30A8E" w:rsidRDefault="00B30A8E" w:rsidP="00B30A8E">
      <w:pPr>
        <w:pStyle w:val="Testonotaapidipagina"/>
        <w:jc w:val="both"/>
      </w:pPr>
      <w:r>
        <w:rPr>
          <w:rStyle w:val="Rimandonotaapidipagina"/>
        </w:rPr>
        <w:footnoteRef/>
      </w:r>
      <w:r>
        <w:t xml:space="preserve"> PATRONI GRIFFI, op. cit.</w:t>
      </w:r>
    </w:p>
  </w:footnote>
  <w:footnote w:id="10">
    <w:p w:rsidR="00B30A8E" w:rsidRDefault="00B30A8E" w:rsidP="00B30A8E">
      <w:pPr>
        <w:pStyle w:val="Testonotaapidipagina"/>
        <w:jc w:val="both"/>
      </w:pPr>
      <w:r>
        <w:rPr>
          <w:rStyle w:val="Rimandonotaapidipagina"/>
        </w:rPr>
        <w:footnoteRef/>
      </w:r>
      <w:r>
        <w:t xml:space="preserve"> Corte cost., sentenze n. 12 del 2009 e n. 272 del 2009 (le sentenze sono analizzate da </w:t>
      </w:r>
      <w:r w:rsidR="004B0283">
        <w:t xml:space="preserve">MENGOZZI </w:t>
      </w:r>
      <w:r>
        <w:t>op. ult. cit.). In precedenza la Corte aveva già evidenziato che l’oggetto tutelato non è il concetto astratto delle “bellezze naturali” ma l’insieme delle cose, beni materiali o le loro composizioni, che presentano valore paesaggistico. Sul territorio gravano più interessi pubblici: quelli concernenti la conservazione ambientale e paesaggistica, la cui cura spetta in via esclusiva allo Stato, e quelli concernenti il governo del territorio e la valorizzazione dei beni culturali ed ambientali (fruizione del territorio), che sono affidati alla competenza concorrente di Stato e Regioni (sentenza n. 367 del 2007).</w:t>
      </w:r>
    </w:p>
  </w:footnote>
  <w:footnote w:id="11">
    <w:p w:rsidR="00B30A8E" w:rsidRDefault="00B30A8E" w:rsidP="00B30A8E">
      <w:pPr>
        <w:pStyle w:val="Testonotaapidipagina"/>
      </w:pPr>
      <w:r>
        <w:rPr>
          <w:rStyle w:val="Rimandonotaapidipagina"/>
        </w:rPr>
        <w:footnoteRef/>
      </w:r>
      <w:r>
        <w:t xml:space="preserve"> Corte costituzionale sentenza n. 235 del 2009; in precedenza n. 367 del 2007.</w:t>
      </w:r>
    </w:p>
  </w:footnote>
  <w:footnote w:id="12">
    <w:p w:rsidR="00B30A8E" w:rsidRDefault="00B30A8E" w:rsidP="00B30A8E">
      <w:pPr>
        <w:pStyle w:val="Testonotaapidipagina"/>
        <w:jc w:val="both"/>
      </w:pPr>
      <w:r>
        <w:rPr>
          <w:rStyle w:val="Rimandonotaapidipagina"/>
        </w:rPr>
        <w:footnoteRef/>
      </w:r>
      <w:r>
        <w:t xml:space="preserve"> Corte costituzionale, sentenze nn. 119, 124 e 344 del 2010; in precedenza n. 166 de</w:t>
      </w:r>
      <w:r w:rsidR="004B0283">
        <w:t xml:space="preserve">l 2009. Le sentenze sono analizzate </w:t>
      </w:r>
      <w:r>
        <w:t xml:space="preserve">da </w:t>
      </w:r>
      <w:r w:rsidR="004B0283">
        <w:t xml:space="preserve">MENGOZZI </w:t>
      </w:r>
      <w:r w:rsidRPr="00216EA9">
        <w:t>,</w:t>
      </w:r>
      <w:r>
        <w:t xml:space="preserve"> op. cit. </w:t>
      </w:r>
      <w:r w:rsidRPr="00E71393">
        <w:t xml:space="preserve">Secondo la giurisprudenza </w:t>
      </w:r>
      <w:r w:rsidR="004B0283">
        <w:t>della Corte costituzionale, le L</w:t>
      </w:r>
      <w:r w:rsidRPr="00E71393">
        <w:t>inee guida minis</w:t>
      </w:r>
      <w:r w:rsidR="00725860">
        <w:t xml:space="preserve">teriali, </w:t>
      </w:r>
      <w:r>
        <w:t xml:space="preserve">approvate con D.M. </w:t>
      </w:r>
      <w:r w:rsidRPr="00E71393">
        <w:t xml:space="preserve">10 settembre 2010, integrano principi fondamentali della materia concorrente «produzione, trasporto e distribuzione nazionale dell'energia», di cui all'art. 117, terzo comma, Cost., </w:t>
      </w:r>
      <w:r w:rsidR="00B73AE3">
        <w:t>vincolanti nei confronti delle R</w:t>
      </w:r>
      <w:r w:rsidRPr="00E71393">
        <w:t>egioni in quanto “</w:t>
      </w:r>
      <w:r w:rsidRPr="00E4137C">
        <w:rPr>
          <w:i/>
        </w:rPr>
        <w:t>costituiscono, in settori squisitamente tecnici, il completamento della normativa primaria</w:t>
      </w:r>
      <w:r w:rsidRPr="00E71393">
        <w:t>” (</w:t>
      </w:r>
      <w:r w:rsidRPr="00E4137C">
        <w:rPr>
          <w:i/>
        </w:rPr>
        <w:t>sentenza n. 86 del 2019</w:t>
      </w:r>
      <w:r w:rsidRPr="00E71393">
        <w:t>)»</w:t>
      </w:r>
      <w:r w:rsidR="004B0283">
        <w:t>.</w:t>
      </w:r>
    </w:p>
  </w:footnote>
  <w:footnote w:id="13">
    <w:p w:rsidR="00B30A8E" w:rsidRDefault="00B30A8E" w:rsidP="00B30A8E">
      <w:pPr>
        <w:pStyle w:val="Testonotaapidipagina"/>
        <w:jc w:val="both"/>
      </w:pPr>
      <w:r>
        <w:rPr>
          <w:rStyle w:val="Rimandonotaapidipagina"/>
        </w:rPr>
        <w:footnoteRef/>
      </w:r>
      <w:r>
        <w:t xml:space="preserve"> Corte cost., sentenz</w:t>
      </w:r>
      <w:r w:rsidR="00B73AE3">
        <w:t>e</w:t>
      </w:r>
      <w:r>
        <w:t xml:space="preserve"> nn. 27 e 58 del 2023. </w:t>
      </w:r>
      <w:r w:rsidRPr="00233B97">
        <w:t>Recentemente, la Corte costituzionale, con sentenza n. 28 del 2025, ha ribadito che il d.lgs. n. 199 del 2021 è stato adottato nell’esercizio di un intreccio di competenze legislative esclusive statali in materia di tutela dell’ambiente (art. 117, secondo comma, lettera e, Cost.); concorrenti «produzione, trasporto e distribuzione nazionale dell’energia» (art. 117, terzo comma, Cost.); nonché in attuazione della direttiva 2018/2001/UE sulla promozione dell’uso dell’energia da fonti rinnovabili. Il raggiungimento degli obiettivi stabiliti dal Green Deal europeo in attuazione della direttiva</w:t>
      </w:r>
      <w:r>
        <w:t xml:space="preserve"> </w:t>
      </w:r>
      <w:r w:rsidRPr="00233B97">
        <w:t>2018/2001/UE, mediante la diffusione di fonti energetiche rinnovabili, persegue, infatti, finalità di tutela dell’ambiente e di lotta al cambiamento climatico. Proprio per il raggiungimento degli obiettivi</w:t>
      </w:r>
      <w:r>
        <w:t xml:space="preserve"> </w:t>
      </w:r>
      <w:r w:rsidRPr="00233B97">
        <w:t xml:space="preserve">di contrasto al cambiamento climatico e di uso dell’energia da fonte rinnovabile fissati a livello europeo sino al 2030, il nostro </w:t>
      </w:r>
      <w:r w:rsidR="00102526">
        <w:t xml:space="preserve">Paese ha adottato il </w:t>
      </w:r>
      <w:r w:rsidRPr="00233B97">
        <w:t xml:space="preserve">d.lgs. n. 199 del 2021 e predisposto il PNIEC, </w:t>
      </w:r>
      <w:r>
        <w:t xml:space="preserve">Piano nazionale integrato per l’energia e il clima, </w:t>
      </w:r>
      <w:r w:rsidRPr="00233B97">
        <w:t>approvato il 18 dicembre 2019 dalla Conferenza unificata e trasmesso alla Commissione europea, in attuazione del regolamento n. 2018/1999/UE, il successivo 31 dicembre. Tale normativa è frutto di una diversa impostazione rispetto alla più tradizionale disciplina delle “aree non idonee”. L’individuazione delle aree idonee da parte delle regioni con un intervento legislativo persegue il duplice obiettivo di consentire, da un lato, agli operatori di conoscere in modo chiaro e trasparente le aree in cui è possibile installare impianti FER seguendo una procedura semplificata; dall’altro, di garantire il rispetto delle prerogative regionali che, nel selezionare in quali aree consentire l’installazione agevolata di FER, possono esercitare la più ampia discrezionalità, fermi restando i limiti imposti dallo Stato in termini di classificazione e obiettivi annui di MW da raggiunger</w:t>
      </w:r>
      <w:r>
        <w:t xml:space="preserve">e, così come stabilito dal D.M. </w:t>
      </w:r>
      <w:r w:rsidRPr="00233B97">
        <w:t>21 giugno 2024, fino al 2030. Si tratta quindi di una riforma che muta l’approccio rispetto al passato, in quanto prevedendo come inderogabile il raggiungimento di predefiniti livelli di energia da fonti rinnovabili, salvaguarda però al contempo le prerogative</w:t>
      </w:r>
      <w:r>
        <w:t xml:space="preserve"> </w:t>
      </w:r>
      <w:r w:rsidRPr="00233B97">
        <w:t>regionali in materia paesaggistica, mediante la definizione delle aree idonee con legge regionale</w:t>
      </w:r>
      <w:r>
        <w:t xml:space="preserve">. </w:t>
      </w:r>
      <w:r>
        <w:rPr>
          <w:rFonts w:cstheme="minorHAnsi"/>
        </w:rPr>
        <w:t>È</w:t>
      </w:r>
      <w:r w:rsidRPr="00E71393">
        <w:t xml:space="preserve"> stato perciò dichiarato costituzionalmente illegittim</w:t>
      </w:r>
      <w:r>
        <w:t xml:space="preserve">o l’art. 3 della l.r. Sardegna </w:t>
      </w:r>
      <w:r w:rsidRPr="00E71393">
        <w:t>n. 5 del 2024 che introduce il divieto</w:t>
      </w:r>
      <w:r>
        <w:t xml:space="preserve"> </w:t>
      </w:r>
      <w:r w:rsidRPr="00233B97">
        <w:t>di realizzare impianti FER per 18 mesi, nelle more dell’approvazione della legge regionale di individuazione delle aree idonee, in violazione degli artt. 3 e 4 dello statuto speciale, dell’art. 117, primo comma, Cost., in relazione alla direttiva 2018/2001/UE e al regolamento n. 2021/1119/UE, nonché in relazione</w:t>
      </w:r>
      <w:r>
        <w:t xml:space="preserve"> al d.lgs. n. 199 del 2021.</w:t>
      </w:r>
    </w:p>
  </w:footnote>
  <w:footnote w:id="14">
    <w:p w:rsidR="00B30A8E" w:rsidRDefault="00B30A8E" w:rsidP="00B30A8E">
      <w:pPr>
        <w:pStyle w:val="Testonotaapidipagina"/>
        <w:jc w:val="both"/>
      </w:pPr>
      <w:r>
        <w:rPr>
          <w:rStyle w:val="Rimandonotaapidipagina"/>
        </w:rPr>
        <w:footnoteRef/>
      </w:r>
      <w:r>
        <w:t xml:space="preserve"> GARDINI, op. cit.</w:t>
      </w:r>
    </w:p>
  </w:footnote>
  <w:footnote w:id="15">
    <w:p w:rsidR="00B30A8E" w:rsidRDefault="00B30A8E" w:rsidP="00B30A8E">
      <w:pPr>
        <w:pStyle w:val="Testonotaapidipagina"/>
      </w:pPr>
      <w:r>
        <w:rPr>
          <w:rStyle w:val="Rimandonotaapidipagina"/>
        </w:rPr>
        <w:footnoteRef/>
      </w:r>
      <w:r>
        <w:t xml:space="preserve"> </w:t>
      </w:r>
      <w:r w:rsidRPr="00392F20">
        <w:rPr>
          <w:rFonts w:ascii="Times New Roman" w:hAnsi="Times New Roman" w:cs="Times New Roman"/>
        </w:rPr>
        <w:t>Cons. Stato, sez. IV, 10 maggio 2012, n. 2710</w:t>
      </w:r>
    </w:p>
  </w:footnote>
  <w:footnote w:id="16">
    <w:p w:rsidR="00B30A8E" w:rsidRDefault="00B30A8E" w:rsidP="00B30A8E">
      <w:pPr>
        <w:pStyle w:val="Testonotaapidipagina"/>
      </w:pPr>
      <w:r>
        <w:rPr>
          <w:rStyle w:val="Rimandonotaapidipagina"/>
        </w:rPr>
        <w:footnoteRef/>
      </w:r>
      <w:r>
        <w:t xml:space="preserve"> Sentenza n. 2710 del 2012, cit.</w:t>
      </w:r>
    </w:p>
  </w:footnote>
  <w:footnote w:id="17">
    <w:p w:rsidR="00B30A8E" w:rsidRDefault="00B30A8E" w:rsidP="00B30A8E">
      <w:pPr>
        <w:pStyle w:val="Testonotaapidipagina"/>
      </w:pPr>
      <w:r>
        <w:rPr>
          <w:rStyle w:val="Rimandonotaapidipagina"/>
        </w:rPr>
        <w:footnoteRef/>
      </w:r>
      <w:r>
        <w:t xml:space="preserve"> Corte cost., sentenza n. 179 del 2019.</w:t>
      </w:r>
    </w:p>
  </w:footnote>
  <w:footnote w:id="18">
    <w:p w:rsidR="00B30A8E" w:rsidRDefault="00B30A8E" w:rsidP="00B30A8E">
      <w:pPr>
        <w:pStyle w:val="Testonotaapidipagina"/>
      </w:pPr>
      <w:r>
        <w:rPr>
          <w:rStyle w:val="Rimandonotaapidipagina"/>
        </w:rPr>
        <w:footnoteRef/>
      </w:r>
      <w:r>
        <w:t xml:space="preserve"> Tali documenti sono citati e analizzati da GARDINI, op. cit.</w:t>
      </w:r>
    </w:p>
  </w:footnote>
  <w:footnote w:id="19">
    <w:p w:rsidR="00DA3346" w:rsidRDefault="00DA3346">
      <w:pPr>
        <w:pStyle w:val="Testonotaapidipagina"/>
      </w:pPr>
      <w:r>
        <w:rPr>
          <w:rStyle w:val="Rimandonotaapidipagina"/>
        </w:rPr>
        <w:footnoteRef/>
      </w:r>
      <w:r>
        <w:t xml:space="preserve"> Cfr. </w:t>
      </w:r>
      <w:r w:rsidRPr="00DA3346">
        <w:t>art. 21, co. 1, del d. l. n. 152/2021</w:t>
      </w:r>
      <w:r>
        <w:t>.</w:t>
      </w:r>
    </w:p>
  </w:footnote>
  <w:footnote w:id="20">
    <w:p w:rsidR="00B30A8E" w:rsidRDefault="00B30A8E" w:rsidP="00B30A8E">
      <w:pPr>
        <w:pStyle w:val="Testonotaapidipagina"/>
      </w:pPr>
      <w:r>
        <w:rPr>
          <w:rStyle w:val="Rimandonotaapidipagina"/>
        </w:rPr>
        <w:footnoteRef/>
      </w:r>
      <w:r>
        <w:t xml:space="preserve"> Una approfondita analisi di questi orientamenti della Corte costituzionale si rinviene in Cons. Stato, sez. IV, sentenza n. 5711 del 2017.</w:t>
      </w:r>
    </w:p>
  </w:footnote>
  <w:footnote w:id="21">
    <w:p w:rsidR="00F50F86" w:rsidRPr="00DA3346" w:rsidRDefault="00F50F86" w:rsidP="00DA3346">
      <w:pPr>
        <w:pStyle w:val="Testonotaapidipagina"/>
        <w:jc w:val="both"/>
      </w:pPr>
      <w:r>
        <w:rPr>
          <w:rStyle w:val="Rimandonotaapidipagina"/>
        </w:rPr>
        <w:footnoteRef/>
      </w:r>
      <w:r>
        <w:t xml:space="preserve"> Al riguardo, giova ricordare che, secondo l’art. </w:t>
      </w:r>
      <w:r w:rsidRPr="00F50F86">
        <w:t>14, co. 27, lett. d, del d.l. n. 7</w:t>
      </w:r>
      <w:r>
        <w:t>8/2010 (conv. legge 122/2010) “</w:t>
      </w:r>
      <w:r w:rsidR="00DA3346" w:rsidRPr="00DA3346">
        <w:rPr>
          <w:i/>
        </w:rPr>
        <w:t>la pianificazione urbanistica ed edilizia di ambito comunale nonché la partecipazione alla pianificazione territoriale di livello sovracomunale</w:t>
      </w:r>
      <w:r w:rsidR="00DA3346">
        <w:t>” è attribuita ai Comuni quale loro funzione fondamentale.</w:t>
      </w:r>
    </w:p>
  </w:footnote>
  <w:footnote w:id="22">
    <w:p w:rsidR="00B30A8E" w:rsidRDefault="00B30A8E" w:rsidP="00B30A8E">
      <w:pPr>
        <w:pStyle w:val="Testonotaapidipagina"/>
      </w:pPr>
      <w:r>
        <w:rPr>
          <w:rStyle w:val="Rimandonotaapidipagina"/>
        </w:rPr>
        <w:footnoteRef/>
      </w:r>
      <w:r>
        <w:t xml:space="preserve"> ALBIONE, </w:t>
      </w:r>
      <w:r w:rsidRPr="00216EA9">
        <w:rPr>
          <w:i/>
        </w:rPr>
        <w:t>Standard urbanistici e normative regionali: rischi di frammentazione</w:t>
      </w:r>
      <w:r>
        <w:t xml:space="preserve">, in </w:t>
      </w:r>
      <w:r w:rsidRPr="002873B8">
        <w:rPr>
          <w:i/>
        </w:rPr>
        <w:t>Rivista giuridica dell’edilizia</w:t>
      </w:r>
      <w:r>
        <w:t>, fasc. 5, 2024, pag. 391,</w:t>
      </w:r>
    </w:p>
  </w:footnote>
  <w:footnote w:id="23">
    <w:p w:rsidR="00B30A8E" w:rsidRDefault="00B30A8E" w:rsidP="00B30A8E">
      <w:pPr>
        <w:pStyle w:val="Testonotaapidipagina"/>
        <w:jc w:val="both"/>
      </w:pPr>
      <w:r>
        <w:rPr>
          <w:rStyle w:val="Rimandonotaapidipagina"/>
        </w:rPr>
        <w:footnoteRef/>
      </w:r>
      <w:r>
        <w:t xml:space="preserve">  MILO, </w:t>
      </w:r>
      <w:r w:rsidRPr="00C30B31">
        <w:rPr>
          <w:i/>
        </w:rPr>
        <w:t>La potestà amministrativa riservata ai Comuni di conformare i beni giuridici che trovano la loro materialità nel territorio comunale</w:t>
      </w:r>
      <w:r>
        <w:t xml:space="preserve">, in </w:t>
      </w:r>
      <w:r w:rsidRPr="00216EA9">
        <w:rPr>
          <w:i/>
        </w:rPr>
        <w:t>Rivista giuridica dell’edilizia</w:t>
      </w:r>
      <w:r>
        <w:t>, fasc.6. 2019, pag. 531</w:t>
      </w:r>
    </w:p>
  </w:footnote>
  <w:footnote w:id="24">
    <w:p w:rsidR="00B30A8E" w:rsidRDefault="00B30A8E" w:rsidP="00B30A8E">
      <w:pPr>
        <w:pStyle w:val="Testonotaapidipagina"/>
        <w:jc w:val="both"/>
      </w:pPr>
      <w:r>
        <w:rPr>
          <w:rStyle w:val="Rimandonotaapidipagina"/>
        </w:rPr>
        <w:footnoteRef/>
      </w:r>
      <w:r>
        <w:t xml:space="preserve">  </w:t>
      </w:r>
      <w:r w:rsidRPr="00216EA9">
        <w:t>Corte Costitu</w:t>
      </w:r>
      <w:r>
        <w:t xml:space="preserve">zionale, 16 luglio 2019 n. 179 </w:t>
      </w:r>
      <w:r w:rsidRPr="00216EA9">
        <w:t xml:space="preserve">che ha dichiarato </w:t>
      </w:r>
      <w:r w:rsidR="009511A5">
        <w:t>l’illegittimità costituzionale</w:t>
      </w:r>
      <w:r w:rsidRPr="00216EA9">
        <w:t xml:space="preserve"> di una disposizione della legge della Regione Lombardia, n. 31 del 2014 che aveva l'effetto di vietare ai Comuni della Regione di poter variare le previsioni e i programmi edificatori del documento di piano vigente fino a quando non fossero stati adeguati i contenuti del piano territoriale regionale (p.t.r.) e di conseguenza quelli dei piani territoriali di coordinamento provinciale (p.t.c.p.) e infine dei piani di governo del territorio, ai nuovi principi finalizzati a ridurre il consumo di suolo, anche nel caso in cui tale variazioni fossero finalizzate proprio a comprimere ulteriormente il consumo di suolo. La Corte riconosce che ridurre il consumo d</w:t>
      </w:r>
      <w:r w:rsidR="00BF2F94">
        <w:t>i suolo</w:t>
      </w:r>
      <w:r w:rsidR="00BF2469">
        <w:t xml:space="preserve"> rientra </w:t>
      </w:r>
      <w:r w:rsidRPr="00216EA9">
        <w:t>nell'ambito del legittimo esercizio della competenza regionale e di per sé appare compatibile con la pianificazione urbanistica locale. Tuttavia la disposizione regionale, paralizzando l'esercizio della funzione urbanistica per un periodo di tempo indefinito ed anche per quanto concerne eventuali scelte pianificatorie volte a ridurre ulteriormente il consumo di suolo, incide al di là di quanto strettamente necessario a perseguire l'obiettivo, e anzi in contraddizione con quest'ultimo</w:t>
      </w:r>
    </w:p>
  </w:footnote>
  <w:footnote w:id="25">
    <w:p w:rsidR="00B30A8E" w:rsidRDefault="00B30A8E" w:rsidP="00B30A8E">
      <w:pPr>
        <w:pStyle w:val="Testonotaapidipagina"/>
        <w:jc w:val="both"/>
      </w:pPr>
      <w:r>
        <w:rPr>
          <w:rStyle w:val="Rimandonotaapidipagina"/>
        </w:rPr>
        <w:footnoteRef/>
      </w:r>
      <w:r>
        <w:t xml:space="preserve">  </w:t>
      </w:r>
      <w:r w:rsidR="00B360D3">
        <w:t>MORBIDELLI</w:t>
      </w:r>
      <w:r w:rsidRPr="00216EA9">
        <w:t xml:space="preserve">, </w:t>
      </w:r>
      <w:r w:rsidRPr="00BF2469">
        <w:t>voce</w:t>
      </w:r>
      <w:r w:rsidR="00BF2469">
        <w:rPr>
          <w:i/>
        </w:rPr>
        <w:t xml:space="preserve"> P</w:t>
      </w:r>
      <w:r w:rsidRPr="00C30B31">
        <w:rPr>
          <w:i/>
        </w:rPr>
        <w:t>ianificazione territoriale ed urbanistica</w:t>
      </w:r>
      <w:r w:rsidRPr="00216EA9">
        <w:t xml:space="preserve">, in </w:t>
      </w:r>
      <w:r w:rsidRPr="00216EA9">
        <w:rPr>
          <w:i/>
        </w:rPr>
        <w:t>Enc. giur</w:t>
      </w:r>
      <w:r w:rsidRPr="00216EA9">
        <w:t>., Roma 1990, vol. XIII</w:t>
      </w:r>
    </w:p>
  </w:footnote>
  <w:footnote w:id="26">
    <w:p w:rsidR="00B30A8E" w:rsidRPr="00C30B31" w:rsidRDefault="00B30A8E" w:rsidP="00B30A8E">
      <w:pPr>
        <w:pStyle w:val="Testonotaapidipagina"/>
        <w:jc w:val="both"/>
        <w:rPr>
          <w:i/>
        </w:rPr>
      </w:pPr>
      <w:r>
        <w:rPr>
          <w:rStyle w:val="Rimandonotaapidipagina"/>
        </w:rPr>
        <w:footnoteRef/>
      </w:r>
      <w:r>
        <w:t xml:space="preserve"> CARPENTIERI, </w:t>
      </w:r>
      <w:r w:rsidRPr="00F80AF9">
        <w:rPr>
          <w:i/>
        </w:rPr>
        <w:t>Riflessi della tutela e della valorizzazione del patrimonio paesaggistico-culturale sulla disciplina urbanistico-edilizia</w:t>
      </w:r>
      <w:r>
        <w:t xml:space="preserve">, in </w:t>
      </w:r>
      <w:r w:rsidRPr="00C30B31">
        <w:rPr>
          <w:i/>
        </w:rPr>
        <w:t>www.giustizia-amministrativa.it</w:t>
      </w:r>
    </w:p>
  </w:footnote>
  <w:footnote w:id="27">
    <w:p w:rsidR="00B30A8E" w:rsidRDefault="00B30A8E" w:rsidP="00B30A8E">
      <w:pPr>
        <w:pStyle w:val="Testonotaapidipagina"/>
        <w:jc w:val="both"/>
      </w:pPr>
      <w:r>
        <w:rPr>
          <w:rStyle w:val="Rimandonotaapidipagina"/>
        </w:rPr>
        <w:footnoteRef/>
      </w:r>
      <w:r w:rsidR="000A66C2">
        <w:t xml:space="preserve"> CARPENTIERI, op.ult.cit.</w:t>
      </w:r>
    </w:p>
  </w:footnote>
  <w:footnote w:id="28">
    <w:p w:rsidR="00B30A8E" w:rsidRDefault="00B30A8E" w:rsidP="00B30A8E">
      <w:pPr>
        <w:pStyle w:val="Testonotaapidipagina"/>
      </w:pPr>
      <w:r>
        <w:rPr>
          <w:rStyle w:val="Rimandonotaapidipagina"/>
        </w:rPr>
        <w:footnoteRef/>
      </w:r>
      <w:r>
        <w:t xml:space="preserve"> MILO, </w:t>
      </w:r>
      <w:r w:rsidRPr="00C30B31">
        <w:rPr>
          <w:i/>
        </w:rPr>
        <w:t>op. cit</w:t>
      </w:r>
      <w:r>
        <w:t>.</w:t>
      </w:r>
    </w:p>
  </w:footnote>
  <w:footnote w:id="29">
    <w:p w:rsidR="00B30A8E" w:rsidRDefault="00B30A8E" w:rsidP="00B30A8E">
      <w:pPr>
        <w:pStyle w:val="Testonotaapidipagina"/>
      </w:pPr>
      <w:r>
        <w:rPr>
          <w:rStyle w:val="Rimandonotaapidipagina"/>
        </w:rPr>
        <w:footnoteRef/>
      </w:r>
      <w:r>
        <w:t xml:space="preserve"> CARPENTIER</w:t>
      </w:r>
      <w:r w:rsidR="00FE1F13">
        <w:t>I</w:t>
      </w:r>
      <w:r>
        <w:t>, op. ult. cit.</w:t>
      </w:r>
    </w:p>
  </w:footnote>
  <w:footnote w:id="30">
    <w:p w:rsidR="00B30A8E" w:rsidRDefault="00B30A8E" w:rsidP="00B30A8E">
      <w:pPr>
        <w:pStyle w:val="Testonotaapidipagina"/>
      </w:pPr>
      <w:r>
        <w:rPr>
          <w:rStyle w:val="Rimandonotaapidipagina"/>
        </w:rPr>
        <w:footnoteRef/>
      </w:r>
      <w:r>
        <w:t xml:space="preserve"> La sentenza è analizzata da CARPENTIERI, op. </w:t>
      </w:r>
      <w:r w:rsidRPr="00B120A2">
        <w:rPr>
          <w:i/>
        </w:rPr>
        <w:t>ult. cit</w:t>
      </w:r>
      <w:r>
        <w:t>.</w:t>
      </w:r>
    </w:p>
  </w:footnote>
  <w:footnote w:id="31">
    <w:p w:rsidR="00B30A8E" w:rsidRDefault="00B30A8E" w:rsidP="00B30A8E">
      <w:pPr>
        <w:pStyle w:val="Testonotaapidipagina"/>
        <w:jc w:val="both"/>
      </w:pPr>
      <w:r>
        <w:rPr>
          <w:rStyle w:val="Rimandonotaapidipagina"/>
        </w:rPr>
        <w:footnoteRef/>
      </w:r>
      <w:r w:rsidR="007C316F">
        <w:t xml:space="preserve"> In particolare, </w:t>
      </w:r>
      <w:r w:rsidR="00BE0BB4">
        <w:t>la sentenza n. 192 del 2022</w:t>
      </w:r>
      <w:r w:rsidRPr="00F80AF9">
        <w:t xml:space="preserve"> ha dichiarato incostituzionale l’art</w:t>
      </w:r>
      <w:r>
        <w:t>. 6, comma 2, lett. c-bis), l.r.</w:t>
      </w:r>
      <w:r w:rsidRPr="00F80AF9">
        <w:t xml:space="preserve"> Puglia 30 luglio 2009, n. 14 poiché consentiva di porre in esse alcuni interventi straordi</w:t>
      </w:r>
      <w:r>
        <w:t>nari previsti dalla stessa l.r.</w:t>
      </w:r>
      <w:r w:rsidR="00BE0BB4">
        <w:t xml:space="preserve"> </w:t>
      </w:r>
      <w:r w:rsidRPr="00F80AF9">
        <w:t>n. 14/2009 (c.d. Piano casa per la Puglia) in deroga alla disciplina dettata dal Piano paesaggistico territoriale regionale (PPTR) della Puglia, così violando il principio di prevalenza della pianificazione paesaggistica sugli strumenti urbanistici. La Corte ha sottolineato che il PPTR deve essere messo al riparo dalla pluralità e dalla parcellizzazione degli interventi delle amministrazioni locali, che possono mettere in discussione la complessiva ed unitaria efficacia del Piano paesaggistico</w:t>
      </w:r>
      <w:r w:rsidR="00BE0BB4">
        <w:t>.</w:t>
      </w:r>
    </w:p>
  </w:footnote>
  <w:footnote w:id="32">
    <w:p w:rsidR="00B30A8E" w:rsidRDefault="00B30A8E" w:rsidP="00B30A8E">
      <w:pPr>
        <w:pStyle w:val="Testonotaapidipagina"/>
      </w:pPr>
      <w:r>
        <w:rPr>
          <w:rStyle w:val="Rimandonotaapidipagina"/>
        </w:rPr>
        <w:footnoteRef/>
      </w:r>
      <w:r>
        <w:t xml:space="preserve"> Da ultimo, ad es., Cons. Stato, </w:t>
      </w:r>
      <w:r w:rsidRPr="00F80AF9">
        <w:t xml:space="preserve">sez. II, </w:t>
      </w:r>
      <w:r>
        <w:t>7 settembre 2</w:t>
      </w:r>
      <w:r w:rsidRPr="00F80AF9">
        <w:t>020, n.5380</w:t>
      </w:r>
      <w:r>
        <w:t>.</w:t>
      </w:r>
    </w:p>
  </w:footnote>
  <w:footnote w:id="33">
    <w:p w:rsidR="00B30A8E" w:rsidRDefault="00B30A8E" w:rsidP="00B30A8E">
      <w:pPr>
        <w:pStyle w:val="Testonotaapidipagina"/>
      </w:pPr>
      <w:r>
        <w:rPr>
          <w:rStyle w:val="Rimandonotaapidipagina"/>
        </w:rPr>
        <w:footnoteRef/>
      </w:r>
      <w:r>
        <w:t xml:space="preserve"> </w:t>
      </w:r>
      <w:r w:rsidRPr="00F80AF9">
        <w:t>cfr. ad esempio Cons. Stato, sez. IV, sentenza n. 1831 del 2019</w:t>
      </w:r>
      <w:r>
        <w:t>.</w:t>
      </w:r>
    </w:p>
  </w:footnote>
  <w:footnote w:id="34">
    <w:p w:rsidR="00B30A8E" w:rsidRPr="00FC5622" w:rsidRDefault="00B30A8E" w:rsidP="00B30A8E">
      <w:pPr>
        <w:pStyle w:val="Testonotaapidipagina"/>
        <w:jc w:val="both"/>
      </w:pPr>
      <w:r>
        <w:rPr>
          <w:rStyle w:val="Rimandonotaapidipagina"/>
        </w:rPr>
        <w:footnoteRef/>
      </w:r>
      <w:r>
        <w:t xml:space="preserve"> </w:t>
      </w:r>
      <w:r w:rsidRPr="00F80AF9">
        <w:t>Anche la Corte costituzionale (</w:t>
      </w:r>
      <w:r>
        <w:t xml:space="preserve">sentenza n. </w:t>
      </w:r>
      <w:r w:rsidRPr="00DF6C5D">
        <w:t>232 del 16 giugno 2005</w:t>
      </w:r>
      <w:r w:rsidR="00FA2AC0">
        <w:t xml:space="preserve">), relativa </w:t>
      </w:r>
      <w:r w:rsidRPr="00F80AF9">
        <w:t>alla l.r. del Ven</w:t>
      </w:r>
      <w:r>
        <w:t>e</w:t>
      </w:r>
      <w:r w:rsidRPr="00F80AF9">
        <w:t>to n. 11 del 2004), ha avuto modo di rimarcare che “</w:t>
      </w:r>
      <w:r w:rsidRPr="00FC5622">
        <w:rPr>
          <w:i/>
        </w:rPr>
        <w:t>non v’è dubbio che tra i valori che gli strumenti urbanistici devono tutelare abbiano rilevanza non secondaria quelli artistici, storici, documentari e comunque attinenti alla cultura nella polivalenza di sensi del termine</w:t>
      </w:r>
      <w:r w:rsidRPr="00F80AF9">
        <w:t>” e che “</w:t>
      </w:r>
      <w:r w:rsidRPr="00FC5622">
        <w:rPr>
          <w:i/>
        </w:rPr>
        <w:t>la disciplina regionale è in funzione di una tutela non sostitutiva di quella statale, bensì diversa ed aggiuntiva, da assicurare nella predisposizione della normativa di governo del territorio, nella quale necessariamente sono coinvolti i detti beni”.</w:t>
      </w:r>
      <w:r w:rsidRPr="00F80AF9">
        <w:t xml:space="preserve"> In tale ottica, la legge regionale “</w:t>
      </w:r>
      <w:r w:rsidRPr="00FC5622">
        <w:rPr>
          <w:i/>
        </w:rPr>
        <w:t>non stabilisce nuovi criteri di identificazione dei beni culturali ai fini del regime proprio di questi nell’ambito dell’ordinamento statale, bensì prevede che nella disciplina del governo del territorio - e quindi per quanto concerne le peculiarità di questa - si tenga conto non soltanto dei beni culturali identificati secondo la normativa statale, ma eventualmente anche di altri, purché però essi si trovino a far parte di un territorio avente una propria conformazione e una propria storia</w:t>
      </w:r>
      <w:r>
        <w:t>”.</w:t>
      </w:r>
    </w:p>
  </w:footnote>
  <w:footnote w:id="35">
    <w:p w:rsidR="00B30A8E" w:rsidRDefault="00B30A8E" w:rsidP="00B30A8E">
      <w:pPr>
        <w:pStyle w:val="Testonotaapidipagina"/>
        <w:jc w:val="both"/>
      </w:pPr>
      <w:r>
        <w:rPr>
          <w:rStyle w:val="Rimandonotaapidipagina"/>
        </w:rPr>
        <w:footnoteRef/>
      </w:r>
      <w:r w:rsidR="003238BE">
        <w:t xml:space="preserve"> MILO</w:t>
      </w:r>
      <w:r>
        <w:t xml:space="preserve">, op.cit. </w:t>
      </w:r>
      <w:r w:rsidRPr="00AA21C2">
        <w:t>Le fonti di tali impegni, per quanto attiene alla tutela della natura, le troviamo soprattutto nella Con</w:t>
      </w:r>
      <w:r w:rsidR="000A66C2">
        <w:t>venzione di Ramsar del 1971</w:t>
      </w:r>
      <w:r w:rsidRPr="00AA21C2">
        <w:t xml:space="preserve">, nella </w:t>
      </w:r>
      <w:r w:rsidR="007D5949">
        <w:t>C</w:t>
      </w:r>
      <w:r w:rsidRPr="00AA21C2">
        <w:t xml:space="preserve">onvenzione di Rio </w:t>
      </w:r>
      <w:r w:rsidR="000A66C2">
        <w:t>sulla biodiversità del 1992</w:t>
      </w:r>
      <w:r w:rsidRPr="00AA21C2">
        <w:t>, nelle connesse direttive comunitarie “Uccelli” (Dir. 79/409/CEE) e “Habitat” (Dir. 92/43/CEE), che hanno istituito la rete ecologica europea d</w:t>
      </w:r>
      <w:r w:rsidR="000A66C2">
        <w:t xml:space="preserve">enominata “Natura 2000”. </w:t>
      </w:r>
      <w:r w:rsidRPr="00AA21C2">
        <w:t>Per quanto attiene ai beni paesistici e culturali, gli impegni vengono assunti con la Convenzione per la salvaguardia del patrimonio</w:t>
      </w:r>
      <w:r w:rsidR="00845AC2">
        <w:t xml:space="preserve"> mondiale culturale e naturale</w:t>
      </w:r>
      <w:r w:rsidRPr="00AA21C2">
        <w:t xml:space="preserve"> firmata a Parigi il 16 novembre 1972, dai Paesi aderenti all'Organizzazione delle Nazioni Unite per l'educazione, la scienza e la cultura (UNESCO), resa esecutiv</w:t>
      </w:r>
      <w:r w:rsidR="00845AC2">
        <w:t>a dalla l. 6 aprile 1977 n. 184, nonché con</w:t>
      </w:r>
      <w:r w:rsidR="007D5949" w:rsidRPr="007D5949">
        <w:t xml:space="preserve"> la Convenzione per la salvaguardia del patrimonio culturale immateriale, adottata a Parigi il 17 ottobre 2003, resa esecutiva dalla l. 27 settembre 2007 n. 167</w:t>
      </w:r>
      <w:r w:rsidR="007D5949">
        <w:t xml:space="preserve">. </w:t>
      </w:r>
      <w:r w:rsidRPr="00AA21C2">
        <w:t xml:space="preserve"> A livello nazionale, le Direttive Uccelli e Habitat sono state recepite rispettivamente attraverso la l. 11 f</w:t>
      </w:r>
      <w:r w:rsidR="007D5949">
        <w:t xml:space="preserve">ebbraio 1992 n. 157 e il d.P.R. </w:t>
      </w:r>
      <w:r w:rsidRPr="00AA21C2">
        <w:t>8 settembre 1997 n. 357</w:t>
      </w:r>
      <w:r w:rsidR="007D5949">
        <w:t>.</w:t>
      </w:r>
    </w:p>
  </w:footnote>
  <w:footnote w:id="36">
    <w:p w:rsidR="00B30A8E" w:rsidRDefault="00B30A8E" w:rsidP="00B30A8E">
      <w:pPr>
        <w:pStyle w:val="Testonotaapidipagina"/>
        <w:jc w:val="both"/>
      </w:pPr>
      <w:r>
        <w:rPr>
          <w:rStyle w:val="Rimandonotaapidipagina"/>
        </w:rPr>
        <w:footnoteRef/>
      </w:r>
      <w:r>
        <w:t xml:space="preserve"> </w:t>
      </w:r>
      <w:r w:rsidRPr="00AA21C2">
        <w:t xml:space="preserve">si veda Cons. Stato, sez. IV, 12 gennaio 2011, n. 133, ove si chiarisce che poiché la VAS non è configurata come un procedimento o un subprocedimento autonomo rispetto alla procedura di pianificazione è </w:t>
      </w:r>
      <w:r w:rsidR="000A66C2">
        <w:t>legittimo</w:t>
      </w:r>
      <w:r w:rsidRPr="00AA21C2">
        <w:t xml:space="preserve"> che l’autorità competente alla VAS sia identificata in un organo o ufficio interno alla stessa autorità procedente</w:t>
      </w:r>
    </w:p>
  </w:footnote>
  <w:footnote w:id="37">
    <w:p w:rsidR="00B30A8E" w:rsidRDefault="00B30A8E" w:rsidP="007D5949">
      <w:pPr>
        <w:pStyle w:val="Testonotaapidipagina"/>
        <w:jc w:val="both"/>
      </w:pPr>
      <w:r>
        <w:rPr>
          <w:rStyle w:val="Rimandonotaapidipagina"/>
        </w:rPr>
        <w:footnoteRef/>
      </w:r>
      <w:r>
        <w:t xml:space="preserve"> DELLE CAVE, </w:t>
      </w:r>
      <w:r w:rsidRPr="00AA21C2">
        <w:rPr>
          <w:i/>
        </w:rPr>
        <w:t>La Valutazione Ambientale Strategica: ratio, caratteristiche e peculiarità (nota a Consiglio di Stato, Sez. II, 01 settembre 2021, n. 6152</w:t>
      </w:r>
      <w:r w:rsidRPr="00AA21C2">
        <w:t>)</w:t>
      </w:r>
      <w:r>
        <w:t xml:space="preserve">, in </w:t>
      </w:r>
      <w:r w:rsidRPr="00AA21C2">
        <w:rPr>
          <w:i/>
        </w:rPr>
        <w:t>www.giustiziainsieme.it</w:t>
      </w:r>
    </w:p>
  </w:footnote>
  <w:footnote w:id="38">
    <w:p w:rsidR="00B30A8E" w:rsidRDefault="00B30A8E" w:rsidP="007D5949">
      <w:pPr>
        <w:pStyle w:val="Testonotaapidipagina"/>
        <w:jc w:val="both"/>
      </w:pPr>
      <w:r>
        <w:rPr>
          <w:rStyle w:val="Rimandonotaapidipagina"/>
        </w:rPr>
        <w:footnoteRef/>
      </w:r>
      <w:r>
        <w:t xml:space="preserve"> PATRONI GRIFFI, op.cit.</w:t>
      </w:r>
    </w:p>
  </w:footnote>
  <w:footnote w:id="39">
    <w:p w:rsidR="00B30A8E" w:rsidRDefault="00B30A8E" w:rsidP="007D5949">
      <w:pPr>
        <w:pStyle w:val="Testonotaapidipagina"/>
        <w:jc w:val="both"/>
      </w:pPr>
      <w:r>
        <w:rPr>
          <w:rStyle w:val="Rimandonotaapidipagina"/>
        </w:rPr>
        <w:footnoteRef/>
      </w:r>
      <w:r>
        <w:t xml:space="preserve"> Si tratta di un orientamento risalente (ad esempio, Corte Cost., sentenza n. 383 del 2005).</w:t>
      </w:r>
    </w:p>
  </w:footnote>
  <w:footnote w:id="40">
    <w:p w:rsidR="00B30A8E" w:rsidRDefault="00B30A8E" w:rsidP="007D5949">
      <w:pPr>
        <w:pStyle w:val="Testonotaapidipagina"/>
        <w:jc w:val="both"/>
      </w:pPr>
      <w:r>
        <w:rPr>
          <w:rStyle w:val="Rimandonotaapidipagina"/>
        </w:rPr>
        <w:footnoteRef/>
      </w:r>
      <w:r>
        <w:t xml:space="preserve"> Un’ampia rassegna in materia è contenuta nella Rassegna</w:t>
      </w:r>
      <w:r w:rsidR="003238BE">
        <w:t xml:space="preserve"> monotematica dell’Ufficio del M</w:t>
      </w:r>
      <w:r w:rsidR="00823304">
        <w:t>assimario della g.a. dedicata</w:t>
      </w:r>
      <w:r>
        <w:t xml:space="preserve"> al “governo del territor</w:t>
      </w:r>
      <w:r w:rsidR="005B2F2B">
        <w:t xml:space="preserve">io” a cura di MARINA PERRELLI e </w:t>
      </w:r>
      <w:r>
        <w:t>LAURA MARZANO.</w:t>
      </w:r>
    </w:p>
  </w:footnote>
  <w:footnote w:id="41">
    <w:p w:rsidR="00B30A8E" w:rsidRDefault="00B30A8E" w:rsidP="007D5949">
      <w:pPr>
        <w:pStyle w:val="Testonotaapidipagina"/>
        <w:jc w:val="both"/>
      </w:pPr>
      <w:r>
        <w:rPr>
          <w:rStyle w:val="Rimandonotaapidipagina"/>
        </w:rPr>
        <w:footnoteRef/>
      </w:r>
      <w:r>
        <w:t xml:space="preserve"> A.M. SANDULLI, </w:t>
      </w:r>
      <w:r w:rsidRPr="004E287A">
        <w:rPr>
          <w:i/>
        </w:rPr>
        <w:t>Manuale di diritto amministrativo</w:t>
      </w:r>
      <w:r w:rsidRPr="004E287A">
        <w:t>, Napoli, 1989, p. 743</w:t>
      </w:r>
    </w:p>
  </w:footnote>
  <w:footnote w:id="42">
    <w:p w:rsidR="00B30A8E" w:rsidRDefault="00B30A8E" w:rsidP="00B30A8E">
      <w:pPr>
        <w:pStyle w:val="Testonotaapidipagina"/>
      </w:pPr>
      <w:r>
        <w:rPr>
          <w:rStyle w:val="Rimandonotaapidipagina"/>
        </w:rPr>
        <w:footnoteRef/>
      </w:r>
      <w:r>
        <w:t xml:space="preserve"> PATRONI GRIFFI, op.cit.</w:t>
      </w:r>
    </w:p>
  </w:footnote>
  <w:footnote w:id="43">
    <w:p w:rsidR="00B30A8E" w:rsidRDefault="00B30A8E" w:rsidP="00B30A8E">
      <w:pPr>
        <w:pStyle w:val="Testonotaapidipagina"/>
      </w:pPr>
      <w:r>
        <w:rPr>
          <w:rStyle w:val="Rimandonotaapidipagina"/>
        </w:rPr>
        <w:footnoteRef/>
      </w:r>
      <w:r>
        <w:t xml:space="preserve"> PATRONI GRIFFI, op.cit.</w:t>
      </w:r>
    </w:p>
  </w:footnote>
  <w:footnote w:id="44">
    <w:p w:rsidR="00B30A8E" w:rsidRDefault="00B30A8E" w:rsidP="00B30A8E">
      <w:pPr>
        <w:pStyle w:val="Testonotaapidipagina"/>
        <w:jc w:val="both"/>
      </w:pPr>
      <w:r>
        <w:rPr>
          <w:rStyle w:val="Rimandonotaapidipagina"/>
        </w:rPr>
        <w:footnoteRef/>
      </w:r>
      <w:r>
        <w:t xml:space="preserve"> Il </w:t>
      </w:r>
      <w:r w:rsidRPr="0064091C">
        <w:t xml:space="preserve">tema della rigenerazione urbana è presente da decenni nella legislazione nazionale. </w:t>
      </w:r>
      <w:r w:rsidR="00E758EE">
        <w:t xml:space="preserve">La citata Rassegna monotematica dell’Ufficio Studi della g.a. cita ad esempio, </w:t>
      </w:r>
      <w:r w:rsidRPr="0064091C">
        <w:t>i piani di recupero previsti dalla legge n. 457 del 1978, i piani di recupero</w:t>
      </w:r>
      <w:r>
        <w:t xml:space="preserve"> </w:t>
      </w:r>
      <w:r w:rsidRPr="0064091C">
        <w:t>degli insediamenti abusivi previsti dall’art. 29 della legge n. 47 del 1985, i programmi integrati di intervento previsti nell’art. 16 della legge n. 179 del 1992, i piani di recupero urbano della legge n. 493 del 1993, i piani di riabilitazione edilizia e urbana previsti dalla legge n. 166 del 2002, i contratti di valorizzazione urbana della legge n. 134 del 2012.</w:t>
      </w:r>
      <w:r>
        <w:t xml:space="preserve"> </w:t>
      </w:r>
      <w:r w:rsidRPr="0064091C">
        <w:t>La stessa norma- principio nazionale del 2011 sui piani - casa introduce elementi in qualche modo riferibili alla rigenerazione urbana. Il decreto - legge c.d. “sblocca - Italia” n. 133 del 2014, convertito con modificazioni nella legge n. 164 del 2014, ha introdotto, all’art. 17, semplificazioni ed altre misure in materia edilizia, al dichiarato “</w:t>
      </w:r>
      <w:r w:rsidRPr="005F631B">
        <w:rPr>
          <w:i/>
        </w:rPr>
        <w:t>fine di semplificare le procedure edilizie e ridurre gli oneri a carico dei cittadini e delle imprese, nonché di assicurare processi di sviluppo sostenibile, con particolare riguardo al recupero del patrimonio edilizio esistente e alla riduzione del consumo di suolo</w:t>
      </w:r>
      <w:r w:rsidR="005F631B">
        <w:t>”.</w:t>
      </w:r>
    </w:p>
  </w:footnote>
  <w:footnote w:id="45">
    <w:p w:rsidR="00912B3F" w:rsidRDefault="00912B3F" w:rsidP="00912B3F">
      <w:pPr>
        <w:pStyle w:val="Testonotaapidipagina"/>
        <w:jc w:val="both"/>
      </w:pPr>
      <w:r>
        <w:rPr>
          <w:rStyle w:val="Rimandonotaapidipagina"/>
        </w:rPr>
        <w:footnoteRef/>
      </w:r>
      <w:r>
        <w:t xml:space="preserve"> MARI, </w:t>
      </w:r>
      <w:r w:rsidRPr="0042596C">
        <w:rPr>
          <w:i/>
        </w:rPr>
        <w:t>Rigenerazione urbana e città informale nel contesto europeo: profili evolutivi, vantaggi e criticità</w:t>
      </w:r>
      <w:r>
        <w:t xml:space="preserve">, in </w:t>
      </w:r>
      <w:r w:rsidRPr="0042596C">
        <w:rPr>
          <w:i/>
        </w:rPr>
        <w:t>www.federalismi.it</w:t>
      </w:r>
    </w:p>
  </w:footnote>
  <w:footnote w:id="46">
    <w:p w:rsidR="00B30A8E" w:rsidRDefault="00B30A8E" w:rsidP="00B30A8E">
      <w:pPr>
        <w:pStyle w:val="Testonotaapidipagina"/>
        <w:jc w:val="both"/>
      </w:pPr>
      <w:r>
        <w:rPr>
          <w:rStyle w:val="Rimandonotaapidipagina"/>
        </w:rPr>
        <w:footnoteRef/>
      </w:r>
      <w:r>
        <w:t xml:space="preserve"> PATRONI GRIFFI, op. cit. </w:t>
      </w:r>
    </w:p>
  </w:footnote>
  <w:footnote w:id="47">
    <w:p w:rsidR="00B30A8E" w:rsidRDefault="00B30A8E" w:rsidP="00B30A8E">
      <w:pPr>
        <w:pStyle w:val="Testonotaapidipagina"/>
      </w:pPr>
      <w:r>
        <w:rPr>
          <w:rStyle w:val="Rimandonotaapidipagina"/>
        </w:rPr>
        <w:footnoteRef/>
      </w:r>
      <w:r>
        <w:t xml:space="preserve"> Rassegna monotematica della g.a., cit.</w:t>
      </w:r>
    </w:p>
  </w:footnote>
  <w:footnote w:id="48">
    <w:p w:rsidR="00B30A8E" w:rsidRDefault="00B30A8E" w:rsidP="00B30A8E">
      <w:pPr>
        <w:pStyle w:val="Testonotaapidipagina"/>
      </w:pPr>
      <w:r>
        <w:rPr>
          <w:rStyle w:val="Rimandonotaapidipagina"/>
        </w:rPr>
        <w:footnoteRef/>
      </w:r>
      <w:r>
        <w:t xml:space="preserve"> Per ulteriori approfondimenti, vedi la Rassegna dell’Ufficio massimario della g.a., cit.</w:t>
      </w:r>
    </w:p>
  </w:footnote>
  <w:footnote w:id="49">
    <w:p w:rsidR="00B30A8E" w:rsidRPr="005F631B" w:rsidRDefault="00B30A8E" w:rsidP="00B30A8E">
      <w:pPr>
        <w:pStyle w:val="Testonotaapidipagina"/>
        <w:jc w:val="both"/>
      </w:pPr>
      <w:r>
        <w:rPr>
          <w:rStyle w:val="Rimandonotaapidipagina"/>
        </w:rPr>
        <w:footnoteRef/>
      </w:r>
      <w:r>
        <w:t xml:space="preserve"> </w:t>
      </w:r>
      <w:r w:rsidRPr="005F631B">
        <w:t>La Corte ivi premette che la riforma del 2022 consacra direttamente nel testo della Costituzione il mandato di tutela dell'ambiente, inteso come bene unitario, comprensivo delle sue specifiche declinazioni rappresentate dalla tutela della biodiversità e degli ecosistemi, ma riconosciuto in via autonoma rispetto al paesaggio e alla salute umana, per quanto ad essi naturalmente connesso; e vincola così, esplicitamente, tutte le pubbliche autorità ad attivarsi in vista della sua efficace difesa.</w:t>
      </w:r>
    </w:p>
  </w:footnote>
  <w:footnote w:id="50">
    <w:p w:rsidR="00B30A8E" w:rsidRDefault="00B30A8E" w:rsidP="00B30A8E">
      <w:pPr>
        <w:pStyle w:val="Testonotaapidipagina"/>
      </w:pPr>
      <w:r>
        <w:rPr>
          <w:rStyle w:val="Rimandonotaapidipagina"/>
        </w:rPr>
        <w:footnoteRef/>
      </w:r>
      <w:r>
        <w:t xml:space="preserve"> PASANISI, </w:t>
      </w:r>
      <w:r w:rsidRPr="004D0BE0">
        <w:rPr>
          <w:i/>
        </w:rPr>
        <w:t>La riqualificazione urbana e la mini-sanatoria edilizia ex D.L. n. 69/2024, conv. in Legge n. 105/2024 (</w:t>
      </w:r>
      <w:r>
        <w:t xml:space="preserve">cd. Decreto Salva Casa), in </w:t>
      </w:r>
      <w:r w:rsidRPr="0064091C">
        <w:rPr>
          <w:i/>
        </w:rPr>
        <w:t>www-giustizia-amministrativa.it</w:t>
      </w:r>
      <w:r>
        <w:t>.</w:t>
      </w:r>
    </w:p>
  </w:footnote>
  <w:footnote w:id="51">
    <w:p w:rsidR="00B30A8E" w:rsidRDefault="00B30A8E" w:rsidP="00B30A8E">
      <w:pPr>
        <w:pStyle w:val="Testonotaapidipagina"/>
      </w:pPr>
      <w:r>
        <w:rPr>
          <w:rStyle w:val="Rimandonotaapidipagina"/>
        </w:rPr>
        <w:footnoteRef/>
      </w:r>
      <w:r>
        <w:t xml:space="preserve"> CARPENTIERI, </w:t>
      </w:r>
      <w:r w:rsidRPr="00044DE4">
        <w:rPr>
          <w:i/>
        </w:rPr>
        <w:t>Riflessi della tutela</w:t>
      </w:r>
      <w:r>
        <w:t>, cit.</w:t>
      </w:r>
    </w:p>
  </w:footnote>
  <w:footnote w:id="52">
    <w:p w:rsidR="000707EF" w:rsidRDefault="000707EF" w:rsidP="00356137">
      <w:pPr>
        <w:pStyle w:val="Testonotaapidipagina"/>
        <w:jc w:val="both"/>
      </w:pPr>
      <w:r>
        <w:rPr>
          <w:rStyle w:val="Rimandonotaapidipagina"/>
        </w:rPr>
        <w:footnoteRef/>
      </w:r>
      <w:r>
        <w:t xml:space="preserve"> Sul rapporto tra consumo di suolo, rigenerazione urbana e governo del territorio va ancora una volta richiamata la sentenza della Corte costituzionale 16 luglio 2019 n. 179.</w:t>
      </w:r>
    </w:p>
  </w:footnote>
  <w:footnote w:id="53">
    <w:p w:rsidR="00B30A8E" w:rsidRDefault="00B30A8E" w:rsidP="00B30A8E">
      <w:pPr>
        <w:pStyle w:val="Testonotaapidipagina"/>
        <w:jc w:val="both"/>
      </w:pPr>
      <w:r>
        <w:rPr>
          <w:rStyle w:val="Rimandonotaapidipagina"/>
        </w:rPr>
        <w:footnoteRef/>
      </w:r>
      <w:r>
        <w:t xml:space="preserve"> Per questa rassegna vedi PAGLIARI, </w:t>
      </w:r>
      <w:r w:rsidRPr="004D0BE0">
        <w:rPr>
          <w:i/>
        </w:rPr>
        <w:t>Governo del territorio e consumo del suolo. Riflessioni sulle prospettive della pianificazione urbanistica</w:t>
      </w:r>
      <w:r>
        <w:t>, in Rivista giuridica dell’edilizia, fasc. 5, 2020, pag. 325.</w:t>
      </w:r>
    </w:p>
  </w:footnote>
  <w:footnote w:id="54">
    <w:p w:rsidR="00B30A8E" w:rsidRDefault="00B30A8E" w:rsidP="00B30A8E">
      <w:pPr>
        <w:pStyle w:val="Testonotaapidipagina"/>
      </w:pPr>
      <w:r>
        <w:rPr>
          <w:rStyle w:val="Rimandonotaapidipagina"/>
        </w:rPr>
        <w:footnoteRef/>
      </w:r>
      <w:r w:rsidR="00776DA9">
        <w:t xml:space="preserve"> Così ancora</w:t>
      </w:r>
      <w:r>
        <w:t xml:space="preserve"> PAGLIA</w:t>
      </w:r>
      <w:r w:rsidR="00AE66F7">
        <w:t>RI, op. cit</w:t>
      </w:r>
      <w:r>
        <w:t>.</w:t>
      </w:r>
    </w:p>
  </w:footnote>
  <w:footnote w:id="55">
    <w:p w:rsidR="00776DA9" w:rsidRDefault="00776DA9">
      <w:pPr>
        <w:pStyle w:val="Testonotaapidipagina"/>
      </w:pPr>
      <w:r>
        <w:rPr>
          <w:rStyle w:val="Rimandonotaapidipagina"/>
        </w:rPr>
        <w:footnoteRef/>
      </w:r>
      <w:r w:rsidR="00356137">
        <w:t xml:space="preserve"> </w:t>
      </w:r>
      <w:r>
        <w:t xml:space="preserve">PORTALURI, </w:t>
      </w:r>
      <w:r w:rsidR="00356137" w:rsidRPr="00356137">
        <w:rPr>
          <w:i/>
        </w:rPr>
        <w:t>Dal diritto delle costruzioni nelle città al governo del territorio</w:t>
      </w:r>
      <w:r w:rsidR="00356137">
        <w:t xml:space="preserve">, in </w:t>
      </w:r>
      <w:r w:rsidR="00356137" w:rsidRPr="00356137">
        <w:rPr>
          <w:i/>
        </w:rPr>
        <w:t>www.giustizia-amministrativa.it</w:t>
      </w:r>
      <w:r w:rsidR="00356137" w:rsidRPr="00356137">
        <w:t>.</w:t>
      </w:r>
    </w:p>
  </w:footnote>
  <w:footnote w:id="56">
    <w:p w:rsidR="00B30A8E" w:rsidRDefault="00B30A8E" w:rsidP="00B30A8E">
      <w:pPr>
        <w:pStyle w:val="Testonotaapidipagina"/>
      </w:pPr>
      <w:r>
        <w:rPr>
          <w:rStyle w:val="Rimandonotaapidipagina"/>
        </w:rPr>
        <w:footnoteRef/>
      </w:r>
      <w:r w:rsidR="00823304">
        <w:t xml:space="preserve"> PAGLIARI</w:t>
      </w:r>
      <w:r>
        <w:t>, op. cit.</w:t>
      </w:r>
    </w:p>
  </w:footnote>
  <w:footnote w:id="57">
    <w:p w:rsidR="00F50F86" w:rsidRPr="00F50F86" w:rsidRDefault="00F50F86" w:rsidP="00F50F86">
      <w:pPr>
        <w:pStyle w:val="Testonotaapidipagina"/>
        <w:jc w:val="both"/>
      </w:pPr>
      <w:r>
        <w:rPr>
          <w:rStyle w:val="Rimandonotaapidipagina"/>
        </w:rPr>
        <w:footnoteRef/>
      </w:r>
      <w:r>
        <w:t xml:space="preserve"> In tal senso si è osservato che l’adozione di una legge statale in materia di rigenerazione urbana potrebbe rappresentare l’obiettivo a cui tendere, considerando che l’impiego degli strumenti della riqualificazione e del riuso è ormai l’unica via percorribile per adattare l’assetto delle aree urbane alle priorità indicate dal </w:t>
      </w:r>
      <w:r w:rsidR="00496A41">
        <w:t>PNRR, prima fra tutte</w:t>
      </w:r>
      <w:r>
        <w:t xml:space="preserve"> la transizione ecologica, ma anche agli obiettivi, previsti da parte delle istituzioni europee, di consistente limitazione del consumo di suolo (DI LASCIO, </w:t>
      </w:r>
      <w:r w:rsidRPr="00F50F86">
        <w:rPr>
          <w:i/>
        </w:rPr>
        <w:t>Governare la rigenerazione urbana</w:t>
      </w:r>
      <w:r>
        <w:t xml:space="preserve">, in </w:t>
      </w:r>
      <w:r w:rsidRPr="00F50F86">
        <w:rPr>
          <w:i/>
        </w:rPr>
        <w:t>www.rqda.eu</w:t>
      </w:r>
      <w:r>
        <w:t>).</w:t>
      </w:r>
    </w:p>
  </w:footnote>
  <w:footnote w:id="58">
    <w:p w:rsidR="00B30A8E" w:rsidRDefault="00B30A8E" w:rsidP="00B30A8E">
      <w:pPr>
        <w:pStyle w:val="Testonotaapidipagina"/>
        <w:jc w:val="both"/>
      </w:pPr>
      <w:r>
        <w:rPr>
          <w:rStyle w:val="Rimandonotaapidipagina"/>
        </w:rPr>
        <w:footnoteRef/>
      </w:r>
      <w:r>
        <w:t xml:space="preserve"> </w:t>
      </w:r>
      <w:r>
        <w:rPr>
          <w:rFonts w:cstheme="minorHAnsi"/>
        </w:rPr>
        <w:t>È</w:t>
      </w:r>
      <w:r w:rsidR="0012651D">
        <w:rPr>
          <w:rFonts w:cstheme="minorHAnsi"/>
        </w:rPr>
        <w:t xml:space="preserve"> noto invece che </w:t>
      </w:r>
      <w:r>
        <w:rPr>
          <w:rFonts w:cstheme="minorHAnsi"/>
        </w:rPr>
        <w:t xml:space="preserve">la giurisprudenza amministrativa, a fronte dell’ampia discrezionalità spettante all’Amministrazione, richiede </w:t>
      </w:r>
      <w:r w:rsidRPr="00704262">
        <w:rPr>
          <w:rFonts w:cstheme="minorHAnsi"/>
        </w:rPr>
        <w:t>una motiv</w:t>
      </w:r>
      <w:r>
        <w:rPr>
          <w:rFonts w:cstheme="minorHAnsi"/>
        </w:rPr>
        <w:t xml:space="preserve">azione </w:t>
      </w:r>
      <w:r w:rsidR="00496A41">
        <w:rPr>
          <w:rFonts w:cstheme="minorHAnsi"/>
        </w:rPr>
        <w:t xml:space="preserve">rafforzata </w:t>
      </w:r>
      <w:r w:rsidRPr="00704262">
        <w:rPr>
          <w:rFonts w:cstheme="minorHAnsi"/>
        </w:rPr>
        <w:t xml:space="preserve">solo in presenza di superamento degli standard urbanistici minimi, di una convenzione di lottizzazione ancora efficace o di un accordo equivalente, di pronunce di annullamento di diniego di permesso di costruire o di silenzio inadempimento, passate in giudicato (cfr., </w:t>
      </w:r>
      <w:r w:rsidRPr="005A60A3">
        <w:rPr>
          <w:rFonts w:cstheme="minorHAnsi"/>
          <w:i/>
        </w:rPr>
        <w:t>ex plurimis</w:t>
      </w:r>
      <w:r w:rsidRPr="00704262">
        <w:rPr>
          <w:rFonts w:cstheme="minorHAnsi"/>
        </w:rPr>
        <w:t>, Cons. Stato, sez. IV, sentenza n. 4343 del 25 giugno 2019).</w:t>
      </w:r>
    </w:p>
  </w:footnote>
  <w:footnote w:id="59">
    <w:p w:rsidR="004305A7" w:rsidRDefault="004305A7" w:rsidP="00496A41">
      <w:pPr>
        <w:pStyle w:val="Testonotaapidipagina"/>
        <w:jc w:val="both"/>
      </w:pPr>
      <w:r>
        <w:rPr>
          <w:rStyle w:val="Rimandonotaapidipagina"/>
        </w:rPr>
        <w:footnoteRef/>
      </w:r>
      <w:r>
        <w:t xml:space="preserve"> MARI, op.cit</w:t>
      </w:r>
      <w:r w:rsidR="00496A41">
        <w:t xml:space="preserve">. L’autrice sottolinea </w:t>
      </w:r>
      <w:r>
        <w:t>– facendo riferimento alle esperienze europee – che queste nuove forme di partecipazione richiedono comunque una certa formalizzazione per essere efficaci.</w:t>
      </w:r>
    </w:p>
  </w:footnote>
  <w:footnote w:id="60">
    <w:p w:rsidR="00B30A8E" w:rsidRDefault="00B30A8E" w:rsidP="00B30A8E">
      <w:pPr>
        <w:pStyle w:val="Testonotaapidipagina"/>
        <w:jc w:val="both"/>
      </w:pPr>
      <w:r>
        <w:rPr>
          <w:rStyle w:val="Rimandonotaapidipagina"/>
        </w:rPr>
        <w:footnoteRef/>
      </w:r>
      <w:r w:rsidR="00823304">
        <w:t xml:space="preserve"> La Commissione</w:t>
      </w:r>
      <w:r>
        <w:t xml:space="preserve"> è stata nominata nel 2021</w:t>
      </w:r>
      <w:r w:rsidR="0055240D">
        <w:t xml:space="preserve"> dal Ministro delle infrastrutture </w:t>
      </w:r>
      <w:r w:rsidR="00951F0A">
        <w:t xml:space="preserve">e delle mobilità sostenibili </w:t>
      </w:r>
      <w:r>
        <w:t>e ha concluso i suoi lavori nel 2022, con la presentazione di un progetto di riforma della legge urbanistica.</w:t>
      </w:r>
    </w:p>
  </w:footnote>
  <w:footnote w:id="61">
    <w:p w:rsidR="00DA3346" w:rsidRDefault="00DA3346" w:rsidP="00DA3346">
      <w:pPr>
        <w:pStyle w:val="Testonotaapidipagina"/>
        <w:jc w:val="both"/>
      </w:pPr>
      <w:r>
        <w:rPr>
          <w:rStyle w:val="Rimandonotaapidipagina"/>
        </w:rPr>
        <w:footnoteRef/>
      </w:r>
      <w:r>
        <w:t xml:space="preserve"> Parimenti necessaria sarebbe una legge che rechi norme di principio volte a costruire una strategia complessiva di regia dei processi di rigenerazione urbana attraverso l’indicazione principi e obiettivi di carattere generale in grado di orientare l’azione dei legislatori regionali (in tal senso DI LASCIO, </w:t>
      </w:r>
      <w:r w:rsidR="000707EF">
        <w:t>op. ult. cit., nella quale è contenuta una rassegna di diver</w:t>
      </w:r>
      <w:r w:rsidR="005223D9">
        <w:t xml:space="preserve">si progetti di legge </w:t>
      </w:r>
      <w:r w:rsidR="000707EF">
        <w:t>depositati nelle ultime legislature, aventi per oggetto, ad un tempo, sia norme per il contenimento del consumo di suolo che per la rigenerazione urbana</w:t>
      </w:r>
      <w:r w:rsidR="005223D9">
        <w:t>)</w:t>
      </w:r>
      <w:r w:rsidR="000707EF">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8E"/>
    <w:rsid w:val="00043935"/>
    <w:rsid w:val="00044DE4"/>
    <w:rsid w:val="000707EF"/>
    <w:rsid w:val="000A66C2"/>
    <w:rsid w:val="000B13C0"/>
    <w:rsid w:val="000F391E"/>
    <w:rsid w:val="00102526"/>
    <w:rsid w:val="0012651D"/>
    <w:rsid w:val="0018598A"/>
    <w:rsid w:val="001D6A0C"/>
    <w:rsid w:val="001F3039"/>
    <w:rsid w:val="00226661"/>
    <w:rsid w:val="00261BE0"/>
    <w:rsid w:val="003238BE"/>
    <w:rsid w:val="00356137"/>
    <w:rsid w:val="003C5388"/>
    <w:rsid w:val="003F1087"/>
    <w:rsid w:val="0042596C"/>
    <w:rsid w:val="004305A7"/>
    <w:rsid w:val="00436A7A"/>
    <w:rsid w:val="0044024D"/>
    <w:rsid w:val="004529E3"/>
    <w:rsid w:val="004555DC"/>
    <w:rsid w:val="00496A41"/>
    <w:rsid w:val="004B0283"/>
    <w:rsid w:val="004D105B"/>
    <w:rsid w:val="004E2D7C"/>
    <w:rsid w:val="004E4306"/>
    <w:rsid w:val="005223D9"/>
    <w:rsid w:val="00526A4C"/>
    <w:rsid w:val="0055240D"/>
    <w:rsid w:val="0056296A"/>
    <w:rsid w:val="005A60A3"/>
    <w:rsid w:val="005B2F2B"/>
    <w:rsid w:val="005F631B"/>
    <w:rsid w:val="00601518"/>
    <w:rsid w:val="00683689"/>
    <w:rsid w:val="006900AA"/>
    <w:rsid w:val="00694E14"/>
    <w:rsid w:val="00712D4F"/>
    <w:rsid w:val="00724793"/>
    <w:rsid w:val="00725860"/>
    <w:rsid w:val="00765463"/>
    <w:rsid w:val="00773C66"/>
    <w:rsid w:val="00776DA9"/>
    <w:rsid w:val="007C316F"/>
    <w:rsid w:val="007D5949"/>
    <w:rsid w:val="00823304"/>
    <w:rsid w:val="008339D2"/>
    <w:rsid w:val="00845AC2"/>
    <w:rsid w:val="00864B32"/>
    <w:rsid w:val="008A5888"/>
    <w:rsid w:val="00912B3F"/>
    <w:rsid w:val="0092131D"/>
    <w:rsid w:val="0092678D"/>
    <w:rsid w:val="0092764B"/>
    <w:rsid w:val="009511A5"/>
    <w:rsid w:val="00951F0A"/>
    <w:rsid w:val="00A20592"/>
    <w:rsid w:val="00A62178"/>
    <w:rsid w:val="00AE66F7"/>
    <w:rsid w:val="00AE7643"/>
    <w:rsid w:val="00B120A2"/>
    <w:rsid w:val="00B30A8E"/>
    <w:rsid w:val="00B360D3"/>
    <w:rsid w:val="00B36200"/>
    <w:rsid w:val="00B44102"/>
    <w:rsid w:val="00B73AE3"/>
    <w:rsid w:val="00BA382B"/>
    <w:rsid w:val="00BB51E2"/>
    <w:rsid w:val="00BC06B6"/>
    <w:rsid w:val="00BE0BB4"/>
    <w:rsid w:val="00BF2469"/>
    <w:rsid w:val="00BF2F94"/>
    <w:rsid w:val="00C00B83"/>
    <w:rsid w:val="00C46714"/>
    <w:rsid w:val="00CB09FC"/>
    <w:rsid w:val="00CC5460"/>
    <w:rsid w:val="00D3464A"/>
    <w:rsid w:val="00D60F55"/>
    <w:rsid w:val="00DA3346"/>
    <w:rsid w:val="00E758EE"/>
    <w:rsid w:val="00E97B93"/>
    <w:rsid w:val="00EB5008"/>
    <w:rsid w:val="00EC6820"/>
    <w:rsid w:val="00EF579E"/>
    <w:rsid w:val="00F50F86"/>
    <w:rsid w:val="00FA2AC0"/>
    <w:rsid w:val="00FA565A"/>
    <w:rsid w:val="00FE1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38D4"/>
  <w15:chartTrackingRefBased/>
  <w15:docId w15:val="{F8C81692-AC5C-4F79-A574-21063319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0A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30A8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30A8E"/>
    <w:rPr>
      <w:sz w:val="20"/>
      <w:szCs w:val="20"/>
    </w:rPr>
  </w:style>
  <w:style w:type="character" w:styleId="Rimandonotaapidipagina">
    <w:name w:val="footnote reference"/>
    <w:basedOn w:val="Carpredefinitoparagrafo"/>
    <w:uiPriority w:val="99"/>
    <w:semiHidden/>
    <w:unhideWhenUsed/>
    <w:rsid w:val="00B30A8E"/>
    <w:rPr>
      <w:vertAlign w:val="superscript"/>
    </w:rPr>
  </w:style>
  <w:style w:type="paragraph" w:styleId="Pidipagina">
    <w:name w:val="footer"/>
    <w:basedOn w:val="Normale"/>
    <w:link w:val="PidipaginaCarattere"/>
    <w:uiPriority w:val="99"/>
    <w:unhideWhenUsed/>
    <w:rsid w:val="00B30A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0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28CE7-AA23-4C61-830B-3DA9F5E3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22</Pages>
  <Words>8272</Words>
  <Characters>47151</Characters>
  <Application>Microsoft Office Word</Application>
  <DocSecurity>0</DocSecurity>
  <Lines>392</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 Silvia</dc:creator>
  <cp:keywords/>
  <dc:description/>
  <cp:lastModifiedBy>MARTINO Silvia</cp:lastModifiedBy>
  <cp:revision>50</cp:revision>
  <dcterms:created xsi:type="dcterms:W3CDTF">2025-03-22T20:41:00Z</dcterms:created>
  <dcterms:modified xsi:type="dcterms:W3CDTF">2025-04-10T20:28:00Z</dcterms:modified>
</cp:coreProperties>
</file>