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7C95A" w14:textId="25ED28BD" w:rsidR="00E92121" w:rsidRPr="001F1D70" w:rsidRDefault="00E92121" w:rsidP="00614721">
      <w:pPr>
        <w:pStyle w:val="Titolo3"/>
        <w:rPr>
          <w:rStyle w:val="Autore"/>
        </w:rPr>
      </w:pPr>
      <w:bookmarkStart w:id="0" w:name="_Hlk201914877"/>
      <w:r w:rsidRPr="00E26BB4">
        <w:t xml:space="preserve">Il </w:t>
      </w:r>
      <w:r>
        <w:t>P</w:t>
      </w:r>
      <w:r w:rsidRPr="00E26BB4">
        <w:t>rogetto di vita individuale</w:t>
      </w:r>
      <w:r w:rsidR="00926D6A">
        <w:br/>
      </w:r>
      <w:r>
        <w:t>del soggetto disabile</w:t>
      </w:r>
      <w:r w:rsidRPr="00E26BB4">
        <w:t xml:space="preserve">: </w:t>
      </w:r>
      <w:r>
        <w:t>aspetti sostanziali</w:t>
      </w:r>
      <w:r w:rsidR="00926D6A">
        <w:br/>
      </w:r>
      <w:r>
        <w:t xml:space="preserve">e </w:t>
      </w:r>
      <w:r w:rsidRPr="00E26BB4">
        <w:t>questioni di giurisdizione</w:t>
      </w:r>
      <w:r>
        <w:br/>
      </w:r>
      <w:r w:rsidRPr="00A37C9A">
        <w:rPr>
          <w:rStyle w:val="Autore"/>
          <w:caps w:val="0"/>
        </w:rPr>
        <w:t>Antonio De Vita</w:t>
      </w:r>
    </w:p>
    <w:p w14:paraId="6F45982B" w14:textId="2BE6B315" w:rsidR="00022B0A" w:rsidRPr="00022B0A" w:rsidRDefault="00022B0A" w:rsidP="00022B0A">
      <w:pPr>
        <w:pStyle w:val="Sommario"/>
        <w:rPr>
          <w:highlight w:val="darkCyan"/>
        </w:rPr>
      </w:pPr>
      <w:r w:rsidRPr="00022B0A">
        <w:rPr>
          <w:smallCaps/>
        </w:rPr>
        <w:t>Sommario</w:t>
      </w:r>
      <w:r w:rsidRPr="00022B0A">
        <w:t xml:space="preserve">: </w:t>
      </w:r>
      <w:r>
        <w:fldChar w:fldCharType="begin"/>
      </w:r>
      <w:r>
        <w:instrText xml:space="preserve"> TOC \n \p " " \h \z \u \t "Titolo 4;1;Titolo 5;2;Titolo 6;3" </w:instrText>
      </w:r>
      <w:r>
        <w:fldChar w:fldCharType="separate"/>
      </w:r>
      <w:hyperlink w:anchor="_Toc208319529" w:history="1">
        <w:r w:rsidRPr="00022B0A">
          <w:t>1. La posizione dei soggetti disabili nell’ordinamento italiano</w:t>
        </w:r>
      </w:hyperlink>
      <w:r w:rsidRPr="00022B0A">
        <w:t xml:space="preserve">. – </w:t>
      </w:r>
      <w:hyperlink w:anchor="_Toc208319530" w:history="1">
        <w:r w:rsidRPr="00022B0A">
          <w:t>2. Il Progetto di vita individuale quale fattore di piena integrazione del soggetto disabile</w:t>
        </w:r>
      </w:hyperlink>
      <w:r w:rsidRPr="00022B0A">
        <w:t xml:space="preserve">. – </w:t>
      </w:r>
      <w:hyperlink w:anchor="_Toc208319531" w:history="1">
        <w:r w:rsidRPr="00022B0A">
          <w:t>3. Soggetti coinvolti nel procedimento afferente al</w:t>
        </w:r>
        <w:r w:rsidR="005D5F46">
          <w:t>l’adozione del</w:t>
        </w:r>
        <w:r w:rsidRPr="00022B0A">
          <w:t xml:space="preserve"> Progetto di vita individuale</w:t>
        </w:r>
      </w:hyperlink>
      <w:r w:rsidRPr="00022B0A">
        <w:t xml:space="preserve">. – </w:t>
      </w:r>
      <w:hyperlink w:anchor="_Toc208319532" w:history="1">
        <w:r w:rsidRPr="00022B0A">
          <w:t>4. Individuazione del giudice munito di giurisdizione</w:t>
        </w:r>
      </w:hyperlink>
      <w:r w:rsidRPr="00022B0A">
        <w:t>.</w:t>
      </w:r>
      <w:r>
        <w:fldChar w:fldCharType="end"/>
      </w:r>
    </w:p>
    <w:p w14:paraId="17534630" w14:textId="77777777" w:rsidR="00E92121" w:rsidRPr="001F1D70" w:rsidRDefault="00E92121" w:rsidP="00E92121">
      <w:pPr>
        <w:pStyle w:val="Titolo4"/>
      </w:pPr>
      <w:bookmarkStart w:id="1" w:name="_Toc208319529"/>
      <w:r w:rsidRPr="00E10043">
        <w:rPr>
          <w:i w:val="0"/>
        </w:rPr>
        <w:t xml:space="preserve">1. </w:t>
      </w:r>
      <w:r w:rsidRPr="008E35C6">
        <w:t>La posizione dei soggetti disabili nell’ordinamento italiano</w:t>
      </w:r>
      <w:bookmarkEnd w:id="1"/>
    </w:p>
    <w:p w14:paraId="70B86D96" w14:textId="3885EA3A" w:rsidR="00E92121" w:rsidRPr="0082560B" w:rsidRDefault="00E92121" w:rsidP="00391A67">
      <w:pPr>
        <w:pStyle w:val="Capoverso"/>
        <w:spacing w:line="272" w:lineRule="exact"/>
        <w:rPr>
          <w:szCs w:val="23"/>
        </w:rPr>
      </w:pPr>
      <w:r w:rsidRPr="0082560B">
        <w:rPr>
          <w:szCs w:val="23"/>
        </w:rPr>
        <w:t>L’ordinamento costituzionale italiano persegue quale obiettivo primario la tutela e lo sviluppo della persona umana</w:t>
      </w:r>
      <w:r w:rsidR="00E6467B">
        <w:rPr>
          <w:rStyle w:val="Rimandonotaapidipagina"/>
          <w:szCs w:val="23"/>
        </w:rPr>
        <w:footnoteReference w:id="2"/>
      </w:r>
      <w:r w:rsidRPr="0082560B">
        <w:rPr>
          <w:szCs w:val="23"/>
        </w:rPr>
        <w:t xml:space="preserve">, sia in una dimensione di tipo statico che in una prospettiva dinamica. La persona vede riconosciuti e garantiti i propri diritti inviolabili non solo a livello individuale, ma anche </w:t>
      </w:r>
      <w:r w:rsidR="00EB1B51">
        <w:rPr>
          <w:szCs w:val="23"/>
        </w:rPr>
        <w:t xml:space="preserve">nelle </w:t>
      </w:r>
      <w:r w:rsidRPr="0082560B">
        <w:rPr>
          <w:szCs w:val="23"/>
        </w:rPr>
        <w:t>formazion</w:t>
      </w:r>
      <w:r w:rsidR="00EB1B51">
        <w:rPr>
          <w:szCs w:val="23"/>
        </w:rPr>
        <w:t>i</w:t>
      </w:r>
      <w:r w:rsidRPr="0082560B">
        <w:rPr>
          <w:szCs w:val="23"/>
        </w:rPr>
        <w:t xml:space="preserve"> social</w:t>
      </w:r>
      <w:r w:rsidR="00EB1B51">
        <w:rPr>
          <w:szCs w:val="23"/>
        </w:rPr>
        <w:t>i</w:t>
      </w:r>
      <w:r w:rsidRPr="0082560B">
        <w:rPr>
          <w:szCs w:val="23"/>
        </w:rPr>
        <w:t xml:space="preserve"> (art. 2 Cost.): è importante sottolineare che tali diritti non vengono “</w:t>
      </w:r>
      <w:r w:rsidRPr="008E35C6">
        <w:rPr>
          <w:i/>
          <w:iCs/>
          <w:szCs w:val="23"/>
        </w:rPr>
        <w:t>attribuiti</w:t>
      </w:r>
      <w:r w:rsidRPr="0082560B">
        <w:rPr>
          <w:szCs w:val="23"/>
        </w:rPr>
        <w:t>” o “</w:t>
      </w:r>
      <w:r w:rsidRPr="008E35C6">
        <w:rPr>
          <w:i/>
          <w:iCs/>
          <w:szCs w:val="23"/>
        </w:rPr>
        <w:t>creati</w:t>
      </w:r>
      <w:r w:rsidRPr="0082560B">
        <w:rPr>
          <w:szCs w:val="23"/>
        </w:rPr>
        <w:t xml:space="preserve">” </w:t>
      </w:r>
      <w:r w:rsidRPr="008B436B">
        <w:rPr>
          <w:i/>
          <w:iCs/>
          <w:szCs w:val="23"/>
        </w:rPr>
        <w:t>ex novo</w:t>
      </w:r>
      <w:r w:rsidRPr="0082560B">
        <w:rPr>
          <w:szCs w:val="23"/>
        </w:rPr>
        <w:t xml:space="preserve"> dallo Stato, ma dallo stesso sono soltanto oggetto di “</w:t>
      </w:r>
      <w:r w:rsidRPr="008E35C6">
        <w:rPr>
          <w:i/>
          <w:iCs/>
          <w:szCs w:val="23"/>
        </w:rPr>
        <w:t>riconoscimento</w:t>
      </w:r>
      <w:r w:rsidRPr="0082560B">
        <w:rPr>
          <w:szCs w:val="23"/>
        </w:rPr>
        <w:t>”, ossia si prende atto della loro preesistenza rispetto all’ordinamento giuridico, appartenendo gli stessi al patrimonio originario di ogni individuo. Di conseguenza, non sono ammessi interventi limitativi o addirittura abo</w:t>
      </w:r>
      <w:r w:rsidR="000A4843">
        <w:rPr>
          <w:szCs w:val="23"/>
        </w:rPr>
        <w:t>li</w:t>
      </w:r>
      <w:r w:rsidRPr="0082560B">
        <w:rPr>
          <w:szCs w:val="23"/>
        </w:rPr>
        <w:t>tivi da parte del legislatore</w:t>
      </w:r>
      <w:r w:rsidR="000A4843">
        <w:rPr>
          <w:szCs w:val="23"/>
        </w:rPr>
        <w:t xml:space="preserve"> aventi un impatto negativo</w:t>
      </w:r>
      <w:r w:rsidRPr="0082560B">
        <w:rPr>
          <w:szCs w:val="23"/>
        </w:rPr>
        <w:t xml:space="preserve"> </w:t>
      </w:r>
      <w:r w:rsidR="000A4843">
        <w:rPr>
          <w:szCs w:val="23"/>
        </w:rPr>
        <w:lastRenderedPageBreak/>
        <w:t>sul</w:t>
      </w:r>
      <w:r w:rsidRPr="0082560B">
        <w:rPr>
          <w:szCs w:val="23"/>
        </w:rPr>
        <w:t>la sfera dei diritti fondamentali riconosciuti a uno o più soggetti</w:t>
      </w:r>
      <w:r w:rsidRPr="00BA7EA2">
        <w:rPr>
          <w:rStyle w:val="Rimandonotaapidipagina"/>
          <w:szCs w:val="23"/>
        </w:rPr>
        <w:t> </w:t>
      </w:r>
      <w:r w:rsidRPr="00BA7EA2">
        <w:rPr>
          <w:rStyle w:val="Rimandonotaapidipagina"/>
          <w:szCs w:val="23"/>
        </w:rPr>
        <w:footnoteReference w:id="3"/>
      </w:r>
      <w:r w:rsidRPr="0082560B">
        <w:rPr>
          <w:szCs w:val="23"/>
        </w:rPr>
        <w:t>.</w:t>
      </w:r>
    </w:p>
    <w:p w14:paraId="6E50FEA3" w14:textId="623BADCB" w:rsidR="00E92121" w:rsidRPr="0082560B" w:rsidRDefault="00E92121" w:rsidP="00E92121">
      <w:pPr>
        <w:pStyle w:val="Capoverso"/>
        <w:rPr>
          <w:szCs w:val="23"/>
        </w:rPr>
      </w:pPr>
      <w:r w:rsidRPr="0082560B">
        <w:rPr>
          <w:szCs w:val="23"/>
        </w:rPr>
        <w:t xml:space="preserve">Il godimento dei diritti inviolabili di natura individuale, a seconda della </w:t>
      </w:r>
      <w:r w:rsidR="005172CE" w:rsidRPr="0082560B">
        <w:rPr>
          <w:szCs w:val="23"/>
        </w:rPr>
        <w:t>macrocategoria</w:t>
      </w:r>
      <w:r w:rsidRPr="0082560B">
        <w:rPr>
          <w:szCs w:val="23"/>
        </w:rPr>
        <w:t xml:space="preserve"> di appartenenza, può avvenire </w:t>
      </w:r>
      <w:r w:rsidR="000A4843">
        <w:rPr>
          <w:szCs w:val="23"/>
        </w:rPr>
        <w:t xml:space="preserve">in assenza </w:t>
      </w:r>
      <w:r w:rsidRPr="0082560B">
        <w:rPr>
          <w:szCs w:val="23"/>
        </w:rPr>
        <w:t>d</w:t>
      </w:r>
      <w:r w:rsidR="000A4843">
        <w:rPr>
          <w:szCs w:val="23"/>
        </w:rPr>
        <w:t>i</w:t>
      </w:r>
      <w:r w:rsidRPr="0082560B">
        <w:rPr>
          <w:szCs w:val="23"/>
        </w:rPr>
        <w:t xml:space="preserve"> cooperazione di altri soggetti, oppure </w:t>
      </w:r>
      <w:r w:rsidR="000A4843">
        <w:rPr>
          <w:szCs w:val="23"/>
        </w:rPr>
        <w:t xml:space="preserve">può </w:t>
      </w:r>
      <w:r w:rsidRPr="0082560B">
        <w:rPr>
          <w:szCs w:val="23"/>
        </w:rPr>
        <w:t xml:space="preserve">richiedere il necessario intervento di un </w:t>
      </w:r>
      <w:r w:rsidR="000A4843">
        <w:rPr>
          <w:szCs w:val="23"/>
        </w:rPr>
        <w:t>soggetto</w:t>
      </w:r>
      <w:r w:rsidRPr="0082560B">
        <w:rPr>
          <w:szCs w:val="23"/>
        </w:rPr>
        <w:t xml:space="preserve"> pubblico o privato per la sua effettiva concretizzazione. In relazione ai c.d. diritti di libertà (personale, di circolazione, di manifestazione del pensiero, di culto, ecc.), appartenenti al novero delle “</w:t>
      </w:r>
      <w:r w:rsidRPr="008E35C6">
        <w:rPr>
          <w:i/>
          <w:szCs w:val="23"/>
        </w:rPr>
        <w:t>libertà negative</w:t>
      </w:r>
      <w:r w:rsidRPr="0082560B">
        <w:rPr>
          <w:szCs w:val="23"/>
        </w:rPr>
        <w:t>”, sono imposti ai soggetti terzi e al pubblico potere esclusivamente degli obblighi di astensione e non ingerenza nella sfera personale dell’interessato, contemporaneamente gravando su</w:t>
      </w:r>
      <w:r w:rsidR="000A4843">
        <w:rPr>
          <w:szCs w:val="23"/>
        </w:rPr>
        <w:t xml:space="preserve">gli apparati </w:t>
      </w:r>
      <w:r w:rsidRPr="0082560B">
        <w:rPr>
          <w:szCs w:val="23"/>
        </w:rPr>
        <w:t>pubblic</w:t>
      </w:r>
      <w:r w:rsidR="000A4843">
        <w:rPr>
          <w:szCs w:val="23"/>
        </w:rPr>
        <w:t>i</w:t>
      </w:r>
      <w:r w:rsidRPr="0082560B">
        <w:rPr>
          <w:szCs w:val="23"/>
        </w:rPr>
        <w:t xml:space="preserve"> unicamente il dovere di </w:t>
      </w:r>
      <w:r w:rsidR="00610A55">
        <w:rPr>
          <w:szCs w:val="23"/>
        </w:rPr>
        <w:t xml:space="preserve">creare le condizioni per </w:t>
      </w:r>
      <w:r w:rsidRPr="0082560B">
        <w:rPr>
          <w:szCs w:val="23"/>
        </w:rPr>
        <w:t>garantire il pieno g</w:t>
      </w:r>
      <w:r w:rsidR="00A84FC5">
        <w:rPr>
          <w:szCs w:val="23"/>
        </w:rPr>
        <w:t>od</w:t>
      </w:r>
      <w:r w:rsidRPr="0082560B">
        <w:rPr>
          <w:szCs w:val="23"/>
        </w:rPr>
        <w:t>imento di tali libertà</w:t>
      </w:r>
      <w:r w:rsidRPr="00BA7EA2">
        <w:rPr>
          <w:rStyle w:val="Rimandonotaapidipagina"/>
          <w:szCs w:val="23"/>
        </w:rPr>
        <w:t> </w:t>
      </w:r>
      <w:r w:rsidRPr="00BA7EA2">
        <w:rPr>
          <w:rStyle w:val="Rimandonotaapidipagina"/>
          <w:szCs w:val="23"/>
        </w:rPr>
        <w:footnoteReference w:id="4"/>
      </w:r>
      <w:r w:rsidRPr="0082560B">
        <w:rPr>
          <w:szCs w:val="23"/>
        </w:rPr>
        <w:t>. Con riguardo ai c.d. “</w:t>
      </w:r>
      <w:r w:rsidRPr="008E35C6">
        <w:rPr>
          <w:i/>
          <w:iCs/>
          <w:szCs w:val="23"/>
        </w:rPr>
        <w:t>diritti di prestazione</w:t>
      </w:r>
      <w:r w:rsidRPr="0082560B">
        <w:rPr>
          <w:szCs w:val="23"/>
        </w:rPr>
        <w:t>” o “</w:t>
      </w:r>
      <w:r w:rsidRPr="008E35C6">
        <w:rPr>
          <w:i/>
          <w:iCs/>
          <w:szCs w:val="23"/>
        </w:rPr>
        <w:t>diritti sociali</w:t>
      </w:r>
      <w:r w:rsidRPr="0082560B">
        <w:rPr>
          <w:szCs w:val="23"/>
        </w:rPr>
        <w:t>” (diritto alla salute, diritto all’istruzione, assistenza ai disabili, ecc.), l</w:t>
      </w:r>
      <w:r w:rsidR="00A84FC5">
        <w:rPr>
          <w:szCs w:val="23"/>
        </w:rPr>
        <w:t>a</w:t>
      </w:r>
      <w:r w:rsidRPr="0082560B">
        <w:rPr>
          <w:szCs w:val="23"/>
        </w:rPr>
        <w:t xml:space="preserve"> loro </w:t>
      </w:r>
      <w:r w:rsidR="00A84FC5">
        <w:rPr>
          <w:szCs w:val="23"/>
        </w:rPr>
        <w:t xml:space="preserve">fruizione </w:t>
      </w:r>
      <w:r w:rsidRPr="0082560B">
        <w:rPr>
          <w:szCs w:val="23"/>
        </w:rPr>
        <w:t xml:space="preserve">richiede inevitabilmente un intervento </w:t>
      </w:r>
      <w:r w:rsidR="00506304">
        <w:rPr>
          <w:szCs w:val="23"/>
        </w:rPr>
        <w:t xml:space="preserve">diretto </w:t>
      </w:r>
      <w:r w:rsidRPr="0082560B">
        <w:rPr>
          <w:szCs w:val="23"/>
        </w:rPr>
        <w:t>anche dell</w:t>
      </w:r>
      <w:r w:rsidR="004B14DD">
        <w:rPr>
          <w:szCs w:val="23"/>
        </w:rPr>
        <w:t>’Amministrazione</w:t>
      </w:r>
      <w:r w:rsidRPr="0082560B">
        <w:rPr>
          <w:szCs w:val="23"/>
        </w:rPr>
        <w:t>, non essendo sufficiente a tal fine una mera astensione dei poteri pubblici rispetto a un’attività del titolare del relativo diritto, vista la necessità di un concorso attivo de</w:t>
      </w:r>
      <w:r w:rsidR="00A84FC5">
        <w:rPr>
          <w:szCs w:val="23"/>
        </w:rPr>
        <w:t>gl</w:t>
      </w:r>
      <w:r w:rsidRPr="0082560B">
        <w:rPr>
          <w:szCs w:val="23"/>
        </w:rPr>
        <w:t xml:space="preserve">i </w:t>
      </w:r>
      <w:r w:rsidR="00A84FC5">
        <w:rPr>
          <w:szCs w:val="23"/>
        </w:rPr>
        <w:t xml:space="preserve">Enti </w:t>
      </w:r>
      <w:r w:rsidRPr="0082560B">
        <w:rPr>
          <w:szCs w:val="23"/>
        </w:rPr>
        <w:t xml:space="preserve">pubblici </w:t>
      </w:r>
      <w:r w:rsidR="00A84FC5">
        <w:rPr>
          <w:szCs w:val="23"/>
        </w:rPr>
        <w:t>per</w:t>
      </w:r>
      <w:r w:rsidRPr="0082560B">
        <w:rPr>
          <w:szCs w:val="23"/>
        </w:rPr>
        <w:t xml:space="preserve"> garantirne la piena realizzazione. Da ciò discende che l</w:t>
      </w:r>
      <w:r w:rsidR="00A84FC5">
        <w:rPr>
          <w:szCs w:val="23"/>
        </w:rPr>
        <w:t xml:space="preserve">’effettività </w:t>
      </w:r>
      <w:r w:rsidRPr="0082560B">
        <w:rPr>
          <w:szCs w:val="23"/>
        </w:rPr>
        <w:t>de</w:t>
      </w:r>
      <w:r w:rsidR="00A84FC5">
        <w:rPr>
          <w:szCs w:val="23"/>
        </w:rPr>
        <w:t>i</w:t>
      </w:r>
      <w:r w:rsidRPr="0082560B">
        <w:rPr>
          <w:szCs w:val="23"/>
        </w:rPr>
        <w:t xml:space="preserve"> diritt</w:t>
      </w:r>
      <w:r w:rsidR="00A84FC5">
        <w:rPr>
          <w:szCs w:val="23"/>
        </w:rPr>
        <w:t>i s</w:t>
      </w:r>
      <w:r w:rsidRPr="0082560B">
        <w:rPr>
          <w:szCs w:val="23"/>
        </w:rPr>
        <w:t>o</w:t>
      </w:r>
      <w:r w:rsidR="00A84FC5">
        <w:rPr>
          <w:szCs w:val="23"/>
        </w:rPr>
        <w:t>ciali</w:t>
      </w:r>
      <w:r w:rsidRPr="0082560B">
        <w:rPr>
          <w:szCs w:val="23"/>
        </w:rPr>
        <w:t xml:space="preserve"> è condizionata all’intervento di un soggetto ulteriore e diverso rispetto al suo titolare e, a sua volta, tale intervento esterno è subordinato alla presenza </w:t>
      </w:r>
      <w:r w:rsidRPr="0082560B">
        <w:rPr>
          <w:szCs w:val="23"/>
        </w:rPr>
        <w:lastRenderedPageBreak/>
        <w:t>di risorse che lo rendono attuabile</w:t>
      </w:r>
      <w:r w:rsidRPr="00BA7EA2">
        <w:rPr>
          <w:rStyle w:val="Rimandonotaapidipagina"/>
          <w:szCs w:val="23"/>
        </w:rPr>
        <w:t> </w:t>
      </w:r>
      <w:r w:rsidRPr="00BA7EA2">
        <w:rPr>
          <w:rStyle w:val="Rimandonotaapidipagina"/>
          <w:szCs w:val="23"/>
        </w:rPr>
        <w:footnoteReference w:id="5"/>
      </w:r>
      <w:r w:rsidRPr="0082560B">
        <w:rPr>
          <w:szCs w:val="23"/>
        </w:rPr>
        <w:t>.</w:t>
      </w:r>
    </w:p>
    <w:p w14:paraId="3445A9D4" w14:textId="65587276" w:rsidR="00E92121" w:rsidRPr="0082560B" w:rsidRDefault="00E92121" w:rsidP="00E92121">
      <w:pPr>
        <w:pStyle w:val="Capoverso"/>
        <w:rPr>
          <w:szCs w:val="23"/>
        </w:rPr>
      </w:pPr>
      <w:r w:rsidRPr="0082560B">
        <w:rPr>
          <w:szCs w:val="23"/>
        </w:rPr>
        <w:t>Quanto in precedenza tratteggiato attiene principalmente alla sfera individuale della persona, ossia riguarda la sua posizione di singolo soggetto, considerato</w:t>
      </w:r>
      <w:r w:rsidR="00BC3417">
        <w:rPr>
          <w:szCs w:val="23"/>
        </w:rPr>
        <w:t xml:space="preserve"> a prescindere</w:t>
      </w:r>
      <w:r w:rsidRPr="0082560B">
        <w:rPr>
          <w:szCs w:val="23"/>
        </w:rPr>
        <w:t xml:space="preserve"> </w:t>
      </w:r>
      <w:r w:rsidR="00BC3417" w:rsidRPr="0082560B">
        <w:rPr>
          <w:szCs w:val="23"/>
        </w:rPr>
        <w:t>dalle relazioni sociali</w:t>
      </w:r>
      <w:r w:rsidR="00BC3417">
        <w:rPr>
          <w:szCs w:val="23"/>
        </w:rPr>
        <w:t xml:space="preserve"> e</w:t>
      </w:r>
      <w:r w:rsidR="00BC3417" w:rsidRPr="0082560B">
        <w:rPr>
          <w:szCs w:val="23"/>
        </w:rPr>
        <w:t xml:space="preserve"> </w:t>
      </w:r>
      <w:r w:rsidRPr="0082560B">
        <w:rPr>
          <w:szCs w:val="23"/>
        </w:rPr>
        <w:t xml:space="preserve">in maniera avulsa </w:t>
      </w:r>
      <w:r w:rsidR="004B14DD">
        <w:rPr>
          <w:szCs w:val="23"/>
        </w:rPr>
        <w:t>rispetto agli</w:t>
      </w:r>
      <w:r w:rsidRPr="0082560B">
        <w:rPr>
          <w:szCs w:val="23"/>
        </w:rPr>
        <w:t xml:space="preserve"> altri individui, sebbene la Costituzione valorizzi e tuteli anche la posizione “</w:t>
      </w:r>
      <w:r w:rsidRPr="008E35C6">
        <w:rPr>
          <w:i/>
          <w:iCs/>
          <w:szCs w:val="23"/>
        </w:rPr>
        <w:t>sociale</w:t>
      </w:r>
      <w:r w:rsidRPr="0082560B">
        <w:rPr>
          <w:szCs w:val="23"/>
        </w:rPr>
        <w:t xml:space="preserve">” dell’individuo </w:t>
      </w:r>
      <w:r w:rsidR="008B436B">
        <w:rPr>
          <w:szCs w:val="23"/>
        </w:rPr>
        <w:t>«</w:t>
      </w:r>
      <w:r w:rsidRPr="008E35C6">
        <w:rPr>
          <w:i/>
          <w:iCs/>
          <w:szCs w:val="23"/>
        </w:rPr>
        <w:t>nelle formazioni sociali ove si svolge la sua personalità</w:t>
      </w:r>
      <w:r w:rsidR="008B436B">
        <w:rPr>
          <w:szCs w:val="23"/>
        </w:rPr>
        <w:t>»</w:t>
      </w:r>
      <w:r w:rsidRPr="0082560B">
        <w:rPr>
          <w:szCs w:val="23"/>
        </w:rPr>
        <w:t xml:space="preserve"> (art. 2 Cost.); del resto, soltanto attraverso la valorizzazione della dimensione sociale si può </w:t>
      </w:r>
      <w:r w:rsidR="008B436B">
        <w:rPr>
          <w:szCs w:val="23"/>
        </w:rPr>
        <w:t>«</w:t>
      </w:r>
      <w:r w:rsidRPr="008E35C6">
        <w:rPr>
          <w:i/>
          <w:iCs/>
          <w:szCs w:val="23"/>
        </w:rPr>
        <w:t>garantire il pieno sviluppo della persona umana e l’effettiva partecipazione di tutti (…) all’organizzazione politica, economica e sociale del Paese</w:t>
      </w:r>
      <w:r w:rsidR="008B436B">
        <w:rPr>
          <w:szCs w:val="23"/>
        </w:rPr>
        <w:t>»</w:t>
      </w:r>
      <w:r w:rsidRPr="0082560B">
        <w:rPr>
          <w:szCs w:val="23"/>
        </w:rPr>
        <w:t xml:space="preserve"> (art. 3, </w:t>
      </w:r>
      <w:r w:rsidR="000137E0">
        <w:rPr>
          <w:szCs w:val="23"/>
        </w:rPr>
        <w:t xml:space="preserve">secondo </w:t>
      </w:r>
      <w:r w:rsidRPr="0082560B">
        <w:rPr>
          <w:szCs w:val="23"/>
        </w:rPr>
        <w:t>comma, Cost.), assicurando in tal modo l’uguaglianza sostanziale di tutti gli individui</w:t>
      </w:r>
      <w:r w:rsidR="00EB1B51">
        <w:rPr>
          <w:szCs w:val="23"/>
        </w:rPr>
        <w:t xml:space="preserve">, previa </w:t>
      </w:r>
      <w:r w:rsidRPr="0082560B">
        <w:rPr>
          <w:szCs w:val="23"/>
        </w:rPr>
        <w:t>rim</w:t>
      </w:r>
      <w:r w:rsidR="00EB1B51">
        <w:rPr>
          <w:szCs w:val="23"/>
        </w:rPr>
        <w:t>ozione del</w:t>
      </w:r>
      <w:r w:rsidRPr="0082560B">
        <w:rPr>
          <w:szCs w:val="23"/>
        </w:rPr>
        <w:t>le cause che impediscono la loro pari dignità sotto tutti i profili</w:t>
      </w:r>
      <w:r w:rsidRPr="00BA7EA2">
        <w:rPr>
          <w:rStyle w:val="Rimandonotaapidipagina"/>
          <w:szCs w:val="23"/>
        </w:rPr>
        <w:t> </w:t>
      </w:r>
      <w:r w:rsidRPr="00BA7EA2">
        <w:rPr>
          <w:rStyle w:val="Rimandonotaapidipagina"/>
          <w:szCs w:val="23"/>
        </w:rPr>
        <w:footnoteReference w:id="6"/>
      </w:r>
      <w:r w:rsidRPr="0082560B">
        <w:rPr>
          <w:szCs w:val="23"/>
        </w:rPr>
        <w:t>.</w:t>
      </w:r>
    </w:p>
    <w:p w14:paraId="6F90F22B" w14:textId="1A06D202" w:rsidR="00E92121" w:rsidRPr="0082560B" w:rsidRDefault="00E92121" w:rsidP="00E92121">
      <w:pPr>
        <w:pStyle w:val="Capoverso"/>
        <w:rPr>
          <w:szCs w:val="23"/>
        </w:rPr>
      </w:pPr>
      <w:r w:rsidRPr="0082560B">
        <w:rPr>
          <w:szCs w:val="23"/>
        </w:rPr>
        <w:t xml:space="preserve">La dimensione sociale della vita degli individui assume rilievo non solo per consentire a ciascuno </w:t>
      </w:r>
      <w:r w:rsidR="004B14DD">
        <w:rPr>
          <w:szCs w:val="23"/>
        </w:rPr>
        <w:t xml:space="preserve">di essi </w:t>
      </w:r>
      <w:r w:rsidRPr="0082560B">
        <w:rPr>
          <w:szCs w:val="23"/>
        </w:rPr>
        <w:t xml:space="preserve">di potersi realizzare pienamente e conformemente alle proprie aspirazioni sotto tutti gli aspetti, ma è altresì un passaggio necessario per vedere garantito il rispetto – e l’adempimento – dei doveri inderogabili di solidarietà che gravano su </w:t>
      </w:r>
      <w:r w:rsidR="004B14DD">
        <w:rPr>
          <w:szCs w:val="23"/>
        </w:rPr>
        <w:t xml:space="preserve">ciascun </w:t>
      </w:r>
      <w:r w:rsidRPr="0082560B">
        <w:rPr>
          <w:szCs w:val="23"/>
        </w:rPr>
        <w:t xml:space="preserve">componente del consesso sociale, essendo preciso obbligo di ogni </w:t>
      </w:r>
      <w:r w:rsidR="004B14DD">
        <w:rPr>
          <w:szCs w:val="23"/>
        </w:rPr>
        <w:t>membro</w:t>
      </w:r>
      <w:r w:rsidRPr="0082560B">
        <w:rPr>
          <w:szCs w:val="23"/>
        </w:rPr>
        <w:t xml:space="preserve"> contribuire con il proprio apporto al progresso materiale e morale della </w:t>
      </w:r>
      <w:r w:rsidR="002C46B5">
        <w:rPr>
          <w:szCs w:val="23"/>
        </w:rPr>
        <w:t>c</w:t>
      </w:r>
      <w:r w:rsidRPr="0082560B">
        <w:rPr>
          <w:szCs w:val="23"/>
        </w:rPr>
        <w:t>o</w:t>
      </w:r>
      <w:r w:rsidR="002C46B5">
        <w:rPr>
          <w:szCs w:val="23"/>
        </w:rPr>
        <w:t>ll</w:t>
      </w:r>
      <w:r w:rsidRPr="0082560B">
        <w:rPr>
          <w:szCs w:val="23"/>
        </w:rPr>
        <w:t>e</w:t>
      </w:r>
      <w:r w:rsidR="002C46B5">
        <w:rPr>
          <w:szCs w:val="23"/>
        </w:rPr>
        <w:t>ttivi</w:t>
      </w:r>
      <w:r w:rsidRPr="0082560B">
        <w:rPr>
          <w:szCs w:val="23"/>
        </w:rPr>
        <w:t>tà.</w:t>
      </w:r>
    </w:p>
    <w:p w14:paraId="26A758C1" w14:textId="3F67D450" w:rsidR="00E92121" w:rsidRPr="0082560B" w:rsidRDefault="00E92121" w:rsidP="00E92121">
      <w:pPr>
        <w:pStyle w:val="Capoverso"/>
        <w:rPr>
          <w:szCs w:val="23"/>
        </w:rPr>
      </w:pPr>
      <w:r w:rsidRPr="0082560B">
        <w:rPr>
          <w:szCs w:val="23"/>
        </w:rPr>
        <w:t>Pertanto, la piena integrazione degli individui nella società non deve essere valutata in maniera egoistica e strettamente personalistica, intendendosi ogni singola persona come mera beneficiaria di una serie di diritti e di prerogative in contrapposizione e in concorrenza con gli altri consociati, piuttosto dovendo richiedersi a ognuno l’impegno a con</w:t>
      </w:r>
      <w:r w:rsidR="002C46B5">
        <w:rPr>
          <w:szCs w:val="23"/>
        </w:rPr>
        <w:t>tribui</w:t>
      </w:r>
      <w:r w:rsidRPr="0082560B">
        <w:rPr>
          <w:szCs w:val="23"/>
        </w:rPr>
        <w:t>re con la propria opera al benessere collettivo attraverso una visione di natura solidaristica, ben espressa dal più volte menzionato art. 2 Cost</w:t>
      </w:r>
      <w:r w:rsidR="008B436B">
        <w:rPr>
          <w:szCs w:val="23"/>
        </w:rPr>
        <w:t>.</w:t>
      </w:r>
      <w:r w:rsidRPr="00BA7EA2">
        <w:rPr>
          <w:rStyle w:val="Rimandonotaapidipagina"/>
          <w:szCs w:val="23"/>
        </w:rPr>
        <w:t> </w:t>
      </w:r>
      <w:r w:rsidRPr="00BA7EA2">
        <w:rPr>
          <w:rStyle w:val="Rimandonotaapidipagina"/>
          <w:szCs w:val="23"/>
        </w:rPr>
        <w:footnoteReference w:id="7"/>
      </w:r>
      <w:r w:rsidRPr="0082560B">
        <w:rPr>
          <w:szCs w:val="23"/>
        </w:rPr>
        <w:t xml:space="preserve">. Come avviene con riferimento ai diritti, </w:t>
      </w:r>
      <w:r w:rsidRPr="0082560B">
        <w:rPr>
          <w:szCs w:val="23"/>
        </w:rPr>
        <w:lastRenderedPageBreak/>
        <w:t xml:space="preserve">garantiti nel loro godimento con appositi strumenti giuridici, pure in relazione ai doveri possono rinvenirsi delle forme di imposizione – </w:t>
      </w:r>
      <w:r w:rsidR="004E5195" w:rsidRPr="0082560B">
        <w:rPr>
          <w:szCs w:val="23"/>
        </w:rPr>
        <w:t>ancorché</w:t>
      </w:r>
      <w:r w:rsidRPr="0082560B">
        <w:rPr>
          <w:szCs w:val="23"/>
        </w:rPr>
        <w:t xml:space="preserve"> non sia sempre specificamente sanzionata la loro violazione – che ne sanciscono una piena rilevanza da un punto di vista giuridico e non solamente morale o ideale. Si pensi al dovere di ogni cittadino di svolgere un’attività lavorativa o una funzione che concorra al progresso materiale o spirituale della società (art. 4 Cost.), ai doveri familiari e genitoriali </w:t>
      </w:r>
      <w:r w:rsidR="004B14DD">
        <w:rPr>
          <w:szCs w:val="23"/>
        </w:rPr>
        <w:t>gravanti su</w:t>
      </w:r>
      <w:r w:rsidRPr="0082560B">
        <w:rPr>
          <w:szCs w:val="23"/>
        </w:rPr>
        <w:t>i coniugi (artt. 29 e 30 Cost.), al dovere di difendere la Patria (art. 52 Cost.) e al dovere di ciascuno di concorrere alle spese pubbliche in ragione della propria capacità contributiva (art. 53 Cost.). Risulta evidente che solo ai soggetti che sono completamente integrati nella società e vedono pienamente garantiti i propri diritti fondamentali (oltre che tutti gli altri diritti) si può chiedere – e imporre – l’adempimento di doveri di solidarietà verso i consociati, senza sottacere che in tali frangenti il richiamato processo è una conseguenza naturale e automatica della predetta integrazione.</w:t>
      </w:r>
    </w:p>
    <w:p w14:paraId="7D04A4C6" w14:textId="54F249D2" w:rsidR="00E92121" w:rsidRPr="0082560B" w:rsidRDefault="00E92121" w:rsidP="00E92121">
      <w:pPr>
        <w:pStyle w:val="Capoverso"/>
        <w:rPr>
          <w:szCs w:val="23"/>
        </w:rPr>
      </w:pPr>
      <w:bookmarkStart w:id="4" w:name="OLE_LINK1"/>
      <w:r w:rsidRPr="0082560B">
        <w:rPr>
          <w:szCs w:val="23"/>
        </w:rPr>
        <w:t xml:space="preserve">Come si ricava già dai principi </w:t>
      </w:r>
      <w:bookmarkEnd w:id="4"/>
      <w:r w:rsidRPr="0082560B">
        <w:rPr>
          <w:szCs w:val="23"/>
        </w:rPr>
        <w:t xml:space="preserve">fondamentali della Costituzione, </w:t>
      </w:r>
      <w:r w:rsidR="004B14DD">
        <w:rPr>
          <w:szCs w:val="23"/>
        </w:rPr>
        <w:t xml:space="preserve">il </w:t>
      </w:r>
      <w:r w:rsidRPr="0082560B">
        <w:rPr>
          <w:szCs w:val="23"/>
        </w:rPr>
        <w:t>pien</w:t>
      </w:r>
      <w:r w:rsidR="004B14DD">
        <w:rPr>
          <w:szCs w:val="23"/>
        </w:rPr>
        <w:t xml:space="preserve">o inserimento </w:t>
      </w:r>
      <w:r w:rsidR="000137E0">
        <w:rPr>
          <w:szCs w:val="23"/>
        </w:rPr>
        <w:t>nella comunità</w:t>
      </w:r>
      <w:r w:rsidR="004B14DD">
        <w:rPr>
          <w:szCs w:val="23"/>
        </w:rPr>
        <w:t xml:space="preserve"> </w:t>
      </w:r>
      <w:r w:rsidRPr="0082560B">
        <w:rPr>
          <w:szCs w:val="23"/>
        </w:rPr>
        <w:t>e l</w:t>
      </w:r>
      <w:r w:rsidR="002C46B5">
        <w:rPr>
          <w:szCs w:val="23"/>
        </w:rPr>
        <w:t xml:space="preserve">a possibilità di </w:t>
      </w:r>
      <w:r w:rsidR="005D0E0B">
        <w:rPr>
          <w:szCs w:val="23"/>
        </w:rPr>
        <w:t>consentire lo</w:t>
      </w:r>
      <w:r w:rsidR="002C46B5">
        <w:rPr>
          <w:szCs w:val="23"/>
        </w:rPr>
        <w:t xml:space="preserve"> </w:t>
      </w:r>
      <w:r w:rsidRPr="0082560B">
        <w:rPr>
          <w:szCs w:val="23"/>
        </w:rPr>
        <w:t>svilupp</w:t>
      </w:r>
      <w:r w:rsidR="005D0E0B">
        <w:rPr>
          <w:szCs w:val="23"/>
        </w:rPr>
        <w:t>o</w:t>
      </w:r>
      <w:r w:rsidR="002C46B5">
        <w:rPr>
          <w:szCs w:val="23"/>
        </w:rPr>
        <w:t xml:space="preserve"> </w:t>
      </w:r>
      <w:r w:rsidR="005D0E0B">
        <w:rPr>
          <w:szCs w:val="23"/>
        </w:rPr>
        <w:t>del</w:t>
      </w:r>
      <w:r w:rsidRPr="0082560B">
        <w:rPr>
          <w:szCs w:val="23"/>
        </w:rPr>
        <w:t>la</w:t>
      </w:r>
      <w:r w:rsidR="002C46B5">
        <w:rPr>
          <w:szCs w:val="23"/>
        </w:rPr>
        <w:t xml:space="preserve"> propria</w:t>
      </w:r>
      <w:r w:rsidRPr="0082560B">
        <w:rPr>
          <w:szCs w:val="23"/>
        </w:rPr>
        <w:t xml:space="preserve"> </w:t>
      </w:r>
      <w:r w:rsidR="000137E0">
        <w:rPr>
          <w:szCs w:val="23"/>
        </w:rPr>
        <w:t>p</w:t>
      </w:r>
      <w:r w:rsidRPr="0082560B">
        <w:rPr>
          <w:szCs w:val="23"/>
        </w:rPr>
        <w:t xml:space="preserve">ersonalità, sia in forma individuale che in prospettiva sociale, devono essere necessariamente garantiti a tutti i soggetti dell’ordinamento, comprese le persone affette da una qualsivoglia forma di disabilità, </w:t>
      </w:r>
      <w:r w:rsidR="002C46B5">
        <w:rPr>
          <w:szCs w:val="23"/>
        </w:rPr>
        <w:t>consider</w:t>
      </w:r>
      <w:r w:rsidRPr="0082560B">
        <w:rPr>
          <w:szCs w:val="23"/>
        </w:rPr>
        <w:t>ati i chiari riferimenti alla generalità degli individui, senza alcuna eccezione o distinzione, contenuti negli artt. 2 e 3 Cost</w:t>
      </w:r>
      <w:r w:rsidR="008B436B">
        <w:rPr>
          <w:szCs w:val="23"/>
        </w:rPr>
        <w:t>.</w:t>
      </w:r>
      <w:r w:rsidRPr="00BA7EA2">
        <w:rPr>
          <w:rStyle w:val="Rimandonotaapidipagina"/>
          <w:szCs w:val="23"/>
        </w:rPr>
        <w:t> </w:t>
      </w:r>
      <w:r w:rsidRPr="00BA7EA2">
        <w:rPr>
          <w:rStyle w:val="Rimandonotaapidipagina"/>
          <w:szCs w:val="23"/>
        </w:rPr>
        <w:footnoteReference w:id="8"/>
      </w:r>
      <w:r w:rsidRPr="0082560B">
        <w:rPr>
          <w:szCs w:val="23"/>
        </w:rPr>
        <w:t>.</w:t>
      </w:r>
    </w:p>
    <w:p w14:paraId="363236C4" w14:textId="7D2EA3E8" w:rsidR="00E92121" w:rsidRPr="0082560B" w:rsidRDefault="000137E0" w:rsidP="00E92121">
      <w:pPr>
        <w:pStyle w:val="Capoverso"/>
        <w:rPr>
          <w:szCs w:val="23"/>
        </w:rPr>
      </w:pPr>
      <w:r>
        <w:rPr>
          <w:szCs w:val="23"/>
        </w:rPr>
        <w:t xml:space="preserve">In ogni caso, </w:t>
      </w:r>
      <w:r w:rsidR="00E92121" w:rsidRPr="0082560B">
        <w:rPr>
          <w:szCs w:val="23"/>
        </w:rPr>
        <w:t xml:space="preserve">la Costituzione contiene </w:t>
      </w:r>
      <w:r w:rsidR="002C46B5">
        <w:rPr>
          <w:szCs w:val="23"/>
        </w:rPr>
        <w:t xml:space="preserve">altresì </w:t>
      </w:r>
      <w:r w:rsidR="00E92121" w:rsidRPr="0082560B">
        <w:rPr>
          <w:szCs w:val="23"/>
        </w:rPr>
        <w:t>una espressa disposizione riferita ai soggetti disabili, al fine di rafforzarne la tutela</w:t>
      </w:r>
      <w:r w:rsidR="002C46B5">
        <w:rPr>
          <w:szCs w:val="23"/>
        </w:rPr>
        <w:t>,</w:t>
      </w:r>
      <w:r w:rsidR="00E92121" w:rsidRPr="0082560B">
        <w:rPr>
          <w:szCs w:val="23"/>
        </w:rPr>
        <w:t xml:space="preserve"> e riconosce piena dignità alla loro posizione, impo</w:t>
      </w:r>
      <w:r w:rsidR="002C46B5">
        <w:rPr>
          <w:szCs w:val="23"/>
        </w:rPr>
        <w:t xml:space="preserve">nendo </w:t>
      </w:r>
      <w:r w:rsidR="00E92121" w:rsidRPr="0082560B">
        <w:rPr>
          <w:szCs w:val="23"/>
        </w:rPr>
        <w:t xml:space="preserve">allo Stato, e a tutte le strutture pubbliche in generale, specifici doveri e obblighi in tal senso: l’art. 38 della Legge fondamentale stabilisce infatti che </w:t>
      </w:r>
      <w:r w:rsidR="008B436B">
        <w:rPr>
          <w:szCs w:val="23"/>
        </w:rPr>
        <w:t>«</w:t>
      </w:r>
      <w:r w:rsidR="00E92121" w:rsidRPr="00391A67">
        <w:rPr>
          <w:i/>
          <w:iCs/>
          <w:szCs w:val="23"/>
        </w:rPr>
        <w:t>ogni cittadino inabile al lavoro e sprovvisto dei mezzi necessari per vivere ha diritto al mantenimento e all’assistenza sociale</w:t>
      </w:r>
      <w:r w:rsidR="008B436B">
        <w:rPr>
          <w:szCs w:val="23"/>
        </w:rPr>
        <w:t>»</w:t>
      </w:r>
      <w:r w:rsidR="00E92121" w:rsidRPr="0082560B">
        <w:rPr>
          <w:szCs w:val="23"/>
        </w:rPr>
        <w:t xml:space="preserve"> (</w:t>
      </w:r>
      <w:r>
        <w:rPr>
          <w:szCs w:val="23"/>
        </w:rPr>
        <w:t xml:space="preserve">primo </w:t>
      </w:r>
      <w:r w:rsidR="00E92121" w:rsidRPr="0082560B">
        <w:rPr>
          <w:szCs w:val="23"/>
        </w:rPr>
        <w:t xml:space="preserve">comma). Tale previsione deve essere integrata con l’art. 32, </w:t>
      </w:r>
      <w:r>
        <w:rPr>
          <w:szCs w:val="23"/>
        </w:rPr>
        <w:t xml:space="preserve">primo </w:t>
      </w:r>
      <w:r w:rsidR="00E92121" w:rsidRPr="0082560B">
        <w:rPr>
          <w:szCs w:val="23"/>
        </w:rPr>
        <w:t>comma, Cost</w:t>
      </w:r>
      <w:r w:rsidR="008B436B">
        <w:rPr>
          <w:szCs w:val="23"/>
        </w:rPr>
        <w:t>.</w:t>
      </w:r>
      <w:r w:rsidR="00E92121" w:rsidRPr="0082560B">
        <w:rPr>
          <w:szCs w:val="23"/>
        </w:rPr>
        <w:t xml:space="preserve"> che prevede</w:t>
      </w:r>
      <w:r w:rsidR="008B436B">
        <w:rPr>
          <w:szCs w:val="23"/>
        </w:rPr>
        <w:t>:</w:t>
      </w:r>
      <w:r w:rsidR="00E92121" w:rsidRPr="0082560B">
        <w:rPr>
          <w:szCs w:val="23"/>
        </w:rPr>
        <w:t xml:space="preserve"> </w:t>
      </w:r>
      <w:r w:rsidR="008B436B">
        <w:rPr>
          <w:szCs w:val="23"/>
        </w:rPr>
        <w:t>«</w:t>
      </w:r>
      <w:r w:rsidR="00E92121" w:rsidRPr="008B436B">
        <w:rPr>
          <w:i/>
          <w:iCs/>
          <w:szCs w:val="23"/>
        </w:rPr>
        <w:t xml:space="preserve">la Repubblica tutela la salute come </w:t>
      </w:r>
      <w:r w:rsidR="00E92121" w:rsidRPr="008B436B">
        <w:rPr>
          <w:i/>
          <w:iCs/>
          <w:szCs w:val="23"/>
        </w:rPr>
        <w:lastRenderedPageBreak/>
        <w:t>fondamentale diritto dell’individuo e interesse della collettività, e garantisce cure gratuite agli indigenti</w:t>
      </w:r>
      <w:r w:rsidR="008B436B">
        <w:rPr>
          <w:szCs w:val="23"/>
        </w:rPr>
        <w:t>»</w:t>
      </w:r>
      <w:r w:rsidR="00E92121" w:rsidRPr="0082560B">
        <w:rPr>
          <w:szCs w:val="23"/>
        </w:rPr>
        <w:t>. Attraverso siffatte norme si è proceduto, in primo luogo, a declinare i principi fondamentali con espresso riferimento ai soggetti disabili, riconoscendone anche formalmente e solennemente la peculiare posizione nell’ordinamento, e poi ulteriormente sono stati individuati i mezzi e gli strumenti affinché la condizione di svantaggio dei predetti individui possa essere el</w:t>
      </w:r>
      <w:r w:rsidR="00EB1B51">
        <w:rPr>
          <w:szCs w:val="23"/>
        </w:rPr>
        <w:t>i</w:t>
      </w:r>
      <w:r w:rsidR="00E92121" w:rsidRPr="0082560B">
        <w:rPr>
          <w:szCs w:val="23"/>
        </w:rPr>
        <w:t xml:space="preserve">minata o almeno mitigata. La tutela del diritto alla salute consente in alcuni casi di </w:t>
      </w:r>
      <w:r w:rsidR="00D674A2">
        <w:rPr>
          <w:szCs w:val="23"/>
        </w:rPr>
        <w:t xml:space="preserve">trovare la soluzione per </w:t>
      </w:r>
      <w:r w:rsidR="00E92121" w:rsidRPr="0082560B">
        <w:rPr>
          <w:szCs w:val="23"/>
        </w:rPr>
        <w:t>eliminare gli ostacoli legati alla presenza di una condizione di disabilità o anche di superarla del tutto</w:t>
      </w:r>
      <w:r w:rsidR="00F9721E">
        <w:rPr>
          <w:szCs w:val="23"/>
          <w:vertAlign w:val="superscript"/>
        </w:rPr>
        <w:t> </w:t>
      </w:r>
      <w:r w:rsidR="00E655A9">
        <w:rPr>
          <w:rStyle w:val="Rimandonotaapidipagina"/>
          <w:szCs w:val="23"/>
        </w:rPr>
        <w:footnoteReference w:id="9"/>
      </w:r>
      <w:r w:rsidR="00E92121" w:rsidRPr="002C3D0D">
        <w:rPr>
          <w:spacing w:val="2"/>
          <w:szCs w:val="23"/>
        </w:rPr>
        <w:t>. Laddove non si riesca a rimuovere lo stato di impedimento, allora s</w:t>
      </w:r>
      <w:r>
        <w:rPr>
          <w:spacing w:val="2"/>
          <w:szCs w:val="23"/>
        </w:rPr>
        <w:t>org</w:t>
      </w:r>
      <w:r w:rsidR="00E92121" w:rsidRPr="002C3D0D">
        <w:rPr>
          <w:spacing w:val="2"/>
          <w:szCs w:val="23"/>
        </w:rPr>
        <w:t>e l’obbligo per lo Stato di fornire al soggetto disabile i mezzi per il mantenimento e l’assistenza sociale, ossia di quelle forme di ausilio che gli consentano di</w:t>
      </w:r>
      <w:r w:rsidR="00E92121" w:rsidRPr="0082560B">
        <w:rPr>
          <w:szCs w:val="23"/>
        </w:rPr>
        <w:t xml:space="preserve"> integrarsi pienamente nella società e non solo </w:t>
      </w:r>
      <w:r w:rsidR="00973562">
        <w:rPr>
          <w:szCs w:val="23"/>
        </w:rPr>
        <w:t xml:space="preserve">di </w:t>
      </w:r>
      <w:r w:rsidR="00E92121" w:rsidRPr="0082560B">
        <w:rPr>
          <w:szCs w:val="23"/>
        </w:rPr>
        <w:t>dispo</w:t>
      </w:r>
      <w:r w:rsidR="00973562">
        <w:rPr>
          <w:szCs w:val="23"/>
        </w:rPr>
        <w:t>rre</w:t>
      </w:r>
      <w:r w:rsidR="00E92121" w:rsidRPr="0082560B">
        <w:rPr>
          <w:szCs w:val="23"/>
        </w:rPr>
        <w:t xml:space="preserve"> dei mezzi di sussistenza.</w:t>
      </w:r>
    </w:p>
    <w:p w14:paraId="3F6BDA57" w14:textId="78EE6E19" w:rsidR="00E92121" w:rsidRPr="0082560B" w:rsidRDefault="00E92121" w:rsidP="00E92121">
      <w:pPr>
        <w:pStyle w:val="Capoverso"/>
        <w:rPr>
          <w:szCs w:val="23"/>
        </w:rPr>
      </w:pPr>
      <w:r w:rsidRPr="0082560B">
        <w:rPr>
          <w:szCs w:val="23"/>
        </w:rPr>
        <w:t>L’obbligo di tutela e di integrazione sociale dei soggetti disabili trova il proprio fondamento anche in fonti di rango internazionale convenzionale e nell’ordinamento dell’Unione europea. In particolare, si devono richiamare la Convenzione delle Nazioni Unite sui diritti delle persone con disabilità e il relativo Protocollo opzionale, assunti il 13 dicembre 2006 e ratificati in Italia con la legge n. 18</w:t>
      </w:r>
      <w:r w:rsidR="00583F40">
        <w:rPr>
          <w:szCs w:val="23"/>
        </w:rPr>
        <w:t>/</w:t>
      </w:r>
      <w:r w:rsidRPr="0082560B">
        <w:rPr>
          <w:szCs w:val="23"/>
        </w:rPr>
        <w:t xml:space="preserve">2009, la Strategia per i diritti delle persone con disabilità </w:t>
      </w:r>
      <w:r w:rsidRPr="002C3D0D">
        <w:rPr>
          <w:spacing w:val="-2"/>
          <w:szCs w:val="23"/>
        </w:rPr>
        <w:t>2021-2030, di cui alla comunicazione della Commissione europea COM(2021)</w:t>
      </w:r>
      <w:r w:rsidRPr="0082560B">
        <w:rPr>
          <w:szCs w:val="23"/>
        </w:rPr>
        <w:t xml:space="preserve"> 101 </w:t>
      </w:r>
      <w:proofErr w:type="spellStart"/>
      <w:r w:rsidRPr="0082560B">
        <w:rPr>
          <w:szCs w:val="23"/>
        </w:rPr>
        <w:t>final</w:t>
      </w:r>
      <w:proofErr w:type="spellEnd"/>
      <w:r w:rsidRPr="0082560B">
        <w:rPr>
          <w:szCs w:val="23"/>
        </w:rPr>
        <w:t xml:space="preserve">, del 3 marzo 2021, e la risoluzione del Parlamento europeo del 7 ottobre 2021, che hanno a oggetto la protezione delle persone con disabilità, al fine di garantire loro il riconoscimento della propria condizione, anche attraverso una valutazione </w:t>
      </w:r>
      <w:r w:rsidR="000137E0">
        <w:rPr>
          <w:szCs w:val="23"/>
        </w:rPr>
        <w:t>d</w:t>
      </w:r>
      <w:r w:rsidRPr="0082560B">
        <w:rPr>
          <w:szCs w:val="23"/>
        </w:rPr>
        <w:t xml:space="preserve">ella stessa </w:t>
      </w:r>
      <w:r w:rsidR="000137E0">
        <w:rPr>
          <w:szCs w:val="23"/>
        </w:rPr>
        <w:t xml:space="preserve">che sia </w:t>
      </w:r>
      <w:r w:rsidRPr="0082560B">
        <w:rPr>
          <w:szCs w:val="23"/>
        </w:rPr>
        <w:t>congruente, trasparente e agevole</w:t>
      </w:r>
      <w:r w:rsidR="000137E0">
        <w:rPr>
          <w:szCs w:val="23"/>
        </w:rPr>
        <w:t xml:space="preserve">; in tal modo si </w:t>
      </w:r>
      <w:r w:rsidRPr="0082560B">
        <w:rPr>
          <w:szCs w:val="23"/>
        </w:rPr>
        <w:t>consent</w:t>
      </w:r>
      <w:r w:rsidR="000137E0">
        <w:rPr>
          <w:szCs w:val="23"/>
        </w:rPr>
        <w:t>e a tali individui</w:t>
      </w:r>
      <w:r w:rsidRPr="0082560B">
        <w:rPr>
          <w:szCs w:val="23"/>
        </w:rPr>
        <w:t xml:space="preserve"> il pieno esercizio dei diritti civili e sociali, compresi il diritto alla vita indipendente e alla piena inclusione sociale e lavorativa, nonché l’effettivo e pieno accesso al sistema dei servizi, delle prestazioni, dei trasferimenti finanziari e di ogni altra agevolazione, e </w:t>
      </w:r>
      <w:r w:rsidR="006C51AA">
        <w:rPr>
          <w:szCs w:val="23"/>
        </w:rPr>
        <w:t xml:space="preserve">si </w:t>
      </w:r>
      <w:r w:rsidRPr="0082560B">
        <w:rPr>
          <w:szCs w:val="23"/>
        </w:rPr>
        <w:t>promuove l’autonomia della persona con disabilità e il suo vivere su base di pari opportunità con gli altri, nel rispetto dei principi di autodeterminazione e di non discriminazione</w:t>
      </w:r>
      <w:r w:rsidRPr="00BA7EA2">
        <w:rPr>
          <w:rStyle w:val="Rimandonotaapidipagina"/>
          <w:szCs w:val="23"/>
        </w:rPr>
        <w:t> </w:t>
      </w:r>
      <w:r w:rsidRPr="00BA7EA2">
        <w:rPr>
          <w:rStyle w:val="Rimandonotaapidipagina"/>
          <w:szCs w:val="23"/>
        </w:rPr>
        <w:footnoteReference w:id="10"/>
      </w:r>
      <w:r w:rsidRPr="0082560B">
        <w:rPr>
          <w:szCs w:val="23"/>
        </w:rPr>
        <w:t>.</w:t>
      </w:r>
    </w:p>
    <w:p w14:paraId="27A40CFB" w14:textId="7570AB9D" w:rsidR="00E92121" w:rsidRPr="0082560B" w:rsidRDefault="00E92121" w:rsidP="00E92121">
      <w:pPr>
        <w:pStyle w:val="Capoverso"/>
        <w:rPr>
          <w:szCs w:val="23"/>
        </w:rPr>
      </w:pPr>
      <w:r w:rsidRPr="002C3D0D">
        <w:rPr>
          <w:spacing w:val="-2"/>
          <w:szCs w:val="23"/>
        </w:rPr>
        <w:lastRenderedPageBreak/>
        <w:t xml:space="preserve">Anche la legislazione ordinaria si è variamente, anche se in maniera frammentaria e per nulla organica, occupata di regolamentare </w:t>
      </w:r>
      <w:r w:rsidR="006C51AA">
        <w:rPr>
          <w:spacing w:val="-2"/>
          <w:szCs w:val="23"/>
        </w:rPr>
        <w:t xml:space="preserve">ambiti </w:t>
      </w:r>
      <w:r w:rsidRPr="002C3D0D">
        <w:rPr>
          <w:spacing w:val="-2"/>
          <w:szCs w:val="23"/>
        </w:rPr>
        <w:t>più o meno ampi riferibili al settore della disabilità, spiccando tra le normative di maggior impatto la legge n. 104</w:t>
      </w:r>
      <w:r w:rsidR="008B436B" w:rsidRPr="002C3D0D">
        <w:rPr>
          <w:spacing w:val="-2"/>
          <w:szCs w:val="23"/>
        </w:rPr>
        <w:t>/</w:t>
      </w:r>
      <w:r w:rsidRPr="002C3D0D">
        <w:rPr>
          <w:spacing w:val="-2"/>
          <w:szCs w:val="23"/>
        </w:rPr>
        <w:t>1992 (</w:t>
      </w:r>
      <w:r w:rsidR="002C3D0D" w:rsidRPr="002C3D0D">
        <w:rPr>
          <w:spacing w:val="-2"/>
          <w:szCs w:val="23"/>
        </w:rPr>
        <w:t>l</w:t>
      </w:r>
      <w:r w:rsidRPr="002C3D0D">
        <w:rPr>
          <w:spacing w:val="-2"/>
          <w:szCs w:val="23"/>
        </w:rPr>
        <w:t>egge-quadro per l’assistenza, l’integrazione sociale e i diritti delle persone handicappate), la legge n. 328</w:t>
      </w:r>
      <w:r w:rsidR="008B436B" w:rsidRPr="002C3D0D">
        <w:rPr>
          <w:spacing w:val="-2"/>
          <w:szCs w:val="23"/>
        </w:rPr>
        <w:t>/</w:t>
      </w:r>
      <w:r w:rsidRPr="002C3D0D">
        <w:rPr>
          <w:spacing w:val="-2"/>
          <w:szCs w:val="23"/>
        </w:rPr>
        <w:t>2000 (</w:t>
      </w:r>
      <w:r w:rsidR="002C3D0D" w:rsidRPr="002C3D0D">
        <w:rPr>
          <w:spacing w:val="-2"/>
          <w:szCs w:val="23"/>
        </w:rPr>
        <w:t>l</w:t>
      </w:r>
      <w:r w:rsidRPr="002C3D0D">
        <w:rPr>
          <w:spacing w:val="-2"/>
          <w:szCs w:val="23"/>
        </w:rPr>
        <w:t>egge quadro per la realizzazione del sistema integrato di interventi e servizi sociali)</w:t>
      </w:r>
      <w:r w:rsidRPr="002C3D0D">
        <w:rPr>
          <w:rStyle w:val="Rimandonotaapidipagina"/>
          <w:spacing w:val="-2"/>
          <w:szCs w:val="23"/>
        </w:rPr>
        <w:t> </w:t>
      </w:r>
      <w:r w:rsidRPr="002C3D0D">
        <w:rPr>
          <w:rStyle w:val="Rimandonotaapidipagina"/>
          <w:spacing w:val="-2"/>
          <w:szCs w:val="23"/>
        </w:rPr>
        <w:footnoteReference w:id="11"/>
      </w:r>
      <w:r w:rsidRPr="0082560B">
        <w:rPr>
          <w:szCs w:val="23"/>
        </w:rPr>
        <w:t xml:space="preserve"> e la legge n. 6</w:t>
      </w:r>
      <w:r w:rsidR="008B436B">
        <w:rPr>
          <w:szCs w:val="23"/>
        </w:rPr>
        <w:t>/</w:t>
      </w:r>
      <w:r w:rsidRPr="0082560B">
        <w:rPr>
          <w:szCs w:val="23"/>
        </w:rPr>
        <w:t>2004 (sull’amministrazione di sostegno)</w:t>
      </w:r>
      <w:r w:rsidRPr="00BA7EA2">
        <w:rPr>
          <w:rStyle w:val="Rimandonotaapidipagina"/>
          <w:szCs w:val="23"/>
        </w:rPr>
        <w:t> </w:t>
      </w:r>
      <w:r w:rsidRPr="00BA7EA2">
        <w:rPr>
          <w:rStyle w:val="Rimandonotaapidipagina"/>
          <w:szCs w:val="23"/>
        </w:rPr>
        <w:footnoteReference w:id="12"/>
      </w:r>
      <w:r w:rsidRPr="0082560B">
        <w:rPr>
          <w:szCs w:val="23"/>
        </w:rPr>
        <w:t>, che ha novellato in parte qua il codice civile. Da ultimo, il legislatore italiano, anche per dare attuazione e recepire nell’ordinamento le già citate fonti sovranazionali e attuare la Missione 5 del PNRR (</w:t>
      </w:r>
      <w:r w:rsidR="002C3D0D">
        <w:rPr>
          <w:szCs w:val="23"/>
        </w:rPr>
        <w:t>“</w:t>
      </w:r>
      <w:r w:rsidRPr="002C3D0D">
        <w:rPr>
          <w:i/>
          <w:iCs/>
          <w:szCs w:val="23"/>
        </w:rPr>
        <w:t>Inclusione e Coesione</w:t>
      </w:r>
      <w:r w:rsidR="002C3D0D">
        <w:rPr>
          <w:szCs w:val="23"/>
        </w:rPr>
        <w:t>”</w:t>
      </w:r>
      <w:r w:rsidRPr="0082560B">
        <w:rPr>
          <w:szCs w:val="23"/>
        </w:rPr>
        <w:t>)</w:t>
      </w:r>
      <w:r w:rsidRPr="00BA7EA2">
        <w:rPr>
          <w:rStyle w:val="Rimandonotaapidipagina"/>
          <w:szCs w:val="23"/>
        </w:rPr>
        <w:t> </w:t>
      </w:r>
      <w:r w:rsidRPr="00BA7EA2">
        <w:rPr>
          <w:rStyle w:val="Rimandonotaapidipagina"/>
          <w:szCs w:val="23"/>
        </w:rPr>
        <w:footnoteReference w:id="13"/>
      </w:r>
      <w:r w:rsidRPr="0082560B">
        <w:rPr>
          <w:szCs w:val="23"/>
        </w:rPr>
        <w:t>, attraverso l’art. 1 della legge n. 227</w:t>
      </w:r>
      <w:r w:rsidR="008B436B">
        <w:rPr>
          <w:szCs w:val="23"/>
        </w:rPr>
        <w:t>/</w:t>
      </w:r>
      <w:r w:rsidRPr="0082560B">
        <w:rPr>
          <w:szCs w:val="23"/>
        </w:rPr>
        <w:t>2021 (</w:t>
      </w:r>
      <w:r w:rsidR="002C3D0D">
        <w:rPr>
          <w:szCs w:val="23"/>
        </w:rPr>
        <w:t>“</w:t>
      </w:r>
      <w:r w:rsidRPr="002C3D0D">
        <w:rPr>
          <w:i/>
          <w:iCs/>
          <w:szCs w:val="23"/>
        </w:rPr>
        <w:t>Delega al Governo in materia di disabilità</w:t>
      </w:r>
      <w:r w:rsidR="002C3D0D">
        <w:rPr>
          <w:szCs w:val="23"/>
        </w:rPr>
        <w:t>”</w:t>
      </w:r>
      <w:r w:rsidRPr="0082560B">
        <w:rPr>
          <w:szCs w:val="23"/>
        </w:rPr>
        <w:t xml:space="preserve">), poi attuato con il </w:t>
      </w:r>
      <w:r w:rsidR="008B436B">
        <w:rPr>
          <w:szCs w:val="23"/>
        </w:rPr>
        <w:t>d.lgs</w:t>
      </w:r>
      <w:r w:rsidRPr="0082560B">
        <w:rPr>
          <w:szCs w:val="23"/>
        </w:rPr>
        <w:t>. n. 62</w:t>
      </w:r>
      <w:r w:rsidR="008B436B">
        <w:rPr>
          <w:szCs w:val="23"/>
        </w:rPr>
        <w:t>/</w:t>
      </w:r>
      <w:r w:rsidRPr="0082560B">
        <w:rPr>
          <w:szCs w:val="23"/>
        </w:rPr>
        <w:t>2024 (</w:t>
      </w:r>
      <w:r w:rsidR="008B436B">
        <w:rPr>
          <w:szCs w:val="23"/>
        </w:rPr>
        <w:t>“</w:t>
      </w:r>
      <w:r w:rsidRPr="008B436B">
        <w:rPr>
          <w:i/>
          <w:iCs/>
          <w:szCs w:val="23"/>
        </w:rPr>
        <w:t>Definizione della condizione di disabilità, della valutazione di base, di accomodamento ragionevole, della valutazione multidimensionale per l’elaborazione e attuazione del progetto di vita individuale personalizzato e partecipato</w:t>
      </w:r>
      <w:r w:rsidR="008B436B">
        <w:rPr>
          <w:szCs w:val="23"/>
        </w:rPr>
        <w:t>”</w:t>
      </w:r>
      <w:r w:rsidRPr="0082560B">
        <w:rPr>
          <w:szCs w:val="23"/>
        </w:rPr>
        <w:t>)</w:t>
      </w:r>
      <w:r w:rsidRPr="00BA7EA2">
        <w:rPr>
          <w:rStyle w:val="Rimandonotaapidipagina"/>
          <w:szCs w:val="23"/>
        </w:rPr>
        <w:t> </w:t>
      </w:r>
      <w:r w:rsidRPr="00BA7EA2">
        <w:rPr>
          <w:rStyle w:val="Rimandonotaapidipagina"/>
          <w:szCs w:val="23"/>
        </w:rPr>
        <w:footnoteReference w:id="14"/>
      </w:r>
      <w:r w:rsidRPr="0082560B">
        <w:rPr>
          <w:szCs w:val="23"/>
        </w:rPr>
        <w:t xml:space="preserve"> ha inteso razionalizzare la disciplina afferente al trattamento dei disabili e porre le basi per rimuovere concretamente ed effettivamente gli ostacoli per consentire un pieno esercizio, in condizione di uguaglianza con gli altri, delle libertà e dei diritti civili e sociali nei vari contesti di vita, liberamente scelti dalla persona disabile, in tal modo ripensando integralmente la disciplina in materia di protezione di tali soggetti </w:t>
      </w:r>
      <w:r w:rsidRPr="0082560B">
        <w:rPr>
          <w:szCs w:val="23"/>
        </w:rPr>
        <w:lastRenderedPageBreak/>
        <w:t>e superando altresì il binomio tradizionale capacità-incapacità</w:t>
      </w:r>
      <w:r w:rsidRPr="00BA7EA2">
        <w:rPr>
          <w:rStyle w:val="Rimandonotaapidipagina"/>
          <w:szCs w:val="23"/>
        </w:rPr>
        <w:t> </w:t>
      </w:r>
      <w:r w:rsidRPr="00BA7EA2">
        <w:rPr>
          <w:rStyle w:val="Rimandonotaapidipagina"/>
          <w:szCs w:val="23"/>
        </w:rPr>
        <w:footnoteReference w:id="15"/>
      </w:r>
      <w:r w:rsidRPr="0082560B">
        <w:rPr>
          <w:szCs w:val="23"/>
        </w:rPr>
        <w:t>.</w:t>
      </w:r>
    </w:p>
    <w:p w14:paraId="5B92B6B3" w14:textId="77777777" w:rsidR="00E92121" w:rsidRPr="001F1D70" w:rsidRDefault="00E92121" w:rsidP="00E92121">
      <w:pPr>
        <w:pStyle w:val="Titolo4"/>
      </w:pPr>
      <w:bookmarkStart w:id="5" w:name="_Toc208319530"/>
      <w:r w:rsidRPr="00E10043">
        <w:rPr>
          <w:i w:val="0"/>
        </w:rPr>
        <w:t xml:space="preserve">2. </w:t>
      </w:r>
      <w:r w:rsidRPr="008E35C6">
        <w:t>Il Progetto di vita individuale quale fattore di piena integrazione del soggetto disabile</w:t>
      </w:r>
      <w:bookmarkEnd w:id="5"/>
    </w:p>
    <w:p w14:paraId="2677CFBD" w14:textId="1FC25016" w:rsidR="00E92121" w:rsidRPr="0082560B" w:rsidRDefault="00E92121" w:rsidP="00E92121">
      <w:pPr>
        <w:pStyle w:val="Capoverso"/>
        <w:rPr>
          <w:szCs w:val="23"/>
        </w:rPr>
      </w:pPr>
      <w:r w:rsidRPr="0082560B">
        <w:rPr>
          <w:szCs w:val="23"/>
        </w:rPr>
        <w:t xml:space="preserve">Il progetto di vita è rappresentato dal </w:t>
      </w:r>
      <w:r w:rsidR="008B436B">
        <w:rPr>
          <w:szCs w:val="23"/>
        </w:rPr>
        <w:t>«</w:t>
      </w:r>
      <w:r w:rsidRPr="008B436B">
        <w:rPr>
          <w:i/>
          <w:iCs/>
          <w:szCs w:val="23"/>
        </w:rPr>
        <w:t>progetto individuale, personalizzato e partecipato della persona con disabilità che, partendo dai suoi desideri e dalle sue aspettative e preferenze, è diretto ad individuare, in una visione esistenziale unitaria, i sostegni, formali e informali, per consentire alla persona stessa di migliorare la qualità della propria vita, di sviluppare tutte le sue potenzialità, di poter scegliere i contesti di vita e partecipare in condizioni di pari opportunità rispetto agli altri</w:t>
      </w:r>
      <w:r w:rsidR="008B436B">
        <w:rPr>
          <w:szCs w:val="23"/>
        </w:rPr>
        <w:t>»</w:t>
      </w:r>
      <w:r w:rsidRPr="00BA7EA2">
        <w:rPr>
          <w:rStyle w:val="Rimandonotaapidipagina"/>
          <w:szCs w:val="23"/>
        </w:rPr>
        <w:t> </w:t>
      </w:r>
      <w:r w:rsidRPr="00BA7EA2">
        <w:rPr>
          <w:rStyle w:val="Rimandonotaapidipagina"/>
          <w:szCs w:val="23"/>
        </w:rPr>
        <w:footnoteReference w:id="16"/>
      </w:r>
      <w:r w:rsidRPr="0082560B">
        <w:rPr>
          <w:szCs w:val="23"/>
        </w:rPr>
        <w:t>.</w:t>
      </w:r>
    </w:p>
    <w:p w14:paraId="5D694FEA" w14:textId="5A4E5899" w:rsidR="00E92121" w:rsidRPr="00391A67" w:rsidRDefault="00E92121" w:rsidP="00E92121">
      <w:pPr>
        <w:pStyle w:val="Capoverso"/>
        <w:rPr>
          <w:spacing w:val="-2"/>
          <w:szCs w:val="23"/>
        </w:rPr>
      </w:pPr>
      <w:r w:rsidRPr="0082560B">
        <w:rPr>
          <w:szCs w:val="23"/>
        </w:rPr>
        <w:t>Il progetto di vita</w:t>
      </w:r>
      <w:r w:rsidR="00EB1B51">
        <w:rPr>
          <w:szCs w:val="23"/>
        </w:rPr>
        <w:t xml:space="preserve">, predisposto appositamente per ciascun individuo, consente a ogni persona con disabilità di vedersi </w:t>
      </w:r>
      <w:r w:rsidRPr="0082560B">
        <w:rPr>
          <w:szCs w:val="23"/>
        </w:rPr>
        <w:t>riconosciuta l’effettiva possibilità di integrarsi pienamente nel contesto sociale in condizion</w:t>
      </w:r>
      <w:r w:rsidR="00EB1B51">
        <w:rPr>
          <w:szCs w:val="23"/>
        </w:rPr>
        <w:t>e</w:t>
      </w:r>
      <w:r w:rsidRPr="0082560B">
        <w:rPr>
          <w:szCs w:val="23"/>
        </w:rPr>
        <w:t xml:space="preserve"> di piena parità con gli altri consociati. </w:t>
      </w:r>
      <w:r w:rsidRPr="00391A67">
        <w:rPr>
          <w:spacing w:val="-2"/>
          <w:szCs w:val="23"/>
        </w:rPr>
        <w:t>Attraverso il richiamato progetto di vita vengono individuati gli strumenti, le risorse, gli interventi, i benefici, le prestazioni, i servizi e gli accomodamenti ragionevoli, allo scopo di favorire l’inclusione e la partecipazione della persona interessata a tutti gli ambiti della vita, compresi quelli scolastici, della formazione superiore, abitativi, lavorativi e sociali</w:t>
      </w:r>
      <w:r w:rsidRPr="00391A67">
        <w:rPr>
          <w:rStyle w:val="Rimandonotaapidipagina"/>
          <w:spacing w:val="-2"/>
          <w:szCs w:val="23"/>
        </w:rPr>
        <w:t> </w:t>
      </w:r>
      <w:r w:rsidRPr="00391A67">
        <w:rPr>
          <w:rStyle w:val="Rimandonotaapidipagina"/>
          <w:spacing w:val="-2"/>
          <w:szCs w:val="23"/>
        </w:rPr>
        <w:footnoteReference w:id="17"/>
      </w:r>
      <w:r w:rsidRPr="00391A67">
        <w:rPr>
          <w:spacing w:val="-2"/>
          <w:szCs w:val="23"/>
        </w:rPr>
        <w:t>.</w:t>
      </w:r>
    </w:p>
    <w:p w14:paraId="2C2B9E13" w14:textId="25A0CFD7" w:rsidR="00E92121" w:rsidRPr="0082560B" w:rsidRDefault="00E92121" w:rsidP="00E92121">
      <w:pPr>
        <w:pStyle w:val="Capoverso"/>
        <w:rPr>
          <w:szCs w:val="23"/>
        </w:rPr>
      </w:pPr>
      <w:r w:rsidRPr="0082560B">
        <w:rPr>
          <w:szCs w:val="23"/>
        </w:rPr>
        <w:lastRenderedPageBreak/>
        <w:t>Il progetto di vita ha natura unitaria</w:t>
      </w:r>
      <w:r w:rsidR="00EB1B51">
        <w:rPr>
          <w:szCs w:val="23"/>
        </w:rPr>
        <w:t xml:space="preserve"> e personalizzata</w:t>
      </w:r>
      <w:r w:rsidRPr="0082560B">
        <w:rPr>
          <w:szCs w:val="23"/>
        </w:rPr>
        <w:t xml:space="preserve">, sia nella fase costitutiva che in quella attuativa, così da garantire un intervento coordinato e organico in relazione a tutte le </w:t>
      </w:r>
      <w:r w:rsidR="00EB1B51">
        <w:rPr>
          <w:szCs w:val="23"/>
        </w:rPr>
        <w:t xml:space="preserve">specifiche </w:t>
      </w:r>
      <w:r w:rsidRPr="0082560B">
        <w:rPr>
          <w:szCs w:val="23"/>
        </w:rPr>
        <w:t>esigenze del disabile, evitando sovrapposizioni e contrasti tra le misure previste e gli obiettivi perseguiti</w:t>
      </w:r>
      <w:r w:rsidRPr="00BA7EA2">
        <w:rPr>
          <w:rStyle w:val="Rimandonotaapidipagina"/>
          <w:szCs w:val="23"/>
        </w:rPr>
        <w:t> </w:t>
      </w:r>
      <w:r w:rsidRPr="00BA7EA2">
        <w:rPr>
          <w:rStyle w:val="Rimandonotaapidipagina"/>
          <w:szCs w:val="23"/>
        </w:rPr>
        <w:footnoteReference w:id="18"/>
      </w:r>
      <w:r w:rsidRPr="0082560B">
        <w:rPr>
          <w:szCs w:val="23"/>
        </w:rPr>
        <w:t>.</w:t>
      </w:r>
    </w:p>
    <w:p w14:paraId="205BFF1E" w14:textId="0AA9CD36" w:rsidR="00E92121" w:rsidRPr="0082560B" w:rsidRDefault="00E92121" w:rsidP="00E92121">
      <w:pPr>
        <w:pStyle w:val="Capoverso"/>
        <w:rPr>
          <w:szCs w:val="23"/>
        </w:rPr>
      </w:pPr>
      <w:r w:rsidRPr="0082560B">
        <w:rPr>
          <w:szCs w:val="23"/>
        </w:rPr>
        <w:t>A tal proposito è opportuno evidenziare che il legislatore</w:t>
      </w:r>
      <w:r w:rsidR="00EB1B51">
        <w:rPr>
          <w:szCs w:val="23"/>
        </w:rPr>
        <w:t xml:space="preserve"> italiano</w:t>
      </w:r>
      <w:r w:rsidRPr="0082560B">
        <w:rPr>
          <w:szCs w:val="23"/>
        </w:rPr>
        <w:t xml:space="preserve">, </w:t>
      </w:r>
      <w:r w:rsidR="00EB1B51" w:rsidRPr="00EB1B51">
        <w:rPr>
          <w:szCs w:val="23"/>
        </w:rPr>
        <w:t>recependo la Convenzione delle Nazioni Unite sui diritti delle persone con disabilità</w:t>
      </w:r>
      <w:r w:rsidR="00F9721E">
        <w:rPr>
          <w:vertAlign w:val="superscript"/>
        </w:rPr>
        <w:t> </w:t>
      </w:r>
      <w:r w:rsidR="00B92AE3">
        <w:rPr>
          <w:rStyle w:val="Rimandonotaapidipagina"/>
          <w:szCs w:val="23"/>
        </w:rPr>
        <w:footnoteReference w:id="19"/>
      </w:r>
      <w:r w:rsidR="00EB1B51" w:rsidRPr="00EB1B51">
        <w:rPr>
          <w:szCs w:val="23"/>
        </w:rPr>
        <w:t xml:space="preserve"> </w:t>
      </w:r>
      <w:r w:rsidR="00B92AE3">
        <w:rPr>
          <w:szCs w:val="23"/>
        </w:rPr>
        <w:t xml:space="preserve">e </w:t>
      </w:r>
      <w:r w:rsidRPr="0082560B">
        <w:rPr>
          <w:szCs w:val="23"/>
        </w:rPr>
        <w:t xml:space="preserve">superando </w:t>
      </w:r>
      <w:r w:rsidR="00EB1B51">
        <w:rPr>
          <w:szCs w:val="23"/>
        </w:rPr>
        <w:t xml:space="preserve">in tal modo </w:t>
      </w:r>
      <w:r w:rsidRPr="0082560B">
        <w:rPr>
          <w:szCs w:val="23"/>
        </w:rPr>
        <w:t>la pregressa metodica di tipo settoriale e prevalentemente medica</w:t>
      </w:r>
      <w:r w:rsidRPr="00BA7EA2">
        <w:rPr>
          <w:rStyle w:val="Rimandonotaapidipagina"/>
          <w:szCs w:val="23"/>
        </w:rPr>
        <w:t> </w:t>
      </w:r>
      <w:r w:rsidRPr="00BA7EA2">
        <w:rPr>
          <w:rStyle w:val="Rimandonotaapidipagina"/>
          <w:szCs w:val="23"/>
        </w:rPr>
        <w:footnoteReference w:id="20"/>
      </w:r>
      <w:r w:rsidRPr="0082560B">
        <w:rPr>
          <w:szCs w:val="23"/>
        </w:rPr>
        <w:t>, ha a</w:t>
      </w:r>
      <w:r w:rsidR="003030A1">
        <w:rPr>
          <w:szCs w:val="23"/>
        </w:rPr>
        <w:t>do</w:t>
      </w:r>
      <w:r w:rsidRPr="0082560B">
        <w:rPr>
          <w:szCs w:val="23"/>
        </w:rPr>
        <w:t>p</w:t>
      </w:r>
      <w:r w:rsidR="003030A1">
        <w:rPr>
          <w:szCs w:val="23"/>
        </w:rPr>
        <w:t>er</w:t>
      </w:r>
      <w:r w:rsidRPr="0082560B">
        <w:rPr>
          <w:szCs w:val="23"/>
        </w:rPr>
        <w:t>ato un approccio di natura globale e unitario nella definizione della condizione di disabilità,</w:t>
      </w:r>
      <w:r w:rsidR="00B92AE3" w:rsidRPr="00B92AE3">
        <w:rPr>
          <w:szCs w:val="23"/>
        </w:rPr>
        <w:t xml:space="preserve"> definito </w:t>
      </w:r>
      <w:r w:rsidR="00583F40">
        <w:rPr>
          <w:szCs w:val="23"/>
        </w:rPr>
        <w:t>“</w:t>
      </w:r>
      <w:proofErr w:type="spellStart"/>
      <w:r w:rsidR="00B92AE3" w:rsidRPr="00391A67">
        <w:rPr>
          <w:i/>
          <w:iCs/>
          <w:szCs w:val="23"/>
        </w:rPr>
        <w:t>bio</w:t>
      </w:r>
      <w:proofErr w:type="spellEnd"/>
      <w:r w:rsidR="00B92AE3" w:rsidRPr="00391A67">
        <w:rPr>
          <w:i/>
          <w:iCs/>
          <w:szCs w:val="23"/>
        </w:rPr>
        <w:t>-psico-sociale</w:t>
      </w:r>
      <w:r w:rsidR="00583F40">
        <w:rPr>
          <w:szCs w:val="23"/>
        </w:rPr>
        <w:t>”</w:t>
      </w:r>
      <w:r w:rsidR="00B92AE3" w:rsidRPr="00B92AE3">
        <w:rPr>
          <w:szCs w:val="23"/>
        </w:rPr>
        <w:t>,</w:t>
      </w:r>
      <w:r w:rsidRPr="0082560B">
        <w:rPr>
          <w:szCs w:val="23"/>
        </w:rPr>
        <w:t xml:space="preserve"> adottando una prospettiva che tiene conto sia dell’effettiva condizione della persona che del contesto di vita, anche di tipo relazionale, in cui questa agisce</w:t>
      </w:r>
      <w:r w:rsidRPr="00BA7EA2">
        <w:rPr>
          <w:rStyle w:val="Rimandonotaapidipagina"/>
          <w:szCs w:val="23"/>
        </w:rPr>
        <w:t> </w:t>
      </w:r>
      <w:r w:rsidRPr="00BA7EA2">
        <w:rPr>
          <w:rStyle w:val="Rimandonotaapidipagina"/>
          <w:szCs w:val="23"/>
        </w:rPr>
        <w:footnoteReference w:id="21"/>
      </w:r>
      <w:r w:rsidRPr="0082560B">
        <w:rPr>
          <w:szCs w:val="23"/>
        </w:rPr>
        <w:t xml:space="preserve">. Difatti viene definita persona con disabilità </w:t>
      </w:r>
      <w:r w:rsidR="008B436B">
        <w:rPr>
          <w:szCs w:val="23"/>
        </w:rPr>
        <w:t>«</w:t>
      </w:r>
      <w:r w:rsidRPr="008B436B">
        <w:rPr>
          <w:i/>
          <w:iCs/>
          <w:szCs w:val="23"/>
        </w:rPr>
        <w:t>chi presenta durature compromissioni fisiche, mentali, intellettive o sensoriali che, in interazione con barriere di diversa natura, possono ostacolare la piena ed effettiva partecipazione nei diversi contesti di vita su base di uguaglianza con gli altri, accertate all’esito della valutazione di base</w:t>
      </w:r>
      <w:r w:rsidR="008B436B">
        <w:rPr>
          <w:szCs w:val="23"/>
        </w:rPr>
        <w:t>»</w:t>
      </w:r>
      <w:r w:rsidRPr="00BA7EA2">
        <w:rPr>
          <w:rStyle w:val="Rimandonotaapidipagina"/>
          <w:szCs w:val="23"/>
        </w:rPr>
        <w:t> </w:t>
      </w:r>
      <w:r w:rsidRPr="00BA7EA2">
        <w:rPr>
          <w:rStyle w:val="Rimandonotaapidipagina"/>
          <w:szCs w:val="23"/>
        </w:rPr>
        <w:footnoteReference w:id="22"/>
      </w:r>
      <w:r w:rsidRPr="0082560B">
        <w:rPr>
          <w:szCs w:val="23"/>
        </w:rPr>
        <w:t>.</w:t>
      </w:r>
    </w:p>
    <w:p w14:paraId="0456EEEE" w14:textId="694A9B8A" w:rsidR="00E92121" w:rsidRPr="0082560B" w:rsidRDefault="00583F40" w:rsidP="00E92121">
      <w:pPr>
        <w:pStyle w:val="Capoverso"/>
        <w:rPr>
          <w:szCs w:val="23"/>
        </w:rPr>
      </w:pPr>
      <w:r>
        <w:rPr>
          <w:szCs w:val="23"/>
        </w:rPr>
        <w:lastRenderedPageBreak/>
        <w:t xml:space="preserve">Peraltro, proprio </w:t>
      </w:r>
      <w:r w:rsidR="003030A1">
        <w:rPr>
          <w:szCs w:val="23"/>
        </w:rPr>
        <w:t xml:space="preserve">adeguandosi a </w:t>
      </w:r>
      <w:r w:rsidR="00E92121" w:rsidRPr="0082560B">
        <w:rPr>
          <w:szCs w:val="23"/>
        </w:rPr>
        <w:t>quanto prescritto nella</w:t>
      </w:r>
      <w:r>
        <w:rPr>
          <w:szCs w:val="23"/>
        </w:rPr>
        <w:t xml:space="preserve"> citata</w:t>
      </w:r>
      <w:r w:rsidR="00E92121" w:rsidRPr="0082560B">
        <w:rPr>
          <w:szCs w:val="23"/>
        </w:rPr>
        <w:t xml:space="preserve"> Convenzione delle Nazioni Unite, il legislatore nazionale</w:t>
      </w:r>
      <w:r>
        <w:rPr>
          <w:szCs w:val="23"/>
        </w:rPr>
        <w:t xml:space="preserve"> ha provveduto a</w:t>
      </w:r>
      <w:r w:rsidR="00E92121" w:rsidRPr="0082560B">
        <w:rPr>
          <w:szCs w:val="23"/>
        </w:rPr>
        <w:t xml:space="preserve"> riconosce</w:t>
      </w:r>
      <w:r>
        <w:rPr>
          <w:szCs w:val="23"/>
        </w:rPr>
        <w:t>re</w:t>
      </w:r>
      <w:r w:rsidR="00E92121" w:rsidRPr="0082560B">
        <w:rPr>
          <w:szCs w:val="23"/>
        </w:rPr>
        <w:t xml:space="preserve"> al disabile il diritto di scegliere </w:t>
      </w:r>
      <w:r w:rsidR="003030A1">
        <w:rPr>
          <w:szCs w:val="23"/>
        </w:rPr>
        <w:t xml:space="preserve">sia </w:t>
      </w:r>
      <w:r w:rsidR="00E92121" w:rsidRPr="0082560B">
        <w:rPr>
          <w:szCs w:val="23"/>
        </w:rPr>
        <w:t xml:space="preserve">il proprio luogo di residenza </w:t>
      </w:r>
      <w:r w:rsidR="003030A1">
        <w:rPr>
          <w:szCs w:val="23"/>
        </w:rPr>
        <w:t>ch</w:t>
      </w:r>
      <w:r w:rsidR="00E92121" w:rsidRPr="0082560B">
        <w:rPr>
          <w:szCs w:val="23"/>
        </w:rPr>
        <w:t>e con chi vivere, da cui discende il correlato obbligo per gli Enti pubblici di astenersi da interferenze in tal senso, essendo vietata l’istituzionalizzazione forzata delle persone con disabilità</w:t>
      </w:r>
      <w:r w:rsidR="00E92121" w:rsidRPr="00BA7EA2">
        <w:rPr>
          <w:rStyle w:val="Rimandonotaapidipagina"/>
          <w:szCs w:val="23"/>
        </w:rPr>
        <w:t> </w:t>
      </w:r>
      <w:r w:rsidR="00E92121" w:rsidRPr="00BA7EA2">
        <w:rPr>
          <w:rStyle w:val="Rimandonotaapidipagina"/>
          <w:szCs w:val="23"/>
        </w:rPr>
        <w:footnoteReference w:id="23"/>
      </w:r>
      <w:r w:rsidR="00E92121" w:rsidRPr="0082560B">
        <w:rPr>
          <w:szCs w:val="23"/>
        </w:rPr>
        <w:t>. Inoltre, al fine di rendere effettiva, anche in chiave dinamica, la libertà del disabile di scegliere il luogo in cui vivere, è prevista la possibilità</w:t>
      </w:r>
      <w:r w:rsidR="00A8638B">
        <w:rPr>
          <w:szCs w:val="23"/>
        </w:rPr>
        <w:t xml:space="preserve"> per lo stesso</w:t>
      </w:r>
      <w:r w:rsidR="006C510A">
        <w:rPr>
          <w:szCs w:val="23"/>
        </w:rPr>
        <w:t xml:space="preserve"> soggetto</w:t>
      </w:r>
      <w:r w:rsidR="00E92121" w:rsidRPr="0082560B">
        <w:rPr>
          <w:szCs w:val="23"/>
        </w:rPr>
        <w:t xml:space="preserve"> di spostare il luogo di abitazione</w:t>
      </w:r>
      <w:r w:rsidR="00A8638B">
        <w:rPr>
          <w:szCs w:val="23"/>
        </w:rPr>
        <w:t>,</w:t>
      </w:r>
      <w:r w:rsidR="00E92121" w:rsidRPr="0082560B">
        <w:rPr>
          <w:szCs w:val="23"/>
        </w:rPr>
        <w:t xml:space="preserve"> cui </w:t>
      </w:r>
      <w:r w:rsidR="006C510A">
        <w:rPr>
          <w:szCs w:val="23"/>
        </w:rPr>
        <w:t>dov</w:t>
      </w:r>
      <w:r w:rsidR="00E92121" w:rsidRPr="0082560B">
        <w:rPr>
          <w:szCs w:val="23"/>
        </w:rPr>
        <w:t>rà</w:t>
      </w:r>
      <w:r w:rsidR="006C510A">
        <w:rPr>
          <w:szCs w:val="23"/>
        </w:rPr>
        <w:t xml:space="preserve"> necessariamente far</w:t>
      </w:r>
      <w:r w:rsidR="00E92121" w:rsidRPr="0082560B">
        <w:rPr>
          <w:szCs w:val="23"/>
        </w:rPr>
        <w:t xml:space="preserve"> seguito la modifica del progetto </w:t>
      </w:r>
      <w:r w:rsidR="00A8638B">
        <w:rPr>
          <w:szCs w:val="23"/>
        </w:rPr>
        <w:t xml:space="preserve">di vita </w:t>
      </w:r>
      <w:r w:rsidR="00E92121" w:rsidRPr="0082560B">
        <w:rPr>
          <w:szCs w:val="23"/>
        </w:rPr>
        <w:t>per assicurarne l</w:t>
      </w:r>
      <w:r w:rsidR="006C510A">
        <w:rPr>
          <w:szCs w:val="23"/>
        </w:rPr>
        <w:t>’adeguatezza e l’idoneità</w:t>
      </w:r>
      <w:r w:rsidR="00E92121" w:rsidRPr="0082560B">
        <w:rPr>
          <w:szCs w:val="23"/>
        </w:rPr>
        <w:t>, in applicazione dei principi di portabilità, continuità, non regressione e sostenibilità del citato progetto</w:t>
      </w:r>
      <w:r w:rsidR="00E92121" w:rsidRPr="00BA7EA2">
        <w:rPr>
          <w:rStyle w:val="Rimandonotaapidipagina"/>
          <w:szCs w:val="23"/>
        </w:rPr>
        <w:t> </w:t>
      </w:r>
      <w:r w:rsidR="00E92121" w:rsidRPr="00BA7EA2">
        <w:rPr>
          <w:rStyle w:val="Rimandonotaapidipagina"/>
          <w:szCs w:val="23"/>
        </w:rPr>
        <w:footnoteReference w:id="24"/>
      </w:r>
      <w:r w:rsidR="00E92121" w:rsidRPr="0082560B">
        <w:rPr>
          <w:szCs w:val="23"/>
        </w:rPr>
        <w:t>.</w:t>
      </w:r>
    </w:p>
    <w:p w14:paraId="1618C973" w14:textId="4282EB63" w:rsidR="00E92121" w:rsidRPr="0082560B" w:rsidRDefault="00E92121" w:rsidP="00E92121">
      <w:pPr>
        <w:pStyle w:val="Capoverso"/>
        <w:rPr>
          <w:szCs w:val="23"/>
        </w:rPr>
      </w:pPr>
      <w:r w:rsidRPr="0082560B">
        <w:rPr>
          <w:szCs w:val="23"/>
        </w:rPr>
        <w:t>L’istanza per la predisposizione del progetto di vita è presentata dall’interessato o dal suo rappresentante all’Ente titolare del relativo procedimento, come individuato dalla legge regionale; è possibile presentare l’istanza anche al Comune di residenza</w:t>
      </w:r>
      <w:r w:rsidRPr="00BA7EA2">
        <w:rPr>
          <w:rStyle w:val="Rimandonotaapidipagina"/>
          <w:szCs w:val="23"/>
        </w:rPr>
        <w:t> </w:t>
      </w:r>
      <w:r w:rsidRPr="00BA7EA2">
        <w:rPr>
          <w:rStyle w:val="Rimandonotaapidipagina"/>
          <w:szCs w:val="23"/>
        </w:rPr>
        <w:footnoteReference w:id="25"/>
      </w:r>
      <w:r w:rsidRPr="0082560B">
        <w:rPr>
          <w:szCs w:val="23"/>
        </w:rPr>
        <w:t>. La predisposizione del progetto è affidata a un organismo multidisciplinare (unità di valutazione multidimensionale) che, unitamente ai responsabili dei vari servizi e interventi, anche informali, previsti e da attivare nell’ambito del progetto, lo approva e lo sottoscrive</w:t>
      </w:r>
      <w:r w:rsidRPr="00BA7EA2">
        <w:rPr>
          <w:rStyle w:val="Rimandonotaapidipagina"/>
          <w:szCs w:val="23"/>
        </w:rPr>
        <w:t> </w:t>
      </w:r>
      <w:r w:rsidRPr="00BA7EA2">
        <w:rPr>
          <w:rStyle w:val="Rimandonotaapidipagina"/>
          <w:szCs w:val="23"/>
        </w:rPr>
        <w:footnoteReference w:id="26"/>
      </w:r>
      <w:r w:rsidRPr="0082560B">
        <w:rPr>
          <w:szCs w:val="23"/>
        </w:rPr>
        <w:t>; è comunque necessaria la partecipazione attiva e consapevole del</w:t>
      </w:r>
      <w:r w:rsidR="000D6B48">
        <w:rPr>
          <w:szCs w:val="23"/>
        </w:rPr>
        <w:t>la medesima persona</w:t>
      </w:r>
      <w:r w:rsidRPr="0082560B">
        <w:rPr>
          <w:szCs w:val="23"/>
        </w:rPr>
        <w:t xml:space="preserve"> </w:t>
      </w:r>
      <w:r w:rsidRPr="0082560B">
        <w:rPr>
          <w:szCs w:val="23"/>
        </w:rPr>
        <w:lastRenderedPageBreak/>
        <w:t>disabile alla predisposizione del progetto</w:t>
      </w:r>
      <w:r w:rsidRPr="00BA7EA2">
        <w:rPr>
          <w:rStyle w:val="Rimandonotaapidipagina"/>
          <w:szCs w:val="23"/>
        </w:rPr>
        <w:t> </w:t>
      </w:r>
      <w:r w:rsidRPr="00BA7EA2">
        <w:rPr>
          <w:rStyle w:val="Rimandonotaapidipagina"/>
          <w:szCs w:val="23"/>
        </w:rPr>
        <w:footnoteReference w:id="27"/>
      </w:r>
      <w:r w:rsidRPr="0082560B">
        <w:rPr>
          <w:szCs w:val="23"/>
        </w:rPr>
        <w:t xml:space="preserve">. L’individuazione di un organismo composito, costituito da esperti di diversa estrazione e provenienza, oltre che dal soggetto interessato, ha lo scopo di superare la logica della frammentazione e di una valutazione per comparti separati – sanitario, sociosanitario e sociale – e di consentire una valutazione multidimensionale, così da rispondere nella misura più adeguata possibile alle esigenze </w:t>
      </w:r>
      <w:r w:rsidR="00583F40">
        <w:rPr>
          <w:szCs w:val="23"/>
        </w:rPr>
        <w:t xml:space="preserve">correlate alla </w:t>
      </w:r>
      <w:r w:rsidRPr="0082560B">
        <w:rPr>
          <w:szCs w:val="23"/>
        </w:rPr>
        <w:t>concret</w:t>
      </w:r>
      <w:r w:rsidR="00583F40">
        <w:rPr>
          <w:szCs w:val="23"/>
        </w:rPr>
        <w:t>a situazione</w:t>
      </w:r>
      <w:r w:rsidRPr="00BA7EA2">
        <w:rPr>
          <w:rStyle w:val="Rimandonotaapidipagina"/>
          <w:szCs w:val="23"/>
        </w:rPr>
        <w:t> </w:t>
      </w:r>
      <w:r w:rsidRPr="00BA7EA2">
        <w:rPr>
          <w:rStyle w:val="Rimandonotaapidipagina"/>
          <w:szCs w:val="23"/>
        </w:rPr>
        <w:footnoteReference w:id="28"/>
      </w:r>
      <w:r w:rsidRPr="0082560B">
        <w:rPr>
          <w:szCs w:val="23"/>
        </w:rPr>
        <w:t>. In ogni caso è fatto obbligo allo Stato, alle regioni e agli enti locali, con riguardo alle rispettive competenze, di garantire l’effettività del progetto di vita</w:t>
      </w:r>
      <w:r w:rsidRPr="00BA7EA2">
        <w:rPr>
          <w:rStyle w:val="Rimandonotaapidipagina"/>
          <w:szCs w:val="23"/>
        </w:rPr>
        <w:t> </w:t>
      </w:r>
      <w:r w:rsidRPr="00BA7EA2">
        <w:rPr>
          <w:rStyle w:val="Rimandonotaapidipagina"/>
          <w:szCs w:val="23"/>
        </w:rPr>
        <w:footnoteReference w:id="29"/>
      </w:r>
      <w:r w:rsidRPr="0082560B">
        <w:rPr>
          <w:szCs w:val="23"/>
        </w:rPr>
        <w:t>.</w:t>
      </w:r>
    </w:p>
    <w:p w14:paraId="4FF501F7" w14:textId="613A3C33" w:rsidR="00E92121" w:rsidRPr="0082560B" w:rsidRDefault="00E92121" w:rsidP="00E92121">
      <w:pPr>
        <w:pStyle w:val="Capoverso"/>
        <w:rPr>
          <w:szCs w:val="23"/>
        </w:rPr>
      </w:pPr>
      <w:r w:rsidRPr="0082560B">
        <w:rPr>
          <w:szCs w:val="23"/>
        </w:rPr>
        <w:t>Dalla sommaria descrizione del dato normativo vigente, sebbene ancora in fase di implementazione</w:t>
      </w:r>
      <w:r w:rsidR="00F9721E">
        <w:rPr>
          <w:szCs w:val="23"/>
          <w:vertAlign w:val="superscript"/>
        </w:rPr>
        <w:t> </w:t>
      </w:r>
      <w:r w:rsidR="008775CF" w:rsidRPr="004E5195">
        <w:rPr>
          <w:rStyle w:val="Rimandonotaapidipagina"/>
          <w:szCs w:val="23"/>
        </w:rPr>
        <w:footnoteReference w:id="30"/>
      </w:r>
      <w:r w:rsidRPr="0082560B">
        <w:rPr>
          <w:szCs w:val="23"/>
        </w:rPr>
        <w:t>, emerge che il progetto di vita afferisce alla sfera personale del soggetto disabile e rappresenta lo strumento più importante per consentire allo stesso di godere appieno dei diritti sociali e di cittadinanza, con la conseguenza che la sua predisposizione e la sua attuazione rientrano certamente tra le prestazioni fondamentali da garantire alle persone che versano in situazione di disabilità</w:t>
      </w:r>
      <w:r w:rsidRPr="00BA7EA2">
        <w:rPr>
          <w:rStyle w:val="Rimandonotaapidipagina"/>
          <w:szCs w:val="23"/>
        </w:rPr>
        <w:t> </w:t>
      </w:r>
      <w:r w:rsidRPr="00BA7EA2">
        <w:rPr>
          <w:rStyle w:val="Rimandonotaapidipagina"/>
          <w:szCs w:val="23"/>
        </w:rPr>
        <w:footnoteReference w:id="31"/>
      </w:r>
      <w:r w:rsidRPr="0082560B">
        <w:rPr>
          <w:szCs w:val="23"/>
        </w:rPr>
        <w:t>.</w:t>
      </w:r>
    </w:p>
    <w:p w14:paraId="05593B9F" w14:textId="4BD81BF2" w:rsidR="00E92121" w:rsidRPr="0082560B" w:rsidRDefault="00E92121" w:rsidP="00E92121">
      <w:pPr>
        <w:pStyle w:val="Capoverso"/>
        <w:rPr>
          <w:szCs w:val="23"/>
        </w:rPr>
      </w:pPr>
      <w:r w:rsidRPr="0082560B">
        <w:rPr>
          <w:szCs w:val="23"/>
        </w:rPr>
        <w:t>Sotto altro profilo deve rilevarsi come la predisposizione del progetto di vita richieda l’intervento di soggetti specializzati e in parte incardinati in strutture pubbliche: tra i componenti dell’unità di valutazione multidimensionale, deputata a elaborare il progetto di vita, vi sono (</w:t>
      </w:r>
      <w:r w:rsidRPr="008B436B">
        <w:rPr>
          <w:i/>
          <w:iCs/>
          <w:szCs w:val="23"/>
        </w:rPr>
        <w:t>i</w:t>
      </w:r>
      <w:r w:rsidRPr="0082560B">
        <w:rPr>
          <w:szCs w:val="23"/>
        </w:rPr>
        <w:t>) un assistente sociale, un educatore o un altro operatore dei servizi sociali territoriali, (</w:t>
      </w:r>
      <w:r w:rsidRPr="008B436B">
        <w:rPr>
          <w:i/>
          <w:iCs/>
          <w:szCs w:val="23"/>
        </w:rPr>
        <w:t>ii</w:t>
      </w:r>
      <w:r w:rsidRPr="0082560B">
        <w:rPr>
          <w:szCs w:val="23"/>
        </w:rPr>
        <w:t>) uno o più professionisti sanitari designati dalla azienda sanitaria o dal distretto sanitario col compito di garantire l’integrazione sociosanitaria, (</w:t>
      </w:r>
      <w:r w:rsidRPr="008B436B">
        <w:rPr>
          <w:i/>
          <w:iCs/>
          <w:szCs w:val="23"/>
        </w:rPr>
        <w:t>iii</w:t>
      </w:r>
      <w:r w:rsidRPr="0082560B">
        <w:rPr>
          <w:szCs w:val="23"/>
        </w:rPr>
        <w:t>) un rappresentante del</w:t>
      </w:r>
      <w:r w:rsidR="005F5646">
        <w:rPr>
          <w:szCs w:val="23"/>
        </w:rPr>
        <w:softHyphen/>
      </w:r>
      <w:r w:rsidRPr="0082560B">
        <w:rPr>
          <w:szCs w:val="23"/>
        </w:rPr>
        <w:t>l’istituzione scolastica nei casi di redazione del Piano per uno studente, (</w:t>
      </w:r>
      <w:r w:rsidRPr="008B436B">
        <w:rPr>
          <w:i/>
          <w:iCs/>
          <w:szCs w:val="23"/>
        </w:rPr>
        <w:t>iv</w:t>
      </w:r>
      <w:r w:rsidRPr="0082560B">
        <w:rPr>
          <w:szCs w:val="23"/>
        </w:rPr>
        <w:t>) ove necessario, un rappresentante dei servizi per l’inserimento lavorativo delle persone con disabilità e (</w:t>
      </w:r>
      <w:r w:rsidRPr="008B436B">
        <w:rPr>
          <w:i/>
          <w:iCs/>
          <w:szCs w:val="23"/>
        </w:rPr>
        <w:t>v</w:t>
      </w:r>
      <w:r w:rsidRPr="0082560B">
        <w:rPr>
          <w:szCs w:val="23"/>
        </w:rPr>
        <w:t xml:space="preserve">) il medico di medicina generale o il pediatra </w:t>
      </w:r>
      <w:r w:rsidRPr="0082560B">
        <w:rPr>
          <w:szCs w:val="23"/>
        </w:rPr>
        <w:lastRenderedPageBreak/>
        <w:t>di libera scelta della persona con disabilità</w:t>
      </w:r>
      <w:r w:rsidRPr="00BA7EA2">
        <w:rPr>
          <w:rStyle w:val="Rimandonotaapidipagina"/>
          <w:szCs w:val="23"/>
        </w:rPr>
        <w:t> </w:t>
      </w:r>
      <w:r w:rsidRPr="00BA7EA2">
        <w:rPr>
          <w:rStyle w:val="Rimandonotaapidipagina"/>
          <w:szCs w:val="23"/>
        </w:rPr>
        <w:footnoteReference w:id="32"/>
      </w:r>
      <w:r w:rsidRPr="0082560B">
        <w:rPr>
          <w:szCs w:val="23"/>
        </w:rPr>
        <w:t>.</w:t>
      </w:r>
    </w:p>
    <w:p w14:paraId="4B5102E6" w14:textId="01530408" w:rsidR="00E92121" w:rsidRPr="0082560B" w:rsidRDefault="00E92121" w:rsidP="002C3D0D">
      <w:pPr>
        <w:pStyle w:val="Capoverso"/>
        <w:spacing w:line="264" w:lineRule="exact"/>
        <w:rPr>
          <w:szCs w:val="23"/>
        </w:rPr>
      </w:pPr>
      <w:r w:rsidRPr="0082560B">
        <w:rPr>
          <w:szCs w:val="23"/>
        </w:rPr>
        <w:t>Come già segnalato, concorrono all’approvazione del progetto di vita anche i responsabili dei vari servizi di matrice pubblica che intervengono nel procedimento</w:t>
      </w:r>
      <w:r w:rsidRPr="00BA7EA2">
        <w:rPr>
          <w:rStyle w:val="Rimandonotaapidipagina"/>
          <w:szCs w:val="23"/>
        </w:rPr>
        <w:t> </w:t>
      </w:r>
      <w:r w:rsidRPr="00BA7EA2">
        <w:rPr>
          <w:rStyle w:val="Rimandonotaapidipagina"/>
          <w:szCs w:val="23"/>
        </w:rPr>
        <w:footnoteReference w:id="33"/>
      </w:r>
      <w:r w:rsidRPr="0082560B">
        <w:rPr>
          <w:szCs w:val="23"/>
        </w:rPr>
        <w:t xml:space="preserve"> e l’attuazione del predetto progetto è assicurata attraverso il budget di progetto che è costituito, in m</w:t>
      </w:r>
      <w:r w:rsidR="007A226A">
        <w:rPr>
          <w:szCs w:val="23"/>
        </w:rPr>
        <w:t>aniera composita</w:t>
      </w:r>
      <w:r w:rsidRPr="0082560B">
        <w:rPr>
          <w:szCs w:val="23"/>
        </w:rPr>
        <w:t>, dall’insieme delle risorse umane, professionali, tecnologiche, strumentali ed economiche, pubbliche e private</w:t>
      </w:r>
      <w:r w:rsidRPr="00BA7EA2">
        <w:rPr>
          <w:rStyle w:val="Rimandonotaapidipagina"/>
          <w:szCs w:val="23"/>
        </w:rPr>
        <w:t> </w:t>
      </w:r>
      <w:r w:rsidRPr="00BA7EA2">
        <w:rPr>
          <w:rStyle w:val="Rimandonotaapidipagina"/>
          <w:szCs w:val="23"/>
        </w:rPr>
        <w:footnoteReference w:id="34"/>
      </w:r>
      <w:r w:rsidRPr="0082560B">
        <w:rPr>
          <w:szCs w:val="23"/>
        </w:rPr>
        <w:t>.</w:t>
      </w:r>
    </w:p>
    <w:p w14:paraId="7DE91DF9" w14:textId="07CF9869" w:rsidR="00E92121" w:rsidRPr="002C3D0D" w:rsidRDefault="00E92121" w:rsidP="002C3D0D">
      <w:pPr>
        <w:pStyle w:val="Capoverso"/>
        <w:spacing w:line="264" w:lineRule="exact"/>
        <w:rPr>
          <w:spacing w:val="2"/>
          <w:szCs w:val="23"/>
        </w:rPr>
      </w:pPr>
      <w:r w:rsidRPr="002C3D0D">
        <w:rPr>
          <w:spacing w:val="2"/>
          <w:szCs w:val="23"/>
        </w:rPr>
        <w:t>Il progetto di vita rappresenta pertanto un istituto in grado di garantire al soggetto disabile la sua piena integrazione sociale</w:t>
      </w:r>
      <w:r w:rsidRPr="002C3D0D">
        <w:rPr>
          <w:rStyle w:val="Rimandonotaapidipagina"/>
          <w:spacing w:val="2"/>
          <w:szCs w:val="23"/>
        </w:rPr>
        <w:t> </w:t>
      </w:r>
      <w:r w:rsidRPr="002C3D0D">
        <w:rPr>
          <w:rStyle w:val="Rimandonotaapidipagina"/>
          <w:spacing w:val="2"/>
          <w:szCs w:val="23"/>
        </w:rPr>
        <w:footnoteReference w:id="35"/>
      </w:r>
      <w:r w:rsidRPr="002C3D0D">
        <w:rPr>
          <w:spacing w:val="2"/>
          <w:szCs w:val="23"/>
        </w:rPr>
        <w:t>, l’uguaglianza con i consociati e la possibilità di autodeterminarsi liberamente nelle scelte relative alla propria esistenza, ponendosi quale fondament</w:t>
      </w:r>
      <w:r w:rsidR="004E5195">
        <w:rPr>
          <w:spacing w:val="2"/>
          <w:szCs w:val="23"/>
        </w:rPr>
        <w:t>ale presuppost</w:t>
      </w:r>
      <w:r w:rsidRPr="002C3D0D">
        <w:rPr>
          <w:spacing w:val="2"/>
          <w:szCs w:val="23"/>
        </w:rPr>
        <w:t xml:space="preserve">o </w:t>
      </w:r>
      <w:r w:rsidR="004E5195">
        <w:rPr>
          <w:spacing w:val="2"/>
          <w:szCs w:val="23"/>
        </w:rPr>
        <w:t xml:space="preserve">per </w:t>
      </w:r>
      <w:r w:rsidRPr="002C3D0D">
        <w:rPr>
          <w:spacing w:val="2"/>
          <w:szCs w:val="23"/>
        </w:rPr>
        <w:t>l’esercizio d</w:t>
      </w:r>
      <w:r w:rsidR="004E5195">
        <w:rPr>
          <w:spacing w:val="2"/>
          <w:szCs w:val="23"/>
        </w:rPr>
        <w:t>e</w:t>
      </w:r>
      <w:r w:rsidRPr="002C3D0D">
        <w:rPr>
          <w:spacing w:val="2"/>
          <w:szCs w:val="23"/>
        </w:rPr>
        <w:t>i</w:t>
      </w:r>
      <w:r w:rsidR="004E5195">
        <w:rPr>
          <w:spacing w:val="2"/>
          <w:szCs w:val="23"/>
        </w:rPr>
        <w:t xml:space="preserve"> ci</w:t>
      </w:r>
      <w:r w:rsidR="00962B1D">
        <w:rPr>
          <w:spacing w:val="2"/>
          <w:szCs w:val="23"/>
        </w:rPr>
        <w:t>t</w:t>
      </w:r>
      <w:r w:rsidRPr="002C3D0D">
        <w:rPr>
          <w:spacing w:val="2"/>
          <w:szCs w:val="23"/>
        </w:rPr>
        <w:t>a</w:t>
      </w:r>
      <w:r w:rsidR="004E5195">
        <w:rPr>
          <w:spacing w:val="2"/>
          <w:szCs w:val="23"/>
        </w:rPr>
        <w:t>t</w:t>
      </w:r>
      <w:r w:rsidRPr="002C3D0D">
        <w:rPr>
          <w:spacing w:val="2"/>
          <w:szCs w:val="23"/>
        </w:rPr>
        <w:t>i diritti fondamentali (e incomprimibili), in diretta applicazione degli artt. 2, 3, 31 e 38 Cost</w:t>
      </w:r>
      <w:r w:rsidR="008B436B" w:rsidRPr="002C3D0D">
        <w:rPr>
          <w:spacing w:val="2"/>
          <w:szCs w:val="23"/>
        </w:rPr>
        <w:t>.</w:t>
      </w:r>
      <w:r w:rsidRPr="002C3D0D">
        <w:rPr>
          <w:rStyle w:val="Rimandonotaapidipagina"/>
          <w:spacing w:val="2"/>
          <w:szCs w:val="23"/>
        </w:rPr>
        <w:t> </w:t>
      </w:r>
      <w:r w:rsidRPr="002C3D0D">
        <w:rPr>
          <w:rStyle w:val="Rimandonotaapidipagina"/>
          <w:spacing w:val="2"/>
          <w:szCs w:val="23"/>
        </w:rPr>
        <w:footnoteReference w:id="36"/>
      </w:r>
      <w:r w:rsidRPr="002C3D0D">
        <w:rPr>
          <w:spacing w:val="2"/>
          <w:szCs w:val="23"/>
        </w:rPr>
        <w:t xml:space="preserve"> e della Convenzione delle Nazioni Unite sui diritti delle persone con disabilità e il relativo Protocollo opzionale, assunti il 13 dicembre 2006</w:t>
      </w:r>
      <w:r w:rsidRPr="002C3D0D">
        <w:rPr>
          <w:rStyle w:val="Rimandonotaapidipagina"/>
          <w:spacing w:val="2"/>
          <w:szCs w:val="23"/>
        </w:rPr>
        <w:t> </w:t>
      </w:r>
      <w:r w:rsidRPr="002C3D0D">
        <w:rPr>
          <w:rStyle w:val="Rimandonotaapidipagina"/>
          <w:spacing w:val="2"/>
          <w:szCs w:val="23"/>
        </w:rPr>
        <w:footnoteReference w:id="37"/>
      </w:r>
      <w:r w:rsidRPr="002C3D0D">
        <w:rPr>
          <w:spacing w:val="2"/>
          <w:szCs w:val="23"/>
        </w:rPr>
        <w:t>.</w:t>
      </w:r>
    </w:p>
    <w:p w14:paraId="732FD34A" w14:textId="68CE470C" w:rsidR="00E92121" w:rsidRPr="0082560B" w:rsidRDefault="001973A8" w:rsidP="002C3D0D">
      <w:pPr>
        <w:pStyle w:val="Capoverso"/>
        <w:spacing w:line="264" w:lineRule="exact"/>
        <w:rPr>
          <w:szCs w:val="23"/>
        </w:rPr>
      </w:pPr>
      <w:r>
        <w:rPr>
          <w:szCs w:val="23"/>
        </w:rPr>
        <w:t xml:space="preserve">Secondo quanto rilevato </w:t>
      </w:r>
      <w:r w:rsidR="00EB7992">
        <w:rPr>
          <w:szCs w:val="23"/>
        </w:rPr>
        <w:t>in precedenza, nemmeno l</w:t>
      </w:r>
      <w:r w:rsidR="00E92121" w:rsidRPr="0082560B">
        <w:rPr>
          <w:szCs w:val="23"/>
        </w:rPr>
        <w:t xml:space="preserve">a </w:t>
      </w:r>
      <w:r w:rsidR="00EB7992">
        <w:rPr>
          <w:szCs w:val="23"/>
        </w:rPr>
        <w:t>fase di attua</w:t>
      </w:r>
      <w:r w:rsidR="00E92121" w:rsidRPr="0082560B">
        <w:rPr>
          <w:szCs w:val="23"/>
        </w:rPr>
        <w:t xml:space="preserve">zione del progetto di vita </w:t>
      </w:r>
      <w:r w:rsidR="00EB7992">
        <w:rPr>
          <w:szCs w:val="23"/>
        </w:rPr>
        <w:t xml:space="preserve">è </w:t>
      </w:r>
      <w:r w:rsidR="00E92121" w:rsidRPr="0082560B">
        <w:rPr>
          <w:szCs w:val="23"/>
        </w:rPr>
        <w:t>riserva</w:t>
      </w:r>
      <w:r w:rsidR="00EB7992">
        <w:rPr>
          <w:szCs w:val="23"/>
        </w:rPr>
        <w:t>ta</w:t>
      </w:r>
      <w:r w:rsidR="00E92121" w:rsidRPr="0082560B">
        <w:rPr>
          <w:szCs w:val="23"/>
        </w:rPr>
        <w:t xml:space="preserve"> in via esclusiva al soggetto disabile beneficiario, richied</w:t>
      </w:r>
      <w:r w:rsidR="00EB7992">
        <w:rPr>
          <w:szCs w:val="23"/>
        </w:rPr>
        <w:t>e</w:t>
      </w:r>
      <w:r w:rsidR="007A226A">
        <w:rPr>
          <w:szCs w:val="23"/>
        </w:rPr>
        <w:t>ndo altresì</w:t>
      </w:r>
      <w:r w:rsidR="00E92121" w:rsidRPr="0082560B">
        <w:rPr>
          <w:szCs w:val="23"/>
        </w:rPr>
        <w:t xml:space="preserve"> l’intervento di altri soggetti, pubblici e privati, che nell’ambito di un complesso procedimento</w:t>
      </w:r>
      <w:r w:rsidR="00EB7992">
        <w:rPr>
          <w:szCs w:val="23"/>
        </w:rPr>
        <w:t xml:space="preserve"> –</w:t>
      </w:r>
      <w:r w:rsidR="00E92121" w:rsidRPr="0082560B">
        <w:rPr>
          <w:szCs w:val="23"/>
        </w:rPr>
        <w:t xml:space="preserve"> </w:t>
      </w:r>
      <w:r w:rsidR="00EB7992">
        <w:rPr>
          <w:szCs w:val="23"/>
        </w:rPr>
        <w:t>successivamente alla</w:t>
      </w:r>
      <w:r w:rsidR="00E92121" w:rsidRPr="0082560B">
        <w:rPr>
          <w:szCs w:val="23"/>
        </w:rPr>
        <w:t xml:space="preserve"> red</w:t>
      </w:r>
      <w:r w:rsidR="00EB7992">
        <w:rPr>
          <w:szCs w:val="23"/>
        </w:rPr>
        <w:t>azione e all’</w:t>
      </w:r>
      <w:r w:rsidR="00E92121" w:rsidRPr="0082560B">
        <w:rPr>
          <w:szCs w:val="23"/>
        </w:rPr>
        <w:t>approva</w:t>
      </w:r>
      <w:r w:rsidR="00EB7992">
        <w:rPr>
          <w:szCs w:val="23"/>
        </w:rPr>
        <w:t>zione de</w:t>
      </w:r>
      <w:r w:rsidR="00E92121" w:rsidRPr="0082560B">
        <w:rPr>
          <w:szCs w:val="23"/>
        </w:rPr>
        <w:t>l richiamato progetto</w:t>
      </w:r>
      <w:r w:rsidR="00EB7992">
        <w:rPr>
          <w:szCs w:val="23"/>
        </w:rPr>
        <w:t xml:space="preserve"> – </w:t>
      </w:r>
      <w:r w:rsidR="00E92121" w:rsidRPr="0082560B">
        <w:rPr>
          <w:szCs w:val="23"/>
        </w:rPr>
        <w:t xml:space="preserve">ne </w:t>
      </w:r>
      <w:r w:rsidR="00EB7992">
        <w:rPr>
          <w:szCs w:val="23"/>
        </w:rPr>
        <w:t xml:space="preserve">devono </w:t>
      </w:r>
      <w:r w:rsidR="00E92121" w:rsidRPr="0082560B">
        <w:rPr>
          <w:szCs w:val="23"/>
        </w:rPr>
        <w:t>garanti</w:t>
      </w:r>
      <w:r w:rsidR="00EB7992">
        <w:rPr>
          <w:szCs w:val="23"/>
        </w:rPr>
        <w:t>re</w:t>
      </w:r>
      <w:r w:rsidR="00E92121" w:rsidRPr="0082560B">
        <w:rPr>
          <w:szCs w:val="23"/>
        </w:rPr>
        <w:t xml:space="preserve"> la concreta attuazione attraverso l’impiego di risorse strumentali, umane e finanziarie</w:t>
      </w:r>
      <w:r w:rsidR="00E92121" w:rsidRPr="00BA7EA2">
        <w:rPr>
          <w:rStyle w:val="Rimandonotaapidipagina"/>
          <w:szCs w:val="23"/>
        </w:rPr>
        <w:t> </w:t>
      </w:r>
      <w:r w:rsidR="00E92121" w:rsidRPr="00BA7EA2">
        <w:rPr>
          <w:rStyle w:val="Rimandonotaapidipagina"/>
          <w:szCs w:val="23"/>
        </w:rPr>
        <w:footnoteReference w:id="38"/>
      </w:r>
      <w:r w:rsidR="00E92121" w:rsidRPr="0082560B">
        <w:rPr>
          <w:szCs w:val="23"/>
        </w:rPr>
        <w:t>.</w:t>
      </w:r>
    </w:p>
    <w:p w14:paraId="0CC9A536" w14:textId="4C8894A4" w:rsidR="00E92121" w:rsidRPr="0082560B" w:rsidRDefault="00E92121" w:rsidP="00E92121">
      <w:pPr>
        <w:pStyle w:val="Capoverso"/>
        <w:rPr>
          <w:szCs w:val="23"/>
        </w:rPr>
      </w:pPr>
      <w:r w:rsidRPr="0082560B">
        <w:rPr>
          <w:szCs w:val="23"/>
        </w:rPr>
        <w:t xml:space="preserve">Ci si trova </w:t>
      </w:r>
      <w:r w:rsidR="00D06099">
        <w:rPr>
          <w:szCs w:val="23"/>
        </w:rPr>
        <w:t xml:space="preserve">quindi </w:t>
      </w:r>
      <w:r w:rsidRPr="0082560B">
        <w:rPr>
          <w:szCs w:val="23"/>
        </w:rPr>
        <w:t xml:space="preserve">al cospetto di un diritto di prestazione che impone allo Stato, unitamente all’insieme degli Enti pubblici titolari di funzioni specifiche, di intervenire direttamente nella sfera giuridica della persona allo scopo </w:t>
      </w:r>
      <w:r w:rsidRPr="0082560B">
        <w:rPr>
          <w:szCs w:val="23"/>
        </w:rPr>
        <w:lastRenderedPageBreak/>
        <w:t>di garantire alla stessa l’esercizio di determinate facoltà e attività, che in caso contrario non potrebbero nemmeno venire a esistenza</w:t>
      </w:r>
      <w:r w:rsidRPr="00BA7EA2">
        <w:rPr>
          <w:rStyle w:val="Rimandonotaapidipagina"/>
          <w:szCs w:val="23"/>
        </w:rPr>
        <w:t> </w:t>
      </w:r>
      <w:r w:rsidRPr="00BA7EA2">
        <w:rPr>
          <w:rStyle w:val="Rimandonotaapidipagina"/>
          <w:szCs w:val="23"/>
        </w:rPr>
        <w:footnoteReference w:id="39"/>
      </w:r>
      <w:r w:rsidRPr="0082560B">
        <w:rPr>
          <w:szCs w:val="23"/>
        </w:rPr>
        <w:t>. Imponendo direttamente la Costituzione l’intervento pubblico in vista dell’attuazione dei diritti sociali, lo stesso viene a configurarsi come una delle finalità primarie che dev</w:t>
      </w:r>
      <w:r w:rsidR="007A226A">
        <w:rPr>
          <w:szCs w:val="23"/>
        </w:rPr>
        <w:t>e</w:t>
      </w:r>
      <w:r w:rsidRPr="0082560B">
        <w:rPr>
          <w:szCs w:val="23"/>
        </w:rPr>
        <w:t xml:space="preserve"> orientare l’attività degli Enti pubblici.</w:t>
      </w:r>
    </w:p>
    <w:p w14:paraId="2ED3CEAD" w14:textId="05C9B4C6" w:rsidR="00E92121" w:rsidRPr="0082560B" w:rsidRDefault="00E92121" w:rsidP="00E92121">
      <w:pPr>
        <w:pStyle w:val="Capoverso"/>
        <w:rPr>
          <w:szCs w:val="23"/>
        </w:rPr>
      </w:pPr>
      <w:r w:rsidRPr="0082560B">
        <w:rPr>
          <w:szCs w:val="23"/>
        </w:rPr>
        <w:t xml:space="preserve">Il legislatore quindi attribuisce all’Amministrazione i compiti e le risorse necessari per attuare il disegno costituzionale e in tal modo assicura ai soggetti bisognosi i mezzi e le condizioni per rimuovere gli ostacoli che si frappongono a una loro piena integrazione nella società. In tal modo si conferisce agli Enti pubblici un </w:t>
      </w:r>
      <w:r w:rsidR="0084293E">
        <w:rPr>
          <w:szCs w:val="23"/>
        </w:rPr>
        <w:t>“</w:t>
      </w:r>
      <w:r w:rsidRPr="00391A67">
        <w:rPr>
          <w:i/>
          <w:iCs/>
          <w:szCs w:val="23"/>
        </w:rPr>
        <w:t>pote</w:t>
      </w:r>
      <w:r w:rsidR="0084293E" w:rsidRPr="00391A67">
        <w:rPr>
          <w:i/>
          <w:iCs/>
          <w:szCs w:val="23"/>
        </w:rPr>
        <w:t>re</w:t>
      </w:r>
      <w:r w:rsidR="0084293E">
        <w:rPr>
          <w:szCs w:val="23"/>
        </w:rPr>
        <w:t>”</w:t>
      </w:r>
      <w:r w:rsidRPr="0082560B">
        <w:rPr>
          <w:szCs w:val="23"/>
        </w:rPr>
        <w:t xml:space="preserve"> per il perseguimento dell’interesse “</w:t>
      </w:r>
      <w:r w:rsidRPr="00391A67">
        <w:rPr>
          <w:i/>
          <w:iCs/>
          <w:szCs w:val="23"/>
        </w:rPr>
        <w:t>costituzionalmente imposto</w:t>
      </w:r>
      <w:r w:rsidRPr="0082560B">
        <w:rPr>
          <w:szCs w:val="23"/>
        </w:rPr>
        <w:t xml:space="preserve">” </w:t>
      </w:r>
      <w:r w:rsidR="0084293E">
        <w:rPr>
          <w:szCs w:val="23"/>
        </w:rPr>
        <w:t>teso a</w:t>
      </w:r>
      <w:r w:rsidRPr="0082560B">
        <w:rPr>
          <w:szCs w:val="23"/>
        </w:rPr>
        <w:t xml:space="preserve"> eliminare la condizione di svantaggio in cui versano alcune categorie di individui (i disabili, nella specie). Il “</w:t>
      </w:r>
      <w:r w:rsidRPr="00391A67">
        <w:rPr>
          <w:i/>
          <w:iCs/>
          <w:szCs w:val="23"/>
        </w:rPr>
        <w:t>potere pubblico</w:t>
      </w:r>
      <w:r w:rsidRPr="0082560B">
        <w:rPr>
          <w:szCs w:val="23"/>
        </w:rPr>
        <w:t>” diventa funzionale alla piena tutela dei soggetti svantaggiati.</w:t>
      </w:r>
    </w:p>
    <w:p w14:paraId="0EAC9652" w14:textId="686BDB93" w:rsidR="00E92121" w:rsidRPr="001F1D70" w:rsidRDefault="00E92121" w:rsidP="002C3D0D">
      <w:pPr>
        <w:pStyle w:val="Titolo4"/>
        <w:spacing w:before="640" w:after="360"/>
      </w:pPr>
      <w:bookmarkStart w:id="7" w:name="_Toc208319531"/>
      <w:r w:rsidRPr="00E10043">
        <w:rPr>
          <w:i w:val="0"/>
        </w:rPr>
        <w:t xml:space="preserve">3. </w:t>
      </w:r>
      <w:r w:rsidRPr="008E35C6">
        <w:t>Soggetti coinvolti nel procedimento afferente al</w:t>
      </w:r>
      <w:r w:rsidR="005D5F46">
        <w:t>l’adozione del</w:t>
      </w:r>
      <w:r w:rsidRPr="008E35C6">
        <w:t xml:space="preserve"> Progetto di vita individuale</w:t>
      </w:r>
      <w:bookmarkEnd w:id="7"/>
    </w:p>
    <w:p w14:paraId="0E0F889B" w14:textId="20B7FDE8" w:rsidR="00E92121" w:rsidRPr="0082560B" w:rsidRDefault="00E92121" w:rsidP="00E92121">
      <w:pPr>
        <w:pStyle w:val="Capoverso"/>
        <w:rPr>
          <w:szCs w:val="23"/>
        </w:rPr>
      </w:pPr>
      <w:r w:rsidRPr="0082560B">
        <w:rPr>
          <w:szCs w:val="23"/>
        </w:rPr>
        <w:t>La sussistenza di una potestà amministrativa in capo agli Enti preposti alla tutela delle persone affette da disabilità non determina una degradazione della posizione giuridica dei predetti soggetti – o almeno ciò non rappresenta la regola generale – da diritto soggettivo, in alcuni casi anche di rango primario o di natura fondamentale, a interesse legittimo</w:t>
      </w:r>
      <w:r w:rsidRPr="00BA7EA2">
        <w:rPr>
          <w:rStyle w:val="Rimandonotaapidipagina"/>
          <w:szCs w:val="23"/>
        </w:rPr>
        <w:t> </w:t>
      </w:r>
      <w:r w:rsidRPr="00BA7EA2">
        <w:rPr>
          <w:rStyle w:val="Rimandonotaapidipagina"/>
          <w:szCs w:val="23"/>
        </w:rPr>
        <w:footnoteReference w:id="40"/>
      </w:r>
      <w:r w:rsidRPr="0082560B">
        <w:rPr>
          <w:szCs w:val="23"/>
        </w:rPr>
        <w:t>. Tale conclusione discende dalla natura della</w:t>
      </w:r>
      <w:r w:rsidR="00834C15">
        <w:rPr>
          <w:szCs w:val="23"/>
        </w:rPr>
        <w:t xml:space="preserve"> </w:t>
      </w:r>
      <w:r w:rsidR="00962B1D">
        <w:rPr>
          <w:szCs w:val="23"/>
        </w:rPr>
        <w:t>pref</w:t>
      </w:r>
      <w:r w:rsidR="00834C15">
        <w:rPr>
          <w:szCs w:val="23"/>
        </w:rPr>
        <w:t>ata</w:t>
      </w:r>
      <w:r w:rsidRPr="0082560B">
        <w:rPr>
          <w:szCs w:val="23"/>
        </w:rPr>
        <w:t xml:space="preserve"> posizione giuridica che trova un diretto referente nel testo costituzionale,</w:t>
      </w:r>
      <w:r w:rsidR="00834C15">
        <w:rPr>
          <w:szCs w:val="23"/>
        </w:rPr>
        <w:t xml:space="preserve"> il quale</w:t>
      </w:r>
      <w:r w:rsidRPr="0082560B">
        <w:rPr>
          <w:szCs w:val="23"/>
        </w:rPr>
        <w:t xml:space="preserve"> non subordina affatto il riconoscimento del diritto all’assistenza alla sussistenza di particolari condizioni o al compimento di </w:t>
      </w:r>
      <w:r w:rsidRPr="0082560B">
        <w:rPr>
          <w:szCs w:val="23"/>
        </w:rPr>
        <w:lastRenderedPageBreak/>
        <w:t>adempimenti non direttamente legati all’accertamento dei presupposti per verificarne la ricorrenza e garantire l’erogazione delle prestazioni connesse. Si tratta nella sostanza di diritti che, seppure “</w:t>
      </w:r>
      <w:r w:rsidRPr="00391A67">
        <w:rPr>
          <w:i/>
          <w:iCs/>
          <w:szCs w:val="23"/>
        </w:rPr>
        <w:t>finanziariamente condizionati</w:t>
      </w:r>
      <w:r w:rsidRPr="0082560B">
        <w:rPr>
          <w:szCs w:val="23"/>
        </w:rPr>
        <w:t>”, devono essere riconosciuti nella loro integralità e non tollerano limitazioni di sorta, almeno nel loro nucleo essenziale</w:t>
      </w:r>
      <w:r w:rsidRPr="00BA7EA2">
        <w:rPr>
          <w:rStyle w:val="Rimandonotaapidipagina"/>
          <w:szCs w:val="23"/>
        </w:rPr>
        <w:t> </w:t>
      </w:r>
      <w:r w:rsidRPr="00BA7EA2">
        <w:rPr>
          <w:rStyle w:val="Rimandonotaapidipagina"/>
          <w:szCs w:val="23"/>
        </w:rPr>
        <w:footnoteReference w:id="41"/>
      </w:r>
      <w:r w:rsidRPr="0082560B">
        <w:rPr>
          <w:szCs w:val="23"/>
        </w:rPr>
        <w:t>.</w:t>
      </w:r>
    </w:p>
    <w:p w14:paraId="04F85A5C" w14:textId="4534FA36" w:rsidR="00E92121" w:rsidRPr="00391A67" w:rsidRDefault="00E92121" w:rsidP="00E92121">
      <w:pPr>
        <w:pStyle w:val="Capoverso"/>
        <w:rPr>
          <w:spacing w:val="2"/>
          <w:szCs w:val="23"/>
        </w:rPr>
      </w:pPr>
      <w:r w:rsidRPr="0082560B">
        <w:rPr>
          <w:szCs w:val="23"/>
        </w:rPr>
        <w:t xml:space="preserve">Tuttavia, l’attuazione dei richiamati diritti non può avvenire senza l’indispensabile intervento e la necessaria cooperazione dell’Amministrazione </w:t>
      </w:r>
      <w:r w:rsidR="008B436B">
        <w:rPr>
          <w:szCs w:val="23"/>
        </w:rPr>
        <w:t>P</w:t>
      </w:r>
      <w:r w:rsidRPr="0082560B">
        <w:rPr>
          <w:szCs w:val="23"/>
        </w:rPr>
        <w:t>ubblica complessivamente intesa</w:t>
      </w:r>
      <w:r w:rsidR="00834C15">
        <w:rPr>
          <w:szCs w:val="23"/>
        </w:rPr>
        <w:t>,</w:t>
      </w:r>
      <w:r w:rsidRPr="0082560B">
        <w:rPr>
          <w:szCs w:val="23"/>
        </w:rPr>
        <w:t xml:space="preserve"> che, attraverso la propria organizzazione e le proprie risorse, deve mettere gli individui nella condizione di poter ricevere e ottenere i benefici previsti in loro favore</w:t>
      </w:r>
      <w:r w:rsidRPr="00BA7EA2">
        <w:rPr>
          <w:rStyle w:val="Rimandonotaapidipagina"/>
          <w:szCs w:val="23"/>
        </w:rPr>
        <w:t> </w:t>
      </w:r>
      <w:r w:rsidRPr="00BA7EA2">
        <w:rPr>
          <w:rStyle w:val="Rimandonotaapidipagina"/>
          <w:szCs w:val="23"/>
        </w:rPr>
        <w:footnoteReference w:id="42"/>
      </w:r>
      <w:r w:rsidRPr="0082560B">
        <w:rPr>
          <w:szCs w:val="23"/>
        </w:rPr>
        <w:t xml:space="preserve">. Il dovere posto in capo alle Amministrazioni di garantire effettivamente la somministrazione delle provvidenze riconosciute in favore dei destinatari delle prestazioni sociali non rende però tali Enti quali meri esecutori ed erogatori di servizi, posti in posizione di assoluta soggezione rispetto agli aventi diritto, poiché, ferma restando la doverosità del compito loro imposto dal legislatore, permangono in capo ad essi i poteri legati all’organizzazione del servizio, al reperimento delle risorse e alla loro distribuzione, al rilevamento dei bisogni dei singoli nell’ambito della collettività e al contemperamento con gli altri interessi </w:t>
      </w:r>
      <w:r w:rsidR="00834C15">
        <w:rPr>
          <w:szCs w:val="23"/>
        </w:rPr>
        <w:t xml:space="preserve">di carattere </w:t>
      </w:r>
      <w:r w:rsidRPr="0082560B">
        <w:rPr>
          <w:szCs w:val="23"/>
        </w:rPr>
        <w:t>general</w:t>
      </w:r>
      <w:r w:rsidR="00834C15">
        <w:rPr>
          <w:szCs w:val="23"/>
        </w:rPr>
        <w:t>e</w:t>
      </w:r>
      <w:r w:rsidRPr="00BA7EA2">
        <w:rPr>
          <w:rStyle w:val="Rimandonotaapidipagina"/>
          <w:szCs w:val="23"/>
        </w:rPr>
        <w:t> </w:t>
      </w:r>
      <w:r w:rsidRPr="00BA7EA2">
        <w:rPr>
          <w:rStyle w:val="Rimandonotaapidipagina"/>
          <w:szCs w:val="23"/>
        </w:rPr>
        <w:footnoteReference w:id="43"/>
      </w:r>
      <w:r w:rsidRPr="0082560B">
        <w:rPr>
          <w:szCs w:val="23"/>
        </w:rPr>
        <w:t xml:space="preserve">. </w:t>
      </w:r>
      <w:r w:rsidRPr="00391A67">
        <w:rPr>
          <w:spacing w:val="2"/>
          <w:szCs w:val="23"/>
        </w:rPr>
        <w:t xml:space="preserve">Peraltro, il necessario approccio integrato nella fase di presa in carico del disabile e di erogazione delle prestazioni in favore del medesimo richiede anche un </w:t>
      </w:r>
      <w:r w:rsidR="00834C15" w:rsidRPr="00391A67">
        <w:rPr>
          <w:spacing w:val="2"/>
          <w:szCs w:val="23"/>
        </w:rPr>
        <w:t>adeguamento</w:t>
      </w:r>
      <w:r w:rsidRPr="00391A67">
        <w:rPr>
          <w:spacing w:val="2"/>
          <w:szCs w:val="23"/>
        </w:rPr>
        <w:t xml:space="preserve"> dell’organizzazione che deve operare non soltanto allo scopo di fornire uno specifico servizio, ma deve essere in grado di soddisfare i bisogni individuali nel loro insieme, </w:t>
      </w:r>
      <w:r w:rsidR="00834C15" w:rsidRPr="00391A67">
        <w:rPr>
          <w:spacing w:val="2"/>
          <w:szCs w:val="23"/>
        </w:rPr>
        <w:t>calibr</w:t>
      </w:r>
      <w:r w:rsidRPr="00391A67">
        <w:rPr>
          <w:spacing w:val="2"/>
          <w:szCs w:val="23"/>
        </w:rPr>
        <w:t xml:space="preserve">ando il servizio </w:t>
      </w:r>
      <w:r w:rsidR="00834C15" w:rsidRPr="00391A67">
        <w:rPr>
          <w:spacing w:val="2"/>
          <w:szCs w:val="23"/>
        </w:rPr>
        <w:t>r</w:t>
      </w:r>
      <w:r w:rsidR="00B66C8F" w:rsidRPr="00391A67">
        <w:rPr>
          <w:spacing w:val="2"/>
          <w:szCs w:val="23"/>
        </w:rPr>
        <w:t>ispetto</w:t>
      </w:r>
      <w:r w:rsidR="00834C15" w:rsidRPr="00391A67">
        <w:rPr>
          <w:spacing w:val="2"/>
          <w:szCs w:val="23"/>
        </w:rPr>
        <w:t xml:space="preserve"> </w:t>
      </w:r>
      <w:r w:rsidRPr="00391A67">
        <w:rPr>
          <w:spacing w:val="2"/>
          <w:szCs w:val="23"/>
        </w:rPr>
        <w:t>alle persone e non costringendo invece i beneficiari ad adattarsi ai servizi esistenti</w:t>
      </w:r>
      <w:r w:rsidRPr="00391A67">
        <w:rPr>
          <w:rStyle w:val="Rimandonotaapidipagina"/>
          <w:spacing w:val="2"/>
          <w:szCs w:val="23"/>
        </w:rPr>
        <w:t> </w:t>
      </w:r>
      <w:r w:rsidRPr="00391A67">
        <w:rPr>
          <w:rStyle w:val="Rimandonotaapidipagina"/>
          <w:spacing w:val="2"/>
          <w:szCs w:val="23"/>
        </w:rPr>
        <w:footnoteReference w:id="44"/>
      </w:r>
      <w:r w:rsidRPr="00391A67">
        <w:rPr>
          <w:spacing w:val="2"/>
          <w:szCs w:val="23"/>
        </w:rPr>
        <w:t>.</w:t>
      </w:r>
    </w:p>
    <w:p w14:paraId="46AF29CD" w14:textId="5E668769" w:rsidR="00E92121" w:rsidRPr="0082560B" w:rsidRDefault="00E92121" w:rsidP="00E92121">
      <w:pPr>
        <w:pStyle w:val="Capoverso"/>
        <w:rPr>
          <w:szCs w:val="23"/>
        </w:rPr>
      </w:pPr>
      <w:r w:rsidRPr="00391A67">
        <w:rPr>
          <w:spacing w:val="2"/>
          <w:szCs w:val="23"/>
        </w:rPr>
        <w:lastRenderedPageBreak/>
        <w:t>Viene perciò a costituirsi una rinnovata e più articolata relazione tra i diritti degli individui, anche di rango fondamentale, e il potere pubblico, il quale non può essere ridotto al mero svolgimento di un’attività di semplice erogazione di un servizio, connotat</w:t>
      </w:r>
      <w:r w:rsidR="00962B1D" w:rsidRPr="00391A67">
        <w:rPr>
          <w:spacing w:val="2"/>
          <w:szCs w:val="23"/>
        </w:rPr>
        <w:t>o</w:t>
      </w:r>
      <w:r w:rsidRPr="00391A67">
        <w:rPr>
          <w:spacing w:val="2"/>
          <w:szCs w:val="23"/>
        </w:rPr>
        <w:t xml:space="preserve"> dal carattere della pariteticità, ma conserva elementi di discrezionalità (e quindi anche di </w:t>
      </w:r>
      <w:r w:rsidR="00DF4729">
        <w:rPr>
          <w:spacing w:val="2"/>
          <w:szCs w:val="23"/>
        </w:rPr>
        <w:t>imperativi</w:t>
      </w:r>
      <w:r w:rsidRPr="00391A67">
        <w:rPr>
          <w:spacing w:val="2"/>
          <w:szCs w:val="23"/>
        </w:rPr>
        <w:t>tà), stante la necessità di effettuare</w:t>
      </w:r>
      <w:r w:rsidRPr="0082560B">
        <w:rPr>
          <w:szCs w:val="23"/>
        </w:rPr>
        <w:t xml:space="preserve"> un adeguato componimento del r</w:t>
      </w:r>
      <w:r w:rsidR="00644A25">
        <w:rPr>
          <w:szCs w:val="23"/>
        </w:rPr>
        <w:t>i</w:t>
      </w:r>
      <w:r w:rsidRPr="0082560B">
        <w:rPr>
          <w:szCs w:val="23"/>
        </w:rPr>
        <w:t>detto rapporto, previo contemperamento delle posizioni in gioco in una condizione dinamica e non più statica</w:t>
      </w:r>
      <w:r w:rsidRPr="00BA7EA2">
        <w:rPr>
          <w:rStyle w:val="Rimandonotaapidipagina"/>
          <w:szCs w:val="23"/>
        </w:rPr>
        <w:t> </w:t>
      </w:r>
      <w:r w:rsidRPr="00BA7EA2">
        <w:rPr>
          <w:rStyle w:val="Rimandonotaapidipagina"/>
          <w:szCs w:val="23"/>
        </w:rPr>
        <w:footnoteReference w:id="45"/>
      </w:r>
      <w:r w:rsidRPr="0082560B">
        <w:rPr>
          <w:szCs w:val="23"/>
        </w:rPr>
        <w:t xml:space="preserve">. La natura complessa e il carattere composito del </w:t>
      </w:r>
      <w:r w:rsidR="00644A25">
        <w:rPr>
          <w:szCs w:val="23"/>
        </w:rPr>
        <w:t>legame</w:t>
      </w:r>
      <w:r w:rsidRPr="0082560B">
        <w:rPr>
          <w:szCs w:val="23"/>
        </w:rPr>
        <w:t xml:space="preserve"> richiedono il potenziamento delle </w:t>
      </w:r>
      <w:r w:rsidR="00962B1D">
        <w:rPr>
          <w:szCs w:val="23"/>
        </w:rPr>
        <w:t>s</w:t>
      </w:r>
      <w:r w:rsidRPr="0082560B">
        <w:rPr>
          <w:szCs w:val="23"/>
        </w:rPr>
        <w:t>trutture pubbliche titolari dei compiti di assistenza e l’ampliamento della sfera di valutazione in capo all</w:t>
      </w:r>
      <w:r w:rsidR="00B66C8F">
        <w:rPr>
          <w:szCs w:val="23"/>
        </w:rPr>
        <w:t>e</w:t>
      </w:r>
      <w:r w:rsidRPr="0082560B">
        <w:rPr>
          <w:szCs w:val="23"/>
        </w:rPr>
        <w:t xml:space="preserve"> stess</w:t>
      </w:r>
      <w:r w:rsidR="00B66C8F">
        <w:rPr>
          <w:szCs w:val="23"/>
        </w:rPr>
        <w:t>e</w:t>
      </w:r>
      <w:r w:rsidRPr="0082560B">
        <w:rPr>
          <w:szCs w:val="23"/>
        </w:rPr>
        <w:t>, proprio allo scopo di garantire al meglio la tutela dei destinatari dell’attività amministrativa</w:t>
      </w:r>
      <w:r w:rsidRPr="00BA7EA2">
        <w:rPr>
          <w:rStyle w:val="Rimandonotaapidipagina"/>
          <w:szCs w:val="23"/>
        </w:rPr>
        <w:t> </w:t>
      </w:r>
      <w:r w:rsidRPr="00BA7EA2">
        <w:rPr>
          <w:rStyle w:val="Rimandonotaapidipagina"/>
          <w:szCs w:val="23"/>
        </w:rPr>
        <w:footnoteReference w:id="46"/>
      </w:r>
      <w:r w:rsidRPr="0082560B">
        <w:rPr>
          <w:szCs w:val="23"/>
        </w:rPr>
        <w:t>.</w:t>
      </w:r>
    </w:p>
    <w:p w14:paraId="48E38805" w14:textId="1E65C2C7" w:rsidR="00E92121" w:rsidRPr="0082560B" w:rsidRDefault="00E92121" w:rsidP="00E92121">
      <w:pPr>
        <w:pStyle w:val="Capoverso"/>
        <w:rPr>
          <w:szCs w:val="23"/>
        </w:rPr>
      </w:pPr>
      <w:r w:rsidRPr="0082560B">
        <w:rPr>
          <w:szCs w:val="23"/>
        </w:rPr>
        <w:t xml:space="preserve">L’organizzazione delle strutture deputate all’erogazione del servizio, sia in termini di risorse sia di funzioni, non può che essere affidata alla </w:t>
      </w:r>
      <w:r w:rsidR="00A7480F">
        <w:rPr>
          <w:szCs w:val="23"/>
        </w:rPr>
        <w:t xml:space="preserve">valutazione </w:t>
      </w:r>
      <w:r w:rsidRPr="0082560B">
        <w:rPr>
          <w:szCs w:val="23"/>
        </w:rPr>
        <w:t>discrezional</w:t>
      </w:r>
      <w:r w:rsidR="00A7480F">
        <w:rPr>
          <w:szCs w:val="23"/>
        </w:rPr>
        <w:t>e</w:t>
      </w:r>
      <w:r w:rsidRPr="0082560B">
        <w:rPr>
          <w:szCs w:val="23"/>
        </w:rPr>
        <w:t xml:space="preserve"> degli Enti presso le quali sono incardinate, poiché ciò presuppone l’effettuazione di scelte legate all’impiego delle predette risorse in relazione alla loro disponibilità e in ordine all’impostazione del servizio, sulla base di diverse variabili (territoriali, legate alle condizioni della popolazione, al livello delle conoscenze specialistiche e alla loro accessibilità, ecc.)</w:t>
      </w:r>
      <w:r w:rsidRPr="00BA7EA2">
        <w:rPr>
          <w:rStyle w:val="Rimandonotaapidipagina"/>
          <w:szCs w:val="23"/>
        </w:rPr>
        <w:t> </w:t>
      </w:r>
      <w:r w:rsidRPr="00BA7EA2">
        <w:rPr>
          <w:rStyle w:val="Rimandonotaapidipagina"/>
          <w:szCs w:val="23"/>
        </w:rPr>
        <w:footnoteReference w:id="47"/>
      </w:r>
      <w:r w:rsidRPr="0082560B">
        <w:rPr>
          <w:szCs w:val="23"/>
        </w:rPr>
        <w:t>.</w:t>
      </w:r>
    </w:p>
    <w:p w14:paraId="5BE60CE5" w14:textId="5E445045" w:rsidR="00E92121" w:rsidRPr="00391A67" w:rsidRDefault="00E92121" w:rsidP="00E92121">
      <w:pPr>
        <w:pStyle w:val="Capoverso"/>
        <w:rPr>
          <w:spacing w:val="-2"/>
          <w:szCs w:val="23"/>
        </w:rPr>
      </w:pPr>
      <w:r w:rsidRPr="0082560B">
        <w:rPr>
          <w:szCs w:val="23"/>
        </w:rPr>
        <w:t xml:space="preserve">Tale conclusione non sembra confliggere con l’istituzione della figura del referente per l’attuazione del progetto di vita, cui è affidato, tra l’altro, anche </w:t>
      </w:r>
      <w:r w:rsidR="008B436B">
        <w:rPr>
          <w:szCs w:val="23"/>
        </w:rPr>
        <w:t>«</w:t>
      </w:r>
      <w:r w:rsidRPr="008B436B">
        <w:rPr>
          <w:i/>
          <w:iCs/>
          <w:szCs w:val="23"/>
        </w:rPr>
        <w:t>il compito di curare la realizzazione del progetto e dare impulso all’avvio dei servizi, degli interventi e delle prestazioni in esso previsti</w:t>
      </w:r>
      <w:r w:rsidR="008B436B">
        <w:rPr>
          <w:szCs w:val="23"/>
        </w:rPr>
        <w:t>»</w:t>
      </w:r>
      <w:r w:rsidRPr="00BA7EA2">
        <w:rPr>
          <w:rStyle w:val="Rimandonotaapidipagina"/>
          <w:szCs w:val="23"/>
        </w:rPr>
        <w:t> </w:t>
      </w:r>
      <w:r w:rsidRPr="00BA7EA2">
        <w:rPr>
          <w:rStyle w:val="Rimandonotaapidipagina"/>
          <w:szCs w:val="23"/>
        </w:rPr>
        <w:footnoteReference w:id="48"/>
      </w:r>
      <w:r w:rsidRPr="0082560B">
        <w:rPr>
          <w:szCs w:val="23"/>
        </w:rPr>
        <w:t xml:space="preserve">, </w:t>
      </w:r>
      <w:r w:rsidRPr="00391A67">
        <w:rPr>
          <w:spacing w:val="-2"/>
          <w:szCs w:val="23"/>
        </w:rPr>
        <w:t xml:space="preserve">poiché questa </w:t>
      </w:r>
      <w:r w:rsidR="00B66C8F" w:rsidRPr="00391A67">
        <w:rPr>
          <w:spacing w:val="-2"/>
          <w:szCs w:val="23"/>
        </w:rPr>
        <w:t xml:space="preserve">risulta essere </w:t>
      </w:r>
      <w:r w:rsidRPr="00391A67">
        <w:rPr>
          <w:spacing w:val="-2"/>
          <w:szCs w:val="23"/>
        </w:rPr>
        <w:t xml:space="preserve">una figura di coordinamento e di impulso piuttosto che un vero e proprio terminale operativo delle Amministrazioni coinvolte nell’attuazione </w:t>
      </w:r>
      <w:r w:rsidRPr="00391A67">
        <w:rPr>
          <w:spacing w:val="-2"/>
          <w:szCs w:val="23"/>
        </w:rPr>
        <w:lastRenderedPageBreak/>
        <w:t>del progetto, non essendo peraltro dotato di poteri di intervento e di spesa.</w:t>
      </w:r>
    </w:p>
    <w:p w14:paraId="2389884E" w14:textId="40EE1AE5" w:rsidR="00E92121" w:rsidRPr="0082560B" w:rsidRDefault="00E92121" w:rsidP="00E92121">
      <w:pPr>
        <w:pStyle w:val="Capoverso"/>
        <w:rPr>
          <w:szCs w:val="23"/>
        </w:rPr>
      </w:pPr>
      <w:r w:rsidRPr="0082560B">
        <w:rPr>
          <w:szCs w:val="23"/>
        </w:rPr>
        <w:t xml:space="preserve">Naturalmente la questione </w:t>
      </w:r>
      <w:r w:rsidR="00DF4729">
        <w:rPr>
          <w:szCs w:val="23"/>
        </w:rPr>
        <w:t xml:space="preserve">del reperimento </w:t>
      </w:r>
      <w:r w:rsidRPr="0082560B">
        <w:rPr>
          <w:szCs w:val="23"/>
        </w:rPr>
        <w:t xml:space="preserve">delle risorse – di qualsiasi genere, ovvero umane, finanziarie, strumentali, ecc. – assume una rilevanza centrale rispetto alle </w:t>
      </w:r>
      <w:r w:rsidR="00B66C8F">
        <w:rPr>
          <w:szCs w:val="23"/>
        </w:rPr>
        <w:t xml:space="preserve">conseguenti </w:t>
      </w:r>
      <w:r w:rsidRPr="0082560B">
        <w:rPr>
          <w:szCs w:val="23"/>
        </w:rPr>
        <w:t>successive scelte dell’Amministrazione, visto che soltanto la disponibilità di un’adeguata quantità di mezzi e di dotazioni rende possibile soddisfare in misura piena</w:t>
      </w:r>
      <w:r w:rsidR="00B66C8F">
        <w:rPr>
          <w:szCs w:val="23"/>
        </w:rPr>
        <w:t xml:space="preserve"> e </w:t>
      </w:r>
      <w:r w:rsidR="00B66C8F" w:rsidRPr="0082560B">
        <w:rPr>
          <w:szCs w:val="23"/>
        </w:rPr>
        <w:t>senza alcuna limitazione</w:t>
      </w:r>
      <w:r w:rsidRPr="0082560B">
        <w:rPr>
          <w:szCs w:val="23"/>
        </w:rPr>
        <w:t xml:space="preserve"> quelle che sono le esigenze manifestate dagli individui</w:t>
      </w:r>
      <w:r w:rsidR="00A7480F">
        <w:rPr>
          <w:szCs w:val="23"/>
        </w:rPr>
        <w:t xml:space="preserve"> con disabilità</w:t>
      </w:r>
      <w:r w:rsidRPr="00BA7EA2">
        <w:rPr>
          <w:rStyle w:val="Rimandonotaapidipagina"/>
          <w:szCs w:val="23"/>
        </w:rPr>
        <w:t> </w:t>
      </w:r>
      <w:r w:rsidRPr="00BA7EA2">
        <w:rPr>
          <w:rStyle w:val="Rimandonotaapidipagina"/>
          <w:szCs w:val="23"/>
        </w:rPr>
        <w:footnoteReference w:id="49"/>
      </w:r>
      <w:r w:rsidRPr="0082560B">
        <w:rPr>
          <w:szCs w:val="23"/>
        </w:rPr>
        <w:t xml:space="preserve">. L’adeguatezza delle risorse, però, non può essere stabilita procedendo esclusivamente a una verifica di tipo quali-quantitativo in ordine alla loro consistenza, ma deve necessariamente essere rapportata e riferita anche alle esigenze e alla ampiezza della platea di soggetti che hanno diritto </w:t>
      </w:r>
      <w:r w:rsidR="00644A25">
        <w:rPr>
          <w:szCs w:val="23"/>
        </w:rPr>
        <w:t>di</w:t>
      </w:r>
      <w:r w:rsidRPr="0082560B">
        <w:rPr>
          <w:szCs w:val="23"/>
        </w:rPr>
        <w:t xml:space="preserve"> beneficiare dell’intervento pubblico. In una situazione – come accade di regola – in cui non è possibile garantire la piena soddisfazione di tutti i bisogni, è compito dell’Amministrazione individuare le priorità degli interventi e la misura degli stessi, sia con riferimento ai soggetti destinatari dei benefici e dell’assistenza, sia con riguardo alla tipologia di ausilio da fornire a ciascuno</w:t>
      </w:r>
      <w:r w:rsidRPr="00BA7EA2">
        <w:rPr>
          <w:rStyle w:val="Rimandonotaapidipagina"/>
          <w:szCs w:val="23"/>
        </w:rPr>
        <w:t> </w:t>
      </w:r>
      <w:r w:rsidRPr="00BA7EA2">
        <w:rPr>
          <w:rStyle w:val="Rimandonotaapidipagina"/>
          <w:szCs w:val="23"/>
        </w:rPr>
        <w:footnoteReference w:id="50"/>
      </w:r>
      <w:r w:rsidRPr="0082560B">
        <w:rPr>
          <w:szCs w:val="23"/>
        </w:rPr>
        <w:t>.</w:t>
      </w:r>
    </w:p>
    <w:p w14:paraId="743CC101" w14:textId="0C5DD654" w:rsidR="002C3D0D" w:rsidRDefault="00E92121" w:rsidP="00391A67">
      <w:pPr>
        <w:pStyle w:val="Capoverso"/>
        <w:spacing w:line="272" w:lineRule="exact"/>
        <w:rPr>
          <w:szCs w:val="23"/>
        </w:rPr>
      </w:pPr>
      <w:r w:rsidRPr="0082560B">
        <w:rPr>
          <w:szCs w:val="23"/>
        </w:rPr>
        <w:t>Una tecnica peculiare per assicurare pienamente e integralmente alle persone con disabilità il godimento e l’esercizio, su base di uguaglianza con gli altri, di tutti i diritti umani e delle libertà fondamentali è quella dell’accomodamento ragionevole</w:t>
      </w:r>
      <w:r w:rsidRPr="00BA7EA2">
        <w:rPr>
          <w:rStyle w:val="Rimandonotaapidipagina"/>
          <w:szCs w:val="23"/>
        </w:rPr>
        <w:t> </w:t>
      </w:r>
      <w:r w:rsidRPr="00BA7EA2">
        <w:rPr>
          <w:rStyle w:val="Rimandonotaapidipagina"/>
          <w:szCs w:val="23"/>
        </w:rPr>
        <w:footnoteReference w:id="51"/>
      </w:r>
      <w:r w:rsidRPr="0082560B">
        <w:rPr>
          <w:szCs w:val="23"/>
        </w:rPr>
        <w:t>, espressamente richiamato dalla Convenzione delle Nazioni Unite sui diritti delle persone con disabilità del 2006</w:t>
      </w:r>
      <w:r w:rsidRPr="00BA7EA2">
        <w:rPr>
          <w:rStyle w:val="Rimandonotaapidipagina"/>
          <w:szCs w:val="23"/>
        </w:rPr>
        <w:t> </w:t>
      </w:r>
      <w:r w:rsidRPr="00BA7EA2">
        <w:rPr>
          <w:rStyle w:val="Rimandonotaapidipagina"/>
          <w:szCs w:val="23"/>
        </w:rPr>
        <w:footnoteReference w:id="52"/>
      </w:r>
      <w:r w:rsidRPr="0082560B">
        <w:rPr>
          <w:szCs w:val="23"/>
        </w:rPr>
        <w:t xml:space="preserve">: </w:t>
      </w:r>
      <w:r w:rsidR="008B436B">
        <w:rPr>
          <w:szCs w:val="23"/>
        </w:rPr>
        <w:t>«</w:t>
      </w:r>
      <w:r w:rsidRPr="008B436B">
        <w:rPr>
          <w:i/>
          <w:iCs/>
          <w:szCs w:val="23"/>
        </w:rPr>
        <w:t xml:space="preserve">nei casi in </w:t>
      </w:r>
      <w:r w:rsidRPr="008B436B">
        <w:rPr>
          <w:i/>
          <w:iCs/>
          <w:szCs w:val="23"/>
        </w:rPr>
        <w:lastRenderedPageBreak/>
        <w:t xml:space="preserve">cui l’applicazione delle disposizioni di legge non </w:t>
      </w:r>
      <w:proofErr w:type="spellStart"/>
      <w:r w:rsidRPr="008B436B">
        <w:rPr>
          <w:i/>
          <w:iCs/>
          <w:szCs w:val="23"/>
        </w:rPr>
        <w:t>garantisca</w:t>
      </w:r>
      <w:proofErr w:type="spellEnd"/>
      <w:r w:rsidRPr="008B436B">
        <w:rPr>
          <w:i/>
          <w:iCs/>
          <w:szCs w:val="23"/>
        </w:rPr>
        <w:t xml:space="preserve"> alle persone con disabilità il godimento e l’effettivo e tempestivo esercizio, su base di uguaglianza con gli altri, di tutti i diritti umani e delle libertà fondamentali, l’accomodamento ragionevole (…) individua le misure e gli adattamenti necessari, pertinenti, appropriati e adeguati, che non impongano un onere sproporzionato o eccessivo al soggetto obbligato. (…) L’accomodamento ragionevole è attivato in via sussidiaria e non sostituisce né limita il diritto al pieno accesso alle prestazioni, ai servizi e ai sostegni riconosciuti dalla legislazione vigente</w:t>
      </w:r>
      <w:r w:rsidR="008B436B">
        <w:rPr>
          <w:szCs w:val="23"/>
        </w:rPr>
        <w:t>»</w:t>
      </w:r>
      <w:r w:rsidRPr="00BA7EA2">
        <w:rPr>
          <w:rStyle w:val="Rimandonotaapidipagina"/>
          <w:szCs w:val="23"/>
        </w:rPr>
        <w:t> </w:t>
      </w:r>
      <w:r w:rsidRPr="00BA7EA2">
        <w:rPr>
          <w:rStyle w:val="Rimandonotaapidipagina"/>
          <w:szCs w:val="23"/>
        </w:rPr>
        <w:footnoteReference w:id="53"/>
      </w:r>
      <w:r w:rsidRPr="0082560B">
        <w:rPr>
          <w:szCs w:val="23"/>
        </w:rPr>
        <w:t>. In tal modo, anche in carenza o scarsità di risorse a disposizione, si impone ai soggetti obbligati – in specie a quelli appartenenti alla sfera pubblica – di riconoscere e garantire alle persone disabili il pieno esercizio dei diritti fondamentali, in parità di condizioni con gli altri soggetti, seppure perseguendo l’obiettivo di bilanciare l’effettività di siffatte garanzie con un utilizzo accorto e non eccedente delle risorse a ciò necessarie. Tuttavia, le misure di accomodamento, in quanto aventi natura sussidiaria, possono (e debbono) essere riferite soltanto ai casi in cui la persona si trovi solo parzialmente impedita nell’esercizio di un proprio diritto o libertà fondamentale</w:t>
      </w:r>
      <w:r w:rsidR="00E348B1" w:rsidRPr="00391A67">
        <w:rPr>
          <w:szCs w:val="23"/>
          <w:vertAlign w:val="superscript"/>
        </w:rPr>
        <w:t>°</w:t>
      </w:r>
      <w:r w:rsidR="00E348B1">
        <w:rPr>
          <w:rStyle w:val="Rimandonotaapidipagina"/>
          <w:szCs w:val="23"/>
        </w:rPr>
        <w:footnoteReference w:id="54"/>
      </w:r>
      <w:r w:rsidRPr="0082560B">
        <w:rPr>
          <w:szCs w:val="23"/>
        </w:rPr>
        <w:t>, mentre non sono praticabili con riguardo ai servizi o alle prestazioni inerenti al contenuto minimo e al nucleo essenziale del diritto, non potendo il soggetto onerato</w:t>
      </w:r>
      <w:r w:rsidR="00787962">
        <w:rPr>
          <w:szCs w:val="23"/>
        </w:rPr>
        <w:t>,</w:t>
      </w:r>
      <w:r w:rsidRPr="0082560B">
        <w:rPr>
          <w:szCs w:val="23"/>
        </w:rPr>
        <w:t xml:space="preserve"> in siffatti frangenti</w:t>
      </w:r>
      <w:r w:rsidR="00787962">
        <w:rPr>
          <w:szCs w:val="23"/>
        </w:rPr>
        <w:t>,</w:t>
      </w:r>
      <w:r w:rsidRPr="0082560B">
        <w:rPr>
          <w:szCs w:val="23"/>
        </w:rPr>
        <w:t xml:space="preserve"> rifiutarsi di adempiere integralmente al proprio compito, </w:t>
      </w:r>
      <w:r w:rsidR="00787962">
        <w:rPr>
          <w:szCs w:val="23"/>
        </w:rPr>
        <w:t xml:space="preserve">adducendo a </w:t>
      </w:r>
      <w:r w:rsidRPr="0082560B">
        <w:rPr>
          <w:szCs w:val="23"/>
        </w:rPr>
        <w:t>giustifica</w:t>
      </w:r>
      <w:r w:rsidR="00787962">
        <w:rPr>
          <w:szCs w:val="23"/>
        </w:rPr>
        <w:t xml:space="preserve">zione del proprio </w:t>
      </w:r>
      <w:r w:rsidR="003504A3">
        <w:rPr>
          <w:szCs w:val="23"/>
        </w:rPr>
        <w:t>diniego</w:t>
      </w:r>
      <w:r w:rsidRPr="0082560B">
        <w:rPr>
          <w:szCs w:val="23"/>
        </w:rPr>
        <w:t xml:space="preserve"> la mancanza dei requisiti di ragionevolezza e proporzionalità delle misure</w:t>
      </w:r>
      <w:r w:rsidRPr="00BA7EA2">
        <w:rPr>
          <w:rStyle w:val="Rimandonotaapidipagina"/>
          <w:szCs w:val="23"/>
        </w:rPr>
        <w:t> </w:t>
      </w:r>
      <w:r w:rsidRPr="00BA7EA2">
        <w:rPr>
          <w:rStyle w:val="Rimandonotaapidipagina"/>
          <w:szCs w:val="23"/>
        </w:rPr>
        <w:footnoteReference w:id="55"/>
      </w:r>
      <w:r w:rsidRPr="0082560B">
        <w:rPr>
          <w:szCs w:val="23"/>
        </w:rPr>
        <w:t xml:space="preserve">. </w:t>
      </w:r>
    </w:p>
    <w:p w14:paraId="6E3EED61" w14:textId="06F40EBD" w:rsidR="00E92121" w:rsidRPr="0082560B" w:rsidRDefault="00E92121" w:rsidP="00391A67">
      <w:pPr>
        <w:pStyle w:val="Capoverso"/>
        <w:spacing w:line="272" w:lineRule="exact"/>
        <w:rPr>
          <w:szCs w:val="23"/>
        </w:rPr>
      </w:pPr>
      <w:r w:rsidRPr="0082560B">
        <w:rPr>
          <w:szCs w:val="23"/>
        </w:rPr>
        <w:t>Come appena rilevato, anche in fase di individuazione delle misure di accomodamento ragionevole si richiede l’esercizio di un potere discrezionale in capo all’Amministrazione coinvolta, che deve contemperare le esigenze (</w:t>
      </w:r>
      <w:r w:rsidR="00CD0688">
        <w:rPr>
          <w:szCs w:val="23"/>
        </w:rPr>
        <w:t xml:space="preserve">solo qualora </w:t>
      </w:r>
      <w:r w:rsidRPr="0082560B">
        <w:rPr>
          <w:szCs w:val="23"/>
        </w:rPr>
        <w:t xml:space="preserve">non essenziali) del disabile con quelle di corretta e ottimale allocazione delle risorse disponibili, stabilendo una proporzionalità tra le </w:t>
      </w:r>
      <w:r w:rsidRPr="0082560B">
        <w:rPr>
          <w:szCs w:val="23"/>
        </w:rPr>
        <w:lastRenderedPageBreak/>
        <w:t>contrapposte finalità, in assenza di criteri normativi o di regole tecniche e scientifiche che possano orientarne l’azione</w:t>
      </w:r>
      <w:r w:rsidRPr="00BA7EA2">
        <w:rPr>
          <w:rStyle w:val="Rimandonotaapidipagina"/>
          <w:szCs w:val="23"/>
        </w:rPr>
        <w:t> </w:t>
      </w:r>
      <w:r w:rsidRPr="00BA7EA2">
        <w:rPr>
          <w:rStyle w:val="Rimandonotaapidipagina"/>
          <w:szCs w:val="23"/>
        </w:rPr>
        <w:footnoteReference w:id="56"/>
      </w:r>
      <w:r w:rsidRPr="0082560B">
        <w:rPr>
          <w:szCs w:val="23"/>
        </w:rPr>
        <w:t xml:space="preserve">. Risulta evidente pure in questo caso che l’erogazione delle prestazioni è comunque strettamente dipendente dalla sussistenza e dal reperimento di risorse </w:t>
      </w:r>
      <w:r w:rsidR="00CD0688">
        <w:rPr>
          <w:szCs w:val="23"/>
        </w:rPr>
        <w:t>da destinare al</w:t>
      </w:r>
      <w:r w:rsidRPr="0082560B">
        <w:rPr>
          <w:szCs w:val="23"/>
        </w:rPr>
        <w:t>lo scopo.</w:t>
      </w:r>
    </w:p>
    <w:p w14:paraId="7F25824B" w14:textId="098A8B6D" w:rsidR="00E92121" w:rsidRPr="00391A67" w:rsidRDefault="00E92121" w:rsidP="00391A67">
      <w:pPr>
        <w:pStyle w:val="Capoverso"/>
        <w:spacing w:line="272" w:lineRule="exact"/>
        <w:rPr>
          <w:spacing w:val="2"/>
          <w:szCs w:val="23"/>
        </w:rPr>
      </w:pPr>
      <w:r w:rsidRPr="00391A67">
        <w:rPr>
          <w:spacing w:val="2"/>
          <w:szCs w:val="23"/>
        </w:rPr>
        <w:t xml:space="preserve">La disponibilità limitata di </w:t>
      </w:r>
      <w:r w:rsidR="00C5642B" w:rsidRPr="00391A67">
        <w:rPr>
          <w:spacing w:val="2"/>
          <w:szCs w:val="23"/>
        </w:rPr>
        <w:t>mezzi e di strumenti</w:t>
      </w:r>
      <w:r w:rsidRPr="00391A67">
        <w:rPr>
          <w:rStyle w:val="Rimandonotaapidipagina"/>
          <w:spacing w:val="2"/>
          <w:szCs w:val="23"/>
        </w:rPr>
        <w:t> </w:t>
      </w:r>
      <w:r w:rsidRPr="00391A67">
        <w:rPr>
          <w:rStyle w:val="Rimandonotaapidipagina"/>
          <w:spacing w:val="2"/>
          <w:szCs w:val="23"/>
        </w:rPr>
        <w:footnoteReference w:id="57"/>
      </w:r>
      <w:r w:rsidRPr="00391A67">
        <w:rPr>
          <w:spacing w:val="2"/>
          <w:szCs w:val="23"/>
        </w:rPr>
        <w:t xml:space="preserve"> – che per l’ordinamento italiano è conseguenza anche dei vincoli di bilancio imposti dall’appartenenza all’Unione europea – richiede l’effettuazione di scelte, di natura prettamente politica, anche più a monte rispetto a quelle relative alle modalità di erogazione dell’assistenza ai soggetti con disabilità, in quanto si deve preliminarmente stabilire come reperire la provvista finanziaria che deve poi essere impiegata per sostenere tutto il sistema di welfare: si può decidere di ricorrere alla fiscalità generale, aumentando la pressione tributaria sull’intera massa dei contribuenti, oppure ricorrere a tasse di scopo, oppure ancora creare delle forme di compartecipazione obbligatoria in capo ai beneficiari delle misure, </w:t>
      </w:r>
      <w:r w:rsidR="00A7480F">
        <w:rPr>
          <w:spacing w:val="2"/>
          <w:szCs w:val="23"/>
        </w:rPr>
        <w:t xml:space="preserve">laddove questi ultimi abbiano </w:t>
      </w:r>
      <w:r w:rsidRPr="00391A67">
        <w:rPr>
          <w:spacing w:val="2"/>
          <w:szCs w:val="23"/>
        </w:rPr>
        <w:t>un reddito adeguato; è possibile ricorrere anche a una combinazione di tutte queste misure in proporzioni variabili.</w:t>
      </w:r>
    </w:p>
    <w:p w14:paraId="5D04725A" w14:textId="7F070683" w:rsidR="00E92121" w:rsidRPr="0082560B" w:rsidRDefault="00E92121" w:rsidP="00391A67">
      <w:pPr>
        <w:pStyle w:val="Capoverso"/>
        <w:spacing w:line="272" w:lineRule="exact"/>
        <w:rPr>
          <w:szCs w:val="23"/>
        </w:rPr>
      </w:pPr>
      <w:r w:rsidRPr="0082560B">
        <w:rPr>
          <w:szCs w:val="23"/>
        </w:rPr>
        <w:t xml:space="preserve">Non bisogna poi dimenticare che la Costituzione non impone di intervenire soltanto nel settore della disabilità (art. 38), ma prevede altresì il diritto di asilo per gli stranieri perseguitati nel loro Paese (art. 10), le cure gratuite per gli indigenti (art. 32), l’istruzione gratuita per le scuole inferiori e per i capaci e meritevoli privi di mezzi (art. 34), la garanzia dei livelli essenziali delle prestazioni concernenti i diritti civili e sociali su tutto il territorio nazionale (art. 117, </w:t>
      </w:r>
      <w:r w:rsidR="00A7480F">
        <w:rPr>
          <w:szCs w:val="23"/>
        </w:rPr>
        <w:t xml:space="preserve">secondo </w:t>
      </w:r>
      <w:r w:rsidRPr="0082560B">
        <w:rPr>
          <w:szCs w:val="23"/>
        </w:rPr>
        <w:t xml:space="preserve">comma, lett. </w:t>
      </w:r>
      <w:r w:rsidRPr="008B436B">
        <w:rPr>
          <w:i/>
          <w:iCs/>
          <w:szCs w:val="23"/>
        </w:rPr>
        <w:t>m</w:t>
      </w:r>
      <w:r w:rsidRPr="0082560B">
        <w:rPr>
          <w:szCs w:val="23"/>
        </w:rPr>
        <w:t>). Le prestazioni connesse ai richiamati diritti fondamentali – cui poi vanno aggiunte quelle individuate dal legislatore ordinario (ad esempio, la cassa integrazione per i lavoratori, oppure i ristori attribuiti in periodo di pandemia) – devono essere con</w:t>
      </w:r>
      <w:r w:rsidR="00713C4C">
        <w:rPr>
          <w:szCs w:val="23"/>
        </w:rPr>
        <w:t>cilia</w:t>
      </w:r>
      <w:r w:rsidRPr="0082560B">
        <w:rPr>
          <w:szCs w:val="23"/>
        </w:rPr>
        <w:t>te tra di loro e quindi anche in tal caso è necessario procedere a scelte, innanzitutto politiche, che individuano le fonti d</w:t>
      </w:r>
      <w:r w:rsidR="008B3EBD">
        <w:rPr>
          <w:szCs w:val="23"/>
        </w:rPr>
        <w:t xml:space="preserve">a cui </w:t>
      </w:r>
      <w:r w:rsidR="009C5307">
        <w:rPr>
          <w:szCs w:val="23"/>
        </w:rPr>
        <w:t>app</w:t>
      </w:r>
      <w:r w:rsidR="008B3EBD">
        <w:rPr>
          <w:szCs w:val="23"/>
        </w:rPr>
        <w:t>re</w:t>
      </w:r>
      <w:r w:rsidR="009C5307">
        <w:rPr>
          <w:szCs w:val="23"/>
        </w:rPr>
        <w:t>nd</w:t>
      </w:r>
      <w:r w:rsidR="008B3EBD">
        <w:rPr>
          <w:szCs w:val="23"/>
        </w:rPr>
        <w:t xml:space="preserve">ere </w:t>
      </w:r>
      <w:r w:rsidRPr="0082560B">
        <w:rPr>
          <w:szCs w:val="23"/>
        </w:rPr>
        <w:t>le risorse e poi i criteri per ripartirle tra i vari ambiti</w:t>
      </w:r>
      <w:r w:rsidRPr="00BA7EA2">
        <w:rPr>
          <w:rStyle w:val="Rimandonotaapidipagina"/>
          <w:szCs w:val="23"/>
        </w:rPr>
        <w:t> </w:t>
      </w:r>
      <w:r w:rsidRPr="00BA7EA2">
        <w:rPr>
          <w:rStyle w:val="Rimandonotaapidipagina"/>
          <w:szCs w:val="23"/>
        </w:rPr>
        <w:footnoteReference w:id="58"/>
      </w:r>
      <w:r w:rsidRPr="0082560B">
        <w:rPr>
          <w:szCs w:val="23"/>
        </w:rPr>
        <w:t>.</w:t>
      </w:r>
    </w:p>
    <w:p w14:paraId="0EA3D152" w14:textId="77777777" w:rsidR="00E92121" w:rsidRPr="001F1D70" w:rsidRDefault="00E92121" w:rsidP="00E92121">
      <w:pPr>
        <w:pStyle w:val="Titolo4"/>
      </w:pPr>
      <w:bookmarkStart w:id="9" w:name="_Toc208319532"/>
      <w:r w:rsidRPr="00E10043">
        <w:rPr>
          <w:i w:val="0"/>
        </w:rPr>
        <w:lastRenderedPageBreak/>
        <w:t xml:space="preserve">4. </w:t>
      </w:r>
      <w:r w:rsidRPr="008E35C6">
        <w:t>Individuazione del giudice munito di giurisdizione</w:t>
      </w:r>
      <w:bookmarkEnd w:id="9"/>
    </w:p>
    <w:p w14:paraId="3DA1FC79" w14:textId="0C0B2741" w:rsidR="00E92121" w:rsidRPr="0082560B" w:rsidRDefault="00E92121" w:rsidP="00E92121">
      <w:pPr>
        <w:pStyle w:val="Capoverso"/>
        <w:rPr>
          <w:szCs w:val="23"/>
        </w:rPr>
      </w:pPr>
      <w:r w:rsidRPr="0082560B">
        <w:rPr>
          <w:szCs w:val="23"/>
        </w:rPr>
        <w:t xml:space="preserve">Una volta </w:t>
      </w:r>
      <w:r w:rsidR="00713C4C">
        <w:rPr>
          <w:szCs w:val="23"/>
        </w:rPr>
        <w:t>d</w:t>
      </w:r>
      <w:r w:rsidR="00C5642B">
        <w:rPr>
          <w:szCs w:val="23"/>
        </w:rPr>
        <w:t>escrit</w:t>
      </w:r>
      <w:r w:rsidRPr="0082560B">
        <w:rPr>
          <w:szCs w:val="23"/>
        </w:rPr>
        <w:t xml:space="preserve">te, seppur sommariamente, le questioni sostanziali che vengono in rilievo in sede di predisposizione e approvazione del progetto di vita deve porsi l’attenzione sugli strumenti di tutela giurisdizionale che l’ordinamento appresta al fine di garantire ai destinatari/beneficiari di tali progetti l’adeguatezza e l’appropriatezza dello strumento nella fase di elaborazione e successivamente il conseguimento degli obiettivi nello stesso </w:t>
      </w:r>
      <w:r w:rsidR="00713C4C">
        <w:rPr>
          <w:szCs w:val="23"/>
        </w:rPr>
        <w:t>previs</w:t>
      </w:r>
      <w:r w:rsidRPr="0082560B">
        <w:rPr>
          <w:szCs w:val="23"/>
        </w:rPr>
        <w:t>ti.</w:t>
      </w:r>
    </w:p>
    <w:p w14:paraId="0A5F84F4" w14:textId="77777777" w:rsidR="00E92121" w:rsidRPr="0082560B" w:rsidRDefault="00E92121" w:rsidP="00E92121">
      <w:pPr>
        <w:pStyle w:val="Capoverso"/>
        <w:rPr>
          <w:szCs w:val="23"/>
        </w:rPr>
      </w:pPr>
      <w:r w:rsidRPr="0082560B">
        <w:rPr>
          <w:szCs w:val="23"/>
        </w:rPr>
        <w:t xml:space="preserve">Naturalmente, nessun dubbio può sussistere in ordine alla </w:t>
      </w:r>
      <w:proofErr w:type="spellStart"/>
      <w:r w:rsidRPr="0082560B">
        <w:rPr>
          <w:szCs w:val="23"/>
        </w:rPr>
        <w:t>giustiziabilità</w:t>
      </w:r>
      <w:proofErr w:type="spellEnd"/>
      <w:r w:rsidRPr="0082560B">
        <w:rPr>
          <w:szCs w:val="23"/>
        </w:rPr>
        <w:t xml:space="preserve"> delle vicende connesse ai vari aspetti afferenti al progetto di vita – elaborazione, approvazione e attuazione – stante l’ampia previsione dell’art. 24 Cost. che garantisce a tutti il diritto (di rango fondamentale, oltre che inviolabile</w:t>
      </w:r>
      <w:r w:rsidRPr="00BA7EA2">
        <w:rPr>
          <w:rStyle w:val="Rimandonotaapidipagina"/>
          <w:szCs w:val="23"/>
        </w:rPr>
        <w:t> </w:t>
      </w:r>
      <w:r w:rsidRPr="00BA7EA2">
        <w:rPr>
          <w:rStyle w:val="Rimandonotaapidipagina"/>
          <w:szCs w:val="23"/>
        </w:rPr>
        <w:footnoteReference w:id="59"/>
      </w:r>
      <w:r w:rsidRPr="000A13C1">
        <w:rPr>
          <w:szCs w:val="23"/>
        </w:rPr>
        <w:t>)</w:t>
      </w:r>
      <w:r w:rsidRPr="0082560B">
        <w:rPr>
          <w:szCs w:val="23"/>
        </w:rPr>
        <w:t xml:space="preserve"> di poter agire in giudizio per la tutela dei propri diritti e interessi legittimi</w:t>
      </w:r>
      <w:r w:rsidRPr="00BA7EA2">
        <w:rPr>
          <w:rStyle w:val="Rimandonotaapidipagina"/>
          <w:szCs w:val="23"/>
        </w:rPr>
        <w:t> </w:t>
      </w:r>
      <w:r w:rsidRPr="00BA7EA2">
        <w:rPr>
          <w:rStyle w:val="Rimandonotaapidipagina"/>
          <w:szCs w:val="23"/>
        </w:rPr>
        <w:footnoteReference w:id="60"/>
      </w:r>
      <w:r w:rsidRPr="0082560B">
        <w:rPr>
          <w:szCs w:val="23"/>
        </w:rPr>
        <w:t>.</w:t>
      </w:r>
    </w:p>
    <w:p w14:paraId="0D7C33B3" w14:textId="77777777" w:rsidR="00E92121" w:rsidRPr="0082560B" w:rsidRDefault="00E92121" w:rsidP="00E92121">
      <w:pPr>
        <w:pStyle w:val="Capoverso"/>
        <w:rPr>
          <w:szCs w:val="23"/>
        </w:rPr>
      </w:pPr>
      <w:r w:rsidRPr="0082560B">
        <w:rPr>
          <w:szCs w:val="23"/>
        </w:rPr>
        <w:t xml:space="preserve">Tuttavia, nei settori in cui la pretesa sostanziale dell’individuo non può </w:t>
      </w:r>
      <w:r w:rsidRPr="0082560B">
        <w:rPr>
          <w:szCs w:val="23"/>
        </w:rPr>
        <w:lastRenderedPageBreak/>
        <w:t xml:space="preserve">essere conseguita </w:t>
      </w:r>
      <w:r w:rsidRPr="008B436B">
        <w:rPr>
          <w:i/>
          <w:iCs/>
          <w:szCs w:val="23"/>
        </w:rPr>
        <w:t>ex se</w:t>
      </w:r>
      <w:r w:rsidRPr="0082560B">
        <w:rPr>
          <w:szCs w:val="23"/>
        </w:rPr>
        <w:t>, ma richiede il necessario intervento e una mediazione da parte dell’Amministrazione pubblica è preliminare procedere all’individuazione del plesso giurisdizionale al quale è attribuito il compito di dirimere le relative controversie.</w:t>
      </w:r>
    </w:p>
    <w:p w14:paraId="70D81033" w14:textId="6F89B8C4" w:rsidR="00E92121" w:rsidRPr="0082560B" w:rsidRDefault="00E92121" w:rsidP="00E92121">
      <w:pPr>
        <w:pStyle w:val="Capoverso"/>
        <w:rPr>
          <w:szCs w:val="23"/>
        </w:rPr>
      </w:pPr>
      <w:r w:rsidRPr="0082560B">
        <w:rPr>
          <w:szCs w:val="23"/>
        </w:rPr>
        <w:t>Difatti deve rilevarsi che, sebbene il nostro ordinamento riconosca l’unità funzionale della giurisdizione, è prevista dalla stessa Costituzione una divisione organica della stessa</w:t>
      </w:r>
      <w:r w:rsidRPr="00BA7EA2">
        <w:rPr>
          <w:rStyle w:val="Rimandonotaapidipagina"/>
          <w:szCs w:val="23"/>
        </w:rPr>
        <w:t> </w:t>
      </w:r>
      <w:r w:rsidRPr="00BA7EA2">
        <w:rPr>
          <w:rStyle w:val="Rimandonotaapidipagina"/>
          <w:szCs w:val="23"/>
        </w:rPr>
        <w:footnoteReference w:id="61"/>
      </w:r>
      <w:r w:rsidRPr="0082560B">
        <w:rPr>
          <w:szCs w:val="23"/>
        </w:rPr>
        <w:t>, come reso evidente dalla presenza di diversi ordini di giudici che si occupano, in via esclusiva, dei vari segmenti della funzione giurisdizionale, la cui individuazione scaturisce dalla posizione giuridica soggettiva azionata oppure avuto riguardo alla materia trattata</w:t>
      </w:r>
      <w:r w:rsidRPr="00BA7EA2">
        <w:rPr>
          <w:rStyle w:val="Rimandonotaapidipagina"/>
          <w:szCs w:val="23"/>
        </w:rPr>
        <w:t> </w:t>
      </w:r>
      <w:r w:rsidRPr="00BA7EA2">
        <w:rPr>
          <w:rStyle w:val="Rimandonotaapidipagina"/>
          <w:szCs w:val="23"/>
        </w:rPr>
        <w:footnoteReference w:id="62"/>
      </w:r>
      <w:r w:rsidRPr="0082560B">
        <w:rPr>
          <w:szCs w:val="23"/>
        </w:rPr>
        <w:t>; tale assetto è legato alla specializzazione di ogni plesso giurisdizionale che, essendo in possesso di specifiche e peculiari competenze, è in grado di fornire una più adeguata risposta alla domanda di giustizia</w:t>
      </w:r>
      <w:r w:rsidRPr="00BA7EA2">
        <w:rPr>
          <w:rStyle w:val="Rimandonotaapidipagina"/>
          <w:szCs w:val="23"/>
        </w:rPr>
        <w:t> </w:t>
      </w:r>
      <w:r w:rsidRPr="00BA7EA2">
        <w:rPr>
          <w:rStyle w:val="Rimandonotaapidipagina"/>
          <w:szCs w:val="23"/>
        </w:rPr>
        <w:footnoteReference w:id="63"/>
      </w:r>
      <w:r w:rsidRPr="0082560B">
        <w:rPr>
          <w:szCs w:val="23"/>
        </w:rPr>
        <w:t xml:space="preserve">. Ciò peraltro sembra </w:t>
      </w:r>
      <w:r w:rsidR="001A0FA0">
        <w:rPr>
          <w:szCs w:val="23"/>
        </w:rPr>
        <w:t xml:space="preserve">almeno in parte contraddetto </w:t>
      </w:r>
      <w:r w:rsidRPr="0082560B">
        <w:rPr>
          <w:szCs w:val="23"/>
        </w:rPr>
        <w:t>d</w:t>
      </w:r>
      <w:r w:rsidR="001A0FA0">
        <w:rPr>
          <w:szCs w:val="23"/>
        </w:rPr>
        <w:t>al</w:t>
      </w:r>
      <w:r w:rsidRPr="0082560B">
        <w:rPr>
          <w:szCs w:val="23"/>
        </w:rPr>
        <w:t xml:space="preserve">l’assunto secondo il quale l’attribuzione della controversia a un ambito giurisdizionale piuttosto che a un altro non dovrebbe produrre conseguenze sotto il profilo dell’effettività della tutela sostanziale, </w:t>
      </w:r>
      <w:r w:rsidR="00713C4C">
        <w:rPr>
          <w:szCs w:val="23"/>
        </w:rPr>
        <w:t xml:space="preserve">stante il </w:t>
      </w:r>
      <w:r w:rsidRPr="0082560B">
        <w:rPr>
          <w:szCs w:val="23"/>
        </w:rPr>
        <w:t>dove</w:t>
      </w:r>
      <w:r w:rsidR="00713C4C">
        <w:rPr>
          <w:szCs w:val="23"/>
        </w:rPr>
        <w:t xml:space="preserve">re </w:t>
      </w:r>
      <w:r w:rsidRPr="0082560B">
        <w:rPr>
          <w:szCs w:val="23"/>
        </w:rPr>
        <w:t>d</w:t>
      </w:r>
      <w:r w:rsidR="00713C4C">
        <w:rPr>
          <w:szCs w:val="23"/>
        </w:rPr>
        <w:t>i</w:t>
      </w:r>
      <w:r w:rsidRPr="0082560B">
        <w:rPr>
          <w:szCs w:val="23"/>
        </w:rPr>
        <w:t xml:space="preserve"> ogni singolo apparato giurisdizionale </w:t>
      </w:r>
      <w:r w:rsidR="00713C4C">
        <w:rPr>
          <w:szCs w:val="23"/>
        </w:rPr>
        <w:t xml:space="preserve">di </w:t>
      </w:r>
      <w:r w:rsidRPr="0082560B">
        <w:rPr>
          <w:szCs w:val="23"/>
        </w:rPr>
        <w:t>assicurarla in maniera piena e adeguata.</w:t>
      </w:r>
    </w:p>
    <w:p w14:paraId="2BF25AE2" w14:textId="4B91CA66" w:rsidR="00E92121" w:rsidRPr="0082560B" w:rsidRDefault="00E92121" w:rsidP="00391A67">
      <w:pPr>
        <w:pStyle w:val="Capoverso"/>
        <w:spacing w:line="266" w:lineRule="exact"/>
        <w:rPr>
          <w:szCs w:val="23"/>
        </w:rPr>
      </w:pPr>
      <w:r w:rsidRPr="0082560B">
        <w:rPr>
          <w:szCs w:val="23"/>
        </w:rPr>
        <w:t>Nella materia oggetto di trattazione, come già rilevato in precedenza, vengono in essere certamente delle posizioni di diritto</w:t>
      </w:r>
      <w:r w:rsidR="001A0FA0">
        <w:rPr>
          <w:szCs w:val="23"/>
        </w:rPr>
        <w:t xml:space="preserve"> soggettivo</w:t>
      </w:r>
      <w:r w:rsidRPr="0082560B">
        <w:rPr>
          <w:szCs w:val="23"/>
        </w:rPr>
        <w:t>, di cui è titolare il soggetto disabile, a beneficio del quale deve essere predisposto</w:t>
      </w:r>
      <w:r w:rsidR="00250696">
        <w:rPr>
          <w:szCs w:val="23"/>
        </w:rPr>
        <w:t>,</w:t>
      </w:r>
      <w:r w:rsidRPr="0082560B">
        <w:rPr>
          <w:szCs w:val="23"/>
        </w:rPr>
        <w:t xml:space="preserve"> approvato </w:t>
      </w:r>
      <w:r w:rsidR="00250696">
        <w:rPr>
          <w:szCs w:val="23"/>
        </w:rPr>
        <w:t xml:space="preserve">e attuato </w:t>
      </w:r>
      <w:r w:rsidRPr="0082560B">
        <w:rPr>
          <w:szCs w:val="23"/>
        </w:rPr>
        <w:t>il progetto di vita</w:t>
      </w:r>
      <w:r w:rsidRPr="00BA7EA2">
        <w:rPr>
          <w:rStyle w:val="Rimandonotaapidipagina"/>
          <w:szCs w:val="23"/>
        </w:rPr>
        <w:t> </w:t>
      </w:r>
      <w:r w:rsidRPr="00BA7EA2">
        <w:rPr>
          <w:rStyle w:val="Rimandonotaapidipagina"/>
          <w:szCs w:val="23"/>
        </w:rPr>
        <w:footnoteReference w:id="64"/>
      </w:r>
      <w:r w:rsidRPr="0082560B">
        <w:rPr>
          <w:szCs w:val="23"/>
        </w:rPr>
        <w:t>; siffatta posizione</w:t>
      </w:r>
      <w:r w:rsidR="00537000">
        <w:rPr>
          <w:szCs w:val="23"/>
        </w:rPr>
        <w:t xml:space="preserve"> di diritto</w:t>
      </w:r>
      <w:r w:rsidRPr="0082560B">
        <w:rPr>
          <w:szCs w:val="23"/>
        </w:rPr>
        <w:t xml:space="preserve"> però si intreccia con l’attività che deve necessariamente porre in essere l’Amministrazione, alla quale spetta il compito di concorrere alla predisposizione e all’approvazione del citato progetto e poi di mettere a disposizione le risorse finanziarie, strumentali e umane per la sua concreta attuazione</w:t>
      </w:r>
      <w:r w:rsidRPr="00BA7EA2">
        <w:rPr>
          <w:rStyle w:val="Rimandonotaapidipagina"/>
          <w:szCs w:val="23"/>
        </w:rPr>
        <w:t> </w:t>
      </w:r>
      <w:r w:rsidRPr="00BA7EA2">
        <w:rPr>
          <w:rStyle w:val="Rimandonotaapidipagina"/>
          <w:szCs w:val="23"/>
        </w:rPr>
        <w:footnoteReference w:id="65"/>
      </w:r>
      <w:r w:rsidRPr="0082560B">
        <w:rPr>
          <w:szCs w:val="23"/>
        </w:rPr>
        <w:t>.</w:t>
      </w:r>
    </w:p>
    <w:p w14:paraId="0B954860" w14:textId="3FF658BF" w:rsidR="00E92121" w:rsidRDefault="00E92121" w:rsidP="00391A67">
      <w:pPr>
        <w:pStyle w:val="Capoverso"/>
        <w:spacing w:line="266" w:lineRule="exact"/>
        <w:rPr>
          <w:szCs w:val="23"/>
        </w:rPr>
      </w:pPr>
      <w:r w:rsidRPr="00391A67">
        <w:rPr>
          <w:spacing w:val="2"/>
          <w:szCs w:val="23"/>
        </w:rPr>
        <w:t>Tale attività di matrice pubblicistica viene rico</w:t>
      </w:r>
      <w:r w:rsidR="002723C3" w:rsidRPr="00391A67">
        <w:rPr>
          <w:spacing w:val="2"/>
          <w:szCs w:val="23"/>
        </w:rPr>
        <w:t>ndotta a</w:t>
      </w:r>
      <w:r w:rsidRPr="00391A67">
        <w:rPr>
          <w:spacing w:val="2"/>
          <w:szCs w:val="23"/>
        </w:rPr>
        <w:t>ll’alveo dei servizi pubblici, poiché finalizzata a</w:t>
      </w:r>
      <w:r w:rsidR="002723C3" w:rsidRPr="00391A67">
        <w:rPr>
          <w:spacing w:val="2"/>
          <w:szCs w:val="23"/>
        </w:rPr>
        <w:t>lla</w:t>
      </w:r>
      <w:r w:rsidRPr="00391A67">
        <w:rPr>
          <w:spacing w:val="2"/>
          <w:szCs w:val="23"/>
        </w:rPr>
        <w:t xml:space="preserve"> soddisfa</w:t>
      </w:r>
      <w:r w:rsidR="002723C3" w:rsidRPr="00391A67">
        <w:rPr>
          <w:spacing w:val="2"/>
          <w:szCs w:val="23"/>
        </w:rPr>
        <w:t>zion</w:t>
      </w:r>
      <w:r w:rsidRPr="00391A67">
        <w:rPr>
          <w:spacing w:val="2"/>
          <w:szCs w:val="23"/>
        </w:rPr>
        <w:t xml:space="preserve">e </w:t>
      </w:r>
      <w:r w:rsidR="002723C3" w:rsidRPr="00391A67">
        <w:rPr>
          <w:spacing w:val="2"/>
          <w:szCs w:val="23"/>
        </w:rPr>
        <w:t xml:space="preserve">di </w:t>
      </w:r>
      <w:r w:rsidRPr="00391A67">
        <w:rPr>
          <w:spacing w:val="2"/>
          <w:szCs w:val="23"/>
        </w:rPr>
        <w:t xml:space="preserve">un interesse generale, di </w:t>
      </w:r>
      <w:r w:rsidRPr="00391A67">
        <w:rPr>
          <w:spacing w:val="2"/>
          <w:szCs w:val="23"/>
        </w:rPr>
        <w:lastRenderedPageBreak/>
        <w:t>carattere non economico, da parte dell’Amministrazione pubblica</w:t>
      </w:r>
      <w:r w:rsidR="002723C3" w:rsidRPr="00391A67">
        <w:rPr>
          <w:spacing w:val="2"/>
          <w:szCs w:val="23"/>
        </w:rPr>
        <w:t>,</w:t>
      </w:r>
      <w:r w:rsidRPr="00391A67">
        <w:rPr>
          <w:spacing w:val="2"/>
          <w:szCs w:val="23"/>
        </w:rPr>
        <w:t xml:space="preserve"> che</w:t>
      </w:r>
      <w:r w:rsidR="00537000" w:rsidRPr="00391A67">
        <w:rPr>
          <w:spacing w:val="2"/>
          <w:szCs w:val="23"/>
        </w:rPr>
        <w:t xml:space="preserve"> va a</w:t>
      </w:r>
      <w:r w:rsidRPr="00391A67">
        <w:rPr>
          <w:spacing w:val="2"/>
          <w:szCs w:val="23"/>
        </w:rPr>
        <w:t xml:space="preserve"> </w:t>
      </w:r>
      <w:r w:rsidR="00537000" w:rsidRPr="00391A67">
        <w:rPr>
          <w:spacing w:val="2"/>
          <w:szCs w:val="23"/>
        </w:rPr>
        <w:t xml:space="preserve">intersecare </w:t>
      </w:r>
      <w:r w:rsidRPr="00391A67">
        <w:rPr>
          <w:spacing w:val="2"/>
          <w:szCs w:val="23"/>
        </w:rPr>
        <w:t>la posizione dei singoli consociati</w:t>
      </w:r>
      <w:r w:rsidRPr="00391A67">
        <w:rPr>
          <w:rStyle w:val="Rimandonotaapidipagina"/>
          <w:spacing w:val="2"/>
          <w:szCs w:val="23"/>
        </w:rPr>
        <w:t> </w:t>
      </w:r>
      <w:r w:rsidRPr="00391A67">
        <w:rPr>
          <w:rStyle w:val="Rimandonotaapidipagina"/>
          <w:spacing w:val="2"/>
          <w:szCs w:val="23"/>
        </w:rPr>
        <w:footnoteReference w:id="66"/>
      </w:r>
      <w:r w:rsidRPr="00391A67">
        <w:rPr>
          <w:spacing w:val="2"/>
          <w:szCs w:val="23"/>
        </w:rPr>
        <w:t>; in conseguenza di ciò, con riguardo alla tematica legata all’individuazione dell’ordine giurisdizionale</w:t>
      </w:r>
      <w:r w:rsidRPr="0082560B">
        <w:rPr>
          <w:szCs w:val="23"/>
        </w:rPr>
        <w:t xml:space="preserve"> chiamato a dirimere le controversie in tale materia, si deve fare applicazione dell’art. 133, comma 1, lett. </w:t>
      </w:r>
      <w:r w:rsidRPr="008B436B">
        <w:rPr>
          <w:i/>
          <w:iCs/>
          <w:szCs w:val="23"/>
        </w:rPr>
        <w:t>c</w:t>
      </w:r>
      <w:r w:rsidR="008B436B">
        <w:rPr>
          <w:szCs w:val="23"/>
        </w:rPr>
        <w:t>),</w:t>
      </w:r>
      <w:r w:rsidRPr="0082560B">
        <w:rPr>
          <w:szCs w:val="23"/>
        </w:rPr>
        <w:t xml:space="preserve"> </w:t>
      </w:r>
      <w:r w:rsidR="008B436B">
        <w:rPr>
          <w:szCs w:val="23"/>
        </w:rPr>
        <w:t xml:space="preserve">cod. proc. </w:t>
      </w:r>
      <w:proofErr w:type="spellStart"/>
      <w:r w:rsidR="008B436B">
        <w:rPr>
          <w:szCs w:val="23"/>
        </w:rPr>
        <w:t>amm</w:t>
      </w:r>
      <w:proofErr w:type="spellEnd"/>
      <w:r w:rsidR="008B436B">
        <w:rPr>
          <w:szCs w:val="23"/>
        </w:rPr>
        <w:t>.</w:t>
      </w:r>
      <w:r w:rsidRPr="00BA7EA2">
        <w:rPr>
          <w:rStyle w:val="Rimandonotaapidipagina"/>
          <w:szCs w:val="23"/>
        </w:rPr>
        <w:t> </w:t>
      </w:r>
      <w:r w:rsidRPr="00BA7EA2">
        <w:rPr>
          <w:rStyle w:val="Rimandonotaapidipagina"/>
          <w:szCs w:val="23"/>
        </w:rPr>
        <w:footnoteReference w:id="67"/>
      </w:r>
      <w:r w:rsidRPr="0082560B">
        <w:rPr>
          <w:szCs w:val="23"/>
        </w:rPr>
        <w:t xml:space="preserve"> che attribuisce alla giurisdizione esclusiva del giudice amministrativo </w:t>
      </w:r>
      <w:r w:rsidR="008B436B">
        <w:rPr>
          <w:szCs w:val="23"/>
        </w:rPr>
        <w:t>«</w:t>
      </w:r>
      <w:r w:rsidRPr="008B436B">
        <w:rPr>
          <w:i/>
          <w:iCs/>
          <w:szCs w:val="23"/>
        </w:rPr>
        <w:t>le controversie in materia di pubblici servizi relative a concessioni di pubblici servizi, escluse quelle concernenti indennità, canoni ed altri corrispettivi, ovvero relative a provvedimenti adottati dalla pubblica amministrazione o dal gestore di un pubblico servizio in un procedimento amministrativo …</w:t>
      </w:r>
      <w:r w:rsidR="008B436B">
        <w:rPr>
          <w:szCs w:val="23"/>
        </w:rPr>
        <w:t>»</w:t>
      </w:r>
      <w:r w:rsidRPr="00BA7EA2">
        <w:rPr>
          <w:rStyle w:val="Rimandonotaapidipagina"/>
          <w:szCs w:val="23"/>
        </w:rPr>
        <w:t> </w:t>
      </w:r>
      <w:r w:rsidRPr="00BA7EA2">
        <w:rPr>
          <w:rStyle w:val="Rimandonotaapidipagina"/>
          <w:szCs w:val="23"/>
        </w:rPr>
        <w:footnoteReference w:id="68"/>
      </w:r>
      <w:r w:rsidRPr="0082560B">
        <w:rPr>
          <w:szCs w:val="23"/>
        </w:rPr>
        <w:t>.</w:t>
      </w:r>
    </w:p>
    <w:p w14:paraId="534D0687" w14:textId="143E3ED5" w:rsidR="009C5307" w:rsidRPr="0082560B" w:rsidRDefault="009C5307" w:rsidP="00391A67">
      <w:pPr>
        <w:pStyle w:val="Capoverso"/>
        <w:spacing w:line="266" w:lineRule="exact"/>
        <w:rPr>
          <w:szCs w:val="23"/>
        </w:rPr>
      </w:pPr>
      <w:r w:rsidRPr="0082560B">
        <w:rPr>
          <w:szCs w:val="23"/>
        </w:rPr>
        <w:t xml:space="preserve">Ci si trova al cospetto di </w:t>
      </w:r>
      <w:r w:rsidR="007720F6">
        <w:rPr>
          <w:szCs w:val="23"/>
        </w:rPr>
        <w:t xml:space="preserve">una di </w:t>
      </w:r>
      <w:r w:rsidRPr="0082560B">
        <w:rPr>
          <w:szCs w:val="23"/>
        </w:rPr>
        <w:t>quelle “</w:t>
      </w:r>
      <w:r w:rsidRPr="00391A67">
        <w:rPr>
          <w:i/>
          <w:iCs/>
          <w:szCs w:val="23"/>
        </w:rPr>
        <w:t>particolari materie</w:t>
      </w:r>
      <w:r w:rsidRPr="0082560B">
        <w:rPr>
          <w:szCs w:val="23"/>
        </w:rPr>
        <w:t>” in cui, pur agendo l’Amministrazione-autorità, si rinviene un inestricabile intreccio tra le posizioni giuridiche coinvolte – sia di diritto soggettivo che di interesse legittimo – che ha indotto il legislatore ad affidare la tutela giurisdizionale al giudice amministrativo.</w:t>
      </w:r>
    </w:p>
    <w:p w14:paraId="79064E28" w14:textId="5F0F125C" w:rsidR="00E92121" w:rsidRPr="0082560B" w:rsidRDefault="00E92121" w:rsidP="002C3D0D">
      <w:pPr>
        <w:pStyle w:val="Capoverso"/>
        <w:spacing w:line="272" w:lineRule="exact"/>
        <w:rPr>
          <w:szCs w:val="23"/>
        </w:rPr>
      </w:pPr>
      <w:r w:rsidRPr="0082560B">
        <w:rPr>
          <w:szCs w:val="23"/>
        </w:rPr>
        <w:t xml:space="preserve">La disposizione </w:t>
      </w:r>
      <w:r w:rsidR="009C5307">
        <w:rPr>
          <w:szCs w:val="23"/>
        </w:rPr>
        <w:t>di cui al citato art. 133,</w:t>
      </w:r>
      <w:r w:rsidR="009C5307" w:rsidRPr="009C5307">
        <w:rPr>
          <w:szCs w:val="23"/>
        </w:rPr>
        <w:t xml:space="preserve"> </w:t>
      </w:r>
      <w:r w:rsidR="009C5307" w:rsidRPr="0082560B">
        <w:rPr>
          <w:szCs w:val="23"/>
        </w:rPr>
        <w:t xml:space="preserve">comma 1, lett. </w:t>
      </w:r>
      <w:r w:rsidR="009C5307" w:rsidRPr="008B436B">
        <w:rPr>
          <w:i/>
          <w:iCs/>
          <w:szCs w:val="23"/>
        </w:rPr>
        <w:t>c</w:t>
      </w:r>
      <w:r w:rsidR="009C5307">
        <w:rPr>
          <w:szCs w:val="23"/>
        </w:rPr>
        <w:t>),</w:t>
      </w:r>
      <w:r w:rsidR="009C5307" w:rsidRPr="0082560B">
        <w:rPr>
          <w:szCs w:val="23"/>
        </w:rPr>
        <w:t xml:space="preserve"> </w:t>
      </w:r>
      <w:r w:rsidR="009C5307">
        <w:rPr>
          <w:szCs w:val="23"/>
        </w:rPr>
        <w:t xml:space="preserve">cod. proc. </w:t>
      </w:r>
      <w:proofErr w:type="spellStart"/>
      <w:r w:rsidR="009C5307">
        <w:rPr>
          <w:szCs w:val="23"/>
        </w:rPr>
        <w:t>amm</w:t>
      </w:r>
      <w:proofErr w:type="spellEnd"/>
      <w:r w:rsidR="009C5307">
        <w:rPr>
          <w:szCs w:val="23"/>
        </w:rPr>
        <w:t xml:space="preserve">. </w:t>
      </w:r>
      <w:r w:rsidRPr="0082560B">
        <w:rPr>
          <w:szCs w:val="23"/>
        </w:rPr>
        <w:t>deve essere interpretata alla luce della sentenza della Corte cost</w:t>
      </w:r>
      <w:r w:rsidR="008B436B">
        <w:rPr>
          <w:szCs w:val="23"/>
        </w:rPr>
        <w:t>.</w:t>
      </w:r>
      <w:r w:rsidRPr="0082560B">
        <w:rPr>
          <w:szCs w:val="23"/>
        </w:rPr>
        <w:t xml:space="preserve"> n. 204</w:t>
      </w:r>
      <w:r w:rsidR="008B436B">
        <w:rPr>
          <w:szCs w:val="23"/>
        </w:rPr>
        <w:t>/</w:t>
      </w:r>
      <w:r w:rsidRPr="0082560B">
        <w:rPr>
          <w:szCs w:val="23"/>
        </w:rPr>
        <w:t xml:space="preserve">2004, secondo la quale </w:t>
      </w:r>
      <w:r w:rsidR="008B436B">
        <w:rPr>
          <w:szCs w:val="23"/>
        </w:rPr>
        <w:t>«</w:t>
      </w:r>
      <w:r w:rsidRPr="008B436B">
        <w:rPr>
          <w:i/>
          <w:iCs/>
          <w:szCs w:val="23"/>
        </w:rPr>
        <w:t>la materia dei pubblici servizi può essere oggetto di giurisdizione esclusiva del giudice amministrativo se in essa la pubblica amministrazione agisce esercitando il suo potere autoritativo ovvero, attesa la facoltà, riconosciutale dalla legge, di adottare strumenti negoziali in sostituzione del potere autoritativo, se si vale di tale facoltà</w:t>
      </w:r>
      <w:r w:rsidR="008B436B">
        <w:rPr>
          <w:szCs w:val="23"/>
        </w:rPr>
        <w:t>»</w:t>
      </w:r>
      <w:r w:rsidRPr="0082560B">
        <w:rPr>
          <w:szCs w:val="23"/>
        </w:rPr>
        <w:t xml:space="preserve">. Con la successiva </w:t>
      </w:r>
      <w:proofErr w:type="spellStart"/>
      <w:r w:rsidRPr="0082560B">
        <w:rPr>
          <w:szCs w:val="23"/>
        </w:rPr>
        <w:t>sent</w:t>
      </w:r>
      <w:proofErr w:type="spellEnd"/>
      <w:r w:rsidR="008B436B">
        <w:rPr>
          <w:szCs w:val="23"/>
        </w:rPr>
        <w:t>.</w:t>
      </w:r>
      <w:r w:rsidRPr="0082560B">
        <w:rPr>
          <w:szCs w:val="23"/>
        </w:rPr>
        <w:t xml:space="preserve"> n. 191</w:t>
      </w:r>
      <w:r w:rsidR="008B436B">
        <w:rPr>
          <w:szCs w:val="23"/>
        </w:rPr>
        <w:t>/</w:t>
      </w:r>
      <w:r w:rsidRPr="0082560B">
        <w:rPr>
          <w:szCs w:val="23"/>
        </w:rPr>
        <w:t>2006, la Corte ha altresì precisato che la devoluzione alla giurisdizione esclusiva del giudice amministrativo riguarda anche le controversie relative a “</w:t>
      </w:r>
      <w:r w:rsidRPr="00391A67">
        <w:rPr>
          <w:i/>
          <w:iCs/>
          <w:szCs w:val="23"/>
        </w:rPr>
        <w:t>comportamenti</w:t>
      </w:r>
      <w:r w:rsidRPr="0082560B">
        <w:rPr>
          <w:szCs w:val="23"/>
        </w:rPr>
        <w:t xml:space="preserve">” collegati all’esercizio, pur se illegittimo, di un pubblico potere, mentre per converso laddove si tratti di questioni che non involgono </w:t>
      </w:r>
      <w:r w:rsidR="009C5307">
        <w:rPr>
          <w:szCs w:val="23"/>
        </w:rPr>
        <w:t>“</w:t>
      </w:r>
      <w:r w:rsidRPr="00DE6E91">
        <w:rPr>
          <w:i/>
          <w:iCs/>
          <w:szCs w:val="23"/>
        </w:rPr>
        <w:t>anche</w:t>
      </w:r>
      <w:r w:rsidR="009C5307">
        <w:rPr>
          <w:szCs w:val="23"/>
        </w:rPr>
        <w:t>”</w:t>
      </w:r>
      <w:r w:rsidRPr="0082560B">
        <w:rPr>
          <w:szCs w:val="23"/>
        </w:rPr>
        <w:t xml:space="preserve"> l’esercizio di poteri amministrativi, le stesse risultano attratte alla giurisdizione del giudice ordinario</w:t>
      </w:r>
      <w:r w:rsidRPr="00BA7EA2">
        <w:rPr>
          <w:rStyle w:val="Rimandonotaapidipagina"/>
          <w:szCs w:val="23"/>
        </w:rPr>
        <w:t> </w:t>
      </w:r>
      <w:r w:rsidRPr="00BA7EA2">
        <w:rPr>
          <w:rStyle w:val="Rimandonotaapidipagina"/>
          <w:szCs w:val="23"/>
        </w:rPr>
        <w:footnoteReference w:id="69"/>
      </w:r>
      <w:r w:rsidRPr="0082560B">
        <w:rPr>
          <w:szCs w:val="23"/>
        </w:rPr>
        <w:t xml:space="preserve">. </w:t>
      </w:r>
    </w:p>
    <w:p w14:paraId="01F15915" w14:textId="77777777" w:rsidR="00E92121" w:rsidRPr="0082560B" w:rsidRDefault="00E92121" w:rsidP="002C3D0D">
      <w:pPr>
        <w:pStyle w:val="Capoverso"/>
        <w:spacing w:line="272" w:lineRule="exact"/>
        <w:rPr>
          <w:szCs w:val="23"/>
        </w:rPr>
      </w:pPr>
      <w:r w:rsidRPr="0082560B">
        <w:rPr>
          <w:szCs w:val="23"/>
        </w:rPr>
        <w:t xml:space="preserve">La puntualizzazione operata dalla Corte costituzionale ha indotto la giurisprudenza, sia civile che amministrativa, a operare con riguardo al progetto di vita – o a quegli istituti assimilabili, come il Piano educativo individualizzato </w:t>
      </w:r>
      <w:r w:rsidRPr="0082560B">
        <w:rPr>
          <w:szCs w:val="23"/>
        </w:rPr>
        <w:lastRenderedPageBreak/>
        <w:t>o il servizio di trasporto scolastico</w:t>
      </w:r>
      <w:r w:rsidRPr="00BA7EA2">
        <w:rPr>
          <w:rStyle w:val="Rimandonotaapidipagina"/>
          <w:szCs w:val="23"/>
        </w:rPr>
        <w:t> </w:t>
      </w:r>
      <w:r w:rsidRPr="00BA7EA2">
        <w:rPr>
          <w:rStyle w:val="Rimandonotaapidipagina"/>
          <w:szCs w:val="23"/>
        </w:rPr>
        <w:footnoteReference w:id="70"/>
      </w:r>
      <w:r w:rsidRPr="0082560B">
        <w:rPr>
          <w:szCs w:val="23"/>
        </w:rPr>
        <w:t xml:space="preserve"> – un distinguo tra le attività legate alla predisposizione del citato progetto e la fase di attuazione dello stesso.</w:t>
      </w:r>
    </w:p>
    <w:p w14:paraId="22F33A8B" w14:textId="77777777" w:rsidR="00E92121" w:rsidRPr="0082560B" w:rsidRDefault="00E92121" w:rsidP="002C3D0D">
      <w:pPr>
        <w:pStyle w:val="Capoverso"/>
        <w:spacing w:line="272" w:lineRule="exact"/>
        <w:rPr>
          <w:szCs w:val="23"/>
        </w:rPr>
      </w:pPr>
      <w:r w:rsidRPr="0082560B">
        <w:rPr>
          <w:szCs w:val="23"/>
        </w:rPr>
        <w:t>Quanto alla prima tipologia di attività, ossia la redazione del progetto di vita, deve ribadirsi che il legislatore ha attribuito all’Amministrazione il compito di attuare il concreto contemperamento tra gli interessi, pubblico e privato, compresenti, secondo canoni di ragionevolezza, parità di trattamento, imparzialità ed efficienza, compendiati nella specifica materia in esame in quello di appropriatezza ed efficacia dell’assistenza</w:t>
      </w:r>
      <w:r w:rsidRPr="00BA7EA2">
        <w:rPr>
          <w:rStyle w:val="Rimandonotaapidipagina"/>
          <w:szCs w:val="23"/>
        </w:rPr>
        <w:t> </w:t>
      </w:r>
      <w:r w:rsidRPr="00BA7EA2">
        <w:rPr>
          <w:rStyle w:val="Rimandonotaapidipagina"/>
          <w:szCs w:val="23"/>
        </w:rPr>
        <w:footnoteReference w:id="71"/>
      </w:r>
      <w:r w:rsidRPr="0082560B">
        <w:rPr>
          <w:szCs w:val="23"/>
        </w:rPr>
        <w:t>.</w:t>
      </w:r>
    </w:p>
    <w:p w14:paraId="6819BE03" w14:textId="4A7A6C81" w:rsidR="00E92121" w:rsidRPr="0082560B" w:rsidRDefault="00E92121" w:rsidP="00E92121">
      <w:pPr>
        <w:pStyle w:val="Capoverso"/>
        <w:rPr>
          <w:szCs w:val="23"/>
        </w:rPr>
      </w:pPr>
      <w:r w:rsidRPr="0082560B">
        <w:rPr>
          <w:szCs w:val="23"/>
        </w:rPr>
        <w:t xml:space="preserve">Pertanto, con riguardo alla predetta fase di predisposizione del progetto e al suo aggiornamento, la giurisdizione deve essere </w:t>
      </w:r>
      <w:r w:rsidR="00DC5410">
        <w:rPr>
          <w:szCs w:val="23"/>
        </w:rPr>
        <w:t>attr</w:t>
      </w:r>
      <w:r w:rsidRPr="0082560B">
        <w:rPr>
          <w:szCs w:val="23"/>
        </w:rPr>
        <w:t>i</w:t>
      </w:r>
      <w:r w:rsidR="00DC5410">
        <w:rPr>
          <w:szCs w:val="23"/>
        </w:rPr>
        <w:t>b</w:t>
      </w:r>
      <w:r w:rsidRPr="0082560B">
        <w:rPr>
          <w:szCs w:val="23"/>
        </w:rPr>
        <w:t>u</w:t>
      </w:r>
      <w:r w:rsidR="00DC5410">
        <w:rPr>
          <w:szCs w:val="23"/>
        </w:rPr>
        <w:t>i</w:t>
      </w:r>
      <w:r w:rsidRPr="0082560B">
        <w:rPr>
          <w:szCs w:val="23"/>
        </w:rPr>
        <w:t>ta al giudice amministrativo, poiché nella specie l’Amministrazione agisce attraverso l’adozione di provvedimenti connotati da discrezionalità e quindi con spendita di potere, anche ove assuma comportamenti omissivi</w:t>
      </w:r>
      <w:r w:rsidRPr="00BA7EA2">
        <w:rPr>
          <w:rStyle w:val="Rimandonotaapidipagina"/>
          <w:szCs w:val="23"/>
        </w:rPr>
        <w:t> </w:t>
      </w:r>
      <w:r w:rsidRPr="00BA7EA2">
        <w:rPr>
          <w:rStyle w:val="Rimandonotaapidipagina"/>
          <w:szCs w:val="23"/>
        </w:rPr>
        <w:footnoteReference w:id="72"/>
      </w:r>
      <w:r w:rsidRPr="0082560B">
        <w:rPr>
          <w:szCs w:val="23"/>
        </w:rPr>
        <w:t xml:space="preserve">, mentre </w:t>
      </w:r>
      <w:r w:rsidR="003E6991">
        <w:rPr>
          <w:szCs w:val="23"/>
        </w:rPr>
        <w:t>allorquando</w:t>
      </w:r>
      <w:r w:rsidRPr="0082560B">
        <w:rPr>
          <w:szCs w:val="23"/>
        </w:rPr>
        <w:t xml:space="preserve"> si contesti l’esecuzione e l’attuazione di un progetto già redatto si configura la sussistenza di un diritto soggettivo perfetto in capo al beneficiario, la cui tutela deve essere azionata davanti al giudice ordinario</w:t>
      </w:r>
      <w:r w:rsidRPr="00BA7EA2">
        <w:rPr>
          <w:rStyle w:val="Rimandonotaapidipagina"/>
          <w:szCs w:val="23"/>
        </w:rPr>
        <w:t> </w:t>
      </w:r>
      <w:r w:rsidRPr="00BA7EA2">
        <w:rPr>
          <w:rStyle w:val="Rimandonotaapidipagina"/>
          <w:szCs w:val="23"/>
        </w:rPr>
        <w:footnoteReference w:id="73"/>
      </w:r>
      <w:r w:rsidRPr="0082560B">
        <w:rPr>
          <w:szCs w:val="23"/>
        </w:rPr>
        <w:t>. La richiamata ripartizione</w:t>
      </w:r>
      <w:r w:rsidR="003E6991">
        <w:rPr>
          <w:szCs w:val="23"/>
        </w:rPr>
        <w:t xml:space="preserve"> </w:t>
      </w:r>
      <w:r w:rsidRPr="0082560B">
        <w:rPr>
          <w:szCs w:val="23"/>
        </w:rPr>
        <w:t>non appare</w:t>
      </w:r>
      <w:r w:rsidR="003E6991">
        <w:rPr>
          <w:szCs w:val="23"/>
        </w:rPr>
        <w:t xml:space="preserve"> però</w:t>
      </w:r>
      <w:r w:rsidRPr="0082560B">
        <w:rPr>
          <w:szCs w:val="23"/>
        </w:rPr>
        <w:t xml:space="preserve"> del tutto coerente e risolutiva, essendo sovente affidata all’applicazione di criteri incerti e sostanzialmente correlati ad aspetti di natura prettamente fattuale, spesso dipendenti dalle modalità attraverso le quali viene prospettata e azionata la pretesa in sede giurisdizionale</w:t>
      </w:r>
      <w:r w:rsidRPr="00BA7EA2">
        <w:rPr>
          <w:rStyle w:val="Rimandonotaapidipagina"/>
          <w:szCs w:val="23"/>
        </w:rPr>
        <w:t> </w:t>
      </w:r>
      <w:r w:rsidRPr="00BA7EA2">
        <w:rPr>
          <w:rStyle w:val="Rimandonotaapidipagina"/>
          <w:szCs w:val="23"/>
        </w:rPr>
        <w:footnoteReference w:id="74"/>
      </w:r>
      <w:r w:rsidRPr="0082560B">
        <w:rPr>
          <w:szCs w:val="23"/>
        </w:rPr>
        <w:t>.</w:t>
      </w:r>
    </w:p>
    <w:p w14:paraId="3E9B6FED" w14:textId="14D6FBB4" w:rsidR="00E92121" w:rsidRPr="0082560B" w:rsidRDefault="00E92121" w:rsidP="00E92121">
      <w:pPr>
        <w:pStyle w:val="Capoverso"/>
        <w:rPr>
          <w:szCs w:val="23"/>
        </w:rPr>
      </w:pPr>
      <w:r w:rsidRPr="0082560B">
        <w:rPr>
          <w:szCs w:val="23"/>
        </w:rPr>
        <w:t>Una peculiare disciplina è stabilita dall’art. 5-</w:t>
      </w:r>
      <w:r w:rsidRPr="008B436B">
        <w:rPr>
          <w:i/>
          <w:iCs/>
          <w:szCs w:val="23"/>
        </w:rPr>
        <w:t>bis</w:t>
      </w:r>
      <w:r w:rsidRPr="0082560B">
        <w:rPr>
          <w:szCs w:val="23"/>
        </w:rPr>
        <w:t xml:space="preserve"> della legge n. 104</w:t>
      </w:r>
      <w:r w:rsidR="001243BC">
        <w:rPr>
          <w:szCs w:val="23"/>
        </w:rPr>
        <w:t>/</w:t>
      </w:r>
      <w:r w:rsidRPr="0082560B">
        <w:rPr>
          <w:szCs w:val="23"/>
        </w:rPr>
        <w:t xml:space="preserve">1992, </w:t>
      </w:r>
      <w:r w:rsidRPr="0082560B">
        <w:rPr>
          <w:szCs w:val="23"/>
        </w:rPr>
        <w:lastRenderedPageBreak/>
        <w:t xml:space="preserve">introdotto dall’art. 17, comma 1, </w:t>
      </w:r>
      <w:r w:rsidR="003E6991">
        <w:rPr>
          <w:szCs w:val="23"/>
        </w:rPr>
        <w:t xml:space="preserve">del </w:t>
      </w:r>
      <w:r w:rsidR="001243BC">
        <w:rPr>
          <w:szCs w:val="23"/>
        </w:rPr>
        <w:t>d.lgs</w:t>
      </w:r>
      <w:r w:rsidRPr="0082560B">
        <w:rPr>
          <w:szCs w:val="23"/>
        </w:rPr>
        <w:t>. n. 62</w:t>
      </w:r>
      <w:r w:rsidR="001243BC">
        <w:rPr>
          <w:szCs w:val="23"/>
        </w:rPr>
        <w:t>/</w:t>
      </w:r>
      <w:r w:rsidRPr="0082560B">
        <w:rPr>
          <w:szCs w:val="23"/>
        </w:rPr>
        <w:t>2024, che prevede che, laddove il soggetto onerato si rifiuti di dar corso all’accomodamento ragionevole in favore dell’avente diritto, quest’ultimo abbia la possibilità di impugnare tale diniego, configurandosi in tal caso una possibile condotta discriminatoria (commi 8 e 9). La norma prevede lo stesso meccanismo di impugnazione nei confronti di tutti gli onerati, indipendentemente dalla loro veste di soggetti pubblici o privati, fermo restando che l’Amministrazione pubblica è gravata dall’ulteriore obbligo di motivare il diniego. La contestazione può avvenire rivolgendosi all’autorità giudiziaria</w:t>
      </w:r>
      <w:r w:rsidRPr="00BA7EA2">
        <w:rPr>
          <w:rStyle w:val="Rimandonotaapidipagina"/>
          <w:szCs w:val="23"/>
        </w:rPr>
        <w:t> </w:t>
      </w:r>
      <w:r w:rsidRPr="00BA7EA2">
        <w:rPr>
          <w:rStyle w:val="Rimandonotaapidipagina"/>
          <w:szCs w:val="23"/>
        </w:rPr>
        <w:footnoteReference w:id="75"/>
      </w:r>
      <w:r w:rsidR="003E6991">
        <w:rPr>
          <w:szCs w:val="23"/>
        </w:rPr>
        <w:t xml:space="preserve">, </w:t>
      </w:r>
      <w:r w:rsidRPr="0082560B">
        <w:rPr>
          <w:szCs w:val="23"/>
        </w:rPr>
        <w:t xml:space="preserve">attraverso il rito semplificato di cognizione previsto per le controversie in materia di discriminazione disciplinato dall’art. 28 del </w:t>
      </w:r>
      <w:r w:rsidR="001243BC">
        <w:rPr>
          <w:szCs w:val="23"/>
        </w:rPr>
        <w:t>d.lgs</w:t>
      </w:r>
      <w:r w:rsidRPr="0082560B">
        <w:rPr>
          <w:szCs w:val="23"/>
        </w:rPr>
        <w:t>. n. 150</w:t>
      </w:r>
      <w:r w:rsidR="001243BC">
        <w:rPr>
          <w:szCs w:val="23"/>
        </w:rPr>
        <w:t>/</w:t>
      </w:r>
      <w:r w:rsidRPr="0082560B">
        <w:rPr>
          <w:szCs w:val="23"/>
        </w:rPr>
        <w:t>2011</w:t>
      </w:r>
      <w:r w:rsidRPr="00BA7EA2">
        <w:rPr>
          <w:rStyle w:val="Rimandonotaapidipagina"/>
          <w:szCs w:val="23"/>
        </w:rPr>
        <w:t> </w:t>
      </w:r>
      <w:r w:rsidRPr="00BA7EA2">
        <w:rPr>
          <w:rStyle w:val="Rimandonotaapidipagina"/>
          <w:szCs w:val="23"/>
        </w:rPr>
        <w:footnoteReference w:id="76"/>
      </w:r>
      <w:r w:rsidRPr="0082560B">
        <w:rPr>
          <w:szCs w:val="23"/>
        </w:rPr>
        <w:t xml:space="preserve">, oppure – a partire dall’entrata in vigore delle disposizioni del </w:t>
      </w:r>
      <w:r w:rsidR="001243BC">
        <w:rPr>
          <w:szCs w:val="23"/>
        </w:rPr>
        <w:t>d.lgs</w:t>
      </w:r>
      <w:r w:rsidRPr="0082560B">
        <w:rPr>
          <w:szCs w:val="23"/>
        </w:rPr>
        <w:t>. n. 20</w:t>
      </w:r>
      <w:r w:rsidR="001243BC">
        <w:rPr>
          <w:szCs w:val="23"/>
        </w:rPr>
        <w:t>/</w:t>
      </w:r>
      <w:r w:rsidRPr="0082560B">
        <w:rPr>
          <w:szCs w:val="23"/>
        </w:rPr>
        <w:t>2024 – è possibile rivolgersi all’Autorità Garante dei diritti delle persone con disabilità affinché verifichi l’avvenuta discriminazione per rifiuto di provvedere tramite un accomodamento ragionevole</w:t>
      </w:r>
      <w:r w:rsidRPr="00BA7EA2">
        <w:rPr>
          <w:rStyle w:val="Rimandonotaapidipagina"/>
          <w:szCs w:val="23"/>
        </w:rPr>
        <w:t> </w:t>
      </w:r>
      <w:r w:rsidRPr="00BA7EA2">
        <w:rPr>
          <w:rStyle w:val="Rimandonotaapidipagina"/>
          <w:szCs w:val="23"/>
        </w:rPr>
        <w:footnoteReference w:id="77"/>
      </w:r>
      <w:r w:rsidRPr="0082560B">
        <w:rPr>
          <w:szCs w:val="23"/>
        </w:rPr>
        <w:t xml:space="preserve">. Sebbene si ritenga che la giurisdizione in relazione a tale domanda spetti al giudice ordinario, tuttavia deve evidenziarsi che quest’ultimo può garantire una piena tutela al disabile soltanto </w:t>
      </w:r>
      <w:r w:rsidR="003E6991">
        <w:rPr>
          <w:szCs w:val="23"/>
        </w:rPr>
        <w:t>o</w:t>
      </w:r>
      <w:r w:rsidRPr="0082560B">
        <w:rPr>
          <w:szCs w:val="23"/>
        </w:rPr>
        <w:t xml:space="preserve">ve si contesti la mancata ottemperanza a un’obbligazione già puntualmente e specificamente disciplinata da una norma di legge o da altro atto avente natura cogente (compreso il progetto di vita approvato), da cui discende l’assenza di ulteriori margini di scelta o di valutazione da parte dell’Amministrazione onerata; nel caso opposto, in cui è </w:t>
      </w:r>
      <w:r w:rsidRPr="0082560B">
        <w:rPr>
          <w:szCs w:val="23"/>
        </w:rPr>
        <w:lastRenderedPageBreak/>
        <w:t xml:space="preserve">richiesta una </w:t>
      </w:r>
      <w:r w:rsidR="00DC5410">
        <w:rPr>
          <w:szCs w:val="23"/>
        </w:rPr>
        <w:t xml:space="preserve">fase di valutazione e di </w:t>
      </w:r>
      <w:r w:rsidRPr="0082560B">
        <w:rPr>
          <w:szCs w:val="23"/>
        </w:rPr>
        <w:t>mediazione del soggetto pubblico obbligato, è soltanto il giudice amministrativo che possiede gli strumenti per garantire al disabile il conseguimento del bene della vita</w:t>
      </w:r>
      <w:r w:rsidRPr="00BA7EA2">
        <w:rPr>
          <w:rStyle w:val="Rimandonotaapidipagina"/>
          <w:szCs w:val="23"/>
        </w:rPr>
        <w:t> </w:t>
      </w:r>
      <w:r w:rsidRPr="00BA7EA2">
        <w:rPr>
          <w:rStyle w:val="Rimandonotaapidipagina"/>
          <w:szCs w:val="23"/>
        </w:rPr>
        <w:footnoteReference w:id="78"/>
      </w:r>
      <w:r w:rsidRPr="0082560B">
        <w:rPr>
          <w:szCs w:val="23"/>
        </w:rPr>
        <w:t>.</w:t>
      </w:r>
    </w:p>
    <w:p w14:paraId="6C21B415" w14:textId="493B3B16" w:rsidR="00E92121" w:rsidRPr="0082560B" w:rsidRDefault="00E92121" w:rsidP="00E92121">
      <w:pPr>
        <w:pStyle w:val="Capoverso"/>
        <w:rPr>
          <w:szCs w:val="23"/>
        </w:rPr>
      </w:pPr>
      <w:r w:rsidRPr="0082560B">
        <w:rPr>
          <w:szCs w:val="23"/>
        </w:rPr>
        <w:t xml:space="preserve">La sussistenza della giurisdizione amministrativa, nella fase propedeutica all’approvazione del progetto, non è </w:t>
      </w:r>
      <w:r w:rsidR="00DC5410">
        <w:rPr>
          <w:szCs w:val="23"/>
        </w:rPr>
        <w:t xml:space="preserve">comunque </w:t>
      </w:r>
      <w:r w:rsidRPr="0082560B">
        <w:rPr>
          <w:szCs w:val="23"/>
        </w:rPr>
        <w:t xml:space="preserve">esclusa dalla necessità di garantire la tutela </w:t>
      </w:r>
      <w:r w:rsidR="00DC5410">
        <w:rPr>
          <w:szCs w:val="23"/>
        </w:rPr>
        <w:t>di</w:t>
      </w:r>
      <w:r w:rsidRPr="0082560B">
        <w:rPr>
          <w:szCs w:val="23"/>
        </w:rPr>
        <w:t xml:space="preserve"> diritti costituzionalmente tutelati, essendo ormai acquisita la piena idoneità del giudizio amministrativo ad assicurare una garanzia piena e conforme ai precetti costituzionali di riferimento anche ai diritti fondamentali dell’individuo</w:t>
      </w:r>
      <w:r w:rsidRPr="00BA7EA2">
        <w:rPr>
          <w:rStyle w:val="Rimandonotaapidipagina"/>
          <w:szCs w:val="23"/>
        </w:rPr>
        <w:t> </w:t>
      </w:r>
      <w:r w:rsidRPr="00BA7EA2">
        <w:rPr>
          <w:rStyle w:val="Rimandonotaapidipagina"/>
          <w:szCs w:val="23"/>
        </w:rPr>
        <w:footnoteReference w:id="79"/>
      </w:r>
      <w:r w:rsidRPr="0082560B">
        <w:rPr>
          <w:szCs w:val="23"/>
        </w:rPr>
        <w:t xml:space="preserve">. Ciò trova una conferma anche nel diritto positivo, visto che l’art. 55, comma 2, secondo periodo, del codice del processo amministrativo stabilisce che </w:t>
      </w:r>
      <w:r w:rsidR="001243BC">
        <w:rPr>
          <w:szCs w:val="23"/>
        </w:rPr>
        <w:t>«</w:t>
      </w:r>
      <w:r w:rsidRPr="001243BC">
        <w:rPr>
          <w:i/>
          <w:iCs/>
          <w:szCs w:val="23"/>
        </w:rPr>
        <w:t>la concessione o il diniego della misura cautelare non può essere subordinata a cauzione quando la domanda cautelare attenga a diritti fondamentali della persona o ad altri beni di primario rilievo costituzionale</w:t>
      </w:r>
      <w:r w:rsidR="001243BC">
        <w:rPr>
          <w:szCs w:val="23"/>
        </w:rPr>
        <w:t>»</w:t>
      </w:r>
      <w:r w:rsidRPr="00BA7EA2">
        <w:rPr>
          <w:rStyle w:val="Rimandonotaapidipagina"/>
          <w:szCs w:val="23"/>
        </w:rPr>
        <w:t> </w:t>
      </w:r>
      <w:r w:rsidRPr="00BA7EA2">
        <w:rPr>
          <w:rStyle w:val="Rimandonotaapidipagina"/>
          <w:szCs w:val="23"/>
        </w:rPr>
        <w:footnoteReference w:id="80"/>
      </w:r>
      <w:r w:rsidRPr="0082560B">
        <w:rPr>
          <w:szCs w:val="23"/>
        </w:rPr>
        <w:t>.</w:t>
      </w:r>
    </w:p>
    <w:p w14:paraId="6406736D" w14:textId="77777777" w:rsidR="00E92121" w:rsidRPr="0082560B" w:rsidRDefault="00E92121" w:rsidP="00E92121">
      <w:pPr>
        <w:pStyle w:val="Capoverso"/>
        <w:rPr>
          <w:szCs w:val="23"/>
        </w:rPr>
      </w:pPr>
      <w:r w:rsidRPr="0082560B">
        <w:rPr>
          <w:szCs w:val="23"/>
        </w:rPr>
        <w:t xml:space="preserve">Il giudice amministrativo dispone di un’ampia gamma di strumenti processuali per garantire l’effettività della tutela anche rispetto a posizioni soggettive appartenenti alla sfera dei diritti fondamentali. Certamente il predetto </w:t>
      </w:r>
      <w:r w:rsidRPr="0082560B">
        <w:rPr>
          <w:szCs w:val="23"/>
        </w:rPr>
        <w:lastRenderedPageBreak/>
        <w:t>giudice è in grado di avere un pieno accesso al fatto e può sindacare tutti gli snodi attraverso i quali si manifesta l’esercizio del potere, avendo la possibilità di conoscere il rapporto che si instaura tra Amministrazione e destinatario, soprattutto in sede di giurisdizione esclusiva, al cui novero afferiscono anche le controversie in materia di servizi pubblici rivolti alle persone disabili. Oltretutto, il sindacato del giudice amministrativo è in grado di impattare anche sulle scelte effettuate a monte da parte degli Enti pubblici titolari di poteri di intervento nell’ambito dell’assistenza sociale, tenuto conto che il nucleo indefettibile del diritto non può essere condizionato alla sussistenza di vincoli di carattere finanziario</w:t>
      </w:r>
      <w:r w:rsidRPr="00BA7EA2">
        <w:rPr>
          <w:rStyle w:val="Rimandonotaapidipagina"/>
          <w:szCs w:val="23"/>
        </w:rPr>
        <w:t> </w:t>
      </w:r>
      <w:r w:rsidRPr="00BA7EA2">
        <w:rPr>
          <w:rStyle w:val="Rimandonotaapidipagina"/>
          <w:szCs w:val="23"/>
        </w:rPr>
        <w:footnoteReference w:id="81"/>
      </w:r>
      <w:r w:rsidRPr="0082560B">
        <w:rPr>
          <w:szCs w:val="23"/>
        </w:rPr>
        <w:t>.</w:t>
      </w:r>
    </w:p>
    <w:p w14:paraId="0B22CE8E" w14:textId="77777777" w:rsidR="001243BC" w:rsidRDefault="00E92121" w:rsidP="00E92121">
      <w:pPr>
        <w:pStyle w:val="Capoverso"/>
        <w:rPr>
          <w:szCs w:val="23"/>
        </w:rPr>
      </w:pPr>
      <w:r w:rsidRPr="0082560B">
        <w:rPr>
          <w:szCs w:val="23"/>
        </w:rPr>
        <w:t>Tra gli strumenti più efficaci di cui può disporre il giudice amministrativo vi sono i provvedimenti relativi alla fase cautelare del giudizio, che possono essere sia monocratici che collegiali. I provvedimenti cautelari consentono di rispondere tempestivamente alle necessità più impellenti dei soggetti che si rivolgono al giudice e impediscono la produzione di danni irreversibili nella loro sfera giuridica, che non potrebbero più elidersi neppure all’esito del giudizio di merito. La tutela cautelare monocratica</w:t>
      </w:r>
      <w:r w:rsidRPr="00BA7EA2">
        <w:rPr>
          <w:rStyle w:val="Rimandonotaapidipagina"/>
          <w:szCs w:val="23"/>
        </w:rPr>
        <w:t> </w:t>
      </w:r>
      <w:r w:rsidRPr="00BA7EA2">
        <w:rPr>
          <w:rStyle w:val="Rimandonotaapidipagina"/>
          <w:szCs w:val="23"/>
        </w:rPr>
        <w:footnoteReference w:id="82"/>
      </w:r>
      <w:r w:rsidRPr="0082560B">
        <w:rPr>
          <w:szCs w:val="23"/>
        </w:rPr>
        <w:t xml:space="preserve">, che può addirittura intervenire </w:t>
      </w:r>
      <w:r w:rsidRPr="001243BC">
        <w:rPr>
          <w:i/>
          <w:iCs/>
          <w:szCs w:val="23"/>
        </w:rPr>
        <w:t xml:space="preserve">ante </w:t>
      </w:r>
      <w:proofErr w:type="spellStart"/>
      <w:r w:rsidRPr="001243BC">
        <w:rPr>
          <w:i/>
          <w:iCs/>
          <w:szCs w:val="23"/>
        </w:rPr>
        <w:t>causam</w:t>
      </w:r>
      <w:proofErr w:type="spellEnd"/>
      <w:r w:rsidRPr="00BA7EA2">
        <w:rPr>
          <w:rStyle w:val="Rimandonotaapidipagina"/>
          <w:szCs w:val="23"/>
        </w:rPr>
        <w:t> </w:t>
      </w:r>
      <w:r w:rsidRPr="00BA7EA2">
        <w:rPr>
          <w:rStyle w:val="Rimandonotaapidipagina"/>
          <w:szCs w:val="23"/>
        </w:rPr>
        <w:footnoteReference w:id="83"/>
      </w:r>
      <w:r w:rsidRPr="0082560B">
        <w:rPr>
          <w:szCs w:val="23"/>
        </w:rPr>
        <w:t xml:space="preserve">, consente al giudice amministrativo di salvaguardare la posizione giuridica dell’amministrato in tempi ristrettissimi, sostanzialmente dando una risposta in tempo reale alla sua richiesta di giustizia e intervenendo laddove non si possa attendere nemmeno la celebrazione dell’udienza camerale collegiale. </w:t>
      </w:r>
    </w:p>
    <w:p w14:paraId="668708B8" w14:textId="468F63E1" w:rsidR="00E92121" w:rsidRPr="0082560B" w:rsidRDefault="00E92121" w:rsidP="00E92121">
      <w:pPr>
        <w:pStyle w:val="Capoverso"/>
        <w:rPr>
          <w:szCs w:val="23"/>
        </w:rPr>
      </w:pPr>
      <w:r w:rsidRPr="0082560B">
        <w:rPr>
          <w:szCs w:val="23"/>
        </w:rPr>
        <w:t>Anche il provvedimento cautelare assunto nella predetta sede collegiale, oltre a dare una tutela immediata alla posizione giuridica del ricorrente</w:t>
      </w:r>
      <w:r w:rsidRPr="00BA7EA2">
        <w:rPr>
          <w:rStyle w:val="Rimandonotaapidipagina"/>
          <w:szCs w:val="23"/>
        </w:rPr>
        <w:t> </w:t>
      </w:r>
      <w:r w:rsidRPr="00BA7EA2">
        <w:rPr>
          <w:rStyle w:val="Rimandonotaapidipagina"/>
          <w:szCs w:val="23"/>
        </w:rPr>
        <w:footnoteReference w:id="84"/>
      </w:r>
      <w:r w:rsidRPr="0082560B">
        <w:rPr>
          <w:szCs w:val="23"/>
        </w:rPr>
        <w:t xml:space="preserve">, è altresì idoneo a garantire l’effettività della medesima tutela, poiché attraverso la tecnica del </w:t>
      </w:r>
      <w:proofErr w:type="spellStart"/>
      <w:r w:rsidRPr="001243BC">
        <w:rPr>
          <w:i/>
          <w:iCs/>
          <w:szCs w:val="23"/>
        </w:rPr>
        <w:t>remand</w:t>
      </w:r>
      <w:proofErr w:type="spellEnd"/>
      <w:r w:rsidRPr="0082560B">
        <w:rPr>
          <w:szCs w:val="23"/>
        </w:rPr>
        <w:t xml:space="preserve"> il giudice può fornire indicazioni specifiche e spesso anche molto puntuali all’Amministrazione, sostanzialmente indicandole come provvedere nella fattispecie controversa</w:t>
      </w:r>
      <w:r w:rsidRPr="00BA7EA2">
        <w:rPr>
          <w:rStyle w:val="Rimandonotaapidipagina"/>
          <w:szCs w:val="23"/>
        </w:rPr>
        <w:t> </w:t>
      </w:r>
      <w:r w:rsidRPr="00BA7EA2">
        <w:rPr>
          <w:rStyle w:val="Rimandonotaapidipagina"/>
          <w:szCs w:val="23"/>
        </w:rPr>
        <w:footnoteReference w:id="85"/>
      </w:r>
      <w:r w:rsidRPr="0082560B">
        <w:rPr>
          <w:szCs w:val="23"/>
        </w:rPr>
        <w:t>. Inoltre, è ben possibile che al</w:t>
      </w:r>
      <w:r w:rsidR="00391A67">
        <w:rPr>
          <w:szCs w:val="23"/>
        </w:rPr>
        <w:softHyphen/>
      </w:r>
      <w:r w:rsidRPr="0082560B">
        <w:rPr>
          <w:szCs w:val="23"/>
        </w:rPr>
        <w:lastRenderedPageBreak/>
        <w:t xml:space="preserve">l’esito della trattazione della domanda cautelare, ove ne ricorrano i presupposti formali e sostanziali, il giudizio venga definito con sentenza in forma semplificata, </w:t>
      </w:r>
      <w:r w:rsidR="00537000">
        <w:rPr>
          <w:szCs w:val="23"/>
        </w:rPr>
        <w:t>determinandosi in tal modo</w:t>
      </w:r>
      <w:r w:rsidRPr="0082560B">
        <w:rPr>
          <w:szCs w:val="23"/>
        </w:rPr>
        <w:t xml:space="preserve"> una sensibile contrazione delle tempistiche processuali che garantisce una maggiore e più celere tutela per le posizioni delle parti </w:t>
      </w:r>
      <w:r w:rsidR="00C34518">
        <w:rPr>
          <w:szCs w:val="23"/>
        </w:rPr>
        <w:t>in causa</w:t>
      </w:r>
      <w:r w:rsidRPr="00BA7EA2">
        <w:rPr>
          <w:rStyle w:val="Rimandonotaapidipagina"/>
          <w:szCs w:val="23"/>
        </w:rPr>
        <w:t> </w:t>
      </w:r>
      <w:r w:rsidRPr="00BA7EA2">
        <w:rPr>
          <w:rStyle w:val="Rimandonotaapidipagina"/>
          <w:szCs w:val="23"/>
        </w:rPr>
        <w:footnoteReference w:id="86"/>
      </w:r>
      <w:r w:rsidRPr="0082560B">
        <w:rPr>
          <w:szCs w:val="23"/>
        </w:rPr>
        <w:t>.</w:t>
      </w:r>
    </w:p>
    <w:p w14:paraId="656658CD" w14:textId="7FCB9B1A" w:rsidR="00E92121" w:rsidRPr="0082560B" w:rsidRDefault="00E92121" w:rsidP="00E92121">
      <w:pPr>
        <w:pStyle w:val="Capoverso"/>
        <w:rPr>
          <w:szCs w:val="23"/>
        </w:rPr>
      </w:pPr>
      <w:r w:rsidRPr="0082560B">
        <w:rPr>
          <w:szCs w:val="23"/>
        </w:rPr>
        <w:t>Ulteriore strumento di effettività del giudizio amministrativo è rappresentato dalla possibilità di fronteggiare l’inerzia o il comportamento elusivo e lesivo dell’Amministrazione persino laddove sia già intervenuta una pronuncia giurisdizionale favorevole alla parte privata, ricorrendo al giudizio in sede di ottemperanza, specificamente riferito all’attuazione dei provvedimenti assunti in sede giurisdizionale e non eseguiti dall’Amministrazione; anche le pronunce rese in sede cautelare possono essere portate in esecuzione con tale procedimento</w:t>
      </w:r>
      <w:r w:rsidRPr="00BA7EA2">
        <w:rPr>
          <w:rStyle w:val="Rimandonotaapidipagina"/>
          <w:szCs w:val="23"/>
        </w:rPr>
        <w:t> </w:t>
      </w:r>
      <w:r w:rsidRPr="00BA7EA2">
        <w:rPr>
          <w:rStyle w:val="Rimandonotaapidipagina"/>
          <w:szCs w:val="23"/>
        </w:rPr>
        <w:footnoteReference w:id="87"/>
      </w:r>
      <w:r w:rsidRPr="0082560B">
        <w:rPr>
          <w:szCs w:val="23"/>
        </w:rPr>
        <w:t>. In tal modo il giudice amministrativo dà attuazione al comando giurisdizionale non eseguito spontaneamente dall’Amministrazione, che ha agito in violazione del dovere gravante sulla stessa</w:t>
      </w:r>
      <w:r w:rsidRPr="00BA7EA2">
        <w:rPr>
          <w:rStyle w:val="Rimandonotaapidipagina"/>
          <w:szCs w:val="23"/>
        </w:rPr>
        <w:t> </w:t>
      </w:r>
      <w:r w:rsidRPr="00BA7EA2">
        <w:rPr>
          <w:rStyle w:val="Rimandonotaapidipagina"/>
          <w:szCs w:val="23"/>
        </w:rPr>
        <w:footnoteReference w:id="88"/>
      </w:r>
      <w:r w:rsidRPr="0082560B">
        <w:rPr>
          <w:szCs w:val="23"/>
        </w:rPr>
        <w:t xml:space="preserve">. Il giudizio di ottemperanza rientra nella giurisdizione di merito del giudice amministrativo e ciò </w:t>
      </w:r>
      <w:r w:rsidR="00A7310D" w:rsidRPr="0082560B">
        <w:rPr>
          <w:szCs w:val="23"/>
        </w:rPr>
        <w:t>permette</w:t>
      </w:r>
      <w:r w:rsidRPr="0082560B">
        <w:rPr>
          <w:szCs w:val="23"/>
        </w:rPr>
        <w:t xml:space="preserve"> a quest’ultimo anche </w:t>
      </w:r>
      <w:r w:rsidR="00A7310D">
        <w:rPr>
          <w:szCs w:val="23"/>
        </w:rPr>
        <w:t xml:space="preserve">di </w:t>
      </w:r>
      <w:r w:rsidRPr="0082560B">
        <w:rPr>
          <w:szCs w:val="23"/>
        </w:rPr>
        <w:t>ado</w:t>
      </w:r>
      <w:r w:rsidR="00A7310D">
        <w:rPr>
          <w:szCs w:val="23"/>
        </w:rPr>
        <w:t xml:space="preserve">ttare </w:t>
      </w:r>
      <w:r w:rsidRPr="0082560B">
        <w:rPr>
          <w:szCs w:val="23"/>
        </w:rPr>
        <w:t xml:space="preserve">un nuovo atto, oppure </w:t>
      </w:r>
      <w:r w:rsidR="00A7310D">
        <w:rPr>
          <w:szCs w:val="23"/>
        </w:rPr>
        <w:t xml:space="preserve">di </w:t>
      </w:r>
      <w:r w:rsidRPr="0082560B">
        <w:rPr>
          <w:szCs w:val="23"/>
        </w:rPr>
        <w:t>modifica</w:t>
      </w:r>
      <w:r w:rsidR="00A7310D">
        <w:rPr>
          <w:szCs w:val="23"/>
        </w:rPr>
        <w:t>re</w:t>
      </w:r>
      <w:r w:rsidRPr="0082560B">
        <w:rPr>
          <w:szCs w:val="23"/>
        </w:rPr>
        <w:t xml:space="preserve"> o riforma</w:t>
      </w:r>
      <w:r w:rsidR="00A7310D">
        <w:rPr>
          <w:szCs w:val="23"/>
        </w:rPr>
        <w:t>re</w:t>
      </w:r>
      <w:r w:rsidRPr="0082560B">
        <w:rPr>
          <w:szCs w:val="23"/>
        </w:rPr>
        <w:t xml:space="preserve"> </w:t>
      </w:r>
      <w:r w:rsidR="00A7310D">
        <w:rPr>
          <w:szCs w:val="23"/>
        </w:rPr>
        <w:t>i</w:t>
      </w:r>
      <w:r w:rsidRPr="0082560B">
        <w:rPr>
          <w:szCs w:val="23"/>
        </w:rPr>
        <w:t xml:space="preserve">l provvedimento impugnato, come chiarito dall’art. 34, comma 1, lett. </w:t>
      </w:r>
      <w:r w:rsidRPr="001243BC">
        <w:rPr>
          <w:i/>
          <w:iCs/>
          <w:szCs w:val="23"/>
        </w:rPr>
        <w:t>d</w:t>
      </w:r>
      <w:r w:rsidR="001243BC">
        <w:rPr>
          <w:szCs w:val="23"/>
        </w:rPr>
        <w:t>)</w:t>
      </w:r>
      <w:r w:rsidR="00A7310D">
        <w:rPr>
          <w:szCs w:val="23"/>
        </w:rPr>
        <w:t>,</w:t>
      </w:r>
      <w:r w:rsidRPr="0082560B">
        <w:rPr>
          <w:szCs w:val="23"/>
        </w:rPr>
        <w:t xml:space="preserve"> del Codice di rito: la giurisdizione di merito consente al giudice di sostituirsi all’Amministrazione e operare quella </w:t>
      </w:r>
      <w:r w:rsidR="00A7310D">
        <w:rPr>
          <w:szCs w:val="23"/>
        </w:rPr>
        <w:t>composi</w:t>
      </w:r>
      <w:r w:rsidRPr="0082560B">
        <w:rPr>
          <w:szCs w:val="23"/>
        </w:rPr>
        <w:t xml:space="preserve">zione di interessi che di regola spetta esclusivamente alla medesima Amministrazione, con l’ulteriore possibilità di nominare un commissario </w:t>
      </w:r>
      <w:r w:rsidRPr="001243BC">
        <w:rPr>
          <w:i/>
          <w:iCs/>
          <w:szCs w:val="23"/>
        </w:rPr>
        <w:t>ad acta</w:t>
      </w:r>
      <w:r w:rsidRPr="0082560B">
        <w:rPr>
          <w:szCs w:val="23"/>
        </w:rPr>
        <w:t>, che provveda a eseguire materialmente l’ordine giudiziale ineseguito</w:t>
      </w:r>
      <w:r w:rsidRPr="00BA7EA2">
        <w:rPr>
          <w:rStyle w:val="Rimandonotaapidipagina"/>
          <w:szCs w:val="23"/>
        </w:rPr>
        <w:t> </w:t>
      </w:r>
      <w:r w:rsidRPr="00BA7EA2">
        <w:rPr>
          <w:rStyle w:val="Rimandonotaapidipagina"/>
          <w:szCs w:val="23"/>
        </w:rPr>
        <w:footnoteReference w:id="89"/>
      </w:r>
      <w:r w:rsidRPr="0082560B">
        <w:rPr>
          <w:szCs w:val="23"/>
        </w:rPr>
        <w:t xml:space="preserve">. Deve rilevarsi come la nomina del commissario </w:t>
      </w:r>
      <w:r w:rsidRPr="001243BC">
        <w:rPr>
          <w:i/>
          <w:iCs/>
          <w:szCs w:val="23"/>
        </w:rPr>
        <w:t>ad acta</w:t>
      </w:r>
      <w:r w:rsidRPr="0082560B">
        <w:rPr>
          <w:szCs w:val="23"/>
        </w:rPr>
        <w:t xml:space="preserve"> possa avvenire anche a</w:t>
      </w:r>
      <w:r w:rsidR="00A7310D">
        <w:rPr>
          <w:szCs w:val="23"/>
        </w:rPr>
        <w:t xml:space="preserve"> conclusione </w:t>
      </w:r>
      <w:r w:rsidRPr="0082560B">
        <w:rPr>
          <w:szCs w:val="23"/>
        </w:rPr>
        <w:t xml:space="preserve">del giudizio di cognizione, come stabilito dall’art. 34, comma 1, lett. </w:t>
      </w:r>
      <w:r w:rsidRPr="001243BC">
        <w:rPr>
          <w:i/>
          <w:iCs/>
          <w:szCs w:val="23"/>
        </w:rPr>
        <w:t>e</w:t>
      </w:r>
      <w:r w:rsidR="001243BC">
        <w:rPr>
          <w:szCs w:val="23"/>
        </w:rPr>
        <w:t>)</w:t>
      </w:r>
      <w:r w:rsidRPr="0082560B">
        <w:rPr>
          <w:szCs w:val="23"/>
        </w:rPr>
        <w:t xml:space="preserve">, cod. proc. </w:t>
      </w:r>
      <w:proofErr w:type="spellStart"/>
      <w:r w:rsidRPr="0082560B">
        <w:rPr>
          <w:szCs w:val="23"/>
        </w:rPr>
        <w:t>amm</w:t>
      </w:r>
      <w:proofErr w:type="spellEnd"/>
      <w:r w:rsidRPr="0082560B">
        <w:rPr>
          <w:szCs w:val="23"/>
        </w:rPr>
        <w:t xml:space="preserve">., così anticipando e rafforzando la tutela già all’esito del citato giudizio e scongiurando il rischio di dover attivare un successivo giudizio in </w:t>
      </w:r>
      <w:r w:rsidRPr="0082560B">
        <w:rPr>
          <w:szCs w:val="23"/>
        </w:rPr>
        <w:lastRenderedPageBreak/>
        <w:t>sede di ottemperanza</w:t>
      </w:r>
      <w:r w:rsidRPr="00BA7EA2">
        <w:rPr>
          <w:rStyle w:val="Rimandonotaapidipagina"/>
          <w:szCs w:val="23"/>
        </w:rPr>
        <w:t> </w:t>
      </w:r>
      <w:r w:rsidRPr="00BA7EA2">
        <w:rPr>
          <w:rStyle w:val="Rimandonotaapidipagina"/>
          <w:szCs w:val="23"/>
        </w:rPr>
        <w:footnoteReference w:id="90"/>
      </w:r>
      <w:r w:rsidRPr="0082560B">
        <w:rPr>
          <w:szCs w:val="23"/>
        </w:rPr>
        <w:t>.</w:t>
      </w:r>
    </w:p>
    <w:p w14:paraId="2269A823" w14:textId="410A29EF" w:rsidR="00E92121" w:rsidRPr="0082560B" w:rsidRDefault="00E92121" w:rsidP="00E92121">
      <w:pPr>
        <w:pStyle w:val="Capoverso"/>
        <w:rPr>
          <w:szCs w:val="23"/>
        </w:rPr>
      </w:pPr>
      <w:r w:rsidRPr="0082560B">
        <w:rPr>
          <w:szCs w:val="23"/>
        </w:rPr>
        <w:t xml:space="preserve">Da ultimo, il giudice amministrativo ha la possibilità di garantire tutela ai soggetti </w:t>
      </w:r>
      <w:r w:rsidR="006C429C">
        <w:rPr>
          <w:szCs w:val="23"/>
        </w:rPr>
        <w:t>les</w:t>
      </w:r>
      <w:r w:rsidRPr="0082560B">
        <w:rPr>
          <w:szCs w:val="23"/>
        </w:rPr>
        <w:t xml:space="preserve">i anche in presenza di una totale inerzia dell’Amministrazione che </w:t>
      </w:r>
      <w:r w:rsidR="004E2970">
        <w:rPr>
          <w:szCs w:val="23"/>
        </w:rPr>
        <w:t xml:space="preserve">dovesse </w:t>
      </w:r>
      <w:r w:rsidRPr="0082560B">
        <w:rPr>
          <w:szCs w:val="23"/>
        </w:rPr>
        <w:t>manifesta</w:t>
      </w:r>
      <w:r w:rsidR="004E2970">
        <w:rPr>
          <w:szCs w:val="23"/>
        </w:rPr>
        <w:t>rsi</w:t>
      </w:r>
      <w:r w:rsidRPr="0082560B">
        <w:rPr>
          <w:szCs w:val="23"/>
        </w:rPr>
        <w:t xml:space="preserve"> a seguito dell’avvio del procedimento finalizzato alla predisposizione del progetto di vita individuale, visto che l’omessa attivazione del potere amministrativo può essere contestata con il rito (speciale) avverso il silenzio dell’Amministrazione, disciplinato dagli artt. 31 e 117 cod. proc. </w:t>
      </w:r>
      <w:proofErr w:type="spellStart"/>
      <w:r w:rsidRPr="0082560B">
        <w:rPr>
          <w:szCs w:val="23"/>
        </w:rPr>
        <w:t>amm</w:t>
      </w:r>
      <w:proofErr w:type="spellEnd"/>
      <w:r w:rsidRPr="0082560B">
        <w:rPr>
          <w:szCs w:val="23"/>
        </w:rPr>
        <w:t xml:space="preserve">. La peculiarità di tale giudizio, che si conclude in tempi alquanto ristretti, è data dalla possibilità per il giudice di pronunciarsi sulla fondatezza della pretesa dedotta in giudizio, almeno laddove ci si trovi al cospetto di un’attività vincolata o </w:t>
      </w:r>
      <w:r w:rsidR="004E2970">
        <w:rPr>
          <w:szCs w:val="23"/>
        </w:rPr>
        <w:t>allor</w:t>
      </w:r>
      <w:r w:rsidRPr="0082560B">
        <w:rPr>
          <w:szCs w:val="23"/>
        </w:rPr>
        <w:t>quando non residu</w:t>
      </w:r>
      <w:r w:rsidR="000B3825">
        <w:rPr>
          <w:szCs w:val="23"/>
        </w:rPr>
        <w:t>i</w:t>
      </w:r>
      <w:r w:rsidRPr="0082560B">
        <w:rPr>
          <w:szCs w:val="23"/>
        </w:rPr>
        <w:t>no ulteriori margini di esercizio della discrezionalità e non sono necessari adempimenti istruttori che debbano essere compiuti dall’Amministrazione</w:t>
      </w:r>
      <w:r w:rsidRPr="00BA7EA2">
        <w:rPr>
          <w:rStyle w:val="Rimandonotaapidipagina"/>
          <w:szCs w:val="23"/>
        </w:rPr>
        <w:t> </w:t>
      </w:r>
      <w:r w:rsidRPr="00BA7EA2">
        <w:rPr>
          <w:rStyle w:val="Rimandonotaapidipagina"/>
          <w:szCs w:val="23"/>
        </w:rPr>
        <w:footnoteReference w:id="91"/>
      </w:r>
      <w:r w:rsidRPr="0082560B">
        <w:rPr>
          <w:szCs w:val="23"/>
        </w:rPr>
        <w:t xml:space="preserve">; pur non potendosi ricomprendere la redazione di un progetto di vita tra gli atti vincolati (anche) nel </w:t>
      </w:r>
      <w:proofErr w:type="spellStart"/>
      <w:r w:rsidRPr="001243BC">
        <w:rPr>
          <w:i/>
          <w:iCs/>
          <w:szCs w:val="23"/>
        </w:rPr>
        <w:t>quomodo</w:t>
      </w:r>
      <w:proofErr w:type="spellEnd"/>
      <w:r w:rsidRPr="0082560B">
        <w:rPr>
          <w:szCs w:val="23"/>
        </w:rPr>
        <w:t>, potrebbe accadere che l’Amministrazione abbia già esaurito tutti i margini di discrezionalità a sua disposizione e quindi il giudice sia in grado di stabilire abbastanza puntualmente l’obbligo gravante sull’Amministrazione</w:t>
      </w:r>
      <w:r w:rsidRPr="00BA7EA2">
        <w:rPr>
          <w:rStyle w:val="Rimandonotaapidipagina"/>
          <w:szCs w:val="23"/>
        </w:rPr>
        <w:t> </w:t>
      </w:r>
      <w:r w:rsidRPr="00BA7EA2">
        <w:rPr>
          <w:rStyle w:val="Rimandonotaapidipagina"/>
          <w:szCs w:val="23"/>
        </w:rPr>
        <w:footnoteReference w:id="92"/>
      </w:r>
      <w:r w:rsidRPr="0082560B">
        <w:rPr>
          <w:szCs w:val="23"/>
        </w:rPr>
        <w:t>.</w:t>
      </w:r>
    </w:p>
    <w:p w14:paraId="4A63FD43" w14:textId="3DF78878" w:rsidR="00E92121" w:rsidRPr="0082560B" w:rsidRDefault="00E92121" w:rsidP="00E92121">
      <w:pPr>
        <w:pStyle w:val="Capoverso"/>
        <w:rPr>
          <w:szCs w:val="23"/>
        </w:rPr>
      </w:pPr>
      <w:r w:rsidRPr="0082560B">
        <w:rPr>
          <w:szCs w:val="23"/>
        </w:rPr>
        <w:t>In senso contrario, non sembra determinante la non piena e perfetta equiparabilità del giudizio amministrativo rispetto a quello civile, in specie con riguardo all’istruttoria, alla tutela risarcitoria, alla sua struttura, incentrata non sull’accertamento del diritto ma sul potere, e al rilievo dell’interesse pubblico e della mediazione tra gli opposti interessi</w:t>
      </w:r>
      <w:r w:rsidRPr="00BA7EA2">
        <w:rPr>
          <w:rStyle w:val="Rimandonotaapidipagina"/>
          <w:szCs w:val="23"/>
        </w:rPr>
        <w:t> </w:t>
      </w:r>
      <w:r w:rsidRPr="00BA7EA2">
        <w:rPr>
          <w:rStyle w:val="Rimandonotaapidipagina"/>
          <w:szCs w:val="23"/>
        </w:rPr>
        <w:footnoteReference w:id="93"/>
      </w:r>
      <w:r w:rsidRPr="0082560B">
        <w:rPr>
          <w:szCs w:val="23"/>
        </w:rPr>
        <w:t>, poiché è ormai assodato che il giudizio amministrativo è finalizzato a garantire alle parti che agiscono il bene della vita e tale obiettivo è così rilevante che la giurisprudenza amministrativa ammette la proponibilità di azioni atipiche, anche non disciplinate espressamente dal Codice del processo amministrativo, ove ciò sia necessario per colmare delle lacune a tutela di posizioni giuridiche protette</w:t>
      </w:r>
      <w:r w:rsidRPr="00BA7EA2">
        <w:rPr>
          <w:rStyle w:val="Rimandonotaapidipagina"/>
          <w:szCs w:val="23"/>
        </w:rPr>
        <w:t> </w:t>
      </w:r>
      <w:r w:rsidRPr="00BA7EA2">
        <w:rPr>
          <w:rStyle w:val="Rimandonotaapidipagina"/>
          <w:szCs w:val="23"/>
        </w:rPr>
        <w:footnoteReference w:id="94"/>
      </w:r>
      <w:r w:rsidRPr="0082560B">
        <w:rPr>
          <w:szCs w:val="23"/>
        </w:rPr>
        <w:t>. Difatti, l’art. 1 del citato Codice stabilisce che «</w:t>
      </w:r>
      <w:r w:rsidRPr="001243BC">
        <w:rPr>
          <w:i/>
          <w:iCs/>
          <w:szCs w:val="23"/>
        </w:rPr>
        <w:t>la giurisdizione amministrativa assicura una tutela piena ed effettiva secondo i principi della Costituzione e del diritto europeo</w:t>
      </w:r>
      <w:r w:rsidRPr="0082560B">
        <w:rPr>
          <w:szCs w:val="23"/>
        </w:rPr>
        <w:t xml:space="preserve">», così affermando la pari dignità della giurisdizione amministrativa </w:t>
      </w:r>
      <w:r w:rsidRPr="0082560B">
        <w:rPr>
          <w:szCs w:val="23"/>
        </w:rPr>
        <w:lastRenderedPageBreak/>
        <w:t xml:space="preserve">rispetto alle altre giurisdizioni, e in particolare a quella civile, e sottolineando come la tutela offerta dal giudice amministrativo debba essere piena ed effettiva, ossia in grado di garantire l’ottenimento dell’utilità richiesta – </w:t>
      </w:r>
      <w:r w:rsidRPr="001243BC">
        <w:rPr>
          <w:i/>
          <w:iCs/>
          <w:szCs w:val="23"/>
        </w:rPr>
        <w:t>id est</w:t>
      </w:r>
      <w:r w:rsidRPr="0082560B">
        <w:rPr>
          <w:szCs w:val="23"/>
        </w:rPr>
        <w:t>, il bene della vita – al privato che si rivolge ad esso.</w:t>
      </w:r>
    </w:p>
    <w:p w14:paraId="298F43C4" w14:textId="6E1AF777" w:rsidR="00AF3CBA" w:rsidRDefault="00E92121" w:rsidP="00B76120">
      <w:pPr>
        <w:pStyle w:val="Capoverso"/>
        <w:rPr>
          <w:szCs w:val="23"/>
        </w:rPr>
      </w:pPr>
      <w:r w:rsidRPr="00391A67">
        <w:rPr>
          <w:spacing w:val="-1"/>
          <w:szCs w:val="23"/>
        </w:rPr>
        <w:t xml:space="preserve">Inoltre deve anche sottolinearsi come il plesso giurisdizionale civile non è dotato di strumenti efficaci per imporre all’Amministrazione l’esecuzione delle proprie pronunce, </w:t>
      </w:r>
      <w:r w:rsidR="000B3825" w:rsidRPr="00391A67">
        <w:rPr>
          <w:spacing w:val="-1"/>
          <w:szCs w:val="23"/>
        </w:rPr>
        <w:t xml:space="preserve">che </w:t>
      </w:r>
      <w:r w:rsidRPr="00391A67">
        <w:rPr>
          <w:spacing w:val="-1"/>
          <w:szCs w:val="23"/>
        </w:rPr>
        <w:t xml:space="preserve">deve comunque </w:t>
      </w:r>
      <w:r w:rsidR="000B3825" w:rsidRPr="00391A67">
        <w:rPr>
          <w:spacing w:val="-1"/>
          <w:szCs w:val="23"/>
        </w:rPr>
        <w:t>avveni</w:t>
      </w:r>
      <w:r w:rsidRPr="00391A67">
        <w:rPr>
          <w:spacing w:val="-1"/>
          <w:szCs w:val="23"/>
        </w:rPr>
        <w:t xml:space="preserve">re </w:t>
      </w:r>
      <w:r w:rsidR="000B3825" w:rsidRPr="00391A67">
        <w:rPr>
          <w:spacing w:val="-1"/>
          <w:szCs w:val="23"/>
        </w:rPr>
        <w:t xml:space="preserve">previa </w:t>
      </w:r>
      <w:r w:rsidRPr="00391A67">
        <w:rPr>
          <w:spacing w:val="-1"/>
          <w:szCs w:val="23"/>
        </w:rPr>
        <w:t>attivazione del già citato giudizio di ottemperanza, attraverso il quale il giudice</w:t>
      </w:r>
      <w:r w:rsidRPr="0082560B">
        <w:rPr>
          <w:szCs w:val="23"/>
        </w:rPr>
        <w:t xml:space="preserve"> amministrativo può sostituire l’Amministrazione inadempiente rispetto a un provvedimento giurisdizionale. Pare opportuno rilevare altresì che le sentenze (o i provvedimenti equiparati) del giudice ordinario per poter essere portate a esecuzione devono essere passate in giudicato e nella loro esecuzione incontrano pure dei limiti, </w:t>
      </w:r>
      <w:r w:rsidR="001243BC">
        <w:rPr>
          <w:szCs w:val="23"/>
        </w:rPr>
        <w:t>«</w:t>
      </w:r>
      <w:r w:rsidRPr="001243BC">
        <w:rPr>
          <w:i/>
          <w:iCs/>
          <w:szCs w:val="23"/>
        </w:rPr>
        <w:t>giacché in tali frangenti la regola discendente dal giudicato può essere ricavata esclusivamente da elementi interni allo stesso, non essendo ammissibile una implementazione del comando giudiziale attraverso riferimenti estranei alla stessa o ad aspetti che comunque non possono assumersi come del tutto pacifici</w:t>
      </w:r>
      <w:r w:rsidR="001243BC">
        <w:rPr>
          <w:szCs w:val="23"/>
        </w:rPr>
        <w:t>»</w:t>
      </w:r>
      <w:r w:rsidR="001243BC">
        <w:rPr>
          <w:szCs w:val="23"/>
          <w:vertAlign w:val="superscript"/>
        </w:rPr>
        <w:t> </w:t>
      </w:r>
      <w:r w:rsidRPr="00BA7EA2">
        <w:rPr>
          <w:rStyle w:val="Rimandonotaapidipagina"/>
          <w:szCs w:val="23"/>
        </w:rPr>
        <w:footnoteReference w:id="95"/>
      </w:r>
      <w:r w:rsidRPr="0082560B">
        <w:rPr>
          <w:szCs w:val="23"/>
        </w:rPr>
        <w:t>. Quindi, la scelta del plesso giurisdizionale civile determina un possibile incremento dei tempi di definizione del contenzioso (ove l’Amministrazione resti inerte dopo la pronuncia giudiziale) e limita anche l’effettività della tutela (non potendo il giudice amministrativo in sede di ottemperanza “</w:t>
      </w:r>
      <w:r w:rsidRPr="00391A67">
        <w:rPr>
          <w:i/>
          <w:iCs/>
          <w:szCs w:val="23"/>
        </w:rPr>
        <w:t>completare</w:t>
      </w:r>
      <w:r w:rsidRPr="0082560B">
        <w:rPr>
          <w:szCs w:val="23"/>
        </w:rPr>
        <w:t>” il comando contenuto nella sentenza del giudice ordinario).</w:t>
      </w:r>
      <w:bookmarkEnd w:id="0"/>
    </w:p>
    <w:p w14:paraId="057166CB" w14:textId="77777777" w:rsidR="00391A67" w:rsidRPr="00B76120" w:rsidRDefault="00391A67" w:rsidP="00B76120">
      <w:pPr>
        <w:pStyle w:val="Capoverso"/>
        <w:rPr>
          <w:szCs w:val="23"/>
        </w:rPr>
      </w:pPr>
    </w:p>
    <w:sectPr w:rsidR="00391A67" w:rsidRPr="00B76120" w:rsidSect="00391A67">
      <w:headerReference w:type="even" r:id="rId8"/>
      <w:headerReference w:type="default" r:id="rId9"/>
      <w:headerReference w:type="first" r:id="rId10"/>
      <w:type w:val="evenPage"/>
      <w:pgSz w:w="9639" w:h="13608" w:code="307"/>
      <w:pgMar w:top="1843" w:right="1276" w:bottom="1276" w:left="1276" w:header="1276" w:footer="0" w:gutter="0"/>
      <w:pgNumType w:start="32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FE0BC" w14:textId="77777777" w:rsidR="00CE3814" w:rsidRDefault="00CE3814" w:rsidP="00B44A62">
      <w:pPr>
        <w:spacing w:after="0" w:line="240" w:lineRule="auto"/>
      </w:pPr>
      <w:r>
        <w:separator/>
      </w:r>
    </w:p>
  </w:endnote>
  <w:endnote w:type="continuationSeparator" w:id="0">
    <w:p w14:paraId="0D42BE0F" w14:textId="77777777" w:rsidR="00CE3814" w:rsidRDefault="00CE3814" w:rsidP="00B44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oncini Garamond Std">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la">
    <w:charset w:val="00"/>
    <w:family w:val="auto"/>
    <w:pitch w:val="variable"/>
    <w:sig w:usb0="A00000E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Friz Quadrata">
    <w:altName w:val="Cambri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1134"/>
      </w:tblGrid>
      <w:tr w:rsidR="00CE3814" w:rsidRPr="00013880" w14:paraId="08161BE2" w14:textId="77777777" w:rsidTr="00F93AE0">
        <w:tc>
          <w:tcPr>
            <w:tcW w:w="1134" w:type="dxa"/>
          </w:tcPr>
          <w:p w14:paraId="1670FFE8" w14:textId="77777777" w:rsidR="00CE3814" w:rsidRPr="00013880" w:rsidRDefault="00CE3814" w:rsidP="00D85D59">
            <w:pPr>
              <w:spacing w:after="0" w:line="160" w:lineRule="exact"/>
              <w:jc w:val="both"/>
              <w:rPr>
                <w:rFonts w:ascii="Times New Roman" w:hAnsi="Times New Roman"/>
                <w:sz w:val="16"/>
                <w:szCs w:val="16"/>
              </w:rPr>
            </w:pPr>
          </w:p>
        </w:tc>
      </w:tr>
    </w:tbl>
    <w:p w14:paraId="53387435" w14:textId="77777777" w:rsidR="00CE3814" w:rsidRPr="00013880" w:rsidRDefault="00CE3814" w:rsidP="00D85D59">
      <w:pPr>
        <w:spacing w:after="0" w:line="100" w:lineRule="exact"/>
        <w:jc w:val="both"/>
        <w:rPr>
          <w:rFonts w:ascii="Times New Roman" w:hAnsi="Times New Roman"/>
          <w:sz w:val="24"/>
          <w:szCs w:val="24"/>
        </w:rPr>
      </w:pPr>
    </w:p>
  </w:footnote>
  <w:footnote w:type="continuationSeparator" w:id="0">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1134"/>
      </w:tblGrid>
      <w:tr w:rsidR="00CE3814" w:rsidRPr="00013880" w14:paraId="6BD0D39D" w14:textId="77777777" w:rsidTr="00F93AE0">
        <w:tc>
          <w:tcPr>
            <w:tcW w:w="1134" w:type="dxa"/>
          </w:tcPr>
          <w:p w14:paraId="1AE2046F" w14:textId="77777777" w:rsidR="00CE3814" w:rsidRPr="00013880" w:rsidRDefault="00CE3814" w:rsidP="004E56F5">
            <w:pPr>
              <w:spacing w:after="0" w:line="160" w:lineRule="exact"/>
              <w:jc w:val="both"/>
              <w:rPr>
                <w:rFonts w:ascii="Times New Roman" w:hAnsi="Times New Roman"/>
                <w:sz w:val="16"/>
                <w:szCs w:val="16"/>
              </w:rPr>
            </w:pPr>
          </w:p>
        </w:tc>
      </w:tr>
    </w:tbl>
    <w:p w14:paraId="45531E34" w14:textId="77777777" w:rsidR="00CE3814" w:rsidRPr="00013880" w:rsidRDefault="00CE3814" w:rsidP="004E56F5">
      <w:pPr>
        <w:spacing w:after="0" w:line="100" w:lineRule="exact"/>
        <w:jc w:val="both"/>
        <w:rPr>
          <w:rFonts w:ascii="Times New Roman" w:hAnsi="Times New Roman"/>
          <w:sz w:val="24"/>
          <w:szCs w:val="24"/>
        </w:rPr>
      </w:pPr>
    </w:p>
  </w:footnote>
  <w:footnote w:type="continuationNotice" w:id="1">
    <w:p w14:paraId="2EF03F0A" w14:textId="77777777" w:rsidR="00CE3814" w:rsidRPr="00880E03" w:rsidRDefault="00CE3814" w:rsidP="00171ADB">
      <w:pPr>
        <w:spacing w:after="0" w:line="240" w:lineRule="auto"/>
        <w:rPr>
          <w:sz w:val="2"/>
          <w:szCs w:val="2"/>
        </w:rPr>
      </w:pPr>
    </w:p>
  </w:footnote>
  <w:footnote w:id="2">
    <w:p w14:paraId="69C66D18" w14:textId="360C20F9" w:rsidR="00E6467B" w:rsidRDefault="00E6467B">
      <w:pPr>
        <w:pStyle w:val="Testonotaapidipagina"/>
      </w:pPr>
      <w:r>
        <w:rPr>
          <w:rStyle w:val="Rimandonotaapidipagina"/>
        </w:rPr>
        <w:footnoteRef/>
      </w:r>
      <w:r w:rsidR="009C3BB8">
        <w:rPr>
          <w:vertAlign w:val="superscript"/>
        </w:rPr>
        <w:t> </w:t>
      </w:r>
      <w:r w:rsidR="0017737D">
        <w:t>Cfr.</w:t>
      </w:r>
      <w:r w:rsidR="005957E9">
        <w:t xml:space="preserve"> </w:t>
      </w:r>
      <w:r w:rsidR="005957E9" w:rsidRPr="00391A67">
        <w:rPr>
          <w:smallCaps/>
        </w:rPr>
        <w:t>A. Ruggeri</w:t>
      </w:r>
      <w:r w:rsidR="005957E9">
        <w:t xml:space="preserve">, </w:t>
      </w:r>
      <w:r w:rsidR="005957E9" w:rsidRPr="00391A67">
        <w:rPr>
          <w:i/>
          <w:iCs/>
        </w:rPr>
        <w:t>Il principio personalista e le sue proiezioni</w:t>
      </w:r>
      <w:r w:rsidR="005957E9">
        <w:t xml:space="preserve">, in </w:t>
      </w:r>
      <w:r w:rsidR="005957E9" w:rsidRPr="00391A67">
        <w:rPr>
          <w:i/>
          <w:iCs/>
        </w:rPr>
        <w:t>Federalismi</w:t>
      </w:r>
      <w:r w:rsidR="005957E9">
        <w:t>, n. 17/2013;</w:t>
      </w:r>
      <w:r w:rsidR="0017737D">
        <w:t xml:space="preserve"> è</w:t>
      </w:r>
      <w:r>
        <w:t xml:space="preserve"> la </w:t>
      </w:r>
      <w:r w:rsidR="009C3BB8">
        <w:t>«</w:t>
      </w:r>
      <w:r w:rsidRPr="00391A67">
        <w:rPr>
          <w:i/>
          <w:iCs/>
        </w:rPr>
        <w:t>persona il fine del sistema delle libertà costituzionali</w:t>
      </w:r>
      <w:r w:rsidR="009C3BB8">
        <w:t>»</w:t>
      </w:r>
      <w:r>
        <w:t xml:space="preserve">, secondo </w:t>
      </w:r>
      <w:r w:rsidRPr="00391A67">
        <w:rPr>
          <w:smallCaps/>
        </w:rPr>
        <w:t xml:space="preserve">F. </w:t>
      </w:r>
      <w:proofErr w:type="spellStart"/>
      <w:r w:rsidRPr="00391A67">
        <w:rPr>
          <w:smallCaps/>
        </w:rPr>
        <w:t>Vivaldelli</w:t>
      </w:r>
      <w:proofErr w:type="spellEnd"/>
      <w:r>
        <w:t>,</w:t>
      </w:r>
      <w:r w:rsidR="002A6067" w:rsidRPr="002A6067">
        <w:t xml:space="preserve"> </w:t>
      </w:r>
      <w:r w:rsidR="002A6067" w:rsidRPr="00391A67">
        <w:rPr>
          <w:i/>
          <w:iCs/>
        </w:rPr>
        <w:t xml:space="preserve">Disabilità, diritti politici e democrazia digitale. Considerazioni a margine della </w:t>
      </w:r>
      <w:proofErr w:type="spellStart"/>
      <w:r w:rsidR="002A6067" w:rsidRPr="00391A67">
        <w:rPr>
          <w:i/>
          <w:iCs/>
        </w:rPr>
        <w:t>sent</w:t>
      </w:r>
      <w:proofErr w:type="spellEnd"/>
      <w:r w:rsidR="002A6067" w:rsidRPr="00391A67">
        <w:rPr>
          <w:i/>
          <w:iCs/>
        </w:rPr>
        <w:t>. n. 3/2025 della Corte costituzionale</w:t>
      </w:r>
      <w:r w:rsidR="002A6067">
        <w:t xml:space="preserve">, </w:t>
      </w:r>
      <w:r w:rsidR="002A6067">
        <w:rPr>
          <w:rFonts w:cs="Times New Roman"/>
          <w:szCs w:val="19"/>
        </w:rPr>
        <w:t xml:space="preserve">in </w:t>
      </w:r>
      <w:r w:rsidR="002A6067" w:rsidRPr="002219B2">
        <w:rPr>
          <w:rFonts w:cs="Times New Roman"/>
          <w:i/>
          <w:iCs/>
          <w:szCs w:val="19"/>
        </w:rPr>
        <w:t>Riv</w:t>
      </w:r>
      <w:r w:rsidR="009C3BB8">
        <w:rPr>
          <w:rFonts w:cs="Times New Roman"/>
          <w:i/>
          <w:iCs/>
          <w:szCs w:val="19"/>
        </w:rPr>
        <w:t>.</w:t>
      </w:r>
      <w:r w:rsidR="002A6067" w:rsidRPr="002219B2">
        <w:rPr>
          <w:rFonts w:cs="Times New Roman"/>
          <w:i/>
          <w:iCs/>
          <w:szCs w:val="19"/>
        </w:rPr>
        <w:t xml:space="preserve"> Gruppo di Pisa</w:t>
      </w:r>
      <w:r w:rsidR="002A6067">
        <w:rPr>
          <w:rFonts w:cs="Times New Roman"/>
          <w:szCs w:val="19"/>
        </w:rPr>
        <w:t>, n. 1/2025,</w:t>
      </w:r>
      <w:r w:rsidR="002A6067" w:rsidRPr="002A6067">
        <w:t xml:space="preserve"> </w:t>
      </w:r>
      <w:r>
        <w:t>p. 171.</w:t>
      </w:r>
    </w:p>
  </w:footnote>
  <w:footnote w:id="3">
    <w:p w14:paraId="5ACA2817" w14:textId="1224AB5E" w:rsidR="00E92121" w:rsidRPr="008B436B" w:rsidRDefault="00E92121" w:rsidP="00391A67">
      <w:pPr>
        <w:pStyle w:val="Testonotaapidipagina"/>
        <w:widowControl w:val="0"/>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I diritti fondamentali non sono da considerare un numero chiuso, ristretto soltanto a quelli espressamente nominati e disciplinati da specifiche disposizioni, ma sono da implementare costantemente in base all’evoluzione sociale e al sorgere di nuovi bisogni, il cui fondamento viene rinvenuto nel richiamato art. 2 Cost</w:t>
      </w:r>
      <w:r w:rsidR="00926D6A" w:rsidRPr="008B436B">
        <w:rPr>
          <w:rFonts w:cs="Times New Roman"/>
          <w:szCs w:val="19"/>
        </w:rPr>
        <w:t>.</w:t>
      </w:r>
      <w:r w:rsidRPr="008B436B">
        <w:rPr>
          <w:rFonts w:cs="Times New Roman"/>
          <w:szCs w:val="19"/>
        </w:rPr>
        <w:t>, considerato una clausola “</w:t>
      </w:r>
      <w:r w:rsidRPr="00391A67">
        <w:rPr>
          <w:rFonts w:cs="Times New Roman"/>
          <w:i/>
          <w:iCs/>
          <w:szCs w:val="19"/>
        </w:rPr>
        <w:t>aperta</w:t>
      </w:r>
      <w:r w:rsidRPr="008B436B">
        <w:rPr>
          <w:rFonts w:cs="Times New Roman"/>
          <w:szCs w:val="19"/>
        </w:rPr>
        <w:t xml:space="preserve">” e perciò in grado di favorire l’enucleazione di nuovi diritti: cfr. </w:t>
      </w:r>
      <w:r w:rsidRPr="008B436B">
        <w:rPr>
          <w:rFonts w:cs="Times New Roman"/>
          <w:smallCaps/>
          <w:szCs w:val="19"/>
        </w:rPr>
        <w:t>G. Silvestri</w:t>
      </w:r>
      <w:r w:rsidRPr="008B436B">
        <w:rPr>
          <w:rFonts w:cs="Times New Roman"/>
          <w:szCs w:val="19"/>
        </w:rPr>
        <w:t xml:space="preserve">, </w:t>
      </w:r>
      <w:r w:rsidRPr="008B436B">
        <w:rPr>
          <w:rFonts w:cs="Times New Roman"/>
          <w:i/>
          <w:szCs w:val="19"/>
        </w:rPr>
        <w:t>L’individuazione dei diritti della persona</w:t>
      </w:r>
      <w:r w:rsidRPr="008B436B">
        <w:rPr>
          <w:rFonts w:cs="Times New Roman"/>
          <w:szCs w:val="19"/>
        </w:rPr>
        <w:t xml:space="preserve">, </w:t>
      </w:r>
      <w:bookmarkStart w:id="2" w:name="_Hlk197167041"/>
      <w:r w:rsidRPr="008B436B">
        <w:rPr>
          <w:rFonts w:cs="Times New Roman"/>
          <w:szCs w:val="19"/>
        </w:rPr>
        <w:t xml:space="preserve">in </w:t>
      </w:r>
      <w:hyperlink r:id="rId1" w:history="1">
        <w:r w:rsidRPr="008B436B">
          <w:rPr>
            <w:rFonts w:cs="Times New Roman"/>
            <w:i/>
            <w:iCs/>
            <w:szCs w:val="19"/>
          </w:rPr>
          <w:t>https://www.penalecontemporaneo.it/upload/1928-silvestri2018a.pdf</w:t>
        </w:r>
      </w:hyperlink>
      <w:r w:rsidRPr="008B436B">
        <w:rPr>
          <w:rFonts w:cs="Times New Roman"/>
          <w:szCs w:val="19"/>
        </w:rPr>
        <w:t xml:space="preserve">, 2018, </w:t>
      </w:r>
      <w:r w:rsidR="00926D6A" w:rsidRPr="008B436B">
        <w:rPr>
          <w:rFonts w:cs="Times New Roman"/>
          <w:szCs w:val="19"/>
        </w:rPr>
        <w:t xml:space="preserve">pp. </w:t>
      </w:r>
      <w:r w:rsidRPr="008B436B">
        <w:rPr>
          <w:rFonts w:cs="Times New Roman"/>
          <w:szCs w:val="19"/>
        </w:rPr>
        <w:t>2-3</w:t>
      </w:r>
      <w:bookmarkEnd w:id="2"/>
      <w:r w:rsidRPr="008B436B">
        <w:rPr>
          <w:rFonts w:cs="Times New Roman"/>
          <w:szCs w:val="19"/>
        </w:rPr>
        <w:t xml:space="preserve">; </w:t>
      </w:r>
      <w:r w:rsidRPr="008B436B">
        <w:rPr>
          <w:rFonts w:cs="Times New Roman"/>
          <w:smallCaps/>
          <w:szCs w:val="19"/>
        </w:rPr>
        <w:t>F. Dal Canto</w:t>
      </w:r>
      <w:r w:rsidRPr="008B436B">
        <w:rPr>
          <w:rFonts w:cs="Times New Roman"/>
          <w:szCs w:val="19"/>
        </w:rPr>
        <w:t xml:space="preserve">, </w:t>
      </w:r>
      <w:r w:rsidRPr="008B436B">
        <w:rPr>
          <w:rFonts w:cs="Times New Roman"/>
          <w:i/>
          <w:szCs w:val="19"/>
        </w:rPr>
        <w:t>I principi fondamentali</w:t>
      </w:r>
      <w:r w:rsidRPr="008B436B">
        <w:rPr>
          <w:rFonts w:cs="Times New Roman"/>
          <w:szCs w:val="19"/>
        </w:rPr>
        <w:t xml:space="preserve">, in </w:t>
      </w:r>
      <w:r w:rsidRPr="008B436B">
        <w:rPr>
          <w:rFonts w:cs="Times New Roman"/>
          <w:smallCaps/>
          <w:szCs w:val="19"/>
        </w:rPr>
        <w:t>R. Romboli</w:t>
      </w:r>
      <w:r w:rsidRPr="008B436B">
        <w:rPr>
          <w:rFonts w:cs="Times New Roman"/>
          <w:szCs w:val="19"/>
        </w:rPr>
        <w:t xml:space="preserve"> (a cura), </w:t>
      </w:r>
      <w:r w:rsidRPr="008B436B">
        <w:rPr>
          <w:rFonts w:cs="Times New Roman"/>
          <w:i/>
          <w:szCs w:val="19"/>
        </w:rPr>
        <w:t>Manuale di diritto costituzionale italiano ed europeo</w:t>
      </w:r>
      <w:r w:rsidRPr="008B436B">
        <w:rPr>
          <w:rFonts w:cs="Times New Roman"/>
          <w:iCs/>
          <w:szCs w:val="19"/>
        </w:rPr>
        <w:t xml:space="preserve">, </w:t>
      </w:r>
      <w:r w:rsidR="00926D6A" w:rsidRPr="008B436B">
        <w:rPr>
          <w:rFonts w:cs="Times New Roman"/>
          <w:iCs/>
          <w:szCs w:val="19"/>
        </w:rPr>
        <w:t>vol. I,</w:t>
      </w:r>
      <w:r w:rsidRPr="008B436B">
        <w:rPr>
          <w:rFonts w:cs="Times New Roman"/>
          <w:i/>
          <w:szCs w:val="19"/>
        </w:rPr>
        <w:t xml:space="preserve"> Lo Stato e gli altri ordinamenti giuridici, i principi fondamentali e le istituzioni politiche</w:t>
      </w:r>
      <w:r w:rsidRPr="008B436B">
        <w:rPr>
          <w:rFonts w:cs="Times New Roman"/>
          <w:szCs w:val="19"/>
        </w:rPr>
        <w:t xml:space="preserve">, Torino, 2019, </w:t>
      </w:r>
      <w:r w:rsidR="0056368F" w:rsidRPr="008B436B">
        <w:rPr>
          <w:rFonts w:cs="Times New Roman"/>
          <w:szCs w:val="19"/>
        </w:rPr>
        <w:t>p.</w:t>
      </w:r>
      <w:r w:rsidR="00926D6A" w:rsidRPr="008B436B">
        <w:rPr>
          <w:rFonts w:cs="Times New Roman"/>
          <w:szCs w:val="19"/>
        </w:rPr>
        <w:t xml:space="preserve"> </w:t>
      </w:r>
      <w:r w:rsidRPr="008B436B">
        <w:rPr>
          <w:rFonts w:cs="Times New Roman"/>
          <w:szCs w:val="19"/>
        </w:rPr>
        <w:t xml:space="preserve">127; sia consentito il rinvio anche a </w:t>
      </w:r>
      <w:proofErr w:type="spellStart"/>
      <w:r w:rsidRPr="008B436B">
        <w:rPr>
          <w:rFonts w:cs="Times New Roman"/>
          <w:smallCaps/>
          <w:szCs w:val="19"/>
        </w:rPr>
        <w:t>A</w:t>
      </w:r>
      <w:proofErr w:type="spellEnd"/>
      <w:r w:rsidRPr="008B436B">
        <w:rPr>
          <w:rFonts w:cs="Times New Roman"/>
          <w:smallCaps/>
          <w:szCs w:val="19"/>
        </w:rPr>
        <w:t>. De Vita</w:t>
      </w:r>
      <w:r w:rsidRPr="008B436B">
        <w:rPr>
          <w:rFonts w:cs="Times New Roman"/>
          <w:szCs w:val="19"/>
        </w:rPr>
        <w:t xml:space="preserve">, </w:t>
      </w:r>
      <w:r w:rsidRPr="008B436B">
        <w:rPr>
          <w:rFonts w:cs="Times New Roman"/>
          <w:i/>
          <w:iCs/>
          <w:szCs w:val="19"/>
        </w:rPr>
        <w:t>Il diritto all’autodeterminazione in ambito sanitario e il testamento biologico: verso nuove frontiere del diritto?</w:t>
      </w:r>
      <w:r w:rsidRPr="008B436B">
        <w:rPr>
          <w:rFonts w:cs="Times New Roman"/>
          <w:szCs w:val="19"/>
        </w:rPr>
        <w:t xml:space="preserve"> </w:t>
      </w:r>
      <w:r w:rsidRPr="008B436B">
        <w:rPr>
          <w:rFonts w:cs="Times New Roman"/>
          <w:i/>
          <w:iCs/>
          <w:szCs w:val="19"/>
        </w:rPr>
        <w:t>Il diritto della sanità: problematiche attuali</w:t>
      </w:r>
      <w:r w:rsidRPr="008B436B">
        <w:rPr>
          <w:rFonts w:cs="Times New Roman"/>
          <w:szCs w:val="19"/>
        </w:rPr>
        <w:t xml:space="preserve">, in </w:t>
      </w:r>
      <w:r w:rsidRPr="008B436B">
        <w:rPr>
          <w:rFonts w:cs="Times New Roman"/>
          <w:i/>
          <w:iCs/>
          <w:szCs w:val="19"/>
        </w:rPr>
        <w:t>https://www.</w:t>
      </w:r>
      <w:r w:rsidR="002C3D0D">
        <w:rPr>
          <w:rFonts w:cs="Times New Roman"/>
          <w:i/>
          <w:iCs/>
          <w:szCs w:val="19"/>
        </w:rPr>
        <w:br/>
      </w:r>
      <w:r w:rsidRPr="008B436B">
        <w:rPr>
          <w:rFonts w:cs="Times New Roman"/>
          <w:i/>
          <w:iCs/>
          <w:szCs w:val="19"/>
        </w:rPr>
        <w:t>giustizia-am</w:t>
      </w:r>
      <w:r w:rsidRPr="002C3D0D">
        <w:rPr>
          <w:rFonts w:cs="Times New Roman"/>
          <w:i/>
          <w:iCs/>
          <w:spacing w:val="-2"/>
          <w:szCs w:val="19"/>
        </w:rPr>
        <w:t>ministrativa.it/-/de-</w:t>
      </w:r>
      <w:r w:rsidRPr="008B436B">
        <w:rPr>
          <w:rFonts w:cs="Times New Roman"/>
          <w:i/>
          <w:iCs/>
          <w:szCs w:val="19"/>
        </w:rPr>
        <w:t>vita-il-diritto-all-autodeterminazi</w:t>
      </w:r>
      <w:r w:rsidRPr="002C3D0D">
        <w:rPr>
          <w:rFonts w:cs="Times New Roman"/>
          <w:i/>
          <w:iCs/>
          <w:spacing w:val="-2"/>
          <w:szCs w:val="19"/>
        </w:rPr>
        <w:t>one-in-ambito-sanitario-e-il-</w:t>
      </w:r>
      <w:r w:rsidR="002C3D0D" w:rsidRPr="002C3D0D">
        <w:rPr>
          <w:rFonts w:cs="Times New Roman"/>
          <w:i/>
          <w:iCs/>
          <w:spacing w:val="-2"/>
          <w:szCs w:val="19"/>
        </w:rPr>
        <w:br/>
      </w:r>
      <w:r w:rsidRPr="002C3D0D">
        <w:rPr>
          <w:rFonts w:cs="Times New Roman"/>
          <w:i/>
          <w:iCs/>
          <w:spacing w:val="-2"/>
          <w:szCs w:val="19"/>
        </w:rPr>
        <w:t>testamento-biologico-verso-nuove-frontiere-del-diritto-il-diritto-della-sanita-prob</w:t>
      </w:r>
      <w:r w:rsidRPr="008B436B">
        <w:rPr>
          <w:rFonts w:cs="Times New Roman"/>
          <w:szCs w:val="19"/>
        </w:rPr>
        <w:t xml:space="preserve">, 2020, </w:t>
      </w:r>
      <w:r w:rsidR="00926D6A" w:rsidRPr="008B436B">
        <w:rPr>
          <w:rFonts w:cs="Times New Roman"/>
          <w:szCs w:val="19"/>
        </w:rPr>
        <w:t xml:space="preserve">p. </w:t>
      </w:r>
      <w:r w:rsidRPr="008B436B">
        <w:rPr>
          <w:rFonts w:cs="Times New Roman"/>
          <w:szCs w:val="19"/>
        </w:rPr>
        <w:t>1.</w:t>
      </w:r>
    </w:p>
  </w:footnote>
  <w:footnote w:id="4">
    <w:p w14:paraId="1870DD57" w14:textId="30E96056"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mallCaps/>
          <w:szCs w:val="19"/>
        </w:rPr>
        <w:t>G. Silvestri</w:t>
      </w:r>
      <w:r w:rsidRPr="008B436B">
        <w:rPr>
          <w:rFonts w:cs="Times New Roman"/>
          <w:szCs w:val="19"/>
        </w:rPr>
        <w:t xml:space="preserve">, </w:t>
      </w:r>
      <w:r w:rsidRPr="008B436B">
        <w:rPr>
          <w:rFonts w:cs="Times New Roman"/>
          <w:i/>
          <w:szCs w:val="19"/>
        </w:rPr>
        <w:t>L’individuazione dei diritti della persona</w:t>
      </w:r>
      <w:r w:rsidRPr="008B436B">
        <w:rPr>
          <w:rFonts w:cs="Times New Roman"/>
          <w:szCs w:val="19"/>
        </w:rPr>
        <w:t xml:space="preserve">, cit., </w:t>
      </w:r>
      <w:r w:rsidR="00926D6A" w:rsidRPr="008B436B">
        <w:rPr>
          <w:rFonts w:cs="Times New Roman"/>
          <w:szCs w:val="19"/>
        </w:rPr>
        <w:t xml:space="preserve">pp. </w:t>
      </w:r>
      <w:r w:rsidRPr="008B436B">
        <w:rPr>
          <w:rFonts w:cs="Times New Roman"/>
          <w:szCs w:val="19"/>
        </w:rPr>
        <w:t xml:space="preserve">2-3; </w:t>
      </w:r>
      <w:r w:rsidRPr="008B436B">
        <w:rPr>
          <w:rFonts w:cs="Times New Roman"/>
          <w:smallCaps/>
          <w:szCs w:val="19"/>
        </w:rPr>
        <w:t>V. Baldini</w:t>
      </w:r>
      <w:r w:rsidRPr="008B436B">
        <w:rPr>
          <w:rFonts w:cs="Times New Roman"/>
          <w:szCs w:val="19"/>
        </w:rPr>
        <w:t xml:space="preserve">, </w:t>
      </w:r>
      <w:r w:rsidRPr="008B436B">
        <w:rPr>
          <w:rFonts w:cs="Times New Roman"/>
          <w:i/>
          <w:szCs w:val="19"/>
        </w:rPr>
        <w:t>La classificazione dei diritti fondamentali. Profili storico-teorico-positivi</w:t>
      </w:r>
      <w:r w:rsidRPr="008B436B">
        <w:rPr>
          <w:rFonts w:cs="Times New Roman"/>
          <w:szCs w:val="19"/>
        </w:rPr>
        <w:t xml:space="preserve">, in </w:t>
      </w:r>
      <w:r w:rsidRPr="008B436B">
        <w:rPr>
          <w:rFonts w:cs="Times New Roman"/>
          <w:i/>
          <w:iCs/>
          <w:szCs w:val="19"/>
        </w:rPr>
        <w:t>http://www.diritti</w:t>
      </w:r>
      <w:r w:rsidR="002C3D0D">
        <w:rPr>
          <w:rFonts w:cs="Times New Roman"/>
          <w:i/>
          <w:iCs/>
          <w:szCs w:val="19"/>
        </w:rPr>
        <w:br/>
      </w:r>
      <w:r w:rsidRPr="008B436B">
        <w:rPr>
          <w:rFonts w:cs="Times New Roman"/>
          <w:i/>
          <w:iCs/>
          <w:szCs w:val="19"/>
        </w:rPr>
        <w:t>fondamentali.it/media/1682/1-2016-baldini-che-cosa-%C3%A8-un-diritto-fondamentale.pdf</w:t>
      </w:r>
      <w:r w:rsidRPr="008B436B">
        <w:rPr>
          <w:rFonts w:cs="Times New Roman"/>
          <w:szCs w:val="19"/>
        </w:rPr>
        <w:t xml:space="preserve">, 2016, </w:t>
      </w:r>
      <w:r w:rsidR="00926D6A" w:rsidRPr="008B436B">
        <w:rPr>
          <w:rFonts w:cs="Times New Roman"/>
          <w:szCs w:val="19"/>
        </w:rPr>
        <w:t xml:space="preserve">p. </w:t>
      </w:r>
      <w:r w:rsidRPr="008B436B">
        <w:rPr>
          <w:rFonts w:cs="Times New Roman"/>
          <w:szCs w:val="19"/>
        </w:rPr>
        <w:t>28 ss.; Corte cost</w:t>
      </w:r>
      <w:r w:rsidR="00926D6A" w:rsidRPr="008B436B">
        <w:rPr>
          <w:rFonts w:cs="Times New Roman"/>
          <w:szCs w:val="19"/>
        </w:rPr>
        <w:t>.</w:t>
      </w:r>
      <w:r w:rsidRPr="008B436B">
        <w:rPr>
          <w:rFonts w:cs="Times New Roman"/>
          <w:szCs w:val="19"/>
        </w:rPr>
        <w:t xml:space="preserve">, </w:t>
      </w:r>
      <w:proofErr w:type="spellStart"/>
      <w:r w:rsidRPr="008B436B">
        <w:rPr>
          <w:rFonts w:cs="Times New Roman"/>
          <w:szCs w:val="19"/>
        </w:rPr>
        <w:t>sent</w:t>
      </w:r>
      <w:proofErr w:type="spellEnd"/>
      <w:r w:rsidR="00926D6A" w:rsidRPr="008B436B">
        <w:rPr>
          <w:rFonts w:cs="Times New Roman"/>
          <w:szCs w:val="19"/>
        </w:rPr>
        <w:t>.</w:t>
      </w:r>
      <w:r w:rsidRPr="008B436B">
        <w:rPr>
          <w:rFonts w:cs="Times New Roman"/>
          <w:szCs w:val="19"/>
        </w:rPr>
        <w:t xml:space="preserve"> </w:t>
      </w:r>
      <w:r w:rsidR="00C53B40">
        <w:rPr>
          <w:rFonts w:cs="Times New Roman"/>
          <w:szCs w:val="19"/>
        </w:rPr>
        <w:t>n. 20/</w:t>
      </w:r>
      <w:r w:rsidRPr="008B436B">
        <w:rPr>
          <w:rFonts w:cs="Times New Roman"/>
          <w:szCs w:val="19"/>
        </w:rPr>
        <w:t xml:space="preserve">1975, relativa alla libertà di associazione, intesa nella sua accezione negativa; sulla natura di libertà negativa anche del diritto di autodeterminazione, sia consentito il rinvio a </w:t>
      </w:r>
      <w:proofErr w:type="spellStart"/>
      <w:r w:rsidRPr="008B436B">
        <w:rPr>
          <w:rFonts w:cs="Times New Roman"/>
          <w:smallCaps/>
          <w:szCs w:val="19"/>
        </w:rPr>
        <w:t>A</w:t>
      </w:r>
      <w:proofErr w:type="spellEnd"/>
      <w:r w:rsidRPr="008B436B">
        <w:rPr>
          <w:rFonts w:cs="Times New Roman"/>
          <w:smallCaps/>
          <w:szCs w:val="19"/>
        </w:rPr>
        <w:t>. De Vita</w:t>
      </w:r>
      <w:r w:rsidRPr="008B436B">
        <w:rPr>
          <w:rFonts w:cs="Times New Roman"/>
          <w:szCs w:val="19"/>
        </w:rPr>
        <w:t xml:space="preserve">, </w:t>
      </w:r>
      <w:r w:rsidRPr="008B436B">
        <w:rPr>
          <w:rFonts w:cs="Times New Roman"/>
          <w:i/>
          <w:iCs/>
          <w:szCs w:val="19"/>
        </w:rPr>
        <w:t>Il diritto all’autodeterminazione in ambito sanitario e il testamento biologico</w:t>
      </w:r>
      <w:r w:rsidRPr="008B436B">
        <w:rPr>
          <w:rFonts w:cs="Times New Roman"/>
          <w:szCs w:val="19"/>
        </w:rPr>
        <w:t xml:space="preserve">, cit., </w:t>
      </w:r>
      <w:r w:rsidR="00926D6A" w:rsidRPr="008B436B">
        <w:rPr>
          <w:rFonts w:cs="Times New Roman"/>
          <w:szCs w:val="19"/>
        </w:rPr>
        <w:t xml:space="preserve">pp. </w:t>
      </w:r>
      <w:r w:rsidRPr="008B436B">
        <w:rPr>
          <w:rFonts w:cs="Times New Roman"/>
          <w:szCs w:val="19"/>
        </w:rPr>
        <w:t>2-3.</w:t>
      </w:r>
    </w:p>
  </w:footnote>
  <w:footnote w:id="5">
    <w:p w14:paraId="3CE8040F" w14:textId="7CB19D47" w:rsidR="00E92121" w:rsidRPr="008B436B" w:rsidRDefault="00E92121" w:rsidP="00E92121">
      <w:pPr>
        <w:pStyle w:val="Testonotaapidipagina"/>
        <w:rPr>
          <w:rFonts w:cs="Times New Roman"/>
          <w:i/>
          <w:iCs/>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Cfr. </w:t>
      </w:r>
      <w:r w:rsidRPr="008B436B">
        <w:rPr>
          <w:rFonts w:cs="Times New Roman"/>
          <w:smallCaps/>
          <w:szCs w:val="19"/>
        </w:rPr>
        <w:t>A. Giusti</w:t>
      </w:r>
      <w:r w:rsidRPr="008B436B">
        <w:rPr>
          <w:rFonts w:cs="Times New Roman"/>
          <w:szCs w:val="19"/>
        </w:rPr>
        <w:t xml:space="preserve">, </w:t>
      </w:r>
      <w:r w:rsidRPr="008B436B">
        <w:rPr>
          <w:rFonts w:cs="Times New Roman"/>
          <w:i/>
          <w:iCs/>
          <w:szCs w:val="19"/>
        </w:rPr>
        <w:t>Spigolature su riparto di giurisdizione e diritti fondamentali</w:t>
      </w:r>
      <w:r w:rsidRPr="008B436B">
        <w:rPr>
          <w:rFonts w:cs="Times New Roman"/>
          <w:szCs w:val="19"/>
        </w:rPr>
        <w:t xml:space="preserve">, in </w:t>
      </w:r>
      <w:r w:rsidRPr="008B436B">
        <w:rPr>
          <w:rFonts w:cs="Times New Roman"/>
          <w:i/>
          <w:iCs/>
          <w:szCs w:val="19"/>
        </w:rPr>
        <w:t>Quest</w:t>
      </w:r>
      <w:r w:rsidR="00926D6A" w:rsidRPr="008B436B">
        <w:rPr>
          <w:rFonts w:cs="Times New Roman"/>
          <w:i/>
          <w:iCs/>
          <w:szCs w:val="19"/>
        </w:rPr>
        <w:t>.</w:t>
      </w:r>
      <w:r w:rsidRPr="008B436B">
        <w:rPr>
          <w:rFonts w:cs="Times New Roman"/>
          <w:i/>
          <w:iCs/>
          <w:szCs w:val="19"/>
        </w:rPr>
        <w:t xml:space="preserve"> </w:t>
      </w:r>
      <w:proofErr w:type="spellStart"/>
      <w:r w:rsidRPr="008B436B">
        <w:rPr>
          <w:rFonts w:cs="Times New Roman"/>
          <w:i/>
          <w:iCs/>
          <w:szCs w:val="19"/>
        </w:rPr>
        <w:t>gius</w:t>
      </w:r>
      <w:r w:rsidR="000107B9">
        <w:rPr>
          <w:rFonts w:cs="Times New Roman"/>
          <w:i/>
          <w:iCs/>
          <w:szCs w:val="19"/>
        </w:rPr>
        <w:t>t</w:t>
      </w:r>
      <w:proofErr w:type="spellEnd"/>
      <w:r w:rsidR="00926D6A" w:rsidRPr="008B436B">
        <w:rPr>
          <w:rFonts w:cs="Times New Roman"/>
          <w:i/>
          <w:iCs/>
          <w:szCs w:val="19"/>
        </w:rPr>
        <w:t>.</w:t>
      </w:r>
      <w:r w:rsidRPr="008B436B">
        <w:rPr>
          <w:rFonts w:cs="Times New Roman"/>
          <w:szCs w:val="19"/>
        </w:rPr>
        <w:t>, n. 1</w:t>
      </w:r>
      <w:r w:rsidR="00926D6A" w:rsidRPr="008B436B">
        <w:rPr>
          <w:rFonts w:cs="Times New Roman"/>
          <w:szCs w:val="19"/>
        </w:rPr>
        <w:t>/2021</w:t>
      </w:r>
      <w:r w:rsidRPr="008B436B">
        <w:rPr>
          <w:rFonts w:cs="Times New Roman"/>
          <w:szCs w:val="19"/>
        </w:rPr>
        <w:t xml:space="preserve">, </w:t>
      </w:r>
      <w:r w:rsidR="00926D6A" w:rsidRPr="008B436B">
        <w:rPr>
          <w:rFonts w:cs="Times New Roman"/>
          <w:szCs w:val="19"/>
        </w:rPr>
        <w:t xml:space="preserve">p. </w:t>
      </w:r>
      <w:r w:rsidRPr="008B436B">
        <w:rPr>
          <w:rFonts w:cs="Times New Roman"/>
          <w:szCs w:val="19"/>
        </w:rPr>
        <w:t xml:space="preserve">197; anche, </w:t>
      </w:r>
      <w:r w:rsidRPr="008B436B">
        <w:rPr>
          <w:rFonts w:cs="Times New Roman"/>
          <w:smallCaps/>
          <w:szCs w:val="19"/>
        </w:rPr>
        <w:t>A. De Vita</w:t>
      </w:r>
      <w:r w:rsidRPr="008B436B">
        <w:rPr>
          <w:rFonts w:cs="Times New Roman"/>
          <w:szCs w:val="19"/>
        </w:rPr>
        <w:t xml:space="preserve">, </w:t>
      </w:r>
      <w:r w:rsidRPr="008B436B">
        <w:rPr>
          <w:rFonts w:cs="Times New Roman"/>
          <w:i/>
          <w:iCs/>
          <w:szCs w:val="19"/>
        </w:rPr>
        <w:t>Il diritto all’autodeterminazione in ambito sanitario e il testamento biologico</w:t>
      </w:r>
      <w:r w:rsidRPr="008B436B">
        <w:rPr>
          <w:rFonts w:cs="Times New Roman"/>
          <w:szCs w:val="19"/>
        </w:rPr>
        <w:t xml:space="preserve">, cit., </w:t>
      </w:r>
      <w:r w:rsidR="00926D6A" w:rsidRPr="008B436B">
        <w:rPr>
          <w:rFonts w:cs="Times New Roman"/>
          <w:szCs w:val="19"/>
        </w:rPr>
        <w:t xml:space="preserve">pp. </w:t>
      </w:r>
      <w:r w:rsidRPr="008B436B">
        <w:rPr>
          <w:rFonts w:cs="Times New Roman"/>
          <w:szCs w:val="19"/>
        </w:rPr>
        <w:t>4-5.</w:t>
      </w:r>
    </w:p>
  </w:footnote>
  <w:footnote w:id="6">
    <w:p w14:paraId="2BF088CB" w14:textId="0BA1A8A1"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Lo definisce “</w:t>
      </w:r>
      <w:r w:rsidRPr="008B436B">
        <w:rPr>
          <w:rFonts w:cs="Times New Roman"/>
          <w:i/>
          <w:iCs/>
          <w:szCs w:val="19"/>
        </w:rPr>
        <w:t>parametro normativo</w:t>
      </w:r>
      <w:r w:rsidRPr="008B436B">
        <w:rPr>
          <w:rFonts w:cs="Times New Roman"/>
          <w:szCs w:val="19"/>
        </w:rPr>
        <w:t xml:space="preserve">” e non soltanto disposizione avente un valore programmatico, </w:t>
      </w:r>
      <w:r w:rsidRPr="008B436B">
        <w:rPr>
          <w:rFonts w:cs="Times New Roman"/>
          <w:smallCaps/>
          <w:szCs w:val="19"/>
        </w:rPr>
        <w:t>E.W. Di Mauro</w:t>
      </w:r>
      <w:r w:rsidRPr="008B436B">
        <w:rPr>
          <w:rFonts w:cs="Times New Roman"/>
          <w:szCs w:val="19"/>
        </w:rPr>
        <w:t xml:space="preserve">, </w:t>
      </w:r>
      <w:r w:rsidRPr="008B436B">
        <w:rPr>
          <w:rFonts w:cs="Times New Roman"/>
          <w:i/>
          <w:iCs/>
          <w:szCs w:val="19"/>
        </w:rPr>
        <w:t>Il progetto di vita confluisce nella “legge” a tutela delle persone disabili. Prime riflessioni sulle criticità e potenzialità dell’istituto</w:t>
      </w:r>
      <w:r w:rsidRPr="008B436B">
        <w:rPr>
          <w:rFonts w:cs="Times New Roman"/>
          <w:szCs w:val="19"/>
        </w:rPr>
        <w:t xml:space="preserve">, in </w:t>
      </w:r>
      <w:r w:rsidRPr="008B436B">
        <w:rPr>
          <w:rFonts w:cs="Times New Roman"/>
          <w:i/>
          <w:iCs/>
          <w:szCs w:val="19"/>
        </w:rPr>
        <w:t xml:space="preserve">Dir. </w:t>
      </w:r>
      <w:proofErr w:type="spellStart"/>
      <w:r w:rsidRPr="008B436B">
        <w:rPr>
          <w:rFonts w:cs="Times New Roman"/>
          <w:i/>
          <w:iCs/>
          <w:szCs w:val="19"/>
        </w:rPr>
        <w:t>fam</w:t>
      </w:r>
      <w:proofErr w:type="spellEnd"/>
      <w:r w:rsidRPr="008B436B">
        <w:rPr>
          <w:rFonts w:cs="Times New Roman"/>
          <w:i/>
          <w:iCs/>
          <w:szCs w:val="19"/>
        </w:rPr>
        <w:t xml:space="preserve">. e </w:t>
      </w:r>
      <w:proofErr w:type="spellStart"/>
      <w:r w:rsidR="0056368F" w:rsidRPr="008B436B">
        <w:rPr>
          <w:rFonts w:cs="Times New Roman"/>
          <w:i/>
          <w:iCs/>
          <w:szCs w:val="19"/>
        </w:rPr>
        <w:t>pers</w:t>
      </w:r>
      <w:proofErr w:type="spellEnd"/>
      <w:r w:rsidR="00926D6A" w:rsidRPr="008B436B">
        <w:rPr>
          <w:rFonts w:cs="Times New Roman"/>
          <w:i/>
          <w:iCs/>
          <w:szCs w:val="19"/>
        </w:rPr>
        <w:t>.</w:t>
      </w:r>
      <w:r w:rsidR="00360E0E">
        <w:rPr>
          <w:rFonts w:cs="Times New Roman"/>
          <w:szCs w:val="19"/>
        </w:rPr>
        <w:t>,</w:t>
      </w:r>
      <w:r w:rsidRPr="008B436B">
        <w:rPr>
          <w:rFonts w:cs="Times New Roman"/>
          <w:szCs w:val="19"/>
        </w:rPr>
        <w:t xml:space="preserve"> n. 1</w:t>
      </w:r>
      <w:r w:rsidR="00926D6A" w:rsidRPr="008B436B">
        <w:rPr>
          <w:rFonts w:cs="Times New Roman"/>
          <w:szCs w:val="19"/>
        </w:rPr>
        <w:t>/2025</w:t>
      </w:r>
      <w:r w:rsidRPr="008B436B">
        <w:rPr>
          <w:rFonts w:cs="Times New Roman"/>
          <w:szCs w:val="19"/>
        </w:rPr>
        <w:t xml:space="preserve">, </w:t>
      </w:r>
      <w:r w:rsidR="00926D6A" w:rsidRPr="008B436B">
        <w:rPr>
          <w:rFonts w:cs="Times New Roman"/>
          <w:szCs w:val="19"/>
        </w:rPr>
        <w:t xml:space="preserve">p. </w:t>
      </w:r>
      <w:r w:rsidRPr="008B436B">
        <w:rPr>
          <w:rFonts w:cs="Times New Roman"/>
          <w:szCs w:val="19"/>
        </w:rPr>
        <w:t>209</w:t>
      </w:r>
      <w:r w:rsidR="00AB4DF8">
        <w:rPr>
          <w:rFonts w:cs="Times New Roman"/>
          <w:szCs w:val="19"/>
        </w:rPr>
        <w:t xml:space="preserve">; </w:t>
      </w:r>
      <w:bookmarkStart w:id="3" w:name="_Hlk209365230"/>
      <w:r w:rsidR="00AB4DF8">
        <w:rPr>
          <w:rFonts w:cs="Times New Roman"/>
          <w:szCs w:val="19"/>
        </w:rPr>
        <w:t xml:space="preserve">per un esempio, Corte cost., </w:t>
      </w:r>
      <w:proofErr w:type="spellStart"/>
      <w:r w:rsidR="00AB4DF8">
        <w:rPr>
          <w:rFonts w:cs="Times New Roman"/>
          <w:szCs w:val="19"/>
        </w:rPr>
        <w:t>sent</w:t>
      </w:r>
      <w:proofErr w:type="spellEnd"/>
      <w:r w:rsidR="00AB4DF8">
        <w:rPr>
          <w:rFonts w:cs="Times New Roman"/>
          <w:szCs w:val="19"/>
        </w:rPr>
        <w:t xml:space="preserve">. n. 3/2025 che ha dichiarato l’incostituzionalità della disposizione che non consentiva l’utilizzo della firma digitale per la </w:t>
      </w:r>
      <w:r w:rsidR="00AB4DF8" w:rsidRPr="00AB4DF8">
        <w:rPr>
          <w:rFonts w:cs="Times New Roman"/>
          <w:szCs w:val="19"/>
        </w:rPr>
        <w:t>sottoscrizione necessaria alla presentazione delle candidature</w:t>
      </w:r>
      <w:r w:rsidR="00AB4DF8">
        <w:rPr>
          <w:rFonts w:cs="Times New Roman"/>
          <w:szCs w:val="19"/>
        </w:rPr>
        <w:t xml:space="preserve"> in ambito regionale</w:t>
      </w:r>
      <w:bookmarkEnd w:id="3"/>
      <w:r w:rsidRPr="008B436B">
        <w:rPr>
          <w:rFonts w:cs="Times New Roman"/>
          <w:szCs w:val="19"/>
        </w:rPr>
        <w:t>.</w:t>
      </w:r>
    </w:p>
  </w:footnote>
  <w:footnote w:id="7">
    <w:p w14:paraId="45BCA950" w14:textId="36831C65"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Secondo la Corte costituzionale, il principio personalista, </w:t>
      </w:r>
      <w:r w:rsidR="00926D6A" w:rsidRPr="008B436B">
        <w:rPr>
          <w:rFonts w:cs="Times New Roman"/>
          <w:szCs w:val="19"/>
        </w:rPr>
        <w:t>«</w:t>
      </w:r>
      <w:r w:rsidRPr="008B436B">
        <w:rPr>
          <w:rFonts w:cs="Times New Roman"/>
          <w:i/>
          <w:iCs/>
          <w:szCs w:val="19"/>
        </w:rPr>
        <w:t>affermato anzitutto dall’art. 2 Cost., (…) tutela la persona non solo nella sua dimensione individuale, ma anche nell’ambito dei rapporti in cui si sviluppa la sua personalità: rapporti che richiedono senz’altro il rispetto reciproco dei diritti, ma che si alimentano anche grazie a gesti di solidarietà (sentenza n. 119 del 2015). Nell’architettura dell’art. 2 Cost. l’adempimento dei doveri di solidarietà costituisce un elemento essenziale tanto quanto il riconoscimento dei diritti inviolabili di ciascuno</w:t>
      </w:r>
      <w:r w:rsidRPr="008B436B">
        <w:rPr>
          <w:rFonts w:cs="Times New Roman"/>
          <w:szCs w:val="19"/>
        </w:rPr>
        <w:t xml:space="preserve"> </w:t>
      </w:r>
      <w:r w:rsidRPr="008B436B">
        <w:rPr>
          <w:rFonts w:cs="Times New Roman"/>
          <w:i/>
          <w:iCs/>
          <w:szCs w:val="19"/>
        </w:rPr>
        <w:t>…</w:t>
      </w:r>
      <w:r w:rsidR="00926D6A" w:rsidRPr="008B436B">
        <w:rPr>
          <w:rFonts w:cs="Times New Roman"/>
          <w:szCs w:val="19"/>
        </w:rPr>
        <w:t>»</w:t>
      </w:r>
      <w:r w:rsidRPr="008B436B">
        <w:rPr>
          <w:rFonts w:cs="Times New Roman"/>
          <w:szCs w:val="19"/>
        </w:rPr>
        <w:t xml:space="preserve"> (Corte cost</w:t>
      </w:r>
      <w:r w:rsidR="00926D6A" w:rsidRPr="008B436B">
        <w:rPr>
          <w:rFonts w:cs="Times New Roman"/>
          <w:szCs w:val="19"/>
        </w:rPr>
        <w:t>.</w:t>
      </w:r>
      <w:r w:rsidRPr="008B436B">
        <w:rPr>
          <w:rFonts w:cs="Times New Roman"/>
          <w:szCs w:val="19"/>
        </w:rPr>
        <w:t xml:space="preserve">, </w:t>
      </w:r>
      <w:proofErr w:type="spellStart"/>
      <w:r w:rsidRPr="008B436B">
        <w:rPr>
          <w:rFonts w:cs="Times New Roman"/>
          <w:szCs w:val="19"/>
        </w:rPr>
        <w:t>sent</w:t>
      </w:r>
      <w:proofErr w:type="spellEnd"/>
      <w:r w:rsidR="00926D6A" w:rsidRPr="008B436B">
        <w:rPr>
          <w:rFonts w:cs="Times New Roman"/>
          <w:szCs w:val="19"/>
        </w:rPr>
        <w:t>.</w:t>
      </w:r>
      <w:r w:rsidRPr="008B436B">
        <w:rPr>
          <w:rFonts w:cs="Times New Roman"/>
          <w:szCs w:val="19"/>
        </w:rPr>
        <w:t xml:space="preserve"> n. 114</w:t>
      </w:r>
      <w:r w:rsidR="00926D6A" w:rsidRPr="008B436B">
        <w:rPr>
          <w:rFonts w:cs="Times New Roman"/>
          <w:szCs w:val="19"/>
        </w:rPr>
        <w:t>/</w:t>
      </w:r>
      <w:r w:rsidRPr="008B436B">
        <w:rPr>
          <w:rFonts w:cs="Times New Roman"/>
          <w:szCs w:val="19"/>
        </w:rPr>
        <w:t>2019)</w:t>
      </w:r>
      <w:r w:rsidR="003A0878">
        <w:rPr>
          <w:rFonts w:cs="Times New Roman"/>
          <w:szCs w:val="19"/>
        </w:rPr>
        <w:t xml:space="preserve">; </w:t>
      </w:r>
      <w:r w:rsidR="000819FC">
        <w:rPr>
          <w:rFonts w:cs="Times New Roman"/>
          <w:szCs w:val="19"/>
        </w:rPr>
        <w:t xml:space="preserve">in argomento </w:t>
      </w:r>
      <w:r w:rsidR="003A0878">
        <w:rPr>
          <w:rFonts w:cs="Times New Roman"/>
          <w:szCs w:val="19"/>
        </w:rPr>
        <w:t xml:space="preserve">anche </w:t>
      </w:r>
      <w:r w:rsidR="003A0878" w:rsidRPr="00391A67">
        <w:rPr>
          <w:rFonts w:cs="Times New Roman"/>
          <w:smallCaps/>
          <w:szCs w:val="19"/>
        </w:rPr>
        <w:t>A. Chiappetta</w:t>
      </w:r>
      <w:r w:rsidR="003A0878">
        <w:rPr>
          <w:rFonts w:cs="Times New Roman"/>
          <w:szCs w:val="19"/>
        </w:rPr>
        <w:t xml:space="preserve">, </w:t>
      </w:r>
      <w:r w:rsidR="003A0878" w:rsidRPr="00391A67">
        <w:rPr>
          <w:rFonts w:cs="Times New Roman"/>
          <w:i/>
          <w:iCs/>
          <w:szCs w:val="19"/>
        </w:rPr>
        <w:t>‘Investire’ sul dettato costituzionale: la tutela delle persone con disabilità tra l’incessante pungolo del giudice delle leggi e l’occasione del PNRR</w:t>
      </w:r>
      <w:r w:rsidR="003A0878">
        <w:rPr>
          <w:rFonts w:cs="Times New Roman"/>
          <w:szCs w:val="19"/>
        </w:rPr>
        <w:t xml:space="preserve">, in </w:t>
      </w:r>
      <w:r w:rsidR="003A0878" w:rsidRPr="00391A67">
        <w:rPr>
          <w:rFonts w:cs="Times New Roman"/>
          <w:i/>
          <w:iCs/>
          <w:szCs w:val="19"/>
        </w:rPr>
        <w:t>Rivista del Gruppo di Pisa</w:t>
      </w:r>
      <w:r w:rsidR="003A0878">
        <w:rPr>
          <w:rFonts w:cs="Times New Roman"/>
          <w:szCs w:val="19"/>
        </w:rPr>
        <w:t>, n. 2/2025, pp. 103-104</w:t>
      </w:r>
      <w:r w:rsidRPr="008B436B">
        <w:rPr>
          <w:rFonts w:cs="Times New Roman"/>
          <w:szCs w:val="19"/>
        </w:rPr>
        <w:t>.</w:t>
      </w:r>
    </w:p>
  </w:footnote>
  <w:footnote w:id="8">
    <w:p w14:paraId="71B84C88" w14:textId="393BA367"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Secondo la Corte costituzionale </w:t>
      </w:r>
      <w:r w:rsidR="00926D6A" w:rsidRPr="008B436B">
        <w:rPr>
          <w:rFonts w:cs="Times New Roman"/>
          <w:szCs w:val="19"/>
        </w:rPr>
        <w:t>«</w:t>
      </w:r>
      <w:r w:rsidRPr="008B436B">
        <w:rPr>
          <w:rFonts w:cs="Times New Roman"/>
          <w:i/>
          <w:iCs/>
          <w:szCs w:val="19"/>
        </w:rPr>
        <w:t xml:space="preserve">il principio personalista impone di leggere l’art. 2 congiuntamente all’art. 3 Cost., primo comma, che garantisce il principio di eguaglianza a prescindere dalle </w:t>
      </w:r>
      <w:r w:rsidR="00926D6A" w:rsidRPr="008B436B">
        <w:rPr>
          <w:rFonts w:cs="Times New Roman"/>
          <w:i/>
          <w:iCs/>
          <w:szCs w:val="19"/>
        </w:rPr>
        <w:t>“</w:t>
      </w:r>
      <w:r w:rsidRPr="008B436B">
        <w:rPr>
          <w:rFonts w:cs="Times New Roman"/>
          <w:i/>
          <w:iCs/>
          <w:szCs w:val="19"/>
        </w:rPr>
        <w:t>condizioni personali</w:t>
      </w:r>
      <w:r w:rsidR="00926D6A" w:rsidRPr="008B436B">
        <w:rPr>
          <w:rFonts w:cs="Times New Roman"/>
          <w:i/>
          <w:iCs/>
          <w:szCs w:val="19"/>
        </w:rPr>
        <w:t>”</w:t>
      </w:r>
      <w:r w:rsidRPr="008B436B">
        <w:rPr>
          <w:rFonts w:cs="Times New Roman"/>
          <w:i/>
          <w:iCs/>
          <w:szCs w:val="19"/>
        </w:rPr>
        <w:t>, tra le quali si colloca indubbiamente la condizione di disabilità</w:t>
      </w:r>
      <w:r w:rsidR="00926D6A" w:rsidRPr="008B436B">
        <w:rPr>
          <w:rFonts w:cs="Times New Roman"/>
          <w:szCs w:val="19"/>
        </w:rPr>
        <w:t>»</w:t>
      </w:r>
      <w:r w:rsidRPr="008B436B">
        <w:rPr>
          <w:rFonts w:cs="Times New Roman"/>
          <w:szCs w:val="19"/>
        </w:rPr>
        <w:t xml:space="preserve"> (Corte cost</w:t>
      </w:r>
      <w:r w:rsidR="00926D6A" w:rsidRPr="008B436B">
        <w:rPr>
          <w:rFonts w:cs="Times New Roman"/>
          <w:szCs w:val="19"/>
        </w:rPr>
        <w:t>.</w:t>
      </w:r>
      <w:r w:rsidRPr="008B436B">
        <w:rPr>
          <w:rFonts w:cs="Times New Roman"/>
          <w:szCs w:val="19"/>
        </w:rPr>
        <w:t xml:space="preserve">, </w:t>
      </w:r>
      <w:proofErr w:type="spellStart"/>
      <w:r w:rsidRPr="008B436B">
        <w:rPr>
          <w:rFonts w:cs="Times New Roman"/>
          <w:szCs w:val="19"/>
        </w:rPr>
        <w:t>sent</w:t>
      </w:r>
      <w:proofErr w:type="spellEnd"/>
      <w:r w:rsidR="00926D6A" w:rsidRPr="008B436B">
        <w:rPr>
          <w:rFonts w:cs="Times New Roman"/>
          <w:szCs w:val="19"/>
        </w:rPr>
        <w:t>.</w:t>
      </w:r>
      <w:r w:rsidRPr="008B436B">
        <w:rPr>
          <w:rFonts w:cs="Times New Roman"/>
          <w:szCs w:val="19"/>
        </w:rPr>
        <w:t xml:space="preserve"> n. 114</w:t>
      </w:r>
      <w:r w:rsidR="00926D6A" w:rsidRPr="008B436B">
        <w:rPr>
          <w:rFonts w:cs="Times New Roman"/>
          <w:szCs w:val="19"/>
        </w:rPr>
        <w:t>/</w:t>
      </w:r>
      <w:r w:rsidRPr="008B436B">
        <w:rPr>
          <w:rFonts w:cs="Times New Roman"/>
          <w:szCs w:val="19"/>
        </w:rPr>
        <w:t>2019).</w:t>
      </w:r>
    </w:p>
  </w:footnote>
  <w:footnote w:id="9">
    <w:p w14:paraId="3CB92503" w14:textId="65608CE8" w:rsidR="00E655A9" w:rsidRDefault="00E655A9">
      <w:pPr>
        <w:pStyle w:val="Testonotaapidipagina"/>
      </w:pPr>
      <w:r>
        <w:rPr>
          <w:rStyle w:val="Rimandonotaapidipagina"/>
        </w:rPr>
        <w:footnoteRef/>
      </w:r>
      <w:r w:rsidR="00DA103F">
        <w:rPr>
          <w:vertAlign w:val="superscript"/>
        </w:rPr>
        <w:t xml:space="preserve"> </w:t>
      </w:r>
      <w:r>
        <w:t>Su</w:t>
      </w:r>
      <w:r w:rsidR="007A226A">
        <w:t>i</w:t>
      </w:r>
      <w:r>
        <w:t xml:space="preserve"> fondament</w:t>
      </w:r>
      <w:r w:rsidR="007A226A">
        <w:t>i</w:t>
      </w:r>
      <w:r>
        <w:t xml:space="preserve"> non solo costituzional</w:t>
      </w:r>
      <w:r w:rsidR="007A226A">
        <w:t>i</w:t>
      </w:r>
      <w:r>
        <w:t xml:space="preserve"> della legislazione in materia di disabilità, cfr. </w:t>
      </w:r>
      <w:r w:rsidRPr="00DE6E91">
        <w:rPr>
          <w:smallCaps/>
        </w:rPr>
        <w:t>E. Rossi</w:t>
      </w:r>
      <w:r w:rsidRPr="00E655A9">
        <w:t xml:space="preserve">, </w:t>
      </w:r>
      <w:r w:rsidRPr="00391A67">
        <w:rPr>
          <w:i/>
          <w:iCs/>
        </w:rPr>
        <w:t>Lo “statuto costituzionale della persona con disabilità”: brevi considerazioni su un disegno di legge</w:t>
      </w:r>
      <w:r w:rsidRPr="00E655A9">
        <w:t xml:space="preserve">, in </w:t>
      </w:r>
      <w:r w:rsidRPr="00391A67">
        <w:rPr>
          <w:i/>
          <w:iCs/>
        </w:rPr>
        <w:t>Forum di Quaderni Costituzionali</w:t>
      </w:r>
      <w:r w:rsidRPr="00E655A9">
        <w:t xml:space="preserve">, </w:t>
      </w:r>
      <w:r>
        <w:t xml:space="preserve">n. </w:t>
      </w:r>
      <w:r w:rsidRPr="00E655A9">
        <w:t>1</w:t>
      </w:r>
      <w:r>
        <w:t>/</w:t>
      </w:r>
      <w:r w:rsidRPr="00E655A9">
        <w:t xml:space="preserve">2021. </w:t>
      </w:r>
    </w:p>
  </w:footnote>
  <w:footnote w:id="10">
    <w:p w14:paraId="791DF3F8" w14:textId="7C957D57"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Cfr. art. 1, comma 1, </w:t>
      </w:r>
      <w:r w:rsidR="00360E0E">
        <w:rPr>
          <w:rFonts w:cs="Times New Roman"/>
          <w:szCs w:val="19"/>
        </w:rPr>
        <w:t xml:space="preserve">della </w:t>
      </w:r>
      <w:r w:rsidRPr="008B436B">
        <w:rPr>
          <w:rFonts w:cs="Times New Roman"/>
          <w:szCs w:val="19"/>
        </w:rPr>
        <w:t>legge n. 227</w:t>
      </w:r>
      <w:r w:rsidR="00926D6A" w:rsidRPr="008B436B">
        <w:rPr>
          <w:rFonts w:cs="Times New Roman"/>
          <w:szCs w:val="19"/>
        </w:rPr>
        <w:t>/</w:t>
      </w:r>
      <w:r w:rsidRPr="008B436B">
        <w:rPr>
          <w:rFonts w:cs="Times New Roman"/>
          <w:szCs w:val="19"/>
        </w:rPr>
        <w:t xml:space="preserve">2021; in argomento, </w:t>
      </w:r>
      <w:r w:rsidRPr="008B436B">
        <w:rPr>
          <w:rFonts w:cs="Times New Roman"/>
          <w:smallCaps/>
          <w:szCs w:val="19"/>
        </w:rPr>
        <w:t>F. Gaspari</w:t>
      </w:r>
      <w:r w:rsidRPr="008B436B">
        <w:rPr>
          <w:rFonts w:cs="Times New Roman"/>
          <w:szCs w:val="19"/>
        </w:rPr>
        <w:t xml:space="preserve">, </w:t>
      </w:r>
      <w:r w:rsidRPr="008B436B">
        <w:rPr>
          <w:rFonts w:cs="Times New Roman"/>
          <w:i/>
          <w:iCs/>
          <w:szCs w:val="19"/>
        </w:rPr>
        <w:t>Il riordino della normativa in materia di disabilità e il progetto di vita individuale, personalizzato e partecipato</w:t>
      </w:r>
      <w:r w:rsidRPr="008B436B">
        <w:rPr>
          <w:rFonts w:cs="Times New Roman"/>
          <w:szCs w:val="19"/>
        </w:rPr>
        <w:t xml:space="preserve">, in </w:t>
      </w:r>
      <w:r w:rsidRPr="008B436B">
        <w:rPr>
          <w:rFonts w:cs="Times New Roman"/>
          <w:i/>
          <w:iCs/>
          <w:szCs w:val="19"/>
        </w:rPr>
        <w:t>Federalismi</w:t>
      </w:r>
      <w:r w:rsidRPr="008B436B">
        <w:rPr>
          <w:rFonts w:cs="Times New Roman"/>
          <w:szCs w:val="19"/>
        </w:rPr>
        <w:t>, n. 5</w:t>
      </w:r>
      <w:r w:rsidR="00926D6A" w:rsidRPr="008B436B">
        <w:rPr>
          <w:rFonts w:cs="Times New Roman"/>
          <w:szCs w:val="19"/>
        </w:rPr>
        <w:t>/2025</w:t>
      </w:r>
      <w:r w:rsidRPr="008B436B">
        <w:rPr>
          <w:rFonts w:cs="Times New Roman"/>
          <w:szCs w:val="19"/>
        </w:rPr>
        <w:t xml:space="preserve">, </w:t>
      </w:r>
      <w:r w:rsidR="00926D6A" w:rsidRPr="008B436B">
        <w:rPr>
          <w:rFonts w:cs="Times New Roman"/>
          <w:szCs w:val="19"/>
        </w:rPr>
        <w:t xml:space="preserve">p. </w:t>
      </w:r>
      <w:r w:rsidRPr="008B436B">
        <w:rPr>
          <w:rFonts w:cs="Times New Roman"/>
          <w:szCs w:val="19"/>
        </w:rPr>
        <w:t xml:space="preserve">71; </w:t>
      </w:r>
      <w:r w:rsidRPr="008B436B">
        <w:rPr>
          <w:rFonts w:cs="Times New Roman"/>
          <w:smallCaps/>
          <w:szCs w:val="19"/>
        </w:rPr>
        <w:t>R. Zamperini</w:t>
      </w:r>
      <w:r w:rsidRPr="008B436B">
        <w:rPr>
          <w:rFonts w:cs="Times New Roman"/>
          <w:szCs w:val="19"/>
        </w:rPr>
        <w:t xml:space="preserve">, </w:t>
      </w:r>
      <w:r w:rsidRPr="008B436B">
        <w:rPr>
          <w:rFonts w:cs="Times New Roman"/>
          <w:i/>
          <w:iCs/>
          <w:szCs w:val="19"/>
        </w:rPr>
        <w:t>Il decreto disabilità: una prima valutazione alla luce degli standard internazionali di tutela dei diritti umani</w:t>
      </w:r>
      <w:r w:rsidRPr="008B436B">
        <w:rPr>
          <w:rFonts w:cs="Times New Roman"/>
          <w:szCs w:val="19"/>
        </w:rPr>
        <w:t xml:space="preserve">, in </w:t>
      </w:r>
      <w:r w:rsidRPr="008B436B">
        <w:rPr>
          <w:rFonts w:cs="Times New Roman"/>
          <w:i/>
          <w:iCs/>
          <w:szCs w:val="19"/>
        </w:rPr>
        <w:t xml:space="preserve">Resp. civ. </w:t>
      </w:r>
      <w:proofErr w:type="spellStart"/>
      <w:r w:rsidRPr="008B436B">
        <w:rPr>
          <w:rFonts w:cs="Times New Roman"/>
          <w:i/>
          <w:iCs/>
          <w:szCs w:val="19"/>
        </w:rPr>
        <w:t>prev</w:t>
      </w:r>
      <w:proofErr w:type="spellEnd"/>
      <w:r w:rsidRPr="008B436B">
        <w:rPr>
          <w:rFonts w:cs="Times New Roman"/>
          <w:i/>
          <w:iCs/>
          <w:szCs w:val="19"/>
        </w:rPr>
        <w:t>.</w:t>
      </w:r>
      <w:r w:rsidRPr="008B436B">
        <w:rPr>
          <w:rFonts w:cs="Times New Roman"/>
          <w:szCs w:val="19"/>
        </w:rPr>
        <w:t xml:space="preserve">, </w:t>
      </w:r>
      <w:r w:rsidR="00926D6A" w:rsidRPr="008B436B">
        <w:rPr>
          <w:rFonts w:cs="Times New Roman"/>
          <w:szCs w:val="19"/>
        </w:rPr>
        <w:t>n. 6/</w:t>
      </w:r>
      <w:r w:rsidRPr="008B436B">
        <w:rPr>
          <w:rFonts w:cs="Times New Roman"/>
          <w:szCs w:val="19"/>
        </w:rPr>
        <w:t xml:space="preserve">2024, </w:t>
      </w:r>
      <w:r w:rsidR="00926D6A" w:rsidRPr="008B436B">
        <w:rPr>
          <w:rFonts w:cs="Times New Roman"/>
          <w:szCs w:val="19"/>
        </w:rPr>
        <w:t>p.</w:t>
      </w:r>
      <w:r w:rsidRPr="008B436B">
        <w:rPr>
          <w:rFonts w:cs="Times New Roman"/>
          <w:szCs w:val="19"/>
        </w:rPr>
        <w:t xml:space="preserve"> 2088; </w:t>
      </w:r>
      <w:r w:rsidR="00D674A2">
        <w:rPr>
          <w:rFonts w:cs="Times New Roman"/>
          <w:szCs w:val="19"/>
        </w:rPr>
        <w:t>p</w:t>
      </w:r>
      <w:r w:rsidRPr="008B436B">
        <w:rPr>
          <w:rFonts w:cs="Times New Roman"/>
          <w:szCs w:val="19"/>
        </w:rPr>
        <w:t xml:space="preserve">er maggiori approfondimenti, </w:t>
      </w:r>
      <w:r w:rsidRPr="008B436B">
        <w:rPr>
          <w:rFonts w:cs="Times New Roman"/>
          <w:smallCaps/>
          <w:szCs w:val="19"/>
        </w:rPr>
        <w:t>P. Ciamarra</w:t>
      </w:r>
      <w:r w:rsidR="00926D6A" w:rsidRPr="008B436B">
        <w:rPr>
          <w:rFonts w:cs="Times New Roman"/>
          <w:smallCaps/>
          <w:szCs w:val="19"/>
        </w:rPr>
        <w:t>,</w:t>
      </w:r>
      <w:r w:rsidRPr="008B436B">
        <w:rPr>
          <w:rFonts w:cs="Times New Roman"/>
          <w:smallCaps/>
          <w:szCs w:val="19"/>
        </w:rPr>
        <w:t xml:space="preserve"> A. Porzio</w:t>
      </w:r>
      <w:r w:rsidR="00926D6A" w:rsidRPr="008B436B">
        <w:rPr>
          <w:rFonts w:cs="Times New Roman"/>
          <w:smallCaps/>
          <w:szCs w:val="19"/>
        </w:rPr>
        <w:t>,</w:t>
      </w:r>
      <w:r w:rsidRPr="008B436B">
        <w:rPr>
          <w:rFonts w:cs="Times New Roman"/>
          <w:smallCaps/>
          <w:szCs w:val="19"/>
        </w:rPr>
        <w:t xml:space="preserve"> C. Tettamanti</w:t>
      </w:r>
      <w:r w:rsidR="00926D6A" w:rsidRPr="008B436B">
        <w:rPr>
          <w:rFonts w:cs="Times New Roman"/>
          <w:smallCaps/>
          <w:szCs w:val="19"/>
        </w:rPr>
        <w:t>,</w:t>
      </w:r>
      <w:r w:rsidRPr="008B436B">
        <w:rPr>
          <w:rFonts w:cs="Times New Roman"/>
          <w:smallCaps/>
          <w:szCs w:val="19"/>
        </w:rPr>
        <w:t xml:space="preserve"> G. Corbi</w:t>
      </w:r>
      <w:r w:rsidR="00926D6A" w:rsidRPr="008B436B">
        <w:rPr>
          <w:rFonts w:cs="Times New Roman"/>
          <w:smallCaps/>
          <w:szCs w:val="19"/>
        </w:rPr>
        <w:t>,</w:t>
      </w:r>
      <w:r w:rsidRPr="008B436B">
        <w:rPr>
          <w:rFonts w:cs="Times New Roman"/>
          <w:smallCaps/>
          <w:szCs w:val="19"/>
        </w:rPr>
        <w:t xml:space="preserve"> F. Gimigliano</w:t>
      </w:r>
      <w:r w:rsidR="00926D6A" w:rsidRPr="008B436B">
        <w:rPr>
          <w:rFonts w:cs="Times New Roman"/>
          <w:smallCaps/>
          <w:szCs w:val="19"/>
        </w:rPr>
        <w:t>,</w:t>
      </w:r>
      <w:r w:rsidRPr="008B436B">
        <w:rPr>
          <w:rFonts w:cs="Times New Roman"/>
          <w:smallCaps/>
          <w:szCs w:val="19"/>
        </w:rPr>
        <w:t xml:space="preserve"> A. Argo</w:t>
      </w:r>
      <w:r w:rsidR="00926D6A" w:rsidRPr="008B436B">
        <w:rPr>
          <w:rFonts w:cs="Times New Roman"/>
          <w:smallCaps/>
          <w:szCs w:val="19"/>
        </w:rPr>
        <w:t>,</w:t>
      </w:r>
      <w:r w:rsidRPr="008B436B">
        <w:rPr>
          <w:rFonts w:cs="Times New Roman"/>
          <w:smallCaps/>
          <w:szCs w:val="19"/>
        </w:rPr>
        <w:t xml:space="preserve"> C.P. Campobasso</w:t>
      </w:r>
      <w:r w:rsidRPr="008B436B">
        <w:rPr>
          <w:rFonts w:cs="Times New Roman"/>
          <w:szCs w:val="19"/>
        </w:rPr>
        <w:t xml:space="preserve">, </w:t>
      </w:r>
      <w:r w:rsidRPr="008B436B">
        <w:rPr>
          <w:rFonts w:cs="Times New Roman"/>
          <w:i/>
          <w:iCs/>
          <w:szCs w:val="19"/>
        </w:rPr>
        <w:t>Leggi delega in materia di disabilità e non autosufficienza e decreti attuativi: nuovi scenari valutativi per medici legali e spunti di riflessione</w:t>
      </w:r>
      <w:r w:rsidRPr="008B436B">
        <w:rPr>
          <w:rFonts w:cs="Times New Roman"/>
          <w:szCs w:val="19"/>
        </w:rPr>
        <w:t xml:space="preserve">, in </w:t>
      </w:r>
      <w:r w:rsidRPr="008B436B">
        <w:rPr>
          <w:rFonts w:cs="Times New Roman"/>
          <w:i/>
          <w:iCs/>
          <w:szCs w:val="19"/>
        </w:rPr>
        <w:t xml:space="preserve">Riv. </w:t>
      </w:r>
      <w:proofErr w:type="spellStart"/>
      <w:r w:rsidRPr="008B436B">
        <w:rPr>
          <w:rFonts w:cs="Times New Roman"/>
          <w:i/>
          <w:iCs/>
          <w:szCs w:val="19"/>
        </w:rPr>
        <w:t>it</w:t>
      </w:r>
      <w:proofErr w:type="spellEnd"/>
      <w:r w:rsidRPr="008B436B">
        <w:rPr>
          <w:rFonts w:cs="Times New Roman"/>
          <w:i/>
          <w:iCs/>
          <w:szCs w:val="19"/>
        </w:rPr>
        <w:t xml:space="preserve">. </w:t>
      </w:r>
      <w:proofErr w:type="spellStart"/>
      <w:r w:rsidRPr="008B436B">
        <w:rPr>
          <w:rFonts w:cs="Times New Roman"/>
          <w:i/>
          <w:iCs/>
          <w:szCs w:val="19"/>
        </w:rPr>
        <w:t>med</w:t>
      </w:r>
      <w:proofErr w:type="spellEnd"/>
      <w:r w:rsidRPr="008B436B">
        <w:rPr>
          <w:rFonts w:cs="Times New Roman"/>
          <w:i/>
          <w:iCs/>
          <w:szCs w:val="19"/>
        </w:rPr>
        <w:t xml:space="preserve">. </w:t>
      </w:r>
      <w:proofErr w:type="spellStart"/>
      <w:r w:rsidRPr="008B436B">
        <w:rPr>
          <w:rFonts w:cs="Times New Roman"/>
          <w:i/>
          <w:iCs/>
          <w:szCs w:val="19"/>
        </w:rPr>
        <w:t>leg</w:t>
      </w:r>
      <w:proofErr w:type="spellEnd"/>
      <w:r w:rsidRPr="008B436B">
        <w:rPr>
          <w:rFonts w:cs="Times New Roman"/>
          <w:i/>
          <w:iCs/>
          <w:szCs w:val="19"/>
        </w:rPr>
        <w:t>.</w:t>
      </w:r>
      <w:r w:rsidRPr="008B436B">
        <w:rPr>
          <w:rFonts w:cs="Times New Roman"/>
          <w:szCs w:val="19"/>
        </w:rPr>
        <w:t>, n. 1-2</w:t>
      </w:r>
      <w:r w:rsidR="00926D6A" w:rsidRPr="008B436B">
        <w:rPr>
          <w:rFonts w:cs="Times New Roman"/>
          <w:szCs w:val="19"/>
        </w:rPr>
        <w:t>/2024</w:t>
      </w:r>
      <w:r w:rsidRPr="008B436B">
        <w:rPr>
          <w:rFonts w:cs="Times New Roman"/>
          <w:szCs w:val="19"/>
        </w:rPr>
        <w:t xml:space="preserve">, </w:t>
      </w:r>
      <w:r w:rsidR="00926D6A" w:rsidRPr="008B436B">
        <w:rPr>
          <w:rFonts w:cs="Times New Roman"/>
          <w:szCs w:val="19"/>
        </w:rPr>
        <w:t xml:space="preserve">pp. </w:t>
      </w:r>
      <w:r w:rsidRPr="008B436B">
        <w:rPr>
          <w:rFonts w:cs="Times New Roman"/>
          <w:szCs w:val="19"/>
        </w:rPr>
        <w:t>370-371.</w:t>
      </w:r>
    </w:p>
  </w:footnote>
  <w:footnote w:id="11">
    <w:p w14:paraId="0D256C21" w14:textId="3AE88300" w:rsidR="00E92121" w:rsidRPr="008B436B" w:rsidRDefault="00E92121" w:rsidP="002C3D0D">
      <w:pPr>
        <w:pStyle w:val="Testonotaapidipagina"/>
        <w:widowControl w:val="0"/>
        <w:spacing w:before="40"/>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Cfr.</w:t>
      </w:r>
      <w:r w:rsidR="00926D6A" w:rsidRPr="008B436B">
        <w:rPr>
          <w:rFonts w:cs="Times New Roman"/>
          <w:szCs w:val="19"/>
        </w:rPr>
        <w:t>,</w:t>
      </w:r>
      <w:r w:rsidRPr="008B436B">
        <w:rPr>
          <w:rFonts w:cs="Times New Roman"/>
          <w:szCs w:val="19"/>
        </w:rPr>
        <w:t xml:space="preserve"> in argomento</w:t>
      </w:r>
      <w:r w:rsidR="00926D6A" w:rsidRPr="008B436B">
        <w:rPr>
          <w:rFonts w:cs="Times New Roman"/>
          <w:szCs w:val="19"/>
        </w:rPr>
        <w:t>,</w:t>
      </w:r>
      <w:r w:rsidRPr="008B436B">
        <w:rPr>
          <w:rFonts w:cs="Times New Roman"/>
          <w:szCs w:val="19"/>
        </w:rPr>
        <w:t xml:space="preserve"> </w:t>
      </w:r>
      <w:r w:rsidRPr="008B436B">
        <w:rPr>
          <w:rFonts w:cs="Times New Roman"/>
          <w:smallCaps/>
          <w:szCs w:val="19"/>
        </w:rPr>
        <w:t>E. Balboni</w:t>
      </w:r>
      <w:r w:rsidR="00926D6A" w:rsidRPr="008B436B">
        <w:rPr>
          <w:rFonts w:cs="Times New Roman"/>
          <w:smallCaps/>
          <w:szCs w:val="19"/>
        </w:rPr>
        <w:t>,</w:t>
      </w:r>
      <w:r w:rsidRPr="008B436B">
        <w:rPr>
          <w:rFonts w:cs="Times New Roman"/>
          <w:smallCaps/>
          <w:szCs w:val="19"/>
        </w:rPr>
        <w:t xml:space="preserve"> B. Baroni</w:t>
      </w:r>
      <w:r w:rsidR="00926D6A" w:rsidRPr="008B436B">
        <w:rPr>
          <w:rFonts w:cs="Times New Roman"/>
          <w:smallCaps/>
          <w:szCs w:val="19"/>
        </w:rPr>
        <w:t>,</w:t>
      </w:r>
      <w:r w:rsidRPr="008B436B">
        <w:rPr>
          <w:rFonts w:cs="Times New Roman"/>
          <w:smallCaps/>
          <w:szCs w:val="19"/>
        </w:rPr>
        <w:t xml:space="preserve"> A. Mattioni</w:t>
      </w:r>
      <w:r w:rsidR="00926D6A" w:rsidRPr="008B436B">
        <w:rPr>
          <w:rFonts w:cs="Times New Roman"/>
          <w:smallCaps/>
          <w:szCs w:val="19"/>
        </w:rPr>
        <w:t>,</w:t>
      </w:r>
      <w:r w:rsidRPr="008B436B">
        <w:rPr>
          <w:rFonts w:cs="Times New Roman"/>
          <w:smallCaps/>
          <w:szCs w:val="19"/>
        </w:rPr>
        <w:t xml:space="preserve"> G. Pastori</w:t>
      </w:r>
      <w:r w:rsidRPr="008B436B">
        <w:rPr>
          <w:rFonts w:cs="Times New Roman"/>
          <w:szCs w:val="19"/>
        </w:rPr>
        <w:t xml:space="preserve">, </w:t>
      </w:r>
      <w:r w:rsidRPr="008B436B">
        <w:rPr>
          <w:rFonts w:cs="Times New Roman"/>
          <w:i/>
          <w:iCs/>
          <w:szCs w:val="19"/>
        </w:rPr>
        <w:t>Il sistema integrato dei servizi sociali. Commento alla legge n.</w:t>
      </w:r>
      <w:r w:rsidR="00926D6A" w:rsidRPr="008B436B">
        <w:rPr>
          <w:rFonts w:cs="Times New Roman"/>
          <w:i/>
          <w:iCs/>
          <w:szCs w:val="19"/>
        </w:rPr>
        <w:t xml:space="preserve"> </w:t>
      </w:r>
      <w:r w:rsidRPr="008B436B">
        <w:rPr>
          <w:rFonts w:cs="Times New Roman"/>
          <w:i/>
          <w:iCs/>
          <w:szCs w:val="19"/>
        </w:rPr>
        <w:t>328 del 2000 e ai provvedimenti attuativi dopo la riforma del Titolo V della Costituzione</w:t>
      </w:r>
      <w:r w:rsidRPr="008B436B">
        <w:rPr>
          <w:rFonts w:cs="Times New Roman"/>
          <w:szCs w:val="19"/>
        </w:rPr>
        <w:t xml:space="preserve">, Milano, 2007; anche </w:t>
      </w:r>
      <w:r w:rsidRPr="008B436B">
        <w:rPr>
          <w:rFonts w:cs="Times New Roman"/>
          <w:smallCaps/>
          <w:szCs w:val="19"/>
        </w:rPr>
        <w:t>P. Torretta</w:t>
      </w:r>
      <w:r w:rsidRPr="008B436B">
        <w:rPr>
          <w:rFonts w:cs="Times New Roman"/>
          <w:szCs w:val="19"/>
        </w:rPr>
        <w:t xml:space="preserve">, </w:t>
      </w:r>
      <w:r w:rsidRPr="008B436B">
        <w:rPr>
          <w:rFonts w:cs="Times New Roman"/>
          <w:i/>
          <w:iCs/>
          <w:szCs w:val="19"/>
        </w:rPr>
        <w:t>La legge n. 328/2000 e i livelli essenziali di assistenza sociale: dall’avvento del sistema integrato dei servizi sociali alla sua difficile attuazione</w:t>
      </w:r>
      <w:r w:rsidRPr="008B436B">
        <w:rPr>
          <w:rFonts w:cs="Times New Roman"/>
          <w:szCs w:val="19"/>
        </w:rPr>
        <w:t xml:space="preserve">, in </w:t>
      </w:r>
      <w:r w:rsidRPr="008B436B">
        <w:rPr>
          <w:rFonts w:cs="Times New Roman"/>
          <w:i/>
          <w:iCs/>
          <w:szCs w:val="19"/>
        </w:rPr>
        <w:t>Federalismi</w:t>
      </w:r>
      <w:r w:rsidRPr="008B436B">
        <w:rPr>
          <w:rFonts w:cs="Times New Roman"/>
          <w:szCs w:val="19"/>
        </w:rPr>
        <w:t>, n. 23</w:t>
      </w:r>
      <w:r w:rsidR="00926D6A" w:rsidRPr="008B436B">
        <w:rPr>
          <w:rFonts w:cs="Times New Roman"/>
          <w:szCs w:val="19"/>
        </w:rPr>
        <w:t>/2021</w:t>
      </w:r>
      <w:r w:rsidRPr="008B436B">
        <w:rPr>
          <w:rFonts w:cs="Times New Roman"/>
          <w:szCs w:val="19"/>
        </w:rPr>
        <w:t xml:space="preserve">, </w:t>
      </w:r>
      <w:r w:rsidR="00926D6A" w:rsidRPr="008B436B">
        <w:rPr>
          <w:rFonts w:cs="Times New Roman"/>
          <w:szCs w:val="19"/>
        </w:rPr>
        <w:t xml:space="preserve">p. </w:t>
      </w:r>
      <w:r w:rsidRPr="008B436B">
        <w:rPr>
          <w:rFonts w:cs="Times New Roman"/>
          <w:szCs w:val="19"/>
        </w:rPr>
        <w:t>191 ss.</w:t>
      </w:r>
    </w:p>
  </w:footnote>
  <w:footnote w:id="12">
    <w:p w14:paraId="6FB1EB5A" w14:textId="478BD33A" w:rsidR="00E92121" w:rsidRPr="008B436B" w:rsidRDefault="00E92121" w:rsidP="002C3D0D">
      <w:pPr>
        <w:pStyle w:val="Testonotaapidipagina"/>
        <w:widowControl w:val="0"/>
        <w:spacing w:before="40"/>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Per una ricognizione delle varie ed eterogenee discipline normative riferite ai disabili nell’ordinamento italiano, </w:t>
      </w:r>
      <w:r w:rsidRPr="008B436B">
        <w:rPr>
          <w:rFonts w:cs="Times New Roman"/>
          <w:smallCaps/>
          <w:szCs w:val="19"/>
        </w:rPr>
        <w:t>R. Zamperini</w:t>
      </w:r>
      <w:r w:rsidRPr="008B436B">
        <w:rPr>
          <w:rFonts w:cs="Times New Roman"/>
          <w:szCs w:val="19"/>
        </w:rPr>
        <w:t xml:space="preserve">, </w:t>
      </w:r>
      <w:r w:rsidRPr="008B436B">
        <w:rPr>
          <w:rFonts w:cs="Times New Roman"/>
          <w:i/>
          <w:iCs/>
          <w:szCs w:val="19"/>
        </w:rPr>
        <w:t>Il decreto disabilità</w:t>
      </w:r>
      <w:r w:rsidRPr="008B436B">
        <w:rPr>
          <w:rFonts w:cs="Times New Roman"/>
          <w:szCs w:val="19"/>
        </w:rPr>
        <w:t xml:space="preserve">, cit., </w:t>
      </w:r>
      <w:r w:rsidR="00926D6A" w:rsidRPr="008B436B">
        <w:rPr>
          <w:rFonts w:cs="Times New Roman"/>
          <w:szCs w:val="19"/>
        </w:rPr>
        <w:t xml:space="preserve">p. </w:t>
      </w:r>
      <w:r w:rsidRPr="008B436B">
        <w:rPr>
          <w:rFonts w:cs="Times New Roman"/>
          <w:szCs w:val="19"/>
        </w:rPr>
        <w:t xml:space="preserve">2086 ss.; sull’amministrazione di sostegno, </w:t>
      </w:r>
      <w:r w:rsidRPr="008B436B">
        <w:rPr>
          <w:rFonts w:cs="Times New Roman"/>
          <w:smallCaps/>
          <w:szCs w:val="19"/>
        </w:rPr>
        <w:t>F. Proietti</w:t>
      </w:r>
      <w:r w:rsidRPr="008B436B">
        <w:rPr>
          <w:rFonts w:cs="Times New Roman"/>
          <w:szCs w:val="19"/>
        </w:rPr>
        <w:t xml:space="preserve">, </w:t>
      </w:r>
      <w:r w:rsidRPr="008B436B">
        <w:rPr>
          <w:rFonts w:cs="Times New Roman"/>
          <w:i/>
          <w:iCs/>
          <w:szCs w:val="19"/>
        </w:rPr>
        <w:t xml:space="preserve">Amministrazione di sostegno e capacità di donare: un intervento “cauto”, ma </w:t>
      </w:r>
      <w:proofErr w:type="gramStart"/>
      <w:r w:rsidRPr="008B436B">
        <w:rPr>
          <w:rFonts w:cs="Times New Roman"/>
          <w:i/>
          <w:iCs/>
          <w:szCs w:val="19"/>
        </w:rPr>
        <w:t>efficace?</w:t>
      </w:r>
      <w:r w:rsidRPr="008B436B">
        <w:rPr>
          <w:rFonts w:cs="Times New Roman"/>
          <w:szCs w:val="19"/>
        </w:rPr>
        <w:t>,</w:t>
      </w:r>
      <w:proofErr w:type="gramEnd"/>
      <w:r w:rsidRPr="008B436B">
        <w:rPr>
          <w:rFonts w:cs="Times New Roman"/>
          <w:szCs w:val="19"/>
        </w:rPr>
        <w:t xml:space="preserve"> in </w:t>
      </w:r>
      <w:r w:rsidRPr="008B436B">
        <w:rPr>
          <w:rFonts w:cs="Times New Roman"/>
          <w:i/>
          <w:iCs/>
          <w:szCs w:val="19"/>
        </w:rPr>
        <w:t>Giur. cost.</w:t>
      </w:r>
      <w:r w:rsidRPr="008B436B">
        <w:rPr>
          <w:rFonts w:cs="Times New Roman"/>
          <w:szCs w:val="19"/>
        </w:rPr>
        <w:t>, n. 3</w:t>
      </w:r>
      <w:r w:rsidR="00926D6A" w:rsidRPr="008B436B">
        <w:rPr>
          <w:rFonts w:cs="Times New Roman"/>
          <w:szCs w:val="19"/>
        </w:rPr>
        <w:t>/2019</w:t>
      </w:r>
      <w:r w:rsidRPr="008B436B">
        <w:rPr>
          <w:rFonts w:cs="Times New Roman"/>
          <w:szCs w:val="19"/>
        </w:rPr>
        <w:t xml:space="preserve">, </w:t>
      </w:r>
      <w:r w:rsidR="00926D6A" w:rsidRPr="008B436B">
        <w:rPr>
          <w:rFonts w:cs="Times New Roman"/>
          <w:szCs w:val="19"/>
        </w:rPr>
        <w:t xml:space="preserve">p. </w:t>
      </w:r>
      <w:r w:rsidRPr="008B436B">
        <w:rPr>
          <w:rFonts w:cs="Times New Roman"/>
          <w:szCs w:val="19"/>
        </w:rPr>
        <w:t>1392 ss.</w:t>
      </w:r>
    </w:p>
  </w:footnote>
  <w:footnote w:id="13">
    <w:p w14:paraId="179ED2D6" w14:textId="37D95E36"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Cfr., </w:t>
      </w:r>
      <w:r w:rsidRPr="008B436B">
        <w:rPr>
          <w:rFonts w:cs="Times New Roman"/>
          <w:smallCaps/>
          <w:szCs w:val="19"/>
        </w:rPr>
        <w:t>P. Ciamarra</w:t>
      </w:r>
      <w:r w:rsidR="00926D6A" w:rsidRPr="008B436B">
        <w:rPr>
          <w:rFonts w:cs="Times New Roman"/>
          <w:smallCaps/>
          <w:szCs w:val="19"/>
        </w:rPr>
        <w:t>,</w:t>
      </w:r>
      <w:r w:rsidRPr="008B436B">
        <w:rPr>
          <w:rFonts w:cs="Times New Roman"/>
          <w:smallCaps/>
          <w:szCs w:val="19"/>
        </w:rPr>
        <w:t xml:space="preserve"> A. Porzio</w:t>
      </w:r>
      <w:r w:rsidR="00926D6A" w:rsidRPr="008B436B">
        <w:rPr>
          <w:rFonts w:cs="Times New Roman"/>
          <w:smallCaps/>
          <w:szCs w:val="19"/>
        </w:rPr>
        <w:t>,</w:t>
      </w:r>
      <w:r w:rsidRPr="008B436B">
        <w:rPr>
          <w:rFonts w:cs="Times New Roman"/>
          <w:smallCaps/>
          <w:szCs w:val="19"/>
        </w:rPr>
        <w:t xml:space="preserve"> C. Tettamanti</w:t>
      </w:r>
      <w:r w:rsidR="00926D6A" w:rsidRPr="008B436B">
        <w:rPr>
          <w:rFonts w:cs="Times New Roman"/>
          <w:smallCaps/>
          <w:szCs w:val="19"/>
        </w:rPr>
        <w:t>,</w:t>
      </w:r>
      <w:r w:rsidRPr="008B436B">
        <w:rPr>
          <w:rFonts w:cs="Times New Roman"/>
          <w:smallCaps/>
          <w:szCs w:val="19"/>
        </w:rPr>
        <w:t xml:space="preserve"> G. Corbi</w:t>
      </w:r>
      <w:r w:rsidR="00926D6A" w:rsidRPr="008B436B">
        <w:rPr>
          <w:rFonts w:cs="Times New Roman"/>
          <w:smallCaps/>
          <w:szCs w:val="19"/>
        </w:rPr>
        <w:t>,</w:t>
      </w:r>
      <w:r w:rsidRPr="008B436B">
        <w:rPr>
          <w:rFonts w:cs="Times New Roman"/>
          <w:smallCaps/>
          <w:szCs w:val="19"/>
        </w:rPr>
        <w:t xml:space="preserve"> F. Gimigliano</w:t>
      </w:r>
      <w:r w:rsidR="00926D6A" w:rsidRPr="008B436B">
        <w:rPr>
          <w:rFonts w:cs="Times New Roman"/>
          <w:smallCaps/>
          <w:szCs w:val="19"/>
        </w:rPr>
        <w:t>,</w:t>
      </w:r>
      <w:r w:rsidRPr="008B436B">
        <w:rPr>
          <w:rFonts w:cs="Times New Roman"/>
          <w:smallCaps/>
          <w:szCs w:val="19"/>
        </w:rPr>
        <w:t xml:space="preserve"> A. Argo</w:t>
      </w:r>
      <w:r w:rsidR="00926D6A" w:rsidRPr="008B436B">
        <w:rPr>
          <w:rFonts w:cs="Times New Roman"/>
          <w:smallCaps/>
          <w:szCs w:val="19"/>
        </w:rPr>
        <w:t>,</w:t>
      </w:r>
      <w:r w:rsidRPr="008B436B">
        <w:rPr>
          <w:rFonts w:cs="Times New Roman"/>
          <w:smallCaps/>
          <w:szCs w:val="19"/>
        </w:rPr>
        <w:t xml:space="preserve"> C.P. Campobasso</w:t>
      </w:r>
      <w:r w:rsidRPr="008B436B">
        <w:rPr>
          <w:rFonts w:cs="Times New Roman"/>
          <w:szCs w:val="19"/>
        </w:rPr>
        <w:t xml:space="preserve">, </w:t>
      </w:r>
      <w:r w:rsidR="009474AA" w:rsidRPr="008B436B">
        <w:rPr>
          <w:rFonts w:cs="Times New Roman"/>
          <w:i/>
          <w:iCs/>
          <w:szCs w:val="19"/>
        </w:rPr>
        <w:t>Leggi delega in materia di disabilità</w:t>
      </w:r>
      <w:r w:rsidR="009474AA" w:rsidRPr="008B436B">
        <w:rPr>
          <w:rFonts w:cs="Times New Roman"/>
          <w:szCs w:val="19"/>
        </w:rPr>
        <w:t>,</w:t>
      </w:r>
      <w:r w:rsidR="009474AA" w:rsidRPr="008B436B">
        <w:rPr>
          <w:rFonts w:cs="Times New Roman"/>
          <w:i/>
          <w:iCs/>
          <w:szCs w:val="19"/>
        </w:rPr>
        <w:t xml:space="preserve"> </w:t>
      </w:r>
      <w:r w:rsidRPr="008B436B">
        <w:rPr>
          <w:rFonts w:cs="Times New Roman"/>
          <w:szCs w:val="19"/>
        </w:rPr>
        <w:t xml:space="preserve">cit., </w:t>
      </w:r>
      <w:r w:rsidR="00926D6A" w:rsidRPr="008B436B">
        <w:rPr>
          <w:rFonts w:cs="Times New Roman"/>
          <w:szCs w:val="19"/>
        </w:rPr>
        <w:t xml:space="preserve">p. </w:t>
      </w:r>
      <w:r w:rsidRPr="008B436B">
        <w:rPr>
          <w:rFonts w:cs="Times New Roman"/>
          <w:szCs w:val="19"/>
        </w:rPr>
        <w:t>371.</w:t>
      </w:r>
    </w:p>
  </w:footnote>
  <w:footnote w:id="14">
    <w:p w14:paraId="430B0806" w14:textId="00187D24"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Per un’analisi della citata normativa, Cons</w:t>
      </w:r>
      <w:r w:rsidR="00926D6A" w:rsidRPr="008B436B">
        <w:rPr>
          <w:rFonts w:cs="Times New Roman"/>
          <w:szCs w:val="19"/>
        </w:rPr>
        <w:t>.</w:t>
      </w:r>
      <w:r w:rsidRPr="008B436B">
        <w:rPr>
          <w:rFonts w:cs="Times New Roman"/>
          <w:szCs w:val="19"/>
        </w:rPr>
        <w:t xml:space="preserve"> Stato, parere 00131/2024 e data 8</w:t>
      </w:r>
      <w:r w:rsidR="00926D6A" w:rsidRPr="008B436B">
        <w:rPr>
          <w:rFonts w:cs="Times New Roman"/>
          <w:szCs w:val="19"/>
        </w:rPr>
        <w:t xml:space="preserve"> febbraio </w:t>
      </w:r>
      <w:r w:rsidRPr="008B436B">
        <w:rPr>
          <w:rFonts w:cs="Times New Roman"/>
          <w:szCs w:val="19"/>
        </w:rPr>
        <w:t xml:space="preserve">2024; </w:t>
      </w:r>
      <w:r w:rsidRPr="008B436B">
        <w:rPr>
          <w:rFonts w:cs="Times New Roman"/>
          <w:smallCaps/>
          <w:szCs w:val="19"/>
        </w:rPr>
        <w:t>E.W. Di Mauro</w:t>
      </w:r>
      <w:r w:rsidRPr="008B436B">
        <w:rPr>
          <w:rFonts w:cs="Times New Roman"/>
          <w:szCs w:val="19"/>
        </w:rPr>
        <w:t xml:space="preserve">, </w:t>
      </w:r>
      <w:r w:rsidRPr="008B436B">
        <w:rPr>
          <w:rFonts w:cs="Times New Roman"/>
          <w:i/>
          <w:iCs/>
          <w:szCs w:val="19"/>
        </w:rPr>
        <w:t>Il progetto di vita</w:t>
      </w:r>
      <w:r w:rsidRPr="008B436B">
        <w:rPr>
          <w:rFonts w:cs="Times New Roman"/>
          <w:szCs w:val="19"/>
        </w:rPr>
        <w:t xml:space="preserve">, cit., </w:t>
      </w:r>
      <w:r w:rsidR="00926D6A" w:rsidRPr="008B436B">
        <w:rPr>
          <w:rFonts w:cs="Times New Roman"/>
          <w:szCs w:val="19"/>
        </w:rPr>
        <w:t xml:space="preserve">p. </w:t>
      </w:r>
      <w:r w:rsidRPr="008B436B">
        <w:rPr>
          <w:rFonts w:cs="Times New Roman"/>
          <w:szCs w:val="19"/>
        </w:rPr>
        <w:t>218 ss.</w:t>
      </w:r>
    </w:p>
  </w:footnote>
  <w:footnote w:id="15">
    <w:p w14:paraId="193FB56F" w14:textId="01B0BB0D"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Cfr. </w:t>
      </w:r>
      <w:r w:rsidRPr="008B436B">
        <w:rPr>
          <w:rFonts w:cs="Times New Roman"/>
          <w:smallCaps/>
          <w:szCs w:val="19"/>
        </w:rPr>
        <w:t>E.W. Di Mauro</w:t>
      </w:r>
      <w:r w:rsidRPr="008B436B">
        <w:rPr>
          <w:rFonts w:cs="Times New Roman"/>
          <w:szCs w:val="19"/>
        </w:rPr>
        <w:t xml:space="preserve">, </w:t>
      </w:r>
      <w:r w:rsidR="0056368F" w:rsidRPr="008B436B">
        <w:rPr>
          <w:rFonts w:cs="Times New Roman"/>
          <w:i/>
          <w:iCs/>
          <w:szCs w:val="19"/>
        </w:rPr>
        <w:t>Il progetto di vita</w:t>
      </w:r>
      <w:r w:rsidR="0056368F" w:rsidRPr="008B436B">
        <w:rPr>
          <w:rFonts w:cs="Times New Roman"/>
          <w:szCs w:val="19"/>
        </w:rPr>
        <w:t xml:space="preserve">, cit., </w:t>
      </w:r>
      <w:r w:rsidR="00926D6A" w:rsidRPr="008B436B">
        <w:rPr>
          <w:rFonts w:cs="Times New Roman"/>
          <w:szCs w:val="19"/>
        </w:rPr>
        <w:t xml:space="preserve">p. </w:t>
      </w:r>
      <w:r w:rsidRPr="008B436B">
        <w:rPr>
          <w:rFonts w:cs="Times New Roman"/>
          <w:szCs w:val="19"/>
        </w:rPr>
        <w:t xml:space="preserve">213; tale normativa ha una portata storica per </w:t>
      </w:r>
      <w:r w:rsidRPr="008B436B">
        <w:rPr>
          <w:rFonts w:cs="Times New Roman"/>
          <w:smallCaps/>
          <w:szCs w:val="19"/>
        </w:rPr>
        <w:t>F. Gaspari</w:t>
      </w:r>
      <w:r w:rsidRPr="008B436B">
        <w:rPr>
          <w:rFonts w:cs="Times New Roman"/>
          <w:szCs w:val="19"/>
        </w:rPr>
        <w:t xml:space="preserve">, </w:t>
      </w:r>
      <w:r w:rsidRPr="008B436B">
        <w:rPr>
          <w:rFonts w:cs="Times New Roman"/>
          <w:i/>
          <w:iCs/>
          <w:szCs w:val="19"/>
        </w:rPr>
        <w:t>Il riordino della normativa in materia di disabilità</w:t>
      </w:r>
      <w:r w:rsidRPr="008B436B">
        <w:rPr>
          <w:rFonts w:cs="Times New Roman"/>
          <w:szCs w:val="19"/>
        </w:rPr>
        <w:t xml:space="preserve">, cit., </w:t>
      </w:r>
      <w:r w:rsidR="009474AA" w:rsidRPr="008B436B">
        <w:rPr>
          <w:rFonts w:cs="Times New Roman"/>
          <w:szCs w:val="19"/>
        </w:rPr>
        <w:t xml:space="preserve">p. </w:t>
      </w:r>
      <w:r w:rsidRPr="008B436B">
        <w:rPr>
          <w:rFonts w:cs="Times New Roman"/>
          <w:szCs w:val="19"/>
        </w:rPr>
        <w:t xml:space="preserve">72; individua tre direttrici contenute nel decreto del 2024, ossia </w:t>
      </w:r>
      <w:r w:rsidRPr="008B436B">
        <w:rPr>
          <w:rFonts w:cs="Times New Roman"/>
          <w:i/>
          <w:iCs/>
          <w:szCs w:val="19"/>
        </w:rPr>
        <w:t>a</w:t>
      </w:r>
      <w:r w:rsidRPr="008B436B">
        <w:rPr>
          <w:rFonts w:cs="Times New Roman"/>
          <w:szCs w:val="19"/>
        </w:rPr>
        <w:t xml:space="preserve">) la riformulazione di concetti chiave della materia, </w:t>
      </w:r>
      <w:r w:rsidRPr="008B436B">
        <w:rPr>
          <w:rFonts w:cs="Times New Roman"/>
          <w:i/>
          <w:iCs/>
          <w:szCs w:val="19"/>
        </w:rPr>
        <w:t>b</w:t>
      </w:r>
      <w:r w:rsidRPr="008B436B">
        <w:rPr>
          <w:rFonts w:cs="Times New Roman"/>
          <w:szCs w:val="19"/>
        </w:rPr>
        <w:t xml:space="preserve">) la rimozione degli ostacoli all’esercizio di diritti fondamentali e </w:t>
      </w:r>
      <w:r w:rsidRPr="008B436B">
        <w:rPr>
          <w:rFonts w:cs="Times New Roman"/>
          <w:i/>
          <w:iCs/>
          <w:szCs w:val="19"/>
        </w:rPr>
        <w:t>c</w:t>
      </w:r>
      <w:r w:rsidRPr="008B436B">
        <w:rPr>
          <w:rFonts w:cs="Times New Roman"/>
          <w:szCs w:val="19"/>
        </w:rPr>
        <w:t xml:space="preserve">) la creazione di nuovi sostegni per l’esercizio di tali diritti, </w:t>
      </w:r>
      <w:r w:rsidRPr="008B436B">
        <w:rPr>
          <w:rFonts w:cs="Times New Roman"/>
          <w:smallCaps/>
          <w:szCs w:val="19"/>
        </w:rPr>
        <w:t>R. Zamperini</w:t>
      </w:r>
      <w:r w:rsidRPr="008B436B">
        <w:rPr>
          <w:rFonts w:cs="Times New Roman"/>
          <w:szCs w:val="19"/>
        </w:rPr>
        <w:t xml:space="preserve">, </w:t>
      </w:r>
      <w:r w:rsidRPr="008B436B">
        <w:rPr>
          <w:rFonts w:cs="Times New Roman"/>
          <w:i/>
          <w:iCs/>
          <w:szCs w:val="19"/>
        </w:rPr>
        <w:t>Il decreto disabilità</w:t>
      </w:r>
      <w:r w:rsidRPr="008B436B">
        <w:rPr>
          <w:rFonts w:cs="Times New Roman"/>
          <w:szCs w:val="19"/>
        </w:rPr>
        <w:t xml:space="preserve">, cit., </w:t>
      </w:r>
      <w:r w:rsidR="00926D6A" w:rsidRPr="008B436B">
        <w:rPr>
          <w:rFonts w:cs="Times New Roman"/>
          <w:szCs w:val="19"/>
        </w:rPr>
        <w:t xml:space="preserve">p. </w:t>
      </w:r>
      <w:r w:rsidRPr="008B436B">
        <w:rPr>
          <w:rFonts w:cs="Times New Roman"/>
          <w:szCs w:val="19"/>
        </w:rPr>
        <w:t>2088 ss.</w:t>
      </w:r>
    </w:p>
  </w:footnote>
  <w:footnote w:id="16">
    <w:p w14:paraId="3C202257" w14:textId="7C83CB47"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Art. 2, comma 1, lett. </w:t>
      </w:r>
      <w:r w:rsidRPr="008B436B">
        <w:rPr>
          <w:rFonts w:cs="Times New Roman"/>
          <w:i/>
          <w:iCs/>
          <w:szCs w:val="19"/>
        </w:rPr>
        <w:t>n</w:t>
      </w:r>
      <w:r w:rsidR="00926D6A" w:rsidRPr="008B436B">
        <w:rPr>
          <w:rFonts w:cs="Times New Roman"/>
          <w:szCs w:val="19"/>
        </w:rPr>
        <w:t>)</w:t>
      </w:r>
      <w:r w:rsidRPr="008B436B">
        <w:rPr>
          <w:rFonts w:cs="Times New Roman"/>
          <w:szCs w:val="19"/>
        </w:rPr>
        <w:t xml:space="preserve">, </w:t>
      </w:r>
      <w:r w:rsidR="00360E0E">
        <w:rPr>
          <w:rFonts w:cs="Times New Roman"/>
          <w:szCs w:val="19"/>
        </w:rPr>
        <w:t xml:space="preserve">del </w:t>
      </w:r>
      <w:r w:rsidR="00926D6A" w:rsidRPr="008B436B">
        <w:rPr>
          <w:rFonts w:cs="Times New Roman"/>
          <w:szCs w:val="19"/>
        </w:rPr>
        <w:t>d.lgs</w:t>
      </w:r>
      <w:r w:rsidRPr="008B436B">
        <w:rPr>
          <w:rFonts w:cs="Times New Roman"/>
          <w:szCs w:val="19"/>
        </w:rPr>
        <w:t>. n. 62</w:t>
      </w:r>
      <w:r w:rsidR="00E00EA5" w:rsidRPr="008B436B">
        <w:rPr>
          <w:rFonts w:cs="Times New Roman"/>
          <w:szCs w:val="19"/>
        </w:rPr>
        <w:t>/</w:t>
      </w:r>
      <w:r w:rsidRPr="008B436B">
        <w:rPr>
          <w:rFonts w:cs="Times New Roman"/>
          <w:szCs w:val="19"/>
        </w:rPr>
        <w:t>2024; in precedenza la disciplina era contenuta nell’art. 14 della legge n. 328</w:t>
      </w:r>
      <w:r w:rsidR="00E00EA5" w:rsidRPr="008B436B">
        <w:rPr>
          <w:rFonts w:cs="Times New Roman"/>
          <w:szCs w:val="19"/>
        </w:rPr>
        <w:t>/</w:t>
      </w:r>
      <w:r w:rsidRPr="008B436B">
        <w:rPr>
          <w:rFonts w:cs="Times New Roman"/>
          <w:szCs w:val="19"/>
        </w:rPr>
        <w:t xml:space="preserve">2000; in argomento, </w:t>
      </w:r>
      <w:r w:rsidRPr="008B436B">
        <w:rPr>
          <w:rFonts w:cs="Times New Roman"/>
          <w:smallCaps/>
          <w:szCs w:val="19"/>
        </w:rPr>
        <w:t>E. Codini</w:t>
      </w:r>
      <w:r w:rsidRPr="008B436B">
        <w:rPr>
          <w:rFonts w:cs="Times New Roman"/>
          <w:szCs w:val="19"/>
        </w:rPr>
        <w:t xml:space="preserve">, </w:t>
      </w:r>
      <w:r w:rsidRPr="008B436B">
        <w:rPr>
          <w:rFonts w:cs="Times New Roman"/>
          <w:i/>
          <w:iCs/>
          <w:szCs w:val="19"/>
        </w:rPr>
        <w:t>Art. 14. Progetti individuali per le persone disabili</w:t>
      </w:r>
      <w:r w:rsidRPr="008B436B">
        <w:rPr>
          <w:rFonts w:cs="Times New Roman"/>
          <w:szCs w:val="19"/>
        </w:rPr>
        <w:t xml:space="preserve">, in </w:t>
      </w:r>
      <w:r w:rsidRPr="008B436B">
        <w:rPr>
          <w:rFonts w:cs="Times New Roman"/>
          <w:smallCaps/>
          <w:szCs w:val="19"/>
        </w:rPr>
        <w:t>E. Balboni</w:t>
      </w:r>
      <w:r w:rsidR="00E00EA5" w:rsidRPr="008B436B">
        <w:rPr>
          <w:rFonts w:cs="Times New Roman"/>
          <w:smallCaps/>
          <w:szCs w:val="19"/>
        </w:rPr>
        <w:t>,</w:t>
      </w:r>
      <w:r w:rsidRPr="008B436B">
        <w:rPr>
          <w:rFonts w:cs="Times New Roman"/>
          <w:smallCaps/>
          <w:szCs w:val="19"/>
        </w:rPr>
        <w:t xml:space="preserve"> B. Baron</w:t>
      </w:r>
      <w:r w:rsidR="008F4953">
        <w:rPr>
          <w:rFonts w:cs="Times New Roman"/>
          <w:smallCaps/>
          <w:szCs w:val="19"/>
        </w:rPr>
        <w:t>i,</w:t>
      </w:r>
      <w:r w:rsidRPr="008B436B">
        <w:rPr>
          <w:rFonts w:cs="Times New Roman"/>
          <w:smallCaps/>
          <w:szCs w:val="19"/>
        </w:rPr>
        <w:t xml:space="preserve"> A. Mattioni</w:t>
      </w:r>
      <w:r w:rsidR="00E00EA5" w:rsidRPr="008B436B">
        <w:rPr>
          <w:rFonts w:cs="Times New Roman"/>
          <w:smallCaps/>
          <w:szCs w:val="19"/>
        </w:rPr>
        <w:t>,</w:t>
      </w:r>
      <w:r w:rsidRPr="008B436B">
        <w:rPr>
          <w:rFonts w:cs="Times New Roman"/>
          <w:smallCaps/>
          <w:szCs w:val="19"/>
        </w:rPr>
        <w:t xml:space="preserve"> G. Pastori</w:t>
      </w:r>
      <w:r w:rsidRPr="008B436B">
        <w:rPr>
          <w:rFonts w:cs="Times New Roman"/>
          <w:szCs w:val="19"/>
        </w:rPr>
        <w:t xml:space="preserve">, </w:t>
      </w:r>
      <w:r w:rsidRPr="008B436B">
        <w:rPr>
          <w:rFonts w:cs="Times New Roman"/>
          <w:i/>
          <w:iCs/>
          <w:szCs w:val="19"/>
        </w:rPr>
        <w:t>Il sistema integrato dei servizi sociali</w:t>
      </w:r>
      <w:r w:rsidRPr="008B436B">
        <w:rPr>
          <w:rFonts w:cs="Times New Roman"/>
          <w:szCs w:val="19"/>
        </w:rPr>
        <w:t xml:space="preserve">, cit., </w:t>
      </w:r>
      <w:r w:rsidR="00E00EA5" w:rsidRPr="008B436B">
        <w:rPr>
          <w:rFonts w:cs="Times New Roman"/>
          <w:szCs w:val="19"/>
        </w:rPr>
        <w:t xml:space="preserve">p. </w:t>
      </w:r>
      <w:r w:rsidRPr="008B436B">
        <w:rPr>
          <w:rFonts w:cs="Times New Roman"/>
          <w:szCs w:val="19"/>
        </w:rPr>
        <w:t xml:space="preserve">348 ss.; cfr. anche </w:t>
      </w:r>
      <w:r w:rsidRPr="008B436B">
        <w:rPr>
          <w:rFonts w:cs="Times New Roman"/>
          <w:smallCaps/>
          <w:szCs w:val="19"/>
        </w:rPr>
        <w:t>A. Candido</w:t>
      </w:r>
      <w:r w:rsidRPr="008B436B">
        <w:rPr>
          <w:rFonts w:cs="Times New Roman"/>
          <w:szCs w:val="19"/>
        </w:rPr>
        <w:t xml:space="preserve">, </w:t>
      </w:r>
      <w:r w:rsidRPr="008B436B">
        <w:rPr>
          <w:rFonts w:cs="Times New Roman"/>
          <w:i/>
          <w:iCs/>
          <w:szCs w:val="19"/>
        </w:rPr>
        <w:t>Quando il diritto diventa finanziariamente incondizionato. Il progetto di vita individuale per lo studente con disabilità grave</w:t>
      </w:r>
      <w:r w:rsidRPr="008B436B">
        <w:rPr>
          <w:rFonts w:cs="Times New Roman"/>
          <w:szCs w:val="19"/>
        </w:rPr>
        <w:t xml:space="preserve">, in </w:t>
      </w:r>
      <w:r w:rsidRPr="008B436B">
        <w:rPr>
          <w:rFonts w:cs="Times New Roman"/>
          <w:i/>
          <w:iCs/>
          <w:szCs w:val="19"/>
        </w:rPr>
        <w:t xml:space="preserve">Piemonte </w:t>
      </w:r>
      <w:proofErr w:type="spellStart"/>
      <w:r w:rsidRPr="008B436B">
        <w:rPr>
          <w:rFonts w:cs="Times New Roman"/>
          <w:i/>
          <w:iCs/>
          <w:szCs w:val="19"/>
        </w:rPr>
        <w:t>auton</w:t>
      </w:r>
      <w:proofErr w:type="spellEnd"/>
      <w:r w:rsidR="009474AA" w:rsidRPr="008B436B">
        <w:rPr>
          <w:rFonts w:cs="Times New Roman"/>
          <w:i/>
          <w:iCs/>
          <w:szCs w:val="19"/>
        </w:rPr>
        <w:t>.</w:t>
      </w:r>
      <w:r w:rsidRPr="008B436B">
        <w:rPr>
          <w:rFonts w:cs="Times New Roman"/>
          <w:szCs w:val="19"/>
        </w:rPr>
        <w:t>, n. 1</w:t>
      </w:r>
      <w:r w:rsidR="00E00EA5" w:rsidRPr="008B436B">
        <w:rPr>
          <w:rFonts w:cs="Times New Roman"/>
          <w:szCs w:val="19"/>
        </w:rPr>
        <w:t>/2019</w:t>
      </w:r>
      <w:r w:rsidRPr="008B436B">
        <w:rPr>
          <w:rFonts w:cs="Times New Roman"/>
          <w:szCs w:val="19"/>
        </w:rPr>
        <w:t xml:space="preserve">, </w:t>
      </w:r>
      <w:r w:rsidR="00E00EA5" w:rsidRPr="008B436B">
        <w:rPr>
          <w:rFonts w:cs="Times New Roman"/>
          <w:szCs w:val="19"/>
        </w:rPr>
        <w:t xml:space="preserve">p. </w:t>
      </w:r>
      <w:r w:rsidRPr="008B436B">
        <w:rPr>
          <w:rFonts w:cs="Times New Roman"/>
          <w:szCs w:val="19"/>
        </w:rPr>
        <w:t>56;</w:t>
      </w:r>
      <w:r w:rsidRPr="008B436B">
        <w:rPr>
          <w:rFonts w:cs="Times New Roman"/>
          <w:smallCaps/>
          <w:szCs w:val="19"/>
        </w:rPr>
        <w:t xml:space="preserve"> E.W. Di Mauro</w:t>
      </w:r>
      <w:r w:rsidRPr="008B436B">
        <w:rPr>
          <w:rFonts w:cs="Times New Roman"/>
          <w:szCs w:val="19"/>
        </w:rPr>
        <w:t xml:space="preserve">, </w:t>
      </w:r>
      <w:r w:rsidRPr="008B436B">
        <w:rPr>
          <w:rFonts w:cs="Times New Roman"/>
          <w:i/>
          <w:iCs/>
          <w:szCs w:val="19"/>
        </w:rPr>
        <w:t>Il progetto di vita</w:t>
      </w:r>
      <w:r w:rsidRPr="008B436B">
        <w:rPr>
          <w:rFonts w:cs="Times New Roman"/>
          <w:szCs w:val="19"/>
        </w:rPr>
        <w:t xml:space="preserve">, cit., </w:t>
      </w:r>
      <w:r w:rsidR="00E00EA5" w:rsidRPr="008B436B">
        <w:rPr>
          <w:rFonts w:cs="Times New Roman"/>
          <w:szCs w:val="19"/>
        </w:rPr>
        <w:t xml:space="preserve">pp. </w:t>
      </w:r>
      <w:r w:rsidRPr="008B436B">
        <w:rPr>
          <w:rFonts w:cs="Times New Roman"/>
          <w:szCs w:val="19"/>
        </w:rPr>
        <w:t xml:space="preserve">213-214; </w:t>
      </w:r>
      <w:r w:rsidRPr="008B436B">
        <w:rPr>
          <w:rFonts w:cs="Times New Roman"/>
          <w:smallCaps/>
          <w:szCs w:val="19"/>
        </w:rPr>
        <w:t>F. Gaspari</w:t>
      </w:r>
      <w:r w:rsidRPr="008B436B">
        <w:rPr>
          <w:rFonts w:cs="Times New Roman"/>
          <w:szCs w:val="19"/>
        </w:rPr>
        <w:t xml:space="preserve">, </w:t>
      </w:r>
      <w:r w:rsidRPr="008B436B">
        <w:rPr>
          <w:rFonts w:cs="Times New Roman"/>
          <w:i/>
          <w:iCs/>
          <w:szCs w:val="19"/>
        </w:rPr>
        <w:t>Il riordino della normativa in materia di disabilità</w:t>
      </w:r>
      <w:r w:rsidRPr="008B436B">
        <w:rPr>
          <w:rFonts w:cs="Times New Roman"/>
          <w:szCs w:val="19"/>
        </w:rPr>
        <w:t xml:space="preserve">, cit., </w:t>
      </w:r>
      <w:r w:rsidR="00E00EA5" w:rsidRPr="008B436B">
        <w:rPr>
          <w:rFonts w:cs="Times New Roman"/>
          <w:szCs w:val="19"/>
        </w:rPr>
        <w:t xml:space="preserve">pp. </w:t>
      </w:r>
      <w:r w:rsidRPr="008B436B">
        <w:rPr>
          <w:rFonts w:cs="Times New Roman"/>
          <w:szCs w:val="19"/>
        </w:rPr>
        <w:t xml:space="preserve">75-76; </w:t>
      </w:r>
      <w:r w:rsidRPr="008B436B">
        <w:rPr>
          <w:rFonts w:cs="Times New Roman"/>
          <w:smallCaps/>
          <w:szCs w:val="19"/>
        </w:rPr>
        <w:t>G. Latti</w:t>
      </w:r>
      <w:r w:rsidRPr="008B436B">
        <w:rPr>
          <w:rFonts w:cs="Times New Roman"/>
          <w:szCs w:val="19"/>
        </w:rPr>
        <w:t xml:space="preserve">, </w:t>
      </w:r>
      <w:r w:rsidRPr="008B436B">
        <w:rPr>
          <w:rFonts w:cs="Times New Roman"/>
          <w:i/>
          <w:iCs/>
          <w:szCs w:val="19"/>
        </w:rPr>
        <w:t>Il Progetto personalizzato tra autodeterminazione ed esigenze di protezione</w:t>
      </w:r>
      <w:r w:rsidRPr="008B436B">
        <w:rPr>
          <w:rFonts w:cs="Times New Roman"/>
          <w:szCs w:val="19"/>
        </w:rPr>
        <w:t xml:space="preserve">, in </w:t>
      </w:r>
      <w:r w:rsidRPr="008B436B">
        <w:rPr>
          <w:rFonts w:cs="Times New Roman"/>
          <w:i/>
          <w:iCs/>
          <w:szCs w:val="19"/>
        </w:rPr>
        <w:t>Quest</w:t>
      </w:r>
      <w:r w:rsidR="00E00EA5" w:rsidRPr="008B436B">
        <w:rPr>
          <w:rFonts w:cs="Times New Roman"/>
          <w:i/>
          <w:iCs/>
          <w:szCs w:val="19"/>
        </w:rPr>
        <w:t>.</w:t>
      </w:r>
      <w:r w:rsidRPr="008B436B">
        <w:rPr>
          <w:rFonts w:cs="Times New Roman"/>
          <w:i/>
          <w:iCs/>
          <w:szCs w:val="19"/>
        </w:rPr>
        <w:t xml:space="preserve"> </w:t>
      </w:r>
      <w:proofErr w:type="spellStart"/>
      <w:r w:rsidRPr="008B436B">
        <w:rPr>
          <w:rFonts w:cs="Times New Roman"/>
          <w:i/>
          <w:iCs/>
          <w:szCs w:val="19"/>
        </w:rPr>
        <w:t>gius</w:t>
      </w:r>
      <w:r w:rsidR="009474AA" w:rsidRPr="008B436B">
        <w:rPr>
          <w:rFonts w:cs="Times New Roman"/>
          <w:i/>
          <w:iCs/>
          <w:szCs w:val="19"/>
        </w:rPr>
        <w:t>t</w:t>
      </w:r>
      <w:proofErr w:type="spellEnd"/>
      <w:r w:rsidR="00E00EA5" w:rsidRPr="008B436B">
        <w:rPr>
          <w:rFonts w:cs="Times New Roman"/>
          <w:i/>
          <w:iCs/>
          <w:szCs w:val="19"/>
        </w:rPr>
        <w:t>.</w:t>
      </w:r>
      <w:r w:rsidRPr="008B436B">
        <w:rPr>
          <w:rFonts w:cs="Times New Roman"/>
          <w:szCs w:val="19"/>
        </w:rPr>
        <w:t>, n. 3</w:t>
      </w:r>
      <w:r w:rsidR="00E00EA5" w:rsidRPr="008B436B">
        <w:rPr>
          <w:rFonts w:cs="Times New Roman"/>
          <w:szCs w:val="19"/>
        </w:rPr>
        <w:t>/2018</w:t>
      </w:r>
      <w:r w:rsidRPr="008B436B">
        <w:rPr>
          <w:rFonts w:cs="Times New Roman"/>
          <w:szCs w:val="19"/>
        </w:rPr>
        <w:t xml:space="preserve">, </w:t>
      </w:r>
      <w:r w:rsidR="00E00EA5" w:rsidRPr="008B436B">
        <w:rPr>
          <w:rFonts w:cs="Times New Roman"/>
          <w:szCs w:val="19"/>
        </w:rPr>
        <w:t xml:space="preserve">p. </w:t>
      </w:r>
      <w:r w:rsidRPr="008B436B">
        <w:rPr>
          <w:rFonts w:cs="Times New Roman"/>
          <w:szCs w:val="19"/>
        </w:rPr>
        <w:t xml:space="preserve">27 ss.; </w:t>
      </w:r>
      <w:r w:rsidRPr="008B436B">
        <w:rPr>
          <w:rFonts w:cs="Times New Roman"/>
          <w:smallCaps/>
          <w:szCs w:val="19"/>
        </w:rPr>
        <w:t>P. Maglione</w:t>
      </w:r>
      <w:r w:rsidRPr="008B436B">
        <w:rPr>
          <w:rFonts w:cs="Times New Roman"/>
          <w:szCs w:val="19"/>
        </w:rPr>
        <w:t xml:space="preserve">, </w:t>
      </w:r>
      <w:r w:rsidRPr="008B436B">
        <w:rPr>
          <w:rFonts w:cs="Times New Roman"/>
          <w:i/>
          <w:iCs/>
          <w:szCs w:val="19"/>
        </w:rPr>
        <w:t>Il regime di tutela giurisdizionale della disabilità avverso l’inattuazione del sistema integrato di interventi assistenziali</w:t>
      </w:r>
      <w:r w:rsidRPr="008B436B">
        <w:rPr>
          <w:rFonts w:cs="Times New Roman"/>
          <w:szCs w:val="19"/>
        </w:rPr>
        <w:t xml:space="preserve">, in </w:t>
      </w:r>
      <w:r w:rsidRPr="008B436B">
        <w:rPr>
          <w:rFonts w:cs="Times New Roman"/>
          <w:i/>
          <w:iCs/>
          <w:szCs w:val="19"/>
        </w:rPr>
        <w:t>AmbienteDiritto.it</w:t>
      </w:r>
      <w:r w:rsidRPr="008B436B">
        <w:rPr>
          <w:rFonts w:cs="Times New Roman"/>
          <w:szCs w:val="19"/>
        </w:rPr>
        <w:t>, n. 1</w:t>
      </w:r>
      <w:r w:rsidR="00E00EA5" w:rsidRPr="008B436B">
        <w:rPr>
          <w:rFonts w:cs="Times New Roman"/>
          <w:szCs w:val="19"/>
        </w:rPr>
        <w:t>/2019</w:t>
      </w:r>
      <w:r w:rsidRPr="008B436B">
        <w:rPr>
          <w:rFonts w:cs="Times New Roman"/>
          <w:szCs w:val="19"/>
        </w:rPr>
        <w:t xml:space="preserve">, </w:t>
      </w:r>
      <w:r w:rsidR="00E00EA5" w:rsidRPr="008B436B">
        <w:rPr>
          <w:rFonts w:cs="Times New Roman"/>
          <w:szCs w:val="19"/>
        </w:rPr>
        <w:t xml:space="preserve">p. </w:t>
      </w:r>
      <w:r w:rsidRPr="008B436B">
        <w:rPr>
          <w:rFonts w:cs="Times New Roman"/>
          <w:szCs w:val="19"/>
        </w:rPr>
        <w:t>6 ss.</w:t>
      </w:r>
    </w:p>
  </w:footnote>
  <w:footnote w:id="17">
    <w:p w14:paraId="37D2343B" w14:textId="2197CDC3"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Cfr. art. 18 del </w:t>
      </w:r>
      <w:r w:rsidR="00E00EA5" w:rsidRPr="008B436B">
        <w:rPr>
          <w:rFonts w:cs="Times New Roman"/>
          <w:szCs w:val="19"/>
        </w:rPr>
        <w:t>d.lgs</w:t>
      </w:r>
      <w:r w:rsidRPr="008B436B">
        <w:rPr>
          <w:rFonts w:cs="Times New Roman"/>
          <w:szCs w:val="19"/>
        </w:rPr>
        <w:t>. n. 62</w:t>
      </w:r>
      <w:r w:rsidR="00E00EA5" w:rsidRPr="008B436B">
        <w:rPr>
          <w:rFonts w:cs="Times New Roman"/>
          <w:szCs w:val="19"/>
        </w:rPr>
        <w:t>/</w:t>
      </w:r>
      <w:r w:rsidRPr="008B436B">
        <w:rPr>
          <w:rFonts w:cs="Times New Roman"/>
          <w:szCs w:val="19"/>
        </w:rPr>
        <w:t xml:space="preserve">2024; in argomento, </w:t>
      </w:r>
      <w:bookmarkStart w:id="6" w:name="_Hlk197281889"/>
      <w:r w:rsidRPr="008B436B">
        <w:rPr>
          <w:rFonts w:cs="Times New Roman"/>
          <w:smallCaps/>
          <w:szCs w:val="19"/>
        </w:rPr>
        <w:t xml:space="preserve">M. </w:t>
      </w:r>
      <w:proofErr w:type="spellStart"/>
      <w:r w:rsidRPr="008B436B">
        <w:rPr>
          <w:rFonts w:cs="Times New Roman"/>
          <w:smallCaps/>
          <w:szCs w:val="19"/>
        </w:rPr>
        <w:t>Bombardelli</w:t>
      </w:r>
      <w:proofErr w:type="spellEnd"/>
      <w:r w:rsidRPr="008B436B">
        <w:rPr>
          <w:rFonts w:cs="Times New Roman"/>
          <w:szCs w:val="19"/>
        </w:rPr>
        <w:t xml:space="preserve">, </w:t>
      </w:r>
      <w:r w:rsidRPr="008B436B">
        <w:rPr>
          <w:rFonts w:cs="Times New Roman"/>
          <w:i/>
          <w:iCs/>
          <w:szCs w:val="19"/>
        </w:rPr>
        <w:t>Il progetto individuale per le persone disabili e il danno da ritardo nella sua adozione</w:t>
      </w:r>
      <w:r w:rsidRPr="008B436B">
        <w:rPr>
          <w:rFonts w:cs="Times New Roman"/>
          <w:szCs w:val="19"/>
        </w:rPr>
        <w:t xml:space="preserve">, in </w:t>
      </w:r>
      <w:proofErr w:type="spellStart"/>
      <w:r w:rsidRPr="008B436B">
        <w:rPr>
          <w:rFonts w:cs="Times New Roman"/>
          <w:i/>
          <w:iCs/>
          <w:szCs w:val="19"/>
        </w:rPr>
        <w:t>Giorn</w:t>
      </w:r>
      <w:proofErr w:type="spellEnd"/>
      <w:r w:rsidRPr="008B436B">
        <w:rPr>
          <w:rFonts w:cs="Times New Roman"/>
          <w:i/>
          <w:iCs/>
          <w:szCs w:val="19"/>
        </w:rPr>
        <w:t xml:space="preserve">. dir. </w:t>
      </w:r>
      <w:proofErr w:type="spellStart"/>
      <w:r w:rsidRPr="008B436B">
        <w:rPr>
          <w:rFonts w:cs="Times New Roman"/>
          <w:i/>
          <w:iCs/>
          <w:szCs w:val="19"/>
        </w:rPr>
        <w:t>amm</w:t>
      </w:r>
      <w:proofErr w:type="spellEnd"/>
      <w:r w:rsidRPr="008B436B">
        <w:rPr>
          <w:rFonts w:cs="Times New Roman"/>
          <w:i/>
          <w:iCs/>
          <w:szCs w:val="19"/>
        </w:rPr>
        <w:t>.</w:t>
      </w:r>
      <w:r w:rsidRPr="008B436B">
        <w:rPr>
          <w:rFonts w:cs="Times New Roman"/>
          <w:szCs w:val="19"/>
        </w:rPr>
        <w:t>, n. 1</w:t>
      </w:r>
      <w:r w:rsidR="00E00EA5" w:rsidRPr="008B436B">
        <w:rPr>
          <w:rFonts w:cs="Times New Roman"/>
          <w:szCs w:val="19"/>
        </w:rPr>
        <w:t>/2024</w:t>
      </w:r>
      <w:r w:rsidRPr="008B436B">
        <w:rPr>
          <w:rFonts w:cs="Times New Roman"/>
          <w:szCs w:val="19"/>
        </w:rPr>
        <w:t xml:space="preserve">, </w:t>
      </w:r>
      <w:r w:rsidR="00E00EA5" w:rsidRPr="008B436B">
        <w:rPr>
          <w:rFonts w:cs="Times New Roman"/>
          <w:szCs w:val="19"/>
        </w:rPr>
        <w:t xml:space="preserve">p. </w:t>
      </w:r>
      <w:r w:rsidRPr="008B436B">
        <w:rPr>
          <w:rFonts w:cs="Times New Roman"/>
          <w:szCs w:val="19"/>
        </w:rPr>
        <w:t xml:space="preserve">114 </w:t>
      </w:r>
      <w:bookmarkEnd w:id="6"/>
      <w:r w:rsidRPr="008B436B">
        <w:rPr>
          <w:rFonts w:cs="Times New Roman"/>
          <w:szCs w:val="19"/>
        </w:rPr>
        <w:t xml:space="preserve">ss.; sottolineano la centralità dell’approccio </w:t>
      </w:r>
      <w:proofErr w:type="spellStart"/>
      <w:r w:rsidRPr="008B436B">
        <w:rPr>
          <w:rFonts w:cs="Times New Roman"/>
          <w:szCs w:val="19"/>
        </w:rPr>
        <w:t>bio</w:t>
      </w:r>
      <w:proofErr w:type="spellEnd"/>
      <w:r w:rsidRPr="008B436B">
        <w:rPr>
          <w:rFonts w:cs="Times New Roman"/>
          <w:szCs w:val="19"/>
        </w:rPr>
        <w:t xml:space="preserve">-psico-sociale </w:t>
      </w:r>
      <w:r w:rsidRPr="008B436B">
        <w:rPr>
          <w:rFonts w:cs="Times New Roman"/>
          <w:smallCaps/>
          <w:szCs w:val="19"/>
        </w:rPr>
        <w:t>P. Ciamarra</w:t>
      </w:r>
      <w:r w:rsidR="00E00EA5" w:rsidRPr="008B436B">
        <w:rPr>
          <w:rFonts w:cs="Times New Roman"/>
          <w:smallCaps/>
          <w:szCs w:val="19"/>
        </w:rPr>
        <w:t>,</w:t>
      </w:r>
      <w:r w:rsidRPr="008B436B">
        <w:rPr>
          <w:rFonts w:cs="Times New Roman"/>
          <w:smallCaps/>
          <w:szCs w:val="19"/>
        </w:rPr>
        <w:t xml:space="preserve"> A. Porzio</w:t>
      </w:r>
      <w:r w:rsidR="00E00EA5" w:rsidRPr="008B436B">
        <w:rPr>
          <w:rFonts w:cs="Times New Roman"/>
          <w:smallCaps/>
          <w:szCs w:val="19"/>
        </w:rPr>
        <w:t>,</w:t>
      </w:r>
      <w:r w:rsidRPr="008B436B">
        <w:rPr>
          <w:rFonts w:cs="Times New Roman"/>
          <w:smallCaps/>
          <w:szCs w:val="19"/>
        </w:rPr>
        <w:t xml:space="preserve"> C. Tettamanti</w:t>
      </w:r>
      <w:r w:rsidR="00E00EA5" w:rsidRPr="008B436B">
        <w:rPr>
          <w:rFonts w:cs="Times New Roman"/>
          <w:smallCaps/>
          <w:szCs w:val="19"/>
        </w:rPr>
        <w:t>,</w:t>
      </w:r>
      <w:r w:rsidRPr="008B436B">
        <w:rPr>
          <w:rFonts w:cs="Times New Roman"/>
          <w:smallCaps/>
          <w:szCs w:val="19"/>
        </w:rPr>
        <w:t xml:space="preserve"> G. Corbi</w:t>
      </w:r>
      <w:r w:rsidR="00E00EA5" w:rsidRPr="008B436B">
        <w:rPr>
          <w:rFonts w:cs="Times New Roman"/>
          <w:smallCaps/>
          <w:szCs w:val="19"/>
        </w:rPr>
        <w:t>,</w:t>
      </w:r>
      <w:r w:rsidRPr="008B436B">
        <w:rPr>
          <w:rFonts w:cs="Times New Roman"/>
          <w:smallCaps/>
          <w:szCs w:val="19"/>
        </w:rPr>
        <w:t xml:space="preserve"> F. Gimigliano</w:t>
      </w:r>
      <w:r w:rsidR="00E00EA5" w:rsidRPr="008B436B">
        <w:rPr>
          <w:rFonts w:cs="Times New Roman"/>
          <w:smallCaps/>
          <w:szCs w:val="19"/>
        </w:rPr>
        <w:t>,</w:t>
      </w:r>
      <w:r w:rsidRPr="008B436B">
        <w:rPr>
          <w:rFonts w:cs="Times New Roman"/>
          <w:smallCaps/>
          <w:szCs w:val="19"/>
        </w:rPr>
        <w:t xml:space="preserve"> A. Argo</w:t>
      </w:r>
      <w:r w:rsidR="00E00EA5" w:rsidRPr="008B436B">
        <w:rPr>
          <w:rFonts w:cs="Times New Roman"/>
          <w:smallCaps/>
          <w:szCs w:val="19"/>
        </w:rPr>
        <w:t>,</w:t>
      </w:r>
      <w:r w:rsidRPr="008B436B">
        <w:rPr>
          <w:rFonts w:cs="Times New Roman"/>
          <w:smallCaps/>
          <w:szCs w:val="19"/>
        </w:rPr>
        <w:t xml:space="preserve"> C.P. Campobasso</w:t>
      </w:r>
      <w:r w:rsidRPr="008B436B">
        <w:rPr>
          <w:rFonts w:cs="Times New Roman"/>
          <w:szCs w:val="19"/>
        </w:rPr>
        <w:t xml:space="preserve">, </w:t>
      </w:r>
      <w:r w:rsidRPr="008B436B">
        <w:rPr>
          <w:rFonts w:cs="Times New Roman"/>
          <w:i/>
          <w:iCs/>
          <w:szCs w:val="19"/>
        </w:rPr>
        <w:t>Leggi delega in materia di disabilità</w:t>
      </w:r>
      <w:r w:rsidRPr="008B436B">
        <w:rPr>
          <w:rFonts w:cs="Times New Roman"/>
          <w:szCs w:val="19"/>
        </w:rPr>
        <w:t>, cit.,</w:t>
      </w:r>
      <w:r w:rsidR="00E00EA5" w:rsidRPr="008B436B">
        <w:rPr>
          <w:rFonts w:cs="Times New Roman"/>
          <w:szCs w:val="19"/>
        </w:rPr>
        <w:t xml:space="preserve"> p.</w:t>
      </w:r>
      <w:r w:rsidRPr="008B436B">
        <w:rPr>
          <w:rFonts w:cs="Times New Roman"/>
          <w:szCs w:val="19"/>
        </w:rPr>
        <w:t xml:space="preserve"> 377.</w:t>
      </w:r>
    </w:p>
  </w:footnote>
  <w:footnote w:id="18">
    <w:p w14:paraId="162A7FFF" w14:textId="57BD6936"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Art. 19 del </w:t>
      </w:r>
      <w:r w:rsidR="00E00EA5" w:rsidRPr="008B436B">
        <w:rPr>
          <w:rFonts w:cs="Times New Roman"/>
          <w:szCs w:val="19"/>
        </w:rPr>
        <w:t>d.lgs</w:t>
      </w:r>
      <w:r w:rsidRPr="008B436B">
        <w:rPr>
          <w:rFonts w:cs="Times New Roman"/>
          <w:szCs w:val="19"/>
        </w:rPr>
        <w:t>. n. 62</w:t>
      </w:r>
      <w:r w:rsidR="00E00EA5" w:rsidRPr="008B436B">
        <w:rPr>
          <w:rFonts w:cs="Times New Roman"/>
          <w:szCs w:val="19"/>
        </w:rPr>
        <w:t>/</w:t>
      </w:r>
      <w:r w:rsidRPr="008B436B">
        <w:rPr>
          <w:rFonts w:cs="Times New Roman"/>
          <w:szCs w:val="19"/>
        </w:rPr>
        <w:t xml:space="preserve">2024; </w:t>
      </w:r>
      <w:r w:rsidRPr="008B436B">
        <w:rPr>
          <w:rFonts w:cs="Times New Roman"/>
          <w:smallCaps/>
          <w:szCs w:val="19"/>
        </w:rPr>
        <w:t>F. Gaspari</w:t>
      </w:r>
      <w:r w:rsidRPr="008B436B">
        <w:rPr>
          <w:rFonts w:cs="Times New Roman"/>
          <w:szCs w:val="19"/>
        </w:rPr>
        <w:t xml:space="preserve">, </w:t>
      </w:r>
      <w:r w:rsidRPr="008B436B">
        <w:rPr>
          <w:rFonts w:cs="Times New Roman"/>
          <w:i/>
          <w:iCs/>
          <w:szCs w:val="19"/>
        </w:rPr>
        <w:t>Il riordino della normativa in materia di disabilità</w:t>
      </w:r>
      <w:r w:rsidRPr="008B436B">
        <w:rPr>
          <w:rFonts w:cs="Times New Roman"/>
          <w:szCs w:val="19"/>
        </w:rPr>
        <w:t xml:space="preserve">, cit., </w:t>
      </w:r>
      <w:r w:rsidR="00E00EA5" w:rsidRPr="008B436B">
        <w:rPr>
          <w:rFonts w:cs="Times New Roman"/>
          <w:szCs w:val="19"/>
        </w:rPr>
        <w:t xml:space="preserve">pp. </w:t>
      </w:r>
      <w:r w:rsidRPr="008B436B">
        <w:rPr>
          <w:rFonts w:cs="Times New Roman"/>
          <w:szCs w:val="19"/>
        </w:rPr>
        <w:t>76-77.</w:t>
      </w:r>
    </w:p>
  </w:footnote>
  <w:footnote w:id="19">
    <w:p w14:paraId="7A8EDD9B" w14:textId="15BFA0E5" w:rsidR="00B92AE3" w:rsidRDefault="00B92AE3">
      <w:pPr>
        <w:pStyle w:val="Testonotaapidipagina"/>
      </w:pPr>
      <w:r>
        <w:rPr>
          <w:rStyle w:val="Rimandonotaapidipagina"/>
        </w:rPr>
        <w:footnoteRef/>
      </w:r>
      <w:r w:rsidR="00F9721E">
        <w:rPr>
          <w:vertAlign w:val="superscript"/>
        </w:rPr>
        <w:t> </w:t>
      </w:r>
      <w:r w:rsidRPr="00B92AE3">
        <w:t>Cfr. Preambolo della Convenzione, lett. (e)</w:t>
      </w:r>
      <w:r>
        <w:t>,</w:t>
      </w:r>
      <w:r w:rsidRPr="00B92AE3">
        <w:t xml:space="preserve"> </w:t>
      </w:r>
      <w:r>
        <w:rPr>
          <w:rFonts w:cs="Times New Roman"/>
        </w:rPr>
        <w:t>«</w:t>
      </w:r>
      <w:r w:rsidRPr="00391A67">
        <w:rPr>
          <w:i/>
          <w:iCs/>
        </w:rPr>
        <w:t>la disabilità è un concetto in evoluzione e che la disabilità è il risultato dell’interazione tra persone con menomazioni e barriere comportamentali ed ambientali, che impediscono la loro piena ed effettiva partecipazione alla società su base di uguaglianza con gli altri</w:t>
      </w:r>
      <w:r>
        <w:rPr>
          <w:rFonts w:cs="Times New Roman"/>
        </w:rPr>
        <w:t>»</w:t>
      </w:r>
      <w:r w:rsidRPr="00B92AE3">
        <w:t xml:space="preserve"> e art. 1, par. 2, </w:t>
      </w:r>
      <w:r>
        <w:rPr>
          <w:rFonts w:cs="Times New Roman"/>
        </w:rPr>
        <w:t>«</w:t>
      </w:r>
      <w:r w:rsidRPr="00391A67">
        <w:rPr>
          <w:i/>
          <w:iCs/>
        </w:rPr>
        <w:t>per persone con disabilità si intendono coloro che presentano durature menomazioni fisiche, mentali, intellettive o sensoriali che in interazione con barriere di diversa natura possono ostacolare la loro piena ed effettiva partecipazione nella società su base di uguaglianza con gli altri</w:t>
      </w:r>
      <w:r>
        <w:rPr>
          <w:rFonts w:cs="Times New Roman"/>
        </w:rPr>
        <w:t>»</w:t>
      </w:r>
      <w:r w:rsidRPr="00B92AE3">
        <w:t>.</w:t>
      </w:r>
    </w:p>
  </w:footnote>
  <w:footnote w:id="20">
    <w:p w14:paraId="777D14D4" w14:textId="62BDC1E9"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La valutazione di base, di cui all’art. 2 del </w:t>
      </w:r>
      <w:r w:rsidR="00E00EA5" w:rsidRPr="008B436B">
        <w:rPr>
          <w:rFonts w:cs="Times New Roman"/>
          <w:szCs w:val="19"/>
        </w:rPr>
        <w:t>d.lgs</w:t>
      </w:r>
      <w:r w:rsidRPr="008B436B">
        <w:rPr>
          <w:rFonts w:cs="Times New Roman"/>
          <w:szCs w:val="19"/>
        </w:rPr>
        <w:t>. n. 62</w:t>
      </w:r>
      <w:r w:rsidR="009474AA" w:rsidRPr="008B436B">
        <w:rPr>
          <w:rFonts w:cs="Times New Roman"/>
          <w:szCs w:val="19"/>
        </w:rPr>
        <w:t>/</w:t>
      </w:r>
      <w:r w:rsidRPr="008B436B">
        <w:rPr>
          <w:rFonts w:cs="Times New Roman"/>
          <w:szCs w:val="19"/>
        </w:rPr>
        <w:t xml:space="preserve">2024, è lo strumento unitario con cui si verifica la condizione di disabilità e si individuano le forme di tutela del soggetto disabile: </w:t>
      </w:r>
      <w:r w:rsidR="00E00EA5" w:rsidRPr="008B436B">
        <w:rPr>
          <w:rFonts w:cs="Times New Roman"/>
          <w:smallCaps/>
          <w:szCs w:val="19"/>
        </w:rPr>
        <w:t>P. Ciamarra, A. Porzio, C. Tettamanti, G. Corbi, F. Gimigliano, A. Argo, C.P. Campobasso</w:t>
      </w:r>
      <w:r w:rsidR="00E00EA5" w:rsidRPr="008B436B">
        <w:rPr>
          <w:rFonts w:cs="Times New Roman"/>
          <w:szCs w:val="19"/>
        </w:rPr>
        <w:t xml:space="preserve">, </w:t>
      </w:r>
      <w:r w:rsidR="00E00EA5" w:rsidRPr="008B436B">
        <w:rPr>
          <w:rFonts w:cs="Times New Roman"/>
          <w:i/>
          <w:iCs/>
          <w:szCs w:val="19"/>
        </w:rPr>
        <w:t>Leggi delega in materia di disabilità</w:t>
      </w:r>
      <w:r w:rsidR="00E00EA5" w:rsidRPr="008B436B">
        <w:rPr>
          <w:rFonts w:cs="Times New Roman"/>
          <w:szCs w:val="19"/>
        </w:rPr>
        <w:t xml:space="preserve">, cit., p. </w:t>
      </w:r>
      <w:r w:rsidRPr="008B436B">
        <w:rPr>
          <w:rFonts w:cs="Times New Roman"/>
          <w:szCs w:val="19"/>
        </w:rPr>
        <w:t>374</w:t>
      </w:r>
      <w:r w:rsidR="00E00EA5" w:rsidRPr="008B436B">
        <w:rPr>
          <w:rFonts w:cs="Times New Roman"/>
          <w:szCs w:val="19"/>
        </w:rPr>
        <w:t xml:space="preserve"> </w:t>
      </w:r>
      <w:r w:rsidRPr="008B436B">
        <w:rPr>
          <w:rFonts w:cs="Times New Roman"/>
          <w:szCs w:val="19"/>
        </w:rPr>
        <w:t>ss.</w:t>
      </w:r>
    </w:p>
  </w:footnote>
  <w:footnote w:id="21">
    <w:p w14:paraId="1494F5E4" w14:textId="24C4FEDC" w:rsidR="00E92121" w:rsidRPr="00D36AD5" w:rsidRDefault="00E92121" w:rsidP="00D36AD5">
      <w:pPr>
        <w:pStyle w:val="Testonotaapidipagina"/>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Cfr. </w:t>
      </w:r>
      <w:r w:rsidRPr="008B436B">
        <w:rPr>
          <w:rFonts w:cs="Times New Roman"/>
          <w:smallCaps/>
          <w:szCs w:val="19"/>
        </w:rPr>
        <w:t xml:space="preserve">M. </w:t>
      </w:r>
      <w:proofErr w:type="spellStart"/>
      <w:r w:rsidRPr="008B436B">
        <w:rPr>
          <w:rFonts w:cs="Times New Roman"/>
          <w:smallCaps/>
          <w:szCs w:val="19"/>
        </w:rPr>
        <w:t>Bombardelli</w:t>
      </w:r>
      <w:proofErr w:type="spellEnd"/>
      <w:r w:rsidRPr="008B436B">
        <w:rPr>
          <w:rFonts w:cs="Times New Roman"/>
          <w:szCs w:val="19"/>
        </w:rPr>
        <w:t xml:space="preserve">, </w:t>
      </w:r>
      <w:r w:rsidRPr="008B436B">
        <w:rPr>
          <w:rFonts w:cs="Times New Roman"/>
          <w:i/>
          <w:iCs/>
          <w:szCs w:val="19"/>
        </w:rPr>
        <w:t>Il progetto individuale per le persone disabili</w:t>
      </w:r>
      <w:r w:rsidRPr="008B436B">
        <w:rPr>
          <w:rFonts w:cs="Times New Roman"/>
          <w:szCs w:val="19"/>
        </w:rPr>
        <w:t xml:space="preserve">, cit., </w:t>
      </w:r>
      <w:r w:rsidR="00E00EA5" w:rsidRPr="008B436B">
        <w:rPr>
          <w:rFonts w:cs="Times New Roman"/>
          <w:szCs w:val="19"/>
        </w:rPr>
        <w:t xml:space="preserve">p. </w:t>
      </w:r>
      <w:r w:rsidRPr="008B436B">
        <w:rPr>
          <w:rFonts w:cs="Times New Roman"/>
          <w:szCs w:val="19"/>
        </w:rPr>
        <w:t xml:space="preserve">115; </w:t>
      </w:r>
      <w:r w:rsidRPr="008B436B">
        <w:rPr>
          <w:rFonts w:cs="Times New Roman"/>
          <w:smallCaps/>
          <w:szCs w:val="19"/>
        </w:rPr>
        <w:t>F. Gaspari</w:t>
      </w:r>
      <w:r w:rsidRPr="008B436B">
        <w:rPr>
          <w:rFonts w:cs="Times New Roman"/>
          <w:szCs w:val="19"/>
        </w:rPr>
        <w:t xml:space="preserve">, </w:t>
      </w:r>
      <w:r w:rsidRPr="008B436B">
        <w:rPr>
          <w:rFonts w:cs="Times New Roman"/>
          <w:i/>
          <w:iCs/>
          <w:szCs w:val="19"/>
        </w:rPr>
        <w:t>Il riordino della normativa in materia di disabilità</w:t>
      </w:r>
      <w:r w:rsidRPr="008B436B">
        <w:rPr>
          <w:rFonts w:cs="Times New Roman"/>
          <w:szCs w:val="19"/>
        </w:rPr>
        <w:t xml:space="preserve">, cit., </w:t>
      </w:r>
      <w:r w:rsidR="00E00EA5" w:rsidRPr="008B436B">
        <w:rPr>
          <w:rFonts w:cs="Times New Roman"/>
          <w:szCs w:val="19"/>
        </w:rPr>
        <w:t xml:space="preserve">pp. </w:t>
      </w:r>
      <w:r w:rsidRPr="008B436B">
        <w:rPr>
          <w:rFonts w:cs="Times New Roman"/>
          <w:szCs w:val="19"/>
        </w:rPr>
        <w:t>73-74</w:t>
      </w:r>
      <w:r w:rsidR="00D36AD5">
        <w:rPr>
          <w:rFonts w:cs="Times New Roman"/>
          <w:szCs w:val="19"/>
        </w:rPr>
        <w:t xml:space="preserve">; </w:t>
      </w:r>
      <w:r w:rsidR="000819FC" w:rsidRPr="002219B2">
        <w:rPr>
          <w:rFonts w:cs="Times New Roman"/>
          <w:smallCaps/>
          <w:szCs w:val="19"/>
        </w:rPr>
        <w:t>A. Chiappetta</w:t>
      </w:r>
      <w:r w:rsidR="000819FC">
        <w:rPr>
          <w:rFonts w:cs="Times New Roman"/>
          <w:szCs w:val="19"/>
        </w:rPr>
        <w:t xml:space="preserve">, </w:t>
      </w:r>
      <w:r w:rsidR="000819FC" w:rsidRPr="002219B2">
        <w:rPr>
          <w:rFonts w:cs="Times New Roman"/>
          <w:i/>
          <w:iCs/>
          <w:szCs w:val="19"/>
        </w:rPr>
        <w:t>‘Investire’ sul dettato costituzionale: la tutela delle persone con disabilità</w:t>
      </w:r>
      <w:r w:rsidR="000819FC">
        <w:rPr>
          <w:rFonts w:cs="Times New Roman"/>
          <w:szCs w:val="19"/>
        </w:rPr>
        <w:t xml:space="preserve">, cit., p. </w:t>
      </w:r>
      <w:r w:rsidR="00B337D8">
        <w:rPr>
          <w:rFonts w:cs="Times New Roman"/>
          <w:szCs w:val="19"/>
        </w:rPr>
        <w:t>110 ss.</w:t>
      </w:r>
      <w:r w:rsidR="000819FC">
        <w:rPr>
          <w:rFonts w:cs="Times New Roman"/>
          <w:szCs w:val="19"/>
        </w:rPr>
        <w:t>;</w:t>
      </w:r>
      <w:r w:rsidR="00B337D8">
        <w:rPr>
          <w:rFonts w:cs="Times New Roman"/>
          <w:szCs w:val="19"/>
        </w:rPr>
        <w:t xml:space="preserve"> </w:t>
      </w:r>
      <w:r w:rsidR="00D36AD5">
        <w:rPr>
          <w:rFonts w:cs="Times New Roman"/>
          <w:szCs w:val="19"/>
        </w:rPr>
        <w:t xml:space="preserve">anche la Corte cost. ha implicitamente aderito a un tale modello per </w:t>
      </w:r>
      <w:r w:rsidR="00D36AD5" w:rsidRPr="00066890">
        <w:rPr>
          <w:smallCaps/>
        </w:rPr>
        <w:t xml:space="preserve">G. </w:t>
      </w:r>
      <w:proofErr w:type="spellStart"/>
      <w:r w:rsidR="00D36AD5" w:rsidRPr="00066890">
        <w:rPr>
          <w:smallCaps/>
        </w:rPr>
        <w:t>Arconzo</w:t>
      </w:r>
      <w:proofErr w:type="spellEnd"/>
      <w:r w:rsidR="00D36AD5">
        <w:t xml:space="preserve">, </w:t>
      </w:r>
      <w:r w:rsidR="00D36AD5" w:rsidRPr="00066890">
        <w:rPr>
          <w:i/>
          <w:iCs/>
        </w:rPr>
        <w:t>Sull’incostituzionalità di previsioni che non consentono l’esercizio autonomo dei diritti delle persone con disabilità</w:t>
      </w:r>
      <w:r w:rsidR="00D36AD5">
        <w:t xml:space="preserve">, in </w:t>
      </w:r>
      <w:proofErr w:type="spellStart"/>
      <w:r w:rsidR="00D36AD5" w:rsidRPr="00066890">
        <w:rPr>
          <w:i/>
          <w:iCs/>
        </w:rPr>
        <w:t>Oss</w:t>
      </w:r>
      <w:proofErr w:type="spellEnd"/>
      <w:r w:rsidR="00F9721E">
        <w:rPr>
          <w:i/>
          <w:iCs/>
        </w:rPr>
        <w:t>.</w:t>
      </w:r>
      <w:r w:rsidR="00D36AD5" w:rsidRPr="00066890">
        <w:rPr>
          <w:i/>
          <w:iCs/>
        </w:rPr>
        <w:t xml:space="preserve"> AIC</w:t>
      </w:r>
      <w:r w:rsidR="00D36AD5">
        <w:t>, n. 4/2025, pp. 206-207</w:t>
      </w:r>
      <w:r w:rsidRPr="008B436B">
        <w:rPr>
          <w:rFonts w:cs="Times New Roman"/>
          <w:szCs w:val="19"/>
        </w:rPr>
        <w:t>.</w:t>
      </w:r>
    </w:p>
  </w:footnote>
  <w:footnote w:id="22">
    <w:p w14:paraId="31A9DC75" w14:textId="3471F106"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Cfr. art. 3, comma 1, della legge n. 104</w:t>
      </w:r>
      <w:r w:rsidR="00E00EA5" w:rsidRPr="008B436B">
        <w:rPr>
          <w:rFonts w:cs="Times New Roman"/>
          <w:szCs w:val="19"/>
        </w:rPr>
        <w:t>/</w:t>
      </w:r>
      <w:r w:rsidRPr="008B436B">
        <w:rPr>
          <w:rFonts w:cs="Times New Roman"/>
          <w:szCs w:val="19"/>
        </w:rPr>
        <w:t>1992, come modificato con il decreto legge n. 202</w:t>
      </w:r>
      <w:r w:rsidR="00E00EA5" w:rsidRPr="008B436B">
        <w:rPr>
          <w:rFonts w:cs="Times New Roman"/>
          <w:szCs w:val="19"/>
        </w:rPr>
        <w:t>/</w:t>
      </w:r>
      <w:r w:rsidRPr="008B436B">
        <w:rPr>
          <w:rFonts w:cs="Times New Roman"/>
          <w:szCs w:val="19"/>
        </w:rPr>
        <w:t>2024, convertito con legge n. 15</w:t>
      </w:r>
      <w:r w:rsidR="00E00EA5" w:rsidRPr="008B436B">
        <w:rPr>
          <w:rFonts w:cs="Times New Roman"/>
          <w:szCs w:val="19"/>
        </w:rPr>
        <w:t>/</w:t>
      </w:r>
      <w:r w:rsidRPr="008B436B">
        <w:rPr>
          <w:rFonts w:cs="Times New Roman"/>
          <w:szCs w:val="19"/>
        </w:rPr>
        <w:t xml:space="preserve">2025; diffusamente, </w:t>
      </w:r>
      <w:r w:rsidRPr="008B436B">
        <w:rPr>
          <w:rFonts w:cs="Times New Roman"/>
          <w:smallCaps/>
          <w:szCs w:val="19"/>
        </w:rPr>
        <w:t>R. Zamperini</w:t>
      </w:r>
      <w:r w:rsidRPr="008B436B">
        <w:rPr>
          <w:rFonts w:cs="Times New Roman"/>
          <w:szCs w:val="19"/>
        </w:rPr>
        <w:t xml:space="preserve">, </w:t>
      </w:r>
      <w:r w:rsidRPr="008B436B">
        <w:rPr>
          <w:rFonts w:cs="Times New Roman"/>
          <w:i/>
          <w:iCs/>
          <w:szCs w:val="19"/>
        </w:rPr>
        <w:t>Il decreto disabilità</w:t>
      </w:r>
      <w:r w:rsidRPr="008B436B">
        <w:rPr>
          <w:rFonts w:cs="Times New Roman"/>
          <w:szCs w:val="19"/>
        </w:rPr>
        <w:t xml:space="preserve">, cit., </w:t>
      </w:r>
      <w:r w:rsidR="00E00EA5" w:rsidRPr="008B436B">
        <w:rPr>
          <w:rFonts w:cs="Times New Roman"/>
          <w:szCs w:val="19"/>
        </w:rPr>
        <w:t xml:space="preserve">p. </w:t>
      </w:r>
      <w:r w:rsidRPr="008B436B">
        <w:rPr>
          <w:rFonts w:cs="Times New Roman"/>
          <w:szCs w:val="19"/>
        </w:rPr>
        <w:t>2090 ss.; sottolineano il differente approccio alla disabilità sia attraverso il mutament</w:t>
      </w:r>
      <w:r w:rsidR="00B92AE3">
        <w:rPr>
          <w:rFonts w:cs="Times New Roman"/>
          <w:szCs w:val="19"/>
        </w:rPr>
        <w:t>o</w:t>
      </w:r>
      <w:r w:rsidRPr="008B436B">
        <w:rPr>
          <w:rFonts w:cs="Times New Roman"/>
          <w:szCs w:val="19"/>
        </w:rPr>
        <w:t xml:space="preserve"> del linguaggio che dei concetti utilizzati, </w:t>
      </w:r>
      <w:r w:rsidR="00E00EA5" w:rsidRPr="008B436B">
        <w:rPr>
          <w:rFonts w:cs="Times New Roman"/>
          <w:smallCaps/>
          <w:szCs w:val="19"/>
        </w:rPr>
        <w:t>P. Ciamarra, A. Porzio, C. Tettamanti, G. Corbi, F. Gimigliano, A. Argo, C.P. Campobasso</w:t>
      </w:r>
      <w:r w:rsidR="00E00EA5" w:rsidRPr="008B436B">
        <w:rPr>
          <w:rFonts w:cs="Times New Roman"/>
          <w:szCs w:val="19"/>
        </w:rPr>
        <w:t xml:space="preserve">, </w:t>
      </w:r>
      <w:r w:rsidR="00E00EA5" w:rsidRPr="008B436B">
        <w:rPr>
          <w:rFonts w:cs="Times New Roman"/>
          <w:i/>
          <w:iCs/>
          <w:szCs w:val="19"/>
        </w:rPr>
        <w:t>Leggi delega in materia di disabilità</w:t>
      </w:r>
      <w:r w:rsidR="00E00EA5" w:rsidRPr="008B436B">
        <w:rPr>
          <w:rFonts w:cs="Times New Roman"/>
          <w:szCs w:val="19"/>
        </w:rPr>
        <w:t xml:space="preserve">, cit., p. </w:t>
      </w:r>
      <w:r w:rsidRPr="008B436B">
        <w:rPr>
          <w:rFonts w:cs="Times New Roman"/>
          <w:szCs w:val="19"/>
        </w:rPr>
        <w:t>373.</w:t>
      </w:r>
    </w:p>
  </w:footnote>
  <w:footnote w:id="23">
    <w:p w14:paraId="5C7B49EC" w14:textId="4956EA35" w:rsidR="00E92121" w:rsidRPr="008B436B" w:rsidRDefault="00E92121" w:rsidP="00391A67">
      <w:pPr>
        <w:pStyle w:val="Testonotaapidipagina"/>
        <w:widowControl w:val="0"/>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Art. 20 del </w:t>
      </w:r>
      <w:r w:rsidR="00E00EA5" w:rsidRPr="008B436B">
        <w:rPr>
          <w:rFonts w:cs="Times New Roman"/>
          <w:szCs w:val="19"/>
        </w:rPr>
        <w:t>d.lgs</w:t>
      </w:r>
      <w:r w:rsidRPr="008B436B">
        <w:rPr>
          <w:rFonts w:cs="Times New Roman"/>
          <w:szCs w:val="19"/>
        </w:rPr>
        <w:t>. n. 62</w:t>
      </w:r>
      <w:r w:rsidR="00E00EA5" w:rsidRPr="008B436B">
        <w:rPr>
          <w:rFonts w:cs="Times New Roman"/>
          <w:szCs w:val="19"/>
        </w:rPr>
        <w:t>/</w:t>
      </w:r>
      <w:r w:rsidRPr="008B436B">
        <w:rPr>
          <w:rFonts w:cs="Times New Roman"/>
          <w:szCs w:val="19"/>
        </w:rPr>
        <w:t xml:space="preserve">2024; per approfondimenti, </w:t>
      </w:r>
      <w:r w:rsidRPr="008B436B">
        <w:rPr>
          <w:rFonts w:cs="Times New Roman"/>
          <w:smallCaps/>
          <w:szCs w:val="19"/>
        </w:rPr>
        <w:t>R. Zamperini</w:t>
      </w:r>
      <w:r w:rsidRPr="008B436B">
        <w:rPr>
          <w:rFonts w:cs="Times New Roman"/>
          <w:szCs w:val="19"/>
        </w:rPr>
        <w:t xml:space="preserve">, </w:t>
      </w:r>
      <w:r w:rsidRPr="008B436B">
        <w:rPr>
          <w:rFonts w:cs="Times New Roman"/>
          <w:i/>
          <w:iCs/>
          <w:szCs w:val="19"/>
        </w:rPr>
        <w:t>Il decreto disabilità</w:t>
      </w:r>
      <w:r w:rsidRPr="008B436B">
        <w:rPr>
          <w:rFonts w:cs="Times New Roman"/>
          <w:szCs w:val="19"/>
        </w:rPr>
        <w:t xml:space="preserve">, cit., </w:t>
      </w:r>
      <w:r w:rsidR="00E00EA5" w:rsidRPr="008B436B">
        <w:rPr>
          <w:rFonts w:cs="Times New Roman"/>
          <w:szCs w:val="19"/>
        </w:rPr>
        <w:t xml:space="preserve">p. </w:t>
      </w:r>
      <w:r w:rsidRPr="008B436B">
        <w:rPr>
          <w:rFonts w:cs="Times New Roman"/>
          <w:szCs w:val="19"/>
        </w:rPr>
        <w:t>2097</w:t>
      </w:r>
      <w:r w:rsidR="00962E3A">
        <w:rPr>
          <w:rFonts w:cs="Times New Roman"/>
          <w:szCs w:val="19"/>
        </w:rPr>
        <w:t xml:space="preserve">; secondo </w:t>
      </w:r>
      <w:r w:rsidR="00962E3A" w:rsidRPr="00962E3A">
        <w:rPr>
          <w:rFonts w:cs="Times New Roman"/>
          <w:szCs w:val="19"/>
        </w:rPr>
        <w:t>C</w:t>
      </w:r>
      <w:r w:rsidR="00962E3A">
        <w:rPr>
          <w:rFonts w:cs="Times New Roman"/>
          <w:szCs w:val="19"/>
        </w:rPr>
        <w:t>a</w:t>
      </w:r>
      <w:r w:rsidR="00962E3A" w:rsidRPr="00962E3A">
        <w:rPr>
          <w:rFonts w:cs="Times New Roman"/>
          <w:szCs w:val="19"/>
        </w:rPr>
        <w:t>ss</w:t>
      </w:r>
      <w:r w:rsidR="00962E3A">
        <w:rPr>
          <w:rFonts w:cs="Times New Roman"/>
          <w:szCs w:val="19"/>
        </w:rPr>
        <w:t xml:space="preserve">. civ., sez. I, </w:t>
      </w:r>
      <w:proofErr w:type="spellStart"/>
      <w:r w:rsidR="00962E3A">
        <w:rPr>
          <w:rFonts w:cs="Times New Roman"/>
          <w:szCs w:val="19"/>
        </w:rPr>
        <w:t>ord</w:t>
      </w:r>
      <w:proofErr w:type="spellEnd"/>
      <w:r w:rsidR="00962E3A">
        <w:rPr>
          <w:rFonts w:cs="Times New Roman"/>
          <w:szCs w:val="19"/>
        </w:rPr>
        <w:t>. 12 marzo 2025, n. 6584</w:t>
      </w:r>
      <w:r w:rsidR="00962E3A" w:rsidRPr="00962E3A">
        <w:rPr>
          <w:rFonts w:cs="Times New Roman"/>
          <w:szCs w:val="19"/>
        </w:rPr>
        <w:t xml:space="preserve"> </w:t>
      </w:r>
      <w:r w:rsidR="00962E3A">
        <w:rPr>
          <w:rFonts w:cs="Times New Roman"/>
          <w:szCs w:val="19"/>
        </w:rPr>
        <w:t xml:space="preserve">è illegittima </w:t>
      </w:r>
      <w:r w:rsidR="00962E3A" w:rsidRPr="00962E3A">
        <w:rPr>
          <w:rFonts w:cs="Times New Roman"/>
          <w:szCs w:val="19"/>
        </w:rPr>
        <w:t>l’imposizione di un amministratore di sostegno contro la sua volontà</w:t>
      </w:r>
      <w:r w:rsidR="00962E3A">
        <w:rPr>
          <w:rFonts w:cs="Times New Roman"/>
          <w:szCs w:val="19"/>
        </w:rPr>
        <w:t xml:space="preserve"> a un soggetto a cui venga </w:t>
      </w:r>
      <w:r w:rsidR="00962E3A" w:rsidRPr="00962E3A">
        <w:rPr>
          <w:rFonts w:cs="Times New Roman"/>
          <w:szCs w:val="19"/>
        </w:rPr>
        <w:t>riconosc</w:t>
      </w:r>
      <w:r w:rsidR="00962E3A">
        <w:rPr>
          <w:rFonts w:cs="Times New Roman"/>
          <w:szCs w:val="19"/>
        </w:rPr>
        <w:t xml:space="preserve">iuta </w:t>
      </w:r>
      <w:r w:rsidR="00962E3A" w:rsidRPr="00962E3A">
        <w:rPr>
          <w:rFonts w:cs="Times New Roman"/>
          <w:szCs w:val="19"/>
        </w:rPr>
        <w:t>la capacità di autodeterminarsi</w:t>
      </w:r>
      <w:r w:rsidRPr="008B436B">
        <w:rPr>
          <w:rFonts w:cs="Times New Roman"/>
          <w:szCs w:val="19"/>
        </w:rPr>
        <w:t>.</w:t>
      </w:r>
    </w:p>
  </w:footnote>
  <w:footnote w:id="24">
    <w:p w14:paraId="00CFBF46" w14:textId="28CBAB04"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Cfr. artt. 27 e 28 del </w:t>
      </w:r>
      <w:r w:rsidR="00E00EA5" w:rsidRPr="008B436B">
        <w:rPr>
          <w:rFonts w:cs="Times New Roman"/>
          <w:szCs w:val="19"/>
        </w:rPr>
        <w:t>d.lgs</w:t>
      </w:r>
      <w:r w:rsidRPr="008B436B">
        <w:rPr>
          <w:rFonts w:cs="Times New Roman"/>
          <w:szCs w:val="19"/>
        </w:rPr>
        <w:t>. n. 62</w:t>
      </w:r>
      <w:r w:rsidR="00E00EA5" w:rsidRPr="008B436B">
        <w:rPr>
          <w:rFonts w:cs="Times New Roman"/>
          <w:szCs w:val="19"/>
        </w:rPr>
        <w:t>/</w:t>
      </w:r>
      <w:r w:rsidRPr="008B436B">
        <w:rPr>
          <w:rFonts w:cs="Times New Roman"/>
          <w:szCs w:val="19"/>
        </w:rPr>
        <w:t xml:space="preserve">2024; </w:t>
      </w:r>
      <w:r w:rsidRPr="008B436B">
        <w:rPr>
          <w:rFonts w:cs="Times New Roman"/>
          <w:smallCaps/>
          <w:szCs w:val="19"/>
        </w:rPr>
        <w:t>R. Zamperini</w:t>
      </w:r>
      <w:r w:rsidRPr="008B436B">
        <w:rPr>
          <w:rFonts w:cs="Times New Roman"/>
          <w:szCs w:val="19"/>
        </w:rPr>
        <w:t xml:space="preserve">, </w:t>
      </w:r>
      <w:r w:rsidRPr="008B436B">
        <w:rPr>
          <w:rFonts w:cs="Times New Roman"/>
          <w:i/>
          <w:iCs/>
          <w:szCs w:val="19"/>
        </w:rPr>
        <w:t>Il decreto disabilità</w:t>
      </w:r>
      <w:r w:rsidRPr="008B436B">
        <w:rPr>
          <w:rFonts w:cs="Times New Roman"/>
          <w:szCs w:val="19"/>
        </w:rPr>
        <w:t xml:space="preserve">, cit., </w:t>
      </w:r>
      <w:r w:rsidR="00E00EA5" w:rsidRPr="008B436B">
        <w:rPr>
          <w:rFonts w:cs="Times New Roman"/>
          <w:szCs w:val="19"/>
        </w:rPr>
        <w:t xml:space="preserve">p. </w:t>
      </w:r>
      <w:r w:rsidRPr="008B436B">
        <w:rPr>
          <w:rFonts w:cs="Times New Roman"/>
          <w:szCs w:val="19"/>
        </w:rPr>
        <w:t xml:space="preserve">2097; in generale, sulla modificabilità del progetto, </w:t>
      </w:r>
      <w:r w:rsidRPr="008B436B">
        <w:rPr>
          <w:rFonts w:cs="Times New Roman"/>
          <w:smallCaps/>
          <w:szCs w:val="19"/>
        </w:rPr>
        <w:t>F. Gaspari</w:t>
      </w:r>
      <w:r w:rsidRPr="008B436B">
        <w:rPr>
          <w:rFonts w:cs="Times New Roman"/>
          <w:szCs w:val="19"/>
        </w:rPr>
        <w:t xml:space="preserve">, </w:t>
      </w:r>
      <w:r w:rsidRPr="008B436B">
        <w:rPr>
          <w:rFonts w:cs="Times New Roman"/>
          <w:i/>
          <w:iCs/>
          <w:szCs w:val="19"/>
        </w:rPr>
        <w:t>Il riordino della normativa in materia di disabilità</w:t>
      </w:r>
      <w:r w:rsidRPr="008B436B">
        <w:rPr>
          <w:rFonts w:cs="Times New Roman"/>
          <w:szCs w:val="19"/>
        </w:rPr>
        <w:t xml:space="preserve">, cit., </w:t>
      </w:r>
      <w:r w:rsidR="00E00EA5" w:rsidRPr="008B436B">
        <w:rPr>
          <w:rFonts w:cs="Times New Roman"/>
          <w:szCs w:val="19"/>
        </w:rPr>
        <w:t xml:space="preserve">pp. </w:t>
      </w:r>
      <w:r w:rsidRPr="008B436B">
        <w:rPr>
          <w:rFonts w:cs="Times New Roman"/>
          <w:szCs w:val="19"/>
        </w:rPr>
        <w:t xml:space="preserve">78, 87; sebbene si tratta di un </w:t>
      </w:r>
      <w:r w:rsidRPr="008B436B">
        <w:rPr>
          <w:rFonts w:cs="Times New Roman"/>
          <w:i/>
          <w:iCs/>
          <w:szCs w:val="19"/>
        </w:rPr>
        <w:t>obiter dictum</w:t>
      </w:r>
      <w:r w:rsidRPr="008B436B">
        <w:rPr>
          <w:rFonts w:cs="Times New Roman"/>
          <w:szCs w:val="19"/>
        </w:rPr>
        <w:t>, Cons</w:t>
      </w:r>
      <w:r w:rsidR="00E00EA5" w:rsidRPr="008B436B">
        <w:rPr>
          <w:rFonts w:cs="Times New Roman"/>
          <w:szCs w:val="19"/>
        </w:rPr>
        <w:t>.</w:t>
      </w:r>
      <w:r w:rsidRPr="008B436B">
        <w:rPr>
          <w:rFonts w:cs="Times New Roman"/>
          <w:szCs w:val="19"/>
        </w:rPr>
        <w:t xml:space="preserve"> Stato, </w:t>
      </w:r>
      <w:r w:rsidR="00E00EA5" w:rsidRPr="008B436B">
        <w:rPr>
          <w:rFonts w:cs="Times New Roman"/>
          <w:szCs w:val="19"/>
        </w:rPr>
        <w:t xml:space="preserve">sez. </w:t>
      </w:r>
      <w:r w:rsidRPr="008B436B">
        <w:rPr>
          <w:rFonts w:cs="Times New Roman"/>
          <w:szCs w:val="19"/>
        </w:rPr>
        <w:t>III, 15 ottobre 2024, n. 8275.</w:t>
      </w:r>
    </w:p>
  </w:footnote>
  <w:footnote w:id="25">
    <w:p w14:paraId="3CE9A06B" w14:textId="303644C8" w:rsidR="00E92121" w:rsidRPr="00391A67" w:rsidRDefault="00E92121" w:rsidP="00E92121">
      <w:pPr>
        <w:pStyle w:val="Testonotaapidipagina"/>
        <w:rPr>
          <w:rFonts w:cs="Times New Roman"/>
          <w:spacing w:val="2"/>
          <w:szCs w:val="19"/>
        </w:rPr>
      </w:pPr>
      <w:r w:rsidRPr="00391A67">
        <w:rPr>
          <w:rStyle w:val="Rimandonotaapidipagina"/>
          <w:rFonts w:cs="Times New Roman"/>
          <w:spacing w:val="2"/>
          <w:szCs w:val="19"/>
        </w:rPr>
        <w:footnoteRef/>
      </w:r>
      <w:r w:rsidRPr="00391A67">
        <w:rPr>
          <w:rFonts w:cs="Times New Roman"/>
          <w:spacing w:val="2"/>
          <w:szCs w:val="19"/>
          <w:vertAlign w:val="superscript"/>
        </w:rPr>
        <w:t> </w:t>
      </w:r>
      <w:r w:rsidRPr="00391A67">
        <w:rPr>
          <w:rFonts w:cs="Times New Roman"/>
          <w:spacing w:val="2"/>
          <w:szCs w:val="19"/>
        </w:rPr>
        <w:t xml:space="preserve">Cfr. art. 23 del </w:t>
      </w:r>
      <w:r w:rsidR="00E00EA5" w:rsidRPr="00391A67">
        <w:rPr>
          <w:rFonts w:cs="Times New Roman"/>
          <w:spacing w:val="2"/>
          <w:szCs w:val="19"/>
        </w:rPr>
        <w:t>d.lgs</w:t>
      </w:r>
      <w:r w:rsidRPr="00391A67">
        <w:rPr>
          <w:rFonts w:cs="Times New Roman"/>
          <w:spacing w:val="2"/>
          <w:szCs w:val="19"/>
        </w:rPr>
        <w:t>. n. 62</w:t>
      </w:r>
      <w:r w:rsidR="00E00EA5" w:rsidRPr="00391A67">
        <w:rPr>
          <w:rFonts w:cs="Times New Roman"/>
          <w:spacing w:val="2"/>
          <w:szCs w:val="19"/>
        </w:rPr>
        <w:t>/</w:t>
      </w:r>
      <w:r w:rsidRPr="00391A67">
        <w:rPr>
          <w:rFonts w:cs="Times New Roman"/>
          <w:spacing w:val="2"/>
          <w:szCs w:val="19"/>
        </w:rPr>
        <w:t xml:space="preserve">2024; in tal modo si garantisce il coinvolgimento diretto della persona interessata in tutte le fasi della valutazione, </w:t>
      </w:r>
      <w:r w:rsidR="00E00EA5" w:rsidRPr="00391A67">
        <w:rPr>
          <w:rFonts w:cs="Times New Roman"/>
          <w:spacing w:val="2"/>
          <w:szCs w:val="19"/>
        </w:rPr>
        <w:t xml:space="preserve">R. </w:t>
      </w:r>
      <w:r w:rsidRPr="00391A67">
        <w:rPr>
          <w:rFonts w:cs="Times New Roman"/>
          <w:smallCaps/>
          <w:spacing w:val="2"/>
          <w:szCs w:val="19"/>
        </w:rPr>
        <w:t>Zamperini</w:t>
      </w:r>
      <w:r w:rsidRPr="00391A67">
        <w:rPr>
          <w:rFonts w:cs="Times New Roman"/>
          <w:spacing w:val="2"/>
          <w:szCs w:val="19"/>
        </w:rPr>
        <w:t xml:space="preserve">, </w:t>
      </w:r>
      <w:r w:rsidRPr="00391A67">
        <w:rPr>
          <w:rFonts w:cs="Times New Roman"/>
          <w:i/>
          <w:iCs/>
          <w:spacing w:val="2"/>
          <w:szCs w:val="19"/>
        </w:rPr>
        <w:t>Il decreto disabilità</w:t>
      </w:r>
      <w:r w:rsidR="009474AA" w:rsidRPr="00391A67">
        <w:rPr>
          <w:rFonts w:cs="Times New Roman"/>
          <w:spacing w:val="2"/>
          <w:szCs w:val="19"/>
        </w:rPr>
        <w:t>,</w:t>
      </w:r>
      <w:r w:rsidRPr="00391A67">
        <w:rPr>
          <w:rFonts w:cs="Times New Roman"/>
          <w:spacing w:val="2"/>
          <w:szCs w:val="19"/>
        </w:rPr>
        <w:t xml:space="preserve"> cit., </w:t>
      </w:r>
      <w:r w:rsidR="00E00EA5" w:rsidRPr="00391A67">
        <w:rPr>
          <w:rFonts w:cs="Times New Roman"/>
          <w:spacing w:val="2"/>
          <w:szCs w:val="19"/>
        </w:rPr>
        <w:t xml:space="preserve">p. </w:t>
      </w:r>
      <w:r w:rsidRPr="00391A67">
        <w:rPr>
          <w:rFonts w:cs="Times New Roman"/>
          <w:spacing w:val="2"/>
          <w:szCs w:val="19"/>
        </w:rPr>
        <w:t>2098; definisce la richiesta dell’interessato come l’apertura di un percorso partecipato di “</w:t>
      </w:r>
      <w:r w:rsidRPr="00391A67">
        <w:rPr>
          <w:rFonts w:cs="Times New Roman"/>
          <w:i/>
          <w:iCs/>
          <w:spacing w:val="2"/>
          <w:szCs w:val="19"/>
        </w:rPr>
        <w:t>progettazione condivisa</w:t>
      </w:r>
      <w:r w:rsidRPr="00391A67">
        <w:rPr>
          <w:rFonts w:cs="Times New Roman"/>
          <w:spacing w:val="2"/>
          <w:szCs w:val="19"/>
        </w:rPr>
        <w:t xml:space="preserve">”, </w:t>
      </w:r>
      <w:r w:rsidRPr="00391A67">
        <w:rPr>
          <w:rFonts w:cs="Times New Roman"/>
          <w:smallCaps/>
          <w:spacing w:val="2"/>
          <w:szCs w:val="19"/>
        </w:rPr>
        <w:t xml:space="preserve">M. </w:t>
      </w:r>
      <w:proofErr w:type="spellStart"/>
      <w:r w:rsidRPr="00391A67">
        <w:rPr>
          <w:rFonts w:cs="Times New Roman"/>
          <w:smallCaps/>
          <w:spacing w:val="2"/>
          <w:szCs w:val="19"/>
        </w:rPr>
        <w:t>Bombardelli</w:t>
      </w:r>
      <w:proofErr w:type="spellEnd"/>
      <w:r w:rsidRPr="00391A67">
        <w:rPr>
          <w:rFonts w:cs="Times New Roman"/>
          <w:spacing w:val="2"/>
          <w:szCs w:val="19"/>
        </w:rPr>
        <w:t xml:space="preserve">, </w:t>
      </w:r>
      <w:r w:rsidRPr="00391A67">
        <w:rPr>
          <w:rFonts w:cs="Times New Roman"/>
          <w:i/>
          <w:iCs/>
          <w:spacing w:val="2"/>
          <w:szCs w:val="19"/>
        </w:rPr>
        <w:t>Il progetto individuale per le persone disabili</w:t>
      </w:r>
      <w:r w:rsidRPr="00391A67">
        <w:rPr>
          <w:rFonts w:cs="Times New Roman"/>
          <w:spacing w:val="2"/>
          <w:szCs w:val="19"/>
        </w:rPr>
        <w:t xml:space="preserve">, cit., </w:t>
      </w:r>
      <w:r w:rsidR="00E00EA5" w:rsidRPr="00391A67">
        <w:rPr>
          <w:rFonts w:cs="Times New Roman"/>
          <w:spacing w:val="2"/>
          <w:szCs w:val="19"/>
        </w:rPr>
        <w:t xml:space="preserve">p. </w:t>
      </w:r>
      <w:r w:rsidRPr="00391A67">
        <w:rPr>
          <w:rFonts w:cs="Times New Roman"/>
          <w:spacing w:val="2"/>
          <w:szCs w:val="19"/>
        </w:rPr>
        <w:t xml:space="preserve">119; è necessario accludere alla domanda un certificato medico introduttivo, </w:t>
      </w:r>
      <w:r w:rsidR="00E00EA5" w:rsidRPr="00391A67">
        <w:rPr>
          <w:rFonts w:cs="Times New Roman"/>
          <w:smallCaps/>
          <w:spacing w:val="2"/>
          <w:szCs w:val="19"/>
        </w:rPr>
        <w:t>P. Ciamarra, A. Porzio, C. Tettamanti, G. Corbi, F. Gimigliano, A. Argo, C.P. Campobasso</w:t>
      </w:r>
      <w:r w:rsidR="00E00EA5" w:rsidRPr="00391A67">
        <w:rPr>
          <w:rFonts w:cs="Times New Roman"/>
          <w:spacing w:val="2"/>
          <w:szCs w:val="19"/>
        </w:rPr>
        <w:t xml:space="preserve">, </w:t>
      </w:r>
      <w:r w:rsidR="00E00EA5" w:rsidRPr="00391A67">
        <w:rPr>
          <w:rFonts w:cs="Times New Roman"/>
          <w:i/>
          <w:iCs/>
          <w:spacing w:val="2"/>
          <w:szCs w:val="19"/>
        </w:rPr>
        <w:t>Leggi delega in materia di disabilità</w:t>
      </w:r>
      <w:r w:rsidR="00E00EA5" w:rsidRPr="00391A67">
        <w:rPr>
          <w:rFonts w:cs="Times New Roman"/>
          <w:spacing w:val="2"/>
          <w:szCs w:val="19"/>
        </w:rPr>
        <w:t>, cit., p.</w:t>
      </w:r>
      <w:r w:rsidRPr="00391A67">
        <w:rPr>
          <w:rFonts w:cs="Times New Roman"/>
          <w:spacing w:val="2"/>
          <w:szCs w:val="19"/>
        </w:rPr>
        <w:t xml:space="preserve"> 374; evidenza alcuni aspetti problematici del procedimento, </w:t>
      </w:r>
      <w:r w:rsidRPr="00391A67">
        <w:rPr>
          <w:rFonts w:cs="Times New Roman"/>
          <w:smallCaps/>
          <w:spacing w:val="2"/>
          <w:szCs w:val="19"/>
        </w:rPr>
        <w:t>F. Gaspari</w:t>
      </w:r>
      <w:r w:rsidRPr="00391A67">
        <w:rPr>
          <w:rFonts w:cs="Times New Roman"/>
          <w:spacing w:val="2"/>
          <w:szCs w:val="19"/>
        </w:rPr>
        <w:t xml:space="preserve">, </w:t>
      </w:r>
      <w:r w:rsidRPr="00391A67">
        <w:rPr>
          <w:rFonts w:cs="Times New Roman"/>
          <w:i/>
          <w:iCs/>
          <w:spacing w:val="2"/>
          <w:szCs w:val="19"/>
        </w:rPr>
        <w:t>Il riordino della normativa in materia di disabilità</w:t>
      </w:r>
      <w:r w:rsidRPr="00391A67">
        <w:rPr>
          <w:rFonts w:cs="Times New Roman"/>
          <w:spacing w:val="2"/>
          <w:szCs w:val="19"/>
        </w:rPr>
        <w:t xml:space="preserve">, cit., </w:t>
      </w:r>
      <w:r w:rsidR="00E00EA5" w:rsidRPr="00391A67">
        <w:rPr>
          <w:rFonts w:cs="Times New Roman"/>
          <w:spacing w:val="2"/>
          <w:szCs w:val="19"/>
        </w:rPr>
        <w:t xml:space="preserve">p. </w:t>
      </w:r>
      <w:r w:rsidRPr="00391A67">
        <w:rPr>
          <w:rFonts w:cs="Times New Roman"/>
          <w:spacing w:val="2"/>
          <w:szCs w:val="19"/>
        </w:rPr>
        <w:t>79 ss.</w:t>
      </w:r>
    </w:p>
  </w:footnote>
  <w:footnote w:id="26">
    <w:p w14:paraId="69BC075B" w14:textId="2CF97CAE"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Cfr. art. 26, comma 7 del </w:t>
      </w:r>
      <w:r w:rsidR="00E00EA5" w:rsidRPr="008B436B">
        <w:rPr>
          <w:rFonts w:cs="Times New Roman"/>
          <w:szCs w:val="19"/>
        </w:rPr>
        <w:t>d.lgs.</w:t>
      </w:r>
      <w:r w:rsidRPr="008B436B">
        <w:rPr>
          <w:rFonts w:cs="Times New Roman"/>
          <w:szCs w:val="19"/>
        </w:rPr>
        <w:t xml:space="preserve"> n. 62</w:t>
      </w:r>
      <w:r w:rsidR="00E00EA5" w:rsidRPr="008B436B">
        <w:rPr>
          <w:rFonts w:cs="Times New Roman"/>
          <w:szCs w:val="19"/>
        </w:rPr>
        <w:t>/</w:t>
      </w:r>
      <w:r w:rsidRPr="008B436B">
        <w:rPr>
          <w:rFonts w:cs="Times New Roman"/>
          <w:szCs w:val="19"/>
        </w:rPr>
        <w:t xml:space="preserve">2024; cfr. </w:t>
      </w:r>
      <w:r w:rsidR="00E00EA5" w:rsidRPr="008B436B">
        <w:rPr>
          <w:rFonts w:cs="Times New Roman"/>
          <w:smallCaps/>
          <w:szCs w:val="19"/>
        </w:rPr>
        <w:t>P. Ciamarra, A. Porzio, C. Tettamanti, G. Corbi, F. Gimigliano, A. Argo, C.P. Campobasso</w:t>
      </w:r>
      <w:r w:rsidR="00E00EA5" w:rsidRPr="008B436B">
        <w:rPr>
          <w:rFonts w:cs="Times New Roman"/>
          <w:szCs w:val="19"/>
        </w:rPr>
        <w:t xml:space="preserve">, </w:t>
      </w:r>
      <w:r w:rsidR="00E00EA5" w:rsidRPr="008B436B">
        <w:rPr>
          <w:rFonts w:cs="Times New Roman"/>
          <w:i/>
          <w:iCs/>
          <w:szCs w:val="19"/>
        </w:rPr>
        <w:t>Leggi delega in materia di disabilità</w:t>
      </w:r>
      <w:r w:rsidR="00E00EA5" w:rsidRPr="008B436B">
        <w:rPr>
          <w:rFonts w:cs="Times New Roman"/>
          <w:szCs w:val="19"/>
        </w:rPr>
        <w:t>, cit., pp.</w:t>
      </w:r>
      <w:r w:rsidRPr="008B436B">
        <w:rPr>
          <w:rFonts w:cs="Times New Roman"/>
          <w:szCs w:val="19"/>
        </w:rPr>
        <w:t xml:space="preserve"> 376-377.</w:t>
      </w:r>
    </w:p>
  </w:footnote>
  <w:footnote w:id="27">
    <w:p w14:paraId="6D73153B" w14:textId="7A30F8BF"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Così </w:t>
      </w:r>
      <w:r w:rsidR="00E00EA5" w:rsidRPr="008B436B">
        <w:rPr>
          <w:rFonts w:cs="Times New Roman"/>
          <w:smallCaps/>
          <w:szCs w:val="19"/>
        </w:rPr>
        <w:t>P. Ciamarra, A. Porzio, C. Tettamanti, G. Corbi, F. Gimigliano, A. Argo, C.P. Campobasso</w:t>
      </w:r>
      <w:r w:rsidR="00E00EA5" w:rsidRPr="008B436B">
        <w:rPr>
          <w:rFonts w:cs="Times New Roman"/>
          <w:szCs w:val="19"/>
        </w:rPr>
        <w:t xml:space="preserve">, </w:t>
      </w:r>
      <w:r w:rsidR="00E00EA5" w:rsidRPr="008B436B">
        <w:rPr>
          <w:rFonts w:cs="Times New Roman"/>
          <w:i/>
          <w:iCs/>
          <w:szCs w:val="19"/>
        </w:rPr>
        <w:t>Leggi delega in materia di disabilità</w:t>
      </w:r>
      <w:r w:rsidR="00E00EA5" w:rsidRPr="008B436B">
        <w:rPr>
          <w:rFonts w:cs="Times New Roman"/>
          <w:szCs w:val="19"/>
        </w:rPr>
        <w:t xml:space="preserve">, cit., pp. </w:t>
      </w:r>
      <w:r w:rsidRPr="008B436B">
        <w:rPr>
          <w:rFonts w:cs="Times New Roman"/>
          <w:szCs w:val="19"/>
        </w:rPr>
        <w:t>376-377</w:t>
      </w:r>
      <w:r w:rsidR="004435C9" w:rsidRPr="008B436B">
        <w:rPr>
          <w:rFonts w:cs="Times New Roman"/>
          <w:szCs w:val="19"/>
        </w:rPr>
        <w:t>.</w:t>
      </w:r>
    </w:p>
  </w:footnote>
  <w:footnote w:id="28">
    <w:p w14:paraId="73027D34" w14:textId="46C009AB" w:rsidR="00E92121" w:rsidRPr="002C3D0D" w:rsidRDefault="00E92121" w:rsidP="00E92121">
      <w:pPr>
        <w:pStyle w:val="Testonotaapidipagina"/>
        <w:rPr>
          <w:rFonts w:cs="Times New Roman"/>
          <w:spacing w:val="-3"/>
          <w:szCs w:val="19"/>
        </w:rPr>
      </w:pPr>
      <w:r w:rsidRPr="008B436B">
        <w:rPr>
          <w:rStyle w:val="Rimandonotaapidipagina"/>
          <w:rFonts w:cs="Times New Roman"/>
          <w:szCs w:val="19"/>
        </w:rPr>
        <w:footnoteRef/>
      </w:r>
      <w:r w:rsidRPr="008B436B">
        <w:rPr>
          <w:rFonts w:cs="Times New Roman"/>
          <w:szCs w:val="19"/>
          <w:vertAlign w:val="superscript"/>
        </w:rPr>
        <w:t> </w:t>
      </w:r>
      <w:r w:rsidRPr="002C3D0D">
        <w:rPr>
          <w:rFonts w:cs="Times New Roman"/>
          <w:spacing w:val="-3"/>
          <w:szCs w:val="19"/>
        </w:rPr>
        <w:t xml:space="preserve">Ritiene non completamente raggiunto un tale obiettivo, </w:t>
      </w:r>
      <w:r w:rsidRPr="002C3D0D">
        <w:rPr>
          <w:rFonts w:cs="Times New Roman"/>
          <w:smallCaps/>
          <w:spacing w:val="-3"/>
          <w:szCs w:val="19"/>
        </w:rPr>
        <w:t>E.W. Di Mauro</w:t>
      </w:r>
      <w:r w:rsidRPr="002C3D0D">
        <w:rPr>
          <w:rFonts w:cs="Times New Roman"/>
          <w:spacing w:val="-3"/>
          <w:szCs w:val="19"/>
        </w:rPr>
        <w:t xml:space="preserve">, </w:t>
      </w:r>
      <w:r w:rsidRPr="002C3D0D">
        <w:rPr>
          <w:rFonts w:cs="Times New Roman"/>
          <w:i/>
          <w:iCs/>
          <w:spacing w:val="-3"/>
          <w:szCs w:val="19"/>
        </w:rPr>
        <w:t>Il progetto di vita</w:t>
      </w:r>
      <w:r w:rsidRPr="002C3D0D">
        <w:rPr>
          <w:rFonts w:cs="Times New Roman"/>
          <w:spacing w:val="-3"/>
          <w:szCs w:val="19"/>
        </w:rPr>
        <w:t xml:space="preserve">, cit., </w:t>
      </w:r>
      <w:r w:rsidR="00E00EA5" w:rsidRPr="002C3D0D">
        <w:rPr>
          <w:rFonts w:cs="Times New Roman"/>
          <w:spacing w:val="-3"/>
          <w:szCs w:val="19"/>
        </w:rPr>
        <w:t xml:space="preserve">pp. </w:t>
      </w:r>
      <w:r w:rsidRPr="002C3D0D">
        <w:rPr>
          <w:rFonts w:cs="Times New Roman"/>
          <w:spacing w:val="-3"/>
          <w:szCs w:val="19"/>
        </w:rPr>
        <w:t xml:space="preserve">220-221; in argomento, </w:t>
      </w:r>
      <w:r w:rsidR="00E00EA5" w:rsidRPr="002C3D0D">
        <w:rPr>
          <w:rFonts w:cs="Times New Roman"/>
          <w:smallCaps/>
          <w:spacing w:val="-3"/>
          <w:szCs w:val="19"/>
        </w:rPr>
        <w:t>P. Ciamarra, A. Porzio, C. Tettamanti, G. Corbi, F. Gimigliano, A. Argo, C.P. Campobasso</w:t>
      </w:r>
      <w:r w:rsidR="00E00EA5" w:rsidRPr="002C3D0D">
        <w:rPr>
          <w:rFonts w:cs="Times New Roman"/>
          <w:spacing w:val="-3"/>
          <w:szCs w:val="19"/>
        </w:rPr>
        <w:t xml:space="preserve">, </w:t>
      </w:r>
      <w:r w:rsidR="00E00EA5" w:rsidRPr="002C3D0D">
        <w:rPr>
          <w:rFonts w:cs="Times New Roman"/>
          <w:i/>
          <w:iCs/>
          <w:spacing w:val="-3"/>
          <w:szCs w:val="19"/>
        </w:rPr>
        <w:t>Leggi delega in materia di disabilità</w:t>
      </w:r>
      <w:r w:rsidR="00E00EA5" w:rsidRPr="002C3D0D">
        <w:rPr>
          <w:rFonts w:cs="Times New Roman"/>
          <w:spacing w:val="-3"/>
          <w:szCs w:val="19"/>
        </w:rPr>
        <w:t xml:space="preserve">, cit., pp. </w:t>
      </w:r>
      <w:r w:rsidRPr="002C3D0D">
        <w:rPr>
          <w:rFonts w:cs="Times New Roman"/>
          <w:spacing w:val="-3"/>
          <w:szCs w:val="19"/>
        </w:rPr>
        <w:t>381-383.</w:t>
      </w:r>
    </w:p>
  </w:footnote>
  <w:footnote w:id="29">
    <w:p w14:paraId="418A2EFF" w14:textId="503FBFC9" w:rsidR="00E92121" w:rsidRPr="008B436B" w:rsidRDefault="00E92121" w:rsidP="00EB39CF">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Cfr. art. 18, comma 5 del </w:t>
      </w:r>
      <w:r w:rsidR="00E00EA5" w:rsidRPr="008B436B">
        <w:rPr>
          <w:rFonts w:cs="Times New Roman"/>
          <w:szCs w:val="19"/>
        </w:rPr>
        <w:t>d.lgs</w:t>
      </w:r>
      <w:r w:rsidRPr="008B436B">
        <w:rPr>
          <w:rFonts w:cs="Times New Roman"/>
          <w:szCs w:val="19"/>
        </w:rPr>
        <w:t>. n. 62</w:t>
      </w:r>
      <w:r w:rsidR="00E00EA5" w:rsidRPr="008B436B">
        <w:rPr>
          <w:rFonts w:cs="Times New Roman"/>
          <w:szCs w:val="19"/>
        </w:rPr>
        <w:t>/</w:t>
      </w:r>
      <w:r w:rsidRPr="008B436B">
        <w:rPr>
          <w:rFonts w:cs="Times New Roman"/>
          <w:szCs w:val="19"/>
        </w:rPr>
        <w:t>2024; non si può modificare d’ufficio il progetto per Cons</w:t>
      </w:r>
      <w:r w:rsidR="00E00EA5" w:rsidRPr="008B436B">
        <w:rPr>
          <w:rFonts w:cs="Times New Roman"/>
          <w:szCs w:val="19"/>
        </w:rPr>
        <w:t>.</w:t>
      </w:r>
      <w:r w:rsidRPr="008B436B">
        <w:rPr>
          <w:rFonts w:cs="Times New Roman"/>
          <w:szCs w:val="19"/>
        </w:rPr>
        <w:t xml:space="preserve"> Stato, </w:t>
      </w:r>
      <w:proofErr w:type="spellStart"/>
      <w:r w:rsidR="00E00EA5" w:rsidRPr="008B436B">
        <w:rPr>
          <w:rFonts w:cs="Times New Roman"/>
          <w:szCs w:val="19"/>
        </w:rPr>
        <w:t>sez</w:t>
      </w:r>
      <w:proofErr w:type="spellEnd"/>
      <w:r w:rsidR="00E00EA5" w:rsidRPr="008B436B">
        <w:rPr>
          <w:rFonts w:cs="Times New Roman"/>
          <w:szCs w:val="19"/>
        </w:rPr>
        <w:t xml:space="preserve">, </w:t>
      </w:r>
      <w:r w:rsidRPr="008B436B">
        <w:rPr>
          <w:rFonts w:cs="Times New Roman"/>
          <w:szCs w:val="19"/>
        </w:rPr>
        <w:t xml:space="preserve">III, 6 marzo 2019, n. 1548; cfr. anche, </w:t>
      </w:r>
      <w:r w:rsidRPr="008B436B">
        <w:rPr>
          <w:rFonts w:cs="Times New Roman"/>
          <w:smallCaps/>
          <w:szCs w:val="19"/>
        </w:rPr>
        <w:t>F. Gaspari</w:t>
      </w:r>
      <w:r w:rsidRPr="008B436B">
        <w:rPr>
          <w:rFonts w:cs="Times New Roman"/>
          <w:szCs w:val="19"/>
        </w:rPr>
        <w:t xml:space="preserve">, </w:t>
      </w:r>
      <w:r w:rsidRPr="008B436B">
        <w:rPr>
          <w:rFonts w:cs="Times New Roman"/>
          <w:i/>
          <w:iCs/>
          <w:szCs w:val="19"/>
        </w:rPr>
        <w:t>Il riordino della normativa in materia di disabilità</w:t>
      </w:r>
      <w:r w:rsidRPr="008B436B">
        <w:rPr>
          <w:rFonts w:cs="Times New Roman"/>
          <w:szCs w:val="19"/>
        </w:rPr>
        <w:t xml:space="preserve">, cit., </w:t>
      </w:r>
      <w:r w:rsidR="00E00EA5" w:rsidRPr="008B436B">
        <w:rPr>
          <w:rFonts w:cs="Times New Roman"/>
          <w:szCs w:val="19"/>
        </w:rPr>
        <w:t xml:space="preserve">p. </w:t>
      </w:r>
      <w:r w:rsidRPr="008B436B">
        <w:rPr>
          <w:rFonts w:cs="Times New Roman"/>
          <w:szCs w:val="19"/>
        </w:rPr>
        <w:t>78.</w:t>
      </w:r>
    </w:p>
  </w:footnote>
  <w:footnote w:id="30">
    <w:p w14:paraId="1FA75F9A" w14:textId="12384860" w:rsidR="008775CF" w:rsidRPr="001973A8" w:rsidRDefault="008775CF" w:rsidP="00391A67">
      <w:pPr>
        <w:spacing w:before="60" w:after="0" w:line="220" w:lineRule="exact"/>
        <w:ind w:firstLine="284"/>
        <w:jc w:val="both"/>
        <w:rPr>
          <w:rFonts w:cs="Times New Roman"/>
          <w:szCs w:val="19"/>
        </w:rPr>
      </w:pPr>
      <w:r w:rsidRPr="00391A67">
        <w:rPr>
          <w:rStyle w:val="Rimandonotaapidipagina"/>
          <w:rFonts w:ascii="Times New Roman" w:hAnsi="Times New Roman" w:cs="Times New Roman"/>
          <w:sz w:val="19"/>
          <w:szCs w:val="19"/>
        </w:rPr>
        <w:footnoteRef/>
      </w:r>
      <w:r w:rsidR="00F9721E">
        <w:rPr>
          <w:szCs w:val="23"/>
          <w:vertAlign w:val="superscript"/>
        </w:rPr>
        <w:t> </w:t>
      </w:r>
      <w:r w:rsidR="004E5195">
        <w:rPr>
          <w:rFonts w:ascii="Times New Roman" w:hAnsi="Times New Roman" w:cs="Times New Roman"/>
          <w:sz w:val="19"/>
          <w:szCs w:val="19"/>
        </w:rPr>
        <w:t>Evidenzi</w:t>
      </w:r>
      <w:r w:rsidR="001973A8">
        <w:rPr>
          <w:rFonts w:ascii="Times New Roman" w:hAnsi="Times New Roman" w:cs="Times New Roman"/>
          <w:sz w:val="19"/>
          <w:szCs w:val="19"/>
        </w:rPr>
        <w:t xml:space="preserve">a le </w:t>
      </w:r>
      <w:r w:rsidR="00EB7992">
        <w:rPr>
          <w:rFonts w:ascii="Times New Roman" w:hAnsi="Times New Roman" w:cs="Times New Roman"/>
          <w:sz w:val="19"/>
          <w:szCs w:val="19"/>
        </w:rPr>
        <w:t>difficoltà c</w:t>
      </w:r>
      <w:r w:rsidR="001973A8">
        <w:rPr>
          <w:rFonts w:ascii="Times New Roman" w:hAnsi="Times New Roman" w:cs="Times New Roman"/>
          <w:sz w:val="19"/>
          <w:szCs w:val="19"/>
        </w:rPr>
        <w:t>he impediscono la piena attuazione</w:t>
      </w:r>
      <w:r w:rsidR="00EB7992">
        <w:rPr>
          <w:rFonts w:ascii="Times New Roman" w:hAnsi="Times New Roman" w:cs="Times New Roman"/>
          <w:sz w:val="19"/>
          <w:szCs w:val="19"/>
        </w:rPr>
        <w:t xml:space="preserve"> della nuova discip</w:t>
      </w:r>
      <w:r w:rsidR="0019768C">
        <w:rPr>
          <w:rFonts w:ascii="Times New Roman" w:hAnsi="Times New Roman" w:cs="Times New Roman"/>
          <w:sz w:val="19"/>
          <w:szCs w:val="19"/>
        </w:rPr>
        <w:t>l</w:t>
      </w:r>
      <w:r w:rsidR="00EB7992">
        <w:rPr>
          <w:rFonts w:ascii="Times New Roman" w:hAnsi="Times New Roman" w:cs="Times New Roman"/>
          <w:sz w:val="19"/>
          <w:szCs w:val="19"/>
        </w:rPr>
        <w:t xml:space="preserve">ina, </w:t>
      </w:r>
      <w:r w:rsidRPr="00391A67">
        <w:rPr>
          <w:rFonts w:ascii="Times New Roman" w:hAnsi="Times New Roman" w:cs="Times New Roman"/>
          <w:smallCaps/>
          <w:sz w:val="19"/>
          <w:szCs w:val="19"/>
        </w:rPr>
        <w:t>G. Arconzo</w:t>
      </w:r>
      <w:r w:rsidRPr="00391A67">
        <w:rPr>
          <w:rFonts w:ascii="Times New Roman" w:hAnsi="Times New Roman" w:cs="Times New Roman"/>
          <w:sz w:val="19"/>
          <w:szCs w:val="19"/>
        </w:rPr>
        <w:t xml:space="preserve">, </w:t>
      </w:r>
      <w:r w:rsidR="00E63A38" w:rsidRPr="00391A67">
        <w:rPr>
          <w:rFonts w:ascii="Times New Roman" w:hAnsi="Times New Roman" w:cs="Times New Roman"/>
          <w:i/>
          <w:iCs/>
          <w:noProof w:val="0"/>
          <w:sz w:val="19"/>
          <w:szCs w:val="19"/>
        </w:rPr>
        <w:t>L’incerto avvio delle riforme in tema di disabilità previste dalla legge n. 227 del 2021</w:t>
      </w:r>
      <w:r w:rsidR="00E63A38" w:rsidRPr="00391A67">
        <w:rPr>
          <w:rFonts w:ascii="Times New Roman" w:hAnsi="Times New Roman" w:cs="Times New Roman"/>
          <w:noProof w:val="0"/>
          <w:sz w:val="19"/>
          <w:szCs w:val="19"/>
        </w:rPr>
        <w:t xml:space="preserve">, in </w:t>
      </w:r>
      <w:r w:rsidR="00E63A38" w:rsidRPr="00391A67">
        <w:rPr>
          <w:rFonts w:ascii="Times New Roman" w:hAnsi="Times New Roman" w:cs="Times New Roman"/>
          <w:i/>
          <w:iCs/>
          <w:noProof w:val="0"/>
          <w:sz w:val="19"/>
          <w:szCs w:val="19"/>
        </w:rPr>
        <w:t>Federalismi</w:t>
      </w:r>
      <w:r w:rsidR="00E63A38" w:rsidRPr="00391A67">
        <w:rPr>
          <w:rFonts w:ascii="Times New Roman" w:hAnsi="Times New Roman" w:cs="Times New Roman"/>
          <w:noProof w:val="0"/>
          <w:sz w:val="19"/>
          <w:szCs w:val="19"/>
        </w:rPr>
        <w:t xml:space="preserve">, </w:t>
      </w:r>
      <w:r w:rsidR="00E63A38">
        <w:rPr>
          <w:rFonts w:ascii="Times New Roman" w:hAnsi="Times New Roman" w:cs="Times New Roman"/>
          <w:noProof w:val="0"/>
          <w:sz w:val="19"/>
          <w:szCs w:val="19"/>
        </w:rPr>
        <w:t>n. 16/</w:t>
      </w:r>
      <w:r w:rsidR="00E63A38" w:rsidRPr="00391A67">
        <w:rPr>
          <w:rFonts w:ascii="Times New Roman" w:hAnsi="Times New Roman" w:cs="Times New Roman"/>
          <w:noProof w:val="0"/>
          <w:sz w:val="19"/>
          <w:szCs w:val="19"/>
        </w:rPr>
        <w:t xml:space="preserve">2025, </w:t>
      </w:r>
      <w:r w:rsidR="00E63A38">
        <w:rPr>
          <w:rFonts w:ascii="Times New Roman" w:hAnsi="Times New Roman" w:cs="Times New Roman"/>
          <w:noProof w:val="0"/>
          <w:sz w:val="19"/>
          <w:szCs w:val="19"/>
        </w:rPr>
        <w:t>p. 21 ss.</w:t>
      </w:r>
      <w:r w:rsidR="00E63A38" w:rsidRPr="00391A67">
        <w:rPr>
          <w:rFonts w:ascii="Times New Roman" w:hAnsi="Times New Roman" w:cs="Times New Roman"/>
          <w:noProof w:val="0"/>
          <w:sz w:val="19"/>
          <w:szCs w:val="19"/>
        </w:rPr>
        <w:t xml:space="preserve"> </w:t>
      </w:r>
    </w:p>
  </w:footnote>
  <w:footnote w:id="31">
    <w:p w14:paraId="6D39D742" w14:textId="38AD539E"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Sull’estensione dell’istituto del progetto di vita anche a soggetti non disabili, </w:t>
      </w:r>
      <w:r w:rsidRPr="008B436B">
        <w:rPr>
          <w:rFonts w:cs="Times New Roman"/>
          <w:smallCaps/>
          <w:szCs w:val="19"/>
        </w:rPr>
        <w:t>E.W. Di Mauro</w:t>
      </w:r>
      <w:r w:rsidRPr="008B436B">
        <w:rPr>
          <w:rFonts w:cs="Times New Roman"/>
          <w:szCs w:val="19"/>
        </w:rPr>
        <w:t xml:space="preserve">, </w:t>
      </w:r>
      <w:r w:rsidRPr="008B436B">
        <w:rPr>
          <w:rFonts w:cs="Times New Roman"/>
          <w:i/>
          <w:iCs/>
          <w:szCs w:val="19"/>
        </w:rPr>
        <w:t>Il progetto di vita</w:t>
      </w:r>
      <w:r w:rsidRPr="008B436B">
        <w:rPr>
          <w:rFonts w:cs="Times New Roman"/>
          <w:szCs w:val="19"/>
        </w:rPr>
        <w:t xml:space="preserve">, cit., </w:t>
      </w:r>
      <w:r w:rsidR="00E00EA5" w:rsidRPr="008B436B">
        <w:rPr>
          <w:rFonts w:cs="Times New Roman"/>
          <w:szCs w:val="19"/>
        </w:rPr>
        <w:t xml:space="preserve">p. </w:t>
      </w:r>
      <w:r w:rsidRPr="008B436B">
        <w:rPr>
          <w:rFonts w:cs="Times New Roman"/>
          <w:szCs w:val="19"/>
        </w:rPr>
        <w:t>218.</w:t>
      </w:r>
    </w:p>
  </w:footnote>
  <w:footnote w:id="32">
    <w:p w14:paraId="5F03EB06" w14:textId="6C6DA6D1" w:rsidR="00E92121" w:rsidRPr="008B436B" w:rsidRDefault="00E92121" w:rsidP="002C3D0D">
      <w:pPr>
        <w:pStyle w:val="Testonotaapidipagina"/>
        <w:spacing w:before="40"/>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Cfr. art. 24 del </w:t>
      </w:r>
      <w:r w:rsidR="00E00EA5" w:rsidRPr="008B436B">
        <w:rPr>
          <w:rFonts w:cs="Times New Roman"/>
          <w:szCs w:val="19"/>
        </w:rPr>
        <w:t>d.lgs</w:t>
      </w:r>
      <w:r w:rsidRPr="008B436B">
        <w:rPr>
          <w:rFonts w:cs="Times New Roman"/>
          <w:szCs w:val="19"/>
        </w:rPr>
        <w:t>. n. 62</w:t>
      </w:r>
      <w:r w:rsidR="00E00EA5" w:rsidRPr="008B436B">
        <w:rPr>
          <w:rFonts w:cs="Times New Roman"/>
          <w:szCs w:val="19"/>
        </w:rPr>
        <w:t>/</w:t>
      </w:r>
      <w:r w:rsidRPr="008B436B">
        <w:rPr>
          <w:rFonts w:cs="Times New Roman"/>
          <w:szCs w:val="19"/>
        </w:rPr>
        <w:t xml:space="preserve">2024; cfr. </w:t>
      </w:r>
      <w:r w:rsidR="00E00EA5" w:rsidRPr="008B436B">
        <w:rPr>
          <w:rFonts w:cs="Times New Roman"/>
          <w:smallCaps/>
          <w:szCs w:val="19"/>
        </w:rPr>
        <w:t>P. Ciamarra, A. Porzio, C. Tettamanti, G. Corbi, F. Gimigliano, A. Argo, C.P. Campobasso</w:t>
      </w:r>
      <w:r w:rsidR="00E00EA5" w:rsidRPr="008B436B">
        <w:rPr>
          <w:rFonts w:cs="Times New Roman"/>
          <w:szCs w:val="19"/>
        </w:rPr>
        <w:t xml:space="preserve">, </w:t>
      </w:r>
      <w:r w:rsidR="00E00EA5" w:rsidRPr="008B436B">
        <w:rPr>
          <w:rFonts w:cs="Times New Roman"/>
          <w:i/>
          <w:iCs/>
          <w:szCs w:val="19"/>
        </w:rPr>
        <w:t>Leggi delega in materia di disabilità</w:t>
      </w:r>
      <w:r w:rsidR="00E00EA5" w:rsidRPr="008B436B">
        <w:rPr>
          <w:rFonts w:cs="Times New Roman"/>
          <w:szCs w:val="19"/>
        </w:rPr>
        <w:t xml:space="preserve">, cit., pp. </w:t>
      </w:r>
      <w:r w:rsidRPr="008B436B">
        <w:rPr>
          <w:rFonts w:cs="Times New Roman"/>
          <w:szCs w:val="19"/>
        </w:rPr>
        <w:t>382-383.</w:t>
      </w:r>
    </w:p>
  </w:footnote>
  <w:footnote w:id="33">
    <w:p w14:paraId="345C1C53" w14:textId="13CE98D7" w:rsidR="00E92121" w:rsidRPr="008B436B" w:rsidRDefault="00E92121" w:rsidP="00391A67">
      <w:pPr>
        <w:pStyle w:val="Testonotaapidipagina"/>
        <w:widowControl w:val="0"/>
        <w:spacing w:before="40"/>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Cfr. art. 26, comma 7</w:t>
      </w:r>
      <w:r w:rsidR="004E5195">
        <w:rPr>
          <w:rFonts w:cs="Times New Roman"/>
          <w:szCs w:val="19"/>
        </w:rPr>
        <w:t>,</w:t>
      </w:r>
      <w:r w:rsidRPr="008B436B">
        <w:rPr>
          <w:rFonts w:cs="Times New Roman"/>
          <w:szCs w:val="19"/>
        </w:rPr>
        <w:t xml:space="preserve"> del </w:t>
      </w:r>
      <w:r w:rsidR="00E00EA5" w:rsidRPr="008B436B">
        <w:rPr>
          <w:rFonts w:cs="Times New Roman"/>
          <w:szCs w:val="19"/>
        </w:rPr>
        <w:t>d.lgs</w:t>
      </w:r>
      <w:r w:rsidRPr="008B436B">
        <w:rPr>
          <w:rFonts w:cs="Times New Roman"/>
          <w:szCs w:val="19"/>
        </w:rPr>
        <w:t>. n. 62</w:t>
      </w:r>
      <w:r w:rsidR="00E00EA5" w:rsidRPr="008B436B">
        <w:rPr>
          <w:rFonts w:cs="Times New Roman"/>
          <w:szCs w:val="19"/>
        </w:rPr>
        <w:t>/</w:t>
      </w:r>
      <w:r w:rsidRPr="008B436B">
        <w:rPr>
          <w:rFonts w:cs="Times New Roman"/>
          <w:szCs w:val="19"/>
        </w:rPr>
        <w:t>2024: il progetto di vita una volta adottato assume natura convenzionale, poiché sia i componenti dell’unità di valutazione multidimensionale che i responsabili dei vari servizi e interventi lo sottoscrivono unitamente al soggetto disabile beneficiario.</w:t>
      </w:r>
    </w:p>
  </w:footnote>
  <w:footnote w:id="34">
    <w:p w14:paraId="4CB75925" w14:textId="3AF734E4" w:rsidR="00E92121" w:rsidRPr="008B436B" w:rsidRDefault="00E92121" w:rsidP="002C3D0D">
      <w:pPr>
        <w:pStyle w:val="Testonotaapidipagina"/>
        <w:spacing w:before="40"/>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Cfr. art. 28 del </w:t>
      </w:r>
      <w:r w:rsidR="00E00EA5" w:rsidRPr="008B436B">
        <w:rPr>
          <w:rFonts w:cs="Times New Roman"/>
          <w:szCs w:val="19"/>
        </w:rPr>
        <w:t>d.lgs</w:t>
      </w:r>
      <w:r w:rsidRPr="008B436B">
        <w:rPr>
          <w:rFonts w:cs="Times New Roman"/>
          <w:szCs w:val="19"/>
        </w:rPr>
        <w:t>. n. 62</w:t>
      </w:r>
      <w:r w:rsidR="00E00EA5" w:rsidRPr="008B436B">
        <w:rPr>
          <w:rFonts w:cs="Times New Roman"/>
          <w:szCs w:val="19"/>
        </w:rPr>
        <w:t>/</w:t>
      </w:r>
      <w:r w:rsidRPr="008B436B">
        <w:rPr>
          <w:rFonts w:cs="Times New Roman"/>
          <w:szCs w:val="19"/>
        </w:rPr>
        <w:t>2024.</w:t>
      </w:r>
    </w:p>
  </w:footnote>
  <w:footnote w:id="35">
    <w:p w14:paraId="30E3B4BD" w14:textId="45A598A3" w:rsidR="00E92121" w:rsidRPr="008B436B" w:rsidRDefault="00E92121" w:rsidP="002C3D0D">
      <w:pPr>
        <w:pStyle w:val="Testonotaapidipagina"/>
        <w:spacing w:before="40"/>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Il disabile non è trattato più come un costo e un peso per la società, ma ne diventa soggetto attivo e pienamente integrato: cfr. </w:t>
      </w:r>
      <w:r w:rsidRPr="008B436B">
        <w:rPr>
          <w:rFonts w:cs="Times New Roman"/>
          <w:smallCaps/>
          <w:szCs w:val="19"/>
        </w:rPr>
        <w:t>R. Zamperini</w:t>
      </w:r>
      <w:r w:rsidRPr="008B436B">
        <w:rPr>
          <w:rFonts w:cs="Times New Roman"/>
          <w:szCs w:val="19"/>
        </w:rPr>
        <w:t xml:space="preserve">, </w:t>
      </w:r>
      <w:r w:rsidRPr="008B436B">
        <w:rPr>
          <w:rFonts w:cs="Times New Roman"/>
          <w:i/>
          <w:iCs/>
          <w:szCs w:val="19"/>
        </w:rPr>
        <w:t>Il decreto disabilità</w:t>
      </w:r>
      <w:r w:rsidRPr="008B436B">
        <w:rPr>
          <w:rFonts w:cs="Times New Roman"/>
          <w:szCs w:val="19"/>
        </w:rPr>
        <w:t xml:space="preserve">, cit., </w:t>
      </w:r>
      <w:r w:rsidR="00E00EA5" w:rsidRPr="008B436B">
        <w:rPr>
          <w:rFonts w:cs="Times New Roman"/>
          <w:szCs w:val="19"/>
        </w:rPr>
        <w:t xml:space="preserve">p. </w:t>
      </w:r>
      <w:r w:rsidRPr="008B436B">
        <w:rPr>
          <w:rFonts w:cs="Times New Roman"/>
          <w:szCs w:val="19"/>
        </w:rPr>
        <w:t>2093.</w:t>
      </w:r>
    </w:p>
  </w:footnote>
  <w:footnote w:id="36">
    <w:p w14:paraId="2A997766" w14:textId="56382696" w:rsidR="00E92121" w:rsidRPr="008B436B" w:rsidRDefault="00E92121" w:rsidP="002C3D0D">
      <w:pPr>
        <w:pStyle w:val="Testonotaapidipagina"/>
        <w:spacing w:before="40"/>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Pone l’accento sull’autodeterminazione del disabile, </w:t>
      </w:r>
      <w:r w:rsidRPr="008B436B">
        <w:rPr>
          <w:rFonts w:cs="Times New Roman"/>
          <w:smallCaps/>
          <w:szCs w:val="19"/>
        </w:rPr>
        <w:t>E.W. Di Mauro</w:t>
      </w:r>
      <w:r w:rsidRPr="008B436B">
        <w:rPr>
          <w:rFonts w:cs="Times New Roman"/>
          <w:szCs w:val="19"/>
        </w:rPr>
        <w:t xml:space="preserve">, </w:t>
      </w:r>
      <w:r w:rsidRPr="008B436B">
        <w:rPr>
          <w:rFonts w:cs="Times New Roman"/>
          <w:i/>
          <w:iCs/>
          <w:szCs w:val="19"/>
        </w:rPr>
        <w:t>Il progetto di vita</w:t>
      </w:r>
      <w:r w:rsidRPr="008B436B">
        <w:rPr>
          <w:rFonts w:cs="Times New Roman"/>
          <w:szCs w:val="19"/>
        </w:rPr>
        <w:t xml:space="preserve">, cit., </w:t>
      </w:r>
      <w:r w:rsidR="00E00EA5" w:rsidRPr="008B436B">
        <w:rPr>
          <w:rFonts w:cs="Times New Roman"/>
          <w:szCs w:val="19"/>
        </w:rPr>
        <w:t xml:space="preserve">pp. </w:t>
      </w:r>
      <w:r w:rsidRPr="008B436B">
        <w:rPr>
          <w:rFonts w:cs="Times New Roman"/>
          <w:szCs w:val="19"/>
        </w:rPr>
        <w:t xml:space="preserve">228-229; </w:t>
      </w:r>
      <w:r w:rsidRPr="008B436B">
        <w:rPr>
          <w:rFonts w:cs="Times New Roman"/>
          <w:smallCaps/>
          <w:szCs w:val="19"/>
        </w:rPr>
        <w:t>F. Gaspari</w:t>
      </w:r>
      <w:r w:rsidRPr="008B436B">
        <w:rPr>
          <w:rFonts w:cs="Times New Roman"/>
          <w:szCs w:val="19"/>
        </w:rPr>
        <w:t xml:space="preserve">, </w:t>
      </w:r>
      <w:r w:rsidRPr="008B436B">
        <w:rPr>
          <w:rFonts w:cs="Times New Roman"/>
          <w:i/>
          <w:iCs/>
          <w:szCs w:val="19"/>
        </w:rPr>
        <w:t>Il riordino della normativa in materia di disabilità</w:t>
      </w:r>
      <w:r w:rsidRPr="008B436B">
        <w:rPr>
          <w:rFonts w:cs="Times New Roman"/>
          <w:szCs w:val="19"/>
        </w:rPr>
        <w:t xml:space="preserve">, cit., </w:t>
      </w:r>
      <w:r w:rsidR="00E00EA5" w:rsidRPr="008B436B">
        <w:rPr>
          <w:rFonts w:cs="Times New Roman"/>
          <w:szCs w:val="19"/>
        </w:rPr>
        <w:t xml:space="preserve">p. </w:t>
      </w:r>
      <w:r w:rsidRPr="008B436B">
        <w:rPr>
          <w:rFonts w:cs="Times New Roman"/>
          <w:szCs w:val="19"/>
        </w:rPr>
        <w:t>91.</w:t>
      </w:r>
    </w:p>
  </w:footnote>
  <w:footnote w:id="37">
    <w:p w14:paraId="5C865B7F" w14:textId="432D3A02" w:rsidR="00E92121" w:rsidRPr="008B436B" w:rsidRDefault="00E92121" w:rsidP="002C3D0D">
      <w:pPr>
        <w:pStyle w:val="Testonotaapidipagina"/>
        <w:spacing w:before="40"/>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Ritiene la normativa italiana non perfettamente in linea con la Convenzione, </w:t>
      </w:r>
      <w:r w:rsidRPr="008B436B">
        <w:rPr>
          <w:rFonts w:cs="Times New Roman"/>
          <w:smallCaps/>
          <w:szCs w:val="19"/>
        </w:rPr>
        <w:t>E.W. Di Mauro</w:t>
      </w:r>
      <w:r w:rsidRPr="008B436B">
        <w:rPr>
          <w:rFonts w:cs="Times New Roman"/>
          <w:szCs w:val="19"/>
        </w:rPr>
        <w:t xml:space="preserve">, </w:t>
      </w:r>
      <w:r w:rsidRPr="008B436B">
        <w:rPr>
          <w:rFonts w:cs="Times New Roman"/>
          <w:i/>
          <w:iCs/>
          <w:szCs w:val="19"/>
        </w:rPr>
        <w:t>Il progetto di vita</w:t>
      </w:r>
      <w:r w:rsidRPr="008B436B">
        <w:rPr>
          <w:rFonts w:cs="Times New Roman"/>
          <w:szCs w:val="19"/>
        </w:rPr>
        <w:t xml:space="preserve">, cit., </w:t>
      </w:r>
      <w:r w:rsidR="00E00EA5" w:rsidRPr="008B436B">
        <w:rPr>
          <w:rFonts w:cs="Times New Roman"/>
          <w:szCs w:val="19"/>
        </w:rPr>
        <w:t xml:space="preserve">p. </w:t>
      </w:r>
      <w:r w:rsidRPr="008B436B">
        <w:rPr>
          <w:rFonts w:cs="Times New Roman"/>
          <w:szCs w:val="19"/>
        </w:rPr>
        <w:t>230 ss.</w:t>
      </w:r>
    </w:p>
  </w:footnote>
  <w:footnote w:id="38">
    <w:p w14:paraId="6CB41A2C" w14:textId="79751ECE" w:rsidR="00E92121" w:rsidRPr="002C3D0D" w:rsidRDefault="00E92121" w:rsidP="002C3D0D">
      <w:pPr>
        <w:pStyle w:val="Testonotaapidipagina"/>
        <w:widowControl w:val="0"/>
        <w:spacing w:before="40"/>
        <w:rPr>
          <w:rFonts w:cs="Times New Roman"/>
          <w:spacing w:val="-3"/>
          <w:szCs w:val="19"/>
        </w:rPr>
      </w:pPr>
      <w:r w:rsidRPr="002C3D0D">
        <w:rPr>
          <w:rStyle w:val="Rimandonotaapidipagina"/>
          <w:rFonts w:cs="Times New Roman"/>
          <w:spacing w:val="-3"/>
          <w:szCs w:val="19"/>
        </w:rPr>
        <w:footnoteRef/>
      </w:r>
      <w:r w:rsidRPr="002C3D0D">
        <w:rPr>
          <w:rFonts w:cs="Times New Roman"/>
          <w:spacing w:val="-3"/>
          <w:szCs w:val="19"/>
          <w:vertAlign w:val="superscript"/>
        </w:rPr>
        <w:t> </w:t>
      </w:r>
      <w:r w:rsidRPr="002C3D0D">
        <w:rPr>
          <w:rFonts w:cs="Times New Roman"/>
          <w:spacing w:val="-3"/>
          <w:szCs w:val="19"/>
        </w:rPr>
        <w:t xml:space="preserve">Sul ruolo indispensabile, in fase di predisposizione del progetto, dei Comuni e delle Aziende sanitarie, </w:t>
      </w:r>
      <w:r w:rsidRPr="002C3D0D">
        <w:rPr>
          <w:rFonts w:cs="Times New Roman"/>
          <w:smallCaps/>
          <w:spacing w:val="-3"/>
          <w:szCs w:val="19"/>
        </w:rPr>
        <w:t xml:space="preserve">M. </w:t>
      </w:r>
      <w:proofErr w:type="spellStart"/>
      <w:r w:rsidRPr="002C3D0D">
        <w:rPr>
          <w:rFonts w:cs="Times New Roman"/>
          <w:smallCaps/>
          <w:spacing w:val="-3"/>
          <w:szCs w:val="19"/>
        </w:rPr>
        <w:t>Bombardelli</w:t>
      </w:r>
      <w:proofErr w:type="spellEnd"/>
      <w:r w:rsidRPr="002C3D0D">
        <w:rPr>
          <w:rFonts w:cs="Times New Roman"/>
          <w:spacing w:val="-3"/>
          <w:szCs w:val="19"/>
        </w:rPr>
        <w:t xml:space="preserve">, </w:t>
      </w:r>
      <w:r w:rsidRPr="002C3D0D">
        <w:rPr>
          <w:rFonts w:cs="Times New Roman"/>
          <w:i/>
          <w:iCs/>
          <w:spacing w:val="-3"/>
          <w:szCs w:val="19"/>
        </w:rPr>
        <w:t>Il progetto individuale per le persone disabili</w:t>
      </w:r>
      <w:r w:rsidRPr="002C3D0D">
        <w:rPr>
          <w:rFonts w:cs="Times New Roman"/>
          <w:spacing w:val="-3"/>
          <w:szCs w:val="19"/>
        </w:rPr>
        <w:t xml:space="preserve">, cit., </w:t>
      </w:r>
      <w:r w:rsidR="00E00EA5" w:rsidRPr="002C3D0D">
        <w:rPr>
          <w:rFonts w:cs="Times New Roman"/>
          <w:spacing w:val="-3"/>
          <w:szCs w:val="19"/>
        </w:rPr>
        <w:t xml:space="preserve">pp. </w:t>
      </w:r>
      <w:r w:rsidRPr="002C3D0D">
        <w:rPr>
          <w:rFonts w:cs="Times New Roman"/>
          <w:spacing w:val="-3"/>
          <w:szCs w:val="19"/>
        </w:rPr>
        <w:t>115-116.</w:t>
      </w:r>
    </w:p>
  </w:footnote>
  <w:footnote w:id="39">
    <w:p w14:paraId="545CF295" w14:textId="3F1C6CA7"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Il progetto personalizzato assume la natura di diritto soggettivo, per </w:t>
      </w:r>
      <w:r w:rsidRPr="008B436B">
        <w:rPr>
          <w:rFonts w:cs="Times New Roman"/>
          <w:smallCaps/>
          <w:szCs w:val="19"/>
        </w:rPr>
        <w:t>G. Latti</w:t>
      </w:r>
      <w:r w:rsidRPr="008B436B">
        <w:rPr>
          <w:rFonts w:cs="Times New Roman"/>
          <w:szCs w:val="19"/>
        </w:rPr>
        <w:t xml:space="preserve">, </w:t>
      </w:r>
      <w:r w:rsidRPr="008B436B">
        <w:rPr>
          <w:rFonts w:cs="Times New Roman"/>
          <w:i/>
          <w:iCs/>
          <w:szCs w:val="19"/>
        </w:rPr>
        <w:t>Il Progetto personalizzato</w:t>
      </w:r>
      <w:r w:rsidRPr="008B436B">
        <w:rPr>
          <w:rFonts w:cs="Times New Roman"/>
          <w:szCs w:val="19"/>
        </w:rPr>
        <w:t>, cit.,</w:t>
      </w:r>
      <w:r w:rsidR="00E00EA5" w:rsidRPr="008B436B">
        <w:rPr>
          <w:rFonts w:cs="Times New Roman"/>
          <w:szCs w:val="19"/>
        </w:rPr>
        <w:t xml:space="preserve"> p.</w:t>
      </w:r>
      <w:r w:rsidRPr="008B436B">
        <w:rPr>
          <w:rFonts w:cs="Times New Roman"/>
          <w:szCs w:val="19"/>
        </w:rPr>
        <w:t xml:space="preserve"> 29.</w:t>
      </w:r>
    </w:p>
  </w:footnote>
  <w:footnote w:id="40">
    <w:p w14:paraId="1C92B101" w14:textId="143D5282" w:rsidR="00E92121" w:rsidRPr="002C3D0D" w:rsidRDefault="00E92121" w:rsidP="00E92121">
      <w:pPr>
        <w:pStyle w:val="Testonotaapidipagina"/>
        <w:rPr>
          <w:rFonts w:cs="Times New Roman"/>
          <w:spacing w:val="-1"/>
          <w:szCs w:val="19"/>
        </w:rPr>
      </w:pPr>
      <w:r w:rsidRPr="002C3D0D">
        <w:rPr>
          <w:rStyle w:val="Rimandonotaapidipagina"/>
          <w:rFonts w:cs="Times New Roman"/>
          <w:spacing w:val="-1"/>
          <w:szCs w:val="19"/>
        </w:rPr>
        <w:footnoteRef/>
      </w:r>
      <w:r w:rsidRPr="002C3D0D">
        <w:rPr>
          <w:rFonts w:cs="Times New Roman"/>
          <w:spacing w:val="-1"/>
          <w:szCs w:val="19"/>
          <w:vertAlign w:val="superscript"/>
        </w:rPr>
        <w:t> </w:t>
      </w:r>
      <w:r w:rsidRPr="002C3D0D">
        <w:rPr>
          <w:rFonts w:cs="Times New Roman"/>
          <w:spacing w:val="-1"/>
          <w:szCs w:val="19"/>
        </w:rPr>
        <w:t>La posizione del disabile ad ottenere il progetto di vita è di diritto soggettivo e sull’Amministrazione grava il correlato obbligo:</w:t>
      </w:r>
      <w:r w:rsidRPr="002C3D0D">
        <w:rPr>
          <w:rFonts w:cs="Times New Roman"/>
          <w:smallCaps/>
          <w:spacing w:val="-1"/>
          <w:szCs w:val="19"/>
        </w:rPr>
        <w:t xml:space="preserve"> F. Gaspari</w:t>
      </w:r>
      <w:r w:rsidRPr="002C3D0D">
        <w:rPr>
          <w:rFonts w:cs="Times New Roman"/>
          <w:spacing w:val="-1"/>
          <w:szCs w:val="19"/>
        </w:rPr>
        <w:t xml:space="preserve">, </w:t>
      </w:r>
      <w:r w:rsidRPr="002C3D0D">
        <w:rPr>
          <w:rFonts w:cs="Times New Roman"/>
          <w:i/>
          <w:iCs/>
          <w:spacing w:val="-1"/>
          <w:szCs w:val="19"/>
        </w:rPr>
        <w:t>Il riordino della normativa in materia di disabilità</w:t>
      </w:r>
      <w:r w:rsidRPr="002C3D0D">
        <w:rPr>
          <w:rFonts w:cs="Times New Roman"/>
          <w:spacing w:val="-1"/>
          <w:szCs w:val="19"/>
        </w:rPr>
        <w:t xml:space="preserve">, cit., </w:t>
      </w:r>
      <w:r w:rsidR="00E00EA5" w:rsidRPr="002C3D0D">
        <w:rPr>
          <w:rFonts w:cs="Times New Roman"/>
          <w:spacing w:val="-1"/>
          <w:szCs w:val="19"/>
        </w:rPr>
        <w:t xml:space="preserve">pp. </w:t>
      </w:r>
      <w:r w:rsidRPr="002C3D0D">
        <w:rPr>
          <w:rFonts w:cs="Times New Roman"/>
          <w:spacing w:val="-1"/>
          <w:szCs w:val="19"/>
        </w:rPr>
        <w:t>84-85, che richiama sul punto T.A.R. Valle d’Aosta, 14 gennaio 2019, n. 2; con rifer</w:t>
      </w:r>
      <w:r w:rsidR="007F16E9" w:rsidRPr="002C3D0D">
        <w:rPr>
          <w:rFonts w:cs="Times New Roman"/>
          <w:spacing w:val="-1"/>
          <w:szCs w:val="19"/>
        </w:rPr>
        <w:t>i</w:t>
      </w:r>
      <w:r w:rsidRPr="002C3D0D">
        <w:rPr>
          <w:rFonts w:cs="Times New Roman"/>
          <w:spacing w:val="-1"/>
          <w:szCs w:val="19"/>
        </w:rPr>
        <w:t xml:space="preserve">mento al piano educativo individualizzato (PEI), </w:t>
      </w:r>
      <w:r w:rsidRPr="002C3D0D">
        <w:rPr>
          <w:rFonts w:cs="Times New Roman"/>
          <w:smallCaps/>
          <w:spacing w:val="-1"/>
          <w:szCs w:val="19"/>
        </w:rPr>
        <w:t>M. Ramajoli</w:t>
      </w:r>
      <w:r w:rsidRPr="002C3D0D">
        <w:rPr>
          <w:rFonts w:cs="Times New Roman"/>
          <w:spacing w:val="-1"/>
          <w:szCs w:val="19"/>
        </w:rPr>
        <w:t xml:space="preserve">, </w:t>
      </w:r>
      <w:r w:rsidRPr="002C3D0D">
        <w:rPr>
          <w:rFonts w:cs="Times New Roman"/>
          <w:i/>
          <w:iCs/>
          <w:spacing w:val="-1"/>
          <w:szCs w:val="19"/>
        </w:rPr>
        <w:t>Sui molteplici criteri di riparto della giurisdizione in materia di servizi di sostegno scolastico alle persone con disabilità</w:t>
      </w:r>
      <w:r w:rsidRPr="002C3D0D">
        <w:rPr>
          <w:rFonts w:cs="Times New Roman"/>
          <w:spacing w:val="-1"/>
          <w:szCs w:val="19"/>
        </w:rPr>
        <w:t xml:space="preserve">, in </w:t>
      </w:r>
      <w:r w:rsidRPr="002C3D0D">
        <w:rPr>
          <w:rFonts w:cs="Times New Roman"/>
          <w:i/>
          <w:iCs/>
          <w:spacing w:val="-1"/>
          <w:szCs w:val="19"/>
        </w:rPr>
        <w:t xml:space="preserve">Dir. proc. </w:t>
      </w:r>
      <w:proofErr w:type="spellStart"/>
      <w:r w:rsidRPr="002C3D0D">
        <w:rPr>
          <w:rFonts w:cs="Times New Roman"/>
          <w:i/>
          <w:iCs/>
          <w:spacing w:val="-1"/>
          <w:szCs w:val="19"/>
        </w:rPr>
        <w:t>amm</w:t>
      </w:r>
      <w:proofErr w:type="spellEnd"/>
      <w:r w:rsidRPr="002C3D0D">
        <w:rPr>
          <w:rFonts w:cs="Times New Roman"/>
          <w:i/>
          <w:iCs/>
          <w:spacing w:val="-1"/>
          <w:szCs w:val="19"/>
        </w:rPr>
        <w:t>.</w:t>
      </w:r>
      <w:r w:rsidRPr="002C3D0D">
        <w:rPr>
          <w:rFonts w:cs="Times New Roman"/>
          <w:spacing w:val="-1"/>
          <w:szCs w:val="19"/>
        </w:rPr>
        <w:t>, n. 2</w:t>
      </w:r>
      <w:r w:rsidR="007F16E9" w:rsidRPr="002C3D0D">
        <w:rPr>
          <w:rFonts w:cs="Times New Roman"/>
          <w:spacing w:val="-1"/>
          <w:szCs w:val="19"/>
        </w:rPr>
        <w:t>/2020</w:t>
      </w:r>
      <w:r w:rsidRPr="002C3D0D">
        <w:rPr>
          <w:rFonts w:cs="Times New Roman"/>
          <w:spacing w:val="-1"/>
          <w:szCs w:val="19"/>
        </w:rPr>
        <w:t xml:space="preserve">, </w:t>
      </w:r>
      <w:r w:rsidR="007F16E9" w:rsidRPr="002C3D0D">
        <w:rPr>
          <w:rFonts w:cs="Times New Roman"/>
          <w:spacing w:val="-1"/>
          <w:szCs w:val="19"/>
        </w:rPr>
        <w:t xml:space="preserve">p. </w:t>
      </w:r>
      <w:r w:rsidRPr="002C3D0D">
        <w:rPr>
          <w:rFonts w:cs="Times New Roman"/>
          <w:spacing w:val="-1"/>
          <w:szCs w:val="19"/>
        </w:rPr>
        <w:t xml:space="preserve">286; </w:t>
      </w:r>
      <w:r w:rsidRPr="002C3D0D">
        <w:rPr>
          <w:rFonts w:cs="Times New Roman"/>
          <w:smallCaps/>
          <w:spacing w:val="-1"/>
          <w:szCs w:val="19"/>
        </w:rPr>
        <w:t>P. Maglione</w:t>
      </w:r>
      <w:r w:rsidRPr="002C3D0D">
        <w:rPr>
          <w:rFonts w:cs="Times New Roman"/>
          <w:spacing w:val="-1"/>
          <w:szCs w:val="19"/>
        </w:rPr>
        <w:t xml:space="preserve">, </w:t>
      </w:r>
      <w:r w:rsidRPr="002C3D0D">
        <w:rPr>
          <w:rFonts w:cs="Times New Roman"/>
          <w:i/>
          <w:iCs/>
          <w:spacing w:val="-1"/>
          <w:szCs w:val="19"/>
        </w:rPr>
        <w:t>Il regime di tutela giurisdizionale</w:t>
      </w:r>
      <w:r w:rsidR="0025167F" w:rsidRPr="002C3D0D">
        <w:rPr>
          <w:rFonts w:cs="Times New Roman"/>
          <w:spacing w:val="-1"/>
          <w:szCs w:val="19"/>
        </w:rPr>
        <w:t xml:space="preserve">, </w:t>
      </w:r>
      <w:r w:rsidRPr="002C3D0D">
        <w:rPr>
          <w:rFonts w:cs="Times New Roman"/>
          <w:spacing w:val="-1"/>
          <w:szCs w:val="19"/>
        </w:rPr>
        <w:t xml:space="preserve">cit., </w:t>
      </w:r>
      <w:r w:rsidR="007F16E9" w:rsidRPr="002C3D0D">
        <w:rPr>
          <w:rFonts w:cs="Times New Roman"/>
          <w:spacing w:val="-1"/>
          <w:szCs w:val="19"/>
        </w:rPr>
        <w:t xml:space="preserve">p. </w:t>
      </w:r>
      <w:r w:rsidRPr="002C3D0D">
        <w:rPr>
          <w:rFonts w:cs="Times New Roman"/>
          <w:spacing w:val="-1"/>
          <w:szCs w:val="19"/>
        </w:rPr>
        <w:t xml:space="preserve">17; </w:t>
      </w:r>
      <w:r w:rsidR="00AB7AF9" w:rsidRPr="00391A67">
        <w:rPr>
          <w:rFonts w:cs="Times New Roman"/>
          <w:smallCaps/>
          <w:spacing w:val="-1"/>
          <w:szCs w:val="19"/>
        </w:rPr>
        <w:t xml:space="preserve">A. </w:t>
      </w:r>
      <w:proofErr w:type="spellStart"/>
      <w:r w:rsidR="00AB7AF9" w:rsidRPr="00391A67">
        <w:rPr>
          <w:rFonts w:cs="Times New Roman"/>
          <w:smallCaps/>
          <w:spacing w:val="-1"/>
          <w:szCs w:val="19"/>
        </w:rPr>
        <w:t>Fonzi</w:t>
      </w:r>
      <w:proofErr w:type="spellEnd"/>
      <w:r w:rsidR="00AB7AF9">
        <w:rPr>
          <w:rFonts w:cs="Times New Roman"/>
          <w:spacing w:val="-1"/>
          <w:szCs w:val="19"/>
        </w:rPr>
        <w:t xml:space="preserve">, </w:t>
      </w:r>
      <w:r w:rsidR="00AB7AF9" w:rsidRPr="00391A67">
        <w:rPr>
          <w:rFonts w:cs="Times New Roman"/>
          <w:i/>
          <w:iCs/>
          <w:spacing w:val="-1"/>
          <w:szCs w:val="19"/>
        </w:rPr>
        <w:t>Il diritto all’istruzione dei disabili fra discriminazione e tagli di bilancio.</w:t>
      </w:r>
      <w:r w:rsidR="00AB7AF9" w:rsidRPr="00391A67">
        <w:rPr>
          <w:i/>
          <w:iCs/>
        </w:rPr>
        <w:t xml:space="preserve"> </w:t>
      </w:r>
      <w:r w:rsidR="00AB7AF9" w:rsidRPr="00391A67">
        <w:rPr>
          <w:rFonts w:cs="Times New Roman"/>
          <w:i/>
          <w:iCs/>
          <w:spacing w:val="-1"/>
          <w:szCs w:val="19"/>
        </w:rPr>
        <w:t xml:space="preserve">Esiste un diritto alla </w:t>
      </w:r>
      <w:proofErr w:type="gramStart"/>
      <w:r w:rsidR="00AB7AF9" w:rsidRPr="00391A67">
        <w:rPr>
          <w:rFonts w:cs="Times New Roman"/>
          <w:i/>
          <w:iCs/>
          <w:spacing w:val="-1"/>
          <w:szCs w:val="19"/>
        </w:rPr>
        <w:t>differenza?</w:t>
      </w:r>
      <w:r w:rsidR="00AB7AF9">
        <w:rPr>
          <w:rFonts w:cs="Times New Roman"/>
          <w:spacing w:val="-1"/>
          <w:szCs w:val="19"/>
        </w:rPr>
        <w:t>,</w:t>
      </w:r>
      <w:proofErr w:type="gramEnd"/>
      <w:r w:rsidR="00AB7AF9">
        <w:rPr>
          <w:rFonts w:cs="Times New Roman"/>
          <w:spacing w:val="-1"/>
          <w:szCs w:val="19"/>
        </w:rPr>
        <w:t xml:space="preserve"> in </w:t>
      </w:r>
      <w:r w:rsidR="00AB7AF9" w:rsidRPr="00391A67">
        <w:rPr>
          <w:rFonts w:cs="Times New Roman"/>
          <w:i/>
          <w:iCs/>
          <w:spacing w:val="-1"/>
          <w:szCs w:val="19"/>
        </w:rPr>
        <w:t>Dir</w:t>
      </w:r>
      <w:r w:rsidR="00391A67">
        <w:rPr>
          <w:rFonts w:cs="Times New Roman"/>
          <w:i/>
          <w:iCs/>
          <w:spacing w:val="-1"/>
          <w:szCs w:val="19"/>
        </w:rPr>
        <w:t>.</w:t>
      </w:r>
      <w:r w:rsidR="00AB7AF9" w:rsidRPr="00391A67">
        <w:rPr>
          <w:rFonts w:cs="Times New Roman"/>
          <w:i/>
          <w:iCs/>
          <w:spacing w:val="-1"/>
          <w:szCs w:val="19"/>
        </w:rPr>
        <w:t xml:space="preserve"> </w:t>
      </w:r>
      <w:proofErr w:type="spellStart"/>
      <w:r w:rsidR="00AB7AF9" w:rsidRPr="00391A67">
        <w:rPr>
          <w:rFonts w:cs="Times New Roman"/>
          <w:i/>
          <w:iCs/>
          <w:spacing w:val="-1"/>
          <w:szCs w:val="19"/>
        </w:rPr>
        <w:t>fond</w:t>
      </w:r>
      <w:proofErr w:type="spellEnd"/>
      <w:r w:rsidR="00AB7AF9" w:rsidRPr="00391A67">
        <w:rPr>
          <w:rFonts w:cs="Times New Roman"/>
          <w:i/>
          <w:iCs/>
          <w:spacing w:val="-1"/>
          <w:szCs w:val="19"/>
        </w:rPr>
        <w:t>.</w:t>
      </w:r>
      <w:r w:rsidR="00AB7AF9">
        <w:rPr>
          <w:rFonts w:cs="Times New Roman"/>
          <w:spacing w:val="-1"/>
          <w:szCs w:val="19"/>
        </w:rPr>
        <w:t xml:space="preserve">, n. 2/2023, p. 714 ss.; </w:t>
      </w:r>
      <w:r w:rsidRPr="002C3D0D">
        <w:rPr>
          <w:rFonts w:cs="Times New Roman"/>
          <w:spacing w:val="-1"/>
          <w:szCs w:val="19"/>
        </w:rPr>
        <w:t>cfr. anche Corte cost</w:t>
      </w:r>
      <w:r w:rsidR="007F16E9" w:rsidRPr="002C3D0D">
        <w:rPr>
          <w:rFonts w:cs="Times New Roman"/>
          <w:spacing w:val="-1"/>
          <w:szCs w:val="19"/>
        </w:rPr>
        <w:t>.</w:t>
      </w:r>
      <w:r w:rsidRPr="002C3D0D">
        <w:rPr>
          <w:rFonts w:cs="Times New Roman"/>
          <w:spacing w:val="-1"/>
          <w:szCs w:val="19"/>
        </w:rPr>
        <w:t xml:space="preserve">, </w:t>
      </w:r>
      <w:proofErr w:type="spellStart"/>
      <w:r w:rsidRPr="002C3D0D">
        <w:rPr>
          <w:rFonts w:cs="Times New Roman"/>
          <w:spacing w:val="-1"/>
          <w:szCs w:val="19"/>
        </w:rPr>
        <w:t>sent</w:t>
      </w:r>
      <w:r w:rsidR="007F16E9" w:rsidRPr="002C3D0D">
        <w:rPr>
          <w:rFonts w:cs="Times New Roman"/>
          <w:spacing w:val="-1"/>
          <w:szCs w:val="19"/>
        </w:rPr>
        <w:t>t</w:t>
      </w:r>
      <w:proofErr w:type="spellEnd"/>
      <w:r w:rsidR="007F16E9" w:rsidRPr="002C3D0D">
        <w:rPr>
          <w:rFonts w:cs="Times New Roman"/>
          <w:spacing w:val="-1"/>
          <w:szCs w:val="19"/>
        </w:rPr>
        <w:t>.</w:t>
      </w:r>
      <w:r w:rsidR="0025167F" w:rsidRPr="002C3D0D">
        <w:rPr>
          <w:rFonts w:cs="Times New Roman"/>
          <w:spacing w:val="-1"/>
          <w:szCs w:val="19"/>
        </w:rPr>
        <w:t xml:space="preserve"> </w:t>
      </w:r>
      <w:r w:rsidRPr="002C3D0D">
        <w:rPr>
          <w:rFonts w:cs="Times New Roman"/>
          <w:spacing w:val="-1"/>
          <w:szCs w:val="19"/>
        </w:rPr>
        <w:t>n. 83</w:t>
      </w:r>
      <w:r w:rsidR="007F16E9" w:rsidRPr="002C3D0D">
        <w:rPr>
          <w:rFonts w:cs="Times New Roman"/>
          <w:spacing w:val="-1"/>
          <w:szCs w:val="19"/>
        </w:rPr>
        <w:t>/</w:t>
      </w:r>
      <w:r w:rsidRPr="002C3D0D">
        <w:rPr>
          <w:rFonts w:cs="Times New Roman"/>
          <w:spacing w:val="-1"/>
          <w:szCs w:val="19"/>
        </w:rPr>
        <w:t>2019 e n. 275</w:t>
      </w:r>
      <w:r w:rsidR="007F16E9" w:rsidRPr="002C3D0D">
        <w:rPr>
          <w:rFonts w:cs="Times New Roman"/>
          <w:spacing w:val="-1"/>
          <w:szCs w:val="19"/>
        </w:rPr>
        <w:t>/</w:t>
      </w:r>
      <w:r w:rsidRPr="002C3D0D">
        <w:rPr>
          <w:rFonts w:cs="Times New Roman"/>
          <w:spacing w:val="-1"/>
          <w:szCs w:val="19"/>
        </w:rPr>
        <w:t xml:space="preserve">2016; sul diritto all’istruzione dei disabili, Corte </w:t>
      </w:r>
      <w:r w:rsidR="007F16E9" w:rsidRPr="002C3D0D">
        <w:rPr>
          <w:rFonts w:cs="Times New Roman"/>
          <w:spacing w:val="-1"/>
          <w:szCs w:val="19"/>
        </w:rPr>
        <w:t>EDU</w:t>
      </w:r>
      <w:r w:rsidRPr="002C3D0D">
        <w:rPr>
          <w:rFonts w:cs="Times New Roman"/>
          <w:spacing w:val="-1"/>
          <w:szCs w:val="19"/>
        </w:rPr>
        <w:t xml:space="preserve">, </w:t>
      </w:r>
      <w:r w:rsidR="007F16E9" w:rsidRPr="002C3D0D">
        <w:rPr>
          <w:rFonts w:cs="Times New Roman"/>
          <w:spacing w:val="-1"/>
          <w:szCs w:val="19"/>
        </w:rPr>
        <w:t xml:space="preserve">sez. </w:t>
      </w:r>
      <w:r w:rsidRPr="002C3D0D">
        <w:rPr>
          <w:rFonts w:cs="Times New Roman"/>
          <w:spacing w:val="-1"/>
          <w:szCs w:val="19"/>
        </w:rPr>
        <w:t>I, 10 settembre 2020, ricorso n. 59751/15</w:t>
      </w:r>
      <w:r w:rsidR="0025167F" w:rsidRPr="002C3D0D">
        <w:rPr>
          <w:rFonts w:cs="Times New Roman"/>
          <w:spacing w:val="-1"/>
          <w:szCs w:val="19"/>
        </w:rPr>
        <w:t>,</w:t>
      </w:r>
      <w:r w:rsidRPr="002C3D0D">
        <w:rPr>
          <w:rFonts w:cs="Times New Roman"/>
          <w:spacing w:val="-1"/>
          <w:szCs w:val="19"/>
        </w:rPr>
        <w:t xml:space="preserve"> causa </w:t>
      </w:r>
      <w:r w:rsidRPr="002C3D0D">
        <w:rPr>
          <w:rFonts w:cs="Times New Roman"/>
          <w:i/>
          <w:iCs/>
          <w:spacing w:val="-1"/>
          <w:szCs w:val="19"/>
        </w:rPr>
        <w:t>G.L. contro Italia</w:t>
      </w:r>
      <w:r w:rsidRPr="002C3D0D">
        <w:rPr>
          <w:rFonts w:cs="Times New Roman"/>
          <w:spacing w:val="-1"/>
          <w:szCs w:val="19"/>
        </w:rPr>
        <w:t>.</w:t>
      </w:r>
    </w:p>
  </w:footnote>
  <w:footnote w:id="41">
    <w:p w14:paraId="429D3EAB" w14:textId="5C17A464"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Corte cost</w:t>
      </w:r>
      <w:r w:rsidR="007F16E9" w:rsidRPr="008B436B">
        <w:rPr>
          <w:rFonts w:cs="Times New Roman"/>
          <w:szCs w:val="19"/>
        </w:rPr>
        <w:t>.</w:t>
      </w:r>
      <w:r w:rsidRPr="008B436B">
        <w:rPr>
          <w:rFonts w:cs="Times New Roman"/>
          <w:szCs w:val="19"/>
        </w:rPr>
        <w:t xml:space="preserve">, </w:t>
      </w:r>
      <w:proofErr w:type="spellStart"/>
      <w:r w:rsidRPr="008B436B">
        <w:rPr>
          <w:rFonts w:cs="Times New Roman"/>
          <w:szCs w:val="19"/>
        </w:rPr>
        <w:t>sent</w:t>
      </w:r>
      <w:proofErr w:type="spellEnd"/>
      <w:r w:rsidR="007F16E9" w:rsidRPr="008B436B">
        <w:rPr>
          <w:rFonts w:cs="Times New Roman"/>
          <w:szCs w:val="19"/>
        </w:rPr>
        <w:t>.</w:t>
      </w:r>
      <w:r w:rsidRPr="008B436B">
        <w:rPr>
          <w:rFonts w:cs="Times New Roman"/>
          <w:szCs w:val="19"/>
        </w:rPr>
        <w:t xml:space="preserve"> n. 275 del 16 dicembre 2016, annotata da </w:t>
      </w:r>
      <w:r w:rsidRPr="008B436B">
        <w:rPr>
          <w:rFonts w:cs="Times New Roman"/>
          <w:smallCaps/>
          <w:szCs w:val="19"/>
        </w:rPr>
        <w:t xml:space="preserve">L. </w:t>
      </w:r>
      <w:proofErr w:type="spellStart"/>
      <w:r w:rsidRPr="008B436B">
        <w:rPr>
          <w:rFonts w:cs="Times New Roman"/>
          <w:smallCaps/>
          <w:szCs w:val="19"/>
        </w:rPr>
        <w:t>Carlassare</w:t>
      </w:r>
      <w:proofErr w:type="spellEnd"/>
      <w:r w:rsidRPr="008B436B">
        <w:rPr>
          <w:rFonts w:cs="Times New Roman"/>
          <w:szCs w:val="19"/>
        </w:rPr>
        <w:t xml:space="preserve">, </w:t>
      </w:r>
      <w:r w:rsidRPr="008B436B">
        <w:rPr>
          <w:rFonts w:cs="Times New Roman"/>
          <w:i/>
          <w:iCs/>
          <w:szCs w:val="19"/>
        </w:rPr>
        <w:t>Bilancio e diritti fondamentali: i limiti “invalicabili” alla discrezionalità del legislatore</w:t>
      </w:r>
      <w:r w:rsidRPr="008B436B">
        <w:rPr>
          <w:rFonts w:cs="Times New Roman"/>
          <w:szCs w:val="19"/>
        </w:rPr>
        <w:t xml:space="preserve">, e da </w:t>
      </w:r>
      <w:r w:rsidRPr="008B436B">
        <w:rPr>
          <w:rFonts w:cs="Times New Roman"/>
          <w:smallCaps/>
          <w:szCs w:val="19"/>
        </w:rPr>
        <w:t>A. Lucarelli</w:t>
      </w:r>
      <w:r w:rsidRPr="008B436B">
        <w:rPr>
          <w:rFonts w:cs="Times New Roman"/>
          <w:szCs w:val="19"/>
        </w:rPr>
        <w:t xml:space="preserve">, </w:t>
      </w:r>
      <w:r w:rsidRPr="008B436B">
        <w:rPr>
          <w:rFonts w:cs="Times New Roman"/>
          <w:i/>
          <w:iCs/>
          <w:szCs w:val="19"/>
        </w:rPr>
        <w:t>Il diritto all’istruzione del disabile: oltre i diritti finanziariamente condizionati</w:t>
      </w:r>
      <w:r w:rsidRPr="008B436B">
        <w:rPr>
          <w:rFonts w:cs="Times New Roman"/>
          <w:szCs w:val="19"/>
        </w:rPr>
        <w:t xml:space="preserve">, in </w:t>
      </w:r>
      <w:r w:rsidRPr="008B436B">
        <w:rPr>
          <w:rFonts w:cs="Times New Roman"/>
          <w:i/>
          <w:iCs/>
          <w:szCs w:val="19"/>
        </w:rPr>
        <w:t>Giur. cost.</w:t>
      </w:r>
      <w:r w:rsidRPr="008B436B">
        <w:rPr>
          <w:rFonts w:cs="Times New Roman"/>
          <w:szCs w:val="19"/>
        </w:rPr>
        <w:t>, n. 6</w:t>
      </w:r>
      <w:r w:rsidR="007F16E9" w:rsidRPr="008B436B">
        <w:rPr>
          <w:rFonts w:cs="Times New Roman"/>
          <w:szCs w:val="19"/>
        </w:rPr>
        <w:t>/2016</w:t>
      </w:r>
      <w:r w:rsidRPr="008B436B">
        <w:rPr>
          <w:rFonts w:cs="Times New Roman"/>
          <w:szCs w:val="19"/>
        </w:rPr>
        <w:t xml:space="preserve">, 2339 ss.; T.A.R. Valle d’Aosta, 14 gennaio 2019, n. 2, con nota di </w:t>
      </w:r>
      <w:r w:rsidRPr="008B436B">
        <w:rPr>
          <w:rFonts w:cs="Times New Roman"/>
          <w:smallCaps/>
          <w:szCs w:val="19"/>
        </w:rPr>
        <w:t>A. Candido</w:t>
      </w:r>
      <w:r w:rsidRPr="008B436B">
        <w:rPr>
          <w:rFonts w:cs="Times New Roman"/>
          <w:szCs w:val="19"/>
        </w:rPr>
        <w:t xml:space="preserve">, </w:t>
      </w:r>
      <w:r w:rsidRPr="008B436B">
        <w:rPr>
          <w:rFonts w:cs="Times New Roman"/>
          <w:i/>
          <w:iCs/>
          <w:szCs w:val="19"/>
        </w:rPr>
        <w:t>Quando il diritto diventa finanziariamente incondizionato. Il progetto di vita individuale per lo studente con disabilità grave</w:t>
      </w:r>
      <w:r w:rsidRPr="008B436B">
        <w:rPr>
          <w:rFonts w:cs="Times New Roman"/>
          <w:szCs w:val="19"/>
        </w:rPr>
        <w:t xml:space="preserve">, in </w:t>
      </w:r>
      <w:r w:rsidRPr="008B436B">
        <w:rPr>
          <w:rFonts w:cs="Times New Roman"/>
          <w:i/>
          <w:iCs/>
          <w:szCs w:val="19"/>
        </w:rPr>
        <w:t xml:space="preserve">Piemonte </w:t>
      </w:r>
      <w:proofErr w:type="spellStart"/>
      <w:r w:rsidRPr="008B436B">
        <w:rPr>
          <w:rFonts w:cs="Times New Roman"/>
          <w:i/>
          <w:iCs/>
          <w:szCs w:val="19"/>
        </w:rPr>
        <w:t>auton</w:t>
      </w:r>
      <w:proofErr w:type="spellEnd"/>
      <w:r w:rsidR="007F16E9" w:rsidRPr="008B436B">
        <w:rPr>
          <w:rFonts w:cs="Times New Roman"/>
          <w:i/>
          <w:iCs/>
          <w:szCs w:val="19"/>
        </w:rPr>
        <w:t>.</w:t>
      </w:r>
      <w:r w:rsidRPr="008B436B">
        <w:rPr>
          <w:rFonts w:cs="Times New Roman"/>
          <w:szCs w:val="19"/>
        </w:rPr>
        <w:t>, n. 1</w:t>
      </w:r>
      <w:r w:rsidR="007F16E9" w:rsidRPr="008B436B">
        <w:rPr>
          <w:rFonts w:cs="Times New Roman"/>
          <w:szCs w:val="19"/>
        </w:rPr>
        <w:t>/2019</w:t>
      </w:r>
      <w:r w:rsidRPr="008B436B">
        <w:rPr>
          <w:rFonts w:cs="Times New Roman"/>
          <w:szCs w:val="19"/>
        </w:rPr>
        <w:t xml:space="preserve">, </w:t>
      </w:r>
      <w:r w:rsidR="007F16E9" w:rsidRPr="008B436B">
        <w:rPr>
          <w:rFonts w:cs="Times New Roman"/>
          <w:szCs w:val="19"/>
        </w:rPr>
        <w:t xml:space="preserve">p. </w:t>
      </w:r>
      <w:r w:rsidRPr="008B436B">
        <w:rPr>
          <w:rFonts w:cs="Times New Roman"/>
          <w:szCs w:val="19"/>
        </w:rPr>
        <w:t>55 ss.</w:t>
      </w:r>
    </w:p>
  </w:footnote>
  <w:footnote w:id="42">
    <w:p w14:paraId="2579EEA7" w14:textId="54AE30ED"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Art. 20 del </w:t>
      </w:r>
      <w:r w:rsidR="007F16E9" w:rsidRPr="008B436B">
        <w:rPr>
          <w:rFonts w:cs="Times New Roman"/>
          <w:szCs w:val="19"/>
        </w:rPr>
        <w:t>d.lgs</w:t>
      </w:r>
      <w:r w:rsidRPr="008B436B">
        <w:rPr>
          <w:rFonts w:cs="Times New Roman"/>
          <w:szCs w:val="19"/>
        </w:rPr>
        <w:t>. n. 62</w:t>
      </w:r>
      <w:r w:rsidR="007F16E9" w:rsidRPr="008B436B">
        <w:rPr>
          <w:rFonts w:cs="Times New Roman"/>
          <w:szCs w:val="19"/>
        </w:rPr>
        <w:t>/</w:t>
      </w:r>
      <w:r w:rsidRPr="008B436B">
        <w:rPr>
          <w:rFonts w:cs="Times New Roman"/>
          <w:szCs w:val="19"/>
        </w:rPr>
        <w:t xml:space="preserve">2024; si impone alle Amministrazioni competenti di garantire al titolare del progetto appropriate soluzioni abitative e la domiciliarità delle cure e dei sostegni socio-assistenziali, </w:t>
      </w:r>
      <w:r w:rsidRPr="008B436B">
        <w:rPr>
          <w:rFonts w:cs="Times New Roman"/>
          <w:smallCaps/>
          <w:szCs w:val="19"/>
        </w:rPr>
        <w:t>R. Zamperini</w:t>
      </w:r>
      <w:r w:rsidRPr="008B436B">
        <w:rPr>
          <w:rFonts w:cs="Times New Roman"/>
          <w:szCs w:val="19"/>
        </w:rPr>
        <w:t xml:space="preserve">, </w:t>
      </w:r>
      <w:r w:rsidRPr="008B436B">
        <w:rPr>
          <w:rFonts w:cs="Times New Roman"/>
          <w:i/>
          <w:iCs/>
          <w:szCs w:val="19"/>
        </w:rPr>
        <w:t>Il decreto disabilità</w:t>
      </w:r>
      <w:r w:rsidRPr="008B436B">
        <w:rPr>
          <w:rFonts w:cs="Times New Roman"/>
          <w:szCs w:val="19"/>
        </w:rPr>
        <w:t xml:space="preserve">, cit., </w:t>
      </w:r>
      <w:r w:rsidR="007F16E9" w:rsidRPr="008B436B">
        <w:rPr>
          <w:rFonts w:cs="Times New Roman"/>
          <w:szCs w:val="19"/>
        </w:rPr>
        <w:t xml:space="preserve">p. </w:t>
      </w:r>
      <w:r w:rsidRPr="008B436B">
        <w:rPr>
          <w:rFonts w:cs="Times New Roman"/>
          <w:szCs w:val="19"/>
        </w:rPr>
        <w:t>2097.</w:t>
      </w:r>
    </w:p>
  </w:footnote>
  <w:footnote w:id="43">
    <w:p w14:paraId="51C54FEA" w14:textId="3997CC10"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Pur in presenza di una situazione di diritto soggettivo del disabile, la predisposizione del progetto di vita è espressione di un potere amministrativo, per </w:t>
      </w:r>
      <w:r w:rsidRPr="008B436B">
        <w:rPr>
          <w:rFonts w:cs="Times New Roman"/>
          <w:smallCaps/>
          <w:szCs w:val="19"/>
        </w:rPr>
        <w:t>F. Gaspari</w:t>
      </w:r>
      <w:r w:rsidRPr="008B436B">
        <w:rPr>
          <w:rFonts w:cs="Times New Roman"/>
          <w:szCs w:val="19"/>
        </w:rPr>
        <w:t xml:space="preserve">, </w:t>
      </w:r>
      <w:r w:rsidRPr="008B436B">
        <w:rPr>
          <w:rFonts w:cs="Times New Roman"/>
          <w:i/>
          <w:iCs/>
          <w:szCs w:val="19"/>
        </w:rPr>
        <w:t>Il riordino della normativa in materia di disabilità</w:t>
      </w:r>
      <w:r w:rsidRPr="008B436B">
        <w:rPr>
          <w:rFonts w:cs="Times New Roman"/>
          <w:szCs w:val="19"/>
        </w:rPr>
        <w:t xml:space="preserve">, cit., </w:t>
      </w:r>
      <w:r w:rsidR="007F16E9" w:rsidRPr="008B436B">
        <w:rPr>
          <w:rFonts w:cs="Times New Roman"/>
          <w:szCs w:val="19"/>
        </w:rPr>
        <w:t xml:space="preserve">p. </w:t>
      </w:r>
      <w:r w:rsidRPr="008B436B">
        <w:rPr>
          <w:rFonts w:cs="Times New Roman"/>
          <w:szCs w:val="19"/>
        </w:rPr>
        <w:t>86.</w:t>
      </w:r>
    </w:p>
  </w:footnote>
  <w:footnote w:id="44">
    <w:p w14:paraId="19979648" w14:textId="01455389" w:rsidR="00E92121" w:rsidRPr="008B436B" w:rsidRDefault="00E92121" w:rsidP="002C3D0D">
      <w:pPr>
        <w:pStyle w:val="Testonotaapidipagina"/>
        <w:widowControl w:val="0"/>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mallCaps/>
          <w:szCs w:val="19"/>
        </w:rPr>
        <w:t xml:space="preserve">M. </w:t>
      </w:r>
      <w:proofErr w:type="spellStart"/>
      <w:r w:rsidRPr="008B436B">
        <w:rPr>
          <w:rFonts w:cs="Times New Roman"/>
          <w:smallCaps/>
          <w:szCs w:val="19"/>
        </w:rPr>
        <w:t>Bombardelli</w:t>
      </w:r>
      <w:proofErr w:type="spellEnd"/>
      <w:r w:rsidRPr="008B436B">
        <w:rPr>
          <w:rFonts w:cs="Times New Roman"/>
          <w:szCs w:val="19"/>
        </w:rPr>
        <w:t xml:space="preserve">, </w:t>
      </w:r>
      <w:r w:rsidRPr="008B436B">
        <w:rPr>
          <w:rFonts w:cs="Times New Roman"/>
          <w:i/>
          <w:iCs/>
          <w:szCs w:val="19"/>
        </w:rPr>
        <w:t>Il progetto individuale per le persone disabili</w:t>
      </w:r>
      <w:r w:rsidRPr="008B436B">
        <w:rPr>
          <w:rFonts w:cs="Times New Roman"/>
          <w:szCs w:val="19"/>
        </w:rPr>
        <w:t xml:space="preserve">, cit., </w:t>
      </w:r>
      <w:r w:rsidR="0025167F" w:rsidRPr="008B436B">
        <w:rPr>
          <w:rFonts w:cs="Times New Roman"/>
          <w:szCs w:val="19"/>
        </w:rPr>
        <w:t xml:space="preserve">p. </w:t>
      </w:r>
      <w:r w:rsidRPr="008B436B">
        <w:rPr>
          <w:rFonts w:cs="Times New Roman"/>
          <w:szCs w:val="19"/>
        </w:rPr>
        <w:t xml:space="preserve">115; pongono l’accento sulla necessaria formazione dei soggetti che sono chiamati ad accertare situazioni di disabilità, </w:t>
      </w:r>
      <w:r w:rsidR="007F16E9" w:rsidRPr="008B436B">
        <w:rPr>
          <w:rFonts w:cs="Times New Roman"/>
          <w:smallCaps/>
          <w:szCs w:val="19"/>
        </w:rPr>
        <w:t>P. Ciamarra, A. Porzio, C. Tettamanti, G. Corbi, F. Gimigliano, A. Argo, C.P. Campobasso</w:t>
      </w:r>
      <w:r w:rsidR="007F16E9" w:rsidRPr="008B436B">
        <w:rPr>
          <w:rFonts w:cs="Times New Roman"/>
          <w:szCs w:val="19"/>
        </w:rPr>
        <w:t xml:space="preserve">, </w:t>
      </w:r>
      <w:r w:rsidR="007F16E9" w:rsidRPr="008B436B">
        <w:rPr>
          <w:rFonts w:cs="Times New Roman"/>
          <w:i/>
          <w:iCs/>
          <w:szCs w:val="19"/>
        </w:rPr>
        <w:t>Leggi delega in materia di disabilità</w:t>
      </w:r>
      <w:r w:rsidR="007F16E9" w:rsidRPr="008B436B">
        <w:rPr>
          <w:rFonts w:cs="Times New Roman"/>
          <w:szCs w:val="19"/>
        </w:rPr>
        <w:t xml:space="preserve">, cit., pp. </w:t>
      </w:r>
      <w:r w:rsidRPr="008B436B">
        <w:rPr>
          <w:rFonts w:cs="Times New Roman"/>
          <w:szCs w:val="19"/>
        </w:rPr>
        <w:t>393-394.</w:t>
      </w:r>
    </w:p>
  </w:footnote>
  <w:footnote w:id="45">
    <w:p w14:paraId="676D0C90" w14:textId="0F931195"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Non si tratta di un atto negoziale privatistico, né in un accordo procedimentale, né può essere ricondotto nella “</w:t>
      </w:r>
      <w:r w:rsidRPr="00391A67">
        <w:rPr>
          <w:rFonts w:cs="Times New Roman"/>
          <w:i/>
          <w:iCs/>
          <w:szCs w:val="19"/>
        </w:rPr>
        <w:t xml:space="preserve">concezione normativa e </w:t>
      </w:r>
      <w:proofErr w:type="spellStart"/>
      <w:r w:rsidRPr="00391A67">
        <w:rPr>
          <w:rFonts w:cs="Times New Roman"/>
          <w:i/>
          <w:iCs/>
          <w:szCs w:val="19"/>
        </w:rPr>
        <w:t>nomodinamica</w:t>
      </w:r>
      <w:proofErr w:type="spellEnd"/>
      <w:r w:rsidRPr="00391A67">
        <w:rPr>
          <w:rFonts w:cs="Times New Roman"/>
          <w:i/>
          <w:iCs/>
          <w:szCs w:val="19"/>
        </w:rPr>
        <w:t xml:space="preserve"> del procedimento amministrativo</w:t>
      </w:r>
      <w:r w:rsidRPr="008B436B">
        <w:rPr>
          <w:rFonts w:cs="Times New Roman"/>
          <w:szCs w:val="19"/>
        </w:rPr>
        <w:t xml:space="preserve">” per </w:t>
      </w:r>
      <w:r w:rsidRPr="008B436B">
        <w:rPr>
          <w:rFonts w:cs="Times New Roman"/>
          <w:smallCaps/>
          <w:szCs w:val="19"/>
        </w:rPr>
        <w:t>F. Gaspari</w:t>
      </w:r>
      <w:r w:rsidRPr="008B436B">
        <w:rPr>
          <w:rFonts w:cs="Times New Roman"/>
          <w:szCs w:val="19"/>
        </w:rPr>
        <w:t xml:space="preserve">, </w:t>
      </w:r>
      <w:r w:rsidRPr="008B436B">
        <w:rPr>
          <w:rFonts w:cs="Times New Roman"/>
          <w:i/>
          <w:iCs/>
          <w:szCs w:val="19"/>
        </w:rPr>
        <w:t>Il riordino della normativa in materia di disabilità</w:t>
      </w:r>
      <w:r w:rsidRPr="008B436B">
        <w:rPr>
          <w:rFonts w:cs="Times New Roman"/>
          <w:szCs w:val="19"/>
        </w:rPr>
        <w:t xml:space="preserve">, cit., </w:t>
      </w:r>
      <w:r w:rsidR="007F16E9" w:rsidRPr="008B436B">
        <w:rPr>
          <w:rFonts w:cs="Times New Roman"/>
          <w:szCs w:val="19"/>
        </w:rPr>
        <w:t xml:space="preserve">pp. </w:t>
      </w:r>
      <w:r w:rsidRPr="008B436B">
        <w:rPr>
          <w:rFonts w:cs="Times New Roman"/>
          <w:szCs w:val="19"/>
        </w:rPr>
        <w:t>91-92.</w:t>
      </w:r>
    </w:p>
  </w:footnote>
  <w:footnote w:id="46">
    <w:p w14:paraId="5D87EA4B" w14:textId="7F693F03"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Definisce il progetto di vita come “</w:t>
      </w:r>
      <w:r w:rsidRPr="00391A67">
        <w:rPr>
          <w:rFonts w:cs="Times New Roman"/>
          <w:i/>
          <w:iCs/>
          <w:szCs w:val="19"/>
        </w:rPr>
        <w:t>atto complesso di tipo diseguale</w:t>
      </w:r>
      <w:r w:rsidRPr="008B436B">
        <w:rPr>
          <w:rFonts w:cs="Times New Roman"/>
          <w:szCs w:val="19"/>
        </w:rPr>
        <w:t xml:space="preserve">”, </w:t>
      </w:r>
      <w:r w:rsidRPr="008B436B">
        <w:rPr>
          <w:rFonts w:cs="Times New Roman"/>
          <w:smallCaps/>
          <w:szCs w:val="19"/>
        </w:rPr>
        <w:t>F. Gaspari</w:t>
      </w:r>
      <w:r w:rsidRPr="008B436B">
        <w:rPr>
          <w:rFonts w:cs="Times New Roman"/>
          <w:szCs w:val="19"/>
        </w:rPr>
        <w:t xml:space="preserve">, </w:t>
      </w:r>
      <w:r w:rsidRPr="008B436B">
        <w:rPr>
          <w:rFonts w:cs="Times New Roman"/>
          <w:i/>
          <w:iCs/>
          <w:szCs w:val="19"/>
        </w:rPr>
        <w:t>Il riordino della normativa in materia di disabilità</w:t>
      </w:r>
      <w:r w:rsidRPr="008B436B">
        <w:rPr>
          <w:rFonts w:cs="Times New Roman"/>
          <w:szCs w:val="19"/>
        </w:rPr>
        <w:t xml:space="preserve">, cit., </w:t>
      </w:r>
      <w:r w:rsidR="007F16E9" w:rsidRPr="008B436B">
        <w:rPr>
          <w:rFonts w:cs="Times New Roman"/>
          <w:szCs w:val="19"/>
        </w:rPr>
        <w:t xml:space="preserve">p. </w:t>
      </w:r>
      <w:r w:rsidRPr="008B436B">
        <w:rPr>
          <w:rFonts w:cs="Times New Roman"/>
          <w:szCs w:val="19"/>
        </w:rPr>
        <w:t xml:space="preserve">96; in giurisprudenza, qualificano il progetto individuale tra gli atti complessi esterni e diseguali, T.A.R. Calabria, Catanzaro, </w:t>
      </w:r>
      <w:r w:rsidR="007F16E9" w:rsidRPr="008B436B">
        <w:rPr>
          <w:rFonts w:cs="Times New Roman"/>
          <w:szCs w:val="19"/>
        </w:rPr>
        <w:t xml:space="preserve">sez. </w:t>
      </w:r>
      <w:r w:rsidRPr="008B436B">
        <w:rPr>
          <w:rFonts w:cs="Times New Roman"/>
          <w:szCs w:val="19"/>
        </w:rPr>
        <w:t xml:space="preserve">I, 27 marzo 2025, n. 593; T.A.R. Sicilia, Palermo, </w:t>
      </w:r>
      <w:r w:rsidR="007F16E9" w:rsidRPr="008B436B">
        <w:rPr>
          <w:rFonts w:cs="Times New Roman"/>
          <w:szCs w:val="19"/>
        </w:rPr>
        <w:t xml:space="preserve">sez. </w:t>
      </w:r>
      <w:r w:rsidRPr="008B436B">
        <w:rPr>
          <w:rFonts w:cs="Times New Roman"/>
          <w:szCs w:val="19"/>
        </w:rPr>
        <w:t xml:space="preserve">III, 19 marzo 2025, n. 609; T.A.R. Lazio, Roma, </w:t>
      </w:r>
      <w:r w:rsidR="007F16E9" w:rsidRPr="008B436B">
        <w:rPr>
          <w:rFonts w:cs="Times New Roman"/>
          <w:szCs w:val="19"/>
        </w:rPr>
        <w:t xml:space="preserve">sez. </w:t>
      </w:r>
      <w:r w:rsidRPr="008B436B">
        <w:rPr>
          <w:rFonts w:cs="Times New Roman"/>
          <w:szCs w:val="19"/>
        </w:rPr>
        <w:t>II, 1° ottobre 2024, n. 17013.</w:t>
      </w:r>
    </w:p>
  </w:footnote>
  <w:footnote w:id="47">
    <w:p w14:paraId="4234345C" w14:textId="03A362E2" w:rsidR="00E92121" w:rsidRPr="002C3D0D" w:rsidRDefault="00E92121" w:rsidP="00E92121">
      <w:pPr>
        <w:pStyle w:val="Testonotaapidipagina"/>
        <w:rPr>
          <w:rFonts w:cs="Times New Roman"/>
          <w:spacing w:val="2"/>
          <w:szCs w:val="19"/>
        </w:rPr>
      </w:pPr>
      <w:r w:rsidRPr="008B436B">
        <w:rPr>
          <w:rStyle w:val="Rimandonotaapidipagina"/>
          <w:rFonts w:cs="Times New Roman"/>
          <w:szCs w:val="19"/>
        </w:rPr>
        <w:footnoteRef/>
      </w:r>
      <w:r w:rsidRPr="008B436B">
        <w:rPr>
          <w:rFonts w:cs="Times New Roman"/>
          <w:szCs w:val="19"/>
          <w:vertAlign w:val="superscript"/>
        </w:rPr>
        <w:t> </w:t>
      </w:r>
      <w:r w:rsidRPr="002C3D0D">
        <w:rPr>
          <w:rFonts w:cs="Times New Roman"/>
          <w:spacing w:val="2"/>
          <w:szCs w:val="19"/>
        </w:rPr>
        <w:t xml:space="preserve">In argomento, </w:t>
      </w:r>
      <w:r w:rsidRPr="002C3D0D">
        <w:rPr>
          <w:rFonts w:cs="Times New Roman"/>
          <w:smallCaps/>
          <w:spacing w:val="2"/>
          <w:szCs w:val="19"/>
        </w:rPr>
        <w:t>F. Gaspari</w:t>
      </w:r>
      <w:r w:rsidRPr="002C3D0D">
        <w:rPr>
          <w:rFonts w:cs="Times New Roman"/>
          <w:spacing w:val="2"/>
          <w:szCs w:val="19"/>
        </w:rPr>
        <w:t xml:space="preserve">, </w:t>
      </w:r>
      <w:r w:rsidRPr="002C3D0D">
        <w:rPr>
          <w:rFonts w:cs="Times New Roman"/>
          <w:i/>
          <w:iCs/>
          <w:spacing w:val="2"/>
          <w:szCs w:val="19"/>
        </w:rPr>
        <w:t>Il riordino della normativa in materia di disabilità</w:t>
      </w:r>
      <w:r w:rsidRPr="002C3D0D">
        <w:rPr>
          <w:rFonts w:cs="Times New Roman"/>
          <w:spacing w:val="2"/>
          <w:szCs w:val="19"/>
        </w:rPr>
        <w:t xml:space="preserve">, cit., </w:t>
      </w:r>
      <w:r w:rsidR="007F16E9" w:rsidRPr="002C3D0D">
        <w:rPr>
          <w:rFonts w:cs="Times New Roman"/>
          <w:spacing w:val="2"/>
          <w:szCs w:val="19"/>
        </w:rPr>
        <w:t xml:space="preserve">p. </w:t>
      </w:r>
      <w:r w:rsidRPr="002C3D0D">
        <w:rPr>
          <w:rFonts w:cs="Times New Roman"/>
          <w:spacing w:val="2"/>
          <w:szCs w:val="19"/>
        </w:rPr>
        <w:t>96 ss.</w:t>
      </w:r>
    </w:p>
  </w:footnote>
  <w:footnote w:id="48">
    <w:p w14:paraId="67C98396" w14:textId="2E153744"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Art. 29 del </w:t>
      </w:r>
      <w:r w:rsidR="007F16E9" w:rsidRPr="008B436B">
        <w:rPr>
          <w:rFonts w:cs="Times New Roman"/>
          <w:szCs w:val="19"/>
        </w:rPr>
        <w:t>d.lgs</w:t>
      </w:r>
      <w:r w:rsidRPr="008B436B">
        <w:rPr>
          <w:rFonts w:cs="Times New Roman"/>
          <w:szCs w:val="19"/>
        </w:rPr>
        <w:t>. n. 62</w:t>
      </w:r>
      <w:r w:rsidR="007F16E9" w:rsidRPr="008B436B">
        <w:rPr>
          <w:rFonts w:cs="Times New Roman"/>
          <w:szCs w:val="19"/>
        </w:rPr>
        <w:t>/</w:t>
      </w:r>
      <w:r w:rsidRPr="008B436B">
        <w:rPr>
          <w:rFonts w:cs="Times New Roman"/>
          <w:szCs w:val="19"/>
        </w:rPr>
        <w:t xml:space="preserve">2024; </w:t>
      </w:r>
      <w:r w:rsidRPr="008B436B">
        <w:rPr>
          <w:rFonts w:cs="Times New Roman"/>
          <w:smallCaps/>
          <w:szCs w:val="19"/>
        </w:rPr>
        <w:t>F. Gaspari</w:t>
      </w:r>
      <w:r w:rsidRPr="008B436B">
        <w:rPr>
          <w:rFonts w:cs="Times New Roman"/>
          <w:szCs w:val="19"/>
        </w:rPr>
        <w:t xml:space="preserve">, </w:t>
      </w:r>
      <w:r w:rsidRPr="008B436B">
        <w:rPr>
          <w:rFonts w:cs="Times New Roman"/>
          <w:i/>
          <w:iCs/>
          <w:szCs w:val="19"/>
        </w:rPr>
        <w:t>Il riordino della normativa in materia di disabilità</w:t>
      </w:r>
      <w:r w:rsidRPr="008B436B">
        <w:rPr>
          <w:rFonts w:cs="Times New Roman"/>
          <w:szCs w:val="19"/>
        </w:rPr>
        <w:t xml:space="preserve">, cit., </w:t>
      </w:r>
      <w:r w:rsidR="007F16E9" w:rsidRPr="008B436B">
        <w:rPr>
          <w:rFonts w:cs="Times New Roman"/>
          <w:szCs w:val="19"/>
        </w:rPr>
        <w:t xml:space="preserve">p. </w:t>
      </w:r>
      <w:r w:rsidRPr="008B436B">
        <w:rPr>
          <w:rFonts w:cs="Times New Roman"/>
          <w:szCs w:val="19"/>
        </w:rPr>
        <w:t>84.</w:t>
      </w:r>
    </w:p>
  </w:footnote>
  <w:footnote w:id="49">
    <w:p w14:paraId="38CA0D59" w14:textId="60FEF884" w:rsidR="00E92121" w:rsidRPr="008B436B" w:rsidRDefault="00E92121" w:rsidP="00391A67">
      <w:pPr>
        <w:pStyle w:val="Testonotaapidipagina"/>
        <w:widowControl w:val="0"/>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Segnala elementi di carenza e di indeterminatezza del </w:t>
      </w:r>
      <w:r w:rsidR="007F16E9" w:rsidRPr="008B436B">
        <w:rPr>
          <w:rFonts w:cs="Times New Roman"/>
          <w:szCs w:val="19"/>
        </w:rPr>
        <w:t>d.lgs</w:t>
      </w:r>
      <w:r w:rsidRPr="008B436B">
        <w:rPr>
          <w:rFonts w:cs="Times New Roman"/>
          <w:szCs w:val="19"/>
        </w:rPr>
        <w:t>. n. 62</w:t>
      </w:r>
      <w:r w:rsidR="007F16E9" w:rsidRPr="008B436B">
        <w:rPr>
          <w:rFonts w:cs="Times New Roman"/>
          <w:szCs w:val="19"/>
        </w:rPr>
        <w:t>/</w:t>
      </w:r>
      <w:r w:rsidRPr="008B436B">
        <w:rPr>
          <w:rFonts w:cs="Times New Roman"/>
          <w:szCs w:val="19"/>
        </w:rPr>
        <w:t xml:space="preserve">2024, sotto questo profilo, </w:t>
      </w:r>
      <w:r w:rsidRPr="008B436B">
        <w:rPr>
          <w:rFonts w:cs="Times New Roman"/>
          <w:smallCaps/>
          <w:szCs w:val="19"/>
        </w:rPr>
        <w:t>F. Gaspari</w:t>
      </w:r>
      <w:r w:rsidRPr="008B436B">
        <w:rPr>
          <w:rFonts w:cs="Times New Roman"/>
          <w:szCs w:val="19"/>
        </w:rPr>
        <w:t xml:space="preserve">, </w:t>
      </w:r>
      <w:r w:rsidRPr="008B436B">
        <w:rPr>
          <w:rFonts w:cs="Times New Roman"/>
          <w:i/>
          <w:iCs/>
          <w:szCs w:val="19"/>
        </w:rPr>
        <w:t>Il riordino della normativa in materia di disabilità</w:t>
      </w:r>
      <w:r w:rsidRPr="008B436B">
        <w:rPr>
          <w:rFonts w:cs="Times New Roman"/>
          <w:szCs w:val="19"/>
        </w:rPr>
        <w:t xml:space="preserve">, cit., </w:t>
      </w:r>
      <w:r w:rsidR="007F16E9" w:rsidRPr="008B436B">
        <w:rPr>
          <w:rFonts w:cs="Times New Roman"/>
          <w:szCs w:val="19"/>
        </w:rPr>
        <w:t xml:space="preserve">p. </w:t>
      </w:r>
      <w:r w:rsidRPr="008B436B">
        <w:rPr>
          <w:rFonts w:cs="Times New Roman"/>
          <w:szCs w:val="19"/>
        </w:rPr>
        <w:t>99 ss.</w:t>
      </w:r>
      <w:r w:rsidR="00A51245">
        <w:rPr>
          <w:rFonts w:cs="Times New Roman"/>
          <w:szCs w:val="19"/>
        </w:rPr>
        <w:t xml:space="preserve">; sull’individuazione delle risorse, seppure riferite all’assistenza scolastica ai disabili, cfr. </w:t>
      </w:r>
      <w:r w:rsidR="00A51245" w:rsidRPr="00391A67">
        <w:rPr>
          <w:rFonts w:cs="Times New Roman"/>
          <w:smallCaps/>
          <w:szCs w:val="19"/>
        </w:rPr>
        <w:t xml:space="preserve">A. </w:t>
      </w:r>
      <w:proofErr w:type="spellStart"/>
      <w:r w:rsidR="00A51245" w:rsidRPr="00391A67">
        <w:rPr>
          <w:rFonts w:cs="Times New Roman"/>
          <w:smallCaps/>
          <w:szCs w:val="19"/>
        </w:rPr>
        <w:t>Fonzi</w:t>
      </w:r>
      <w:proofErr w:type="spellEnd"/>
      <w:r w:rsidR="00A51245" w:rsidRPr="00A51245">
        <w:rPr>
          <w:rFonts w:cs="Times New Roman"/>
          <w:szCs w:val="19"/>
        </w:rPr>
        <w:t xml:space="preserve">, </w:t>
      </w:r>
      <w:r w:rsidR="00A51245" w:rsidRPr="00391A67">
        <w:rPr>
          <w:rFonts w:cs="Times New Roman"/>
          <w:i/>
          <w:iCs/>
          <w:szCs w:val="19"/>
        </w:rPr>
        <w:t>Il diritto all’istruzione dei disabili</w:t>
      </w:r>
      <w:r w:rsidR="00A51245" w:rsidRPr="00A51245">
        <w:rPr>
          <w:rFonts w:cs="Times New Roman"/>
          <w:szCs w:val="19"/>
        </w:rPr>
        <w:t>,</w:t>
      </w:r>
      <w:r w:rsidR="00A51245">
        <w:rPr>
          <w:rFonts w:cs="Times New Roman"/>
          <w:szCs w:val="19"/>
        </w:rPr>
        <w:t xml:space="preserve"> cit.,</w:t>
      </w:r>
      <w:r w:rsidR="00A51245" w:rsidRPr="00A51245">
        <w:rPr>
          <w:rFonts w:cs="Times New Roman"/>
          <w:szCs w:val="19"/>
        </w:rPr>
        <w:t xml:space="preserve"> p. 71</w:t>
      </w:r>
      <w:r w:rsidR="00A51245">
        <w:rPr>
          <w:rFonts w:cs="Times New Roman"/>
          <w:szCs w:val="19"/>
        </w:rPr>
        <w:t>9</w:t>
      </w:r>
      <w:r w:rsidR="00A51245" w:rsidRPr="00A51245">
        <w:rPr>
          <w:rFonts w:cs="Times New Roman"/>
          <w:szCs w:val="19"/>
        </w:rPr>
        <w:t xml:space="preserve"> ss.</w:t>
      </w:r>
    </w:p>
  </w:footnote>
  <w:footnote w:id="50">
    <w:p w14:paraId="3A6EF2D6" w14:textId="6365CD20"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Sul punto appare di grande rilievo Corte cost</w:t>
      </w:r>
      <w:r w:rsidR="007F16E9" w:rsidRPr="008B436B">
        <w:rPr>
          <w:rFonts w:cs="Times New Roman"/>
          <w:szCs w:val="19"/>
        </w:rPr>
        <w:t>.</w:t>
      </w:r>
      <w:r w:rsidRPr="008B436B">
        <w:rPr>
          <w:rFonts w:cs="Times New Roman"/>
          <w:szCs w:val="19"/>
        </w:rPr>
        <w:t xml:space="preserve">, </w:t>
      </w:r>
      <w:proofErr w:type="spellStart"/>
      <w:r w:rsidRPr="008B436B">
        <w:rPr>
          <w:rFonts w:cs="Times New Roman"/>
          <w:szCs w:val="19"/>
        </w:rPr>
        <w:t>sent</w:t>
      </w:r>
      <w:proofErr w:type="spellEnd"/>
      <w:r w:rsidR="007F16E9" w:rsidRPr="008B436B">
        <w:rPr>
          <w:rFonts w:cs="Times New Roman"/>
          <w:szCs w:val="19"/>
        </w:rPr>
        <w:t>.</w:t>
      </w:r>
      <w:r w:rsidRPr="008B436B">
        <w:rPr>
          <w:rFonts w:cs="Times New Roman"/>
          <w:szCs w:val="19"/>
        </w:rPr>
        <w:t xml:space="preserve"> n. 195</w:t>
      </w:r>
      <w:r w:rsidR="007F16E9" w:rsidRPr="008B436B">
        <w:rPr>
          <w:rFonts w:cs="Times New Roman"/>
          <w:szCs w:val="19"/>
        </w:rPr>
        <w:t>/</w:t>
      </w:r>
      <w:r w:rsidRPr="008B436B">
        <w:rPr>
          <w:rFonts w:cs="Times New Roman"/>
          <w:szCs w:val="19"/>
        </w:rPr>
        <w:t xml:space="preserve">2024, che ha evidenziato come in un contesto in cui vi è scarsità di risorse pubbliche devono essere ridotte prioritariamente le spese non essenziali, anziché sacrificare le risorse </w:t>
      </w:r>
      <w:r w:rsidR="00360E0E">
        <w:rPr>
          <w:rFonts w:cs="Times New Roman"/>
          <w:szCs w:val="19"/>
        </w:rPr>
        <w:t xml:space="preserve">poste </w:t>
      </w:r>
      <w:r w:rsidRPr="008B436B">
        <w:rPr>
          <w:rFonts w:cs="Times New Roman"/>
          <w:szCs w:val="19"/>
        </w:rPr>
        <w:t xml:space="preserve">a garanzia </w:t>
      </w:r>
      <w:r w:rsidR="00360E0E">
        <w:rPr>
          <w:rFonts w:cs="Times New Roman"/>
          <w:szCs w:val="19"/>
        </w:rPr>
        <w:t xml:space="preserve">dell’esercizio </w:t>
      </w:r>
      <w:r w:rsidRPr="008B436B">
        <w:rPr>
          <w:rFonts w:cs="Times New Roman"/>
          <w:szCs w:val="19"/>
        </w:rPr>
        <w:t>dei diritti fondamentali.</w:t>
      </w:r>
    </w:p>
  </w:footnote>
  <w:footnote w:id="51">
    <w:p w14:paraId="7E5E7850" w14:textId="0F44D54F"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In generale, sull’accomodamento ragionevole in materia di disabilità, </w:t>
      </w:r>
      <w:r w:rsidRPr="008B436B">
        <w:rPr>
          <w:rFonts w:cs="Times New Roman"/>
          <w:smallCaps/>
          <w:szCs w:val="19"/>
        </w:rPr>
        <w:t>R. Belli</w:t>
      </w:r>
      <w:r w:rsidRPr="008B436B">
        <w:rPr>
          <w:rFonts w:cs="Times New Roman"/>
          <w:szCs w:val="19"/>
        </w:rPr>
        <w:t xml:space="preserve">, </w:t>
      </w:r>
      <w:r w:rsidRPr="008B436B">
        <w:rPr>
          <w:rFonts w:cs="Times New Roman"/>
          <w:i/>
          <w:iCs/>
          <w:szCs w:val="19"/>
        </w:rPr>
        <w:t>Alcune note sulla Legge delega n. 227 del 2021 che discrimina le persone disabili (parte I)</w:t>
      </w:r>
      <w:r w:rsidRPr="008B436B">
        <w:rPr>
          <w:rFonts w:cs="Times New Roman"/>
          <w:szCs w:val="19"/>
        </w:rPr>
        <w:t xml:space="preserve">, in </w:t>
      </w:r>
      <w:proofErr w:type="spellStart"/>
      <w:r w:rsidRPr="008B436B">
        <w:rPr>
          <w:rFonts w:cs="Times New Roman"/>
          <w:i/>
          <w:iCs/>
          <w:szCs w:val="19"/>
        </w:rPr>
        <w:t>Giust</w:t>
      </w:r>
      <w:proofErr w:type="spellEnd"/>
      <w:r w:rsidR="007F16E9" w:rsidRPr="008B436B">
        <w:rPr>
          <w:rFonts w:cs="Times New Roman"/>
          <w:i/>
          <w:iCs/>
          <w:szCs w:val="19"/>
        </w:rPr>
        <w:t>.</w:t>
      </w:r>
      <w:r w:rsidRPr="008B436B">
        <w:rPr>
          <w:rFonts w:cs="Times New Roman"/>
          <w:i/>
          <w:iCs/>
          <w:szCs w:val="19"/>
        </w:rPr>
        <w:t xml:space="preserve"> </w:t>
      </w:r>
      <w:proofErr w:type="spellStart"/>
      <w:r w:rsidRPr="008B436B">
        <w:rPr>
          <w:rFonts w:cs="Times New Roman"/>
          <w:i/>
          <w:iCs/>
          <w:szCs w:val="19"/>
        </w:rPr>
        <w:t>ins</w:t>
      </w:r>
      <w:proofErr w:type="spellEnd"/>
      <w:r w:rsidR="007F16E9" w:rsidRPr="008B436B">
        <w:rPr>
          <w:rFonts w:cs="Times New Roman"/>
          <w:i/>
          <w:iCs/>
          <w:szCs w:val="19"/>
        </w:rPr>
        <w:t>.</w:t>
      </w:r>
      <w:r w:rsidRPr="008B436B">
        <w:rPr>
          <w:rFonts w:cs="Times New Roman"/>
          <w:szCs w:val="19"/>
        </w:rPr>
        <w:t>, 23 novembre 2023.</w:t>
      </w:r>
    </w:p>
  </w:footnote>
  <w:footnote w:id="52">
    <w:p w14:paraId="093A939F" w14:textId="3A6E31CD"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L’istituto in realtà era già presente nell’ordinamento italiano, poiché la Direttiva 2000/</w:t>
      </w:r>
      <w:r w:rsidR="00391A67">
        <w:rPr>
          <w:rFonts w:cs="Times New Roman"/>
          <w:szCs w:val="19"/>
        </w:rPr>
        <w:br/>
      </w:r>
      <w:r w:rsidRPr="008B436B">
        <w:rPr>
          <w:rFonts w:cs="Times New Roman"/>
          <w:szCs w:val="19"/>
        </w:rPr>
        <w:t xml:space="preserve">78/CE, già imponeva l’obbligo di garantire gli accomodamenti ragionevoli nel diritto del lavoro, come affermato da Corte </w:t>
      </w:r>
      <w:proofErr w:type="spellStart"/>
      <w:r w:rsidRPr="008B436B">
        <w:rPr>
          <w:rFonts w:cs="Times New Roman"/>
          <w:szCs w:val="19"/>
        </w:rPr>
        <w:t>giust</w:t>
      </w:r>
      <w:proofErr w:type="spellEnd"/>
      <w:r w:rsidR="005C0AB1">
        <w:rPr>
          <w:rFonts w:cs="Times New Roman"/>
          <w:szCs w:val="19"/>
        </w:rPr>
        <w:t>.</w:t>
      </w:r>
      <w:r w:rsidRPr="008B436B">
        <w:rPr>
          <w:rFonts w:cs="Times New Roman"/>
          <w:szCs w:val="19"/>
        </w:rPr>
        <w:t xml:space="preserve"> UE, 4 luglio 2013, causa C-312/11: </w:t>
      </w:r>
      <w:r w:rsidRPr="008B436B">
        <w:rPr>
          <w:rFonts w:cs="Times New Roman"/>
          <w:smallCaps/>
          <w:szCs w:val="19"/>
        </w:rPr>
        <w:t>R. Zamperini</w:t>
      </w:r>
      <w:r w:rsidRPr="008B436B">
        <w:rPr>
          <w:rFonts w:cs="Times New Roman"/>
          <w:szCs w:val="19"/>
        </w:rPr>
        <w:t xml:space="preserve">, </w:t>
      </w:r>
      <w:r w:rsidRPr="008B436B">
        <w:rPr>
          <w:rFonts w:cs="Times New Roman"/>
          <w:i/>
          <w:iCs/>
          <w:szCs w:val="19"/>
        </w:rPr>
        <w:t>Il decreto disabilità</w:t>
      </w:r>
      <w:r w:rsidRPr="008B436B">
        <w:rPr>
          <w:rFonts w:cs="Times New Roman"/>
          <w:szCs w:val="19"/>
        </w:rPr>
        <w:t xml:space="preserve">, cit., </w:t>
      </w:r>
      <w:r w:rsidR="007F16E9" w:rsidRPr="008B436B">
        <w:rPr>
          <w:rFonts w:cs="Times New Roman"/>
          <w:szCs w:val="19"/>
        </w:rPr>
        <w:t xml:space="preserve">p. </w:t>
      </w:r>
      <w:r w:rsidRPr="008B436B">
        <w:rPr>
          <w:rFonts w:cs="Times New Roman"/>
          <w:szCs w:val="19"/>
        </w:rPr>
        <w:t xml:space="preserve">2093; sul diritto del lavoratore disabile a beneficare del lavoro agile (smart working), Cass., </w:t>
      </w:r>
      <w:r w:rsidR="007F16E9" w:rsidRPr="008B436B">
        <w:rPr>
          <w:rFonts w:cs="Times New Roman"/>
          <w:szCs w:val="19"/>
        </w:rPr>
        <w:t>s</w:t>
      </w:r>
      <w:r w:rsidRPr="008B436B">
        <w:rPr>
          <w:rFonts w:cs="Times New Roman"/>
          <w:szCs w:val="19"/>
        </w:rPr>
        <w:t xml:space="preserve">ez. </w:t>
      </w:r>
      <w:r w:rsidR="007F16E9" w:rsidRPr="008B436B">
        <w:rPr>
          <w:rFonts w:cs="Times New Roman"/>
          <w:szCs w:val="19"/>
        </w:rPr>
        <w:t>lav.</w:t>
      </w:r>
      <w:r w:rsidRPr="008B436B">
        <w:rPr>
          <w:rFonts w:cs="Times New Roman"/>
          <w:szCs w:val="19"/>
        </w:rPr>
        <w:t xml:space="preserve">, 10 gennaio 2025, n. 605; sulla riassegnazione a un altro posto di lavoro del lavoratore divenuto disabile ove ciò sia possibile e non determini un onere sproporzionato per il datore di lavoro, Corte </w:t>
      </w:r>
      <w:proofErr w:type="spellStart"/>
      <w:r w:rsidR="007F16E9" w:rsidRPr="008B436B">
        <w:rPr>
          <w:rFonts w:cs="Times New Roman"/>
          <w:szCs w:val="19"/>
        </w:rPr>
        <w:t>giust</w:t>
      </w:r>
      <w:proofErr w:type="spellEnd"/>
      <w:r w:rsidR="007F16E9" w:rsidRPr="008B436B">
        <w:rPr>
          <w:rFonts w:cs="Times New Roman"/>
          <w:szCs w:val="19"/>
        </w:rPr>
        <w:t>. UE</w:t>
      </w:r>
      <w:r w:rsidRPr="008B436B">
        <w:rPr>
          <w:rFonts w:cs="Times New Roman"/>
          <w:szCs w:val="19"/>
        </w:rPr>
        <w:t xml:space="preserve">, </w:t>
      </w:r>
      <w:r w:rsidR="007F16E9" w:rsidRPr="008B436B">
        <w:rPr>
          <w:rFonts w:cs="Times New Roman"/>
          <w:szCs w:val="19"/>
        </w:rPr>
        <w:t xml:space="preserve">sez. </w:t>
      </w:r>
      <w:r w:rsidRPr="008B436B">
        <w:rPr>
          <w:rFonts w:cs="Times New Roman"/>
          <w:szCs w:val="19"/>
        </w:rPr>
        <w:t xml:space="preserve">I, 18 gennaio 2024, C-631/22; </w:t>
      </w:r>
      <w:r w:rsidR="00461FB5">
        <w:rPr>
          <w:rFonts w:cs="Times New Roman"/>
          <w:szCs w:val="19"/>
        </w:rPr>
        <w:t xml:space="preserve">Id., </w:t>
      </w:r>
      <w:r w:rsidR="007F16E9" w:rsidRPr="008B436B">
        <w:rPr>
          <w:rFonts w:cs="Times New Roman"/>
          <w:szCs w:val="19"/>
        </w:rPr>
        <w:t>sez.</w:t>
      </w:r>
      <w:r w:rsidRPr="008B436B">
        <w:rPr>
          <w:rFonts w:cs="Times New Roman"/>
          <w:szCs w:val="19"/>
        </w:rPr>
        <w:t xml:space="preserve"> III, 10 febbraio 2022, C-485/20.</w:t>
      </w:r>
    </w:p>
  </w:footnote>
  <w:footnote w:id="53">
    <w:p w14:paraId="273DE64C" w14:textId="17B8B635" w:rsidR="00E92121" w:rsidRPr="00391A67" w:rsidRDefault="00E92121" w:rsidP="00391A67">
      <w:pPr>
        <w:pStyle w:val="Testonotaapidipagina"/>
        <w:spacing w:line="224" w:lineRule="exact"/>
        <w:rPr>
          <w:rFonts w:cs="Times New Roman"/>
          <w:spacing w:val="2"/>
          <w:szCs w:val="19"/>
        </w:rPr>
      </w:pPr>
      <w:r w:rsidRPr="00391A67">
        <w:rPr>
          <w:rStyle w:val="Rimandonotaapidipagina"/>
          <w:rFonts w:cs="Times New Roman"/>
          <w:spacing w:val="2"/>
          <w:szCs w:val="19"/>
        </w:rPr>
        <w:footnoteRef/>
      </w:r>
      <w:r w:rsidRPr="00391A67">
        <w:rPr>
          <w:rFonts w:cs="Times New Roman"/>
          <w:spacing w:val="2"/>
          <w:szCs w:val="19"/>
          <w:vertAlign w:val="superscript"/>
        </w:rPr>
        <w:t> </w:t>
      </w:r>
      <w:r w:rsidRPr="00391A67">
        <w:rPr>
          <w:rFonts w:cs="Times New Roman"/>
          <w:spacing w:val="2"/>
          <w:szCs w:val="19"/>
        </w:rPr>
        <w:t xml:space="preserve">Tale istituto è stato recepito nell’art. 17 del </w:t>
      </w:r>
      <w:r w:rsidR="007F16E9" w:rsidRPr="00391A67">
        <w:rPr>
          <w:rFonts w:cs="Times New Roman"/>
          <w:spacing w:val="2"/>
          <w:szCs w:val="19"/>
        </w:rPr>
        <w:t>d.lgs</w:t>
      </w:r>
      <w:r w:rsidRPr="00391A67">
        <w:rPr>
          <w:rFonts w:cs="Times New Roman"/>
          <w:spacing w:val="2"/>
          <w:szCs w:val="19"/>
        </w:rPr>
        <w:t>. n. 62</w:t>
      </w:r>
      <w:r w:rsidR="007F16E9" w:rsidRPr="00391A67">
        <w:rPr>
          <w:rFonts w:cs="Times New Roman"/>
          <w:spacing w:val="2"/>
          <w:szCs w:val="19"/>
        </w:rPr>
        <w:t>/</w:t>
      </w:r>
      <w:r w:rsidRPr="00391A67">
        <w:rPr>
          <w:rFonts w:cs="Times New Roman"/>
          <w:spacing w:val="2"/>
          <w:szCs w:val="19"/>
        </w:rPr>
        <w:t>2024, che ha introdotto l’art. 5-</w:t>
      </w:r>
      <w:r w:rsidRPr="00391A67">
        <w:rPr>
          <w:rFonts w:cs="Times New Roman"/>
          <w:i/>
          <w:iCs/>
          <w:spacing w:val="2"/>
          <w:szCs w:val="19"/>
        </w:rPr>
        <w:t>bis</w:t>
      </w:r>
      <w:r w:rsidRPr="00391A67">
        <w:rPr>
          <w:rFonts w:cs="Times New Roman"/>
          <w:spacing w:val="2"/>
          <w:szCs w:val="19"/>
        </w:rPr>
        <w:t xml:space="preserve"> alla legge n. 104</w:t>
      </w:r>
      <w:r w:rsidR="007F16E9" w:rsidRPr="00391A67">
        <w:rPr>
          <w:rFonts w:cs="Times New Roman"/>
          <w:spacing w:val="2"/>
          <w:szCs w:val="19"/>
        </w:rPr>
        <w:t>/</w:t>
      </w:r>
      <w:r w:rsidRPr="00391A67">
        <w:rPr>
          <w:rFonts w:cs="Times New Roman"/>
          <w:spacing w:val="2"/>
          <w:szCs w:val="19"/>
        </w:rPr>
        <w:t>1992; in giurisprudenza, Cons</w:t>
      </w:r>
      <w:r w:rsidR="007F16E9" w:rsidRPr="00391A67">
        <w:rPr>
          <w:rFonts w:cs="Times New Roman"/>
          <w:spacing w:val="2"/>
          <w:szCs w:val="19"/>
        </w:rPr>
        <w:t>.</w:t>
      </w:r>
      <w:r w:rsidRPr="00391A67">
        <w:rPr>
          <w:rFonts w:cs="Times New Roman"/>
          <w:spacing w:val="2"/>
          <w:szCs w:val="19"/>
        </w:rPr>
        <w:t xml:space="preserve"> Stato, </w:t>
      </w:r>
      <w:r w:rsidR="007F16E9" w:rsidRPr="00391A67">
        <w:rPr>
          <w:rFonts w:cs="Times New Roman"/>
          <w:spacing w:val="2"/>
          <w:szCs w:val="19"/>
        </w:rPr>
        <w:t xml:space="preserve">sez. </w:t>
      </w:r>
      <w:r w:rsidRPr="00391A67">
        <w:rPr>
          <w:rFonts w:cs="Times New Roman"/>
          <w:spacing w:val="2"/>
          <w:szCs w:val="19"/>
        </w:rPr>
        <w:t xml:space="preserve">III, 12 agosto 2024, n. 7089, annotata da </w:t>
      </w:r>
      <w:r w:rsidRPr="00391A67">
        <w:rPr>
          <w:rFonts w:cs="Times New Roman"/>
          <w:smallCaps/>
          <w:spacing w:val="2"/>
          <w:szCs w:val="19"/>
        </w:rPr>
        <w:t>F. Girelli</w:t>
      </w:r>
      <w:r w:rsidRPr="00391A67">
        <w:rPr>
          <w:rFonts w:cs="Times New Roman"/>
          <w:spacing w:val="2"/>
          <w:szCs w:val="19"/>
        </w:rPr>
        <w:t xml:space="preserve">, </w:t>
      </w:r>
      <w:r w:rsidRPr="00391A67">
        <w:rPr>
          <w:rFonts w:cs="Times New Roman"/>
          <w:i/>
          <w:iCs/>
          <w:spacing w:val="2"/>
          <w:szCs w:val="19"/>
        </w:rPr>
        <w:t>Inciampi estivi alla garanzia dell’assistenza scolastica per gli alunni con disabilità</w:t>
      </w:r>
      <w:r w:rsidRPr="00391A67">
        <w:rPr>
          <w:rFonts w:cs="Times New Roman"/>
          <w:spacing w:val="2"/>
          <w:szCs w:val="19"/>
        </w:rPr>
        <w:t xml:space="preserve">, in </w:t>
      </w:r>
      <w:r w:rsidRPr="00391A67">
        <w:rPr>
          <w:rFonts w:cs="Times New Roman"/>
          <w:i/>
          <w:iCs/>
          <w:spacing w:val="2"/>
          <w:szCs w:val="19"/>
        </w:rPr>
        <w:t>giurcost.org</w:t>
      </w:r>
      <w:r w:rsidRPr="00391A67">
        <w:rPr>
          <w:rFonts w:cs="Times New Roman"/>
          <w:spacing w:val="2"/>
          <w:szCs w:val="19"/>
        </w:rPr>
        <w:t xml:space="preserve">; </w:t>
      </w:r>
      <w:r w:rsidRPr="00391A67">
        <w:rPr>
          <w:rFonts w:cs="Times New Roman"/>
          <w:smallCaps/>
          <w:spacing w:val="2"/>
          <w:szCs w:val="19"/>
        </w:rPr>
        <w:t>R. Zamperini</w:t>
      </w:r>
      <w:r w:rsidRPr="00391A67">
        <w:rPr>
          <w:rFonts w:cs="Times New Roman"/>
          <w:spacing w:val="2"/>
          <w:szCs w:val="19"/>
        </w:rPr>
        <w:t xml:space="preserve">, </w:t>
      </w:r>
      <w:r w:rsidRPr="00391A67">
        <w:rPr>
          <w:rFonts w:cs="Times New Roman"/>
          <w:i/>
          <w:iCs/>
          <w:spacing w:val="2"/>
          <w:szCs w:val="19"/>
        </w:rPr>
        <w:t>Il decreto disabilità</w:t>
      </w:r>
      <w:r w:rsidRPr="00391A67">
        <w:rPr>
          <w:rFonts w:cs="Times New Roman"/>
          <w:spacing w:val="2"/>
          <w:szCs w:val="19"/>
        </w:rPr>
        <w:t xml:space="preserve">, cit., </w:t>
      </w:r>
      <w:r w:rsidR="007F16E9" w:rsidRPr="00391A67">
        <w:rPr>
          <w:rFonts w:cs="Times New Roman"/>
          <w:spacing w:val="2"/>
          <w:szCs w:val="19"/>
        </w:rPr>
        <w:t xml:space="preserve">p. </w:t>
      </w:r>
      <w:r w:rsidRPr="00391A67">
        <w:rPr>
          <w:rFonts w:cs="Times New Roman"/>
          <w:spacing w:val="2"/>
          <w:szCs w:val="19"/>
        </w:rPr>
        <w:t xml:space="preserve">2093 ss.; </w:t>
      </w:r>
      <w:r w:rsidRPr="00391A67">
        <w:rPr>
          <w:rFonts w:cs="Times New Roman"/>
          <w:smallCaps/>
          <w:spacing w:val="2"/>
          <w:szCs w:val="19"/>
        </w:rPr>
        <w:t>M.L. Quattrocchi</w:t>
      </w:r>
      <w:r w:rsidRPr="00391A67">
        <w:rPr>
          <w:rFonts w:cs="Times New Roman"/>
          <w:spacing w:val="2"/>
          <w:szCs w:val="19"/>
        </w:rPr>
        <w:t xml:space="preserve">, </w:t>
      </w:r>
      <w:r w:rsidRPr="00391A67">
        <w:rPr>
          <w:rFonts w:cs="Times New Roman"/>
          <w:i/>
          <w:iCs/>
          <w:spacing w:val="2"/>
          <w:szCs w:val="19"/>
        </w:rPr>
        <w:t>Il diritto fondamentale all’istruzione dei soggetti in condizione di disabilità</w:t>
      </w:r>
      <w:r w:rsidRPr="00391A67">
        <w:rPr>
          <w:rFonts w:cs="Times New Roman"/>
          <w:spacing w:val="2"/>
          <w:szCs w:val="19"/>
        </w:rPr>
        <w:t xml:space="preserve">, in </w:t>
      </w:r>
      <w:r w:rsidRPr="00391A67">
        <w:rPr>
          <w:rFonts w:cs="Times New Roman"/>
          <w:i/>
          <w:iCs/>
          <w:spacing w:val="2"/>
          <w:szCs w:val="19"/>
        </w:rPr>
        <w:t xml:space="preserve">Queste </w:t>
      </w:r>
      <w:proofErr w:type="spellStart"/>
      <w:r w:rsidRPr="00391A67">
        <w:rPr>
          <w:rFonts w:cs="Times New Roman"/>
          <w:i/>
          <w:iCs/>
          <w:spacing w:val="2"/>
          <w:szCs w:val="19"/>
        </w:rPr>
        <w:t>istituz</w:t>
      </w:r>
      <w:proofErr w:type="spellEnd"/>
      <w:r w:rsidR="0025167F" w:rsidRPr="00391A67">
        <w:rPr>
          <w:rFonts w:cs="Times New Roman"/>
          <w:i/>
          <w:iCs/>
          <w:spacing w:val="2"/>
          <w:szCs w:val="19"/>
        </w:rPr>
        <w:t>.</w:t>
      </w:r>
      <w:r w:rsidRPr="00391A67">
        <w:rPr>
          <w:rFonts w:cs="Times New Roman"/>
          <w:spacing w:val="2"/>
          <w:szCs w:val="19"/>
        </w:rPr>
        <w:t>, n. 4</w:t>
      </w:r>
      <w:r w:rsidR="007F16E9" w:rsidRPr="00391A67">
        <w:rPr>
          <w:rFonts w:cs="Times New Roman"/>
          <w:spacing w:val="2"/>
          <w:szCs w:val="19"/>
        </w:rPr>
        <w:t>/2024</w:t>
      </w:r>
      <w:r w:rsidRPr="00391A67">
        <w:rPr>
          <w:rFonts w:cs="Times New Roman"/>
          <w:spacing w:val="2"/>
          <w:szCs w:val="19"/>
        </w:rPr>
        <w:t xml:space="preserve">, </w:t>
      </w:r>
      <w:r w:rsidR="0025167F" w:rsidRPr="00391A67">
        <w:rPr>
          <w:rFonts w:cs="Times New Roman"/>
          <w:spacing w:val="2"/>
          <w:szCs w:val="19"/>
        </w:rPr>
        <w:t xml:space="preserve">p. </w:t>
      </w:r>
      <w:r w:rsidRPr="00391A67">
        <w:rPr>
          <w:rFonts w:cs="Times New Roman"/>
          <w:spacing w:val="2"/>
          <w:szCs w:val="19"/>
        </w:rPr>
        <w:t xml:space="preserve">83 ss.; </w:t>
      </w:r>
      <w:r w:rsidR="007F16E9" w:rsidRPr="00391A67">
        <w:rPr>
          <w:rFonts w:cs="Times New Roman"/>
          <w:smallCaps/>
          <w:spacing w:val="2"/>
          <w:szCs w:val="19"/>
        </w:rPr>
        <w:t>P. Ciamarra, A. Porzio, C. Tettamanti, G. Corbi, F. Gimigliano, A. Argo, C.P. Campobasso</w:t>
      </w:r>
      <w:r w:rsidR="007F16E9" w:rsidRPr="00391A67">
        <w:rPr>
          <w:rFonts w:cs="Times New Roman"/>
          <w:spacing w:val="2"/>
          <w:szCs w:val="19"/>
        </w:rPr>
        <w:t xml:space="preserve">, </w:t>
      </w:r>
      <w:r w:rsidR="007F16E9" w:rsidRPr="00391A67">
        <w:rPr>
          <w:rFonts w:cs="Times New Roman"/>
          <w:i/>
          <w:iCs/>
          <w:spacing w:val="2"/>
          <w:szCs w:val="19"/>
        </w:rPr>
        <w:t>Leggi delega in materia di disabilità</w:t>
      </w:r>
      <w:r w:rsidR="007F16E9" w:rsidRPr="00391A67">
        <w:rPr>
          <w:rFonts w:cs="Times New Roman"/>
          <w:spacing w:val="2"/>
          <w:szCs w:val="19"/>
        </w:rPr>
        <w:t xml:space="preserve">, cit., pp. </w:t>
      </w:r>
      <w:r w:rsidRPr="00391A67">
        <w:rPr>
          <w:rFonts w:cs="Times New Roman"/>
          <w:spacing w:val="2"/>
          <w:szCs w:val="19"/>
        </w:rPr>
        <w:t>384-385.</w:t>
      </w:r>
    </w:p>
  </w:footnote>
  <w:footnote w:id="54">
    <w:p w14:paraId="5A46C307" w14:textId="18163821" w:rsidR="00E348B1" w:rsidRDefault="00E348B1" w:rsidP="00391A67">
      <w:pPr>
        <w:pStyle w:val="Testonotaapidipagina"/>
        <w:spacing w:line="224" w:lineRule="exact"/>
      </w:pPr>
      <w:r>
        <w:rPr>
          <w:rStyle w:val="Rimandonotaapidipagina"/>
        </w:rPr>
        <w:footnoteRef/>
      </w:r>
      <w:r w:rsidRPr="00391A67">
        <w:rPr>
          <w:vertAlign w:val="superscript"/>
        </w:rPr>
        <w:t>°</w:t>
      </w:r>
      <w:r w:rsidR="006439C9">
        <w:t xml:space="preserve">Cfr. la già citata </w:t>
      </w:r>
      <w:r w:rsidR="006439C9" w:rsidRPr="006439C9">
        <w:t xml:space="preserve">Corte cost., </w:t>
      </w:r>
      <w:proofErr w:type="spellStart"/>
      <w:r w:rsidR="006439C9" w:rsidRPr="006439C9">
        <w:t>sent</w:t>
      </w:r>
      <w:proofErr w:type="spellEnd"/>
      <w:r w:rsidR="006439C9" w:rsidRPr="006439C9">
        <w:t>. n. 3/2025</w:t>
      </w:r>
      <w:r w:rsidR="006439C9">
        <w:t xml:space="preserve">, con nota di </w:t>
      </w:r>
      <w:r w:rsidR="006439C9" w:rsidRPr="00391A67">
        <w:rPr>
          <w:smallCaps/>
        </w:rPr>
        <w:t xml:space="preserve">G. </w:t>
      </w:r>
      <w:proofErr w:type="spellStart"/>
      <w:r w:rsidR="006439C9" w:rsidRPr="00391A67">
        <w:rPr>
          <w:smallCaps/>
        </w:rPr>
        <w:t>Arconzo</w:t>
      </w:r>
      <w:proofErr w:type="spellEnd"/>
      <w:r w:rsidR="006439C9">
        <w:t xml:space="preserve">, </w:t>
      </w:r>
      <w:r w:rsidR="006439C9" w:rsidRPr="00391A67">
        <w:rPr>
          <w:i/>
          <w:iCs/>
        </w:rPr>
        <w:t>Sull’incostituzionalità di previsioni</w:t>
      </w:r>
      <w:r w:rsidR="00D36AD5">
        <w:t>, cit</w:t>
      </w:r>
      <w:r w:rsidR="006439C9">
        <w:t>.</w:t>
      </w:r>
    </w:p>
  </w:footnote>
  <w:footnote w:id="55">
    <w:p w14:paraId="0CB8B98B" w14:textId="5766CA01" w:rsidR="00E92121" w:rsidRPr="00391A67" w:rsidRDefault="00E92121" w:rsidP="00391A67">
      <w:pPr>
        <w:pStyle w:val="Testonotaapidipagina"/>
        <w:spacing w:line="224" w:lineRule="exact"/>
        <w:rPr>
          <w:rFonts w:cs="Times New Roman"/>
          <w:spacing w:val="-2"/>
          <w:szCs w:val="19"/>
        </w:rPr>
      </w:pPr>
      <w:r w:rsidRPr="008B436B">
        <w:rPr>
          <w:rStyle w:val="Rimandonotaapidipagina"/>
          <w:rFonts w:cs="Times New Roman"/>
          <w:szCs w:val="19"/>
        </w:rPr>
        <w:footnoteRef/>
      </w:r>
      <w:r w:rsidRPr="008B436B">
        <w:rPr>
          <w:rFonts w:cs="Times New Roman"/>
          <w:szCs w:val="19"/>
          <w:vertAlign w:val="superscript"/>
        </w:rPr>
        <w:t> </w:t>
      </w:r>
      <w:r w:rsidRPr="00391A67">
        <w:rPr>
          <w:rFonts w:cs="Times New Roman"/>
          <w:spacing w:val="-2"/>
          <w:szCs w:val="19"/>
        </w:rPr>
        <w:t xml:space="preserve">In tal senso, </w:t>
      </w:r>
      <w:r w:rsidRPr="00391A67">
        <w:rPr>
          <w:rFonts w:cs="Times New Roman"/>
          <w:smallCaps/>
          <w:spacing w:val="-2"/>
          <w:szCs w:val="19"/>
        </w:rPr>
        <w:t>R. Zamperini</w:t>
      </w:r>
      <w:r w:rsidRPr="00391A67">
        <w:rPr>
          <w:rFonts w:cs="Times New Roman"/>
          <w:spacing w:val="-2"/>
          <w:szCs w:val="19"/>
        </w:rPr>
        <w:t xml:space="preserve">, </w:t>
      </w:r>
      <w:r w:rsidRPr="00391A67">
        <w:rPr>
          <w:rFonts w:cs="Times New Roman"/>
          <w:i/>
          <w:iCs/>
          <w:spacing w:val="-2"/>
          <w:szCs w:val="19"/>
        </w:rPr>
        <w:t>Il decreto disabilità</w:t>
      </w:r>
      <w:r w:rsidR="0025167F" w:rsidRPr="00391A67">
        <w:rPr>
          <w:rFonts w:cs="Times New Roman"/>
          <w:spacing w:val="-2"/>
          <w:szCs w:val="19"/>
        </w:rPr>
        <w:t>,</w:t>
      </w:r>
      <w:r w:rsidRPr="00391A67">
        <w:rPr>
          <w:rFonts w:cs="Times New Roman"/>
          <w:spacing w:val="-2"/>
          <w:szCs w:val="19"/>
        </w:rPr>
        <w:t xml:space="preserve"> cit., </w:t>
      </w:r>
      <w:r w:rsidR="007F16E9" w:rsidRPr="00391A67">
        <w:rPr>
          <w:rFonts w:cs="Times New Roman"/>
          <w:spacing w:val="-2"/>
          <w:szCs w:val="19"/>
        </w:rPr>
        <w:t xml:space="preserve">pp. </w:t>
      </w:r>
      <w:r w:rsidRPr="00391A67">
        <w:rPr>
          <w:rFonts w:cs="Times New Roman"/>
          <w:spacing w:val="-2"/>
          <w:szCs w:val="19"/>
        </w:rPr>
        <w:t>2094-2095</w:t>
      </w:r>
      <w:r w:rsidR="000819FC" w:rsidRPr="00391A67">
        <w:rPr>
          <w:rFonts w:cs="Times New Roman"/>
          <w:spacing w:val="-2"/>
          <w:szCs w:val="19"/>
        </w:rPr>
        <w:t xml:space="preserve">; cfr. anche </w:t>
      </w:r>
      <w:r w:rsidR="000819FC" w:rsidRPr="00391A67">
        <w:rPr>
          <w:rFonts w:cs="Times New Roman"/>
          <w:smallCaps/>
          <w:spacing w:val="-2"/>
          <w:szCs w:val="19"/>
        </w:rPr>
        <w:t>A. Chiappetta</w:t>
      </w:r>
      <w:r w:rsidR="000819FC" w:rsidRPr="00391A67">
        <w:rPr>
          <w:rFonts w:cs="Times New Roman"/>
          <w:spacing w:val="-2"/>
          <w:szCs w:val="19"/>
        </w:rPr>
        <w:t xml:space="preserve">, </w:t>
      </w:r>
      <w:r w:rsidR="000819FC" w:rsidRPr="00391A67">
        <w:rPr>
          <w:rFonts w:cs="Times New Roman"/>
          <w:i/>
          <w:iCs/>
          <w:spacing w:val="-2"/>
          <w:szCs w:val="19"/>
        </w:rPr>
        <w:t>‘Investire’ sul dettato costituzionale: la tutela delle persone con disabilità</w:t>
      </w:r>
      <w:r w:rsidR="000819FC" w:rsidRPr="00391A67">
        <w:rPr>
          <w:rFonts w:cs="Times New Roman"/>
          <w:spacing w:val="-2"/>
          <w:szCs w:val="19"/>
        </w:rPr>
        <w:t>, cit., p. 106 ss</w:t>
      </w:r>
      <w:r w:rsidRPr="00391A67">
        <w:rPr>
          <w:rFonts w:cs="Times New Roman"/>
          <w:spacing w:val="-2"/>
          <w:szCs w:val="19"/>
        </w:rPr>
        <w:t>.</w:t>
      </w:r>
    </w:p>
  </w:footnote>
  <w:footnote w:id="56">
    <w:p w14:paraId="25B2CB5C" w14:textId="671873CE" w:rsidR="00E92121" w:rsidRPr="008B436B" w:rsidRDefault="00E92121" w:rsidP="00391A67">
      <w:pPr>
        <w:pStyle w:val="Testonotaapidipagina"/>
        <w:spacing w:line="224" w:lineRule="exact"/>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Cfr. </w:t>
      </w:r>
      <w:r w:rsidRPr="008B436B">
        <w:rPr>
          <w:rFonts w:cs="Times New Roman"/>
          <w:smallCaps/>
          <w:szCs w:val="19"/>
        </w:rPr>
        <w:t>R. Giani</w:t>
      </w:r>
      <w:r w:rsidRPr="008B436B">
        <w:rPr>
          <w:rFonts w:cs="Times New Roman"/>
          <w:szCs w:val="19"/>
        </w:rPr>
        <w:t xml:space="preserve">, </w:t>
      </w:r>
      <w:r w:rsidRPr="008B436B">
        <w:rPr>
          <w:rFonts w:cs="Times New Roman"/>
          <w:i/>
          <w:iCs/>
          <w:szCs w:val="19"/>
        </w:rPr>
        <w:t>Giudice amministrativo e giurisdizione esclusiva sui diritti fondamentali: il caso del sostegno scolastico ai disabili e i dubbi sul criterio di riparto di giurisdizione seguito dalla Cassazione</w:t>
      </w:r>
      <w:r w:rsidRPr="008B436B">
        <w:rPr>
          <w:rFonts w:cs="Times New Roman"/>
          <w:szCs w:val="19"/>
        </w:rPr>
        <w:t xml:space="preserve">, in </w:t>
      </w:r>
      <w:r w:rsidRPr="008B436B">
        <w:rPr>
          <w:rFonts w:cs="Times New Roman"/>
          <w:i/>
          <w:iCs/>
          <w:szCs w:val="19"/>
        </w:rPr>
        <w:t>Ques</w:t>
      </w:r>
      <w:r w:rsidR="00DC5410">
        <w:rPr>
          <w:rFonts w:cs="Times New Roman"/>
          <w:i/>
          <w:iCs/>
          <w:szCs w:val="19"/>
        </w:rPr>
        <w:t>t</w:t>
      </w:r>
      <w:r w:rsidR="007F16E9" w:rsidRPr="008B436B">
        <w:rPr>
          <w:rFonts w:cs="Times New Roman"/>
          <w:i/>
          <w:iCs/>
          <w:szCs w:val="19"/>
        </w:rPr>
        <w:t>.</w:t>
      </w:r>
      <w:r w:rsidRPr="008B436B">
        <w:rPr>
          <w:rFonts w:cs="Times New Roman"/>
          <w:i/>
          <w:iCs/>
          <w:szCs w:val="19"/>
        </w:rPr>
        <w:t xml:space="preserve"> </w:t>
      </w:r>
      <w:proofErr w:type="spellStart"/>
      <w:r w:rsidRPr="008B436B">
        <w:rPr>
          <w:rFonts w:cs="Times New Roman"/>
          <w:i/>
          <w:iCs/>
          <w:szCs w:val="19"/>
        </w:rPr>
        <w:t>giust</w:t>
      </w:r>
      <w:proofErr w:type="spellEnd"/>
      <w:r w:rsidR="007F16E9" w:rsidRPr="008B436B">
        <w:rPr>
          <w:rFonts w:cs="Times New Roman"/>
          <w:i/>
          <w:iCs/>
          <w:szCs w:val="19"/>
        </w:rPr>
        <w:t>.</w:t>
      </w:r>
      <w:r w:rsidRPr="008B436B">
        <w:rPr>
          <w:rFonts w:cs="Times New Roman"/>
          <w:szCs w:val="19"/>
        </w:rPr>
        <w:t>, n. 1</w:t>
      </w:r>
      <w:r w:rsidR="007F16E9" w:rsidRPr="008B436B">
        <w:rPr>
          <w:rFonts w:cs="Times New Roman"/>
          <w:szCs w:val="19"/>
        </w:rPr>
        <w:t>/2021</w:t>
      </w:r>
      <w:r w:rsidRPr="008B436B">
        <w:rPr>
          <w:rFonts w:cs="Times New Roman"/>
          <w:szCs w:val="19"/>
        </w:rPr>
        <w:t xml:space="preserve">, </w:t>
      </w:r>
      <w:r w:rsidR="007F16E9" w:rsidRPr="008B436B">
        <w:rPr>
          <w:rFonts w:cs="Times New Roman"/>
          <w:szCs w:val="19"/>
        </w:rPr>
        <w:t xml:space="preserve">p. </w:t>
      </w:r>
      <w:r w:rsidRPr="008B436B">
        <w:rPr>
          <w:rFonts w:cs="Times New Roman"/>
          <w:szCs w:val="19"/>
        </w:rPr>
        <w:t>211.</w:t>
      </w:r>
    </w:p>
  </w:footnote>
  <w:footnote w:id="57">
    <w:p w14:paraId="5730554C" w14:textId="393DD783"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Nei periodi di crisi, ciò è particolarmente difficoltoso, </w:t>
      </w:r>
      <w:r w:rsidRPr="008B436B">
        <w:rPr>
          <w:rFonts w:cs="Times New Roman"/>
          <w:smallCaps/>
          <w:szCs w:val="19"/>
        </w:rPr>
        <w:t>F. Pallante</w:t>
      </w:r>
      <w:r w:rsidRPr="008B436B">
        <w:rPr>
          <w:rFonts w:cs="Times New Roman"/>
          <w:szCs w:val="19"/>
        </w:rPr>
        <w:t xml:space="preserve">, </w:t>
      </w:r>
      <w:r w:rsidRPr="008B436B">
        <w:rPr>
          <w:rFonts w:cs="Times New Roman"/>
          <w:i/>
          <w:iCs/>
          <w:szCs w:val="19"/>
        </w:rPr>
        <w:t xml:space="preserve">Dai vincoli di bilancio ai vincoli al bilancio (in occasione di </w:t>
      </w:r>
      <w:bookmarkStart w:id="8" w:name="_Hlk197785619"/>
      <w:r w:rsidRPr="008B436B">
        <w:rPr>
          <w:rFonts w:cs="Times New Roman"/>
          <w:i/>
          <w:iCs/>
          <w:szCs w:val="19"/>
        </w:rPr>
        <w:t>Corte costituzionale, sentenza n. 275 del 2016</w:t>
      </w:r>
      <w:bookmarkEnd w:id="8"/>
      <w:r w:rsidRPr="008B436B">
        <w:rPr>
          <w:rFonts w:cs="Times New Roman"/>
          <w:i/>
          <w:iCs/>
          <w:szCs w:val="19"/>
        </w:rPr>
        <w:t>)</w:t>
      </w:r>
      <w:r w:rsidRPr="008B436B">
        <w:rPr>
          <w:rFonts w:cs="Times New Roman"/>
          <w:szCs w:val="19"/>
        </w:rPr>
        <w:t xml:space="preserve">, in </w:t>
      </w:r>
      <w:r w:rsidRPr="008B436B">
        <w:rPr>
          <w:rFonts w:cs="Times New Roman"/>
          <w:i/>
          <w:iCs/>
          <w:szCs w:val="19"/>
        </w:rPr>
        <w:t>Giur. cost.</w:t>
      </w:r>
      <w:r w:rsidRPr="008B436B">
        <w:rPr>
          <w:rFonts w:cs="Times New Roman"/>
          <w:szCs w:val="19"/>
        </w:rPr>
        <w:t>, n. 6</w:t>
      </w:r>
      <w:r w:rsidR="007F16E9" w:rsidRPr="008B436B">
        <w:rPr>
          <w:rFonts w:cs="Times New Roman"/>
          <w:szCs w:val="19"/>
        </w:rPr>
        <w:t>/2016</w:t>
      </w:r>
      <w:r w:rsidRPr="008B436B">
        <w:rPr>
          <w:rFonts w:cs="Times New Roman"/>
          <w:szCs w:val="19"/>
        </w:rPr>
        <w:t xml:space="preserve">, </w:t>
      </w:r>
      <w:r w:rsidR="007F16E9" w:rsidRPr="008B436B">
        <w:rPr>
          <w:rFonts w:cs="Times New Roman"/>
          <w:szCs w:val="19"/>
        </w:rPr>
        <w:t xml:space="preserve">p. </w:t>
      </w:r>
      <w:r w:rsidRPr="008B436B">
        <w:rPr>
          <w:rFonts w:cs="Times New Roman"/>
          <w:szCs w:val="19"/>
        </w:rPr>
        <w:t>463 ss.</w:t>
      </w:r>
    </w:p>
  </w:footnote>
  <w:footnote w:id="58">
    <w:p w14:paraId="74452C62" w14:textId="7846B061"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007F16E9" w:rsidRPr="008B436B">
        <w:rPr>
          <w:rFonts w:cs="Times New Roman"/>
          <w:szCs w:val="19"/>
        </w:rPr>
        <w:t>«</w:t>
      </w:r>
      <w:r w:rsidRPr="008B436B">
        <w:rPr>
          <w:rFonts w:cs="Times New Roman"/>
          <w:i/>
          <w:iCs/>
          <w:szCs w:val="19"/>
        </w:rPr>
        <w:t>Una volta normativamente identificato, il nucleo invalicabile di garanzie minime per rendere effettivo il diritto allo studio e all’educazione degli alunni disabili non può essere finanziariamente condizionato in termini assoluti e generali</w:t>
      </w:r>
      <w:r w:rsidR="007F16E9" w:rsidRPr="008B436B">
        <w:rPr>
          <w:rFonts w:cs="Times New Roman"/>
          <w:szCs w:val="19"/>
        </w:rPr>
        <w:t>»</w:t>
      </w:r>
      <w:r w:rsidRPr="008B436B">
        <w:rPr>
          <w:rFonts w:cs="Times New Roman"/>
          <w:szCs w:val="19"/>
        </w:rPr>
        <w:t>, essendo la garanzia dei diritti incomprimibili a incidere sul bilancio e non viceversa, per Corte cost</w:t>
      </w:r>
      <w:r w:rsidR="007F16E9" w:rsidRPr="008B436B">
        <w:rPr>
          <w:rFonts w:cs="Times New Roman"/>
          <w:szCs w:val="19"/>
        </w:rPr>
        <w:t>.</w:t>
      </w:r>
      <w:r w:rsidRPr="008B436B">
        <w:rPr>
          <w:rFonts w:cs="Times New Roman"/>
          <w:szCs w:val="19"/>
        </w:rPr>
        <w:t xml:space="preserve">, </w:t>
      </w:r>
      <w:proofErr w:type="spellStart"/>
      <w:r w:rsidRPr="008B436B">
        <w:rPr>
          <w:rFonts w:cs="Times New Roman"/>
          <w:szCs w:val="19"/>
        </w:rPr>
        <w:t>sent</w:t>
      </w:r>
      <w:proofErr w:type="spellEnd"/>
      <w:r w:rsidR="007F16E9" w:rsidRPr="008B436B">
        <w:rPr>
          <w:rFonts w:cs="Times New Roman"/>
          <w:szCs w:val="19"/>
        </w:rPr>
        <w:t xml:space="preserve">. </w:t>
      </w:r>
      <w:r w:rsidRPr="008B436B">
        <w:rPr>
          <w:rFonts w:cs="Times New Roman"/>
          <w:szCs w:val="19"/>
        </w:rPr>
        <w:t>n. 275</w:t>
      </w:r>
      <w:r w:rsidR="007F16E9" w:rsidRPr="008B436B">
        <w:rPr>
          <w:rFonts w:cs="Times New Roman"/>
          <w:szCs w:val="19"/>
        </w:rPr>
        <w:t>/</w:t>
      </w:r>
      <w:r w:rsidRPr="008B436B">
        <w:rPr>
          <w:rFonts w:cs="Times New Roman"/>
          <w:szCs w:val="19"/>
        </w:rPr>
        <w:t xml:space="preserve">2016; </w:t>
      </w:r>
      <w:r w:rsidRPr="008B436B">
        <w:rPr>
          <w:rFonts w:cs="Times New Roman"/>
          <w:smallCaps/>
          <w:szCs w:val="19"/>
        </w:rPr>
        <w:t xml:space="preserve">L. </w:t>
      </w:r>
      <w:proofErr w:type="spellStart"/>
      <w:r w:rsidRPr="008B436B">
        <w:rPr>
          <w:rFonts w:cs="Times New Roman"/>
          <w:smallCaps/>
          <w:szCs w:val="19"/>
        </w:rPr>
        <w:t>Carlassare</w:t>
      </w:r>
      <w:proofErr w:type="spellEnd"/>
      <w:r w:rsidRPr="008B436B">
        <w:rPr>
          <w:rFonts w:cs="Times New Roman"/>
          <w:szCs w:val="19"/>
        </w:rPr>
        <w:t xml:space="preserve">, </w:t>
      </w:r>
      <w:r w:rsidRPr="008B436B">
        <w:rPr>
          <w:rFonts w:cs="Times New Roman"/>
          <w:i/>
          <w:iCs/>
          <w:szCs w:val="19"/>
        </w:rPr>
        <w:t>Bilancio e diritti fondamentali</w:t>
      </w:r>
      <w:r w:rsidRPr="008B436B">
        <w:rPr>
          <w:rFonts w:cs="Times New Roman"/>
          <w:szCs w:val="19"/>
        </w:rPr>
        <w:t xml:space="preserve">, cit., </w:t>
      </w:r>
      <w:r w:rsidR="007F16E9" w:rsidRPr="008B436B">
        <w:rPr>
          <w:rFonts w:cs="Times New Roman"/>
          <w:szCs w:val="19"/>
        </w:rPr>
        <w:t xml:space="preserve">pp. </w:t>
      </w:r>
      <w:r w:rsidRPr="008B436B">
        <w:rPr>
          <w:rFonts w:cs="Times New Roman"/>
          <w:szCs w:val="19"/>
        </w:rPr>
        <w:t xml:space="preserve">2342-2343; </w:t>
      </w:r>
      <w:r w:rsidRPr="008B436B">
        <w:rPr>
          <w:rFonts w:cs="Times New Roman"/>
          <w:smallCaps/>
          <w:szCs w:val="19"/>
        </w:rPr>
        <w:t>A. Candido</w:t>
      </w:r>
      <w:r w:rsidRPr="008B436B">
        <w:rPr>
          <w:rFonts w:cs="Times New Roman"/>
          <w:szCs w:val="19"/>
        </w:rPr>
        <w:t xml:space="preserve">, </w:t>
      </w:r>
      <w:r w:rsidRPr="008B436B">
        <w:rPr>
          <w:rFonts w:cs="Times New Roman"/>
          <w:i/>
          <w:iCs/>
          <w:szCs w:val="19"/>
        </w:rPr>
        <w:t>Quando il diritto diventa finanziariamente incondizionato</w:t>
      </w:r>
      <w:r w:rsidRPr="008B436B">
        <w:rPr>
          <w:rFonts w:cs="Times New Roman"/>
          <w:szCs w:val="19"/>
        </w:rPr>
        <w:t xml:space="preserve">, cit., </w:t>
      </w:r>
      <w:r w:rsidR="007F16E9" w:rsidRPr="008B436B">
        <w:rPr>
          <w:rFonts w:cs="Times New Roman"/>
          <w:szCs w:val="19"/>
        </w:rPr>
        <w:t xml:space="preserve">pp. </w:t>
      </w:r>
      <w:r w:rsidRPr="008B436B">
        <w:rPr>
          <w:rFonts w:cs="Times New Roman"/>
          <w:szCs w:val="19"/>
        </w:rPr>
        <w:t>60-61; il nocciolo duro del diritto è comunque incomprimibile, per Cons</w:t>
      </w:r>
      <w:r w:rsidR="007F16E9" w:rsidRPr="008B436B">
        <w:rPr>
          <w:rFonts w:cs="Times New Roman"/>
          <w:szCs w:val="19"/>
        </w:rPr>
        <w:t>.</w:t>
      </w:r>
      <w:r w:rsidRPr="008B436B">
        <w:rPr>
          <w:rFonts w:cs="Times New Roman"/>
          <w:szCs w:val="19"/>
        </w:rPr>
        <w:t xml:space="preserve"> Stato, </w:t>
      </w:r>
      <w:r w:rsidR="007F16E9" w:rsidRPr="008B436B">
        <w:rPr>
          <w:rFonts w:cs="Times New Roman"/>
          <w:szCs w:val="19"/>
        </w:rPr>
        <w:t xml:space="preserve">sez. </w:t>
      </w:r>
      <w:r w:rsidRPr="008B436B">
        <w:rPr>
          <w:rFonts w:cs="Times New Roman"/>
          <w:szCs w:val="19"/>
        </w:rPr>
        <w:t xml:space="preserve">VII, 20 novembre 2024, n. 9323; </w:t>
      </w:r>
      <w:r w:rsidRPr="008B436B">
        <w:rPr>
          <w:rFonts w:cs="Times New Roman"/>
          <w:smallCaps/>
          <w:szCs w:val="19"/>
        </w:rPr>
        <w:t>M. Ramajoli</w:t>
      </w:r>
      <w:r w:rsidRPr="008B436B">
        <w:rPr>
          <w:rFonts w:cs="Times New Roman"/>
          <w:szCs w:val="19"/>
        </w:rPr>
        <w:t xml:space="preserve">, </w:t>
      </w:r>
      <w:r w:rsidRPr="008B436B">
        <w:rPr>
          <w:rFonts w:cs="Times New Roman"/>
          <w:i/>
          <w:iCs/>
          <w:szCs w:val="19"/>
        </w:rPr>
        <w:t>Sui molteplici criteri di riparto della giurisdizione</w:t>
      </w:r>
      <w:r w:rsidRPr="008B436B">
        <w:rPr>
          <w:rFonts w:cs="Times New Roman"/>
          <w:szCs w:val="19"/>
        </w:rPr>
        <w:t xml:space="preserve">, cit., </w:t>
      </w:r>
      <w:r w:rsidR="007F16E9" w:rsidRPr="008B436B">
        <w:rPr>
          <w:rFonts w:cs="Times New Roman"/>
          <w:szCs w:val="19"/>
        </w:rPr>
        <w:t xml:space="preserve">p. </w:t>
      </w:r>
      <w:r w:rsidRPr="008B436B">
        <w:rPr>
          <w:rFonts w:cs="Times New Roman"/>
          <w:szCs w:val="19"/>
        </w:rPr>
        <w:t>280.</w:t>
      </w:r>
    </w:p>
  </w:footnote>
  <w:footnote w:id="59">
    <w:p w14:paraId="1CC49B66" w14:textId="77C6ECD9"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007F16E9" w:rsidRPr="008B436B">
        <w:rPr>
          <w:rFonts w:cs="Times New Roman"/>
          <w:szCs w:val="19"/>
        </w:rPr>
        <w:t>«</w:t>
      </w:r>
      <w:r w:rsidR="007F16E9" w:rsidRPr="008B436B">
        <w:rPr>
          <w:rFonts w:cs="Times New Roman"/>
          <w:i/>
          <w:iCs/>
          <w:szCs w:val="19"/>
        </w:rPr>
        <w:t>“</w:t>
      </w:r>
      <w:r w:rsidRPr="008B436B">
        <w:rPr>
          <w:rFonts w:cs="Times New Roman"/>
          <w:i/>
          <w:iCs/>
          <w:szCs w:val="19"/>
        </w:rPr>
        <w:t>L’azione in giudizio per la difesa dei propri diritti</w:t>
      </w:r>
      <w:r w:rsidR="007F16E9" w:rsidRPr="008B436B">
        <w:rPr>
          <w:rFonts w:cs="Times New Roman"/>
          <w:i/>
          <w:iCs/>
          <w:szCs w:val="19"/>
        </w:rPr>
        <w:t>”</w:t>
      </w:r>
      <w:r w:rsidRPr="008B436B">
        <w:rPr>
          <w:rFonts w:cs="Times New Roman"/>
          <w:i/>
          <w:iCs/>
          <w:szCs w:val="19"/>
        </w:rPr>
        <w:t xml:space="preserve">, (…), </w:t>
      </w:r>
      <w:r w:rsidR="007F16E9" w:rsidRPr="008B436B">
        <w:rPr>
          <w:rFonts w:cs="Times New Roman"/>
          <w:i/>
          <w:iCs/>
          <w:szCs w:val="19"/>
        </w:rPr>
        <w:t>“</w:t>
      </w:r>
      <w:r w:rsidRPr="008B436B">
        <w:rPr>
          <w:rFonts w:cs="Times New Roman"/>
          <w:i/>
          <w:iCs/>
          <w:szCs w:val="19"/>
        </w:rPr>
        <w:t>è essa stessa il contenuto di un diritto, protetto dagli articoli 24 e 113 della Costituzione e da annoverarsi tra quelli inviolabili, riconducibili all’art. 2 della Costituzione […] e caratterizzanti lo stato democratico di diritto</w:t>
      </w:r>
      <w:r w:rsidR="007F16E9" w:rsidRPr="008B436B">
        <w:rPr>
          <w:rFonts w:cs="Times New Roman"/>
          <w:i/>
          <w:iCs/>
          <w:szCs w:val="19"/>
        </w:rPr>
        <w:t>”</w:t>
      </w:r>
      <w:r w:rsidRPr="008B436B">
        <w:rPr>
          <w:rFonts w:cs="Times New Roman"/>
          <w:i/>
          <w:iCs/>
          <w:szCs w:val="19"/>
        </w:rPr>
        <w:t xml:space="preserve"> (sentenza n. 26 del 1999; in senso conforme sentenze n. 238 del 2014, n. 120 del 2014 e ordinanza n. 386 del 2004). Esso è riconosciuto a tutti, dal primo comma dell’art. 24 Cost., e a tutti spetta, com’è proprio dei diritti ascrivibili all’alveo dell’art. 2 Cost., riferito in maniera cristallina all’uomo</w:t>
      </w:r>
      <w:r w:rsidR="000C6DB8" w:rsidRPr="008B436B">
        <w:rPr>
          <w:rFonts w:cs="Times New Roman"/>
          <w:szCs w:val="19"/>
        </w:rPr>
        <w:t>»</w:t>
      </w:r>
      <w:r w:rsidRPr="008B436B">
        <w:rPr>
          <w:rFonts w:cs="Times New Roman"/>
          <w:szCs w:val="19"/>
        </w:rPr>
        <w:t>: Corte cost</w:t>
      </w:r>
      <w:r w:rsidR="000C6DB8" w:rsidRPr="008B436B">
        <w:rPr>
          <w:rFonts w:cs="Times New Roman"/>
          <w:szCs w:val="19"/>
        </w:rPr>
        <w:t>.</w:t>
      </w:r>
      <w:r w:rsidRPr="008B436B">
        <w:rPr>
          <w:rFonts w:cs="Times New Roman"/>
          <w:szCs w:val="19"/>
        </w:rPr>
        <w:t xml:space="preserve">, </w:t>
      </w:r>
      <w:proofErr w:type="spellStart"/>
      <w:r w:rsidRPr="008B436B">
        <w:rPr>
          <w:rFonts w:cs="Times New Roman"/>
          <w:szCs w:val="19"/>
        </w:rPr>
        <w:t>sent</w:t>
      </w:r>
      <w:proofErr w:type="spellEnd"/>
      <w:r w:rsidR="000C6DB8" w:rsidRPr="008B436B">
        <w:rPr>
          <w:rFonts w:cs="Times New Roman"/>
          <w:szCs w:val="19"/>
        </w:rPr>
        <w:t>.</w:t>
      </w:r>
      <w:r w:rsidRPr="008B436B">
        <w:rPr>
          <w:rFonts w:cs="Times New Roman"/>
          <w:szCs w:val="19"/>
        </w:rPr>
        <w:t xml:space="preserve"> n. 157</w:t>
      </w:r>
      <w:r w:rsidR="000C6DB8" w:rsidRPr="008B436B">
        <w:rPr>
          <w:rFonts w:cs="Times New Roman"/>
          <w:szCs w:val="19"/>
        </w:rPr>
        <w:t>/</w:t>
      </w:r>
      <w:r w:rsidRPr="008B436B">
        <w:rPr>
          <w:rFonts w:cs="Times New Roman"/>
          <w:szCs w:val="19"/>
        </w:rPr>
        <w:t>2021; il diritto al giudice a tutela di diritti inviolabili, sancito dalla combinazione degli artt. 2 e 24 della Costituzione repubblicana è uno dei principi supremi dell’ordinamento italiano, secondo Corte cost</w:t>
      </w:r>
      <w:r w:rsidR="000C6DB8" w:rsidRPr="008B436B">
        <w:rPr>
          <w:rFonts w:cs="Times New Roman"/>
          <w:szCs w:val="19"/>
        </w:rPr>
        <w:t>.</w:t>
      </w:r>
      <w:r w:rsidRPr="008B436B">
        <w:rPr>
          <w:rFonts w:cs="Times New Roman"/>
          <w:szCs w:val="19"/>
        </w:rPr>
        <w:t xml:space="preserve">, </w:t>
      </w:r>
      <w:proofErr w:type="spellStart"/>
      <w:r w:rsidRPr="008B436B">
        <w:rPr>
          <w:rFonts w:cs="Times New Roman"/>
          <w:szCs w:val="19"/>
        </w:rPr>
        <w:t>sent</w:t>
      </w:r>
      <w:proofErr w:type="spellEnd"/>
      <w:r w:rsidR="000C6DB8" w:rsidRPr="008B436B">
        <w:rPr>
          <w:rFonts w:cs="Times New Roman"/>
          <w:szCs w:val="19"/>
        </w:rPr>
        <w:t>.</w:t>
      </w:r>
      <w:r w:rsidRPr="008B436B">
        <w:rPr>
          <w:rFonts w:cs="Times New Roman"/>
          <w:szCs w:val="19"/>
        </w:rPr>
        <w:t xml:space="preserve"> n. 238</w:t>
      </w:r>
      <w:r w:rsidR="000C6DB8" w:rsidRPr="008B436B">
        <w:rPr>
          <w:rFonts w:cs="Times New Roman"/>
          <w:szCs w:val="19"/>
        </w:rPr>
        <w:t>/</w:t>
      </w:r>
      <w:r w:rsidRPr="008B436B">
        <w:rPr>
          <w:rFonts w:cs="Times New Roman"/>
          <w:szCs w:val="19"/>
        </w:rPr>
        <w:t>2014.</w:t>
      </w:r>
    </w:p>
  </w:footnote>
  <w:footnote w:id="60">
    <w:p w14:paraId="3D8A4BD5" w14:textId="3E171C80"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Sul dovere per l’Amministrazione – nella specie il Comune – di predisporre il progetto individuale di vita e sull’azionabilità del correlato diritto, cfr. T.A.R. Campania, Napoli, </w:t>
      </w:r>
      <w:r w:rsidR="000C6DB8" w:rsidRPr="008B436B">
        <w:rPr>
          <w:rFonts w:cs="Times New Roman"/>
          <w:szCs w:val="19"/>
        </w:rPr>
        <w:t xml:space="preserve">sez. </w:t>
      </w:r>
      <w:r w:rsidRPr="008B436B">
        <w:rPr>
          <w:rFonts w:cs="Times New Roman"/>
          <w:szCs w:val="19"/>
        </w:rPr>
        <w:t xml:space="preserve">VI, 10 ottobre 2024, n. 5317, ottemperata con </w:t>
      </w:r>
      <w:proofErr w:type="spellStart"/>
      <w:r w:rsidRPr="008B436B">
        <w:rPr>
          <w:rFonts w:cs="Times New Roman"/>
          <w:szCs w:val="19"/>
        </w:rPr>
        <w:t>sent</w:t>
      </w:r>
      <w:proofErr w:type="spellEnd"/>
      <w:r w:rsidR="005C0AB1">
        <w:rPr>
          <w:rFonts w:cs="Times New Roman"/>
          <w:szCs w:val="19"/>
        </w:rPr>
        <w:t>.</w:t>
      </w:r>
      <w:r w:rsidRPr="008B436B">
        <w:rPr>
          <w:rFonts w:cs="Times New Roman"/>
          <w:szCs w:val="19"/>
        </w:rPr>
        <w:t xml:space="preserve"> 8 maggio 2025, n. 3659; anche T.A.R. Campania, Napoli, </w:t>
      </w:r>
      <w:r w:rsidR="000C6DB8" w:rsidRPr="008B436B">
        <w:rPr>
          <w:rFonts w:cs="Times New Roman"/>
          <w:szCs w:val="19"/>
        </w:rPr>
        <w:t xml:space="preserve">sez. </w:t>
      </w:r>
      <w:r w:rsidRPr="008B436B">
        <w:rPr>
          <w:rFonts w:cs="Times New Roman"/>
          <w:szCs w:val="19"/>
        </w:rPr>
        <w:t xml:space="preserve">II, 5 maggio 2025, n. 3614; T.A.R. Campania, Salerno, </w:t>
      </w:r>
      <w:r w:rsidR="000C6DB8" w:rsidRPr="008B436B">
        <w:rPr>
          <w:rFonts w:cs="Times New Roman"/>
          <w:szCs w:val="19"/>
        </w:rPr>
        <w:t xml:space="preserve">sez. </w:t>
      </w:r>
      <w:r w:rsidRPr="008B436B">
        <w:rPr>
          <w:rFonts w:cs="Times New Roman"/>
          <w:szCs w:val="19"/>
        </w:rPr>
        <w:t xml:space="preserve">III, 12 marzo 2025, n. 476; sull’illegittimità del silenzio in ordine alla richiesta di rimodulazione del progetto di vita, T.A.R. Calabria, Reggio Calabria, 10 aprile 2025, n. 275; T.A.R. Calabria, Catanzaro, </w:t>
      </w:r>
      <w:r w:rsidR="000C6DB8" w:rsidRPr="008B436B">
        <w:rPr>
          <w:rFonts w:cs="Times New Roman"/>
          <w:szCs w:val="19"/>
        </w:rPr>
        <w:t xml:space="preserve">sez. </w:t>
      </w:r>
      <w:r w:rsidRPr="008B436B">
        <w:rPr>
          <w:rFonts w:cs="Times New Roman"/>
          <w:szCs w:val="19"/>
        </w:rPr>
        <w:t xml:space="preserve">I, 27 marzo 2025, n. 593; T.A.R. Sicilia, Palermo, </w:t>
      </w:r>
      <w:r w:rsidR="000C6DB8" w:rsidRPr="008B436B">
        <w:rPr>
          <w:rFonts w:cs="Times New Roman"/>
          <w:szCs w:val="19"/>
        </w:rPr>
        <w:t xml:space="preserve">sez. </w:t>
      </w:r>
      <w:r w:rsidRPr="008B436B">
        <w:rPr>
          <w:rFonts w:cs="Times New Roman"/>
          <w:szCs w:val="19"/>
        </w:rPr>
        <w:t xml:space="preserve">III, 19 marzo 2025, n. 609; T.A.R. Lazio, Roma, </w:t>
      </w:r>
      <w:r w:rsidR="000C6DB8" w:rsidRPr="008B436B">
        <w:rPr>
          <w:rFonts w:cs="Times New Roman"/>
          <w:szCs w:val="19"/>
        </w:rPr>
        <w:t xml:space="preserve">sez. </w:t>
      </w:r>
      <w:r w:rsidRPr="008B436B">
        <w:rPr>
          <w:rFonts w:cs="Times New Roman"/>
          <w:szCs w:val="19"/>
        </w:rPr>
        <w:t>II, 1° ottobre 2024, n. 17013</w:t>
      </w:r>
      <w:r w:rsidR="000C733B">
        <w:rPr>
          <w:rFonts w:cs="Times New Roman"/>
          <w:szCs w:val="19"/>
        </w:rPr>
        <w:t>;</w:t>
      </w:r>
      <w:r w:rsidR="00CB25E2">
        <w:rPr>
          <w:rFonts w:cs="Times New Roman"/>
          <w:szCs w:val="19"/>
        </w:rPr>
        <w:t xml:space="preserve"> sull’obbligo per l’ASL di predisporre il progetto di vita, </w:t>
      </w:r>
      <w:r w:rsidR="00CB25E2" w:rsidRPr="008B436B">
        <w:rPr>
          <w:rFonts w:cs="Times New Roman"/>
          <w:szCs w:val="19"/>
        </w:rPr>
        <w:t>T.A.R. Lazio, Roma, sez. II</w:t>
      </w:r>
      <w:r w:rsidR="00CB25E2">
        <w:rPr>
          <w:rFonts w:cs="Times New Roman"/>
          <w:szCs w:val="19"/>
        </w:rPr>
        <w:t xml:space="preserve"> bis</w:t>
      </w:r>
      <w:r w:rsidR="00CB25E2" w:rsidRPr="008B436B">
        <w:rPr>
          <w:rFonts w:cs="Times New Roman"/>
          <w:szCs w:val="19"/>
        </w:rPr>
        <w:t xml:space="preserve">, </w:t>
      </w:r>
      <w:r w:rsidR="00CB25E2">
        <w:rPr>
          <w:rFonts w:cs="Times New Roman"/>
          <w:szCs w:val="19"/>
        </w:rPr>
        <w:t xml:space="preserve">24 giugno </w:t>
      </w:r>
      <w:r w:rsidR="00CB25E2" w:rsidRPr="008B436B">
        <w:rPr>
          <w:rFonts w:cs="Times New Roman"/>
          <w:szCs w:val="19"/>
        </w:rPr>
        <w:t>202</w:t>
      </w:r>
      <w:r w:rsidR="00CB25E2">
        <w:rPr>
          <w:rFonts w:cs="Times New Roman"/>
          <w:szCs w:val="19"/>
        </w:rPr>
        <w:t>5</w:t>
      </w:r>
      <w:r w:rsidR="00CB25E2" w:rsidRPr="008B436B">
        <w:rPr>
          <w:rFonts w:cs="Times New Roman"/>
          <w:szCs w:val="19"/>
        </w:rPr>
        <w:t>, n. 1</w:t>
      </w:r>
      <w:r w:rsidR="00CB25E2">
        <w:rPr>
          <w:rFonts w:cs="Times New Roman"/>
          <w:szCs w:val="19"/>
        </w:rPr>
        <w:t>2458;</w:t>
      </w:r>
      <w:r w:rsidR="000C733B" w:rsidRPr="000C733B">
        <w:t xml:space="preserve"> </w:t>
      </w:r>
      <w:r w:rsidR="000C733B">
        <w:t>al fine di</w:t>
      </w:r>
      <w:r w:rsidR="000C733B" w:rsidRPr="000C733B">
        <w:rPr>
          <w:rFonts w:cs="Times New Roman"/>
          <w:szCs w:val="19"/>
        </w:rPr>
        <w:t xml:space="preserve"> monitorare la giurisprudenza relativa ai diritti d</w:t>
      </w:r>
      <w:r w:rsidR="000C733B">
        <w:rPr>
          <w:rFonts w:cs="Times New Roman"/>
          <w:szCs w:val="19"/>
        </w:rPr>
        <w:t>ei</w:t>
      </w:r>
      <w:r w:rsidR="000C733B" w:rsidRPr="000C733B">
        <w:rPr>
          <w:rFonts w:cs="Times New Roman"/>
          <w:szCs w:val="19"/>
        </w:rPr>
        <w:t xml:space="preserve"> disabili</w:t>
      </w:r>
      <w:r w:rsidR="00C27803">
        <w:rPr>
          <w:rFonts w:cs="Times New Roman"/>
          <w:szCs w:val="19"/>
        </w:rPr>
        <w:t xml:space="preserve">, </w:t>
      </w:r>
      <w:r w:rsidR="000C733B">
        <w:rPr>
          <w:rFonts w:cs="Times New Roman"/>
          <w:szCs w:val="19"/>
        </w:rPr>
        <w:t>è stato istituito presso</w:t>
      </w:r>
      <w:r w:rsidR="000C733B" w:rsidRPr="000C733B">
        <w:t xml:space="preserve"> </w:t>
      </w:r>
      <w:r w:rsidR="000C733B" w:rsidRPr="000C733B">
        <w:rPr>
          <w:rFonts w:cs="Times New Roman"/>
          <w:szCs w:val="19"/>
        </w:rPr>
        <w:t>l’Università degli Studi di Milano</w:t>
      </w:r>
      <w:r w:rsidR="000C733B">
        <w:rPr>
          <w:rFonts w:cs="Times New Roman"/>
          <w:szCs w:val="19"/>
        </w:rPr>
        <w:t xml:space="preserve"> </w:t>
      </w:r>
      <w:r w:rsidR="000C733B">
        <w:t>l</w:t>
      </w:r>
      <w:r w:rsidR="000C733B" w:rsidRPr="000C733B">
        <w:rPr>
          <w:rFonts w:cs="Times New Roman"/>
          <w:szCs w:val="19"/>
        </w:rPr>
        <w:t>’Osservatorio giuridico Human Hall sui diritti delle persone con disabilità</w:t>
      </w:r>
      <w:r w:rsidR="000C733B">
        <w:rPr>
          <w:rFonts w:cs="Times New Roman"/>
          <w:szCs w:val="19"/>
        </w:rPr>
        <w:t>, reperibile all’indirizzo</w:t>
      </w:r>
      <w:r w:rsidR="000C733B" w:rsidRPr="000C733B">
        <w:rPr>
          <w:rFonts w:cs="Times New Roman"/>
          <w:szCs w:val="19"/>
        </w:rPr>
        <w:t xml:space="preserve"> </w:t>
      </w:r>
      <w:r w:rsidR="000C733B" w:rsidRPr="00391A67">
        <w:rPr>
          <w:rFonts w:cs="Times New Roman"/>
          <w:i/>
          <w:iCs/>
          <w:szCs w:val="19"/>
        </w:rPr>
        <w:t>https://osservatoriodisabilitahumanhall.unimi.it/</w:t>
      </w:r>
      <w:r w:rsidRPr="00391A67">
        <w:rPr>
          <w:rFonts w:cs="Times New Roman"/>
          <w:i/>
          <w:iCs/>
          <w:szCs w:val="19"/>
        </w:rPr>
        <w:t>.</w:t>
      </w:r>
    </w:p>
  </w:footnote>
  <w:footnote w:id="61">
    <w:p w14:paraId="7D8BF18F" w14:textId="762797DD"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Corte cost</w:t>
      </w:r>
      <w:r w:rsidR="000C6DB8" w:rsidRPr="008B436B">
        <w:rPr>
          <w:rFonts w:cs="Times New Roman"/>
          <w:szCs w:val="19"/>
        </w:rPr>
        <w:t>.</w:t>
      </w:r>
      <w:r w:rsidRPr="008B436B">
        <w:rPr>
          <w:rFonts w:cs="Times New Roman"/>
          <w:szCs w:val="19"/>
        </w:rPr>
        <w:t xml:space="preserve">, </w:t>
      </w:r>
      <w:proofErr w:type="spellStart"/>
      <w:r w:rsidRPr="008B436B">
        <w:rPr>
          <w:rFonts w:cs="Times New Roman"/>
          <w:szCs w:val="19"/>
        </w:rPr>
        <w:t>sent</w:t>
      </w:r>
      <w:proofErr w:type="spellEnd"/>
      <w:r w:rsidR="0025167F" w:rsidRPr="008B436B">
        <w:rPr>
          <w:rFonts w:cs="Times New Roman"/>
          <w:szCs w:val="19"/>
        </w:rPr>
        <w:t>.</w:t>
      </w:r>
      <w:r w:rsidRPr="008B436B">
        <w:rPr>
          <w:rFonts w:cs="Times New Roman"/>
          <w:szCs w:val="19"/>
        </w:rPr>
        <w:t xml:space="preserve"> n. 6</w:t>
      </w:r>
      <w:r w:rsidR="000C6DB8" w:rsidRPr="008B436B">
        <w:rPr>
          <w:rFonts w:cs="Times New Roman"/>
          <w:szCs w:val="19"/>
        </w:rPr>
        <w:t>/</w:t>
      </w:r>
      <w:r w:rsidRPr="008B436B">
        <w:rPr>
          <w:rFonts w:cs="Times New Roman"/>
          <w:szCs w:val="19"/>
        </w:rPr>
        <w:t xml:space="preserve">2018, in </w:t>
      </w:r>
      <w:r w:rsidRPr="008B436B">
        <w:rPr>
          <w:rFonts w:cs="Times New Roman"/>
          <w:i/>
          <w:iCs/>
          <w:szCs w:val="19"/>
        </w:rPr>
        <w:t>Giur. cost.</w:t>
      </w:r>
      <w:r w:rsidRPr="008B436B">
        <w:rPr>
          <w:rFonts w:cs="Times New Roman"/>
          <w:szCs w:val="19"/>
        </w:rPr>
        <w:t>, n. 1</w:t>
      </w:r>
      <w:r w:rsidR="000C6DB8" w:rsidRPr="008B436B">
        <w:rPr>
          <w:rFonts w:cs="Times New Roman"/>
          <w:szCs w:val="19"/>
        </w:rPr>
        <w:t>/2018</w:t>
      </w:r>
      <w:r w:rsidRPr="008B436B">
        <w:rPr>
          <w:rFonts w:cs="Times New Roman"/>
          <w:szCs w:val="19"/>
        </w:rPr>
        <w:t xml:space="preserve">, </w:t>
      </w:r>
      <w:r w:rsidR="000C6DB8" w:rsidRPr="008B436B">
        <w:rPr>
          <w:rFonts w:cs="Times New Roman"/>
          <w:szCs w:val="19"/>
        </w:rPr>
        <w:t xml:space="preserve">p. </w:t>
      </w:r>
      <w:r w:rsidRPr="008B436B">
        <w:rPr>
          <w:rFonts w:cs="Times New Roman"/>
          <w:szCs w:val="19"/>
        </w:rPr>
        <w:t xml:space="preserve">104 ss., con nota di </w:t>
      </w:r>
      <w:r w:rsidRPr="008B436B">
        <w:rPr>
          <w:rFonts w:cs="Times New Roman"/>
          <w:smallCaps/>
          <w:szCs w:val="19"/>
        </w:rPr>
        <w:t>G. Sigismondi</w:t>
      </w:r>
      <w:r w:rsidRPr="008B436B">
        <w:rPr>
          <w:rFonts w:cs="Times New Roman"/>
          <w:szCs w:val="19"/>
        </w:rPr>
        <w:t xml:space="preserve">, </w:t>
      </w:r>
      <w:r w:rsidRPr="008B436B">
        <w:rPr>
          <w:rFonts w:cs="Times New Roman"/>
          <w:i/>
          <w:iCs/>
          <w:szCs w:val="19"/>
        </w:rPr>
        <w:t>Questioni di legittimità costituzionale per contrasto con le sentenze della Corte EDU e ricorso per cassazione per motivi di giurisdizione contro le sentenze dei giudici speciali: la Corte costituzionale pone altri punti fermi</w:t>
      </w:r>
      <w:r w:rsidRPr="008B436B">
        <w:rPr>
          <w:rFonts w:cs="Times New Roman"/>
          <w:szCs w:val="19"/>
        </w:rPr>
        <w:t>.</w:t>
      </w:r>
    </w:p>
  </w:footnote>
  <w:footnote w:id="62">
    <w:p w14:paraId="7CBEEA37" w14:textId="084A209F"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Artt. 102 e 103 Cost.; al fine di garantire alle situazioni soggettive devolute alla giurisdizione amministrativa piena ed effettiva tutela, è necessario che il giudice sia munito di adeguati poteri: Corte cost</w:t>
      </w:r>
      <w:r w:rsidR="000C6DB8" w:rsidRPr="008B436B">
        <w:rPr>
          <w:rFonts w:cs="Times New Roman"/>
          <w:szCs w:val="19"/>
        </w:rPr>
        <w:t>.</w:t>
      </w:r>
      <w:r w:rsidRPr="008B436B">
        <w:rPr>
          <w:rFonts w:cs="Times New Roman"/>
          <w:szCs w:val="19"/>
        </w:rPr>
        <w:t xml:space="preserve">, </w:t>
      </w:r>
      <w:proofErr w:type="spellStart"/>
      <w:r w:rsidRPr="008B436B">
        <w:rPr>
          <w:rFonts w:cs="Times New Roman"/>
          <w:szCs w:val="19"/>
        </w:rPr>
        <w:t>sent</w:t>
      </w:r>
      <w:r w:rsidR="000C6DB8" w:rsidRPr="008B436B">
        <w:rPr>
          <w:rFonts w:cs="Times New Roman"/>
          <w:szCs w:val="19"/>
        </w:rPr>
        <w:t>t</w:t>
      </w:r>
      <w:proofErr w:type="spellEnd"/>
      <w:r w:rsidR="000C6DB8" w:rsidRPr="008B436B">
        <w:rPr>
          <w:rFonts w:cs="Times New Roman"/>
          <w:szCs w:val="19"/>
        </w:rPr>
        <w:t>.</w:t>
      </w:r>
      <w:r w:rsidRPr="008B436B">
        <w:rPr>
          <w:rFonts w:cs="Times New Roman"/>
          <w:szCs w:val="19"/>
        </w:rPr>
        <w:t xml:space="preserve"> n. 204</w:t>
      </w:r>
      <w:r w:rsidR="000C6DB8" w:rsidRPr="008B436B">
        <w:rPr>
          <w:rFonts w:cs="Times New Roman"/>
          <w:szCs w:val="19"/>
        </w:rPr>
        <w:t>/</w:t>
      </w:r>
      <w:r w:rsidRPr="008B436B">
        <w:rPr>
          <w:rFonts w:cs="Times New Roman"/>
          <w:szCs w:val="19"/>
        </w:rPr>
        <w:t>2004 e n. 191</w:t>
      </w:r>
      <w:r w:rsidR="000C6DB8" w:rsidRPr="008B436B">
        <w:rPr>
          <w:rFonts w:cs="Times New Roman"/>
          <w:szCs w:val="19"/>
        </w:rPr>
        <w:t>/</w:t>
      </w:r>
      <w:r w:rsidRPr="008B436B">
        <w:rPr>
          <w:rFonts w:cs="Times New Roman"/>
          <w:szCs w:val="19"/>
        </w:rPr>
        <w:t>2006; Cons</w:t>
      </w:r>
      <w:r w:rsidR="000C6DB8" w:rsidRPr="008B436B">
        <w:rPr>
          <w:rFonts w:cs="Times New Roman"/>
          <w:szCs w:val="19"/>
        </w:rPr>
        <w:t>.</w:t>
      </w:r>
      <w:r w:rsidRPr="008B436B">
        <w:rPr>
          <w:rFonts w:cs="Times New Roman"/>
          <w:szCs w:val="19"/>
        </w:rPr>
        <w:t xml:space="preserve"> Stato, </w:t>
      </w:r>
      <w:r w:rsidR="000C6DB8" w:rsidRPr="008B436B">
        <w:rPr>
          <w:rFonts w:cs="Times New Roman"/>
          <w:szCs w:val="19"/>
        </w:rPr>
        <w:t>a</w:t>
      </w:r>
      <w:r w:rsidRPr="008B436B">
        <w:rPr>
          <w:rFonts w:cs="Times New Roman"/>
          <w:szCs w:val="19"/>
        </w:rPr>
        <w:t xml:space="preserve">d. pl., 9 maggio 2019, n. 7; </w:t>
      </w:r>
      <w:r w:rsidR="000C6DB8" w:rsidRPr="008B436B">
        <w:rPr>
          <w:rFonts w:cs="Times New Roman"/>
          <w:szCs w:val="19"/>
        </w:rPr>
        <w:t>Cons. Stato, a</w:t>
      </w:r>
      <w:r w:rsidRPr="008B436B">
        <w:rPr>
          <w:rFonts w:cs="Times New Roman"/>
          <w:szCs w:val="19"/>
        </w:rPr>
        <w:t>d. pl., 15 gennaio 2013, n. 3.</w:t>
      </w:r>
    </w:p>
  </w:footnote>
  <w:footnote w:id="63">
    <w:p w14:paraId="432C3624" w14:textId="23995CB7"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Corte cost</w:t>
      </w:r>
      <w:r w:rsidR="000C6DB8" w:rsidRPr="008B436B">
        <w:rPr>
          <w:rFonts w:cs="Times New Roman"/>
          <w:szCs w:val="19"/>
        </w:rPr>
        <w:t>.</w:t>
      </w:r>
      <w:r w:rsidRPr="008B436B">
        <w:rPr>
          <w:rFonts w:cs="Times New Roman"/>
          <w:szCs w:val="19"/>
        </w:rPr>
        <w:t xml:space="preserve">, </w:t>
      </w:r>
      <w:proofErr w:type="spellStart"/>
      <w:r w:rsidRPr="008B436B">
        <w:rPr>
          <w:rFonts w:cs="Times New Roman"/>
          <w:szCs w:val="19"/>
        </w:rPr>
        <w:t>sent</w:t>
      </w:r>
      <w:proofErr w:type="spellEnd"/>
      <w:r w:rsidR="000C6DB8" w:rsidRPr="008B436B">
        <w:rPr>
          <w:rFonts w:cs="Times New Roman"/>
          <w:szCs w:val="19"/>
        </w:rPr>
        <w:t>.</w:t>
      </w:r>
      <w:r w:rsidRPr="008B436B">
        <w:rPr>
          <w:rFonts w:cs="Times New Roman"/>
          <w:szCs w:val="19"/>
        </w:rPr>
        <w:t xml:space="preserve"> n. 77</w:t>
      </w:r>
      <w:r w:rsidR="000C6DB8" w:rsidRPr="008B436B">
        <w:rPr>
          <w:rFonts w:cs="Times New Roman"/>
          <w:szCs w:val="19"/>
        </w:rPr>
        <w:t>/</w:t>
      </w:r>
      <w:r w:rsidRPr="008B436B">
        <w:rPr>
          <w:rFonts w:cs="Times New Roman"/>
          <w:szCs w:val="19"/>
        </w:rPr>
        <w:t>2007.</w:t>
      </w:r>
    </w:p>
  </w:footnote>
  <w:footnote w:id="64">
    <w:p w14:paraId="1225EE27" w14:textId="77777777"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Cfr. T.A.R. Valle d’Aosta, 14 gennaio 2019, n. 2.</w:t>
      </w:r>
    </w:p>
  </w:footnote>
  <w:footnote w:id="65">
    <w:p w14:paraId="542E174C" w14:textId="67F9EE2C"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Cfr. </w:t>
      </w:r>
      <w:r w:rsidRPr="008B436B">
        <w:rPr>
          <w:rFonts w:cs="Times New Roman"/>
          <w:smallCaps/>
          <w:szCs w:val="19"/>
        </w:rPr>
        <w:t>R. Giani</w:t>
      </w:r>
      <w:r w:rsidRPr="008B436B">
        <w:rPr>
          <w:rFonts w:cs="Times New Roman"/>
          <w:szCs w:val="19"/>
        </w:rPr>
        <w:t xml:space="preserve">, </w:t>
      </w:r>
      <w:r w:rsidRPr="008B436B">
        <w:rPr>
          <w:rFonts w:cs="Times New Roman"/>
          <w:i/>
          <w:iCs/>
          <w:szCs w:val="19"/>
        </w:rPr>
        <w:t>Giudice amministrativo e giurisdizione esclusiva</w:t>
      </w:r>
      <w:r w:rsidRPr="008B436B">
        <w:rPr>
          <w:rFonts w:cs="Times New Roman"/>
          <w:szCs w:val="19"/>
        </w:rPr>
        <w:t xml:space="preserve">, cit., </w:t>
      </w:r>
      <w:r w:rsidR="000C6DB8" w:rsidRPr="008B436B">
        <w:rPr>
          <w:rFonts w:cs="Times New Roman"/>
          <w:szCs w:val="19"/>
        </w:rPr>
        <w:t xml:space="preserve">p. </w:t>
      </w:r>
      <w:r w:rsidRPr="008B436B">
        <w:rPr>
          <w:rFonts w:cs="Times New Roman"/>
          <w:szCs w:val="19"/>
        </w:rPr>
        <w:t>211.</w:t>
      </w:r>
    </w:p>
  </w:footnote>
  <w:footnote w:id="66">
    <w:p w14:paraId="0740A33E" w14:textId="280E11F7"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Sulla nozione di servizio pubblico, cfr. Corte costituzionale, </w:t>
      </w:r>
      <w:proofErr w:type="spellStart"/>
      <w:r w:rsidRPr="008B436B">
        <w:rPr>
          <w:rFonts w:cs="Times New Roman"/>
          <w:szCs w:val="19"/>
        </w:rPr>
        <w:t>sent</w:t>
      </w:r>
      <w:proofErr w:type="spellEnd"/>
      <w:r w:rsidR="000C6DB8" w:rsidRPr="008B436B">
        <w:rPr>
          <w:rFonts w:cs="Times New Roman"/>
          <w:szCs w:val="19"/>
        </w:rPr>
        <w:t>.</w:t>
      </w:r>
      <w:r w:rsidRPr="008B436B">
        <w:rPr>
          <w:rFonts w:cs="Times New Roman"/>
          <w:szCs w:val="19"/>
        </w:rPr>
        <w:t xml:space="preserve"> n. 325</w:t>
      </w:r>
      <w:r w:rsidR="000C6DB8" w:rsidRPr="008B436B">
        <w:rPr>
          <w:rFonts w:cs="Times New Roman"/>
          <w:szCs w:val="19"/>
        </w:rPr>
        <w:t>/</w:t>
      </w:r>
      <w:r w:rsidRPr="008B436B">
        <w:rPr>
          <w:rFonts w:cs="Times New Roman"/>
          <w:szCs w:val="19"/>
        </w:rPr>
        <w:t xml:space="preserve">2010; </w:t>
      </w:r>
      <w:r w:rsidRPr="008B436B">
        <w:rPr>
          <w:rFonts w:cs="Times New Roman"/>
          <w:smallCaps/>
          <w:szCs w:val="19"/>
        </w:rPr>
        <w:t>R. Villata</w:t>
      </w:r>
      <w:r w:rsidR="000C6DB8" w:rsidRPr="008B436B">
        <w:rPr>
          <w:rFonts w:cs="Times New Roman"/>
          <w:smallCaps/>
          <w:szCs w:val="19"/>
        </w:rPr>
        <w:t>,</w:t>
      </w:r>
      <w:r w:rsidRPr="008B436B">
        <w:rPr>
          <w:rFonts w:cs="Times New Roman"/>
          <w:smallCaps/>
          <w:szCs w:val="19"/>
        </w:rPr>
        <w:t xml:space="preserve"> S. Valaguzza</w:t>
      </w:r>
      <w:r w:rsidRPr="008B436B">
        <w:rPr>
          <w:rFonts w:cs="Times New Roman"/>
          <w:szCs w:val="19"/>
        </w:rPr>
        <w:t xml:space="preserve">, </w:t>
      </w:r>
      <w:r w:rsidRPr="008B436B">
        <w:rPr>
          <w:rFonts w:cs="Times New Roman"/>
          <w:i/>
          <w:iCs/>
          <w:szCs w:val="19"/>
        </w:rPr>
        <w:t>Pubblici servizi</w:t>
      </w:r>
      <w:r w:rsidRPr="008B436B">
        <w:rPr>
          <w:rFonts w:cs="Times New Roman"/>
          <w:szCs w:val="19"/>
        </w:rPr>
        <w:t>, Torino, 2022.</w:t>
      </w:r>
    </w:p>
  </w:footnote>
  <w:footnote w:id="67">
    <w:p w14:paraId="55C332D3" w14:textId="41D2C683"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Riproduttivo dell’art. 33 del </w:t>
      </w:r>
      <w:r w:rsidR="000C6DB8" w:rsidRPr="008B436B">
        <w:rPr>
          <w:rFonts w:cs="Times New Roman"/>
          <w:szCs w:val="19"/>
        </w:rPr>
        <w:t>d.lgs</w:t>
      </w:r>
      <w:r w:rsidRPr="008B436B">
        <w:rPr>
          <w:rFonts w:cs="Times New Roman"/>
          <w:szCs w:val="19"/>
        </w:rPr>
        <w:t>. n. 80</w:t>
      </w:r>
      <w:r w:rsidR="000C6DB8" w:rsidRPr="008B436B">
        <w:rPr>
          <w:rFonts w:cs="Times New Roman"/>
          <w:szCs w:val="19"/>
        </w:rPr>
        <w:t>/</w:t>
      </w:r>
      <w:r w:rsidRPr="008B436B">
        <w:rPr>
          <w:rFonts w:cs="Times New Roman"/>
          <w:szCs w:val="19"/>
        </w:rPr>
        <w:t>1998.</w:t>
      </w:r>
    </w:p>
  </w:footnote>
  <w:footnote w:id="68">
    <w:p w14:paraId="3C81B66C" w14:textId="10054388"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Così </w:t>
      </w:r>
      <w:r w:rsidRPr="008B436B">
        <w:rPr>
          <w:rFonts w:cs="Times New Roman"/>
          <w:smallCaps/>
          <w:szCs w:val="19"/>
        </w:rPr>
        <w:t>M. Ramajoli</w:t>
      </w:r>
      <w:r w:rsidRPr="008B436B">
        <w:rPr>
          <w:rFonts w:cs="Times New Roman"/>
          <w:szCs w:val="19"/>
        </w:rPr>
        <w:t xml:space="preserve">, </w:t>
      </w:r>
      <w:r w:rsidRPr="008B436B">
        <w:rPr>
          <w:rFonts w:cs="Times New Roman"/>
          <w:i/>
          <w:iCs/>
          <w:szCs w:val="19"/>
        </w:rPr>
        <w:t>Sui molteplici criteri di riparto della giurisdizione</w:t>
      </w:r>
      <w:r w:rsidRPr="008B436B">
        <w:rPr>
          <w:rFonts w:cs="Times New Roman"/>
          <w:szCs w:val="19"/>
        </w:rPr>
        <w:t xml:space="preserve">, cit., </w:t>
      </w:r>
      <w:r w:rsidR="000C6DB8" w:rsidRPr="008B436B">
        <w:rPr>
          <w:rFonts w:cs="Times New Roman"/>
          <w:szCs w:val="19"/>
        </w:rPr>
        <w:t xml:space="preserve">p. </w:t>
      </w:r>
      <w:r w:rsidRPr="008B436B">
        <w:rPr>
          <w:rFonts w:cs="Times New Roman"/>
          <w:szCs w:val="19"/>
        </w:rPr>
        <w:t>279.</w:t>
      </w:r>
    </w:p>
  </w:footnote>
  <w:footnote w:id="69">
    <w:p w14:paraId="57402B0B" w14:textId="00C79490"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Corte cost</w:t>
      </w:r>
      <w:r w:rsidR="000C6DB8" w:rsidRPr="008B436B">
        <w:rPr>
          <w:rFonts w:cs="Times New Roman"/>
          <w:szCs w:val="19"/>
        </w:rPr>
        <w:t>.</w:t>
      </w:r>
      <w:r w:rsidRPr="008B436B">
        <w:rPr>
          <w:rFonts w:cs="Times New Roman"/>
          <w:szCs w:val="19"/>
        </w:rPr>
        <w:t xml:space="preserve">, </w:t>
      </w:r>
      <w:proofErr w:type="spellStart"/>
      <w:r w:rsidRPr="008B436B">
        <w:rPr>
          <w:rFonts w:cs="Times New Roman"/>
          <w:szCs w:val="19"/>
        </w:rPr>
        <w:t>sent</w:t>
      </w:r>
      <w:proofErr w:type="spellEnd"/>
      <w:r w:rsidR="000C6DB8" w:rsidRPr="008B436B">
        <w:rPr>
          <w:rFonts w:cs="Times New Roman"/>
          <w:szCs w:val="19"/>
        </w:rPr>
        <w:t>.</w:t>
      </w:r>
      <w:r w:rsidRPr="008B436B">
        <w:rPr>
          <w:rFonts w:cs="Times New Roman"/>
          <w:szCs w:val="19"/>
        </w:rPr>
        <w:t xml:space="preserve"> n. 35</w:t>
      </w:r>
      <w:r w:rsidR="000C6DB8" w:rsidRPr="008B436B">
        <w:rPr>
          <w:rFonts w:cs="Times New Roman"/>
          <w:szCs w:val="19"/>
        </w:rPr>
        <w:t>/</w:t>
      </w:r>
      <w:r w:rsidRPr="008B436B">
        <w:rPr>
          <w:rFonts w:cs="Times New Roman"/>
          <w:szCs w:val="19"/>
        </w:rPr>
        <w:t>2010.</w:t>
      </w:r>
    </w:p>
  </w:footnote>
  <w:footnote w:id="70">
    <w:p w14:paraId="53C02EB8" w14:textId="5410FFC5"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Cons</w:t>
      </w:r>
      <w:r w:rsidR="000C6DB8" w:rsidRPr="008B436B">
        <w:rPr>
          <w:rFonts w:cs="Times New Roman"/>
          <w:szCs w:val="19"/>
        </w:rPr>
        <w:t xml:space="preserve">. </w:t>
      </w:r>
      <w:r w:rsidRPr="008B436B">
        <w:rPr>
          <w:rFonts w:cs="Times New Roman"/>
          <w:szCs w:val="19"/>
        </w:rPr>
        <w:t xml:space="preserve">Stato, </w:t>
      </w:r>
      <w:r w:rsidR="000C6DB8" w:rsidRPr="008B436B">
        <w:rPr>
          <w:rFonts w:cs="Times New Roman"/>
          <w:szCs w:val="19"/>
        </w:rPr>
        <w:t xml:space="preserve">sez. </w:t>
      </w:r>
      <w:r w:rsidRPr="008B436B">
        <w:rPr>
          <w:rFonts w:cs="Times New Roman"/>
          <w:szCs w:val="19"/>
        </w:rPr>
        <w:t xml:space="preserve">VII, 20 novembre 2024, n. 9323, annotata da </w:t>
      </w:r>
      <w:r w:rsidRPr="008B436B">
        <w:rPr>
          <w:rFonts w:cs="Times New Roman"/>
          <w:smallCaps/>
          <w:szCs w:val="19"/>
        </w:rPr>
        <w:t>M.L. Quattrocchi</w:t>
      </w:r>
      <w:r w:rsidRPr="008B436B">
        <w:rPr>
          <w:rFonts w:cs="Times New Roman"/>
          <w:szCs w:val="19"/>
        </w:rPr>
        <w:t xml:space="preserve">, </w:t>
      </w:r>
      <w:r w:rsidRPr="008B436B">
        <w:rPr>
          <w:rFonts w:cs="Times New Roman"/>
          <w:i/>
          <w:iCs/>
          <w:szCs w:val="19"/>
        </w:rPr>
        <w:t>Il diritto fondamentale all’istruzione dei soggetti in condizione di disabilità</w:t>
      </w:r>
      <w:r w:rsidRPr="008B436B">
        <w:rPr>
          <w:rFonts w:cs="Times New Roman"/>
          <w:szCs w:val="19"/>
        </w:rPr>
        <w:t xml:space="preserve">, in </w:t>
      </w:r>
      <w:r w:rsidRPr="008B436B">
        <w:rPr>
          <w:rFonts w:cs="Times New Roman"/>
          <w:i/>
          <w:iCs/>
          <w:szCs w:val="19"/>
        </w:rPr>
        <w:t xml:space="preserve">Queste </w:t>
      </w:r>
      <w:proofErr w:type="spellStart"/>
      <w:r w:rsidRPr="008B436B">
        <w:rPr>
          <w:rFonts w:cs="Times New Roman"/>
          <w:i/>
          <w:iCs/>
          <w:szCs w:val="19"/>
        </w:rPr>
        <w:t>istituz</w:t>
      </w:r>
      <w:proofErr w:type="spellEnd"/>
      <w:r w:rsidR="0025167F" w:rsidRPr="008B436B">
        <w:rPr>
          <w:rFonts w:cs="Times New Roman"/>
          <w:i/>
          <w:iCs/>
          <w:szCs w:val="19"/>
        </w:rPr>
        <w:t>.</w:t>
      </w:r>
      <w:r w:rsidRPr="008B436B">
        <w:rPr>
          <w:rFonts w:cs="Times New Roman"/>
          <w:szCs w:val="19"/>
        </w:rPr>
        <w:t>, n. 4</w:t>
      </w:r>
      <w:r w:rsidR="000C6DB8" w:rsidRPr="008B436B">
        <w:rPr>
          <w:rFonts w:cs="Times New Roman"/>
          <w:szCs w:val="19"/>
        </w:rPr>
        <w:t>/2024</w:t>
      </w:r>
      <w:r w:rsidRPr="008B436B">
        <w:rPr>
          <w:rFonts w:cs="Times New Roman"/>
          <w:szCs w:val="19"/>
        </w:rPr>
        <w:t>,</w:t>
      </w:r>
      <w:r w:rsidR="000C6DB8" w:rsidRPr="008B436B">
        <w:rPr>
          <w:rFonts w:cs="Times New Roman"/>
          <w:szCs w:val="19"/>
        </w:rPr>
        <w:t xml:space="preserve"> p.</w:t>
      </w:r>
      <w:r w:rsidRPr="008B436B">
        <w:rPr>
          <w:rFonts w:cs="Times New Roman"/>
          <w:szCs w:val="19"/>
        </w:rPr>
        <w:t xml:space="preserve"> 83 ss.</w:t>
      </w:r>
    </w:p>
  </w:footnote>
  <w:footnote w:id="71">
    <w:p w14:paraId="0ECD2E00" w14:textId="67095A18"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Cfr. Cons</w:t>
      </w:r>
      <w:r w:rsidR="000C6DB8" w:rsidRPr="008B436B">
        <w:rPr>
          <w:rFonts w:cs="Times New Roman"/>
          <w:szCs w:val="19"/>
        </w:rPr>
        <w:t>.</w:t>
      </w:r>
      <w:r w:rsidRPr="008B436B">
        <w:rPr>
          <w:rFonts w:cs="Times New Roman"/>
          <w:szCs w:val="19"/>
        </w:rPr>
        <w:t xml:space="preserve"> Stato, </w:t>
      </w:r>
      <w:r w:rsidR="000C6DB8" w:rsidRPr="008B436B">
        <w:rPr>
          <w:rFonts w:cs="Times New Roman"/>
          <w:szCs w:val="19"/>
        </w:rPr>
        <w:t xml:space="preserve">sez. </w:t>
      </w:r>
      <w:r w:rsidRPr="008B436B">
        <w:rPr>
          <w:rFonts w:cs="Times New Roman"/>
          <w:szCs w:val="19"/>
        </w:rPr>
        <w:t>III, 2 aprile 2024, n. 2989.</w:t>
      </w:r>
      <w:r w:rsidR="000C6DB8" w:rsidRPr="008B436B">
        <w:rPr>
          <w:rFonts w:cs="Times New Roman"/>
          <w:szCs w:val="19"/>
        </w:rPr>
        <w:t xml:space="preserve"> </w:t>
      </w:r>
    </w:p>
  </w:footnote>
  <w:footnote w:id="72">
    <w:p w14:paraId="706A71B7" w14:textId="26CD4CCD"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Cass., </w:t>
      </w:r>
      <w:r w:rsidR="000C6DB8" w:rsidRPr="008B436B">
        <w:rPr>
          <w:rFonts w:cs="Times New Roman"/>
          <w:szCs w:val="19"/>
        </w:rPr>
        <w:t>sez. un</w:t>
      </w:r>
      <w:r w:rsidRPr="008B436B">
        <w:rPr>
          <w:rFonts w:cs="Times New Roman"/>
          <w:szCs w:val="19"/>
        </w:rPr>
        <w:t xml:space="preserve">., </w:t>
      </w:r>
      <w:proofErr w:type="spellStart"/>
      <w:r w:rsidRPr="008B436B">
        <w:rPr>
          <w:rFonts w:cs="Times New Roman"/>
          <w:szCs w:val="19"/>
        </w:rPr>
        <w:t>ord</w:t>
      </w:r>
      <w:proofErr w:type="spellEnd"/>
      <w:r w:rsidRPr="008B436B">
        <w:rPr>
          <w:rFonts w:cs="Times New Roman"/>
          <w:szCs w:val="19"/>
        </w:rPr>
        <w:t xml:space="preserve">. 20 gennaio 2022, n. 1781; Cass., </w:t>
      </w:r>
      <w:r w:rsidR="000C6DB8" w:rsidRPr="008B436B">
        <w:rPr>
          <w:rFonts w:cs="Times New Roman"/>
          <w:szCs w:val="19"/>
        </w:rPr>
        <w:t>sez. un</w:t>
      </w:r>
      <w:r w:rsidRPr="008B436B">
        <w:rPr>
          <w:rFonts w:cs="Times New Roman"/>
          <w:szCs w:val="19"/>
        </w:rPr>
        <w:t xml:space="preserve">., </w:t>
      </w:r>
      <w:proofErr w:type="spellStart"/>
      <w:r w:rsidRPr="008B436B">
        <w:rPr>
          <w:rFonts w:cs="Times New Roman"/>
          <w:szCs w:val="19"/>
        </w:rPr>
        <w:t>ord</w:t>
      </w:r>
      <w:proofErr w:type="spellEnd"/>
      <w:r w:rsidRPr="008B436B">
        <w:rPr>
          <w:rFonts w:cs="Times New Roman"/>
          <w:szCs w:val="19"/>
        </w:rPr>
        <w:t>. 1° febbraio 2021, n. 2159.</w:t>
      </w:r>
    </w:p>
  </w:footnote>
  <w:footnote w:id="73">
    <w:p w14:paraId="3E9970C4" w14:textId="2B3116A3"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Cass., </w:t>
      </w:r>
      <w:r w:rsidR="000C6DB8" w:rsidRPr="008B436B">
        <w:rPr>
          <w:rFonts w:cs="Times New Roman"/>
          <w:szCs w:val="19"/>
        </w:rPr>
        <w:t>sez. un</w:t>
      </w:r>
      <w:r w:rsidRPr="008B436B">
        <w:rPr>
          <w:rFonts w:cs="Times New Roman"/>
          <w:szCs w:val="19"/>
        </w:rPr>
        <w:t xml:space="preserve">., </w:t>
      </w:r>
      <w:proofErr w:type="spellStart"/>
      <w:r w:rsidRPr="008B436B">
        <w:rPr>
          <w:rFonts w:cs="Times New Roman"/>
          <w:szCs w:val="19"/>
        </w:rPr>
        <w:t>ord</w:t>
      </w:r>
      <w:proofErr w:type="spellEnd"/>
      <w:r w:rsidRPr="008B436B">
        <w:rPr>
          <w:rFonts w:cs="Times New Roman"/>
          <w:szCs w:val="19"/>
        </w:rPr>
        <w:t xml:space="preserve">. 8 novembre 2021, n. 32416; </w:t>
      </w:r>
      <w:r w:rsidR="003338D6" w:rsidRPr="008B436B">
        <w:rPr>
          <w:rFonts w:cs="Times New Roman"/>
          <w:szCs w:val="19"/>
        </w:rPr>
        <w:t xml:space="preserve">Id., </w:t>
      </w:r>
      <w:proofErr w:type="spellStart"/>
      <w:r w:rsidRPr="008B436B">
        <w:rPr>
          <w:rFonts w:cs="Times New Roman"/>
          <w:szCs w:val="19"/>
        </w:rPr>
        <w:t>ord</w:t>
      </w:r>
      <w:proofErr w:type="spellEnd"/>
      <w:r w:rsidRPr="008B436B">
        <w:rPr>
          <w:rFonts w:cs="Times New Roman"/>
          <w:szCs w:val="19"/>
        </w:rPr>
        <w:t xml:space="preserve">. 24 settembre 2020, n. 20164; </w:t>
      </w:r>
      <w:r w:rsidR="003338D6" w:rsidRPr="008B436B">
        <w:rPr>
          <w:rFonts w:cs="Times New Roman"/>
          <w:szCs w:val="19"/>
        </w:rPr>
        <w:t xml:space="preserve">Id., </w:t>
      </w:r>
      <w:proofErr w:type="spellStart"/>
      <w:r w:rsidRPr="008B436B">
        <w:rPr>
          <w:rFonts w:cs="Times New Roman"/>
          <w:szCs w:val="19"/>
        </w:rPr>
        <w:t>ord</w:t>
      </w:r>
      <w:proofErr w:type="spellEnd"/>
      <w:r w:rsidRPr="008B436B">
        <w:rPr>
          <w:rFonts w:cs="Times New Roman"/>
          <w:szCs w:val="19"/>
        </w:rPr>
        <w:t xml:space="preserve">. 8 ottobre 2019, n. 25101; C.G.A.R.S., 13 febbraio 2020, n. 114; Corte </w:t>
      </w:r>
      <w:r w:rsidR="003338D6" w:rsidRPr="008B436B">
        <w:rPr>
          <w:rFonts w:cs="Times New Roman"/>
          <w:szCs w:val="19"/>
        </w:rPr>
        <w:t>App.</w:t>
      </w:r>
      <w:r w:rsidRPr="008B436B">
        <w:rPr>
          <w:rFonts w:cs="Times New Roman"/>
          <w:szCs w:val="19"/>
        </w:rPr>
        <w:t xml:space="preserve"> Palermo, </w:t>
      </w:r>
      <w:r w:rsidR="003338D6" w:rsidRPr="008B436B">
        <w:rPr>
          <w:rFonts w:cs="Times New Roman"/>
          <w:szCs w:val="19"/>
        </w:rPr>
        <w:t xml:space="preserve">sez. </w:t>
      </w:r>
      <w:r w:rsidRPr="008B436B">
        <w:rPr>
          <w:rFonts w:cs="Times New Roman"/>
          <w:szCs w:val="19"/>
        </w:rPr>
        <w:t xml:space="preserve">I, 19 settembre 2024, n. 18; T.A.R. Campania, Napoli, </w:t>
      </w:r>
      <w:r w:rsidR="003338D6" w:rsidRPr="008B436B">
        <w:rPr>
          <w:rFonts w:cs="Times New Roman"/>
          <w:szCs w:val="19"/>
        </w:rPr>
        <w:t xml:space="preserve">sez. </w:t>
      </w:r>
      <w:r w:rsidRPr="008B436B">
        <w:rPr>
          <w:rFonts w:cs="Times New Roman"/>
          <w:szCs w:val="19"/>
        </w:rPr>
        <w:t xml:space="preserve">V, 4 novembre 2024, n. 5910; T.A.R. Liguria, </w:t>
      </w:r>
      <w:r w:rsidR="003338D6" w:rsidRPr="008B436B">
        <w:rPr>
          <w:rFonts w:cs="Times New Roman"/>
          <w:szCs w:val="19"/>
        </w:rPr>
        <w:t xml:space="preserve">sez. </w:t>
      </w:r>
      <w:r w:rsidRPr="008B436B">
        <w:rPr>
          <w:rFonts w:cs="Times New Roman"/>
          <w:szCs w:val="19"/>
        </w:rPr>
        <w:t xml:space="preserve">II, 10 settembre 2024, n. 613; </w:t>
      </w:r>
      <w:r w:rsidR="003338D6" w:rsidRPr="008B436B">
        <w:rPr>
          <w:rFonts w:cs="Times New Roman"/>
          <w:szCs w:val="19"/>
        </w:rPr>
        <w:t xml:space="preserve">Id., sez. </w:t>
      </w:r>
      <w:r w:rsidRPr="008B436B">
        <w:rPr>
          <w:rFonts w:cs="Times New Roman"/>
          <w:szCs w:val="19"/>
        </w:rPr>
        <w:t xml:space="preserve">II, 5 settembre 2024, n. 606; T.A.R. Lombardia, Milano, </w:t>
      </w:r>
      <w:r w:rsidR="003338D6" w:rsidRPr="008B436B">
        <w:rPr>
          <w:rFonts w:cs="Times New Roman"/>
          <w:szCs w:val="19"/>
        </w:rPr>
        <w:t xml:space="preserve">sez. </w:t>
      </w:r>
      <w:r w:rsidRPr="008B436B">
        <w:rPr>
          <w:rFonts w:cs="Times New Roman"/>
          <w:szCs w:val="19"/>
        </w:rPr>
        <w:t xml:space="preserve">III, 19 giugno 2023, n. 1559; T.A.R. Sicilia, Catania, </w:t>
      </w:r>
      <w:r w:rsidR="003338D6" w:rsidRPr="008B436B">
        <w:rPr>
          <w:rFonts w:cs="Times New Roman"/>
          <w:szCs w:val="19"/>
        </w:rPr>
        <w:t xml:space="preserve">sez. </w:t>
      </w:r>
      <w:r w:rsidRPr="008B436B">
        <w:rPr>
          <w:rFonts w:cs="Times New Roman"/>
          <w:szCs w:val="19"/>
        </w:rPr>
        <w:t>III, 20 dicembre 2021, n. 3845; T.A.R</w:t>
      </w:r>
      <w:r w:rsidR="003338D6" w:rsidRPr="008B436B">
        <w:rPr>
          <w:rFonts w:cs="Times New Roman"/>
          <w:szCs w:val="19"/>
        </w:rPr>
        <w:t>.</w:t>
      </w:r>
      <w:r w:rsidRPr="008B436B">
        <w:rPr>
          <w:rFonts w:cs="Times New Roman"/>
          <w:szCs w:val="19"/>
        </w:rPr>
        <w:t xml:space="preserve"> Sicilia, Palermo, </w:t>
      </w:r>
      <w:r w:rsidR="003338D6" w:rsidRPr="008B436B">
        <w:rPr>
          <w:rFonts w:cs="Times New Roman"/>
          <w:szCs w:val="19"/>
        </w:rPr>
        <w:t xml:space="preserve">sez. </w:t>
      </w:r>
      <w:r w:rsidRPr="008B436B">
        <w:rPr>
          <w:rFonts w:cs="Times New Roman"/>
          <w:szCs w:val="19"/>
        </w:rPr>
        <w:t xml:space="preserve">III, 29 marzo 2019, n. 926; </w:t>
      </w:r>
      <w:r w:rsidRPr="008B436B">
        <w:rPr>
          <w:rFonts w:cs="Times New Roman"/>
          <w:smallCaps/>
          <w:szCs w:val="19"/>
        </w:rPr>
        <w:t>A. Candido</w:t>
      </w:r>
      <w:r w:rsidRPr="008B436B">
        <w:rPr>
          <w:rFonts w:cs="Times New Roman"/>
          <w:szCs w:val="19"/>
        </w:rPr>
        <w:t xml:space="preserve">, </w:t>
      </w:r>
      <w:r w:rsidRPr="008B436B">
        <w:rPr>
          <w:rFonts w:cs="Times New Roman"/>
          <w:i/>
          <w:iCs/>
          <w:szCs w:val="19"/>
        </w:rPr>
        <w:t>Quando il diritto diventa finanziariamente incondizionato</w:t>
      </w:r>
      <w:r w:rsidRPr="008B436B">
        <w:rPr>
          <w:rFonts w:cs="Times New Roman"/>
          <w:szCs w:val="19"/>
        </w:rPr>
        <w:t xml:space="preserve">, cit., </w:t>
      </w:r>
      <w:r w:rsidR="003338D6" w:rsidRPr="008B436B">
        <w:rPr>
          <w:rFonts w:cs="Times New Roman"/>
          <w:szCs w:val="19"/>
        </w:rPr>
        <w:t xml:space="preserve">pp. </w:t>
      </w:r>
      <w:r w:rsidRPr="008B436B">
        <w:rPr>
          <w:rFonts w:cs="Times New Roman"/>
          <w:szCs w:val="19"/>
        </w:rPr>
        <w:t>58-59.</w:t>
      </w:r>
    </w:p>
  </w:footnote>
  <w:footnote w:id="74">
    <w:p w14:paraId="1F87EFA3" w14:textId="6C9DCD0C"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La “</w:t>
      </w:r>
      <w:r w:rsidRPr="00391A67">
        <w:rPr>
          <w:rFonts w:cs="Times New Roman"/>
          <w:i/>
          <w:iCs/>
          <w:szCs w:val="19"/>
        </w:rPr>
        <w:t>frantumazione</w:t>
      </w:r>
      <w:r w:rsidRPr="008B436B">
        <w:rPr>
          <w:rFonts w:cs="Times New Roman"/>
          <w:szCs w:val="19"/>
        </w:rPr>
        <w:t xml:space="preserve">” della tutela giurisdizionale tra due plessi, viola i principi di concentrazione e semplificazione e genera gravi incertezze, per </w:t>
      </w:r>
      <w:r w:rsidRPr="008B436B">
        <w:rPr>
          <w:rFonts w:cs="Times New Roman"/>
          <w:smallCaps/>
          <w:szCs w:val="19"/>
        </w:rPr>
        <w:t>M. Ramajoli</w:t>
      </w:r>
      <w:r w:rsidRPr="008B436B">
        <w:rPr>
          <w:rFonts w:cs="Times New Roman"/>
          <w:szCs w:val="19"/>
        </w:rPr>
        <w:t xml:space="preserve">, </w:t>
      </w:r>
      <w:r w:rsidRPr="008B436B">
        <w:rPr>
          <w:rFonts w:cs="Times New Roman"/>
          <w:i/>
          <w:iCs/>
          <w:szCs w:val="19"/>
        </w:rPr>
        <w:t>Sui molteplici criteri di riparto della giurisdizione</w:t>
      </w:r>
      <w:r w:rsidRPr="008B436B">
        <w:rPr>
          <w:rFonts w:cs="Times New Roman"/>
          <w:szCs w:val="19"/>
        </w:rPr>
        <w:t xml:space="preserve">, cit., </w:t>
      </w:r>
      <w:r w:rsidR="003338D6" w:rsidRPr="008B436B">
        <w:rPr>
          <w:rFonts w:cs="Times New Roman"/>
          <w:szCs w:val="19"/>
        </w:rPr>
        <w:t xml:space="preserve">p. </w:t>
      </w:r>
      <w:r w:rsidRPr="008B436B">
        <w:rPr>
          <w:rFonts w:cs="Times New Roman"/>
          <w:szCs w:val="19"/>
        </w:rPr>
        <w:t xml:space="preserve">277, richiamata anche da </w:t>
      </w:r>
      <w:r w:rsidRPr="008B436B">
        <w:rPr>
          <w:rFonts w:cs="Times New Roman"/>
          <w:smallCaps/>
          <w:szCs w:val="19"/>
        </w:rPr>
        <w:t>R. Giani</w:t>
      </w:r>
      <w:r w:rsidRPr="008B436B">
        <w:rPr>
          <w:rFonts w:cs="Times New Roman"/>
          <w:szCs w:val="19"/>
        </w:rPr>
        <w:t xml:space="preserve">, </w:t>
      </w:r>
      <w:r w:rsidRPr="008B436B">
        <w:rPr>
          <w:rFonts w:cs="Times New Roman"/>
          <w:i/>
          <w:iCs/>
          <w:szCs w:val="19"/>
        </w:rPr>
        <w:t>Giudice amministrativo e giurisdizione esclusiva</w:t>
      </w:r>
      <w:r w:rsidRPr="008B436B">
        <w:rPr>
          <w:rFonts w:cs="Times New Roman"/>
          <w:szCs w:val="19"/>
        </w:rPr>
        <w:t xml:space="preserve">, cit., </w:t>
      </w:r>
      <w:r w:rsidR="003338D6" w:rsidRPr="008B436B">
        <w:rPr>
          <w:rFonts w:cs="Times New Roman"/>
          <w:szCs w:val="19"/>
        </w:rPr>
        <w:t xml:space="preserve">p. </w:t>
      </w:r>
      <w:r w:rsidRPr="008B436B">
        <w:rPr>
          <w:rFonts w:cs="Times New Roman"/>
          <w:szCs w:val="19"/>
        </w:rPr>
        <w:t xml:space="preserve">215; esprime perplessità sulle ragioni poste a supporto dell’attribuzione della giurisdizione al giudice ordinario in fase attuativa del PEI, </w:t>
      </w:r>
      <w:r w:rsidRPr="008B436B">
        <w:rPr>
          <w:rFonts w:cs="Times New Roman"/>
          <w:smallCaps/>
          <w:szCs w:val="19"/>
        </w:rPr>
        <w:t>P. Maglione</w:t>
      </w:r>
      <w:r w:rsidRPr="008B436B">
        <w:rPr>
          <w:rFonts w:cs="Times New Roman"/>
          <w:szCs w:val="19"/>
        </w:rPr>
        <w:t xml:space="preserve">, </w:t>
      </w:r>
      <w:r w:rsidRPr="008B436B">
        <w:rPr>
          <w:rFonts w:cs="Times New Roman"/>
          <w:i/>
          <w:iCs/>
          <w:szCs w:val="19"/>
        </w:rPr>
        <w:t>Il regime di tutela giurisdizionale</w:t>
      </w:r>
      <w:r w:rsidRPr="008B436B">
        <w:rPr>
          <w:rFonts w:cs="Times New Roman"/>
          <w:szCs w:val="19"/>
        </w:rPr>
        <w:t xml:space="preserve">, cit., </w:t>
      </w:r>
      <w:r w:rsidR="003338D6" w:rsidRPr="008B436B">
        <w:rPr>
          <w:rFonts w:cs="Times New Roman"/>
          <w:szCs w:val="19"/>
        </w:rPr>
        <w:t xml:space="preserve">pp. </w:t>
      </w:r>
      <w:r w:rsidRPr="008B436B">
        <w:rPr>
          <w:rFonts w:cs="Times New Roman"/>
          <w:szCs w:val="19"/>
        </w:rPr>
        <w:t>18-19.</w:t>
      </w:r>
    </w:p>
  </w:footnote>
  <w:footnote w:id="75">
    <w:p w14:paraId="3D01114A" w14:textId="257B6E1B"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5C0AB1">
        <w:rPr>
          <w:rFonts w:cs="Times New Roman"/>
          <w:spacing w:val="2"/>
          <w:szCs w:val="19"/>
        </w:rPr>
        <w:t xml:space="preserve">Per T.A.R. Toscana, </w:t>
      </w:r>
      <w:r w:rsidR="003338D6" w:rsidRPr="005C0AB1">
        <w:rPr>
          <w:rFonts w:cs="Times New Roman"/>
          <w:spacing w:val="2"/>
          <w:szCs w:val="19"/>
        </w:rPr>
        <w:t xml:space="preserve">sez. </w:t>
      </w:r>
      <w:r w:rsidRPr="005C0AB1">
        <w:rPr>
          <w:rFonts w:cs="Times New Roman"/>
          <w:spacing w:val="2"/>
          <w:szCs w:val="19"/>
        </w:rPr>
        <w:t>I, 29 gennaio 2015, n. 158, la legge n. 67</w:t>
      </w:r>
      <w:r w:rsidR="003338D6" w:rsidRPr="005C0AB1">
        <w:rPr>
          <w:rFonts w:cs="Times New Roman"/>
          <w:spacing w:val="2"/>
          <w:szCs w:val="19"/>
        </w:rPr>
        <w:t>/</w:t>
      </w:r>
      <w:r w:rsidRPr="005C0AB1">
        <w:rPr>
          <w:rFonts w:cs="Times New Roman"/>
          <w:spacing w:val="2"/>
          <w:szCs w:val="19"/>
        </w:rPr>
        <w:t>2006 non fonda la giurisdizione, che deve essere individuata secondo gli ordinari criteri di riparto, ma la presuppone; sembra orientarsi in senso opposto, ossia per la configurazione di una ipotesi</w:t>
      </w:r>
      <w:r w:rsidRPr="008B436B">
        <w:rPr>
          <w:rFonts w:cs="Times New Roman"/>
          <w:szCs w:val="19"/>
        </w:rPr>
        <w:t xml:space="preserve"> di giurisdizione ordinaria, </w:t>
      </w:r>
      <w:r w:rsidRPr="008B436B">
        <w:rPr>
          <w:rFonts w:cs="Times New Roman"/>
          <w:smallCaps/>
          <w:szCs w:val="19"/>
        </w:rPr>
        <w:t>P. Maglione</w:t>
      </w:r>
      <w:r w:rsidRPr="008B436B">
        <w:rPr>
          <w:rFonts w:cs="Times New Roman"/>
          <w:szCs w:val="19"/>
        </w:rPr>
        <w:t xml:space="preserve">, </w:t>
      </w:r>
      <w:r w:rsidRPr="008B436B">
        <w:rPr>
          <w:rFonts w:cs="Times New Roman"/>
          <w:i/>
          <w:iCs/>
          <w:szCs w:val="19"/>
        </w:rPr>
        <w:t>Il regime di tutela giurisdizionale</w:t>
      </w:r>
      <w:r w:rsidRPr="008B436B">
        <w:rPr>
          <w:rFonts w:cs="Times New Roman"/>
          <w:szCs w:val="19"/>
        </w:rPr>
        <w:t xml:space="preserve">, cit., </w:t>
      </w:r>
      <w:r w:rsidR="003338D6" w:rsidRPr="008B436B">
        <w:rPr>
          <w:rFonts w:cs="Times New Roman"/>
          <w:szCs w:val="19"/>
        </w:rPr>
        <w:t xml:space="preserve">pp. </w:t>
      </w:r>
      <w:r w:rsidRPr="008B436B">
        <w:rPr>
          <w:rFonts w:cs="Times New Roman"/>
          <w:szCs w:val="19"/>
        </w:rPr>
        <w:t xml:space="preserve">18-19; propende per la giurisdizione ordinaria anche </w:t>
      </w:r>
      <w:r w:rsidRPr="008B436B">
        <w:rPr>
          <w:rFonts w:cs="Times New Roman"/>
          <w:smallCaps/>
          <w:szCs w:val="19"/>
        </w:rPr>
        <w:t>A. Giusti</w:t>
      </w:r>
      <w:r w:rsidRPr="008B436B">
        <w:rPr>
          <w:rFonts w:cs="Times New Roman"/>
          <w:szCs w:val="19"/>
        </w:rPr>
        <w:t xml:space="preserve">, </w:t>
      </w:r>
      <w:r w:rsidRPr="008B436B">
        <w:rPr>
          <w:rFonts w:cs="Times New Roman"/>
          <w:i/>
          <w:iCs/>
          <w:szCs w:val="19"/>
        </w:rPr>
        <w:t>Spigolature su riparto di giurisdizione</w:t>
      </w:r>
      <w:r w:rsidRPr="008B436B">
        <w:rPr>
          <w:rFonts w:cs="Times New Roman"/>
          <w:szCs w:val="19"/>
        </w:rPr>
        <w:t xml:space="preserve">, cit., </w:t>
      </w:r>
      <w:r w:rsidR="003338D6" w:rsidRPr="008B436B">
        <w:rPr>
          <w:rFonts w:cs="Times New Roman"/>
          <w:szCs w:val="19"/>
        </w:rPr>
        <w:t xml:space="preserve">p. </w:t>
      </w:r>
      <w:r w:rsidRPr="008B436B">
        <w:rPr>
          <w:rFonts w:cs="Times New Roman"/>
          <w:szCs w:val="19"/>
        </w:rPr>
        <w:t>199.</w:t>
      </w:r>
    </w:p>
  </w:footnote>
  <w:footnote w:id="76">
    <w:p w14:paraId="6D010BE3" w14:textId="1EFD6DF8"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Che ha rimodulato la disciplina previgente contenuta nell’art. 3 della legge n. 67</w:t>
      </w:r>
      <w:r w:rsidR="003338D6" w:rsidRPr="008B436B">
        <w:rPr>
          <w:rFonts w:cs="Times New Roman"/>
          <w:szCs w:val="19"/>
        </w:rPr>
        <w:t>/</w:t>
      </w:r>
      <w:r w:rsidRPr="008B436B">
        <w:rPr>
          <w:rFonts w:cs="Times New Roman"/>
          <w:szCs w:val="19"/>
        </w:rPr>
        <w:t xml:space="preserve">2006; per alcune fattispecie, cfr. Cass., </w:t>
      </w:r>
      <w:r w:rsidR="003338D6" w:rsidRPr="008B436B">
        <w:rPr>
          <w:rFonts w:cs="Times New Roman"/>
          <w:szCs w:val="19"/>
        </w:rPr>
        <w:t>sez. un</w:t>
      </w:r>
      <w:r w:rsidRPr="008B436B">
        <w:rPr>
          <w:rFonts w:cs="Times New Roman"/>
          <w:szCs w:val="19"/>
        </w:rPr>
        <w:t xml:space="preserve">., </w:t>
      </w:r>
      <w:proofErr w:type="spellStart"/>
      <w:r w:rsidRPr="008B436B">
        <w:rPr>
          <w:rFonts w:cs="Times New Roman"/>
          <w:szCs w:val="19"/>
        </w:rPr>
        <w:t>ord</w:t>
      </w:r>
      <w:proofErr w:type="spellEnd"/>
      <w:r w:rsidRPr="008B436B">
        <w:rPr>
          <w:rFonts w:cs="Times New Roman"/>
          <w:szCs w:val="19"/>
        </w:rPr>
        <w:t xml:space="preserve">. 1° febbraio 2021, n. 2159, sulla mancata attuazione del progetto personalizzato assistenziale già predisposto dall’Amministrazione in favore del disabile; Cass. civ., </w:t>
      </w:r>
      <w:r w:rsidR="003338D6" w:rsidRPr="008B436B">
        <w:rPr>
          <w:rFonts w:cs="Times New Roman"/>
          <w:szCs w:val="19"/>
        </w:rPr>
        <w:t xml:space="preserve">sez. </w:t>
      </w:r>
      <w:r w:rsidRPr="008B436B">
        <w:rPr>
          <w:rFonts w:cs="Times New Roman"/>
          <w:szCs w:val="19"/>
        </w:rPr>
        <w:t xml:space="preserve">III, </w:t>
      </w:r>
      <w:proofErr w:type="spellStart"/>
      <w:r w:rsidRPr="008B436B">
        <w:rPr>
          <w:rFonts w:cs="Times New Roman"/>
          <w:szCs w:val="19"/>
        </w:rPr>
        <w:t>ord</w:t>
      </w:r>
      <w:proofErr w:type="spellEnd"/>
      <w:r w:rsidRPr="008B436B">
        <w:rPr>
          <w:rFonts w:cs="Times New Roman"/>
          <w:szCs w:val="19"/>
        </w:rPr>
        <w:t xml:space="preserve">. 5 aprile 2023, n. 9384, sulla </w:t>
      </w:r>
      <w:proofErr w:type="spellStart"/>
      <w:r w:rsidRPr="008B436B">
        <w:rPr>
          <w:rFonts w:cs="Times New Roman"/>
          <w:szCs w:val="19"/>
        </w:rPr>
        <w:t>discriminatorietà</w:t>
      </w:r>
      <w:proofErr w:type="spellEnd"/>
      <w:r w:rsidRPr="008B436B">
        <w:rPr>
          <w:rFonts w:cs="Times New Roman"/>
          <w:szCs w:val="19"/>
        </w:rPr>
        <w:t xml:space="preserve"> del divieto di accedere, benché assistiti da cani-guida, a un impianto di scale mobili ubicato in un parcheggio del Comune; Cass. civ., </w:t>
      </w:r>
      <w:r w:rsidR="003338D6" w:rsidRPr="008B436B">
        <w:rPr>
          <w:rFonts w:cs="Times New Roman"/>
          <w:szCs w:val="19"/>
        </w:rPr>
        <w:t xml:space="preserve">sez. </w:t>
      </w:r>
      <w:r w:rsidRPr="008B436B">
        <w:rPr>
          <w:rFonts w:cs="Times New Roman"/>
          <w:szCs w:val="19"/>
        </w:rPr>
        <w:t xml:space="preserve">III, 13 febbraio 2020, n. 3691, sulla rimozione delle barriere architettoniche per accedere agli uffici e alla sala consiliare del Comune; Corte </w:t>
      </w:r>
      <w:r w:rsidR="003338D6" w:rsidRPr="008B436B">
        <w:rPr>
          <w:rFonts w:cs="Times New Roman"/>
          <w:szCs w:val="19"/>
        </w:rPr>
        <w:t>App.</w:t>
      </w:r>
      <w:r w:rsidRPr="008B436B">
        <w:rPr>
          <w:rFonts w:cs="Times New Roman"/>
          <w:szCs w:val="19"/>
        </w:rPr>
        <w:t xml:space="preserve"> Bari, </w:t>
      </w:r>
      <w:r w:rsidR="003338D6" w:rsidRPr="008B436B">
        <w:rPr>
          <w:rFonts w:cs="Times New Roman"/>
          <w:szCs w:val="19"/>
        </w:rPr>
        <w:t xml:space="preserve">sez. </w:t>
      </w:r>
      <w:r w:rsidRPr="008B436B">
        <w:rPr>
          <w:rFonts w:cs="Times New Roman"/>
          <w:szCs w:val="19"/>
        </w:rPr>
        <w:t xml:space="preserve">I, 22 settembre 2023, n. 1369, sull’obbligo in capo al Comune di realizzare una apposita pensilina parapioggia ed antivento a copertura per tutta la lunghezza della rampa riservata agli alunni diversamente abili; </w:t>
      </w:r>
      <w:proofErr w:type="spellStart"/>
      <w:r w:rsidRPr="008B436B">
        <w:rPr>
          <w:rFonts w:cs="Times New Roman"/>
          <w:szCs w:val="19"/>
        </w:rPr>
        <w:t>Trib</w:t>
      </w:r>
      <w:proofErr w:type="spellEnd"/>
      <w:r w:rsidR="003338D6" w:rsidRPr="008B436B">
        <w:rPr>
          <w:rFonts w:cs="Times New Roman"/>
          <w:szCs w:val="19"/>
        </w:rPr>
        <w:t>.</w:t>
      </w:r>
      <w:r w:rsidRPr="008B436B">
        <w:rPr>
          <w:rFonts w:cs="Times New Roman"/>
          <w:szCs w:val="19"/>
        </w:rPr>
        <w:t xml:space="preserve"> </w:t>
      </w:r>
      <w:r w:rsidR="003338D6" w:rsidRPr="008B436B">
        <w:rPr>
          <w:rFonts w:cs="Times New Roman"/>
          <w:szCs w:val="19"/>
        </w:rPr>
        <w:t>civ.</w:t>
      </w:r>
      <w:r w:rsidRPr="008B436B">
        <w:rPr>
          <w:rFonts w:cs="Times New Roman"/>
          <w:szCs w:val="19"/>
        </w:rPr>
        <w:t xml:space="preserve"> Roma</w:t>
      </w:r>
      <w:r w:rsidR="003338D6" w:rsidRPr="008B436B">
        <w:rPr>
          <w:rFonts w:cs="Times New Roman"/>
          <w:szCs w:val="19"/>
        </w:rPr>
        <w:t>,</w:t>
      </w:r>
      <w:r w:rsidRPr="008B436B">
        <w:rPr>
          <w:rFonts w:cs="Times New Roman"/>
          <w:szCs w:val="19"/>
        </w:rPr>
        <w:t xml:space="preserve"> 7 giugno 2022, </w:t>
      </w:r>
      <w:r w:rsidR="003338D6" w:rsidRPr="008B436B">
        <w:rPr>
          <w:rFonts w:cs="Times New Roman"/>
          <w:szCs w:val="19"/>
        </w:rPr>
        <w:t xml:space="preserve">n. 8863, </w:t>
      </w:r>
      <w:r w:rsidRPr="008B436B">
        <w:rPr>
          <w:rFonts w:cs="Times New Roman"/>
          <w:szCs w:val="19"/>
        </w:rPr>
        <w:t>sul diritto del disabile ad ottenere il parcheggio condominiale ove sia presente uno spazio adeguato.</w:t>
      </w:r>
    </w:p>
  </w:footnote>
  <w:footnote w:id="77">
    <w:p w14:paraId="5C31F2A8" w14:textId="36EDDF27"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Cfr. </w:t>
      </w:r>
      <w:r w:rsidRPr="008B436B">
        <w:rPr>
          <w:rFonts w:cs="Times New Roman"/>
          <w:smallCaps/>
          <w:szCs w:val="19"/>
        </w:rPr>
        <w:t>R. Zamperini</w:t>
      </w:r>
      <w:r w:rsidRPr="008B436B">
        <w:rPr>
          <w:rFonts w:cs="Times New Roman"/>
          <w:szCs w:val="19"/>
        </w:rPr>
        <w:t xml:space="preserve">, </w:t>
      </w:r>
      <w:r w:rsidRPr="008B436B">
        <w:rPr>
          <w:rFonts w:cs="Times New Roman"/>
          <w:i/>
          <w:iCs/>
          <w:szCs w:val="19"/>
        </w:rPr>
        <w:t>Il decreto disabilità</w:t>
      </w:r>
      <w:r w:rsidRPr="008B436B">
        <w:rPr>
          <w:rFonts w:cs="Times New Roman"/>
          <w:szCs w:val="19"/>
        </w:rPr>
        <w:t xml:space="preserve">, cit., </w:t>
      </w:r>
      <w:r w:rsidR="003338D6" w:rsidRPr="008B436B">
        <w:rPr>
          <w:rFonts w:cs="Times New Roman"/>
          <w:szCs w:val="19"/>
        </w:rPr>
        <w:t xml:space="preserve">p. </w:t>
      </w:r>
      <w:r w:rsidRPr="008B436B">
        <w:rPr>
          <w:rFonts w:cs="Times New Roman"/>
          <w:szCs w:val="19"/>
        </w:rPr>
        <w:t>2095; sebbene riferita al previgente art. 3 della legge n. 67</w:t>
      </w:r>
      <w:r w:rsidR="0025167F" w:rsidRPr="008B436B">
        <w:rPr>
          <w:rFonts w:cs="Times New Roman"/>
          <w:szCs w:val="19"/>
        </w:rPr>
        <w:t>/</w:t>
      </w:r>
      <w:r w:rsidRPr="008B436B">
        <w:rPr>
          <w:rFonts w:cs="Times New Roman"/>
          <w:szCs w:val="19"/>
        </w:rPr>
        <w:t xml:space="preserve">2006, poi abrogato dal </w:t>
      </w:r>
      <w:r w:rsidR="003338D6" w:rsidRPr="008B436B">
        <w:rPr>
          <w:rFonts w:cs="Times New Roman"/>
          <w:szCs w:val="19"/>
        </w:rPr>
        <w:t>d.lgs</w:t>
      </w:r>
      <w:r w:rsidRPr="008B436B">
        <w:rPr>
          <w:rFonts w:cs="Times New Roman"/>
          <w:szCs w:val="19"/>
        </w:rPr>
        <w:t>. n. 150</w:t>
      </w:r>
      <w:r w:rsidR="003338D6" w:rsidRPr="008B436B">
        <w:rPr>
          <w:rFonts w:cs="Times New Roman"/>
          <w:szCs w:val="19"/>
        </w:rPr>
        <w:t>/</w:t>
      </w:r>
      <w:r w:rsidRPr="008B436B">
        <w:rPr>
          <w:rFonts w:cs="Times New Roman"/>
          <w:szCs w:val="19"/>
        </w:rPr>
        <w:t xml:space="preserve">2011, </w:t>
      </w:r>
      <w:r w:rsidRPr="008B436B">
        <w:rPr>
          <w:rFonts w:cs="Times New Roman"/>
          <w:smallCaps/>
          <w:szCs w:val="19"/>
        </w:rPr>
        <w:t>M. Ramajoli</w:t>
      </w:r>
      <w:r w:rsidRPr="008B436B">
        <w:rPr>
          <w:rFonts w:cs="Times New Roman"/>
          <w:szCs w:val="19"/>
        </w:rPr>
        <w:t xml:space="preserve">, </w:t>
      </w:r>
      <w:r w:rsidRPr="008B436B">
        <w:rPr>
          <w:rFonts w:cs="Times New Roman"/>
          <w:i/>
          <w:iCs/>
          <w:szCs w:val="19"/>
        </w:rPr>
        <w:t>Sui molteplici criteri di riparto</w:t>
      </w:r>
      <w:r w:rsidRPr="008B436B">
        <w:rPr>
          <w:rFonts w:cs="Times New Roman"/>
          <w:szCs w:val="19"/>
        </w:rPr>
        <w:t xml:space="preserve">, cit., </w:t>
      </w:r>
      <w:r w:rsidR="003338D6" w:rsidRPr="008B436B">
        <w:rPr>
          <w:rFonts w:cs="Times New Roman"/>
          <w:szCs w:val="19"/>
        </w:rPr>
        <w:t xml:space="preserve">p. </w:t>
      </w:r>
      <w:r w:rsidRPr="008B436B">
        <w:rPr>
          <w:rFonts w:cs="Times New Roman"/>
          <w:szCs w:val="19"/>
        </w:rPr>
        <w:t xml:space="preserve">282; </w:t>
      </w:r>
      <w:r w:rsidRPr="008B436B">
        <w:rPr>
          <w:rFonts w:cs="Times New Roman"/>
          <w:smallCaps/>
          <w:szCs w:val="19"/>
        </w:rPr>
        <w:t>P. Maglione</w:t>
      </w:r>
      <w:r w:rsidRPr="008B436B">
        <w:rPr>
          <w:rFonts w:cs="Times New Roman"/>
          <w:szCs w:val="19"/>
        </w:rPr>
        <w:t xml:space="preserve">, </w:t>
      </w:r>
      <w:r w:rsidRPr="008B436B">
        <w:rPr>
          <w:rFonts w:cs="Times New Roman"/>
          <w:i/>
          <w:iCs/>
          <w:szCs w:val="19"/>
        </w:rPr>
        <w:t>Il regime di tutela giurisdizionale</w:t>
      </w:r>
      <w:r w:rsidRPr="008B436B">
        <w:rPr>
          <w:rFonts w:cs="Times New Roman"/>
          <w:szCs w:val="19"/>
        </w:rPr>
        <w:t xml:space="preserve">, cit., </w:t>
      </w:r>
      <w:r w:rsidR="003338D6" w:rsidRPr="008B436B">
        <w:rPr>
          <w:rFonts w:cs="Times New Roman"/>
          <w:szCs w:val="19"/>
        </w:rPr>
        <w:t xml:space="preserve">p. </w:t>
      </w:r>
      <w:r w:rsidRPr="008B436B">
        <w:rPr>
          <w:rFonts w:cs="Times New Roman"/>
          <w:szCs w:val="19"/>
        </w:rPr>
        <w:t>18 ss.</w:t>
      </w:r>
    </w:p>
  </w:footnote>
  <w:footnote w:id="78">
    <w:p w14:paraId="03370627" w14:textId="30795B57"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Ciò si ricava dall’oggetto delle decisioni citate alla precedente nota 7</w:t>
      </w:r>
      <w:r w:rsidR="0075511A">
        <w:rPr>
          <w:rFonts w:cs="Times New Roman"/>
          <w:szCs w:val="19"/>
        </w:rPr>
        <w:t>1</w:t>
      </w:r>
      <w:r w:rsidRPr="008B436B">
        <w:rPr>
          <w:rFonts w:cs="Times New Roman"/>
          <w:szCs w:val="19"/>
        </w:rPr>
        <w:t>, riguardanti l’attuazione di obbligazioni già perfettamente individuate e solo da porre in esecuzione da parte dell’Amministrazione; si veda, per un caso diverso, Cons</w:t>
      </w:r>
      <w:r w:rsidR="003338D6" w:rsidRPr="008B436B">
        <w:rPr>
          <w:rFonts w:cs="Times New Roman"/>
          <w:szCs w:val="19"/>
        </w:rPr>
        <w:t>.</w:t>
      </w:r>
      <w:r w:rsidRPr="008B436B">
        <w:rPr>
          <w:rFonts w:cs="Times New Roman"/>
          <w:szCs w:val="19"/>
        </w:rPr>
        <w:t xml:space="preserve"> Stato, </w:t>
      </w:r>
      <w:r w:rsidR="003338D6" w:rsidRPr="008B436B">
        <w:rPr>
          <w:rFonts w:cs="Times New Roman"/>
          <w:szCs w:val="19"/>
        </w:rPr>
        <w:t xml:space="preserve">sez. </w:t>
      </w:r>
      <w:r w:rsidRPr="008B436B">
        <w:rPr>
          <w:rFonts w:cs="Times New Roman"/>
          <w:szCs w:val="19"/>
        </w:rPr>
        <w:t>VI, 15 maggio 2024, n. 4329, che ha ritenuto legittimo il rifiuto della Soprintendenza di eliminare le barriere architettoniche all’interno di un edificio storico vincolato.</w:t>
      </w:r>
    </w:p>
  </w:footnote>
  <w:footnote w:id="79">
    <w:p w14:paraId="70F3C7F4" w14:textId="5855D267"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Corte cost</w:t>
      </w:r>
      <w:r w:rsidR="003338D6" w:rsidRPr="008B436B">
        <w:rPr>
          <w:rFonts w:cs="Times New Roman"/>
          <w:szCs w:val="19"/>
        </w:rPr>
        <w:t>.</w:t>
      </w:r>
      <w:r w:rsidRPr="008B436B">
        <w:rPr>
          <w:rFonts w:cs="Times New Roman"/>
          <w:szCs w:val="19"/>
        </w:rPr>
        <w:t xml:space="preserve">, </w:t>
      </w:r>
      <w:proofErr w:type="spellStart"/>
      <w:r w:rsidRPr="008B436B">
        <w:rPr>
          <w:rFonts w:cs="Times New Roman"/>
          <w:szCs w:val="19"/>
        </w:rPr>
        <w:t>sent</w:t>
      </w:r>
      <w:proofErr w:type="spellEnd"/>
      <w:r w:rsidR="003338D6" w:rsidRPr="008B436B">
        <w:rPr>
          <w:rFonts w:cs="Times New Roman"/>
          <w:szCs w:val="19"/>
        </w:rPr>
        <w:t>.</w:t>
      </w:r>
      <w:r w:rsidRPr="008B436B">
        <w:rPr>
          <w:rFonts w:cs="Times New Roman"/>
          <w:szCs w:val="19"/>
        </w:rPr>
        <w:t xml:space="preserve"> n. 140</w:t>
      </w:r>
      <w:r w:rsidR="003338D6" w:rsidRPr="008B436B">
        <w:rPr>
          <w:rFonts w:cs="Times New Roman"/>
          <w:szCs w:val="19"/>
        </w:rPr>
        <w:t>/</w:t>
      </w:r>
      <w:r w:rsidRPr="008B436B">
        <w:rPr>
          <w:rFonts w:cs="Times New Roman"/>
          <w:szCs w:val="19"/>
        </w:rPr>
        <w:t xml:space="preserve">2007; Cass., </w:t>
      </w:r>
      <w:r w:rsidR="003338D6" w:rsidRPr="008B436B">
        <w:rPr>
          <w:rFonts w:cs="Times New Roman"/>
          <w:szCs w:val="19"/>
        </w:rPr>
        <w:t>sez. un</w:t>
      </w:r>
      <w:r w:rsidRPr="008B436B">
        <w:rPr>
          <w:rFonts w:cs="Times New Roman"/>
          <w:szCs w:val="19"/>
        </w:rPr>
        <w:t>., 25 novembre 2014, n. 25011; Cons</w:t>
      </w:r>
      <w:r w:rsidR="003338D6" w:rsidRPr="008B436B">
        <w:rPr>
          <w:rFonts w:cs="Times New Roman"/>
          <w:szCs w:val="19"/>
        </w:rPr>
        <w:t xml:space="preserve">. </w:t>
      </w:r>
      <w:r w:rsidRPr="008B436B">
        <w:rPr>
          <w:rFonts w:cs="Times New Roman"/>
          <w:szCs w:val="19"/>
        </w:rPr>
        <w:t xml:space="preserve">Stato, </w:t>
      </w:r>
      <w:r w:rsidR="003338D6" w:rsidRPr="008B436B">
        <w:rPr>
          <w:rFonts w:cs="Times New Roman"/>
          <w:szCs w:val="19"/>
        </w:rPr>
        <w:t>a</w:t>
      </w:r>
      <w:r w:rsidRPr="008B436B">
        <w:rPr>
          <w:rFonts w:cs="Times New Roman"/>
          <w:szCs w:val="19"/>
        </w:rPr>
        <w:t>d. pl</w:t>
      </w:r>
      <w:r w:rsidR="003338D6" w:rsidRPr="008B436B">
        <w:rPr>
          <w:rFonts w:cs="Times New Roman"/>
          <w:szCs w:val="19"/>
        </w:rPr>
        <w:t>.</w:t>
      </w:r>
      <w:r w:rsidRPr="008B436B">
        <w:rPr>
          <w:rFonts w:cs="Times New Roman"/>
          <w:szCs w:val="19"/>
        </w:rPr>
        <w:t>, 12 aprile 2016, n. 7; Cons</w:t>
      </w:r>
      <w:r w:rsidR="003338D6" w:rsidRPr="008B436B">
        <w:rPr>
          <w:rFonts w:cs="Times New Roman"/>
          <w:szCs w:val="19"/>
        </w:rPr>
        <w:t>.</w:t>
      </w:r>
      <w:r w:rsidRPr="008B436B">
        <w:rPr>
          <w:rFonts w:cs="Times New Roman"/>
          <w:szCs w:val="19"/>
        </w:rPr>
        <w:t xml:space="preserve"> Stato, </w:t>
      </w:r>
      <w:r w:rsidR="003338D6" w:rsidRPr="008B436B">
        <w:rPr>
          <w:rFonts w:cs="Times New Roman"/>
          <w:szCs w:val="19"/>
        </w:rPr>
        <w:t xml:space="preserve">sez. </w:t>
      </w:r>
      <w:r w:rsidRPr="008B436B">
        <w:rPr>
          <w:rFonts w:cs="Times New Roman"/>
          <w:szCs w:val="19"/>
        </w:rPr>
        <w:t xml:space="preserve">III, 21 ottobre 2020, n. 6371; </w:t>
      </w:r>
      <w:r w:rsidR="003338D6" w:rsidRPr="008B436B">
        <w:rPr>
          <w:rFonts w:cs="Times New Roman"/>
          <w:szCs w:val="19"/>
        </w:rPr>
        <w:t xml:space="preserve">Cons. Stato, sez. </w:t>
      </w:r>
      <w:r w:rsidRPr="008B436B">
        <w:rPr>
          <w:rFonts w:cs="Times New Roman"/>
          <w:szCs w:val="19"/>
        </w:rPr>
        <w:t>III, 2 settembre 2014, n. 4460; da ultimo Corte cost</w:t>
      </w:r>
      <w:r w:rsidR="003338D6" w:rsidRPr="008B436B">
        <w:rPr>
          <w:rFonts w:cs="Times New Roman"/>
          <w:szCs w:val="19"/>
        </w:rPr>
        <w:t>.</w:t>
      </w:r>
      <w:r w:rsidRPr="008B436B">
        <w:rPr>
          <w:rFonts w:cs="Times New Roman"/>
          <w:szCs w:val="19"/>
        </w:rPr>
        <w:t xml:space="preserve">, </w:t>
      </w:r>
      <w:proofErr w:type="spellStart"/>
      <w:r w:rsidRPr="008B436B">
        <w:rPr>
          <w:rFonts w:cs="Times New Roman"/>
          <w:szCs w:val="19"/>
        </w:rPr>
        <w:t>sent</w:t>
      </w:r>
      <w:proofErr w:type="spellEnd"/>
      <w:r w:rsidR="003338D6" w:rsidRPr="008B436B">
        <w:rPr>
          <w:rFonts w:cs="Times New Roman"/>
          <w:szCs w:val="19"/>
        </w:rPr>
        <w:t>.</w:t>
      </w:r>
      <w:r w:rsidRPr="008B436B">
        <w:rPr>
          <w:rFonts w:cs="Times New Roman"/>
          <w:szCs w:val="19"/>
        </w:rPr>
        <w:t xml:space="preserve"> n. 203</w:t>
      </w:r>
      <w:r w:rsidR="003338D6" w:rsidRPr="008B436B">
        <w:rPr>
          <w:rFonts w:cs="Times New Roman"/>
          <w:szCs w:val="19"/>
        </w:rPr>
        <w:t>/</w:t>
      </w:r>
      <w:r w:rsidRPr="008B436B">
        <w:rPr>
          <w:rFonts w:cs="Times New Roman"/>
          <w:szCs w:val="19"/>
        </w:rPr>
        <w:t xml:space="preserve">2024, punto 4.7.4 del diritto, secondo la quale il </w:t>
      </w:r>
      <w:r w:rsidR="003338D6" w:rsidRPr="008B436B">
        <w:rPr>
          <w:rFonts w:cs="Times New Roman"/>
          <w:szCs w:val="19"/>
        </w:rPr>
        <w:t>«</w:t>
      </w:r>
      <w:r w:rsidRPr="008B436B">
        <w:rPr>
          <w:rFonts w:cs="Times New Roman"/>
          <w:i/>
          <w:iCs/>
          <w:szCs w:val="19"/>
        </w:rPr>
        <w:t>ricorso al giudice amministrativo, (…) è certamente idoneo ad assicurare – grazie ai provvedimenti cautelari di cui agli artt. 55, 56 e 61 del codice del processo amministrativo – una tutela immediata ed effettiva contro eventuali provvedimenti lesivi dei diritti fondamentali dell’interessato</w:t>
      </w:r>
      <w:r w:rsidR="003338D6" w:rsidRPr="008B436B">
        <w:rPr>
          <w:rFonts w:cs="Times New Roman"/>
          <w:szCs w:val="19"/>
        </w:rPr>
        <w:t>»</w:t>
      </w:r>
      <w:r w:rsidRPr="008B436B">
        <w:rPr>
          <w:rFonts w:cs="Times New Roman"/>
          <w:szCs w:val="19"/>
        </w:rPr>
        <w:t xml:space="preserve">; anche </w:t>
      </w:r>
      <w:r w:rsidRPr="008B436B">
        <w:rPr>
          <w:rFonts w:cs="Times New Roman"/>
          <w:smallCaps/>
          <w:szCs w:val="19"/>
        </w:rPr>
        <w:t>A. Giusti</w:t>
      </w:r>
      <w:r w:rsidRPr="008B436B">
        <w:rPr>
          <w:rFonts w:cs="Times New Roman"/>
          <w:szCs w:val="19"/>
        </w:rPr>
        <w:t xml:space="preserve">, </w:t>
      </w:r>
      <w:r w:rsidRPr="008B436B">
        <w:rPr>
          <w:rFonts w:cs="Times New Roman"/>
          <w:i/>
          <w:iCs/>
          <w:szCs w:val="19"/>
        </w:rPr>
        <w:t>Spigolature su riparto di giurisdizione</w:t>
      </w:r>
      <w:r w:rsidRPr="008B436B">
        <w:rPr>
          <w:rFonts w:cs="Times New Roman"/>
          <w:szCs w:val="19"/>
        </w:rPr>
        <w:t xml:space="preserve">, cit., </w:t>
      </w:r>
      <w:r w:rsidR="003338D6" w:rsidRPr="008B436B">
        <w:rPr>
          <w:rFonts w:cs="Times New Roman"/>
          <w:szCs w:val="19"/>
        </w:rPr>
        <w:t xml:space="preserve">pp. </w:t>
      </w:r>
      <w:r w:rsidRPr="008B436B">
        <w:rPr>
          <w:rFonts w:cs="Times New Roman"/>
          <w:szCs w:val="19"/>
        </w:rPr>
        <w:t xml:space="preserve">197-198; </w:t>
      </w:r>
      <w:r w:rsidR="00537000" w:rsidRPr="008B436B">
        <w:rPr>
          <w:rFonts w:cs="Times New Roman"/>
          <w:smallCaps/>
          <w:szCs w:val="19"/>
        </w:rPr>
        <w:t>R. Giani</w:t>
      </w:r>
      <w:r w:rsidR="00537000" w:rsidRPr="008B436B">
        <w:rPr>
          <w:rFonts w:cs="Times New Roman"/>
          <w:szCs w:val="19"/>
        </w:rPr>
        <w:t xml:space="preserve">, </w:t>
      </w:r>
      <w:r w:rsidR="00537000" w:rsidRPr="008B436B">
        <w:rPr>
          <w:rFonts w:cs="Times New Roman"/>
          <w:i/>
          <w:iCs/>
          <w:szCs w:val="19"/>
        </w:rPr>
        <w:t>Giudice amministrativo e giurisdizione esclusiva</w:t>
      </w:r>
      <w:r w:rsidR="00537000" w:rsidRPr="008B436B">
        <w:rPr>
          <w:rFonts w:cs="Times New Roman"/>
          <w:szCs w:val="19"/>
        </w:rPr>
        <w:t>, cit., pp. 210-211</w:t>
      </w:r>
      <w:r w:rsidR="00537000">
        <w:rPr>
          <w:rFonts w:cs="Times New Roman"/>
          <w:szCs w:val="19"/>
        </w:rPr>
        <w:t xml:space="preserve">; </w:t>
      </w:r>
      <w:r w:rsidRPr="008B436B">
        <w:rPr>
          <w:rFonts w:cs="Times New Roman"/>
          <w:szCs w:val="19"/>
        </w:rPr>
        <w:t xml:space="preserve">dovrebbe </w:t>
      </w:r>
      <w:r w:rsidR="00537000">
        <w:rPr>
          <w:rFonts w:cs="Times New Roman"/>
          <w:szCs w:val="19"/>
        </w:rPr>
        <w:t xml:space="preserve">invece </w:t>
      </w:r>
      <w:r w:rsidRPr="008B436B">
        <w:rPr>
          <w:rFonts w:cs="Times New Roman"/>
          <w:szCs w:val="19"/>
        </w:rPr>
        <w:t xml:space="preserve">spettare al giudice ordinario ogni controversia in cui si faccia questione del nucleo duro dei diritti fondamentali, secondo </w:t>
      </w:r>
      <w:r w:rsidRPr="008B436B">
        <w:rPr>
          <w:rFonts w:cs="Times New Roman"/>
          <w:smallCaps/>
          <w:szCs w:val="19"/>
        </w:rPr>
        <w:t>E. Scotti</w:t>
      </w:r>
      <w:r w:rsidRPr="008B436B">
        <w:rPr>
          <w:rFonts w:cs="Times New Roman"/>
          <w:szCs w:val="19"/>
        </w:rPr>
        <w:t xml:space="preserve">, </w:t>
      </w:r>
      <w:r w:rsidRPr="008B436B">
        <w:rPr>
          <w:rFonts w:cs="Times New Roman"/>
          <w:i/>
          <w:iCs/>
          <w:szCs w:val="19"/>
        </w:rPr>
        <w:t>I diritti fondamentali nel pluralismo delle giurisdizioni</w:t>
      </w:r>
      <w:r w:rsidRPr="008B436B">
        <w:rPr>
          <w:rFonts w:cs="Times New Roman"/>
          <w:szCs w:val="19"/>
        </w:rPr>
        <w:t xml:space="preserve">, in </w:t>
      </w:r>
      <w:r w:rsidRPr="008B436B">
        <w:rPr>
          <w:rFonts w:cs="Times New Roman"/>
          <w:i/>
          <w:iCs/>
          <w:szCs w:val="19"/>
        </w:rPr>
        <w:t>Ques</w:t>
      </w:r>
      <w:r w:rsidR="003338D6" w:rsidRPr="008B436B">
        <w:rPr>
          <w:rFonts w:cs="Times New Roman"/>
          <w:i/>
          <w:iCs/>
          <w:szCs w:val="19"/>
        </w:rPr>
        <w:t>t.</w:t>
      </w:r>
      <w:r w:rsidRPr="008B436B">
        <w:rPr>
          <w:rFonts w:cs="Times New Roman"/>
          <w:i/>
          <w:iCs/>
          <w:szCs w:val="19"/>
        </w:rPr>
        <w:t xml:space="preserve"> </w:t>
      </w:r>
      <w:proofErr w:type="spellStart"/>
      <w:r w:rsidRPr="008B436B">
        <w:rPr>
          <w:rFonts w:cs="Times New Roman"/>
          <w:i/>
          <w:iCs/>
          <w:szCs w:val="19"/>
        </w:rPr>
        <w:t>giust</w:t>
      </w:r>
      <w:proofErr w:type="spellEnd"/>
      <w:r w:rsidR="003338D6" w:rsidRPr="008B436B">
        <w:rPr>
          <w:rFonts w:cs="Times New Roman"/>
          <w:i/>
          <w:iCs/>
          <w:szCs w:val="19"/>
        </w:rPr>
        <w:t>.</w:t>
      </w:r>
      <w:r w:rsidRPr="008B436B">
        <w:rPr>
          <w:rFonts w:cs="Times New Roman"/>
          <w:szCs w:val="19"/>
        </w:rPr>
        <w:t>, n. 1</w:t>
      </w:r>
      <w:r w:rsidR="003338D6" w:rsidRPr="008B436B">
        <w:rPr>
          <w:rFonts w:cs="Times New Roman"/>
          <w:szCs w:val="19"/>
        </w:rPr>
        <w:t>/2021</w:t>
      </w:r>
      <w:r w:rsidRPr="008B436B">
        <w:rPr>
          <w:rFonts w:cs="Times New Roman"/>
          <w:szCs w:val="19"/>
        </w:rPr>
        <w:t xml:space="preserve">, </w:t>
      </w:r>
      <w:r w:rsidR="003338D6" w:rsidRPr="008B436B">
        <w:rPr>
          <w:rFonts w:cs="Times New Roman"/>
          <w:szCs w:val="19"/>
        </w:rPr>
        <w:t xml:space="preserve">p. </w:t>
      </w:r>
      <w:r w:rsidRPr="008B436B">
        <w:rPr>
          <w:rFonts w:cs="Times New Roman"/>
          <w:szCs w:val="19"/>
        </w:rPr>
        <w:t>207.</w:t>
      </w:r>
    </w:p>
  </w:footnote>
  <w:footnote w:id="80">
    <w:p w14:paraId="534AC7EA" w14:textId="6EB3965B"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Si veda anche l’art. 133, comma 1, lett. </w:t>
      </w:r>
      <w:r w:rsidRPr="008B436B">
        <w:rPr>
          <w:rFonts w:cs="Times New Roman"/>
          <w:i/>
          <w:iCs/>
          <w:szCs w:val="19"/>
        </w:rPr>
        <w:t>p</w:t>
      </w:r>
      <w:r w:rsidR="003338D6" w:rsidRPr="008B436B">
        <w:rPr>
          <w:rFonts w:cs="Times New Roman"/>
          <w:szCs w:val="19"/>
        </w:rPr>
        <w:t>)</w:t>
      </w:r>
      <w:r w:rsidRPr="008B436B">
        <w:rPr>
          <w:rFonts w:cs="Times New Roman"/>
          <w:szCs w:val="19"/>
        </w:rPr>
        <w:t xml:space="preserve">, </w:t>
      </w:r>
      <w:r w:rsidR="00355B3B" w:rsidRPr="008B436B">
        <w:rPr>
          <w:rFonts w:cs="Times New Roman"/>
          <w:szCs w:val="19"/>
        </w:rPr>
        <w:t xml:space="preserve">cod. proc. </w:t>
      </w:r>
      <w:proofErr w:type="spellStart"/>
      <w:r w:rsidR="00355B3B" w:rsidRPr="008B436B">
        <w:rPr>
          <w:rFonts w:cs="Times New Roman"/>
          <w:szCs w:val="19"/>
        </w:rPr>
        <w:t>amm</w:t>
      </w:r>
      <w:proofErr w:type="spellEnd"/>
      <w:r w:rsidR="00355B3B" w:rsidRPr="008B436B">
        <w:rPr>
          <w:rFonts w:cs="Times New Roman"/>
          <w:szCs w:val="19"/>
        </w:rPr>
        <w:t>.</w:t>
      </w:r>
      <w:r w:rsidRPr="008B436B">
        <w:rPr>
          <w:rFonts w:cs="Times New Roman"/>
          <w:szCs w:val="19"/>
        </w:rPr>
        <w:t xml:space="preserve"> che affida alla giurisdizione esclusiva del giudice amministrativo anche </w:t>
      </w:r>
      <w:r w:rsidR="003338D6" w:rsidRPr="008B436B">
        <w:rPr>
          <w:rFonts w:cs="Times New Roman"/>
          <w:szCs w:val="19"/>
        </w:rPr>
        <w:t>«</w:t>
      </w:r>
      <w:r w:rsidRPr="008B436B">
        <w:rPr>
          <w:rFonts w:cs="Times New Roman"/>
          <w:i/>
          <w:iCs/>
          <w:szCs w:val="19"/>
        </w:rPr>
        <w:t>… le controversie comunque attinenti alla complessiva azione di gestione del ciclo dei rifiuti, seppure posta in essere con comportamenti della pubblica amministrazione riconducibili, anche mediatamente, all’esercizio di un pubblico potere, quand’anche relative a diritti costituzionalmente tutelati</w:t>
      </w:r>
      <w:r w:rsidR="003338D6" w:rsidRPr="008B436B">
        <w:rPr>
          <w:rFonts w:cs="Times New Roman"/>
          <w:szCs w:val="19"/>
        </w:rPr>
        <w:t>»</w:t>
      </w:r>
      <w:r w:rsidRPr="008B436B">
        <w:rPr>
          <w:rFonts w:cs="Times New Roman"/>
          <w:szCs w:val="19"/>
        </w:rPr>
        <w:t xml:space="preserve">; anche </w:t>
      </w:r>
      <w:r w:rsidRPr="008B436B">
        <w:rPr>
          <w:rFonts w:cs="Times New Roman"/>
          <w:smallCaps/>
          <w:szCs w:val="19"/>
        </w:rPr>
        <w:t>M. Ramajoli</w:t>
      </w:r>
      <w:r w:rsidRPr="008B436B">
        <w:rPr>
          <w:rFonts w:cs="Times New Roman"/>
          <w:szCs w:val="19"/>
        </w:rPr>
        <w:t xml:space="preserve">, </w:t>
      </w:r>
      <w:r w:rsidRPr="008B436B">
        <w:rPr>
          <w:rFonts w:cs="Times New Roman"/>
          <w:i/>
          <w:iCs/>
          <w:szCs w:val="19"/>
        </w:rPr>
        <w:t>Sui molteplici criteri di riparto</w:t>
      </w:r>
      <w:r w:rsidRPr="008B436B">
        <w:rPr>
          <w:rFonts w:cs="Times New Roman"/>
          <w:szCs w:val="19"/>
        </w:rPr>
        <w:t xml:space="preserve">, cit., </w:t>
      </w:r>
      <w:r w:rsidR="003338D6" w:rsidRPr="008B436B">
        <w:rPr>
          <w:rFonts w:cs="Times New Roman"/>
          <w:szCs w:val="19"/>
        </w:rPr>
        <w:t xml:space="preserve">p. </w:t>
      </w:r>
      <w:r w:rsidRPr="008B436B">
        <w:rPr>
          <w:rFonts w:cs="Times New Roman"/>
          <w:szCs w:val="19"/>
        </w:rPr>
        <w:t xml:space="preserve">285; sottolinea la particolare efficacia del giudizio amministrativo e della relativa tutela cautelare, </w:t>
      </w:r>
      <w:r w:rsidRPr="008B436B">
        <w:rPr>
          <w:rFonts w:cs="Times New Roman"/>
          <w:smallCaps/>
          <w:szCs w:val="19"/>
        </w:rPr>
        <w:t>R. Giani</w:t>
      </w:r>
      <w:r w:rsidRPr="008B436B">
        <w:rPr>
          <w:rFonts w:cs="Times New Roman"/>
          <w:szCs w:val="19"/>
        </w:rPr>
        <w:t xml:space="preserve">, </w:t>
      </w:r>
      <w:r w:rsidRPr="008B436B">
        <w:rPr>
          <w:rFonts w:cs="Times New Roman"/>
          <w:i/>
          <w:iCs/>
          <w:szCs w:val="19"/>
        </w:rPr>
        <w:t>Giudice amministrativo e giurisdizione esclusiva</w:t>
      </w:r>
      <w:r w:rsidRPr="008B436B">
        <w:rPr>
          <w:rFonts w:cs="Times New Roman"/>
          <w:szCs w:val="19"/>
        </w:rPr>
        <w:t xml:space="preserve">, cit., </w:t>
      </w:r>
      <w:r w:rsidR="003338D6" w:rsidRPr="008B436B">
        <w:rPr>
          <w:rFonts w:cs="Times New Roman"/>
          <w:szCs w:val="19"/>
        </w:rPr>
        <w:t xml:space="preserve">pp. </w:t>
      </w:r>
      <w:r w:rsidRPr="008B436B">
        <w:rPr>
          <w:rFonts w:cs="Times New Roman"/>
          <w:szCs w:val="19"/>
        </w:rPr>
        <w:t>212-213.</w:t>
      </w:r>
    </w:p>
  </w:footnote>
  <w:footnote w:id="81">
    <w:p w14:paraId="76E4388B" w14:textId="58C16279"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Se per le leggi il sindacato spetta alla Corte costituzionale – cfr. Corte cost</w:t>
      </w:r>
      <w:r w:rsidR="003338D6" w:rsidRPr="008B436B">
        <w:rPr>
          <w:rFonts w:cs="Times New Roman"/>
          <w:szCs w:val="19"/>
        </w:rPr>
        <w:t>.</w:t>
      </w:r>
      <w:r w:rsidRPr="008B436B">
        <w:rPr>
          <w:rFonts w:cs="Times New Roman"/>
          <w:szCs w:val="19"/>
        </w:rPr>
        <w:t xml:space="preserve">, </w:t>
      </w:r>
      <w:proofErr w:type="spellStart"/>
      <w:r w:rsidRPr="008B436B">
        <w:rPr>
          <w:rFonts w:cs="Times New Roman"/>
          <w:szCs w:val="19"/>
        </w:rPr>
        <w:t>sent</w:t>
      </w:r>
      <w:r w:rsidR="003338D6" w:rsidRPr="008B436B">
        <w:rPr>
          <w:rFonts w:cs="Times New Roman"/>
          <w:szCs w:val="19"/>
        </w:rPr>
        <w:t>t</w:t>
      </w:r>
      <w:proofErr w:type="spellEnd"/>
      <w:r w:rsidR="003338D6" w:rsidRPr="008B436B">
        <w:rPr>
          <w:rFonts w:cs="Times New Roman"/>
          <w:szCs w:val="19"/>
        </w:rPr>
        <w:t>.</w:t>
      </w:r>
      <w:r w:rsidRPr="008B436B">
        <w:rPr>
          <w:rFonts w:cs="Times New Roman"/>
          <w:szCs w:val="19"/>
        </w:rPr>
        <w:t xml:space="preserve"> n. 275</w:t>
      </w:r>
      <w:r w:rsidR="003338D6" w:rsidRPr="008B436B">
        <w:rPr>
          <w:rFonts w:cs="Times New Roman"/>
          <w:szCs w:val="19"/>
        </w:rPr>
        <w:t>/</w:t>
      </w:r>
      <w:r w:rsidRPr="008B436B">
        <w:rPr>
          <w:rFonts w:cs="Times New Roman"/>
          <w:szCs w:val="19"/>
        </w:rPr>
        <w:t>2016 e n. 195</w:t>
      </w:r>
      <w:r w:rsidR="003338D6" w:rsidRPr="008B436B">
        <w:rPr>
          <w:rFonts w:cs="Times New Roman"/>
          <w:szCs w:val="19"/>
        </w:rPr>
        <w:t>/</w:t>
      </w:r>
      <w:r w:rsidRPr="008B436B">
        <w:rPr>
          <w:rFonts w:cs="Times New Roman"/>
          <w:szCs w:val="19"/>
        </w:rPr>
        <w:t>2024 – per gli atti amministrativi un tale verifica deve essere svolta dal giudice amministrativo.</w:t>
      </w:r>
    </w:p>
  </w:footnote>
  <w:footnote w:id="82">
    <w:p w14:paraId="2C5A12DA" w14:textId="15558590"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Art. 56 </w:t>
      </w:r>
      <w:r w:rsidR="00355B3B" w:rsidRPr="008B436B">
        <w:rPr>
          <w:rFonts w:cs="Times New Roman"/>
          <w:szCs w:val="19"/>
        </w:rPr>
        <w:t xml:space="preserve">cod. proc. </w:t>
      </w:r>
      <w:proofErr w:type="spellStart"/>
      <w:r w:rsidR="00355B3B" w:rsidRPr="008B436B">
        <w:rPr>
          <w:rFonts w:cs="Times New Roman"/>
          <w:szCs w:val="19"/>
        </w:rPr>
        <w:t>amm</w:t>
      </w:r>
      <w:proofErr w:type="spellEnd"/>
      <w:r w:rsidR="00355B3B" w:rsidRPr="008B436B">
        <w:rPr>
          <w:rFonts w:cs="Times New Roman"/>
          <w:szCs w:val="19"/>
        </w:rPr>
        <w:t>.</w:t>
      </w:r>
    </w:p>
  </w:footnote>
  <w:footnote w:id="83">
    <w:p w14:paraId="1691ED78" w14:textId="2C8D82E6"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Art. 61 </w:t>
      </w:r>
      <w:r w:rsidR="00355B3B" w:rsidRPr="008B436B">
        <w:rPr>
          <w:rFonts w:cs="Times New Roman"/>
          <w:szCs w:val="19"/>
        </w:rPr>
        <w:t xml:space="preserve">cod. proc. </w:t>
      </w:r>
      <w:proofErr w:type="spellStart"/>
      <w:r w:rsidR="00355B3B" w:rsidRPr="008B436B">
        <w:rPr>
          <w:rFonts w:cs="Times New Roman"/>
          <w:szCs w:val="19"/>
        </w:rPr>
        <w:t>amm</w:t>
      </w:r>
      <w:proofErr w:type="spellEnd"/>
      <w:r w:rsidR="00355B3B" w:rsidRPr="008B436B">
        <w:rPr>
          <w:rFonts w:cs="Times New Roman"/>
          <w:szCs w:val="19"/>
        </w:rPr>
        <w:t>.</w:t>
      </w:r>
    </w:p>
  </w:footnote>
  <w:footnote w:id="84">
    <w:p w14:paraId="4D19B0EC" w14:textId="72C67A9A"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Di solito entro il termine complessivo di circa venti giorni, come previsto dall’art. 55, comma 5, </w:t>
      </w:r>
      <w:r w:rsidR="00355B3B" w:rsidRPr="008B436B">
        <w:rPr>
          <w:rFonts w:cs="Times New Roman"/>
          <w:szCs w:val="19"/>
        </w:rPr>
        <w:t xml:space="preserve">cod. proc. </w:t>
      </w:r>
      <w:proofErr w:type="spellStart"/>
      <w:r w:rsidR="00355B3B" w:rsidRPr="008B436B">
        <w:rPr>
          <w:rFonts w:cs="Times New Roman"/>
          <w:szCs w:val="19"/>
        </w:rPr>
        <w:t>amm</w:t>
      </w:r>
      <w:proofErr w:type="spellEnd"/>
      <w:r w:rsidR="00355B3B" w:rsidRPr="008B436B">
        <w:rPr>
          <w:rFonts w:cs="Times New Roman"/>
          <w:szCs w:val="19"/>
        </w:rPr>
        <w:t>.</w:t>
      </w:r>
    </w:p>
  </w:footnote>
  <w:footnote w:id="85">
    <w:p w14:paraId="6DA53402" w14:textId="6D2AF209"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Per alcuni esempi, T.A.R. Campania, Napoli, </w:t>
      </w:r>
      <w:r w:rsidR="003338D6" w:rsidRPr="008B436B">
        <w:rPr>
          <w:rFonts w:cs="Times New Roman"/>
          <w:szCs w:val="19"/>
        </w:rPr>
        <w:t xml:space="preserve">sez. </w:t>
      </w:r>
      <w:r w:rsidRPr="008B436B">
        <w:rPr>
          <w:rFonts w:cs="Times New Roman"/>
          <w:szCs w:val="19"/>
        </w:rPr>
        <w:t xml:space="preserve">IV, </w:t>
      </w:r>
      <w:proofErr w:type="spellStart"/>
      <w:r w:rsidRPr="008B436B">
        <w:rPr>
          <w:rFonts w:cs="Times New Roman"/>
          <w:szCs w:val="19"/>
        </w:rPr>
        <w:t>ord</w:t>
      </w:r>
      <w:proofErr w:type="spellEnd"/>
      <w:r w:rsidRPr="008B436B">
        <w:rPr>
          <w:rFonts w:cs="Times New Roman"/>
          <w:szCs w:val="19"/>
        </w:rPr>
        <w:t xml:space="preserve">. 7 marzo 2025, n. 486; </w:t>
      </w:r>
      <w:r w:rsidR="003338D6" w:rsidRPr="008B436B">
        <w:rPr>
          <w:rFonts w:cs="Times New Roman"/>
          <w:szCs w:val="19"/>
        </w:rPr>
        <w:t xml:space="preserve">Id., sez. </w:t>
      </w:r>
      <w:r w:rsidRPr="008B436B">
        <w:rPr>
          <w:rFonts w:cs="Times New Roman"/>
          <w:szCs w:val="19"/>
        </w:rPr>
        <w:t xml:space="preserve">IV, </w:t>
      </w:r>
      <w:proofErr w:type="spellStart"/>
      <w:r w:rsidRPr="008B436B">
        <w:rPr>
          <w:rFonts w:cs="Times New Roman"/>
          <w:szCs w:val="19"/>
        </w:rPr>
        <w:t>ord</w:t>
      </w:r>
      <w:proofErr w:type="spellEnd"/>
      <w:r w:rsidRPr="008B436B">
        <w:rPr>
          <w:rFonts w:cs="Times New Roman"/>
          <w:szCs w:val="19"/>
        </w:rPr>
        <w:t xml:space="preserve">. 23 dicembre 2024, n. 2764; T.A.R. Lazio, Roma, </w:t>
      </w:r>
      <w:r w:rsidR="003338D6" w:rsidRPr="008B436B">
        <w:rPr>
          <w:rFonts w:cs="Times New Roman"/>
          <w:szCs w:val="19"/>
        </w:rPr>
        <w:t xml:space="preserve">sez. </w:t>
      </w:r>
      <w:r w:rsidRPr="008B436B">
        <w:rPr>
          <w:rFonts w:cs="Times New Roman"/>
          <w:szCs w:val="19"/>
        </w:rPr>
        <w:t xml:space="preserve">IV </w:t>
      </w:r>
      <w:r w:rsidRPr="008B436B">
        <w:rPr>
          <w:rFonts w:cs="Times New Roman"/>
          <w:i/>
          <w:iCs/>
          <w:szCs w:val="19"/>
        </w:rPr>
        <w:t>bis</w:t>
      </w:r>
      <w:r w:rsidRPr="008B436B">
        <w:rPr>
          <w:rFonts w:cs="Times New Roman"/>
          <w:szCs w:val="19"/>
        </w:rPr>
        <w:t xml:space="preserve">, </w:t>
      </w:r>
      <w:proofErr w:type="spellStart"/>
      <w:r w:rsidRPr="008B436B">
        <w:rPr>
          <w:rFonts w:cs="Times New Roman"/>
          <w:szCs w:val="19"/>
        </w:rPr>
        <w:t>ord</w:t>
      </w:r>
      <w:proofErr w:type="spellEnd"/>
      <w:r w:rsidRPr="008B436B">
        <w:rPr>
          <w:rFonts w:cs="Times New Roman"/>
          <w:szCs w:val="19"/>
        </w:rPr>
        <w:t xml:space="preserve">. 23 febbraio 2024, n. 766; T.A.R. Sicilia, Catania, </w:t>
      </w:r>
      <w:r w:rsidR="003338D6" w:rsidRPr="008B436B">
        <w:rPr>
          <w:rFonts w:cs="Times New Roman"/>
          <w:szCs w:val="19"/>
        </w:rPr>
        <w:t xml:space="preserve">sez. </w:t>
      </w:r>
      <w:r w:rsidRPr="008B436B">
        <w:rPr>
          <w:rFonts w:cs="Times New Roman"/>
          <w:szCs w:val="19"/>
        </w:rPr>
        <w:t xml:space="preserve">IV, </w:t>
      </w:r>
      <w:proofErr w:type="spellStart"/>
      <w:r w:rsidRPr="008B436B">
        <w:rPr>
          <w:rFonts w:cs="Times New Roman"/>
          <w:szCs w:val="19"/>
        </w:rPr>
        <w:t>ord</w:t>
      </w:r>
      <w:proofErr w:type="spellEnd"/>
      <w:r w:rsidRPr="008B436B">
        <w:rPr>
          <w:rFonts w:cs="Times New Roman"/>
          <w:szCs w:val="19"/>
        </w:rPr>
        <w:t>. 12 aprile 2024, n. 162; sottolinea tali aspetti, R</w:t>
      </w:r>
      <w:r w:rsidRPr="008B436B">
        <w:rPr>
          <w:rFonts w:cs="Times New Roman"/>
          <w:smallCaps/>
          <w:szCs w:val="19"/>
        </w:rPr>
        <w:t>. Giani</w:t>
      </w:r>
      <w:r w:rsidRPr="008B436B">
        <w:rPr>
          <w:rFonts w:cs="Times New Roman"/>
          <w:szCs w:val="19"/>
        </w:rPr>
        <w:t xml:space="preserve">, </w:t>
      </w:r>
      <w:r w:rsidRPr="008B436B">
        <w:rPr>
          <w:rFonts w:cs="Times New Roman"/>
          <w:i/>
          <w:iCs/>
          <w:szCs w:val="19"/>
        </w:rPr>
        <w:t>Giudice amministrativo e giurisdizione esclusiva sui diritti fondamentali</w:t>
      </w:r>
      <w:r w:rsidRPr="008B436B">
        <w:rPr>
          <w:rFonts w:cs="Times New Roman"/>
          <w:szCs w:val="19"/>
        </w:rPr>
        <w:t xml:space="preserve">, cit., </w:t>
      </w:r>
      <w:r w:rsidR="00355B3B" w:rsidRPr="008B436B">
        <w:rPr>
          <w:rFonts w:cs="Times New Roman"/>
          <w:szCs w:val="19"/>
        </w:rPr>
        <w:t xml:space="preserve">pp. </w:t>
      </w:r>
      <w:r w:rsidRPr="008B436B">
        <w:rPr>
          <w:rFonts w:cs="Times New Roman"/>
          <w:szCs w:val="19"/>
        </w:rPr>
        <w:t>212-213.</w:t>
      </w:r>
    </w:p>
  </w:footnote>
  <w:footnote w:id="86">
    <w:p w14:paraId="75C92E9A" w14:textId="424574B8"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Art. 60 cod. proc. </w:t>
      </w:r>
      <w:proofErr w:type="spellStart"/>
      <w:r w:rsidRPr="008B436B">
        <w:rPr>
          <w:rFonts w:cs="Times New Roman"/>
          <w:szCs w:val="19"/>
        </w:rPr>
        <w:t>amm</w:t>
      </w:r>
      <w:proofErr w:type="spellEnd"/>
      <w:r w:rsidRPr="008B436B">
        <w:rPr>
          <w:rFonts w:cs="Times New Roman"/>
          <w:szCs w:val="19"/>
        </w:rPr>
        <w:t>.; cfr. R</w:t>
      </w:r>
      <w:r w:rsidRPr="008B436B">
        <w:rPr>
          <w:rFonts w:cs="Times New Roman"/>
          <w:smallCaps/>
          <w:szCs w:val="19"/>
        </w:rPr>
        <w:t>. Giani</w:t>
      </w:r>
      <w:r w:rsidRPr="008B436B">
        <w:rPr>
          <w:rFonts w:cs="Times New Roman"/>
          <w:szCs w:val="19"/>
        </w:rPr>
        <w:t xml:space="preserve">, </w:t>
      </w:r>
      <w:r w:rsidRPr="008B436B">
        <w:rPr>
          <w:rFonts w:cs="Times New Roman"/>
          <w:i/>
          <w:iCs/>
          <w:szCs w:val="19"/>
        </w:rPr>
        <w:t>Giudice amministrativo e giurisdizione esclusiva sui diritti fondamentali</w:t>
      </w:r>
      <w:r w:rsidRPr="008B436B">
        <w:rPr>
          <w:rFonts w:cs="Times New Roman"/>
          <w:szCs w:val="19"/>
        </w:rPr>
        <w:t xml:space="preserve">, cit., </w:t>
      </w:r>
      <w:r w:rsidR="00355B3B" w:rsidRPr="008B436B">
        <w:rPr>
          <w:rFonts w:cs="Times New Roman"/>
          <w:szCs w:val="19"/>
        </w:rPr>
        <w:t xml:space="preserve">p. </w:t>
      </w:r>
      <w:r w:rsidRPr="008B436B">
        <w:rPr>
          <w:rFonts w:cs="Times New Roman"/>
          <w:szCs w:val="19"/>
        </w:rPr>
        <w:t xml:space="preserve">213; tra gli innumerevoli esempi, si possono richiamare T.A.R. Campania, Napoli, </w:t>
      </w:r>
      <w:r w:rsidR="00355B3B" w:rsidRPr="008B436B">
        <w:rPr>
          <w:rFonts w:cs="Times New Roman"/>
          <w:szCs w:val="19"/>
        </w:rPr>
        <w:t xml:space="preserve">sez. </w:t>
      </w:r>
      <w:r w:rsidRPr="008B436B">
        <w:rPr>
          <w:rFonts w:cs="Times New Roman"/>
          <w:szCs w:val="19"/>
        </w:rPr>
        <w:t xml:space="preserve">II, 5 maggio 2025, n. 3614; </w:t>
      </w:r>
      <w:r w:rsidR="00355B3B" w:rsidRPr="008B436B">
        <w:rPr>
          <w:rFonts w:cs="Times New Roman"/>
          <w:szCs w:val="19"/>
        </w:rPr>
        <w:t xml:space="preserve">Id., sez. </w:t>
      </w:r>
      <w:r w:rsidRPr="008B436B">
        <w:rPr>
          <w:rFonts w:cs="Times New Roman"/>
          <w:szCs w:val="19"/>
        </w:rPr>
        <w:t xml:space="preserve">II, 5 maggio 2025, n. 3599; T.A.R. Lazio, Roma, </w:t>
      </w:r>
      <w:r w:rsidR="00355B3B" w:rsidRPr="008B436B">
        <w:rPr>
          <w:rFonts w:cs="Times New Roman"/>
          <w:szCs w:val="19"/>
        </w:rPr>
        <w:t xml:space="preserve">sez. </w:t>
      </w:r>
      <w:r w:rsidRPr="008B436B">
        <w:rPr>
          <w:rFonts w:cs="Times New Roman"/>
          <w:szCs w:val="19"/>
        </w:rPr>
        <w:t xml:space="preserve">IV </w:t>
      </w:r>
      <w:r w:rsidRPr="008B436B">
        <w:rPr>
          <w:rFonts w:cs="Times New Roman"/>
          <w:i/>
          <w:iCs/>
          <w:szCs w:val="19"/>
        </w:rPr>
        <w:t>bis</w:t>
      </w:r>
      <w:r w:rsidRPr="008B436B">
        <w:rPr>
          <w:rFonts w:cs="Times New Roman"/>
          <w:szCs w:val="19"/>
        </w:rPr>
        <w:t xml:space="preserve">, 28 febbraio 2024, n. 3926; T.A.R. Liguria, </w:t>
      </w:r>
      <w:r w:rsidR="00355B3B" w:rsidRPr="008B436B">
        <w:rPr>
          <w:rFonts w:cs="Times New Roman"/>
          <w:szCs w:val="19"/>
        </w:rPr>
        <w:t xml:space="preserve">sez. </w:t>
      </w:r>
      <w:r w:rsidRPr="008B436B">
        <w:rPr>
          <w:rFonts w:cs="Times New Roman"/>
          <w:szCs w:val="19"/>
        </w:rPr>
        <w:t>II, 10 settembre 2024, n. 613; T.A.R. Molise, 1° marzo 2024, n. 57.</w:t>
      </w:r>
    </w:p>
  </w:footnote>
  <w:footnote w:id="87">
    <w:p w14:paraId="420DD024" w14:textId="77777777"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Art. 59 cod. proc. </w:t>
      </w:r>
      <w:proofErr w:type="spellStart"/>
      <w:r w:rsidRPr="008B436B">
        <w:rPr>
          <w:rFonts w:cs="Times New Roman"/>
          <w:szCs w:val="19"/>
        </w:rPr>
        <w:t>amm</w:t>
      </w:r>
      <w:proofErr w:type="spellEnd"/>
      <w:r w:rsidRPr="008B436B">
        <w:rPr>
          <w:rFonts w:cs="Times New Roman"/>
          <w:szCs w:val="19"/>
        </w:rPr>
        <w:t>.</w:t>
      </w:r>
    </w:p>
  </w:footnote>
  <w:footnote w:id="88">
    <w:p w14:paraId="26F6DB35" w14:textId="77777777"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Artt. 112 e ss. cod. proc. </w:t>
      </w:r>
      <w:proofErr w:type="spellStart"/>
      <w:r w:rsidRPr="008B436B">
        <w:rPr>
          <w:rFonts w:cs="Times New Roman"/>
          <w:szCs w:val="19"/>
        </w:rPr>
        <w:t>amm</w:t>
      </w:r>
      <w:proofErr w:type="spellEnd"/>
      <w:r w:rsidRPr="008B436B">
        <w:rPr>
          <w:rFonts w:cs="Times New Roman"/>
          <w:szCs w:val="19"/>
        </w:rPr>
        <w:t>.</w:t>
      </w:r>
    </w:p>
  </w:footnote>
  <w:footnote w:id="89">
    <w:p w14:paraId="674449D5" w14:textId="45DB90F7"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Per una panoramica generale sul giudizio di ottemperanza, sia consentito il rinvio ad </w:t>
      </w:r>
      <w:r w:rsidRPr="008B436B">
        <w:rPr>
          <w:rFonts w:cs="Times New Roman"/>
          <w:smallCaps/>
          <w:szCs w:val="19"/>
        </w:rPr>
        <w:t>A. De Vita</w:t>
      </w:r>
      <w:r w:rsidRPr="008B436B">
        <w:rPr>
          <w:rFonts w:cs="Times New Roman"/>
          <w:szCs w:val="19"/>
        </w:rPr>
        <w:t xml:space="preserve">, </w:t>
      </w:r>
      <w:r w:rsidRPr="008B436B">
        <w:rPr>
          <w:rFonts w:cs="Times New Roman"/>
          <w:i/>
          <w:iCs/>
          <w:szCs w:val="19"/>
        </w:rPr>
        <w:t>Il giudizio di ottemperanza</w:t>
      </w:r>
      <w:r w:rsidRPr="008B436B">
        <w:rPr>
          <w:rFonts w:cs="Times New Roman"/>
          <w:szCs w:val="19"/>
        </w:rPr>
        <w:t xml:space="preserve">, in P. </w:t>
      </w:r>
      <w:r w:rsidRPr="008B436B">
        <w:rPr>
          <w:rFonts w:cs="Times New Roman"/>
          <w:smallCaps/>
          <w:szCs w:val="19"/>
        </w:rPr>
        <w:t>Cerbo</w:t>
      </w:r>
      <w:r w:rsidRPr="008B436B">
        <w:rPr>
          <w:rFonts w:cs="Times New Roman"/>
          <w:szCs w:val="19"/>
        </w:rPr>
        <w:t xml:space="preserve"> (a cura di), </w:t>
      </w:r>
      <w:r w:rsidRPr="008B436B">
        <w:rPr>
          <w:rFonts w:cs="Times New Roman"/>
          <w:i/>
          <w:iCs/>
          <w:szCs w:val="19"/>
        </w:rPr>
        <w:t>Il processo amministrativo a (quasi) dieci anni dal codice</w:t>
      </w:r>
      <w:r w:rsidRPr="008B436B">
        <w:rPr>
          <w:rFonts w:cs="Times New Roman"/>
          <w:szCs w:val="19"/>
        </w:rPr>
        <w:t xml:space="preserve">, Lecce, 2019, </w:t>
      </w:r>
      <w:r w:rsidR="00355B3B" w:rsidRPr="008B436B">
        <w:rPr>
          <w:rFonts w:cs="Times New Roman"/>
          <w:szCs w:val="19"/>
        </w:rPr>
        <w:t xml:space="preserve">p. </w:t>
      </w:r>
      <w:r w:rsidRPr="008B436B">
        <w:rPr>
          <w:rFonts w:cs="Times New Roman"/>
          <w:szCs w:val="19"/>
        </w:rPr>
        <w:t>75 ss.</w:t>
      </w:r>
    </w:p>
  </w:footnote>
  <w:footnote w:id="90">
    <w:p w14:paraId="41D15874" w14:textId="43DD4789"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Cfr. R</w:t>
      </w:r>
      <w:r w:rsidRPr="008B436B">
        <w:rPr>
          <w:rFonts w:cs="Times New Roman"/>
          <w:smallCaps/>
          <w:szCs w:val="19"/>
        </w:rPr>
        <w:t>. Giani</w:t>
      </w:r>
      <w:r w:rsidRPr="008B436B">
        <w:rPr>
          <w:rFonts w:cs="Times New Roman"/>
          <w:szCs w:val="19"/>
        </w:rPr>
        <w:t xml:space="preserve">, </w:t>
      </w:r>
      <w:r w:rsidRPr="008B436B">
        <w:rPr>
          <w:rFonts w:cs="Times New Roman"/>
          <w:i/>
          <w:iCs/>
          <w:szCs w:val="19"/>
        </w:rPr>
        <w:t>Giudice amministrativo e giurisdizione esclusiva</w:t>
      </w:r>
      <w:r w:rsidR="008B436B" w:rsidRPr="008B436B">
        <w:rPr>
          <w:rFonts w:cs="Times New Roman"/>
          <w:szCs w:val="19"/>
        </w:rPr>
        <w:t xml:space="preserve">, </w:t>
      </w:r>
      <w:r w:rsidRPr="008B436B">
        <w:rPr>
          <w:rFonts w:cs="Times New Roman"/>
          <w:szCs w:val="19"/>
        </w:rPr>
        <w:t xml:space="preserve">cit., </w:t>
      </w:r>
      <w:r w:rsidR="00355B3B" w:rsidRPr="008B436B">
        <w:rPr>
          <w:rFonts w:cs="Times New Roman"/>
          <w:szCs w:val="19"/>
        </w:rPr>
        <w:t xml:space="preserve">p. </w:t>
      </w:r>
      <w:r w:rsidRPr="008B436B">
        <w:rPr>
          <w:rFonts w:cs="Times New Roman"/>
          <w:szCs w:val="19"/>
        </w:rPr>
        <w:t>214.</w:t>
      </w:r>
    </w:p>
  </w:footnote>
  <w:footnote w:id="91">
    <w:p w14:paraId="173B3F72" w14:textId="77777777"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Art. 31, comma 3, cod. proc. </w:t>
      </w:r>
      <w:proofErr w:type="spellStart"/>
      <w:r w:rsidRPr="008B436B">
        <w:rPr>
          <w:rFonts w:cs="Times New Roman"/>
          <w:szCs w:val="19"/>
        </w:rPr>
        <w:t>amm</w:t>
      </w:r>
      <w:proofErr w:type="spellEnd"/>
      <w:r w:rsidRPr="008B436B">
        <w:rPr>
          <w:rFonts w:cs="Times New Roman"/>
          <w:szCs w:val="19"/>
        </w:rPr>
        <w:t>.</w:t>
      </w:r>
    </w:p>
  </w:footnote>
  <w:footnote w:id="92">
    <w:p w14:paraId="56FDC211" w14:textId="64B6781B"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Si segnalano, a titolo di esempio, T.A.R. Calabria, Reggio Calabria, 10 aprile 2025, n. 275, che richiama il tenore dell’istruttoria; T.A.R. Calabria, Reggio Calabria, 7 aprile 2025, n. 254, con riguardo al trattamento con modello ABA; T.A.R. Campania, Napoli, </w:t>
      </w:r>
      <w:r w:rsidR="00355B3B" w:rsidRPr="008B436B">
        <w:rPr>
          <w:rFonts w:cs="Times New Roman"/>
          <w:szCs w:val="19"/>
        </w:rPr>
        <w:t xml:space="preserve">sez. </w:t>
      </w:r>
      <w:r w:rsidRPr="008B436B">
        <w:rPr>
          <w:rFonts w:cs="Times New Roman"/>
          <w:szCs w:val="19"/>
        </w:rPr>
        <w:t>VI, 10 ottobre 2024, n. 5317, sul progetto di vita già predisposto dalla Commissione UVI.</w:t>
      </w:r>
    </w:p>
  </w:footnote>
  <w:footnote w:id="93">
    <w:p w14:paraId="600AF538" w14:textId="1B0E1D67"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Così </w:t>
      </w:r>
      <w:r w:rsidRPr="008B436B">
        <w:rPr>
          <w:rFonts w:cs="Times New Roman"/>
          <w:smallCaps/>
          <w:szCs w:val="19"/>
        </w:rPr>
        <w:t>E. Scotti</w:t>
      </w:r>
      <w:r w:rsidRPr="008B436B">
        <w:rPr>
          <w:rFonts w:cs="Times New Roman"/>
          <w:szCs w:val="19"/>
        </w:rPr>
        <w:t xml:space="preserve">, </w:t>
      </w:r>
      <w:r w:rsidRPr="008B436B">
        <w:rPr>
          <w:rFonts w:cs="Times New Roman"/>
          <w:i/>
          <w:iCs/>
          <w:szCs w:val="19"/>
        </w:rPr>
        <w:t>I diritti fondamentali nel pluralismo</w:t>
      </w:r>
      <w:r w:rsidRPr="008B436B">
        <w:rPr>
          <w:rFonts w:cs="Times New Roman"/>
          <w:szCs w:val="19"/>
        </w:rPr>
        <w:t xml:space="preserve">, cit., </w:t>
      </w:r>
      <w:r w:rsidR="00355B3B" w:rsidRPr="008B436B">
        <w:rPr>
          <w:rFonts w:cs="Times New Roman"/>
          <w:szCs w:val="19"/>
        </w:rPr>
        <w:t xml:space="preserve">p. </w:t>
      </w:r>
      <w:r w:rsidRPr="008B436B">
        <w:rPr>
          <w:rFonts w:cs="Times New Roman"/>
          <w:szCs w:val="19"/>
        </w:rPr>
        <w:t>206.</w:t>
      </w:r>
    </w:p>
  </w:footnote>
  <w:footnote w:id="94">
    <w:p w14:paraId="1F6E4687" w14:textId="5731A34A" w:rsidR="00E92121" w:rsidRPr="008B436B"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Cfr. Cons</w:t>
      </w:r>
      <w:r w:rsidR="00355B3B" w:rsidRPr="008B436B">
        <w:rPr>
          <w:rFonts w:cs="Times New Roman"/>
          <w:szCs w:val="19"/>
        </w:rPr>
        <w:t>.</w:t>
      </w:r>
      <w:r w:rsidRPr="008B436B">
        <w:rPr>
          <w:rFonts w:cs="Times New Roman"/>
          <w:szCs w:val="19"/>
        </w:rPr>
        <w:t xml:space="preserve"> Stato, </w:t>
      </w:r>
      <w:r w:rsidR="008B436B" w:rsidRPr="008B436B">
        <w:rPr>
          <w:rFonts w:cs="Times New Roman"/>
          <w:szCs w:val="19"/>
        </w:rPr>
        <w:t xml:space="preserve">sez. </w:t>
      </w:r>
      <w:r w:rsidRPr="008B436B">
        <w:rPr>
          <w:rFonts w:cs="Times New Roman"/>
          <w:szCs w:val="19"/>
        </w:rPr>
        <w:t>VI, 15 marzo 2024, n. 2508.</w:t>
      </w:r>
    </w:p>
  </w:footnote>
  <w:footnote w:id="95">
    <w:p w14:paraId="64947312" w14:textId="176AAC1F" w:rsidR="00E92121" w:rsidRPr="0036056C" w:rsidRDefault="00E92121" w:rsidP="00E92121">
      <w:pPr>
        <w:pStyle w:val="Testonotaapidipagina"/>
        <w:rPr>
          <w:rFonts w:cs="Times New Roman"/>
          <w:szCs w:val="19"/>
        </w:rPr>
      </w:pPr>
      <w:r w:rsidRPr="008B436B">
        <w:rPr>
          <w:rStyle w:val="Rimandonotaapidipagina"/>
          <w:rFonts w:cs="Times New Roman"/>
          <w:szCs w:val="19"/>
        </w:rPr>
        <w:footnoteRef/>
      </w:r>
      <w:r w:rsidRPr="008B436B">
        <w:rPr>
          <w:rFonts w:cs="Times New Roman"/>
          <w:szCs w:val="19"/>
          <w:vertAlign w:val="superscript"/>
        </w:rPr>
        <w:t> </w:t>
      </w:r>
      <w:r w:rsidRPr="008B436B">
        <w:rPr>
          <w:rFonts w:cs="Times New Roman"/>
          <w:szCs w:val="19"/>
        </w:rPr>
        <w:t xml:space="preserve">Così </w:t>
      </w:r>
      <w:r w:rsidRPr="008B436B">
        <w:rPr>
          <w:rFonts w:cs="Times New Roman"/>
          <w:smallCaps/>
          <w:szCs w:val="19"/>
        </w:rPr>
        <w:t>A. De Vita</w:t>
      </w:r>
      <w:r w:rsidRPr="008B436B">
        <w:rPr>
          <w:rFonts w:cs="Times New Roman"/>
          <w:szCs w:val="19"/>
        </w:rPr>
        <w:t xml:space="preserve">, </w:t>
      </w:r>
      <w:r w:rsidRPr="008B436B">
        <w:rPr>
          <w:rFonts w:cs="Times New Roman"/>
          <w:i/>
          <w:iCs/>
          <w:szCs w:val="19"/>
        </w:rPr>
        <w:t>Il giudizio di ottemperanza</w:t>
      </w:r>
      <w:r w:rsidRPr="008B436B">
        <w:rPr>
          <w:rFonts w:cs="Times New Roman"/>
          <w:szCs w:val="19"/>
        </w:rPr>
        <w:t xml:space="preserve">, cit., </w:t>
      </w:r>
      <w:r w:rsidR="00355B3B" w:rsidRPr="008B436B">
        <w:rPr>
          <w:rFonts w:cs="Times New Roman"/>
          <w:szCs w:val="19"/>
        </w:rPr>
        <w:t xml:space="preserve">pp. </w:t>
      </w:r>
      <w:r w:rsidRPr="008B436B">
        <w:rPr>
          <w:rFonts w:cs="Times New Roman"/>
          <w:szCs w:val="19"/>
        </w:rPr>
        <w:t>84-85, che aggiunge altresì che, «</w:t>
      </w:r>
      <w:r w:rsidRPr="008B436B">
        <w:rPr>
          <w:rFonts w:cs="Times New Roman"/>
          <w:i/>
          <w:iCs/>
          <w:szCs w:val="19"/>
        </w:rPr>
        <w:t xml:space="preserve">con riguardo alle sentenze del giudice ordinario, pare più corretto utilizzare l’espressione “esecuzione” rispetto ad “attuazione” o “ottemperanza”, vista la natura prettamente esecutiva del giudizio, che deve limitarsi ad enucleare il comando contenuto nella sentenza da eseguire sulla base della interpretazione (esclusiva) della motivazione e del dispositivo ivi contenuti. Tale </w:t>
      </w:r>
      <w:r w:rsidRPr="008B436B">
        <w:rPr>
          <w:rFonts w:cs="Times New Roman"/>
          <w:szCs w:val="19"/>
        </w:rPr>
        <w:t xml:space="preserve">modus </w:t>
      </w:r>
      <w:proofErr w:type="spellStart"/>
      <w:r w:rsidRPr="008B436B">
        <w:rPr>
          <w:rFonts w:cs="Times New Roman"/>
          <w:szCs w:val="19"/>
        </w:rPr>
        <w:t>procedendi</w:t>
      </w:r>
      <w:proofErr w:type="spellEnd"/>
      <w:r w:rsidRPr="008B436B">
        <w:rPr>
          <w:rFonts w:cs="Times New Roman"/>
          <w:i/>
          <w:iCs/>
          <w:szCs w:val="19"/>
        </w:rPr>
        <w:t xml:space="preserve"> difatti è imposto dai limiti connaturati al riparto di giurisdizione, che impediscono al giudice amministrativo – seppure in sede di giudizio di ottemperanza – di occuparsi di questioni che fuoriescono dal suo ambito cognitorio, in quanto emersi per la prima volta nel corso del giudizio di ottemperanza e mai scrutinati prima dal giudice munito di giurisdizione</w:t>
      </w:r>
      <w:r w:rsidRPr="008B436B">
        <w:rPr>
          <w:rFonts w:cs="Times New Roman"/>
          <w:szCs w:val="19"/>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9"/>
        <w:szCs w:val="19"/>
      </w:rPr>
      <w:id w:val="-881319653"/>
      <w:docPartObj>
        <w:docPartGallery w:val="Page Numbers (Top of Page)"/>
        <w:docPartUnique/>
      </w:docPartObj>
    </w:sdtPr>
    <w:sdtContent>
      <w:p w14:paraId="1C207EBA" w14:textId="000CC5F4" w:rsidR="00B94789" w:rsidRPr="00605197" w:rsidRDefault="00B94789" w:rsidP="00CE2009">
        <w:pPr>
          <w:pStyle w:val="Intestazione"/>
          <w:tabs>
            <w:tab w:val="clear" w:pos="4819"/>
            <w:tab w:val="clear" w:pos="9638"/>
            <w:tab w:val="center" w:pos="3544"/>
            <w:tab w:val="right" w:pos="7088"/>
          </w:tabs>
          <w:spacing w:line="240" w:lineRule="exact"/>
          <w:rPr>
            <w:sz w:val="19"/>
            <w:szCs w:val="19"/>
          </w:rPr>
        </w:pPr>
        <w:r w:rsidRPr="00CE2009">
          <w:rPr>
            <w:rFonts w:ascii="Times New Roman" w:hAnsi="Times New Roman" w:cs="Times New Roman"/>
            <w:sz w:val="21"/>
          </w:rPr>
          <w:fldChar w:fldCharType="begin"/>
        </w:r>
        <w:r w:rsidRPr="00CE2009">
          <w:rPr>
            <w:rFonts w:ascii="Times New Roman" w:hAnsi="Times New Roman" w:cs="Times New Roman"/>
            <w:sz w:val="21"/>
          </w:rPr>
          <w:instrText>PAGE   \* MERGEFORMAT</w:instrText>
        </w:r>
        <w:r w:rsidRPr="00CE2009">
          <w:rPr>
            <w:rFonts w:ascii="Times New Roman" w:hAnsi="Times New Roman" w:cs="Times New Roman"/>
            <w:sz w:val="21"/>
          </w:rPr>
          <w:fldChar w:fldCharType="separate"/>
        </w:r>
        <w:r w:rsidRPr="00CE2009">
          <w:rPr>
            <w:rFonts w:ascii="Times New Roman" w:hAnsi="Times New Roman" w:cs="Times New Roman"/>
            <w:sz w:val="21"/>
          </w:rPr>
          <w:t>XII</w:t>
        </w:r>
        <w:r w:rsidRPr="00CE2009">
          <w:rPr>
            <w:rFonts w:ascii="Times New Roman" w:hAnsi="Times New Roman" w:cs="Times New Roman"/>
            <w:sz w:val="21"/>
          </w:rPr>
          <w:fldChar w:fldCharType="end"/>
        </w:r>
        <w:r w:rsidRPr="00605197">
          <w:rPr>
            <w:sz w:val="19"/>
            <w:szCs w:val="19"/>
          </w:rPr>
          <w:tab/>
        </w:r>
        <w:r w:rsidR="00022B0A" w:rsidRPr="00022B0A">
          <w:rPr>
            <w:rFonts w:ascii="Times New Roman" w:hAnsi="Times New Roman" w:cs="Times New Roman"/>
            <w:i/>
            <w:iCs/>
            <w:sz w:val="19"/>
            <w:szCs w:val="19"/>
          </w:rPr>
          <w:t>Antonio De Vita</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9"/>
        <w:szCs w:val="19"/>
      </w:rPr>
      <w:id w:val="1298333170"/>
      <w:docPartObj>
        <w:docPartGallery w:val="Page Numbers (Top of Page)"/>
        <w:docPartUnique/>
      </w:docPartObj>
    </w:sdtPr>
    <w:sdtContent>
      <w:p w14:paraId="6CC1DEB0" w14:textId="39E77D75" w:rsidR="000E2BD0" w:rsidRPr="00605197" w:rsidRDefault="000E2BD0" w:rsidP="000E2BD0">
        <w:pPr>
          <w:pStyle w:val="Intestazione"/>
          <w:tabs>
            <w:tab w:val="clear" w:pos="4819"/>
            <w:tab w:val="clear" w:pos="9638"/>
            <w:tab w:val="center" w:pos="3544"/>
            <w:tab w:val="right" w:pos="7088"/>
          </w:tabs>
          <w:spacing w:line="240" w:lineRule="exact"/>
          <w:rPr>
            <w:sz w:val="19"/>
            <w:szCs w:val="19"/>
          </w:rPr>
        </w:pPr>
        <w:r w:rsidRPr="005172CE">
          <w:rPr>
            <w:sz w:val="19"/>
            <w:szCs w:val="19"/>
          </w:rPr>
          <w:tab/>
        </w:r>
        <w:r w:rsidR="00022B0A" w:rsidRPr="00391A67">
          <w:rPr>
            <w:rFonts w:ascii="Times New Roman" w:hAnsi="Times New Roman" w:cs="Times New Roman"/>
            <w:i/>
            <w:sz w:val="19"/>
            <w:szCs w:val="19"/>
          </w:rPr>
          <w:t>Il progetto di vita individuale del soggetto disabile</w:t>
        </w:r>
        <w:r w:rsidRPr="005172CE">
          <w:rPr>
            <w:sz w:val="21"/>
          </w:rPr>
          <w:tab/>
        </w:r>
        <w:r w:rsidRPr="005172CE">
          <w:rPr>
            <w:rFonts w:ascii="Times New Roman" w:hAnsi="Times New Roman" w:cs="Times New Roman"/>
            <w:sz w:val="21"/>
          </w:rPr>
          <w:fldChar w:fldCharType="begin"/>
        </w:r>
        <w:r w:rsidRPr="005172CE">
          <w:rPr>
            <w:rFonts w:ascii="Times New Roman" w:hAnsi="Times New Roman" w:cs="Times New Roman"/>
            <w:sz w:val="21"/>
          </w:rPr>
          <w:instrText>PAGE   \* MERGEFORMAT</w:instrText>
        </w:r>
        <w:r w:rsidRPr="005172CE">
          <w:rPr>
            <w:rFonts w:ascii="Times New Roman" w:hAnsi="Times New Roman" w:cs="Times New Roman"/>
            <w:sz w:val="21"/>
          </w:rPr>
          <w:fldChar w:fldCharType="separate"/>
        </w:r>
        <w:r w:rsidRPr="005172CE">
          <w:rPr>
            <w:rFonts w:ascii="Times New Roman" w:hAnsi="Times New Roman" w:cs="Times New Roman"/>
            <w:sz w:val="21"/>
          </w:rPr>
          <w:t>XI</w:t>
        </w:r>
        <w:r w:rsidRPr="005172CE">
          <w:rPr>
            <w:rFonts w:ascii="Times New Roman" w:hAnsi="Times New Roman" w:cs="Times New Roman"/>
            <w:sz w:val="21"/>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BEB0" w14:textId="7866D7E3" w:rsidR="00DE6E91" w:rsidRPr="00DE6E91" w:rsidRDefault="00DE6E91" w:rsidP="00DE6E91">
    <w:pPr>
      <w:pStyle w:val="Intestazione"/>
      <w:jc w:val="both"/>
      <w:rPr>
        <w:rFonts w:ascii="Times New Roman" w:hAnsi="Times New Roman" w:cs="Times New Roman"/>
        <w:sz w:val="24"/>
        <w:szCs w:val="24"/>
      </w:rPr>
    </w:pPr>
    <w:r w:rsidRPr="00DE6E91">
      <w:rPr>
        <w:rFonts w:ascii="Times New Roman" w:hAnsi="Times New Roman" w:cs="Times New Roman"/>
        <w:sz w:val="24"/>
        <w:szCs w:val="24"/>
      </w:rPr>
      <w:t xml:space="preserve">Tratto dal volume </w:t>
    </w:r>
    <w:r w:rsidRPr="00DE6E91">
      <w:rPr>
        <w:rFonts w:ascii="Times New Roman" w:hAnsi="Times New Roman" w:cs="Times New Roman"/>
        <w:smallCaps/>
        <w:sz w:val="24"/>
        <w:szCs w:val="24"/>
      </w:rPr>
      <w:t>A. Candido</w:t>
    </w:r>
    <w:r w:rsidRPr="00DE6E91">
      <w:rPr>
        <w:rFonts w:ascii="Times New Roman" w:hAnsi="Times New Roman" w:cs="Times New Roman"/>
        <w:sz w:val="24"/>
        <w:szCs w:val="24"/>
      </w:rPr>
      <w:t xml:space="preserve"> (a cura di), </w:t>
    </w:r>
    <w:r w:rsidRPr="00DE6E91">
      <w:rPr>
        <w:rFonts w:ascii="Times New Roman" w:hAnsi="Times New Roman" w:cs="Times New Roman"/>
        <w:i/>
        <w:iCs/>
        <w:sz w:val="24"/>
        <w:szCs w:val="24"/>
      </w:rPr>
      <w:t>La presa in carico della persona fragile. Un dialogo tra giurisdizioni su questioni di diritto sociosanitatio e socioassistenziale</w:t>
    </w:r>
    <w:r w:rsidRPr="00DE6E91">
      <w:rPr>
        <w:rFonts w:ascii="Times New Roman" w:hAnsi="Times New Roman" w:cs="Times New Roman"/>
        <w:sz w:val="24"/>
        <w:szCs w:val="24"/>
      </w:rPr>
      <w:t>, Giappichelli Editore, Torino, 2025</w:t>
    </w:r>
    <w:r w:rsidR="00C800D5">
      <w:rPr>
        <w:rFonts w:ascii="Times New Roman" w:hAnsi="Times New Roman" w:cs="Times New Roman"/>
        <w:sz w:val="24"/>
        <w:szCs w:val="24"/>
      </w:rPr>
      <w:t>, pp. 324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A009B"/>
    <w:multiLevelType w:val="hybridMultilevel"/>
    <w:tmpl w:val="848EA386"/>
    <w:lvl w:ilvl="0" w:tplc="1194AFF6">
      <w:start w:val="1"/>
      <w:numFmt w:val="upperRoman"/>
      <w:pStyle w:val="Capoversoelenconumeriromani"/>
      <w:lvlText w:val="%1."/>
      <w:lvlJc w:val="left"/>
      <w:pPr>
        <w:ind w:left="360"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198B1E2C"/>
    <w:multiLevelType w:val="hybridMultilevel"/>
    <w:tmpl w:val="B700ECD8"/>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 w15:restartNumberingAfterBreak="0">
    <w:nsid w:val="376D00CC"/>
    <w:multiLevelType w:val="hybridMultilevel"/>
    <w:tmpl w:val="43CEAC48"/>
    <w:lvl w:ilvl="0" w:tplc="0F54806A">
      <w:start w:val="1"/>
      <w:numFmt w:val="lowerLetter"/>
      <w:pStyle w:val="Capoversoelencolettere"/>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 w15:restartNumberingAfterBreak="0">
    <w:nsid w:val="3AF1709C"/>
    <w:multiLevelType w:val="hybridMultilevel"/>
    <w:tmpl w:val="B700ECD8"/>
    <w:lvl w:ilvl="0" w:tplc="0FF0EBA0">
      <w:start w:val="1"/>
      <w:numFmt w:val="decimal"/>
      <w:pStyle w:val="Capoversoelenconumeri"/>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 w15:restartNumberingAfterBreak="0">
    <w:nsid w:val="3F6A148B"/>
    <w:multiLevelType w:val="hybridMultilevel"/>
    <w:tmpl w:val="BDAA9B94"/>
    <w:lvl w:ilvl="0" w:tplc="625282A8">
      <w:start w:val="1"/>
      <w:numFmt w:val="bullet"/>
      <w:pStyle w:val="Capoversoelencopallini"/>
      <w:lvlText w:val="•"/>
      <w:lvlJc w:val="left"/>
      <w:pPr>
        <w:ind w:left="1004" w:hanging="360"/>
      </w:pPr>
      <w:rPr>
        <w:rFonts w:ascii="Simoncini Garamond Std" w:hAnsi="Simoncini Garamond Std"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4F664F3D"/>
    <w:multiLevelType w:val="hybridMultilevel"/>
    <w:tmpl w:val="4686F0A6"/>
    <w:lvl w:ilvl="0" w:tplc="8340931C">
      <w:start w:val="1"/>
      <w:numFmt w:val="bullet"/>
      <w:pStyle w:val="Capoversoelencotratto"/>
      <w:lvlText w:val="–"/>
      <w:lvlJc w:val="left"/>
      <w:pPr>
        <w:ind w:left="1004" w:hanging="360"/>
      </w:pPr>
      <w:rPr>
        <w:rFonts w:ascii="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6CAE1D13"/>
    <w:multiLevelType w:val="hybridMultilevel"/>
    <w:tmpl w:val="B700ECD8"/>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866910532">
    <w:abstractNumId w:val="2"/>
  </w:num>
  <w:num w:numId="2" w16cid:durableId="156849008">
    <w:abstractNumId w:val="3"/>
  </w:num>
  <w:num w:numId="3" w16cid:durableId="374623859">
    <w:abstractNumId w:val="5"/>
  </w:num>
  <w:num w:numId="4" w16cid:durableId="55857869">
    <w:abstractNumId w:val="4"/>
  </w:num>
  <w:num w:numId="5" w16cid:durableId="1889684064">
    <w:abstractNumId w:val="0"/>
  </w:num>
  <w:num w:numId="6" w16cid:durableId="1167938263">
    <w:abstractNumId w:val="1"/>
  </w:num>
  <w:num w:numId="7" w16cid:durableId="72595924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4DC"/>
    <w:rsid w:val="00002CDC"/>
    <w:rsid w:val="00004928"/>
    <w:rsid w:val="0000527D"/>
    <w:rsid w:val="000107B9"/>
    <w:rsid w:val="00010CEF"/>
    <w:rsid w:val="000115F8"/>
    <w:rsid w:val="0001222C"/>
    <w:rsid w:val="000124C4"/>
    <w:rsid w:val="000134C6"/>
    <w:rsid w:val="000137E0"/>
    <w:rsid w:val="00013EC2"/>
    <w:rsid w:val="0001498E"/>
    <w:rsid w:val="00015268"/>
    <w:rsid w:val="0001562D"/>
    <w:rsid w:val="00022B0A"/>
    <w:rsid w:val="0002612F"/>
    <w:rsid w:val="00027B85"/>
    <w:rsid w:val="00027FEA"/>
    <w:rsid w:val="00030D83"/>
    <w:rsid w:val="00031F2F"/>
    <w:rsid w:val="00032FE4"/>
    <w:rsid w:val="00033A4C"/>
    <w:rsid w:val="000426B8"/>
    <w:rsid w:val="00047537"/>
    <w:rsid w:val="000536CC"/>
    <w:rsid w:val="00053D1F"/>
    <w:rsid w:val="00054220"/>
    <w:rsid w:val="000571EC"/>
    <w:rsid w:val="0005757C"/>
    <w:rsid w:val="00057DE0"/>
    <w:rsid w:val="00066226"/>
    <w:rsid w:val="000663AD"/>
    <w:rsid w:val="00066A0E"/>
    <w:rsid w:val="00067686"/>
    <w:rsid w:val="00070AA6"/>
    <w:rsid w:val="000752B4"/>
    <w:rsid w:val="00076AEA"/>
    <w:rsid w:val="000817F9"/>
    <w:rsid w:val="000819FC"/>
    <w:rsid w:val="000820E8"/>
    <w:rsid w:val="00082D92"/>
    <w:rsid w:val="0008506C"/>
    <w:rsid w:val="00086D97"/>
    <w:rsid w:val="00087E4C"/>
    <w:rsid w:val="000927BF"/>
    <w:rsid w:val="00094149"/>
    <w:rsid w:val="00094490"/>
    <w:rsid w:val="00094A95"/>
    <w:rsid w:val="000967D0"/>
    <w:rsid w:val="000A01CB"/>
    <w:rsid w:val="000A13C1"/>
    <w:rsid w:val="000A15B5"/>
    <w:rsid w:val="000A3B7C"/>
    <w:rsid w:val="000A4843"/>
    <w:rsid w:val="000A4CDF"/>
    <w:rsid w:val="000A5BDE"/>
    <w:rsid w:val="000A5D2E"/>
    <w:rsid w:val="000A62C0"/>
    <w:rsid w:val="000A6CAF"/>
    <w:rsid w:val="000B0CE7"/>
    <w:rsid w:val="000B22D1"/>
    <w:rsid w:val="000B3461"/>
    <w:rsid w:val="000B3825"/>
    <w:rsid w:val="000B3B39"/>
    <w:rsid w:val="000B4603"/>
    <w:rsid w:val="000B5DA2"/>
    <w:rsid w:val="000B7118"/>
    <w:rsid w:val="000C00B6"/>
    <w:rsid w:val="000C232A"/>
    <w:rsid w:val="000C31D8"/>
    <w:rsid w:val="000C337E"/>
    <w:rsid w:val="000C650F"/>
    <w:rsid w:val="000C6DB8"/>
    <w:rsid w:val="000C7292"/>
    <w:rsid w:val="000C733B"/>
    <w:rsid w:val="000C7B99"/>
    <w:rsid w:val="000D1BFF"/>
    <w:rsid w:val="000D319E"/>
    <w:rsid w:val="000D3915"/>
    <w:rsid w:val="000D469A"/>
    <w:rsid w:val="000D6B48"/>
    <w:rsid w:val="000E2BD0"/>
    <w:rsid w:val="000E3A46"/>
    <w:rsid w:val="000E635F"/>
    <w:rsid w:val="000E7223"/>
    <w:rsid w:val="000E7683"/>
    <w:rsid w:val="000F33BC"/>
    <w:rsid w:val="000F61CB"/>
    <w:rsid w:val="000F74C9"/>
    <w:rsid w:val="0010315A"/>
    <w:rsid w:val="001058C0"/>
    <w:rsid w:val="00116F1C"/>
    <w:rsid w:val="00117625"/>
    <w:rsid w:val="00120B3C"/>
    <w:rsid w:val="00120F03"/>
    <w:rsid w:val="001243BC"/>
    <w:rsid w:val="00126186"/>
    <w:rsid w:val="00126246"/>
    <w:rsid w:val="001269DF"/>
    <w:rsid w:val="0012718F"/>
    <w:rsid w:val="00127670"/>
    <w:rsid w:val="00132A1C"/>
    <w:rsid w:val="0013391D"/>
    <w:rsid w:val="00133EFD"/>
    <w:rsid w:val="0013592D"/>
    <w:rsid w:val="00136474"/>
    <w:rsid w:val="001365EA"/>
    <w:rsid w:val="001473FF"/>
    <w:rsid w:val="00150E67"/>
    <w:rsid w:val="001538F4"/>
    <w:rsid w:val="001538FA"/>
    <w:rsid w:val="0015395F"/>
    <w:rsid w:val="00154BF8"/>
    <w:rsid w:val="00155FEC"/>
    <w:rsid w:val="00156A22"/>
    <w:rsid w:val="0015705D"/>
    <w:rsid w:val="00163762"/>
    <w:rsid w:val="001642A8"/>
    <w:rsid w:val="00166801"/>
    <w:rsid w:val="001709F7"/>
    <w:rsid w:val="001716ED"/>
    <w:rsid w:val="00171ADB"/>
    <w:rsid w:val="00173B22"/>
    <w:rsid w:val="00174157"/>
    <w:rsid w:val="0017490B"/>
    <w:rsid w:val="00175DD7"/>
    <w:rsid w:val="0017640B"/>
    <w:rsid w:val="0017737D"/>
    <w:rsid w:val="001806C6"/>
    <w:rsid w:val="0018177E"/>
    <w:rsid w:val="001823C7"/>
    <w:rsid w:val="00182666"/>
    <w:rsid w:val="00183C8B"/>
    <w:rsid w:val="00184504"/>
    <w:rsid w:val="001853B8"/>
    <w:rsid w:val="0018554A"/>
    <w:rsid w:val="00186F28"/>
    <w:rsid w:val="0018736D"/>
    <w:rsid w:val="00187DC9"/>
    <w:rsid w:val="001901BF"/>
    <w:rsid w:val="001902E4"/>
    <w:rsid w:val="001903A2"/>
    <w:rsid w:val="00192026"/>
    <w:rsid w:val="00196D92"/>
    <w:rsid w:val="001973A8"/>
    <w:rsid w:val="0019768C"/>
    <w:rsid w:val="001A0FA0"/>
    <w:rsid w:val="001A18D9"/>
    <w:rsid w:val="001A27FE"/>
    <w:rsid w:val="001A3335"/>
    <w:rsid w:val="001A5DDF"/>
    <w:rsid w:val="001A6434"/>
    <w:rsid w:val="001A70D6"/>
    <w:rsid w:val="001B052C"/>
    <w:rsid w:val="001B40B9"/>
    <w:rsid w:val="001B54AD"/>
    <w:rsid w:val="001C036E"/>
    <w:rsid w:val="001C3AFA"/>
    <w:rsid w:val="001C43D9"/>
    <w:rsid w:val="001C5064"/>
    <w:rsid w:val="001C7744"/>
    <w:rsid w:val="001D414E"/>
    <w:rsid w:val="001D7E4D"/>
    <w:rsid w:val="001E032E"/>
    <w:rsid w:val="001E2DD4"/>
    <w:rsid w:val="001E34DD"/>
    <w:rsid w:val="001E4DE7"/>
    <w:rsid w:val="001F1D70"/>
    <w:rsid w:val="001F3054"/>
    <w:rsid w:val="001F6034"/>
    <w:rsid w:val="001F7045"/>
    <w:rsid w:val="001F7C4F"/>
    <w:rsid w:val="0020049A"/>
    <w:rsid w:val="00200DAD"/>
    <w:rsid w:val="00201E94"/>
    <w:rsid w:val="00206B45"/>
    <w:rsid w:val="002115F6"/>
    <w:rsid w:val="002118D9"/>
    <w:rsid w:val="00213253"/>
    <w:rsid w:val="00214199"/>
    <w:rsid w:val="002151EE"/>
    <w:rsid w:val="00217320"/>
    <w:rsid w:val="002204AB"/>
    <w:rsid w:val="00220F26"/>
    <w:rsid w:val="00222069"/>
    <w:rsid w:val="0022752E"/>
    <w:rsid w:val="00231B9B"/>
    <w:rsid w:val="00233D66"/>
    <w:rsid w:val="00236B06"/>
    <w:rsid w:val="002379F7"/>
    <w:rsid w:val="00237C21"/>
    <w:rsid w:val="0024501A"/>
    <w:rsid w:val="00246016"/>
    <w:rsid w:val="002503BC"/>
    <w:rsid w:val="0025065F"/>
    <w:rsid w:val="00250696"/>
    <w:rsid w:val="002509EF"/>
    <w:rsid w:val="00251349"/>
    <w:rsid w:val="00251389"/>
    <w:rsid w:val="0025167F"/>
    <w:rsid w:val="00252E45"/>
    <w:rsid w:val="0025362F"/>
    <w:rsid w:val="002539FB"/>
    <w:rsid w:val="00254AE2"/>
    <w:rsid w:val="00263DB7"/>
    <w:rsid w:val="002646E6"/>
    <w:rsid w:val="00264B3C"/>
    <w:rsid w:val="00265D88"/>
    <w:rsid w:val="0026616A"/>
    <w:rsid w:val="00267470"/>
    <w:rsid w:val="00267494"/>
    <w:rsid w:val="002677A6"/>
    <w:rsid w:val="00267B67"/>
    <w:rsid w:val="00271242"/>
    <w:rsid w:val="002723C3"/>
    <w:rsid w:val="002732AA"/>
    <w:rsid w:val="00275F38"/>
    <w:rsid w:val="00276885"/>
    <w:rsid w:val="00277C04"/>
    <w:rsid w:val="00277F99"/>
    <w:rsid w:val="002807AC"/>
    <w:rsid w:val="00281CA7"/>
    <w:rsid w:val="00282350"/>
    <w:rsid w:val="00284F14"/>
    <w:rsid w:val="002871A1"/>
    <w:rsid w:val="00287536"/>
    <w:rsid w:val="00290235"/>
    <w:rsid w:val="002908C4"/>
    <w:rsid w:val="00290E8E"/>
    <w:rsid w:val="002957D3"/>
    <w:rsid w:val="002A209A"/>
    <w:rsid w:val="002A4B22"/>
    <w:rsid w:val="002A6067"/>
    <w:rsid w:val="002A6F0D"/>
    <w:rsid w:val="002B2022"/>
    <w:rsid w:val="002B6A0E"/>
    <w:rsid w:val="002C1265"/>
    <w:rsid w:val="002C3D0D"/>
    <w:rsid w:val="002C46B5"/>
    <w:rsid w:val="002D0C17"/>
    <w:rsid w:val="002D143F"/>
    <w:rsid w:val="002D7AA4"/>
    <w:rsid w:val="002D7F44"/>
    <w:rsid w:val="002E1FEB"/>
    <w:rsid w:val="002E454E"/>
    <w:rsid w:val="002E4D8E"/>
    <w:rsid w:val="002E70EA"/>
    <w:rsid w:val="002F08BF"/>
    <w:rsid w:val="002F0CA8"/>
    <w:rsid w:val="002F1E05"/>
    <w:rsid w:val="002F1E5E"/>
    <w:rsid w:val="002F1E93"/>
    <w:rsid w:val="002F2CAA"/>
    <w:rsid w:val="002F3C3B"/>
    <w:rsid w:val="002F4BF1"/>
    <w:rsid w:val="002F5008"/>
    <w:rsid w:val="002F543D"/>
    <w:rsid w:val="002F55FE"/>
    <w:rsid w:val="00302666"/>
    <w:rsid w:val="003029DF"/>
    <w:rsid w:val="003030A1"/>
    <w:rsid w:val="003031C7"/>
    <w:rsid w:val="0030530A"/>
    <w:rsid w:val="0030555B"/>
    <w:rsid w:val="003122F4"/>
    <w:rsid w:val="0031253A"/>
    <w:rsid w:val="00315067"/>
    <w:rsid w:val="00323D55"/>
    <w:rsid w:val="00323E98"/>
    <w:rsid w:val="003266EA"/>
    <w:rsid w:val="0032772D"/>
    <w:rsid w:val="0033172F"/>
    <w:rsid w:val="00332BA9"/>
    <w:rsid w:val="00332F1B"/>
    <w:rsid w:val="003338D6"/>
    <w:rsid w:val="00333B76"/>
    <w:rsid w:val="0034088D"/>
    <w:rsid w:val="00340B0C"/>
    <w:rsid w:val="0034158E"/>
    <w:rsid w:val="00342BAB"/>
    <w:rsid w:val="00343ED9"/>
    <w:rsid w:val="003443A4"/>
    <w:rsid w:val="00345135"/>
    <w:rsid w:val="003462EF"/>
    <w:rsid w:val="0034704E"/>
    <w:rsid w:val="00347821"/>
    <w:rsid w:val="003504A3"/>
    <w:rsid w:val="0035218E"/>
    <w:rsid w:val="00352B04"/>
    <w:rsid w:val="00354FC6"/>
    <w:rsid w:val="0035530C"/>
    <w:rsid w:val="00355B3B"/>
    <w:rsid w:val="00355BB6"/>
    <w:rsid w:val="0036056C"/>
    <w:rsid w:val="00360E0E"/>
    <w:rsid w:val="00361615"/>
    <w:rsid w:val="00376123"/>
    <w:rsid w:val="00377740"/>
    <w:rsid w:val="00377D54"/>
    <w:rsid w:val="00383C98"/>
    <w:rsid w:val="0038413C"/>
    <w:rsid w:val="00385FDF"/>
    <w:rsid w:val="00386788"/>
    <w:rsid w:val="00387A7B"/>
    <w:rsid w:val="00391100"/>
    <w:rsid w:val="00391A67"/>
    <w:rsid w:val="003929FF"/>
    <w:rsid w:val="003961A5"/>
    <w:rsid w:val="003A0878"/>
    <w:rsid w:val="003A2B7B"/>
    <w:rsid w:val="003A446D"/>
    <w:rsid w:val="003A7CB8"/>
    <w:rsid w:val="003B2648"/>
    <w:rsid w:val="003B2F23"/>
    <w:rsid w:val="003B3C7C"/>
    <w:rsid w:val="003B7E36"/>
    <w:rsid w:val="003C08DD"/>
    <w:rsid w:val="003C155A"/>
    <w:rsid w:val="003C230A"/>
    <w:rsid w:val="003C263A"/>
    <w:rsid w:val="003C2C93"/>
    <w:rsid w:val="003C5393"/>
    <w:rsid w:val="003C72C0"/>
    <w:rsid w:val="003D2DA8"/>
    <w:rsid w:val="003D3FC9"/>
    <w:rsid w:val="003D48CC"/>
    <w:rsid w:val="003D4E1C"/>
    <w:rsid w:val="003E03DE"/>
    <w:rsid w:val="003E059C"/>
    <w:rsid w:val="003E13D6"/>
    <w:rsid w:val="003E3A66"/>
    <w:rsid w:val="003E42F7"/>
    <w:rsid w:val="003E68F8"/>
    <w:rsid w:val="003E695B"/>
    <w:rsid w:val="003E6991"/>
    <w:rsid w:val="003F19E7"/>
    <w:rsid w:val="003F1AB7"/>
    <w:rsid w:val="003F2667"/>
    <w:rsid w:val="00400080"/>
    <w:rsid w:val="0040122E"/>
    <w:rsid w:val="00404442"/>
    <w:rsid w:val="00405311"/>
    <w:rsid w:val="00405683"/>
    <w:rsid w:val="00411530"/>
    <w:rsid w:val="00413630"/>
    <w:rsid w:val="004159FF"/>
    <w:rsid w:val="00420159"/>
    <w:rsid w:val="00420408"/>
    <w:rsid w:val="00420669"/>
    <w:rsid w:val="00420D6C"/>
    <w:rsid w:val="00422E40"/>
    <w:rsid w:val="00424FC4"/>
    <w:rsid w:val="00426648"/>
    <w:rsid w:val="00426A2C"/>
    <w:rsid w:val="00427027"/>
    <w:rsid w:val="00427E5F"/>
    <w:rsid w:val="00431418"/>
    <w:rsid w:val="00431EDD"/>
    <w:rsid w:val="004327F8"/>
    <w:rsid w:val="00434BDD"/>
    <w:rsid w:val="00434D60"/>
    <w:rsid w:val="00435C95"/>
    <w:rsid w:val="00437A4A"/>
    <w:rsid w:val="00440BAE"/>
    <w:rsid w:val="0044288E"/>
    <w:rsid w:val="004435C9"/>
    <w:rsid w:val="00444DB1"/>
    <w:rsid w:val="00445FD5"/>
    <w:rsid w:val="004506D5"/>
    <w:rsid w:val="00460B39"/>
    <w:rsid w:val="00461FB5"/>
    <w:rsid w:val="00465B4A"/>
    <w:rsid w:val="004669ED"/>
    <w:rsid w:val="00467CD9"/>
    <w:rsid w:val="00471D1C"/>
    <w:rsid w:val="004737AC"/>
    <w:rsid w:val="00473DF3"/>
    <w:rsid w:val="00474BC2"/>
    <w:rsid w:val="00474C1F"/>
    <w:rsid w:val="0047619C"/>
    <w:rsid w:val="004814DE"/>
    <w:rsid w:val="0048374B"/>
    <w:rsid w:val="00484279"/>
    <w:rsid w:val="00484496"/>
    <w:rsid w:val="00485824"/>
    <w:rsid w:val="004873D0"/>
    <w:rsid w:val="00491AF7"/>
    <w:rsid w:val="00492D14"/>
    <w:rsid w:val="00493B51"/>
    <w:rsid w:val="0049480A"/>
    <w:rsid w:val="00496040"/>
    <w:rsid w:val="00496D00"/>
    <w:rsid w:val="00497477"/>
    <w:rsid w:val="0049766D"/>
    <w:rsid w:val="004A1AE3"/>
    <w:rsid w:val="004A2BFE"/>
    <w:rsid w:val="004A333C"/>
    <w:rsid w:val="004A50D1"/>
    <w:rsid w:val="004A5A2E"/>
    <w:rsid w:val="004A7080"/>
    <w:rsid w:val="004B0515"/>
    <w:rsid w:val="004B14DD"/>
    <w:rsid w:val="004B1536"/>
    <w:rsid w:val="004B27BE"/>
    <w:rsid w:val="004B2E61"/>
    <w:rsid w:val="004B5F06"/>
    <w:rsid w:val="004C2D75"/>
    <w:rsid w:val="004C343B"/>
    <w:rsid w:val="004C4913"/>
    <w:rsid w:val="004C497E"/>
    <w:rsid w:val="004D0052"/>
    <w:rsid w:val="004D0CE1"/>
    <w:rsid w:val="004D1A87"/>
    <w:rsid w:val="004D2174"/>
    <w:rsid w:val="004D453E"/>
    <w:rsid w:val="004D5455"/>
    <w:rsid w:val="004D65F5"/>
    <w:rsid w:val="004D6B26"/>
    <w:rsid w:val="004E04DD"/>
    <w:rsid w:val="004E1E80"/>
    <w:rsid w:val="004E2386"/>
    <w:rsid w:val="004E2970"/>
    <w:rsid w:val="004E5195"/>
    <w:rsid w:val="004E56F5"/>
    <w:rsid w:val="004E6194"/>
    <w:rsid w:val="004F6629"/>
    <w:rsid w:val="004F684C"/>
    <w:rsid w:val="004F6886"/>
    <w:rsid w:val="004F6B02"/>
    <w:rsid w:val="005025F4"/>
    <w:rsid w:val="00505B4D"/>
    <w:rsid w:val="00506304"/>
    <w:rsid w:val="00506712"/>
    <w:rsid w:val="005120FB"/>
    <w:rsid w:val="00514203"/>
    <w:rsid w:val="00514A47"/>
    <w:rsid w:val="00516EA2"/>
    <w:rsid w:val="005172CE"/>
    <w:rsid w:val="00517CA7"/>
    <w:rsid w:val="00517E8D"/>
    <w:rsid w:val="0052059C"/>
    <w:rsid w:val="005206AB"/>
    <w:rsid w:val="00521B27"/>
    <w:rsid w:val="00530B22"/>
    <w:rsid w:val="00532FB9"/>
    <w:rsid w:val="00534670"/>
    <w:rsid w:val="005369EB"/>
    <w:rsid w:val="00536B8B"/>
    <w:rsid w:val="00537000"/>
    <w:rsid w:val="005379F7"/>
    <w:rsid w:val="00540391"/>
    <w:rsid w:val="005409E1"/>
    <w:rsid w:val="00540AFD"/>
    <w:rsid w:val="00541BFA"/>
    <w:rsid w:val="00544C3D"/>
    <w:rsid w:val="005453E1"/>
    <w:rsid w:val="0054613C"/>
    <w:rsid w:val="00546F8D"/>
    <w:rsid w:val="00550F4D"/>
    <w:rsid w:val="0056195B"/>
    <w:rsid w:val="0056368F"/>
    <w:rsid w:val="00567190"/>
    <w:rsid w:val="0057226B"/>
    <w:rsid w:val="00572A67"/>
    <w:rsid w:val="00572ABA"/>
    <w:rsid w:val="00572FD4"/>
    <w:rsid w:val="00577088"/>
    <w:rsid w:val="005771A1"/>
    <w:rsid w:val="00577F67"/>
    <w:rsid w:val="00581697"/>
    <w:rsid w:val="00582388"/>
    <w:rsid w:val="0058385B"/>
    <w:rsid w:val="00583F40"/>
    <w:rsid w:val="00584CEE"/>
    <w:rsid w:val="00586D1F"/>
    <w:rsid w:val="00590054"/>
    <w:rsid w:val="00594D61"/>
    <w:rsid w:val="005957E9"/>
    <w:rsid w:val="0059660F"/>
    <w:rsid w:val="00597798"/>
    <w:rsid w:val="005A088B"/>
    <w:rsid w:val="005A2CEE"/>
    <w:rsid w:val="005A37D5"/>
    <w:rsid w:val="005A3D20"/>
    <w:rsid w:val="005A5919"/>
    <w:rsid w:val="005A7B22"/>
    <w:rsid w:val="005B00AA"/>
    <w:rsid w:val="005B0E27"/>
    <w:rsid w:val="005B1AE2"/>
    <w:rsid w:val="005B2766"/>
    <w:rsid w:val="005B56DF"/>
    <w:rsid w:val="005C0AB1"/>
    <w:rsid w:val="005C4BB8"/>
    <w:rsid w:val="005C5924"/>
    <w:rsid w:val="005C6947"/>
    <w:rsid w:val="005D05B2"/>
    <w:rsid w:val="005D0E0B"/>
    <w:rsid w:val="005D2426"/>
    <w:rsid w:val="005D3ECD"/>
    <w:rsid w:val="005D4165"/>
    <w:rsid w:val="005D4F5C"/>
    <w:rsid w:val="005D5F46"/>
    <w:rsid w:val="005D7508"/>
    <w:rsid w:val="005D7B8A"/>
    <w:rsid w:val="005D7F57"/>
    <w:rsid w:val="005E2147"/>
    <w:rsid w:val="005E23F1"/>
    <w:rsid w:val="005E2F04"/>
    <w:rsid w:val="005E4994"/>
    <w:rsid w:val="005E50AD"/>
    <w:rsid w:val="005E54DA"/>
    <w:rsid w:val="005E6847"/>
    <w:rsid w:val="005F0D1D"/>
    <w:rsid w:val="005F53A6"/>
    <w:rsid w:val="005F5646"/>
    <w:rsid w:val="005F5A25"/>
    <w:rsid w:val="005F5DA0"/>
    <w:rsid w:val="005F6A10"/>
    <w:rsid w:val="00601271"/>
    <w:rsid w:val="006044BF"/>
    <w:rsid w:val="00605135"/>
    <w:rsid w:val="00605FAF"/>
    <w:rsid w:val="00610649"/>
    <w:rsid w:val="0061091F"/>
    <w:rsid w:val="00610A55"/>
    <w:rsid w:val="00610B1B"/>
    <w:rsid w:val="00610F31"/>
    <w:rsid w:val="00611260"/>
    <w:rsid w:val="0061206D"/>
    <w:rsid w:val="006133E6"/>
    <w:rsid w:val="00614721"/>
    <w:rsid w:val="006174C0"/>
    <w:rsid w:val="0062504C"/>
    <w:rsid w:val="00625140"/>
    <w:rsid w:val="00625530"/>
    <w:rsid w:val="006256EA"/>
    <w:rsid w:val="00627ECA"/>
    <w:rsid w:val="0063224A"/>
    <w:rsid w:val="006439C9"/>
    <w:rsid w:val="00644A25"/>
    <w:rsid w:val="0064683A"/>
    <w:rsid w:val="00647864"/>
    <w:rsid w:val="00647CD0"/>
    <w:rsid w:val="00650C06"/>
    <w:rsid w:val="00653679"/>
    <w:rsid w:val="00654D5F"/>
    <w:rsid w:val="006558A8"/>
    <w:rsid w:val="006566C7"/>
    <w:rsid w:val="0065718C"/>
    <w:rsid w:val="00660AF9"/>
    <w:rsid w:val="00663B91"/>
    <w:rsid w:val="00664A3C"/>
    <w:rsid w:val="00665CC7"/>
    <w:rsid w:val="00667F32"/>
    <w:rsid w:val="00670BF5"/>
    <w:rsid w:val="00671601"/>
    <w:rsid w:val="00671FBF"/>
    <w:rsid w:val="00672638"/>
    <w:rsid w:val="00672B51"/>
    <w:rsid w:val="0067445D"/>
    <w:rsid w:val="00674462"/>
    <w:rsid w:val="00674A83"/>
    <w:rsid w:val="00676BAE"/>
    <w:rsid w:val="00677536"/>
    <w:rsid w:val="006777E9"/>
    <w:rsid w:val="00684FD1"/>
    <w:rsid w:val="0068725E"/>
    <w:rsid w:val="00687714"/>
    <w:rsid w:val="00691CD4"/>
    <w:rsid w:val="00693E26"/>
    <w:rsid w:val="006952B9"/>
    <w:rsid w:val="00695467"/>
    <w:rsid w:val="006955F5"/>
    <w:rsid w:val="006A2132"/>
    <w:rsid w:val="006A25FC"/>
    <w:rsid w:val="006A26CF"/>
    <w:rsid w:val="006A3926"/>
    <w:rsid w:val="006A3FF1"/>
    <w:rsid w:val="006A54D3"/>
    <w:rsid w:val="006A59DA"/>
    <w:rsid w:val="006B23D7"/>
    <w:rsid w:val="006B3D76"/>
    <w:rsid w:val="006C0F2A"/>
    <w:rsid w:val="006C429C"/>
    <w:rsid w:val="006C510A"/>
    <w:rsid w:val="006C51AA"/>
    <w:rsid w:val="006D1B6C"/>
    <w:rsid w:val="006D2E85"/>
    <w:rsid w:val="006D3816"/>
    <w:rsid w:val="006D3A79"/>
    <w:rsid w:val="006D4149"/>
    <w:rsid w:val="006D5CE7"/>
    <w:rsid w:val="006D65FC"/>
    <w:rsid w:val="006D7BE1"/>
    <w:rsid w:val="006E2074"/>
    <w:rsid w:val="006E216A"/>
    <w:rsid w:val="006E4257"/>
    <w:rsid w:val="006E56FC"/>
    <w:rsid w:val="006E7C98"/>
    <w:rsid w:val="006F1B9A"/>
    <w:rsid w:val="006F66C3"/>
    <w:rsid w:val="00701C7E"/>
    <w:rsid w:val="0070381F"/>
    <w:rsid w:val="00705CD4"/>
    <w:rsid w:val="00705EE7"/>
    <w:rsid w:val="00707B73"/>
    <w:rsid w:val="00712C72"/>
    <w:rsid w:val="007132AE"/>
    <w:rsid w:val="007136AE"/>
    <w:rsid w:val="00713C4C"/>
    <w:rsid w:val="00714D4D"/>
    <w:rsid w:val="007150B5"/>
    <w:rsid w:val="007159B6"/>
    <w:rsid w:val="00715BDA"/>
    <w:rsid w:val="007173F8"/>
    <w:rsid w:val="00725182"/>
    <w:rsid w:val="00727C4C"/>
    <w:rsid w:val="00730BB6"/>
    <w:rsid w:val="0073493B"/>
    <w:rsid w:val="0074223E"/>
    <w:rsid w:val="0074323A"/>
    <w:rsid w:val="0074383C"/>
    <w:rsid w:val="00744BC4"/>
    <w:rsid w:val="00746FCC"/>
    <w:rsid w:val="00747560"/>
    <w:rsid w:val="0075245A"/>
    <w:rsid w:val="0075511A"/>
    <w:rsid w:val="00761FD9"/>
    <w:rsid w:val="00762697"/>
    <w:rsid w:val="00762E77"/>
    <w:rsid w:val="00766F78"/>
    <w:rsid w:val="00767163"/>
    <w:rsid w:val="0077185C"/>
    <w:rsid w:val="007720F6"/>
    <w:rsid w:val="007735ED"/>
    <w:rsid w:val="00774824"/>
    <w:rsid w:val="00776CE3"/>
    <w:rsid w:val="00780910"/>
    <w:rsid w:val="0078233A"/>
    <w:rsid w:val="00782D09"/>
    <w:rsid w:val="00782DE5"/>
    <w:rsid w:val="00787371"/>
    <w:rsid w:val="0078756C"/>
    <w:rsid w:val="00787962"/>
    <w:rsid w:val="007940FD"/>
    <w:rsid w:val="007A226A"/>
    <w:rsid w:val="007B06C2"/>
    <w:rsid w:val="007B6F13"/>
    <w:rsid w:val="007C0638"/>
    <w:rsid w:val="007C284F"/>
    <w:rsid w:val="007C37A7"/>
    <w:rsid w:val="007C4B17"/>
    <w:rsid w:val="007D18A2"/>
    <w:rsid w:val="007D214E"/>
    <w:rsid w:val="007D5A13"/>
    <w:rsid w:val="007D7142"/>
    <w:rsid w:val="007E39D5"/>
    <w:rsid w:val="007E5B6B"/>
    <w:rsid w:val="007E6943"/>
    <w:rsid w:val="007F0028"/>
    <w:rsid w:val="007F16E9"/>
    <w:rsid w:val="007F3023"/>
    <w:rsid w:val="007F455C"/>
    <w:rsid w:val="007F5A92"/>
    <w:rsid w:val="0080243B"/>
    <w:rsid w:val="00802945"/>
    <w:rsid w:val="00804556"/>
    <w:rsid w:val="00805558"/>
    <w:rsid w:val="00806617"/>
    <w:rsid w:val="00810424"/>
    <w:rsid w:val="008116B9"/>
    <w:rsid w:val="008118DA"/>
    <w:rsid w:val="00817A60"/>
    <w:rsid w:val="00821AC5"/>
    <w:rsid w:val="00821DF3"/>
    <w:rsid w:val="008221D6"/>
    <w:rsid w:val="008228A8"/>
    <w:rsid w:val="00824E20"/>
    <w:rsid w:val="00825437"/>
    <w:rsid w:val="0082560B"/>
    <w:rsid w:val="00826095"/>
    <w:rsid w:val="00826A19"/>
    <w:rsid w:val="00834C15"/>
    <w:rsid w:val="00834F64"/>
    <w:rsid w:val="00836052"/>
    <w:rsid w:val="00837BD4"/>
    <w:rsid w:val="00837EB1"/>
    <w:rsid w:val="00840F6F"/>
    <w:rsid w:val="008419F9"/>
    <w:rsid w:val="0084293E"/>
    <w:rsid w:val="00844169"/>
    <w:rsid w:val="00844380"/>
    <w:rsid w:val="008453DF"/>
    <w:rsid w:val="0085487A"/>
    <w:rsid w:val="00854B90"/>
    <w:rsid w:val="00854E07"/>
    <w:rsid w:val="00860885"/>
    <w:rsid w:val="00861018"/>
    <w:rsid w:val="008618CB"/>
    <w:rsid w:val="00861DA1"/>
    <w:rsid w:val="00862F58"/>
    <w:rsid w:val="00863100"/>
    <w:rsid w:val="008669ED"/>
    <w:rsid w:val="0087092E"/>
    <w:rsid w:val="00873A9D"/>
    <w:rsid w:val="00873C59"/>
    <w:rsid w:val="008775CF"/>
    <w:rsid w:val="00877FB8"/>
    <w:rsid w:val="00881EA9"/>
    <w:rsid w:val="00882648"/>
    <w:rsid w:val="008837A1"/>
    <w:rsid w:val="00883A81"/>
    <w:rsid w:val="00884F99"/>
    <w:rsid w:val="00886D9C"/>
    <w:rsid w:val="00886EEF"/>
    <w:rsid w:val="00891EED"/>
    <w:rsid w:val="008940EE"/>
    <w:rsid w:val="00895B6C"/>
    <w:rsid w:val="00896253"/>
    <w:rsid w:val="00896444"/>
    <w:rsid w:val="00896AD8"/>
    <w:rsid w:val="008976F1"/>
    <w:rsid w:val="0089780D"/>
    <w:rsid w:val="008A6BFD"/>
    <w:rsid w:val="008A7AC2"/>
    <w:rsid w:val="008B2A5A"/>
    <w:rsid w:val="008B3C35"/>
    <w:rsid w:val="008B3EBD"/>
    <w:rsid w:val="008B436B"/>
    <w:rsid w:val="008B5175"/>
    <w:rsid w:val="008B5668"/>
    <w:rsid w:val="008B5A88"/>
    <w:rsid w:val="008C0444"/>
    <w:rsid w:val="008C19AB"/>
    <w:rsid w:val="008C37BB"/>
    <w:rsid w:val="008C3873"/>
    <w:rsid w:val="008D34E9"/>
    <w:rsid w:val="008D4018"/>
    <w:rsid w:val="008D441D"/>
    <w:rsid w:val="008D487A"/>
    <w:rsid w:val="008D5B13"/>
    <w:rsid w:val="008D6506"/>
    <w:rsid w:val="008D7512"/>
    <w:rsid w:val="008E2E3E"/>
    <w:rsid w:val="008E335F"/>
    <w:rsid w:val="008E35C6"/>
    <w:rsid w:val="008E3898"/>
    <w:rsid w:val="008E7621"/>
    <w:rsid w:val="008E789E"/>
    <w:rsid w:val="008E7985"/>
    <w:rsid w:val="008F0E3D"/>
    <w:rsid w:val="008F2CCC"/>
    <w:rsid w:val="008F4953"/>
    <w:rsid w:val="0090166E"/>
    <w:rsid w:val="009056EB"/>
    <w:rsid w:val="0090678F"/>
    <w:rsid w:val="00906FCC"/>
    <w:rsid w:val="009100CB"/>
    <w:rsid w:val="00910557"/>
    <w:rsid w:val="00910A9F"/>
    <w:rsid w:val="00926D6A"/>
    <w:rsid w:val="0092735E"/>
    <w:rsid w:val="00932802"/>
    <w:rsid w:val="00936B04"/>
    <w:rsid w:val="0093786B"/>
    <w:rsid w:val="009421D9"/>
    <w:rsid w:val="00943781"/>
    <w:rsid w:val="009474AA"/>
    <w:rsid w:val="00950C9A"/>
    <w:rsid w:val="0095173D"/>
    <w:rsid w:val="00953D0A"/>
    <w:rsid w:val="009563FC"/>
    <w:rsid w:val="00956A7C"/>
    <w:rsid w:val="00962B1D"/>
    <w:rsid w:val="00962E3A"/>
    <w:rsid w:val="00964266"/>
    <w:rsid w:val="00966672"/>
    <w:rsid w:val="009722B8"/>
    <w:rsid w:val="00972393"/>
    <w:rsid w:val="00973373"/>
    <w:rsid w:val="00973562"/>
    <w:rsid w:val="009745E1"/>
    <w:rsid w:val="00974860"/>
    <w:rsid w:val="009763F7"/>
    <w:rsid w:val="00976E57"/>
    <w:rsid w:val="00982277"/>
    <w:rsid w:val="00982BB7"/>
    <w:rsid w:val="00985057"/>
    <w:rsid w:val="00987775"/>
    <w:rsid w:val="009878C5"/>
    <w:rsid w:val="009903B6"/>
    <w:rsid w:val="0099591E"/>
    <w:rsid w:val="009962C7"/>
    <w:rsid w:val="009A2373"/>
    <w:rsid w:val="009A6FC1"/>
    <w:rsid w:val="009A7361"/>
    <w:rsid w:val="009B169A"/>
    <w:rsid w:val="009B1FD1"/>
    <w:rsid w:val="009B21B1"/>
    <w:rsid w:val="009B331E"/>
    <w:rsid w:val="009C32D5"/>
    <w:rsid w:val="009C3BB8"/>
    <w:rsid w:val="009C4AE9"/>
    <w:rsid w:val="009C5307"/>
    <w:rsid w:val="009D0674"/>
    <w:rsid w:val="009D09D5"/>
    <w:rsid w:val="009D439D"/>
    <w:rsid w:val="009E346C"/>
    <w:rsid w:val="009E37E3"/>
    <w:rsid w:val="009E3A29"/>
    <w:rsid w:val="009E3E0B"/>
    <w:rsid w:val="009E4A0B"/>
    <w:rsid w:val="009E7C43"/>
    <w:rsid w:val="009F332B"/>
    <w:rsid w:val="009F43BF"/>
    <w:rsid w:val="00A014A3"/>
    <w:rsid w:val="00A024D8"/>
    <w:rsid w:val="00A0287C"/>
    <w:rsid w:val="00A12126"/>
    <w:rsid w:val="00A12213"/>
    <w:rsid w:val="00A145DA"/>
    <w:rsid w:val="00A16724"/>
    <w:rsid w:val="00A168E0"/>
    <w:rsid w:val="00A20344"/>
    <w:rsid w:val="00A26CC7"/>
    <w:rsid w:val="00A312B3"/>
    <w:rsid w:val="00A324DC"/>
    <w:rsid w:val="00A35706"/>
    <w:rsid w:val="00A35CAC"/>
    <w:rsid w:val="00A37864"/>
    <w:rsid w:val="00A37C9A"/>
    <w:rsid w:val="00A4030C"/>
    <w:rsid w:val="00A42D61"/>
    <w:rsid w:val="00A4499F"/>
    <w:rsid w:val="00A46025"/>
    <w:rsid w:val="00A474B7"/>
    <w:rsid w:val="00A51245"/>
    <w:rsid w:val="00A542EC"/>
    <w:rsid w:val="00A6108E"/>
    <w:rsid w:val="00A62FD5"/>
    <w:rsid w:val="00A638C7"/>
    <w:rsid w:val="00A63EB9"/>
    <w:rsid w:val="00A64A35"/>
    <w:rsid w:val="00A65A31"/>
    <w:rsid w:val="00A65DF5"/>
    <w:rsid w:val="00A65E34"/>
    <w:rsid w:val="00A67179"/>
    <w:rsid w:val="00A70C4E"/>
    <w:rsid w:val="00A71A87"/>
    <w:rsid w:val="00A71D87"/>
    <w:rsid w:val="00A720E2"/>
    <w:rsid w:val="00A7310D"/>
    <w:rsid w:val="00A7480F"/>
    <w:rsid w:val="00A813AD"/>
    <w:rsid w:val="00A82A5B"/>
    <w:rsid w:val="00A82CEF"/>
    <w:rsid w:val="00A8327A"/>
    <w:rsid w:val="00A83D92"/>
    <w:rsid w:val="00A84FC5"/>
    <w:rsid w:val="00A8597E"/>
    <w:rsid w:val="00A85E0B"/>
    <w:rsid w:val="00A8638B"/>
    <w:rsid w:val="00A87825"/>
    <w:rsid w:val="00A90669"/>
    <w:rsid w:val="00A93104"/>
    <w:rsid w:val="00A95B74"/>
    <w:rsid w:val="00A96389"/>
    <w:rsid w:val="00A97B0A"/>
    <w:rsid w:val="00AA1497"/>
    <w:rsid w:val="00AA1961"/>
    <w:rsid w:val="00AA29C8"/>
    <w:rsid w:val="00AA34BE"/>
    <w:rsid w:val="00AA4434"/>
    <w:rsid w:val="00AA4C2C"/>
    <w:rsid w:val="00AA4F36"/>
    <w:rsid w:val="00AA56F6"/>
    <w:rsid w:val="00AA5B6D"/>
    <w:rsid w:val="00AA7F06"/>
    <w:rsid w:val="00AB0028"/>
    <w:rsid w:val="00AB3B15"/>
    <w:rsid w:val="00AB4DF8"/>
    <w:rsid w:val="00AB563C"/>
    <w:rsid w:val="00AB5B85"/>
    <w:rsid w:val="00AB6496"/>
    <w:rsid w:val="00AB6D4B"/>
    <w:rsid w:val="00AB7AF9"/>
    <w:rsid w:val="00AC04E7"/>
    <w:rsid w:val="00AC120E"/>
    <w:rsid w:val="00AC2C22"/>
    <w:rsid w:val="00AC2F6D"/>
    <w:rsid w:val="00AC3891"/>
    <w:rsid w:val="00AC3AE0"/>
    <w:rsid w:val="00AC42F3"/>
    <w:rsid w:val="00AC43BF"/>
    <w:rsid w:val="00AC6706"/>
    <w:rsid w:val="00AC7B03"/>
    <w:rsid w:val="00AD02D2"/>
    <w:rsid w:val="00AD09C7"/>
    <w:rsid w:val="00AD2684"/>
    <w:rsid w:val="00AD46C7"/>
    <w:rsid w:val="00AD58A1"/>
    <w:rsid w:val="00AD60D7"/>
    <w:rsid w:val="00AE09F1"/>
    <w:rsid w:val="00AE556C"/>
    <w:rsid w:val="00AE710F"/>
    <w:rsid w:val="00AE7874"/>
    <w:rsid w:val="00AF08F6"/>
    <w:rsid w:val="00AF0CC4"/>
    <w:rsid w:val="00AF1D7C"/>
    <w:rsid w:val="00AF2774"/>
    <w:rsid w:val="00AF351E"/>
    <w:rsid w:val="00AF3CBA"/>
    <w:rsid w:val="00AF7D97"/>
    <w:rsid w:val="00B01754"/>
    <w:rsid w:val="00B03465"/>
    <w:rsid w:val="00B05061"/>
    <w:rsid w:val="00B07FD3"/>
    <w:rsid w:val="00B105F2"/>
    <w:rsid w:val="00B13438"/>
    <w:rsid w:val="00B1400C"/>
    <w:rsid w:val="00B16A6C"/>
    <w:rsid w:val="00B2241C"/>
    <w:rsid w:val="00B22AA3"/>
    <w:rsid w:val="00B22BB1"/>
    <w:rsid w:val="00B241B3"/>
    <w:rsid w:val="00B330D2"/>
    <w:rsid w:val="00B337D8"/>
    <w:rsid w:val="00B33C55"/>
    <w:rsid w:val="00B33D03"/>
    <w:rsid w:val="00B43B6F"/>
    <w:rsid w:val="00B44A62"/>
    <w:rsid w:val="00B44F94"/>
    <w:rsid w:val="00B45E34"/>
    <w:rsid w:val="00B504F2"/>
    <w:rsid w:val="00B50ABD"/>
    <w:rsid w:val="00B51938"/>
    <w:rsid w:val="00B56817"/>
    <w:rsid w:val="00B573CC"/>
    <w:rsid w:val="00B6273A"/>
    <w:rsid w:val="00B631BA"/>
    <w:rsid w:val="00B66C8F"/>
    <w:rsid w:val="00B7215A"/>
    <w:rsid w:val="00B72B67"/>
    <w:rsid w:val="00B72F1D"/>
    <w:rsid w:val="00B7434A"/>
    <w:rsid w:val="00B74D59"/>
    <w:rsid w:val="00B76120"/>
    <w:rsid w:val="00B77148"/>
    <w:rsid w:val="00B801E9"/>
    <w:rsid w:val="00B806FC"/>
    <w:rsid w:val="00B81C65"/>
    <w:rsid w:val="00B81E85"/>
    <w:rsid w:val="00B8348F"/>
    <w:rsid w:val="00B83D35"/>
    <w:rsid w:val="00B85683"/>
    <w:rsid w:val="00B8675E"/>
    <w:rsid w:val="00B87384"/>
    <w:rsid w:val="00B901A1"/>
    <w:rsid w:val="00B90370"/>
    <w:rsid w:val="00B92AE3"/>
    <w:rsid w:val="00B94789"/>
    <w:rsid w:val="00BA2EAE"/>
    <w:rsid w:val="00BA3964"/>
    <w:rsid w:val="00BA55AA"/>
    <w:rsid w:val="00BA76DC"/>
    <w:rsid w:val="00BA7EA2"/>
    <w:rsid w:val="00BB0195"/>
    <w:rsid w:val="00BB02E3"/>
    <w:rsid w:val="00BB55B5"/>
    <w:rsid w:val="00BB628F"/>
    <w:rsid w:val="00BC05A1"/>
    <w:rsid w:val="00BC1B00"/>
    <w:rsid w:val="00BC3417"/>
    <w:rsid w:val="00BC38C2"/>
    <w:rsid w:val="00BC3E73"/>
    <w:rsid w:val="00BC3EA7"/>
    <w:rsid w:val="00BC420B"/>
    <w:rsid w:val="00BC43C9"/>
    <w:rsid w:val="00BC4AEF"/>
    <w:rsid w:val="00BD0EE5"/>
    <w:rsid w:val="00BD1A45"/>
    <w:rsid w:val="00BD305F"/>
    <w:rsid w:val="00BD7499"/>
    <w:rsid w:val="00BE104D"/>
    <w:rsid w:val="00BE3A23"/>
    <w:rsid w:val="00BF1C1D"/>
    <w:rsid w:val="00BF2FAD"/>
    <w:rsid w:val="00BF3958"/>
    <w:rsid w:val="00BF44A7"/>
    <w:rsid w:val="00BF54F5"/>
    <w:rsid w:val="00BF58FF"/>
    <w:rsid w:val="00C022BE"/>
    <w:rsid w:val="00C037EB"/>
    <w:rsid w:val="00C04234"/>
    <w:rsid w:val="00C110F9"/>
    <w:rsid w:val="00C13127"/>
    <w:rsid w:val="00C1342E"/>
    <w:rsid w:val="00C16BEB"/>
    <w:rsid w:val="00C179C6"/>
    <w:rsid w:val="00C17C87"/>
    <w:rsid w:val="00C22452"/>
    <w:rsid w:val="00C23B59"/>
    <w:rsid w:val="00C242E0"/>
    <w:rsid w:val="00C24A87"/>
    <w:rsid w:val="00C27803"/>
    <w:rsid w:val="00C278D4"/>
    <w:rsid w:val="00C30FF8"/>
    <w:rsid w:val="00C33445"/>
    <w:rsid w:val="00C34518"/>
    <w:rsid w:val="00C3594E"/>
    <w:rsid w:val="00C40AFB"/>
    <w:rsid w:val="00C41D78"/>
    <w:rsid w:val="00C4333F"/>
    <w:rsid w:val="00C44373"/>
    <w:rsid w:val="00C51D6E"/>
    <w:rsid w:val="00C52B7A"/>
    <w:rsid w:val="00C53B40"/>
    <w:rsid w:val="00C541A2"/>
    <w:rsid w:val="00C5642B"/>
    <w:rsid w:val="00C56C50"/>
    <w:rsid w:val="00C571E7"/>
    <w:rsid w:val="00C57880"/>
    <w:rsid w:val="00C653DE"/>
    <w:rsid w:val="00C70724"/>
    <w:rsid w:val="00C71102"/>
    <w:rsid w:val="00C719E7"/>
    <w:rsid w:val="00C71E6B"/>
    <w:rsid w:val="00C73057"/>
    <w:rsid w:val="00C800D5"/>
    <w:rsid w:val="00C80162"/>
    <w:rsid w:val="00C81862"/>
    <w:rsid w:val="00C90313"/>
    <w:rsid w:val="00C9125F"/>
    <w:rsid w:val="00C92C2B"/>
    <w:rsid w:val="00C952E3"/>
    <w:rsid w:val="00C964A2"/>
    <w:rsid w:val="00C97385"/>
    <w:rsid w:val="00C9756A"/>
    <w:rsid w:val="00C9788B"/>
    <w:rsid w:val="00CA0CAE"/>
    <w:rsid w:val="00CA2638"/>
    <w:rsid w:val="00CA4AC2"/>
    <w:rsid w:val="00CA719C"/>
    <w:rsid w:val="00CB155D"/>
    <w:rsid w:val="00CB25E2"/>
    <w:rsid w:val="00CB3BD9"/>
    <w:rsid w:val="00CB54D0"/>
    <w:rsid w:val="00CC3D51"/>
    <w:rsid w:val="00CC50DA"/>
    <w:rsid w:val="00CC56F6"/>
    <w:rsid w:val="00CC6E3F"/>
    <w:rsid w:val="00CC7ABF"/>
    <w:rsid w:val="00CD0688"/>
    <w:rsid w:val="00CD09AF"/>
    <w:rsid w:val="00CD30D1"/>
    <w:rsid w:val="00CD3C1A"/>
    <w:rsid w:val="00CD41DF"/>
    <w:rsid w:val="00CE094C"/>
    <w:rsid w:val="00CE0C2D"/>
    <w:rsid w:val="00CE2009"/>
    <w:rsid w:val="00CE21F4"/>
    <w:rsid w:val="00CE24AE"/>
    <w:rsid w:val="00CE3814"/>
    <w:rsid w:val="00CE4687"/>
    <w:rsid w:val="00CE64C5"/>
    <w:rsid w:val="00CE7B4D"/>
    <w:rsid w:val="00CF67F1"/>
    <w:rsid w:val="00D00F6A"/>
    <w:rsid w:val="00D01D0E"/>
    <w:rsid w:val="00D03AB4"/>
    <w:rsid w:val="00D03CEC"/>
    <w:rsid w:val="00D043E1"/>
    <w:rsid w:val="00D04467"/>
    <w:rsid w:val="00D05308"/>
    <w:rsid w:val="00D06099"/>
    <w:rsid w:val="00D07144"/>
    <w:rsid w:val="00D10834"/>
    <w:rsid w:val="00D12052"/>
    <w:rsid w:val="00D12D6A"/>
    <w:rsid w:val="00D16BD8"/>
    <w:rsid w:val="00D174E6"/>
    <w:rsid w:val="00D2003F"/>
    <w:rsid w:val="00D20590"/>
    <w:rsid w:val="00D26E2F"/>
    <w:rsid w:val="00D34A61"/>
    <w:rsid w:val="00D3538F"/>
    <w:rsid w:val="00D356E4"/>
    <w:rsid w:val="00D36AD5"/>
    <w:rsid w:val="00D412CB"/>
    <w:rsid w:val="00D41ED6"/>
    <w:rsid w:val="00D42267"/>
    <w:rsid w:val="00D50A23"/>
    <w:rsid w:val="00D544E6"/>
    <w:rsid w:val="00D552BA"/>
    <w:rsid w:val="00D56A84"/>
    <w:rsid w:val="00D57B64"/>
    <w:rsid w:val="00D62BBE"/>
    <w:rsid w:val="00D62FC1"/>
    <w:rsid w:val="00D63A9B"/>
    <w:rsid w:val="00D65DA4"/>
    <w:rsid w:val="00D674A2"/>
    <w:rsid w:val="00D7198D"/>
    <w:rsid w:val="00D739EE"/>
    <w:rsid w:val="00D749DD"/>
    <w:rsid w:val="00D752FE"/>
    <w:rsid w:val="00D76D31"/>
    <w:rsid w:val="00D806F8"/>
    <w:rsid w:val="00D814B7"/>
    <w:rsid w:val="00D816C5"/>
    <w:rsid w:val="00D82A5B"/>
    <w:rsid w:val="00D8527F"/>
    <w:rsid w:val="00D85D59"/>
    <w:rsid w:val="00D92A06"/>
    <w:rsid w:val="00D93643"/>
    <w:rsid w:val="00D94703"/>
    <w:rsid w:val="00D94D1B"/>
    <w:rsid w:val="00D96241"/>
    <w:rsid w:val="00D97091"/>
    <w:rsid w:val="00DA103F"/>
    <w:rsid w:val="00DA20AC"/>
    <w:rsid w:val="00DA2C1D"/>
    <w:rsid w:val="00DA30D8"/>
    <w:rsid w:val="00DA330E"/>
    <w:rsid w:val="00DA58C8"/>
    <w:rsid w:val="00DA66EC"/>
    <w:rsid w:val="00DA6747"/>
    <w:rsid w:val="00DB0FE8"/>
    <w:rsid w:val="00DB37A5"/>
    <w:rsid w:val="00DB7312"/>
    <w:rsid w:val="00DC0DDB"/>
    <w:rsid w:val="00DC4009"/>
    <w:rsid w:val="00DC5410"/>
    <w:rsid w:val="00DD0674"/>
    <w:rsid w:val="00DD1590"/>
    <w:rsid w:val="00DD62E6"/>
    <w:rsid w:val="00DE195B"/>
    <w:rsid w:val="00DE26A3"/>
    <w:rsid w:val="00DE6E91"/>
    <w:rsid w:val="00DE6F9B"/>
    <w:rsid w:val="00DF13B7"/>
    <w:rsid w:val="00DF4729"/>
    <w:rsid w:val="00DF5FA2"/>
    <w:rsid w:val="00DF745A"/>
    <w:rsid w:val="00E0028A"/>
    <w:rsid w:val="00E00EA5"/>
    <w:rsid w:val="00E0321E"/>
    <w:rsid w:val="00E062BF"/>
    <w:rsid w:val="00E0756C"/>
    <w:rsid w:val="00E10043"/>
    <w:rsid w:val="00E11C51"/>
    <w:rsid w:val="00E12841"/>
    <w:rsid w:val="00E131E3"/>
    <w:rsid w:val="00E14FFA"/>
    <w:rsid w:val="00E1556F"/>
    <w:rsid w:val="00E16305"/>
    <w:rsid w:val="00E16504"/>
    <w:rsid w:val="00E1663E"/>
    <w:rsid w:val="00E16E3B"/>
    <w:rsid w:val="00E22B5B"/>
    <w:rsid w:val="00E231D1"/>
    <w:rsid w:val="00E24459"/>
    <w:rsid w:val="00E27AC1"/>
    <w:rsid w:val="00E306CC"/>
    <w:rsid w:val="00E3094C"/>
    <w:rsid w:val="00E3397A"/>
    <w:rsid w:val="00E348B1"/>
    <w:rsid w:val="00E35E60"/>
    <w:rsid w:val="00E37FA5"/>
    <w:rsid w:val="00E400F6"/>
    <w:rsid w:val="00E4240C"/>
    <w:rsid w:val="00E42C0F"/>
    <w:rsid w:val="00E4462B"/>
    <w:rsid w:val="00E44B25"/>
    <w:rsid w:val="00E52A87"/>
    <w:rsid w:val="00E53343"/>
    <w:rsid w:val="00E54E5C"/>
    <w:rsid w:val="00E5537E"/>
    <w:rsid w:val="00E60EDE"/>
    <w:rsid w:val="00E61963"/>
    <w:rsid w:val="00E62683"/>
    <w:rsid w:val="00E629F0"/>
    <w:rsid w:val="00E63A38"/>
    <w:rsid w:val="00E6467B"/>
    <w:rsid w:val="00E655A9"/>
    <w:rsid w:val="00E66552"/>
    <w:rsid w:val="00E70F6B"/>
    <w:rsid w:val="00E729FB"/>
    <w:rsid w:val="00E739BB"/>
    <w:rsid w:val="00E739CE"/>
    <w:rsid w:val="00E74031"/>
    <w:rsid w:val="00E75147"/>
    <w:rsid w:val="00E8103F"/>
    <w:rsid w:val="00E82C29"/>
    <w:rsid w:val="00E83826"/>
    <w:rsid w:val="00E8428D"/>
    <w:rsid w:val="00E84554"/>
    <w:rsid w:val="00E84B7D"/>
    <w:rsid w:val="00E92121"/>
    <w:rsid w:val="00E92C5F"/>
    <w:rsid w:val="00E9383D"/>
    <w:rsid w:val="00E95242"/>
    <w:rsid w:val="00E96B8A"/>
    <w:rsid w:val="00EA0CBA"/>
    <w:rsid w:val="00EA213A"/>
    <w:rsid w:val="00EA2510"/>
    <w:rsid w:val="00EA2B17"/>
    <w:rsid w:val="00EA3986"/>
    <w:rsid w:val="00EA3A0B"/>
    <w:rsid w:val="00EA57CB"/>
    <w:rsid w:val="00EA5D07"/>
    <w:rsid w:val="00EA605E"/>
    <w:rsid w:val="00EA7DEA"/>
    <w:rsid w:val="00EB1B51"/>
    <w:rsid w:val="00EB39CF"/>
    <w:rsid w:val="00EB5C6E"/>
    <w:rsid w:val="00EB6B18"/>
    <w:rsid w:val="00EB7992"/>
    <w:rsid w:val="00EB7CDF"/>
    <w:rsid w:val="00EC524D"/>
    <w:rsid w:val="00ED05D4"/>
    <w:rsid w:val="00ED174C"/>
    <w:rsid w:val="00ED1CF2"/>
    <w:rsid w:val="00ED3832"/>
    <w:rsid w:val="00ED3C80"/>
    <w:rsid w:val="00ED4B7A"/>
    <w:rsid w:val="00ED69C6"/>
    <w:rsid w:val="00ED6AA0"/>
    <w:rsid w:val="00ED7EC3"/>
    <w:rsid w:val="00EE1388"/>
    <w:rsid w:val="00EE25F8"/>
    <w:rsid w:val="00EE26B7"/>
    <w:rsid w:val="00EE303C"/>
    <w:rsid w:val="00EE3C04"/>
    <w:rsid w:val="00EE578E"/>
    <w:rsid w:val="00EE5890"/>
    <w:rsid w:val="00EE675A"/>
    <w:rsid w:val="00EE7F37"/>
    <w:rsid w:val="00EF5623"/>
    <w:rsid w:val="00EF5A44"/>
    <w:rsid w:val="00EF6D82"/>
    <w:rsid w:val="00F00BA0"/>
    <w:rsid w:val="00F03D4D"/>
    <w:rsid w:val="00F04084"/>
    <w:rsid w:val="00F06EA6"/>
    <w:rsid w:val="00F06F30"/>
    <w:rsid w:val="00F1140E"/>
    <w:rsid w:val="00F11CAF"/>
    <w:rsid w:val="00F13757"/>
    <w:rsid w:val="00F15F3E"/>
    <w:rsid w:val="00F22074"/>
    <w:rsid w:val="00F227D9"/>
    <w:rsid w:val="00F2382F"/>
    <w:rsid w:val="00F24AFB"/>
    <w:rsid w:val="00F306C9"/>
    <w:rsid w:val="00F30CD7"/>
    <w:rsid w:val="00F3465F"/>
    <w:rsid w:val="00F356F0"/>
    <w:rsid w:val="00F356F3"/>
    <w:rsid w:val="00F400DE"/>
    <w:rsid w:val="00F424B1"/>
    <w:rsid w:val="00F42CD6"/>
    <w:rsid w:val="00F4343C"/>
    <w:rsid w:val="00F43A84"/>
    <w:rsid w:val="00F467D2"/>
    <w:rsid w:val="00F46DD8"/>
    <w:rsid w:val="00F50093"/>
    <w:rsid w:val="00F514D3"/>
    <w:rsid w:val="00F5758F"/>
    <w:rsid w:val="00F576B3"/>
    <w:rsid w:val="00F57CEC"/>
    <w:rsid w:val="00F60416"/>
    <w:rsid w:val="00F61352"/>
    <w:rsid w:val="00F67C0A"/>
    <w:rsid w:val="00F7170E"/>
    <w:rsid w:val="00F72A29"/>
    <w:rsid w:val="00F72A78"/>
    <w:rsid w:val="00F754C9"/>
    <w:rsid w:val="00F819D5"/>
    <w:rsid w:val="00F86706"/>
    <w:rsid w:val="00F92360"/>
    <w:rsid w:val="00F946D0"/>
    <w:rsid w:val="00F95707"/>
    <w:rsid w:val="00F95A3F"/>
    <w:rsid w:val="00F9721E"/>
    <w:rsid w:val="00F97D10"/>
    <w:rsid w:val="00FA0E01"/>
    <w:rsid w:val="00FA55C9"/>
    <w:rsid w:val="00FA56B4"/>
    <w:rsid w:val="00FB008F"/>
    <w:rsid w:val="00FB12E3"/>
    <w:rsid w:val="00FB1E7C"/>
    <w:rsid w:val="00FB29CF"/>
    <w:rsid w:val="00FB30BF"/>
    <w:rsid w:val="00FB331F"/>
    <w:rsid w:val="00FB432B"/>
    <w:rsid w:val="00FC3DB2"/>
    <w:rsid w:val="00FC4D7E"/>
    <w:rsid w:val="00FC5720"/>
    <w:rsid w:val="00FC7902"/>
    <w:rsid w:val="00FD4189"/>
    <w:rsid w:val="00FD58C7"/>
    <w:rsid w:val="00FD609E"/>
    <w:rsid w:val="00FD66EF"/>
    <w:rsid w:val="00FD6806"/>
    <w:rsid w:val="00FE0534"/>
    <w:rsid w:val="00FE0914"/>
    <w:rsid w:val="00FE0BBF"/>
    <w:rsid w:val="00FE0BFB"/>
    <w:rsid w:val="00FE0D44"/>
    <w:rsid w:val="00FE189F"/>
    <w:rsid w:val="00FE1FA0"/>
    <w:rsid w:val="00FE34CD"/>
    <w:rsid w:val="00FE45C5"/>
    <w:rsid w:val="00FE4F8F"/>
    <w:rsid w:val="00FE5365"/>
    <w:rsid w:val="00FE5E96"/>
    <w:rsid w:val="00FF1DCD"/>
    <w:rsid w:val="00FF2081"/>
    <w:rsid w:val="00FF2F6D"/>
    <w:rsid w:val="00FF50EA"/>
    <w:rsid w:val="00FF658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E0CBE"/>
  <w15:chartTrackingRefBased/>
  <w15:docId w15:val="{A880531D-385A-4C8B-BF43-4C091A96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qFormat="1"/>
    <w:lsdException w:name="heading 6" w:semiHidden="1" w:uiPriority="0"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emiHidden/>
    <w:qFormat/>
    <w:rsid w:val="00252E45"/>
    <w:rPr>
      <w:noProof/>
    </w:rPr>
  </w:style>
  <w:style w:type="paragraph" w:styleId="Titolo1">
    <w:name w:val="heading 1"/>
    <w:aliases w:val="Titolo del volume"/>
    <w:next w:val="Normale"/>
    <w:link w:val="Titolo1Carattere"/>
    <w:uiPriority w:val="1"/>
    <w:qFormat/>
    <w:rsid w:val="00787371"/>
    <w:pPr>
      <w:keepNext/>
      <w:keepLines/>
      <w:spacing w:before="240" w:after="0"/>
      <w:jc w:val="center"/>
      <w:outlineLvl w:val="0"/>
    </w:pPr>
    <w:rPr>
      <w:rFonts w:ascii="Karla" w:eastAsiaTheme="majorEastAsia" w:hAnsi="Karla" w:cstheme="majorBidi"/>
      <w:sz w:val="50"/>
      <w:szCs w:val="32"/>
    </w:rPr>
  </w:style>
  <w:style w:type="paragraph" w:styleId="Titolo2">
    <w:name w:val="heading 2"/>
    <w:aliases w:val="Titolo della parte"/>
    <w:link w:val="Titolo2Carattere"/>
    <w:qFormat/>
    <w:rsid w:val="00474BC2"/>
    <w:pPr>
      <w:spacing w:before="2400" w:after="0" w:line="360" w:lineRule="exact"/>
      <w:jc w:val="center"/>
      <w:outlineLvl w:val="1"/>
    </w:pPr>
    <w:rPr>
      <w:rFonts w:ascii="Times New Roman" w:hAnsi="Times New Roman" w:cs="Times New Roman"/>
      <w:caps/>
      <w:sz w:val="32"/>
      <w:szCs w:val="24"/>
    </w:rPr>
  </w:style>
  <w:style w:type="paragraph" w:styleId="Titolo3">
    <w:name w:val="heading 3"/>
    <w:aliases w:val="Titolo del capitolo"/>
    <w:link w:val="Titolo3Carattere"/>
    <w:qFormat/>
    <w:rsid w:val="00491AF7"/>
    <w:pPr>
      <w:keepNext/>
      <w:spacing w:before="1340" w:after="804" w:line="320" w:lineRule="exact"/>
      <w:jc w:val="center"/>
      <w:outlineLvl w:val="2"/>
    </w:pPr>
    <w:rPr>
      <w:rFonts w:ascii="Times New Roman" w:hAnsi="Times New Roman" w:cs="Times New Roman"/>
      <w:caps/>
      <w:sz w:val="28"/>
      <w:szCs w:val="24"/>
    </w:rPr>
  </w:style>
  <w:style w:type="paragraph" w:styleId="Titolo4">
    <w:name w:val="heading 4"/>
    <w:aliases w:val="Paragrafo"/>
    <w:next w:val="Normale"/>
    <w:link w:val="Titolo4Carattere"/>
    <w:uiPriority w:val="99"/>
    <w:qFormat/>
    <w:rsid w:val="00C80162"/>
    <w:pPr>
      <w:keepNext/>
      <w:spacing w:before="670" w:after="402" w:line="290" w:lineRule="exact"/>
      <w:ind w:left="284" w:hanging="284"/>
      <w:jc w:val="both"/>
      <w:outlineLvl w:val="3"/>
    </w:pPr>
    <w:rPr>
      <w:rFonts w:ascii="Times New Roman" w:eastAsia="Times New Roman" w:hAnsi="Times New Roman" w:cs="Friz Quadrata"/>
      <w:bCs/>
      <w:i/>
      <w:sz w:val="25"/>
      <w:szCs w:val="25"/>
      <w:lang w:eastAsia="it-IT"/>
    </w:rPr>
  </w:style>
  <w:style w:type="paragraph" w:styleId="Titolo5">
    <w:name w:val="heading 5"/>
    <w:aliases w:val="Sottoparagrafo"/>
    <w:next w:val="Normale"/>
    <w:link w:val="Titolo5Carattere"/>
    <w:qFormat/>
    <w:rsid w:val="00EF6D82"/>
    <w:pPr>
      <w:keepNext/>
      <w:spacing w:before="536" w:after="268" w:line="280" w:lineRule="exact"/>
      <w:ind w:left="284" w:hanging="284"/>
      <w:jc w:val="both"/>
      <w:outlineLvl w:val="4"/>
    </w:pPr>
    <w:rPr>
      <w:rFonts w:ascii="Times New Roman" w:eastAsia="Arial Unicode MS" w:hAnsi="Times New Roman" w:cs="Arial Unicode MS"/>
      <w:i/>
      <w:kern w:val="1"/>
      <w:sz w:val="24"/>
      <w:szCs w:val="24"/>
      <w:lang w:eastAsia="hi-IN" w:bidi="hi-IN"/>
    </w:rPr>
  </w:style>
  <w:style w:type="paragraph" w:styleId="Titolo6">
    <w:name w:val="heading 6"/>
    <w:aliases w:val="Sottosottoparagrafo"/>
    <w:next w:val="Normale"/>
    <w:link w:val="Titolo6Carattere"/>
    <w:qFormat/>
    <w:rsid w:val="008D441D"/>
    <w:pPr>
      <w:keepNext/>
      <w:spacing w:before="402" w:after="134" w:line="268" w:lineRule="exact"/>
      <w:ind w:left="284" w:hanging="284"/>
      <w:jc w:val="both"/>
      <w:outlineLvl w:val="5"/>
    </w:pPr>
    <w:rPr>
      <w:rFonts w:ascii="Times New Roman" w:eastAsia="Arial Unicode MS" w:hAnsi="Times New Roman" w:cs="Arial Unicode MS"/>
      <w:i/>
      <w:sz w:val="23"/>
      <w:szCs w:val="23"/>
      <w:lang w:eastAsia="hi-IN" w:bidi="hi-IN"/>
    </w:rPr>
  </w:style>
  <w:style w:type="paragraph" w:styleId="Titolo7">
    <w:name w:val="heading 7"/>
    <w:basedOn w:val="Normale"/>
    <w:next w:val="Normale"/>
    <w:link w:val="Titolo7Carattere"/>
    <w:uiPriority w:val="9"/>
    <w:semiHidden/>
    <w:unhideWhenUsed/>
    <w:qFormat/>
    <w:rsid w:val="000E7223"/>
    <w:pPr>
      <w:keepNext/>
      <w:keepLines/>
      <w:spacing w:before="40" w:after="0" w:line="278" w:lineRule="auto"/>
      <w:outlineLvl w:val="6"/>
    </w:pPr>
    <w:rPr>
      <w:rFonts w:eastAsiaTheme="majorEastAsia" w:cstheme="majorBidi"/>
      <w:noProof w:val="0"/>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0E7223"/>
    <w:pPr>
      <w:keepNext/>
      <w:keepLines/>
      <w:spacing w:after="0" w:line="278" w:lineRule="auto"/>
      <w:outlineLvl w:val="7"/>
    </w:pPr>
    <w:rPr>
      <w:rFonts w:eastAsiaTheme="majorEastAsia" w:cstheme="majorBidi"/>
      <w:i/>
      <w:iCs/>
      <w:noProof w:val="0"/>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0E7223"/>
    <w:pPr>
      <w:keepNext/>
      <w:keepLines/>
      <w:spacing w:after="0" w:line="278" w:lineRule="auto"/>
      <w:outlineLvl w:val="8"/>
    </w:pPr>
    <w:rPr>
      <w:rFonts w:eastAsiaTheme="majorEastAsia" w:cstheme="majorBidi"/>
      <w:noProof w:val="0"/>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Bibliografia">
    <w:name w:val="Bibliography"/>
    <w:next w:val="Normale"/>
    <w:uiPriority w:val="37"/>
    <w:rsid w:val="00F61352"/>
    <w:pPr>
      <w:spacing w:after="0" w:line="248" w:lineRule="exact"/>
      <w:ind w:left="284" w:hanging="284"/>
      <w:jc w:val="both"/>
    </w:pPr>
    <w:rPr>
      <w:rFonts w:ascii="Times New Roman" w:hAnsi="Times New Roman"/>
      <w:sz w:val="21"/>
    </w:rPr>
  </w:style>
  <w:style w:type="paragraph" w:customStyle="1" w:styleId="Capoversoelenconumeriromani">
    <w:name w:val="Capoverso elenco numeri romani"/>
    <w:basedOn w:val="Capoverso"/>
    <w:rsid w:val="00BC1B00"/>
    <w:pPr>
      <w:numPr>
        <w:numId w:val="5"/>
      </w:numPr>
      <w:spacing w:before="134" w:after="134"/>
      <w:ind w:left="454" w:hanging="454"/>
      <w:contextualSpacing/>
    </w:pPr>
    <w:rPr>
      <w:szCs w:val="22"/>
      <w:lang w:eastAsia="it-IT"/>
    </w:rPr>
  </w:style>
  <w:style w:type="paragraph" w:styleId="Testonotaapidipagina">
    <w:name w:val="footnote text"/>
    <w:link w:val="TestonotaapidipaginaCarattere"/>
    <w:qFormat/>
    <w:rsid w:val="0036056C"/>
    <w:pPr>
      <w:spacing w:before="60" w:after="0" w:line="220" w:lineRule="exact"/>
      <w:ind w:firstLine="284"/>
      <w:jc w:val="both"/>
    </w:pPr>
    <w:rPr>
      <w:rFonts w:ascii="Times New Roman" w:hAnsi="Times New Roman"/>
      <w:sz w:val="19"/>
      <w:szCs w:val="20"/>
    </w:rPr>
  </w:style>
  <w:style w:type="character" w:customStyle="1" w:styleId="TestonotaapidipaginaCarattere">
    <w:name w:val="Testo nota a piè di pagina Carattere"/>
    <w:basedOn w:val="Carpredefinitoparagrafo"/>
    <w:link w:val="Testonotaapidipagina"/>
    <w:qFormat/>
    <w:rsid w:val="0036056C"/>
    <w:rPr>
      <w:rFonts w:ascii="Times New Roman" w:hAnsi="Times New Roman"/>
      <w:sz w:val="19"/>
      <w:szCs w:val="20"/>
    </w:rPr>
  </w:style>
  <w:style w:type="paragraph" w:customStyle="1" w:styleId="Capoverso">
    <w:name w:val="Capoverso"/>
    <w:link w:val="CapoversoCarattere"/>
    <w:qFormat/>
    <w:rsid w:val="002C3D0D"/>
    <w:pPr>
      <w:widowControl w:val="0"/>
      <w:spacing w:after="0" w:line="268" w:lineRule="exact"/>
      <w:ind w:firstLine="284"/>
      <w:jc w:val="both"/>
    </w:pPr>
    <w:rPr>
      <w:rFonts w:ascii="Times New Roman" w:eastAsia="Times New Roman" w:hAnsi="Times New Roman" w:cs="Times New Roman"/>
      <w:sz w:val="23"/>
      <w:szCs w:val="24"/>
    </w:rPr>
  </w:style>
  <w:style w:type="character" w:customStyle="1" w:styleId="Dicituraparte">
    <w:name w:val="Dicitura parte"/>
    <w:basedOn w:val="Carpredefinitoparagrafo"/>
    <w:uiPriority w:val="1"/>
    <w:qFormat/>
    <w:rsid w:val="00E062BF"/>
    <w:rPr>
      <w:rFonts w:ascii="Times New Roman" w:hAnsi="Times New Roman"/>
      <w:caps w:val="0"/>
      <w:smallCaps w:val="0"/>
      <w:strike w:val="0"/>
      <w:dstrike w:val="0"/>
      <w:vanish w:val="0"/>
      <w:kern w:val="0"/>
      <w:sz w:val="32"/>
      <w:vertAlign w:val="baseline"/>
      <w14:cntxtAlts w14:val="0"/>
    </w:rPr>
  </w:style>
  <w:style w:type="paragraph" w:customStyle="1" w:styleId="0rigasingolacorpo1">
    <w:name w:val="0 riga singola corpo 1"/>
    <w:basedOn w:val="Titolo2"/>
    <w:qFormat/>
    <w:rsid w:val="000E7223"/>
    <w:pPr>
      <w:spacing w:before="0" w:line="240" w:lineRule="auto"/>
      <w:outlineLvl w:val="9"/>
    </w:pPr>
    <w:rPr>
      <w:rFonts w:eastAsia="MS Mincho"/>
      <w:caps w:val="0"/>
      <w:sz w:val="2"/>
      <w:szCs w:val="2"/>
      <w:lang w:eastAsia="it-IT"/>
    </w:rPr>
  </w:style>
  <w:style w:type="character" w:styleId="Rimandonotaapidipagina">
    <w:name w:val="footnote reference"/>
    <w:basedOn w:val="Carpredefinitoparagrafo"/>
    <w:semiHidden/>
    <w:qFormat/>
    <w:rsid w:val="00B44A62"/>
    <w:rPr>
      <w:vertAlign w:val="superscript"/>
    </w:rPr>
  </w:style>
  <w:style w:type="paragraph" w:customStyle="1" w:styleId="Intermedio">
    <w:name w:val="Intermedio"/>
    <w:qFormat/>
    <w:rsid w:val="00B44A62"/>
    <w:pPr>
      <w:widowControl w:val="0"/>
      <w:spacing w:before="268" w:after="268" w:line="248" w:lineRule="exact"/>
      <w:ind w:left="284" w:firstLine="284"/>
      <w:jc w:val="both"/>
    </w:pPr>
    <w:rPr>
      <w:rFonts w:ascii="Times New Roman" w:eastAsia="Times New Roman" w:hAnsi="Times New Roman" w:cs="Times New Roman"/>
      <w:sz w:val="21"/>
      <w:szCs w:val="24"/>
    </w:rPr>
  </w:style>
  <w:style w:type="character" w:customStyle="1" w:styleId="Titolo1Carattere">
    <w:name w:val="Titolo 1 Carattere"/>
    <w:aliases w:val="Titolo del volume Carattere"/>
    <w:basedOn w:val="Carpredefinitoparagrafo"/>
    <w:link w:val="Titolo1"/>
    <w:uiPriority w:val="1"/>
    <w:rsid w:val="00787371"/>
    <w:rPr>
      <w:rFonts w:ascii="Karla" w:eastAsiaTheme="majorEastAsia" w:hAnsi="Karla" w:cstheme="majorBidi"/>
      <w:sz w:val="50"/>
      <w:szCs w:val="32"/>
    </w:rPr>
  </w:style>
  <w:style w:type="character" w:customStyle="1" w:styleId="Titolo3Carattere">
    <w:name w:val="Titolo 3 Carattere"/>
    <w:aliases w:val="Titolo del capitolo Carattere"/>
    <w:basedOn w:val="Carpredefinitoparagrafo"/>
    <w:link w:val="Titolo3"/>
    <w:rsid w:val="00491AF7"/>
    <w:rPr>
      <w:rFonts w:ascii="Times New Roman" w:hAnsi="Times New Roman" w:cs="Times New Roman"/>
      <w:caps/>
      <w:sz w:val="28"/>
      <w:szCs w:val="24"/>
    </w:rPr>
  </w:style>
  <w:style w:type="character" w:customStyle="1" w:styleId="Titolo4Carattere">
    <w:name w:val="Titolo 4 Carattere"/>
    <w:aliases w:val="Paragrafo Carattere"/>
    <w:basedOn w:val="Carpredefinitoparagrafo"/>
    <w:link w:val="Titolo4"/>
    <w:uiPriority w:val="99"/>
    <w:rsid w:val="00C80162"/>
    <w:rPr>
      <w:rFonts w:ascii="Times New Roman" w:eastAsia="Times New Roman" w:hAnsi="Times New Roman" w:cs="Friz Quadrata"/>
      <w:bCs/>
      <w:i/>
      <w:sz w:val="25"/>
      <w:szCs w:val="25"/>
      <w:lang w:eastAsia="it-IT"/>
    </w:rPr>
  </w:style>
  <w:style w:type="paragraph" w:styleId="Pidipagina">
    <w:name w:val="footer"/>
    <w:basedOn w:val="Normale"/>
    <w:link w:val="PidipaginaCarattere"/>
    <w:uiPriority w:val="99"/>
    <w:semiHidden/>
    <w:rsid w:val="00A26CC7"/>
    <w:pPr>
      <w:tabs>
        <w:tab w:val="center" w:pos="4680"/>
        <w:tab w:val="right" w:pos="9360"/>
      </w:tabs>
      <w:spacing w:after="0" w:line="240" w:lineRule="auto"/>
    </w:pPr>
    <w:rPr>
      <w:rFonts w:ascii="Times New Roman" w:hAnsi="Times New Roman" w:cs="Times New Roman"/>
      <w:noProof w:val="0"/>
      <w:sz w:val="26"/>
      <w:szCs w:val="26"/>
    </w:rPr>
  </w:style>
  <w:style w:type="character" w:customStyle="1" w:styleId="PidipaginaCarattere">
    <w:name w:val="Piè di pagina Carattere"/>
    <w:basedOn w:val="Carpredefinitoparagrafo"/>
    <w:link w:val="Pidipagina"/>
    <w:uiPriority w:val="99"/>
    <w:semiHidden/>
    <w:rsid w:val="00DC0DDB"/>
    <w:rPr>
      <w:rFonts w:ascii="Times New Roman" w:hAnsi="Times New Roman" w:cs="Times New Roman"/>
      <w:sz w:val="26"/>
      <w:szCs w:val="26"/>
    </w:rPr>
  </w:style>
  <w:style w:type="paragraph" w:styleId="Revisione">
    <w:name w:val="Revision"/>
    <w:hidden/>
    <w:uiPriority w:val="99"/>
    <w:semiHidden/>
    <w:rsid w:val="00A26CC7"/>
    <w:pPr>
      <w:spacing w:after="0" w:line="240" w:lineRule="auto"/>
    </w:pPr>
    <w:rPr>
      <w:rFonts w:ascii="Times New Roman" w:hAnsi="Times New Roman" w:cs="Times New Roman"/>
      <w:sz w:val="26"/>
      <w:szCs w:val="26"/>
    </w:rPr>
  </w:style>
  <w:style w:type="character" w:customStyle="1" w:styleId="Titolo2Carattere">
    <w:name w:val="Titolo 2 Carattere"/>
    <w:aliases w:val="Titolo della parte Carattere"/>
    <w:basedOn w:val="Carpredefinitoparagrafo"/>
    <w:link w:val="Titolo2"/>
    <w:uiPriority w:val="9"/>
    <w:semiHidden/>
    <w:rsid w:val="00474BC2"/>
    <w:rPr>
      <w:rFonts w:ascii="Times New Roman" w:hAnsi="Times New Roman" w:cs="Times New Roman"/>
      <w:caps/>
      <w:sz w:val="32"/>
      <w:szCs w:val="24"/>
    </w:rPr>
  </w:style>
  <w:style w:type="paragraph" w:customStyle="1" w:styleId="Sommario">
    <w:name w:val="Sommario"/>
    <w:uiPriority w:val="99"/>
    <w:qFormat/>
    <w:rsid w:val="0080243B"/>
    <w:pPr>
      <w:spacing w:before="536" w:after="804" w:line="220" w:lineRule="exact"/>
      <w:ind w:left="284" w:hanging="284"/>
      <w:jc w:val="both"/>
    </w:pPr>
    <w:rPr>
      <w:rFonts w:ascii="Times New Roman" w:hAnsi="Times New Roman" w:cs="Times New Roman"/>
      <w:sz w:val="19"/>
      <w:szCs w:val="20"/>
    </w:rPr>
  </w:style>
  <w:style w:type="paragraph" w:customStyle="1" w:styleId="Dicituracapitolo">
    <w:name w:val="Dicitura capitolo"/>
    <w:uiPriority w:val="99"/>
    <w:qFormat/>
    <w:rsid w:val="0080243B"/>
    <w:pPr>
      <w:keepNext/>
      <w:spacing w:before="1340" w:line="300" w:lineRule="exact"/>
      <w:jc w:val="center"/>
    </w:pPr>
    <w:rPr>
      <w:rFonts w:ascii="Times New Roman" w:hAnsi="Times New Roman" w:cs="Times New Roman"/>
      <w:i/>
      <w:sz w:val="26"/>
      <w:szCs w:val="24"/>
    </w:rPr>
  </w:style>
  <w:style w:type="character" w:styleId="Numeropagina">
    <w:name w:val="page number"/>
    <w:basedOn w:val="Carpredefinitoparagrafo"/>
    <w:uiPriority w:val="99"/>
    <w:semiHidden/>
    <w:unhideWhenUsed/>
    <w:rsid w:val="00AC2F6D"/>
  </w:style>
  <w:style w:type="paragraph" w:styleId="Intestazione">
    <w:name w:val="header"/>
    <w:basedOn w:val="Normale"/>
    <w:link w:val="IntestazioneCarattere"/>
    <w:uiPriority w:val="99"/>
    <w:rsid w:val="000E2B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0DDB"/>
    <w:rPr>
      <w:noProof/>
    </w:rPr>
  </w:style>
  <w:style w:type="paragraph" w:customStyle="1" w:styleId="Capoversoelencolettere">
    <w:name w:val="Capoverso elenco lettere"/>
    <w:basedOn w:val="Capoverso"/>
    <w:qFormat/>
    <w:rsid w:val="00AF0CC4"/>
    <w:pPr>
      <w:numPr>
        <w:numId w:val="1"/>
      </w:numPr>
      <w:spacing w:before="134" w:after="134"/>
      <w:ind w:left="284" w:hanging="284"/>
      <w:contextualSpacing/>
    </w:pPr>
    <w:rPr>
      <w:szCs w:val="22"/>
    </w:rPr>
  </w:style>
  <w:style w:type="paragraph" w:customStyle="1" w:styleId="Capoversoelenconumeri">
    <w:name w:val="Capoverso elenco numeri"/>
    <w:basedOn w:val="Capoverso"/>
    <w:qFormat/>
    <w:rsid w:val="00AF0CC4"/>
    <w:pPr>
      <w:numPr>
        <w:numId w:val="2"/>
      </w:numPr>
      <w:spacing w:before="134" w:after="134"/>
      <w:ind w:left="284" w:hanging="284"/>
      <w:contextualSpacing/>
    </w:pPr>
    <w:rPr>
      <w:szCs w:val="22"/>
    </w:rPr>
  </w:style>
  <w:style w:type="paragraph" w:customStyle="1" w:styleId="Capoversoelencotratto">
    <w:name w:val="Capoverso elenco tratto"/>
    <w:basedOn w:val="Capoverso"/>
    <w:qFormat/>
    <w:rsid w:val="00AF0CC4"/>
    <w:pPr>
      <w:numPr>
        <w:numId w:val="3"/>
      </w:numPr>
      <w:spacing w:before="134" w:after="134"/>
      <w:ind w:left="284" w:hanging="284"/>
      <w:contextualSpacing/>
    </w:pPr>
    <w:rPr>
      <w:szCs w:val="22"/>
    </w:rPr>
  </w:style>
  <w:style w:type="paragraph" w:customStyle="1" w:styleId="Capoversoelencopallini">
    <w:name w:val="Capoverso elenco pallini"/>
    <w:basedOn w:val="Capoverso"/>
    <w:qFormat/>
    <w:rsid w:val="00AF0CC4"/>
    <w:pPr>
      <w:numPr>
        <w:numId w:val="4"/>
      </w:numPr>
      <w:spacing w:before="134" w:after="134"/>
      <w:ind w:left="284" w:hanging="284"/>
      <w:contextualSpacing/>
    </w:pPr>
    <w:rPr>
      <w:szCs w:val="22"/>
    </w:rPr>
  </w:style>
  <w:style w:type="character" w:customStyle="1" w:styleId="Titolo5Carattere">
    <w:name w:val="Titolo 5 Carattere"/>
    <w:aliases w:val="Sottoparagrafo Carattere"/>
    <w:basedOn w:val="Carpredefinitoparagrafo"/>
    <w:link w:val="Titolo5"/>
    <w:uiPriority w:val="9"/>
    <w:semiHidden/>
    <w:rsid w:val="00EF6D82"/>
    <w:rPr>
      <w:rFonts w:ascii="Times New Roman" w:eastAsia="Arial Unicode MS" w:hAnsi="Times New Roman" w:cs="Arial Unicode MS"/>
      <w:i/>
      <w:kern w:val="1"/>
      <w:sz w:val="24"/>
      <w:szCs w:val="24"/>
      <w:lang w:eastAsia="hi-IN" w:bidi="hi-IN"/>
    </w:rPr>
  </w:style>
  <w:style w:type="character" w:customStyle="1" w:styleId="Titolo6Carattere">
    <w:name w:val="Titolo 6 Carattere"/>
    <w:aliases w:val="Sottosottoparagrafo Carattere"/>
    <w:basedOn w:val="Carpredefinitoparagrafo"/>
    <w:link w:val="Titolo6"/>
    <w:rsid w:val="008D441D"/>
    <w:rPr>
      <w:rFonts w:ascii="Times New Roman" w:eastAsia="Arial Unicode MS" w:hAnsi="Times New Roman" w:cs="Arial Unicode MS"/>
      <w:i/>
      <w:sz w:val="23"/>
      <w:szCs w:val="23"/>
      <w:lang w:eastAsia="hi-IN" w:bidi="hi-IN"/>
    </w:rPr>
  </w:style>
  <w:style w:type="character" w:customStyle="1" w:styleId="Titolo7Carattere">
    <w:name w:val="Titolo 7 Carattere"/>
    <w:basedOn w:val="Carpredefinitoparagrafo"/>
    <w:link w:val="Titolo7"/>
    <w:uiPriority w:val="9"/>
    <w:semiHidden/>
    <w:rsid w:val="000E7223"/>
    <w:rPr>
      <w:rFonts w:eastAsiaTheme="majorEastAsia" w:cstheme="majorBidi"/>
      <w:color w:val="595959" w:themeColor="text1" w:themeTint="A6"/>
      <w:kern w:val="2"/>
      <w:sz w:val="24"/>
      <w:szCs w:val="24"/>
      <w14:ligatures w14:val="standardContextual"/>
    </w:rPr>
  </w:style>
  <w:style w:type="character" w:customStyle="1" w:styleId="Titolo8Carattere">
    <w:name w:val="Titolo 8 Carattere"/>
    <w:basedOn w:val="Carpredefinitoparagrafo"/>
    <w:link w:val="Titolo8"/>
    <w:uiPriority w:val="9"/>
    <w:semiHidden/>
    <w:rsid w:val="000E7223"/>
    <w:rPr>
      <w:rFonts w:eastAsiaTheme="majorEastAsia" w:cstheme="majorBidi"/>
      <w:i/>
      <w:iCs/>
      <w:color w:val="272727" w:themeColor="text1" w:themeTint="D8"/>
      <w:kern w:val="2"/>
      <w:sz w:val="24"/>
      <w:szCs w:val="24"/>
      <w14:ligatures w14:val="standardContextual"/>
    </w:rPr>
  </w:style>
  <w:style w:type="character" w:customStyle="1" w:styleId="Titolo9Carattere">
    <w:name w:val="Titolo 9 Carattere"/>
    <w:basedOn w:val="Carpredefinitoparagrafo"/>
    <w:link w:val="Titolo9"/>
    <w:uiPriority w:val="9"/>
    <w:semiHidden/>
    <w:rsid w:val="000E7223"/>
    <w:rPr>
      <w:rFonts w:eastAsiaTheme="majorEastAsia" w:cstheme="majorBidi"/>
      <w:color w:val="272727" w:themeColor="text1" w:themeTint="D8"/>
      <w:kern w:val="2"/>
      <w:sz w:val="24"/>
      <w:szCs w:val="24"/>
      <w14:ligatures w14:val="standardContextual"/>
    </w:rPr>
  </w:style>
  <w:style w:type="character" w:customStyle="1" w:styleId="Autore">
    <w:name w:val="Autore"/>
    <w:basedOn w:val="Carpredefinitoparagrafo"/>
    <w:uiPriority w:val="1"/>
    <w:qFormat/>
    <w:rsid w:val="001E34DD"/>
    <w:rPr>
      <w:rFonts w:ascii="Times New Roman" w:hAnsi="Times New Roman"/>
      <w:i/>
      <w:caps w:val="0"/>
      <w:smallCaps w:val="0"/>
      <w:strike w:val="0"/>
      <w:dstrike w:val="0"/>
      <w:vanish w:val="0"/>
      <w:sz w:val="26"/>
      <w:vertAlign w:val="baseline"/>
    </w:rPr>
  </w:style>
  <w:style w:type="character" w:customStyle="1" w:styleId="CapoversoCarattere">
    <w:name w:val="Capoverso Carattere"/>
    <w:link w:val="Capoverso"/>
    <w:rsid w:val="002C3D0D"/>
    <w:rPr>
      <w:rFonts w:ascii="Times New Roman" w:eastAsia="Times New Roman" w:hAnsi="Times New Roman" w:cs="Times New Roman"/>
      <w:sz w:val="23"/>
      <w:szCs w:val="24"/>
    </w:rPr>
  </w:style>
  <w:style w:type="paragraph" w:styleId="Sommario1">
    <w:name w:val="toc 1"/>
    <w:basedOn w:val="Normale"/>
    <w:next w:val="Normale"/>
    <w:autoRedefine/>
    <w:uiPriority w:val="39"/>
    <w:unhideWhenUsed/>
    <w:rsid w:val="00022B0A"/>
    <w:pPr>
      <w:spacing w:after="100"/>
    </w:pPr>
  </w:style>
  <w:style w:type="character" w:styleId="Collegamentoipertestuale">
    <w:name w:val="Hyperlink"/>
    <w:basedOn w:val="Carpredefinitoparagrafo"/>
    <w:uiPriority w:val="99"/>
    <w:unhideWhenUsed/>
    <w:rsid w:val="00022B0A"/>
    <w:rPr>
      <w:color w:val="0563C1" w:themeColor="hyperlink"/>
      <w:u w:val="single"/>
    </w:rPr>
  </w:style>
  <w:style w:type="character" w:styleId="Menzionenonrisolta">
    <w:name w:val="Unresolved Mention"/>
    <w:basedOn w:val="Carpredefinitoparagrafo"/>
    <w:uiPriority w:val="99"/>
    <w:semiHidden/>
    <w:unhideWhenUsed/>
    <w:rsid w:val="002C3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penalecontemporaneo.it/upload/1928-silvestri2018a.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5925E-4B0D-4A4F-8F7A-3F5AB9957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27</Pages>
  <Words>7165</Words>
  <Characters>40842</Characters>
  <Application>Microsoft Office Word</Application>
  <DocSecurity>0</DocSecurity>
  <Lines>340</Lines>
  <Paragraphs>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Zaza</dc:creator>
  <cp:keywords/>
  <dc:description/>
  <cp:lastModifiedBy>DE VITA Antonio</cp:lastModifiedBy>
  <cp:revision>15</cp:revision>
  <cp:lastPrinted>2025-10-02T20:00:00Z</cp:lastPrinted>
  <dcterms:created xsi:type="dcterms:W3CDTF">2025-12-13T19:19:00Z</dcterms:created>
  <dcterms:modified xsi:type="dcterms:W3CDTF">2025-12-15T09:05:00Z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1eefe456-2546-449b-9a64-381f0f98308f</vt:lpwstr>
  </property>
</Properties>
</file>